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EE6DC" w14:textId="77777777" w:rsidR="0053405B" w:rsidRPr="00637E1E" w:rsidRDefault="0053405B" w:rsidP="0053405B">
      <w:pPr>
        <w:jc w:val="both"/>
        <w:rPr>
          <w:rFonts w:ascii="Arial" w:hAnsi="Arial" w:cs="Arial"/>
          <w:b/>
        </w:rPr>
      </w:pPr>
      <w:r w:rsidRPr="00637E1E">
        <w:rPr>
          <w:rFonts w:ascii="Arial" w:hAnsi="Arial" w:cs="Arial"/>
          <w:b/>
        </w:rPr>
        <w:t>2. SPECIFICATION</w:t>
      </w:r>
    </w:p>
    <w:p w14:paraId="57E3707C" w14:textId="77777777" w:rsidR="0053405B" w:rsidRPr="00637E1E" w:rsidRDefault="0053405B" w:rsidP="0053405B">
      <w:pPr>
        <w:pStyle w:val="ListParagraph"/>
        <w:numPr>
          <w:ilvl w:val="0"/>
          <w:numId w:val="1"/>
        </w:numPr>
        <w:jc w:val="both"/>
        <w:rPr>
          <w:rFonts w:ascii="Arial" w:hAnsi="Arial" w:cs="Arial"/>
          <w:b/>
          <w:sz w:val="22"/>
          <w:szCs w:val="22"/>
        </w:rPr>
      </w:pPr>
      <w:r w:rsidRPr="00637E1E">
        <w:rPr>
          <w:rFonts w:ascii="Arial" w:hAnsi="Arial" w:cs="Arial"/>
          <w:b/>
          <w:sz w:val="22"/>
          <w:szCs w:val="22"/>
        </w:rPr>
        <w:t xml:space="preserve">Description of the Service </w:t>
      </w:r>
    </w:p>
    <w:p w14:paraId="4B5F307E" w14:textId="77777777" w:rsidR="0053405B" w:rsidRPr="00637E1E" w:rsidRDefault="0053405B" w:rsidP="0053405B">
      <w:pPr>
        <w:pStyle w:val="ListParagraph"/>
        <w:ind w:firstLine="0"/>
        <w:jc w:val="both"/>
        <w:rPr>
          <w:rFonts w:ascii="Arial" w:hAnsi="Arial" w:cs="Arial"/>
          <w:b/>
          <w:sz w:val="22"/>
          <w:szCs w:val="22"/>
        </w:rPr>
      </w:pPr>
    </w:p>
    <w:p w14:paraId="1DD43DBF" w14:textId="11BD2A71" w:rsidR="0053405B" w:rsidRPr="00637E1E"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t>The Contractor shall provide bulk haulage transport, collecting a variety of waste types from multiple collection points of both our internal and external clients and delivering them to a network of Delivery Points (“the Services”). For a list of the current collection and delivery</w:t>
      </w:r>
      <w:r w:rsidR="00BC40FB">
        <w:rPr>
          <w:rFonts w:ascii="Arial" w:hAnsi="Arial" w:cs="Arial"/>
          <w:sz w:val="22"/>
          <w:szCs w:val="22"/>
        </w:rPr>
        <w:t xml:space="preserve"> points, please see Appendix Five</w:t>
      </w:r>
      <w:r w:rsidRPr="00637E1E">
        <w:rPr>
          <w:rFonts w:ascii="Arial" w:hAnsi="Arial" w:cs="Arial"/>
          <w:sz w:val="22"/>
          <w:szCs w:val="22"/>
        </w:rPr>
        <w:t xml:space="preserve">. The waste types include but are not limited to mixed municipal waste, bulky waste, sweepings, DMR (Dry Mixed </w:t>
      </w:r>
      <w:proofErr w:type="spellStart"/>
      <w:r w:rsidRPr="00637E1E">
        <w:rPr>
          <w:rFonts w:ascii="Arial" w:hAnsi="Arial" w:cs="Arial"/>
          <w:sz w:val="22"/>
          <w:szCs w:val="22"/>
        </w:rPr>
        <w:t>Recyclate</w:t>
      </w:r>
      <w:proofErr w:type="spellEnd"/>
      <w:r w:rsidRPr="00637E1E">
        <w:rPr>
          <w:rFonts w:ascii="Arial" w:hAnsi="Arial" w:cs="Arial"/>
          <w:sz w:val="22"/>
          <w:szCs w:val="22"/>
        </w:rPr>
        <w:t>), green waste and compost.</w:t>
      </w:r>
    </w:p>
    <w:p w14:paraId="72519868" w14:textId="77777777" w:rsidR="0053405B" w:rsidRPr="00637E1E" w:rsidRDefault="0053405B" w:rsidP="0053405B">
      <w:pPr>
        <w:pStyle w:val="ListParagraph"/>
        <w:ind w:left="1440" w:firstLine="0"/>
        <w:jc w:val="both"/>
        <w:rPr>
          <w:rFonts w:ascii="Arial" w:hAnsi="Arial" w:cs="Arial"/>
          <w:sz w:val="22"/>
          <w:szCs w:val="22"/>
        </w:rPr>
      </w:pPr>
    </w:p>
    <w:p w14:paraId="3F50CDAF" w14:textId="77777777" w:rsidR="0053405B" w:rsidRPr="00637E1E"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t>The Contractor shall provide all resources and support services necessary in relation to the Services in accordance with the terms and conditions of the Dynamic Purchasing System Agreement.</w:t>
      </w:r>
    </w:p>
    <w:p w14:paraId="19EF8ED0" w14:textId="77777777" w:rsidR="0053405B" w:rsidRPr="00637E1E" w:rsidRDefault="0053405B" w:rsidP="0053405B">
      <w:pPr>
        <w:pStyle w:val="ListParagraph"/>
        <w:ind w:left="1440" w:firstLine="0"/>
        <w:jc w:val="both"/>
        <w:rPr>
          <w:rFonts w:ascii="Arial" w:hAnsi="Arial" w:cs="Arial"/>
          <w:sz w:val="22"/>
          <w:szCs w:val="22"/>
        </w:rPr>
      </w:pPr>
    </w:p>
    <w:p w14:paraId="16468C0B" w14:textId="77777777" w:rsidR="0053405B"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t>The Contractor must ensure that all drivers have received site inductions on the sites where the Services are taking place (both collection and delivery point) and comply with all statutory health &amp; safety and environmental compliance site rules.</w:t>
      </w:r>
    </w:p>
    <w:p w14:paraId="2B774A9A" w14:textId="77777777" w:rsidR="0053405B" w:rsidRPr="00D954C9" w:rsidRDefault="0053405B" w:rsidP="0053405B">
      <w:pPr>
        <w:pStyle w:val="ListParagraph"/>
        <w:rPr>
          <w:rFonts w:ascii="Arial" w:hAnsi="Arial" w:cs="Arial"/>
          <w:sz w:val="22"/>
          <w:szCs w:val="22"/>
        </w:rPr>
      </w:pPr>
    </w:p>
    <w:p w14:paraId="1A75D029" w14:textId="77777777" w:rsidR="0053405B" w:rsidRDefault="0053405B" w:rsidP="0053405B">
      <w:pPr>
        <w:pStyle w:val="Style2"/>
        <w:numPr>
          <w:ilvl w:val="1"/>
          <w:numId w:val="1"/>
        </w:numPr>
        <w:rPr>
          <w:rFonts w:ascii="Arial" w:hAnsi="Arial"/>
          <w:sz w:val="22"/>
          <w:szCs w:val="22"/>
        </w:rPr>
      </w:pPr>
      <w:r>
        <w:rPr>
          <w:rFonts w:ascii="Arial" w:hAnsi="Arial"/>
          <w:sz w:val="22"/>
          <w:szCs w:val="22"/>
        </w:rPr>
        <w:t xml:space="preserve">In November of each year, starting November 2017, the Company shall ask all Contractors on the DPS to update the price schedule with their ceiling prices for the following year. </w:t>
      </w:r>
    </w:p>
    <w:p w14:paraId="34BF830C" w14:textId="77777777" w:rsidR="0053405B" w:rsidRDefault="0053405B" w:rsidP="0053405B">
      <w:pPr>
        <w:pStyle w:val="ListParagraph"/>
        <w:rPr>
          <w:rFonts w:ascii="Arial" w:hAnsi="Arial"/>
          <w:sz w:val="22"/>
          <w:szCs w:val="22"/>
        </w:rPr>
      </w:pPr>
    </w:p>
    <w:p w14:paraId="32132825" w14:textId="77777777" w:rsidR="0053405B" w:rsidRPr="001A278E" w:rsidRDefault="0053405B" w:rsidP="0053405B">
      <w:pPr>
        <w:pStyle w:val="Style2"/>
        <w:numPr>
          <w:ilvl w:val="1"/>
          <w:numId w:val="1"/>
        </w:numPr>
        <w:rPr>
          <w:rFonts w:ascii="Arial" w:hAnsi="Arial"/>
          <w:sz w:val="22"/>
          <w:szCs w:val="22"/>
        </w:rPr>
      </w:pPr>
      <w:r>
        <w:rPr>
          <w:rFonts w:ascii="Arial" w:hAnsi="Arial"/>
          <w:sz w:val="22"/>
          <w:szCs w:val="22"/>
        </w:rPr>
        <w:t>The Company gives no guarantee of the amount of work, if any, given through this Dynamic Purchasing System Agreement.</w:t>
      </w:r>
    </w:p>
    <w:p w14:paraId="23F7E38B" w14:textId="77777777" w:rsidR="0053405B" w:rsidRPr="00637E1E" w:rsidRDefault="0053405B" w:rsidP="0053405B">
      <w:pPr>
        <w:pStyle w:val="ListParagraph"/>
        <w:ind w:left="1440" w:firstLine="0"/>
        <w:jc w:val="both"/>
        <w:rPr>
          <w:rFonts w:ascii="Arial" w:hAnsi="Arial" w:cs="Arial"/>
          <w:sz w:val="22"/>
          <w:szCs w:val="22"/>
        </w:rPr>
      </w:pPr>
    </w:p>
    <w:p w14:paraId="0EA23C9F" w14:textId="77777777" w:rsidR="0053405B" w:rsidRPr="00637E1E" w:rsidRDefault="0053405B" w:rsidP="0053405B">
      <w:pPr>
        <w:pStyle w:val="ListParagraph"/>
        <w:numPr>
          <w:ilvl w:val="0"/>
          <w:numId w:val="1"/>
        </w:numPr>
        <w:jc w:val="both"/>
        <w:rPr>
          <w:rFonts w:ascii="Arial" w:hAnsi="Arial" w:cs="Arial"/>
          <w:b/>
          <w:sz w:val="22"/>
          <w:szCs w:val="22"/>
        </w:rPr>
      </w:pPr>
      <w:r w:rsidRPr="00637E1E">
        <w:rPr>
          <w:rFonts w:ascii="Arial" w:hAnsi="Arial" w:cs="Arial"/>
          <w:b/>
          <w:sz w:val="22"/>
          <w:szCs w:val="22"/>
        </w:rPr>
        <w:t>Waste Quantities and Transport Requirements</w:t>
      </w:r>
    </w:p>
    <w:p w14:paraId="00FC63BA" w14:textId="77777777" w:rsidR="0053405B" w:rsidRPr="00637E1E" w:rsidRDefault="0053405B" w:rsidP="0053405B">
      <w:pPr>
        <w:pStyle w:val="ListParagraph"/>
        <w:ind w:firstLine="0"/>
        <w:jc w:val="both"/>
        <w:rPr>
          <w:rFonts w:ascii="Arial" w:hAnsi="Arial" w:cs="Arial"/>
          <w:b/>
          <w:sz w:val="22"/>
          <w:szCs w:val="22"/>
        </w:rPr>
      </w:pPr>
    </w:p>
    <w:p w14:paraId="6D8A8061" w14:textId="0C9A7CC2" w:rsidR="0053405B" w:rsidRPr="00637E1E" w:rsidRDefault="00BC40FB" w:rsidP="0053405B">
      <w:pPr>
        <w:pStyle w:val="ListParagraph"/>
        <w:numPr>
          <w:ilvl w:val="1"/>
          <w:numId w:val="1"/>
        </w:numPr>
        <w:jc w:val="both"/>
        <w:rPr>
          <w:rFonts w:ascii="Arial" w:hAnsi="Arial" w:cs="Arial"/>
          <w:sz w:val="22"/>
          <w:szCs w:val="22"/>
        </w:rPr>
      </w:pPr>
      <w:r>
        <w:rPr>
          <w:rFonts w:ascii="Arial" w:hAnsi="Arial" w:cs="Arial"/>
          <w:sz w:val="22"/>
          <w:szCs w:val="22"/>
        </w:rPr>
        <w:t>Please see Appendix Five</w:t>
      </w:r>
      <w:bookmarkStart w:id="0" w:name="_GoBack"/>
      <w:bookmarkEnd w:id="0"/>
    </w:p>
    <w:p w14:paraId="756BF0B6" w14:textId="77777777" w:rsidR="0053405B" w:rsidRPr="00637E1E" w:rsidRDefault="0053405B" w:rsidP="0053405B">
      <w:pPr>
        <w:pStyle w:val="ListParagraph"/>
        <w:ind w:left="1440" w:firstLine="0"/>
        <w:jc w:val="both"/>
        <w:rPr>
          <w:rFonts w:ascii="Arial" w:hAnsi="Arial" w:cs="Arial"/>
          <w:b/>
          <w:sz w:val="22"/>
          <w:szCs w:val="22"/>
        </w:rPr>
      </w:pPr>
    </w:p>
    <w:p w14:paraId="48FE7C04" w14:textId="77777777" w:rsidR="0053405B" w:rsidRPr="00637E1E" w:rsidRDefault="0053405B" w:rsidP="0053405B">
      <w:pPr>
        <w:pStyle w:val="ListParagraph"/>
        <w:numPr>
          <w:ilvl w:val="0"/>
          <w:numId w:val="1"/>
        </w:numPr>
        <w:jc w:val="both"/>
        <w:rPr>
          <w:rFonts w:ascii="Arial" w:hAnsi="Arial" w:cs="Arial"/>
          <w:b/>
          <w:sz w:val="22"/>
          <w:szCs w:val="22"/>
        </w:rPr>
      </w:pPr>
      <w:r w:rsidRPr="00637E1E">
        <w:rPr>
          <w:rFonts w:ascii="Arial" w:hAnsi="Arial" w:cs="Arial"/>
          <w:b/>
          <w:sz w:val="22"/>
          <w:szCs w:val="22"/>
        </w:rPr>
        <w:t>Waste Transportation</w:t>
      </w:r>
    </w:p>
    <w:p w14:paraId="65E86FB4" w14:textId="77777777" w:rsidR="0053405B" w:rsidRPr="00637E1E" w:rsidRDefault="0053405B" w:rsidP="0053405B">
      <w:pPr>
        <w:pStyle w:val="ListParagraph"/>
        <w:ind w:firstLine="0"/>
        <w:jc w:val="both"/>
        <w:rPr>
          <w:rFonts w:ascii="Arial" w:hAnsi="Arial" w:cs="Arial"/>
          <w:b/>
          <w:sz w:val="22"/>
          <w:szCs w:val="22"/>
        </w:rPr>
      </w:pPr>
    </w:p>
    <w:p w14:paraId="21124CD2" w14:textId="77777777" w:rsidR="0053405B" w:rsidRPr="00637E1E"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t>The Contractor must hold as a minimum, UK Standard Goods Vehicle Operators Licence.</w:t>
      </w:r>
    </w:p>
    <w:p w14:paraId="5619D480" w14:textId="77777777" w:rsidR="0053405B" w:rsidRPr="00637E1E" w:rsidRDefault="0053405B" w:rsidP="0053405B">
      <w:pPr>
        <w:pStyle w:val="ListParagraph"/>
        <w:ind w:left="1440" w:firstLine="0"/>
        <w:jc w:val="both"/>
        <w:rPr>
          <w:rFonts w:ascii="Arial" w:hAnsi="Arial" w:cs="Arial"/>
          <w:sz w:val="22"/>
          <w:szCs w:val="22"/>
        </w:rPr>
      </w:pPr>
    </w:p>
    <w:p w14:paraId="37FA25E4" w14:textId="77777777" w:rsidR="0053405B" w:rsidRPr="00637E1E"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t>The Contractor must have a valid Waste Carriers Licence.</w:t>
      </w:r>
    </w:p>
    <w:p w14:paraId="128C6B2E" w14:textId="77777777" w:rsidR="0053405B" w:rsidRPr="00637E1E" w:rsidRDefault="0053405B" w:rsidP="0053405B">
      <w:pPr>
        <w:pStyle w:val="ListParagraph"/>
        <w:ind w:left="1440" w:firstLine="0"/>
        <w:jc w:val="both"/>
        <w:rPr>
          <w:rFonts w:ascii="Arial" w:hAnsi="Arial" w:cs="Arial"/>
          <w:sz w:val="22"/>
          <w:szCs w:val="22"/>
        </w:rPr>
      </w:pPr>
    </w:p>
    <w:p w14:paraId="2FF884E6" w14:textId="77777777" w:rsidR="0053405B" w:rsidRPr="006D0807"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t xml:space="preserve">The Contractor shall use a range of vehicles including, but not limited to, articulated walking floor trailers, articulated </w:t>
      </w:r>
      <w:r w:rsidRPr="006D0807">
        <w:rPr>
          <w:rFonts w:ascii="Arial" w:hAnsi="Arial" w:cs="Arial"/>
          <w:sz w:val="22"/>
          <w:szCs w:val="22"/>
        </w:rPr>
        <w:t>ejector trailers and articulated tipper bodied trailers to maximise material weights. All vehicles shall have on board weighing systems.</w:t>
      </w:r>
    </w:p>
    <w:p w14:paraId="6C0F4671" w14:textId="77777777" w:rsidR="0053405B" w:rsidRPr="006D0807" w:rsidRDefault="0053405B" w:rsidP="0053405B">
      <w:pPr>
        <w:pStyle w:val="ListParagraph"/>
        <w:rPr>
          <w:rFonts w:ascii="Arial" w:hAnsi="Arial" w:cs="Arial"/>
          <w:sz w:val="22"/>
          <w:szCs w:val="22"/>
        </w:rPr>
      </w:pPr>
    </w:p>
    <w:p w14:paraId="210E438E" w14:textId="77777777" w:rsidR="0053405B" w:rsidRDefault="0053405B" w:rsidP="0053405B">
      <w:pPr>
        <w:pStyle w:val="ListParagraph"/>
        <w:numPr>
          <w:ilvl w:val="1"/>
          <w:numId w:val="1"/>
        </w:numPr>
        <w:jc w:val="both"/>
        <w:rPr>
          <w:rFonts w:ascii="Arial" w:hAnsi="Arial" w:cs="Arial"/>
          <w:sz w:val="22"/>
          <w:szCs w:val="22"/>
        </w:rPr>
      </w:pPr>
      <w:r w:rsidRPr="006D0807">
        <w:rPr>
          <w:rFonts w:ascii="Arial" w:hAnsi="Arial" w:cs="Arial"/>
          <w:sz w:val="22"/>
          <w:szCs w:val="22"/>
        </w:rPr>
        <w:t xml:space="preserve">For deliveries of waste into Allerton Waste Recovery Park (“AWRP”), the Contractor shall ensure they use either articulated walking floor trailers or articulated ejector trailers. In addition, the Contractor shall ensure that the driver has the ability to open and close the back door of the trailers from inside the cab. This is due to restrictions in place at AWRP. </w:t>
      </w:r>
    </w:p>
    <w:p w14:paraId="6857C139" w14:textId="77777777" w:rsidR="0053405B" w:rsidRDefault="0053405B" w:rsidP="0053405B">
      <w:pPr>
        <w:jc w:val="both"/>
        <w:rPr>
          <w:rFonts w:ascii="Arial" w:hAnsi="Arial" w:cs="Arial"/>
        </w:rPr>
      </w:pPr>
    </w:p>
    <w:p w14:paraId="20B95387" w14:textId="77777777" w:rsidR="0053405B" w:rsidRDefault="0053405B" w:rsidP="0053405B">
      <w:pPr>
        <w:jc w:val="both"/>
        <w:rPr>
          <w:rFonts w:ascii="Arial" w:hAnsi="Arial" w:cs="Arial"/>
        </w:rPr>
      </w:pPr>
    </w:p>
    <w:p w14:paraId="00C63405" w14:textId="77777777" w:rsidR="0053405B" w:rsidRPr="0053405B" w:rsidRDefault="0053405B" w:rsidP="0053405B">
      <w:pPr>
        <w:jc w:val="both"/>
        <w:rPr>
          <w:rFonts w:ascii="Arial" w:hAnsi="Arial" w:cs="Arial"/>
        </w:rPr>
      </w:pPr>
    </w:p>
    <w:p w14:paraId="3B4264A5" w14:textId="77777777" w:rsidR="0053405B" w:rsidRPr="006D0807" w:rsidRDefault="0053405B" w:rsidP="0053405B">
      <w:pPr>
        <w:pStyle w:val="ListParagraph"/>
        <w:rPr>
          <w:rFonts w:ascii="Arial" w:hAnsi="Arial" w:cs="Arial"/>
          <w:sz w:val="22"/>
          <w:szCs w:val="22"/>
        </w:rPr>
      </w:pPr>
    </w:p>
    <w:p w14:paraId="7D1BE168" w14:textId="77777777" w:rsidR="0053405B" w:rsidRPr="006D0807" w:rsidRDefault="0053405B" w:rsidP="0053405B">
      <w:pPr>
        <w:pStyle w:val="ListParagraph"/>
        <w:numPr>
          <w:ilvl w:val="1"/>
          <w:numId w:val="1"/>
        </w:numPr>
        <w:jc w:val="both"/>
        <w:rPr>
          <w:rFonts w:ascii="Arial" w:hAnsi="Arial" w:cs="Arial"/>
          <w:sz w:val="22"/>
          <w:szCs w:val="22"/>
        </w:rPr>
      </w:pPr>
      <w:r w:rsidRPr="006D0807">
        <w:rPr>
          <w:rFonts w:ascii="Arial" w:hAnsi="Arial" w:cs="Arial"/>
          <w:sz w:val="22"/>
          <w:szCs w:val="22"/>
        </w:rPr>
        <w:lastRenderedPageBreak/>
        <w:t>Where the Contractor arrives at AWRP in a vehicle that is not permitted as per paragraph 3.4, the Contractor shall by liable for all consequential costs of being turned away from AWRP and the remedial action that will need to be taken.</w:t>
      </w:r>
    </w:p>
    <w:p w14:paraId="31A36052" w14:textId="77777777" w:rsidR="0053405B" w:rsidRPr="006D0807" w:rsidRDefault="0053405B" w:rsidP="0053405B">
      <w:pPr>
        <w:pStyle w:val="ListParagraph"/>
        <w:rPr>
          <w:rFonts w:ascii="Arial" w:hAnsi="Arial" w:cs="Arial"/>
          <w:sz w:val="22"/>
          <w:szCs w:val="22"/>
        </w:rPr>
      </w:pPr>
    </w:p>
    <w:p w14:paraId="63B30846" w14:textId="77777777" w:rsidR="0053405B" w:rsidRPr="006D0807" w:rsidRDefault="0053405B" w:rsidP="0053405B">
      <w:pPr>
        <w:pStyle w:val="ListParagraph"/>
        <w:numPr>
          <w:ilvl w:val="1"/>
          <w:numId w:val="1"/>
        </w:numPr>
        <w:jc w:val="both"/>
        <w:rPr>
          <w:rFonts w:ascii="Arial" w:hAnsi="Arial" w:cs="Arial"/>
          <w:sz w:val="22"/>
          <w:szCs w:val="22"/>
        </w:rPr>
      </w:pPr>
      <w:r w:rsidRPr="006D0807">
        <w:rPr>
          <w:rFonts w:ascii="Arial" w:hAnsi="Arial" w:cs="Arial"/>
          <w:sz w:val="22"/>
          <w:szCs w:val="22"/>
        </w:rPr>
        <w:t xml:space="preserve">The remedial action to be taken as per 3.5 shall be agreed by the Contractor and the Company at the time of the incident. </w:t>
      </w:r>
    </w:p>
    <w:p w14:paraId="66514124" w14:textId="77777777" w:rsidR="0053405B" w:rsidRPr="00637E1E" w:rsidRDefault="0053405B" w:rsidP="0053405B">
      <w:pPr>
        <w:pStyle w:val="ListParagraph"/>
        <w:ind w:left="1440" w:firstLine="0"/>
        <w:jc w:val="both"/>
        <w:rPr>
          <w:rFonts w:ascii="Arial" w:hAnsi="Arial" w:cs="Arial"/>
          <w:sz w:val="22"/>
          <w:szCs w:val="22"/>
        </w:rPr>
      </w:pPr>
    </w:p>
    <w:p w14:paraId="563CE881" w14:textId="77777777" w:rsidR="0053405B" w:rsidRPr="006D0807" w:rsidRDefault="0053405B" w:rsidP="0053405B">
      <w:pPr>
        <w:pStyle w:val="ListParagraph"/>
        <w:numPr>
          <w:ilvl w:val="1"/>
          <w:numId w:val="1"/>
        </w:numPr>
        <w:jc w:val="both"/>
        <w:rPr>
          <w:rFonts w:ascii="Arial" w:hAnsi="Arial" w:cs="Arial"/>
          <w:sz w:val="22"/>
          <w:szCs w:val="22"/>
        </w:rPr>
      </w:pPr>
      <w:r w:rsidRPr="006D0807">
        <w:rPr>
          <w:rFonts w:ascii="Arial" w:hAnsi="Arial" w:cs="Arial"/>
          <w:sz w:val="22"/>
          <w:szCs w:val="22"/>
        </w:rPr>
        <w:t>When collecting the Waste, the Contractor shall ensure that it arrives on site by 2:30pm to allow plenty of time for the vehicle to be loaded within the sites operating hours.</w:t>
      </w:r>
    </w:p>
    <w:p w14:paraId="79B08250" w14:textId="77777777" w:rsidR="0053405B" w:rsidRPr="006D0807" w:rsidRDefault="0053405B" w:rsidP="0053405B">
      <w:pPr>
        <w:pStyle w:val="ListParagraph"/>
        <w:rPr>
          <w:rFonts w:ascii="Arial" w:hAnsi="Arial" w:cs="Arial"/>
          <w:sz w:val="22"/>
          <w:szCs w:val="22"/>
        </w:rPr>
      </w:pPr>
    </w:p>
    <w:p w14:paraId="03843505" w14:textId="77777777" w:rsidR="0053405B" w:rsidRPr="006D0807" w:rsidRDefault="0053405B" w:rsidP="0053405B">
      <w:pPr>
        <w:pStyle w:val="ListParagraph"/>
        <w:numPr>
          <w:ilvl w:val="1"/>
          <w:numId w:val="1"/>
        </w:numPr>
        <w:jc w:val="both"/>
        <w:rPr>
          <w:rFonts w:ascii="Arial" w:hAnsi="Arial" w:cs="Arial"/>
          <w:sz w:val="22"/>
          <w:szCs w:val="22"/>
        </w:rPr>
      </w:pPr>
      <w:r w:rsidRPr="006D0807">
        <w:rPr>
          <w:rFonts w:ascii="Arial" w:hAnsi="Arial" w:cs="Arial"/>
          <w:sz w:val="22"/>
          <w:szCs w:val="22"/>
        </w:rPr>
        <w:t>The Contractor shall never plan to go over the gross vehicle weight and shall ensure it remains compliant with all parts of its O licence at all times.</w:t>
      </w:r>
    </w:p>
    <w:p w14:paraId="01F2C155" w14:textId="77777777" w:rsidR="0053405B" w:rsidRPr="006D0807" w:rsidRDefault="0053405B" w:rsidP="0053405B">
      <w:pPr>
        <w:pStyle w:val="ListParagraph"/>
        <w:rPr>
          <w:rFonts w:ascii="Arial" w:hAnsi="Arial" w:cs="Arial"/>
          <w:sz w:val="22"/>
          <w:szCs w:val="22"/>
        </w:rPr>
      </w:pPr>
    </w:p>
    <w:p w14:paraId="58EF9C6A" w14:textId="77777777" w:rsidR="0053405B" w:rsidRPr="006D0807" w:rsidRDefault="0053405B" w:rsidP="0053405B">
      <w:pPr>
        <w:pStyle w:val="ListParagraph"/>
        <w:numPr>
          <w:ilvl w:val="1"/>
          <w:numId w:val="1"/>
        </w:numPr>
        <w:jc w:val="both"/>
        <w:rPr>
          <w:rFonts w:ascii="Arial" w:hAnsi="Arial" w:cs="Arial"/>
          <w:sz w:val="22"/>
          <w:szCs w:val="22"/>
        </w:rPr>
      </w:pPr>
      <w:r w:rsidRPr="006D0807">
        <w:rPr>
          <w:rFonts w:ascii="Arial" w:hAnsi="Arial" w:cs="Arial"/>
          <w:sz w:val="22"/>
          <w:szCs w:val="22"/>
        </w:rPr>
        <w:t>Waste can only be disposed of as per the normal opening hours for the delivery points. Please see Appendix One for the normal opening hours for all the facilities. The Contractor should note that Appendix One will be continuously updated throughout the Contract Period to reflect changes in collection and delivery points.</w:t>
      </w:r>
    </w:p>
    <w:p w14:paraId="7B5073BC" w14:textId="77777777" w:rsidR="0053405B" w:rsidRPr="006D0807" w:rsidRDefault="0053405B" w:rsidP="0053405B">
      <w:pPr>
        <w:pStyle w:val="ListParagraph"/>
        <w:ind w:left="1440" w:firstLine="0"/>
        <w:jc w:val="both"/>
        <w:rPr>
          <w:rFonts w:ascii="Arial" w:hAnsi="Arial" w:cs="Arial"/>
          <w:sz w:val="22"/>
          <w:szCs w:val="22"/>
        </w:rPr>
      </w:pPr>
    </w:p>
    <w:p w14:paraId="5874F359" w14:textId="77777777" w:rsidR="0053405B" w:rsidRPr="006D0807" w:rsidRDefault="0053405B" w:rsidP="0053405B">
      <w:pPr>
        <w:pStyle w:val="ListParagraph"/>
        <w:numPr>
          <w:ilvl w:val="1"/>
          <w:numId w:val="1"/>
        </w:numPr>
        <w:jc w:val="both"/>
        <w:rPr>
          <w:rFonts w:ascii="Arial" w:hAnsi="Arial" w:cs="Arial"/>
          <w:sz w:val="22"/>
          <w:szCs w:val="22"/>
        </w:rPr>
      </w:pPr>
      <w:r w:rsidRPr="006D0807">
        <w:rPr>
          <w:rFonts w:ascii="Arial" w:hAnsi="Arial" w:cs="Arial"/>
          <w:sz w:val="22"/>
          <w:szCs w:val="22"/>
        </w:rPr>
        <w:t xml:space="preserve">The Contractor shall ensure that all vehicles transporting waste are weighed in and out of the delivery point. Stored tare weights shall only be used in emergencies and when prior notification has been sent to </w:t>
      </w:r>
      <w:proofErr w:type="spellStart"/>
      <w:r w:rsidRPr="006D0807">
        <w:rPr>
          <w:rFonts w:ascii="Arial" w:hAnsi="Arial" w:cs="Arial"/>
          <w:sz w:val="22"/>
          <w:szCs w:val="22"/>
        </w:rPr>
        <w:t>Yorwaste</w:t>
      </w:r>
      <w:proofErr w:type="spellEnd"/>
      <w:r w:rsidRPr="006D0807">
        <w:rPr>
          <w:rFonts w:ascii="Arial" w:hAnsi="Arial" w:cs="Arial"/>
          <w:sz w:val="22"/>
          <w:szCs w:val="22"/>
        </w:rPr>
        <w:t>.</w:t>
      </w:r>
    </w:p>
    <w:p w14:paraId="19A88782" w14:textId="77777777" w:rsidR="0053405B" w:rsidRPr="006D0807" w:rsidRDefault="0053405B" w:rsidP="0053405B">
      <w:pPr>
        <w:pStyle w:val="ListParagraph"/>
        <w:rPr>
          <w:rFonts w:ascii="Arial" w:hAnsi="Arial" w:cs="Arial"/>
          <w:sz w:val="22"/>
          <w:szCs w:val="22"/>
        </w:rPr>
      </w:pPr>
    </w:p>
    <w:p w14:paraId="71634876" w14:textId="77777777" w:rsidR="0053405B" w:rsidRPr="006D0807" w:rsidRDefault="0053405B" w:rsidP="0053405B">
      <w:pPr>
        <w:pStyle w:val="ListParagraph"/>
        <w:numPr>
          <w:ilvl w:val="1"/>
          <w:numId w:val="1"/>
        </w:numPr>
        <w:jc w:val="both"/>
        <w:rPr>
          <w:rFonts w:ascii="Arial" w:hAnsi="Arial" w:cs="Arial"/>
          <w:sz w:val="22"/>
          <w:szCs w:val="22"/>
        </w:rPr>
      </w:pPr>
      <w:r w:rsidRPr="006D0807">
        <w:rPr>
          <w:rFonts w:ascii="Arial" w:hAnsi="Arial" w:cs="Arial"/>
          <w:sz w:val="22"/>
          <w:szCs w:val="22"/>
        </w:rPr>
        <w:t>The Contractor shall ensure its drivers obey the instructions given by the Company’s staff whilst on site and co-operate fully with all requests in relation to the delivery of the Service.</w:t>
      </w:r>
    </w:p>
    <w:p w14:paraId="08DFC697" w14:textId="77777777" w:rsidR="0053405B" w:rsidRPr="00637E1E" w:rsidRDefault="0053405B" w:rsidP="0053405B">
      <w:pPr>
        <w:pStyle w:val="ListParagraph"/>
        <w:ind w:left="1440" w:firstLine="0"/>
        <w:jc w:val="both"/>
        <w:rPr>
          <w:rFonts w:ascii="Arial" w:hAnsi="Arial" w:cs="Arial"/>
          <w:sz w:val="22"/>
          <w:szCs w:val="22"/>
        </w:rPr>
      </w:pPr>
    </w:p>
    <w:p w14:paraId="0BD23BBE" w14:textId="77777777" w:rsidR="0053405B" w:rsidRPr="00637E1E" w:rsidRDefault="0053405B" w:rsidP="0053405B">
      <w:pPr>
        <w:pStyle w:val="ListParagraph"/>
        <w:numPr>
          <w:ilvl w:val="0"/>
          <w:numId w:val="1"/>
        </w:numPr>
        <w:jc w:val="both"/>
        <w:rPr>
          <w:rFonts w:ascii="Arial" w:hAnsi="Arial" w:cs="Arial"/>
          <w:b/>
          <w:sz w:val="22"/>
          <w:szCs w:val="22"/>
        </w:rPr>
      </w:pPr>
      <w:r w:rsidRPr="00637E1E">
        <w:rPr>
          <w:rFonts w:ascii="Arial" w:hAnsi="Arial" w:cs="Arial"/>
          <w:b/>
          <w:sz w:val="22"/>
          <w:szCs w:val="22"/>
        </w:rPr>
        <w:t>Contingency Plan</w:t>
      </w:r>
    </w:p>
    <w:p w14:paraId="1B4A93EF" w14:textId="77777777" w:rsidR="0053405B" w:rsidRPr="00637E1E" w:rsidRDefault="0053405B" w:rsidP="0053405B">
      <w:pPr>
        <w:pStyle w:val="ListParagraph"/>
        <w:ind w:firstLine="0"/>
        <w:jc w:val="both"/>
        <w:rPr>
          <w:rFonts w:ascii="Arial" w:hAnsi="Arial" w:cs="Arial"/>
          <w:b/>
          <w:sz w:val="22"/>
          <w:szCs w:val="22"/>
        </w:rPr>
      </w:pPr>
    </w:p>
    <w:p w14:paraId="1719FC3D" w14:textId="77777777" w:rsidR="0053405B" w:rsidRPr="00637E1E"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t>The Contractor shall ensure that it submits a contingency plan for approval to the Company no later than four weeks after the Commencement Date</w:t>
      </w:r>
      <w:r>
        <w:rPr>
          <w:rFonts w:ascii="Arial" w:hAnsi="Arial" w:cs="Arial"/>
          <w:sz w:val="22"/>
          <w:szCs w:val="22"/>
        </w:rPr>
        <w:t xml:space="preserve"> of the Call Off Contract</w:t>
      </w:r>
      <w:r w:rsidRPr="00637E1E">
        <w:rPr>
          <w:rFonts w:ascii="Arial" w:hAnsi="Arial" w:cs="Arial"/>
          <w:sz w:val="22"/>
          <w:szCs w:val="22"/>
        </w:rPr>
        <w:t>.</w:t>
      </w:r>
    </w:p>
    <w:p w14:paraId="5AEE5D6A" w14:textId="77777777" w:rsidR="0053405B" w:rsidRPr="00637E1E" w:rsidRDefault="0053405B" w:rsidP="0053405B">
      <w:pPr>
        <w:pStyle w:val="ListParagraph"/>
        <w:ind w:left="1440" w:firstLine="0"/>
        <w:jc w:val="both"/>
        <w:rPr>
          <w:rFonts w:ascii="Arial" w:hAnsi="Arial" w:cs="Arial"/>
          <w:sz w:val="22"/>
          <w:szCs w:val="22"/>
        </w:rPr>
      </w:pPr>
    </w:p>
    <w:p w14:paraId="0582A0A0" w14:textId="77777777" w:rsidR="0053405B" w:rsidRPr="00637E1E"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t>It is the Contractor’s responsibility to provide the Services as required under the Call Off Contract. Where the Contractor is unable to provide the Services and the Company has to make alternative arrangements, the Contractor shall meet all the Company’s costs in doing so.</w:t>
      </w:r>
    </w:p>
    <w:p w14:paraId="7F58C9ED" w14:textId="77777777" w:rsidR="0053405B" w:rsidRPr="00637E1E" w:rsidRDefault="0053405B" w:rsidP="0053405B">
      <w:pPr>
        <w:pStyle w:val="ListParagraph"/>
        <w:ind w:firstLine="0"/>
        <w:jc w:val="both"/>
        <w:rPr>
          <w:rFonts w:ascii="Arial" w:hAnsi="Arial" w:cs="Arial"/>
          <w:b/>
          <w:sz w:val="22"/>
          <w:szCs w:val="22"/>
        </w:rPr>
      </w:pPr>
    </w:p>
    <w:p w14:paraId="0C4784F5" w14:textId="77777777" w:rsidR="0053405B" w:rsidRPr="00637E1E" w:rsidRDefault="0053405B" w:rsidP="0053405B">
      <w:pPr>
        <w:pStyle w:val="ListParagraph"/>
        <w:numPr>
          <w:ilvl w:val="0"/>
          <w:numId w:val="1"/>
        </w:numPr>
        <w:jc w:val="both"/>
        <w:rPr>
          <w:rFonts w:ascii="Arial" w:hAnsi="Arial" w:cs="Arial"/>
          <w:b/>
          <w:sz w:val="22"/>
          <w:szCs w:val="22"/>
        </w:rPr>
      </w:pPr>
      <w:r w:rsidRPr="00637E1E">
        <w:rPr>
          <w:rFonts w:ascii="Arial" w:hAnsi="Arial" w:cs="Arial"/>
          <w:b/>
          <w:sz w:val="22"/>
          <w:szCs w:val="22"/>
        </w:rPr>
        <w:t>Health &amp; Safety</w:t>
      </w:r>
    </w:p>
    <w:p w14:paraId="2EC46839" w14:textId="77777777" w:rsidR="0053405B" w:rsidRPr="00637E1E" w:rsidRDefault="0053405B" w:rsidP="0053405B">
      <w:pPr>
        <w:pStyle w:val="ListParagraph"/>
        <w:ind w:firstLine="0"/>
        <w:jc w:val="both"/>
        <w:rPr>
          <w:rFonts w:ascii="Arial" w:hAnsi="Arial" w:cs="Arial"/>
          <w:b/>
          <w:sz w:val="22"/>
          <w:szCs w:val="22"/>
        </w:rPr>
      </w:pPr>
    </w:p>
    <w:p w14:paraId="3FDF158B" w14:textId="77777777" w:rsidR="0053405B"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t>The Contractor shall take all measures as are necessary to ensure safety, health and welfare of all persons at work.</w:t>
      </w:r>
    </w:p>
    <w:p w14:paraId="6C4A503B" w14:textId="77777777" w:rsidR="0053405B" w:rsidRPr="00637E1E" w:rsidRDefault="0053405B" w:rsidP="0053405B">
      <w:pPr>
        <w:pStyle w:val="ListParagraph"/>
        <w:ind w:left="1440" w:firstLine="0"/>
        <w:jc w:val="both"/>
        <w:rPr>
          <w:rFonts w:ascii="Arial" w:hAnsi="Arial" w:cs="Arial"/>
          <w:sz w:val="22"/>
          <w:szCs w:val="22"/>
        </w:rPr>
      </w:pPr>
    </w:p>
    <w:p w14:paraId="79F4E65C" w14:textId="77777777" w:rsidR="0053405B"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t xml:space="preserve">The Contractor shall notify </w:t>
      </w:r>
      <w:proofErr w:type="spellStart"/>
      <w:r w:rsidRPr="00637E1E">
        <w:rPr>
          <w:rFonts w:ascii="Arial" w:hAnsi="Arial" w:cs="Arial"/>
          <w:sz w:val="22"/>
          <w:szCs w:val="22"/>
        </w:rPr>
        <w:t>Yorwaste</w:t>
      </w:r>
      <w:proofErr w:type="spellEnd"/>
      <w:r w:rsidRPr="00637E1E">
        <w:rPr>
          <w:rFonts w:ascii="Arial" w:hAnsi="Arial" w:cs="Arial"/>
          <w:sz w:val="22"/>
          <w:szCs w:val="22"/>
        </w:rPr>
        <w:t xml:space="preserve"> of any changes of contact details for the nominated people within their organisation responsible for Health &amp; Safety matters.</w:t>
      </w:r>
    </w:p>
    <w:p w14:paraId="43364C3C" w14:textId="77777777" w:rsidR="0053405B" w:rsidRDefault="0053405B" w:rsidP="0053405B">
      <w:pPr>
        <w:jc w:val="both"/>
        <w:rPr>
          <w:rFonts w:ascii="Arial" w:hAnsi="Arial" w:cs="Arial"/>
        </w:rPr>
      </w:pPr>
    </w:p>
    <w:p w14:paraId="4EC64C5A" w14:textId="77777777" w:rsidR="0053405B" w:rsidRDefault="0053405B" w:rsidP="0053405B">
      <w:pPr>
        <w:jc w:val="both"/>
        <w:rPr>
          <w:rFonts w:ascii="Arial" w:hAnsi="Arial" w:cs="Arial"/>
        </w:rPr>
      </w:pPr>
    </w:p>
    <w:p w14:paraId="286BFCCD" w14:textId="77777777" w:rsidR="0053405B" w:rsidRDefault="0053405B" w:rsidP="0053405B">
      <w:pPr>
        <w:jc w:val="both"/>
        <w:rPr>
          <w:rFonts w:ascii="Arial" w:hAnsi="Arial" w:cs="Arial"/>
        </w:rPr>
      </w:pPr>
    </w:p>
    <w:p w14:paraId="51CE1D30" w14:textId="77777777" w:rsidR="0053405B" w:rsidRPr="00926B7F" w:rsidRDefault="0053405B" w:rsidP="0053405B">
      <w:pPr>
        <w:jc w:val="both"/>
        <w:rPr>
          <w:rFonts w:ascii="Arial" w:hAnsi="Arial" w:cs="Arial"/>
        </w:rPr>
      </w:pPr>
    </w:p>
    <w:p w14:paraId="15177A88" w14:textId="77777777" w:rsidR="0053405B"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lastRenderedPageBreak/>
        <w:t>The Contractor shall at all times ensure that its own health and safety policy and procedures are adhered to and take into account any existing and future guidance from the Health &amp; Safety Executive (HSE) (or other similar body) relating to the safe transport of waste.</w:t>
      </w:r>
    </w:p>
    <w:p w14:paraId="40C479FD" w14:textId="77777777" w:rsidR="0053405B" w:rsidRPr="00926B7F" w:rsidRDefault="0053405B" w:rsidP="0053405B">
      <w:pPr>
        <w:pStyle w:val="ListParagraph"/>
        <w:rPr>
          <w:rFonts w:ascii="Arial" w:hAnsi="Arial" w:cs="Arial"/>
          <w:sz w:val="22"/>
          <w:szCs w:val="22"/>
        </w:rPr>
      </w:pPr>
    </w:p>
    <w:p w14:paraId="4C88BCCB" w14:textId="77777777" w:rsidR="0053405B"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t xml:space="preserve">The Contractor shall review its health and safety policy, safety procedures and risk assessments as requested by </w:t>
      </w:r>
      <w:proofErr w:type="spellStart"/>
      <w:r w:rsidRPr="00637E1E">
        <w:rPr>
          <w:rFonts w:ascii="Arial" w:hAnsi="Arial" w:cs="Arial"/>
          <w:sz w:val="22"/>
          <w:szCs w:val="22"/>
        </w:rPr>
        <w:t>Yorwaste</w:t>
      </w:r>
      <w:proofErr w:type="spellEnd"/>
      <w:r w:rsidRPr="00637E1E">
        <w:rPr>
          <w:rFonts w:ascii="Arial" w:hAnsi="Arial" w:cs="Arial"/>
          <w:sz w:val="22"/>
          <w:szCs w:val="22"/>
        </w:rPr>
        <w:t xml:space="preserve"> and on a periodic basis no greater than every twelve months. </w:t>
      </w:r>
      <w:proofErr w:type="spellStart"/>
      <w:r w:rsidRPr="00637E1E">
        <w:rPr>
          <w:rFonts w:ascii="Arial" w:hAnsi="Arial" w:cs="Arial"/>
          <w:sz w:val="22"/>
          <w:szCs w:val="22"/>
        </w:rPr>
        <w:t>Yorwaste</w:t>
      </w:r>
      <w:proofErr w:type="spellEnd"/>
      <w:r w:rsidRPr="00637E1E">
        <w:rPr>
          <w:rFonts w:ascii="Arial" w:hAnsi="Arial" w:cs="Arial"/>
          <w:sz w:val="22"/>
          <w:szCs w:val="22"/>
        </w:rPr>
        <w:t xml:space="preserve"> reserves the right to comment upon such health and safety policy, safety procedures and risk assessments as it feels appropriate and request a review at any stage.</w:t>
      </w:r>
    </w:p>
    <w:p w14:paraId="34BFA870" w14:textId="77777777" w:rsidR="0053405B" w:rsidRPr="00926B7F" w:rsidRDefault="0053405B" w:rsidP="0053405B">
      <w:pPr>
        <w:pStyle w:val="ListParagraph"/>
        <w:rPr>
          <w:rFonts w:ascii="Arial" w:hAnsi="Arial" w:cs="Arial"/>
          <w:sz w:val="22"/>
          <w:szCs w:val="22"/>
        </w:rPr>
      </w:pPr>
    </w:p>
    <w:p w14:paraId="37ADB1B8" w14:textId="77777777" w:rsidR="0053405B"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t xml:space="preserve">The Contractor shall ensure risk assessments and controls are applied to any present or future activities relating to the Service. The Contractor shall confirm when its risk assessments have been reviewed and shall supply </w:t>
      </w:r>
      <w:proofErr w:type="spellStart"/>
      <w:r w:rsidRPr="00637E1E">
        <w:rPr>
          <w:rFonts w:ascii="Arial" w:hAnsi="Arial" w:cs="Arial"/>
          <w:sz w:val="22"/>
          <w:szCs w:val="22"/>
        </w:rPr>
        <w:t>Yorwaste</w:t>
      </w:r>
      <w:proofErr w:type="spellEnd"/>
      <w:r w:rsidRPr="00637E1E">
        <w:rPr>
          <w:rFonts w:ascii="Arial" w:hAnsi="Arial" w:cs="Arial"/>
          <w:sz w:val="22"/>
          <w:szCs w:val="22"/>
        </w:rPr>
        <w:t xml:space="preserve"> with copies of any new or modified risk assessments and safety procedures which relate to the Services.</w:t>
      </w:r>
    </w:p>
    <w:p w14:paraId="1D87C24D" w14:textId="77777777" w:rsidR="0053405B" w:rsidRPr="00926B7F" w:rsidRDefault="0053405B" w:rsidP="0053405B">
      <w:pPr>
        <w:pStyle w:val="ListParagraph"/>
        <w:rPr>
          <w:rFonts w:ascii="Arial" w:hAnsi="Arial" w:cs="Arial"/>
          <w:sz w:val="22"/>
          <w:szCs w:val="22"/>
        </w:rPr>
      </w:pPr>
    </w:p>
    <w:p w14:paraId="7C35D15F" w14:textId="77777777" w:rsidR="0053405B"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t>The Contractor shall ensure that all trailers are fitted with auto / ground level sheeting systems.</w:t>
      </w:r>
    </w:p>
    <w:p w14:paraId="37AE1BB4" w14:textId="77777777" w:rsidR="0053405B" w:rsidRPr="00926B7F" w:rsidRDefault="0053405B" w:rsidP="0053405B">
      <w:pPr>
        <w:pStyle w:val="ListParagraph"/>
        <w:rPr>
          <w:rFonts w:ascii="Arial" w:hAnsi="Arial" w:cs="Arial"/>
          <w:sz w:val="22"/>
          <w:szCs w:val="22"/>
        </w:rPr>
      </w:pPr>
    </w:p>
    <w:p w14:paraId="2D699B56" w14:textId="77777777" w:rsidR="0053405B"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t>The Contractor shall not be permitted to access their loads. The Contractor shall ensure that its staff adhere to the procedures in place for dressing loads, dealing with snagged or damaged sheets, dealing with jammed loads etc. and any other instance whereby a driver may want to access their load.</w:t>
      </w:r>
    </w:p>
    <w:p w14:paraId="47790F01" w14:textId="77777777" w:rsidR="0053405B" w:rsidRPr="00926B7F" w:rsidRDefault="0053405B" w:rsidP="0053405B">
      <w:pPr>
        <w:pStyle w:val="ListParagraph"/>
        <w:rPr>
          <w:rFonts w:ascii="Arial" w:hAnsi="Arial" w:cs="Arial"/>
          <w:sz w:val="22"/>
          <w:szCs w:val="22"/>
        </w:rPr>
      </w:pPr>
    </w:p>
    <w:p w14:paraId="0A416E43" w14:textId="77777777" w:rsidR="0053405B"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t>The Contractor shall at all times ensure provision of safety information, instruction, training and supervision. The Contractor shall ensure that all members of staff have the appropriate level of health and safety training to enable them to safely provide the Services.</w:t>
      </w:r>
    </w:p>
    <w:p w14:paraId="0B2FAC1A" w14:textId="77777777" w:rsidR="0053405B" w:rsidRPr="00926B7F" w:rsidRDefault="0053405B" w:rsidP="0053405B">
      <w:pPr>
        <w:pStyle w:val="ListParagraph"/>
        <w:rPr>
          <w:rFonts w:ascii="Arial" w:hAnsi="Arial" w:cs="Arial"/>
          <w:sz w:val="22"/>
          <w:szCs w:val="22"/>
        </w:rPr>
      </w:pPr>
    </w:p>
    <w:p w14:paraId="3EEA17EB" w14:textId="77777777" w:rsidR="0053405B"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t xml:space="preserve">The </w:t>
      </w:r>
      <w:r>
        <w:rPr>
          <w:rFonts w:ascii="Arial" w:hAnsi="Arial" w:cs="Arial"/>
          <w:sz w:val="22"/>
          <w:szCs w:val="22"/>
        </w:rPr>
        <w:t>Contracto</w:t>
      </w:r>
      <w:r w:rsidRPr="00637E1E">
        <w:rPr>
          <w:rFonts w:ascii="Arial" w:hAnsi="Arial" w:cs="Arial"/>
          <w:sz w:val="22"/>
          <w:szCs w:val="22"/>
        </w:rPr>
        <w:t xml:space="preserve">r shall maintain a first aid box equipped with appropriate first aid </w:t>
      </w:r>
      <w:r w:rsidRPr="00926B7F">
        <w:rPr>
          <w:rFonts w:ascii="Arial" w:hAnsi="Arial" w:cs="Arial"/>
          <w:sz w:val="22"/>
          <w:szCs w:val="22"/>
        </w:rPr>
        <w:t>equipment that shall be kept in the vehicles at all times.</w:t>
      </w:r>
    </w:p>
    <w:p w14:paraId="35A46E3C" w14:textId="77777777" w:rsidR="0053405B" w:rsidRPr="00597F16" w:rsidRDefault="0053405B" w:rsidP="0053405B">
      <w:pPr>
        <w:pStyle w:val="ListParagraph"/>
        <w:rPr>
          <w:rFonts w:ascii="Arial" w:hAnsi="Arial" w:cs="Arial"/>
          <w:sz w:val="22"/>
          <w:szCs w:val="22"/>
        </w:rPr>
      </w:pPr>
    </w:p>
    <w:p w14:paraId="0025C1CD" w14:textId="77777777" w:rsidR="0053405B"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t>The Contractor shall demonstrate an active monitoring of safety in the provision of the Service; this shall include the completion of daily check lists of the vehicles.</w:t>
      </w:r>
    </w:p>
    <w:p w14:paraId="43888C52" w14:textId="77777777" w:rsidR="0053405B" w:rsidRPr="00597F16" w:rsidRDefault="0053405B" w:rsidP="0053405B">
      <w:pPr>
        <w:pStyle w:val="ListParagraph"/>
        <w:rPr>
          <w:rFonts w:ascii="Arial" w:hAnsi="Arial" w:cs="Arial"/>
          <w:sz w:val="22"/>
          <w:szCs w:val="22"/>
        </w:rPr>
      </w:pPr>
    </w:p>
    <w:p w14:paraId="687BFE21" w14:textId="77777777" w:rsidR="0053405B" w:rsidRPr="00637E1E"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t>The Contractor shall investigate and rectify all health and safety issues identified by the Company. The Contractor shall agree with the Company and action plan to address these including a timescale.</w:t>
      </w:r>
    </w:p>
    <w:p w14:paraId="77D12621" w14:textId="77777777" w:rsidR="0053405B" w:rsidRPr="00637E1E" w:rsidRDefault="0053405B" w:rsidP="0053405B">
      <w:pPr>
        <w:pStyle w:val="ListParagraph"/>
        <w:ind w:left="1440" w:firstLine="0"/>
        <w:jc w:val="both"/>
        <w:rPr>
          <w:rFonts w:ascii="Arial" w:hAnsi="Arial" w:cs="Arial"/>
          <w:sz w:val="22"/>
          <w:szCs w:val="22"/>
        </w:rPr>
      </w:pPr>
    </w:p>
    <w:p w14:paraId="2DB0C0A4" w14:textId="77777777" w:rsidR="0053405B" w:rsidRPr="00637E1E" w:rsidRDefault="0053405B" w:rsidP="0053405B">
      <w:pPr>
        <w:pStyle w:val="ListParagraph"/>
        <w:numPr>
          <w:ilvl w:val="0"/>
          <w:numId w:val="1"/>
        </w:numPr>
        <w:jc w:val="both"/>
        <w:rPr>
          <w:rFonts w:ascii="Arial" w:hAnsi="Arial" w:cs="Arial"/>
          <w:b/>
          <w:sz w:val="22"/>
          <w:szCs w:val="22"/>
        </w:rPr>
      </w:pPr>
      <w:r w:rsidRPr="00637E1E">
        <w:rPr>
          <w:rFonts w:ascii="Arial" w:hAnsi="Arial" w:cs="Arial"/>
          <w:b/>
          <w:sz w:val="22"/>
          <w:szCs w:val="22"/>
        </w:rPr>
        <w:t>Provision of Information</w:t>
      </w:r>
    </w:p>
    <w:p w14:paraId="70DB28C5" w14:textId="77777777" w:rsidR="0053405B" w:rsidRPr="00637E1E" w:rsidRDefault="0053405B" w:rsidP="0053405B">
      <w:pPr>
        <w:pStyle w:val="ListParagraph"/>
        <w:ind w:firstLine="0"/>
        <w:jc w:val="both"/>
        <w:rPr>
          <w:rFonts w:ascii="Arial" w:hAnsi="Arial" w:cs="Arial"/>
          <w:b/>
          <w:sz w:val="22"/>
          <w:szCs w:val="22"/>
        </w:rPr>
      </w:pPr>
    </w:p>
    <w:p w14:paraId="22B7FB90" w14:textId="77777777" w:rsidR="0053405B"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t>The Contractor shall record details of any incidents and report immediately to the Company Representative and anyone they may nominate including:</w:t>
      </w:r>
    </w:p>
    <w:p w14:paraId="073A8FAB" w14:textId="77777777" w:rsidR="0053405B" w:rsidRPr="00637E1E" w:rsidRDefault="0053405B" w:rsidP="0053405B">
      <w:pPr>
        <w:pStyle w:val="ListParagraph"/>
        <w:ind w:left="1440" w:firstLine="0"/>
        <w:jc w:val="both"/>
        <w:rPr>
          <w:rFonts w:ascii="Arial" w:hAnsi="Arial" w:cs="Arial"/>
          <w:sz w:val="22"/>
          <w:szCs w:val="22"/>
        </w:rPr>
      </w:pPr>
    </w:p>
    <w:p w14:paraId="6CA64A1E" w14:textId="77777777" w:rsidR="0053405B" w:rsidRDefault="0053405B" w:rsidP="0053405B">
      <w:pPr>
        <w:pStyle w:val="ListParagraph"/>
        <w:numPr>
          <w:ilvl w:val="2"/>
          <w:numId w:val="1"/>
        </w:numPr>
        <w:ind w:left="2268"/>
        <w:jc w:val="both"/>
        <w:rPr>
          <w:rFonts w:ascii="Arial" w:hAnsi="Arial" w:cs="Arial"/>
          <w:sz w:val="22"/>
          <w:szCs w:val="22"/>
        </w:rPr>
      </w:pPr>
      <w:r w:rsidRPr="00637E1E">
        <w:rPr>
          <w:rFonts w:ascii="Arial" w:hAnsi="Arial" w:cs="Arial"/>
          <w:sz w:val="22"/>
          <w:szCs w:val="22"/>
        </w:rPr>
        <w:t>Health &amp; Safety incidents/near miss</w:t>
      </w:r>
    </w:p>
    <w:p w14:paraId="4276472D" w14:textId="77777777" w:rsidR="0053405B" w:rsidRPr="00637E1E" w:rsidRDefault="0053405B" w:rsidP="0053405B">
      <w:pPr>
        <w:pStyle w:val="ListParagraph"/>
        <w:ind w:left="2268" w:firstLine="0"/>
        <w:jc w:val="both"/>
        <w:rPr>
          <w:rFonts w:ascii="Arial" w:hAnsi="Arial" w:cs="Arial"/>
          <w:sz w:val="22"/>
          <w:szCs w:val="22"/>
        </w:rPr>
      </w:pPr>
    </w:p>
    <w:p w14:paraId="4E9560F0" w14:textId="77777777" w:rsidR="0053405B" w:rsidRDefault="0053405B" w:rsidP="0053405B">
      <w:pPr>
        <w:pStyle w:val="ListParagraph"/>
        <w:numPr>
          <w:ilvl w:val="2"/>
          <w:numId w:val="1"/>
        </w:numPr>
        <w:ind w:left="2268"/>
        <w:jc w:val="both"/>
        <w:rPr>
          <w:rFonts w:ascii="Arial" w:hAnsi="Arial" w:cs="Arial"/>
          <w:sz w:val="22"/>
          <w:szCs w:val="22"/>
        </w:rPr>
      </w:pPr>
      <w:r w:rsidRPr="00637E1E">
        <w:rPr>
          <w:rFonts w:ascii="Arial" w:hAnsi="Arial" w:cs="Arial"/>
          <w:sz w:val="22"/>
          <w:szCs w:val="22"/>
        </w:rPr>
        <w:t>Vehicle accidents</w:t>
      </w:r>
    </w:p>
    <w:p w14:paraId="53B4BDFD" w14:textId="77777777" w:rsidR="0053405B" w:rsidRDefault="0053405B" w:rsidP="0053405B">
      <w:pPr>
        <w:ind w:left="2268"/>
        <w:jc w:val="both"/>
        <w:rPr>
          <w:rFonts w:ascii="Arial" w:hAnsi="Arial" w:cs="Arial"/>
        </w:rPr>
      </w:pPr>
    </w:p>
    <w:p w14:paraId="6B4296AC" w14:textId="77777777" w:rsidR="0053405B" w:rsidRDefault="0053405B" w:rsidP="0053405B">
      <w:pPr>
        <w:ind w:left="2268"/>
        <w:jc w:val="both"/>
        <w:rPr>
          <w:rFonts w:ascii="Arial" w:hAnsi="Arial" w:cs="Arial"/>
        </w:rPr>
      </w:pPr>
    </w:p>
    <w:p w14:paraId="749B3553" w14:textId="77777777" w:rsidR="0053405B" w:rsidRDefault="0053405B" w:rsidP="0053405B">
      <w:pPr>
        <w:ind w:left="2268"/>
        <w:jc w:val="both"/>
        <w:rPr>
          <w:rFonts w:ascii="Arial" w:hAnsi="Arial" w:cs="Arial"/>
        </w:rPr>
      </w:pPr>
    </w:p>
    <w:p w14:paraId="0159A046" w14:textId="77777777" w:rsidR="0053405B" w:rsidRPr="00597F16" w:rsidRDefault="0053405B" w:rsidP="0053405B">
      <w:pPr>
        <w:ind w:left="2268"/>
        <w:jc w:val="both"/>
        <w:rPr>
          <w:rFonts w:ascii="Arial" w:hAnsi="Arial" w:cs="Arial"/>
        </w:rPr>
      </w:pPr>
    </w:p>
    <w:p w14:paraId="57E974D7" w14:textId="77777777" w:rsidR="0053405B" w:rsidRDefault="0053405B" w:rsidP="0053405B">
      <w:pPr>
        <w:pStyle w:val="ListParagraph"/>
        <w:numPr>
          <w:ilvl w:val="2"/>
          <w:numId w:val="1"/>
        </w:numPr>
        <w:ind w:left="2268"/>
        <w:jc w:val="both"/>
        <w:rPr>
          <w:rFonts w:ascii="Arial" w:hAnsi="Arial" w:cs="Arial"/>
          <w:sz w:val="22"/>
          <w:szCs w:val="22"/>
        </w:rPr>
      </w:pPr>
      <w:r w:rsidRPr="00637E1E">
        <w:rPr>
          <w:rFonts w:ascii="Arial" w:hAnsi="Arial" w:cs="Arial"/>
          <w:sz w:val="22"/>
          <w:szCs w:val="22"/>
        </w:rPr>
        <w:lastRenderedPageBreak/>
        <w:t>Vehicle breakdowns</w:t>
      </w:r>
    </w:p>
    <w:p w14:paraId="5FCCD180" w14:textId="77777777" w:rsidR="0053405B" w:rsidRDefault="0053405B" w:rsidP="0053405B">
      <w:pPr>
        <w:pStyle w:val="ListParagraph"/>
        <w:ind w:left="2268" w:firstLine="0"/>
        <w:jc w:val="both"/>
        <w:rPr>
          <w:rFonts w:ascii="Arial" w:hAnsi="Arial" w:cs="Arial"/>
          <w:sz w:val="22"/>
          <w:szCs w:val="22"/>
        </w:rPr>
      </w:pPr>
    </w:p>
    <w:p w14:paraId="1A595BD1" w14:textId="77777777" w:rsidR="0053405B" w:rsidRDefault="0053405B" w:rsidP="0053405B">
      <w:pPr>
        <w:pStyle w:val="ListParagraph"/>
        <w:numPr>
          <w:ilvl w:val="2"/>
          <w:numId w:val="1"/>
        </w:numPr>
        <w:ind w:left="2268"/>
        <w:jc w:val="both"/>
        <w:rPr>
          <w:rFonts w:ascii="Arial" w:hAnsi="Arial" w:cs="Arial"/>
          <w:sz w:val="22"/>
          <w:szCs w:val="22"/>
        </w:rPr>
      </w:pPr>
      <w:r w:rsidRPr="00637E1E">
        <w:rPr>
          <w:rFonts w:ascii="Arial" w:hAnsi="Arial" w:cs="Arial"/>
          <w:sz w:val="22"/>
          <w:szCs w:val="22"/>
        </w:rPr>
        <w:t>Missed/delayed collections</w:t>
      </w:r>
    </w:p>
    <w:p w14:paraId="7124313F" w14:textId="77777777" w:rsidR="0053405B" w:rsidRPr="00597F16" w:rsidRDefault="0053405B" w:rsidP="0053405B">
      <w:pPr>
        <w:jc w:val="both"/>
        <w:rPr>
          <w:rFonts w:ascii="Arial" w:hAnsi="Arial" w:cs="Arial"/>
        </w:rPr>
      </w:pPr>
    </w:p>
    <w:p w14:paraId="1482334D" w14:textId="77777777" w:rsidR="0053405B"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t>The Contractor shall record weighbridge ticket numbers and weights at each delivery point for the purpose of establishing actual net weights of waste delivered to the delivery point. This information must be supplied via email to the Company Representative and/or anyone they may nominate within 48 hours of the delivery taking place.</w:t>
      </w:r>
    </w:p>
    <w:p w14:paraId="61F6DCB9" w14:textId="77777777" w:rsidR="0053405B" w:rsidRDefault="0053405B" w:rsidP="0053405B">
      <w:pPr>
        <w:pStyle w:val="ListParagraph"/>
        <w:ind w:left="1440" w:firstLine="0"/>
        <w:jc w:val="both"/>
        <w:rPr>
          <w:rFonts w:ascii="Arial" w:hAnsi="Arial" w:cs="Arial"/>
          <w:sz w:val="22"/>
          <w:szCs w:val="22"/>
        </w:rPr>
      </w:pPr>
    </w:p>
    <w:p w14:paraId="567E978C" w14:textId="77777777" w:rsidR="0053405B"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t>The Contractor shall submit a weekly invoice to the Company.</w:t>
      </w:r>
    </w:p>
    <w:p w14:paraId="5188B6BE" w14:textId="77777777" w:rsidR="0053405B" w:rsidRPr="006D0807" w:rsidRDefault="0053405B" w:rsidP="0053405B">
      <w:pPr>
        <w:pStyle w:val="ListParagraph"/>
        <w:rPr>
          <w:rFonts w:ascii="Arial" w:hAnsi="Arial" w:cs="Arial"/>
          <w:sz w:val="22"/>
          <w:szCs w:val="22"/>
        </w:rPr>
      </w:pPr>
    </w:p>
    <w:p w14:paraId="04D76B8C" w14:textId="77777777" w:rsidR="0053405B" w:rsidRPr="006D0807" w:rsidRDefault="0053405B" w:rsidP="0053405B">
      <w:pPr>
        <w:pStyle w:val="ListParagraph"/>
        <w:numPr>
          <w:ilvl w:val="1"/>
          <w:numId w:val="1"/>
        </w:numPr>
        <w:jc w:val="both"/>
        <w:rPr>
          <w:rFonts w:ascii="Arial" w:hAnsi="Arial" w:cs="Arial"/>
          <w:sz w:val="22"/>
          <w:szCs w:val="22"/>
        </w:rPr>
      </w:pPr>
      <w:r w:rsidRPr="006D0807">
        <w:rPr>
          <w:rFonts w:ascii="Arial" w:hAnsi="Arial" w:cs="Arial"/>
          <w:sz w:val="22"/>
          <w:szCs w:val="22"/>
        </w:rPr>
        <w:t>The Contractor shall submit detailed OCRS reports to the Company every six months. The reports shall include the positive events over the past three years.</w:t>
      </w:r>
    </w:p>
    <w:p w14:paraId="57458923" w14:textId="77777777" w:rsidR="0053405B" w:rsidRPr="00637E1E" w:rsidRDefault="0053405B" w:rsidP="0053405B">
      <w:pPr>
        <w:pStyle w:val="ListParagraph"/>
        <w:ind w:left="1440" w:firstLine="0"/>
        <w:jc w:val="both"/>
        <w:rPr>
          <w:rFonts w:ascii="Arial" w:hAnsi="Arial" w:cs="Arial"/>
          <w:sz w:val="22"/>
          <w:szCs w:val="22"/>
        </w:rPr>
      </w:pPr>
    </w:p>
    <w:p w14:paraId="21AAF529" w14:textId="77777777" w:rsidR="0053405B" w:rsidRDefault="0053405B" w:rsidP="0053405B">
      <w:pPr>
        <w:pStyle w:val="ListParagraph"/>
        <w:numPr>
          <w:ilvl w:val="0"/>
          <w:numId w:val="1"/>
        </w:numPr>
        <w:jc w:val="both"/>
        <w:rPr>
          <w:rFonts w:ascii="Arial" w:hAnsi="Arial" w:cs="Arial"/>
          <w:b/>
          <w:sz w:val="22"/>
          <w:szCs w:val="22"/>
        </w:rPr>
      </w:pPr>
      <w:r w:rsidRPr="00637E1E">
        <w:rPr>
          <w:rFonts w:ascii="Arial" w:hAnsi="Arial" w:cs="Arial"/>
          <w:b/>
          <w:sz w:val="22"/>
          <w:szCs w:val="22"/>
        </w:rPr>
        <w:t>Performance &amp; Monitoring</w:t>
      </w:r>
    </w:p>
    <w:p w14:paraId="368BD985" w14:textId="77777777" w:rsidR="0053405B" w:rsidRDefault="0053405B" w:rsidP="0053405B">
      <w:pPr>
        <w:pStyle w:val="ListParagraph"/>
        <w:ind w:firstLine="0"/>
        <w:jc w:val="both"/>
        <w:rPr>
          <w:rFonts w:ascii="Arial" w:hAnsi="Arial" w:cs="Arial"/>
          <w:b/>
          <w:sz w:val="22"/>
          <w:szCs w:val="22"/>
        </w:rPr>
      </w:pPr>
    </w:p>
    <w:p w14:paraId="2E24A2ED" w14:textId="77777777" w:rsidR="0053405B" w:rsidRDefault="0053405B" w:rsidP="0053405B">
      <w:pPr>
        <w:pStyle w:val="ListParagraph"/>
        <w:numPr>
          <w:ilvl w:val="1"/>
          <w:numId w:val="1"/>
        </w:numPr>
        <w:jc w:val="both"/>
        <w:rPr>
          <w:rFonts w:ascii="Arial" w:hAnsi="Arial" w:cs="Arial"/>
          <w:sz w:val="22"/>
          <w:szCs w:val="22"/>
        </w:rPr>
      </w:pPr>
      <w:r>
        <w:rPr>
          <w:rFonts w:ascii="Arial" w:hAnsi="Arial" w:cs="Arial"/>
          <w:sz w:val="22"/>
          <w:szCs w:val="22"/>
        </w:rPr>
        <w:t>The Contractor is required to undertake the following performance monitoring regime:</w:t>
      </w:r>
    </w:p>
    <w:p w14:paraId="4E8B2F3F" w14:textId="77777777" w:rsidR="0053405B" w:rsidRDefault="0053405B" w:rsidP="0053405B">
      <w:pPr>
        <w:pStyle w:val="ListParagraph"/>
        <w:ind w:left="1440" w:firstLine="0"/>
        <w:jc w:val="both"/>
        <w:rPr>
          <w:rFonts w:ascii="Arial" w:hAnsi="Arial" w:cs="Arial"/>
          <w:sz w:val="22"/>
          <w:szCs w:val="22"/>
        </w:rPr>
      </w:pPr>
    </w:p>
    <w:p w14:paraId="4CA052DC" w14:textId="77777777" w:rsidR="0053405B" w:rsidRDefault="0053405B" w:rsidP="0053405B">
      <w:pPr>
        <w:pStyle w:val="ListParagraph"/>
        <w:numPr>
          <w:ilvl w:val="2"/>
          <w:numId w:val="1"/>
        </w:numPr>
        <w:tabs>
          <w:tab w:val="left" w:pos="1985"/>
        </w:tabs>
        <w:ind w:left="2268" w:hanging="708"/>
        <w:jc w:val="both"/>
        <w:rPr>
          <w:rFonts w:ascii="Arial" w:hAnsi="Arial" w:cs="Arial"/>
          <w:sz w:val="22"/>
          <w:szCs w:val="22"/>
        </w:rPr>
      </w:pPr>
      <w:r>
        <w:rPr>
          <w:rFonts w:ascii="Arial" w:hAnsi="Arial" w:cs="Arial"/>
          <w:sz w:val="22"/>
          <w:szCs w:val="22"/>
        </w:rPr>
        <w:t>To take note of the prioritisation of reported service performance failures.</w:t>
      </w:r>
    </w:p>
    <w:p w14:paraId="3D97ACFF" w14:textId="77777777" w:rsidR="0053405B" w:rsidRDefault="0053405B" w:rsidP="0053405B">
      <w:pPr>
        <w:pStyle w:val="ListParagraph"/>
        <w:tabs>
          <w:tab w:val="left" w:pos="1985"/>
        </w:tabs>
        <w:ind w:left="2268" w:hanging="708"/>
        <w:jc w:val="both"/>
        <w:rPr>
          <w:rFonts w:ascii="Arial" w:hAnsi="Arial" w:cs="Arial"/>
          <w:sz w:val="22"/>
          <w:szCs w:val="22"/>
        </w:rPr>
      </w:pPr>
    </w:p>
    <w:p w14:paraId="7ED47BC3" w14:textId="77777777" w:rsidR="0053405B" w:rsidRDefault="0053405B" w:rsidP="0053405B">
      <w:pPr>
        <w:pStyle w:val="ListParagraph"/>
        <w:numPr>
          <w:ilvl w:val="2"/>
          <w:numId w:val="1"/>
        </w:numPr>
        <w:tabs>
          <w:tab w:val="left" w:pos="1985"/>
        </w:tabs>
        <w:ind w:left="2268" w:hanging="708"/>
        <w:jc w:val="both"/>
        <w:rPr>
          <w:rFonts w:ascii="Arial" w:hAnsi="Arial" w:cs="Arial"/>
          <w:sz w:val="22"/>
          <w:szCs w:val="22"/>
        </w:rPr>
      </w:pPr>
      <w:r>
        <w:rPr>
          <w:rFonts w:ascii="Arial" w:hAnsi="Arial" w:cs="Arial"/>
          <w:sz w:val="22"/>
          <w:szCs w:val="22"/>
        </w:rPr>
        <w:t>To operate procedures and systems to record information in support of performance monitoring and to enable regular and robust performance reporting.</w:t>
      </w:r>
    </w:p>
    <w:p w14:paraId="389CF2D5" w14:textId="77777777" w:rsidR="0053405B" w:rsidRPr="006A542A" w:rsidRDefault="0053405B" w:rsidP="0053405B">
      <w:pPr>
        <w:pStyle w:val="ListParagraph"/>
        <w:tabs>
          <w:tab w:val="left" w:pos="1985"/>
        </w:tabs>
        <w:ind w:left="2268" w:hanging="708"/>
        <w:rPr>
          <w:rFonts w:ascii="Arial" w:hAnsi="Arial" w:cs="Arial"/>
          <w:sz w:val="22"/>
          <w:szCs w:val="22"/>
        </w:rPr>
      </w:pPr>
    </w:p>
    <w:p w14:paraId="781CAD1E" w14:textId="77777777" w:rsidR="0053405B" w:rsidRDefault="0053405B" w:rsidP="0053405B">
      <w:pPr>
        <w:pStyle w:val="ListParagraph"/>
        <w:numPr>
          <w:ilvl w:val="2"/>
          <w:numId w:val="1"/>
        </w:numPr>
        <w:tabs>
          <w:tab w:val="left" w:pos="1985"/>
        </w:tabs>
        <w:ind w:left="2268" w:hanging="708"/>
        <w:jc w:val="both"/>
        <w:rPr>
          <w:rFonts w:ascii="Arial" w:hAnsi="Arial" w:cs="Arial"/>
          <w:sz w:val="22"/>
          <w:szCs w:val="22"/>
        </w:rPr>
      </w:pPr>
      <w:r>
        <w:rPr>
          <w:rFonts w:ascii="Arial" w:hAnsi="Arial" w:cs="Arial"/>
          <w:sz w:val="22"/>
          <w:szCs w:val="22"/>
        </w:rPr>
        <w:t>To monitor the performance of the Services and produce quarterly performance reports for the Company.</w:t>
      </w:r>
    </w:p>
    <w:p w14:paraId="7F2A4CA2" w14:textId="77777777" w:rsidR="0053405B" w:rsidRPr="006A542A" w:rsidRDefault="0053405B" w:rsidP="0053405B">
      <w:pPr>
        <w:pStyle w:val="ListParagraph"/>
        <w:rPr>
          <w:rFonts w:ascii="Arial" w:hAnsi="Arial" w:cs="Arial"/>
          <w:sz w:val="22"/>
          <w:szCs w:val="22"/>
        </w:rPr>
      </w:pPr>
    </w:p>
    <w:p w14:paraId="14CAE30F" w14:textId="77777777" w:rsidR="0053405B" w:rsidRDefault="0053405B" w:rsidP="0053405B">
      <w:pPr>
        <w:pStyle w:val="ListParagraph"/>
        <w:numPr>
          <w:ilvl w:val="1"/>
          <w:numId w:val="1"/>
        </w:numPr>
        <w:jc w:val="both"/>
        <w:rPr>
          <w:rFonts w:ascii="Arial" w:hAnsi="Arial" w:cs="Arial"/>
          <w:sz w:val="22"/>
          <w:szCs w:val="22"/>
        </w:rPr>
      </w:pPr>
      <w:r>
        <w:rPr>
          <w:rFonts w:ascii="Arial" w:hAnsi="Arial" w:cs="Arial"/>
          <w:sz w:val="22"/>
          <w:szCs w:val="22"/>
        </w:rPr>
        <w:t>The Contractor shall self-monitor their performance in line with the Key Performance Indicators set out in Table 1 below:</w:t>
      </w:r>
    </w:p>
    <w:p w14:paraId="467561D5" w14:textId="77777777" w:rsidR="0053405B" w:rsidRDefault="0053405B" w:rsidP="0053405B">
      <w:pPr>
        <w:pStyle w:val="ListParagraph"/>
        <w:ind w:left="1440" w:firstLine="0"/>
        <w:jc w:val="both"/>
        <w:rPr>
          <w:rFonts w:ascii="Arial" w:hAnsi="Arial" w:cs="Arial"/>
          <w:sz w:val="22"/>
          <w:szCs w:val="22"/>
        </w:rPr>
      </w:pPr>
    </w:p>
    <w:tbl>
      <w:tblPr>
        <w:tblStyle w:val="TableGrid"/>
        <w:tblW w:w="0" w:type="auto"/>
        <w:tblInd w:w="1526" w:type="dxa"/>
        <w:tblLook w:val="04A0" w:firstRow="1" w:lastRow="0" w:firstColumn="1" w:lastColumn="0" w:noHBand="0" w:noVBand="1"/>
      </w:tblPr>
      <w:tblGrid>
        <w:gridCol w:w="846"/>
        <w:gridCol w:w="4694"/>
        <w:gridCol w:w="2576"/>
      </w:tblGrid>
      <w:tr w:rsidR="0053405B" w:rsidRPr="0019241B" w14:paraId="04134857" w14:textId="77777777" w:rsidTr="00D370B9">
        <w:tc>
          <w:tcPr>
            <w:tcW w:w="850" w:type="dxa"/>
          </w:tcPr>
          <w:p w14:paraId="203708BD" w14:textId="77777777" w:rsidR="0053405B" w:rsidRPr="0019241B" w:rsidRDefault="0053405B" w:rsidP="00D370B9">
            <w:pPr>
              <w:jc w:val="both"/>
              <w:rPr>
                <w:rFonts w:ascii="Arial" w:hAnsi="Arial" w:cs="Arial"/>
                <w:b/>
                <w:sz w:val="22"/>
                <w:szCs w:val="22"/>
              </w:rPr>
            </w:pPr>
            <w:r w:rsidRPr="0019241B">
              <w:rPr>
                <w:rFonts w:ascii="Arial" w:hAnsi="Arial" w:cs="Arial"/>
                <w:b/>
                <w:sz w:val="22"/>
                <w:szCs w:val="22"/>
              </w:rPr>
              <w:t>No.</w:t>
            </w:r>
          </w:p>
        </w:tc>
        <w:tc>
          <w:tcPr>
            <w:tcW w:w="4742" w:type="dxa"/>
          </w:tcPr>
          <w:p w14:paraId="7A5704C3" w14:textId="77777777" w:rsidR="0053405B" w:rsidRPr="0019241B" w:rsidRDefault="0053405B" w:rsidP="00D370B9">
            <w:pPr>
              <w:jc w:val="both"/>
              <w:rPr>
                <w:rFonts w:ascii="Arial" w:hAnsi="Arial" w:cs="Arial"/>
                <w:b/>
                <w:sz w:val="22"/>
                <w:szCs w:val="22"/>
              </w:rPr>
            </w:pPr>
            <w:r w:rsidRPr="0019241B">
              <w:rPr>
                <w:rFonts w:ascii="Arial" w:hAnsi="Arial" w:cs="Arial"/>
                <w:b/>
                <w:sz w:val="22"/>
                <w:szCs w:val="22"/>
              </w:rPr>
              <w:t>Key Performance Indicator</w:t>
            </w:r>
          </w:p>
        </w:tc>
        <w:tc>
          <w:tcPr>
            <w:tcW w:w="2595" w:type="dxa"/>
          </w:tcPr>
          <w:p w14:paraId="775E9F54" w14:textId="77777777" w:rsidR="0053405B" w:rsidRPr="0019241B" w:rsidRDefault="0053405B" w:rsidP="00D370B9">
            <w:pPr>
              <w:jc w:val="both"/>
              <w:rPr>
                <w:rFonts w:ascii="Arial" w:hAnsi="Arial" w:cs="Arial"/>
                <w:b/>
                <w:sz w:val="22"/>
                <w:szCs w:val="22"/>
              </w:rPr>
            </w:pPr>
            <w:r w:rsidRPr="0019241B">
              <w:rPr>
                <w:rFonts w:ascii="Arial" w:hAnsi="Arial" w:cs="Arial"/>
                <w:b/>
                <w:sz w:val="22"/>
                <w:szCs w:val="22"/>
              </w:rPr>
              <w:t>Unit of Measure</w:t>
            </w:r>
          </w:p>
        </w:tc>
      </w:tr>
      <w:tr w:rsidR="0053405B" w:rsidRPr="0019241B" w14:paraId="11C87842" w14:textId="77777777" w:rsidTr="00D370B9">
        <w:tc>
          <w:tcPr>
            <w:tcW w:w="850" w:type="dxa"/>
          </w:tcPr>
          <w:p w14:paraId="72CAD797" w14:textId="77777777" w:rsidR="0053405B" w:rsidRPr="0019241B" w:rsidRDefault="0053405B" w:rsidP="00D370B9">
            <w:pPr>
              <w:jc w:val="both"/>
              <w:rPr>
                <w:rFonts w:ascii="Arial" w:hAnsi="Arial" w:cs="Arial"/>
                <w:sz w:val="22"/>
                <w:szCs w:val="22"/>
              </w:rPr>
            </w:pPr>
            <w:r w:rsidRPr="0019241B">
              <w:rPr>
                <w:rFonts w:ascii="Arial" w:hAnsi="Arial" w:cs="Arial"/>
                <w:sz w:val="22"/>
                <w:szCs w:val="22"/>
              </w:rPr>
              <w:t>1.</w:t>
            </w:r>
          </w:p>
        </w:tc>
        <w:tc>
          <w:tcPr>
            <w:tcW w:w="4742" w:type="dxa"/>
          </w:tcPr>
          <w:p w14:paraId="6ABDBF94" w14:textId="77777777" w:rsidR="0053405B" w:rsidRPr="0019241B" w:rsidRDefault="0053405B" w:rsidP="00D370B9">
            <w:pPr>
              <w:jc w:val="both"/>
              <w:rPr>
                <w:rFonts w:ascii="Arial" w:hAnsi="Arial" w:cs="Arial"/>
                <w:sz w:val="22"/>
                <w:szCs w:val="22"/>
              </w:rPr>
            </w:pPr>
            <w:r>
              <w:rPr>
                <w:rFonts w:ascii="Arial" w:hAnsi="Arial" w:cs="Arial"/>
                <w:sz w:val="22"/>
                <w:szCs w:val="22"/>
              </w:rPr>
              <w:t>OCRS Score compliance</w:t>
            </w:r>
          </w:p>
        </w:tc>
        <w:tc>
          <w:tcPr>
            <w:tcW w:w="2595" w:type="dxa"/>
          </w:tcPr>
          <w:p w14:paraId="0C6B7732" w14:textId="77777777" w:rsidR="0053405B" w:rsidRPr="0019241B" w:rsidRDefault="0053405B" w:rsidP="00D370B9">
            <w:pPr>
              <w:jc w:val="both"/>
              <w:rPr>
                <w:rFonts w:ascii="Arial" w:hAnsi="Arial" w:cs="Arial"/>
                <w:sz w:val="22"/>
                <w:szCs w:val="22"/>
              </w:rPr>
            </w:pPr>
            <w:r>
              <w:rPr>
                <w:rFonts w:ascii="Arial" w:hAnsi="Arial" w:cs="Arial"/>
                <w:sz w:val="22"/>
                <w:szCs w:val="22"/>
              </w:rPr>
              <w:t>100</w:t>
            </w:r>
            <w:r w:rsidRPr="0019241B">
              <w:rPr>
                <w:rFonts w:ascii="Arial" w:hAnsi="Arial" w:cs="Arial"/>
                <w:sz w:val="22"/>
                <w:szCs w:val="22"/>
              </w:rPr>
              <w:t>% compliance</w:t>
            </w:r>
          </w:p>
        </w:tc>
      </w:tr>
      <w:tr w:rsidR="0053405B" w:rsidRPr="0019241B" w14:paraId="128D62C9" w14:textId="77777777" w:rsidTr="00D370B9">
        <w:tc>
          <w:tcPr>
            <w:tcW w:w="850" w:type="dxa"/>
          </w:tcPr>
          <w:p w14:paraId="52BA2D34" w14:textId="77777777" w:rsidR="0053405B" w:rsidRPr="0019241B" w:rsidRDefault="0053405B" w:rsidP="00D370B9">
            <w:pPr>
              <w:jc w:val="both"/>
              <w:rPr>
                <w:rFonts w:ascii="Arial" w:hAnsi="Arial" w:cs="Arial"/>
                <w:sz w:val="22"/>
                <w:szCs w:val="22"/>
              </w:rPr>
            </w:pPr>
            <w:r w:rsidRPr="0019241B">
              <w:rPr>
                <w:rFonts w:ascii="Arial" w:hAnsi="Arial" w:cs="Arial"/>
                <w:sz w:val="22"/>
                <w:szCs w:val="22"/>
              </w:rPr>
              <w:t>2.</w:t>
            </w:r>
          </w:p>
        </w:tc>
        <w:tc>
          <w:tcPr>
            <w:tcW w:w="4742" w:type="dxa"/>
          </w:tcPr>
          <w:p w14:paraId="4B650AB1" w14:textId="77777777" w:rsidR="0053405B" w:rsidRPr="0019241B" w:rsidRDefault="0053405B" w:rsidP="00D370B9">
            <w:pPr>
              <w:jc w:val="both"/>
              <w:rPr>
                <w:rFonts w:ascii="Arial" w:hAnsi="Arial" w:cs="Arial"/>
                <w:sz w:val="22"/>
                <w:szCs w:val="22"/>
              </w:rPr>
            </w:pPr>
            <w:r>
              <w:rPr>
                <w:rFonts w:ascii="Arial" w:hAnsi="Arial" w:cs="Arial"/>
                <w:sz w:val="22"/>
                <w:szCs w:val="22"/>
              </w:rPr>
              <w:t>Waste transported is reported within 48 hours</w:t>
            </w:r>
          </w:p>
        </w:tc>
        <w:tc>
          <w:tcPr>
            <w:tcW w:w="2595" w:type="dxa"/>
          </w:tcPr>
          <w:p w14:paraId="7E580A3B" w14:textId="77777777" w:rsidR="0053405B" w:rsidRPr="0019241B" w:rsidRDefault="0053405B" w:rsidP="00D370B9">
            <w:pPr>
              <w:jc w:val="both"/>
              <w:rPr>
                <w:rFonts w:ascii="Arial" w:hAnsi="Arial" w:cs="Arial"/>
                <w:sz w:val="22"/>
                <w:szCs w:val="22"/>
              </w:rPr>
            </w:pPr>
            <w:r>
              <w:rPr>
                <w:rFonts w:ascii="Arial" w:hAnsi="Arial" w:cs="Arial"/>
                <w:sz w:val="22"/>
                <w:szCs w:val="22"/>
              </w:rPr>
              <w:t>98</w:t>
            </w:r>
            <w:r w:rsidRPr="0019241B">
              <w:rPr>
                <w:rFonts w:ascii="Arial" w:hAnsi="Arial" w:cs="Arial"/>
                <w:sz w:val="22"/>
                <w:szCs w:val="22"/>
              </w:rPr>
              <w:t>% compliance</w:t>
            </w:r>
          </w:p>
        </w:tc>
      </w:tr>
      <w:tr w:rsidR="0053405B" w:rsidRPr="0019241B" w14:paraId="209D3AA3" w14:textId="77777777" w:rsidTr="00D370B9">
        <w:tc>
          <w:tcPr>
            <w:tcW w:w="850" w:type="dxa"/>
          </w:tcPr>
          <w:p w14:paraId="55137B7B" w14:textId="77777777" w:rsidR="0053405B" w:rsidRPr="0019241B" w:rsidRDefault="0053405B" w:rsidP="00D370B9">
            <w:pPr>
              <w:jc w:val="both"/>
              <w:rPr>
                <w:rFonts w:ascii="Arial" w:hAnsi="Arial" w:cs="Arial"/>
                <w:sz w:val="22"/>
                <w:szCs w:val="22"/>
              </w:rPr>
            </w:pPr>
            <w:r w:rsidRPr="0019241B">
              <w:rPr>
                <w:rFonts w:ascii="Arial" w:hAnsi="Arial" w:cs="Arial"/>
                <w:sz w:val="22"/>
                <w:szCs w:val="22"/>
              </w:rPr>
              <w:t>3.</w:t>
            </w:r>
          </w:p>
        </w:tc>
        <w:tc>
          <w:tcPr>
            <w:tcW w:w="4742" w:type="dxa"/>
          </w:tcPr>
          <w:p w14:paraId="6774FBF1" w14:textId="77777777" w:rsidR="0053405B" w:rsidRPr="0019241B" w:rsidRDefault="0053405B" w:rsidP="00D370B9">
            <w:pPr>
              <w:jc w:val="both"/>
              <w:rPr>
                <w:rFonts w:ascii="Arial" w:hAnsi="Arial" w:cs="Arial"/>
                <w:sz w:val="22"/>
                <w:szCs w:val="22"/>
              </w:rPr>
            </w:pPr>
            <w:r>
              <w:rPr>
                <w:rFonts w:ascii="Arial" w:hAnsi="Arial" w:cs="Arial"/>
                <w:sz w:val="22"/>
                <w:szCs w:val="22"/>
              </w:rPr>
              <w:t>On time collections</w:t>
            </w:r>
          </w:p>
        </w:tc>
        <w:tc>
          <w:tcPr>
            <w:tcW w:w="2595" w:type="dxa"/>
          </w:tcPr>
          <w:p w14:paraId="0DF239BA" w14:textId="77777777" w:rsidR="0053405B" w:rsidRPr="0019241B" w:rsidRDefault="0053405B" w:rsidP="00D370B9">
            <w:pPr>
              <w:jc w:val="both"/>
              <w:rPr>
                <w:rFonts w:ascii="Arial" w:hAnsi="Arial" w:cs="Arial"/>
                <w:sz w:val="22"/>
                <w:szCs w:val="22"/>
              </w:rPr>
            </w:pPr>
            <w:r>
              <w:rPr>
                <w:rFonts w:ascii="Arial" w:hAnsi="Arial" w:cs="Arial"/>
                <w:sz w:val="22"/>
                <w:szCs w:val="22"/>
              </w:rPr>
              <w:t>95</w:t>
            </w:r>
            <w:r w:rsidRPr="0019241B">
              <w:rPr>
                <w:rFonts w:ascii="Arial" w:hAnsi="Arial" w:cs="Arial"/>
                <w:sz w:val="22"/>
                <w:szCs w:val="22"/>
              </w:rPr>
              <w:t>% compliance</w:t>
            </w:r>
          </w:p>
        </w:tc>
      </w:tr>
      <w:tr w:rsidR="0053405B" w:rsidRPr="0019241B" w14:paraId="0DC25D86" w14:textId="77777777" w:rsidTr="00D370B9">
        <w:tc>
          <w:tcPr>
            <w:tcW w:w="850" w:type="dxa"/>
          </w:tcPr>
          <w:p w14:paraId="4ADF3D2E" w14:textId="77777777" w:rsidR="0053405B" w:rsidRPr="0019241B" w:rsidRDefault="0053405B" w:rsidP="00D370B9">
            <w:pPr>
              <w:jc w:val="both"/>
              <w:rPr>
                <w:rFonts w:ascii="Arial" w:hAnsi="Arial" w:cs="Arial"/>
                <w:sz w:val="22"/>
                <w:szCs w:val="22"/>
              </w:rPr>
            </w:pPr>
            <w:r w:rsidRPr="0019241B">
              <w:rPr>
                <w:rFonts w:ascii="Arial" w:hAnsi="Arial" w:cs="Arial"/>
                <w:sz w:val="22"/>
                <w:szCs w:val="22"/>
              </w:rPr>
              <w:t>4.</w:t>
            </w:r>
          </w:p>
        </w:tc>
        <w:tc>
          <w:tcPr>
            <w:tcW w:w="4742" w:type="dxa"/>
          </w:tcPr>
          <w:p w14:paraId="713AEFDD" w14:textId="77777777" w:rsidR="0053405B" w:rsidRPr="0019241B" w:rsidRDefault="0053405B" w:rsidP="00D370B9">
            <w:pPr>
              <w:jc w:val="both"/>
              <w:rPr>
                <w:rFonts w:ascii="Arial" w:hAnsi="Arial" w:cs="Arial"/>
                <w:sz w:val="22"/>
                <w:szCs w:val="22"/>
              </w:rPr>
            </w:pPr>
            <w:r>
              <w:rPr>
                <w:rFonts w:ascii="Arial" w:hAnsi="Arial" w:cs="Arial"/>
                <w:sz w:val="22"/>
                <w:szCs w:val="22"/>
              </w:rPr>
              <w:t>Invoices to have an agreed purchase order number on them</w:t>
            </w:r>
          </w:p>
        </w:tc>
        <w:tc>
          <w:tcPr>
            <w:tcW w:w="2595" w:type="dxa"/>
          </w:tcPr>
          <w:p w14:paraId="7D10EF89" w14:textId="77777777" w:rsidR="0053405B" w:rsidRPr="0019241B" w:rsidRDefault="0053405B" w:rsidP="00D370B9">
            <w:pPr>
              <w:jc w:val="both"/>
              <w:rPr>
                <w:rFonts w:ascii="Arial" w:hAnsi="Arial" w:cs="Arial"/>
                <w:sz w:val="22"/>
                <w:szCs w:val="22"/>
              </w:rPr>
            </w:pPr>
            <w:r>
              <w:rPr>
                <w:rFonts w:ascii="Arial" w:hAnsi="Arial" w:cs="Arial"/>
                <w:sz w:val="22"/>
                <w:szCs w:val="22"/>
              </w:rPr>
              <w:t>100</w:t>
            </w:r>
            <w:r w:rsidRPr="0019241B">
              <w:rPr>
                <w:rFonts w:ascii="Arial" w:hAnsi="Arial" w:cs="Arial"/>
                <w:sz w:val="22"/>
                <w:szCs w:val="22"/>
              </w:rPr>
              <w:t>% compliance</w:t>
            </w:r>
          </w:p>
        </w:tc>
      </w:tr>
    </w:tbl>
    <w:p w14:paraId="748A8FCE" w14:textId="77777777" w:rsidR="0053405B" w:rsidRDefault="0053405B" w:rsidP="0053405B">
      <w:pPr>
        <w:pStyle w:val="ListParagraph"/>
        <w:ind w:left="1440" w:firstLine="0"/>
        <w:jc w:val="both"/>
        <w:rPr>
          <w:rFonts w:ascii="Arial" w:hAnsi="Arial" w:cs="Arial"/>
          <w:sz w:val="22"/>
          <w:szCs w:val="22"/>
        </w:rPr>
      </w:pPr>
    </w:p>
    <w:p w14:paraId="02BBBF89" w14:textId="77777777" w:rsidR="0053405B" w:rsidRDefault="0053405B" w:rsidP="0053405B">
      <w:pPr>
        <w:pStyle w:val="ListParagraph"/>
        <w:ind w:left="1440" w:firstLine="0"/>
        <w:jc w:val="both"/>
        <w:rPr>
          <w:rFonts w:ascii="Arial" w:hAnsi="Arial" w:cs="Arial"/>
          <w:sz w:val="22"/>
          <w:szCs w:val="22"/>
        </w:rPr>
      </w:pPr>
    </w:p>
    <w:p w14:paraId="77AF9B3F" w14:textId="77777777" w:rsidR="0053405B" w:rsidRDefault="0053405B" w:rsidP="0053405B">
      <w:pPr>
        <w:pStyle w:val="ListParagraph"/>
        <w:numPr>
          <w:ilvl w:val="1"/>
          <w:numId w:val="1"/>
        </w:numPr>
        <w:jc w:val="both"/>
        <w:rPr>
          <w:rFonts w:ascii="Arial" w:hAnsi="Arial" w:cs="Arial"/>
          <w:sz w:val="22"/>
          <w:szCs w:val="22"/>
        </w:rPr>
      </w:pPr>
      <w:r>
        <w:rPr>
          <w:rFonts w:ascii="Arial" w:hAnsi="Arial" w:cs="Arial"/>
          <w:sz w:val="22"/>
          <w:szCs w:val="22"/>
        </w:rPr>
        <w:t>The Contractor and the Company shall ensure both parties fully comply with all obligations detailed in Clause 27 of the Call Off Conditions.</w:t>
      </w:r>
    </w:p>
    <w:p w14:paraId="26E3ADBC" w14:textId="77777777" w:rsidR="0053405B" w:rsidRDefault="0053405B" w:rsidP="0053405B">
      <w:pPr>
        <w:pStyle w:val="ListParagraph"/>
        <w:ind w:left="1440" w:firstLine="0"/>
        <w:jc w:val="both"/>
        <w:rPr>
          <w:rFonts w:ascii="Arial" w:hAnsi="Arial" w:cs="Arial"/>
          <w:sz w:val="22"/>
          <w:szCs w:val="22"/>
        </w:rPr>
      </w:pPr>
    </w:p>
    <w:p w14:paraId="7448D392" w14:textId="77777777" w:rsidR="0053405B" w:rsidRPr="006A542A" w:rsidRDefault="0053405B" w:rsidP="0053405B">
      <w:pPr>
        <w:pStyle w:val="ListParagraph"/>
        <w:numPr>
          <w:ilvl w:val="1"/>
          <w:numId w:val="1"/>
        </w:numPr>
        <w:jc w:val="both"/>
        <w:rPr>
          <w:rFonts w:ascii="Arial" w:hAnsi="Arial" w:cs="Arial"/>
          <w:sz w:val="22"/>
          <w:szCs w:val="22"/>
        </w:rPr>
      </w:pPr>
      <w:r>
        <w:rPr>
          <w:rFonts w:ascii="Arial" w:hAnsi="Arial" w:cs="Arial"/>
          <w:sz w:val="22"/>
          <w:szCs w:val="22"/>
        </w:rPr>
        <w:t>The Contract Manager and Company Representative shall meet on a quarterly</w:t>
      </w:r>
      <w:r>
        <w:rPr>
          <w:rFonts w:ascii="Arial" w:hAnsi="Arial" w:cs="Arial"/>
        </w:rPr>
        <w:t xml:space="preserve"> </w:t>
      </w:r>
      <w:r>
        <w:rPr>
          <w:rFonts w:ascii="Arial" w:hAnsi="Arial" w:cs="Arial"/>
          <w:sz w:val="22"/>
          <w:szCs w:val="22"/>
        </w:rPr>
        <w:t>basis to discuss the performance of the Contractor.</w:t>
      </w:r>
    </w:p>
    <w:p w14:paraId="28E98D7D" w14:textId="77777777" w:rsidR="0053405B" w:rsidRPr="00637E1E" w:rsidRDefault="0053405B" w:rsidP="0053405B">
      <w:pPr>
        <w:jc w:val="both"/>
        <w:rPr>
          <w:rFonts w:ascii="Arial" w:hAnsi="Arial" w:cs="Arial"/>
          <w:b/>
        </w:rPr>
      </w:pPr>
    </w:p>
    <w:p w14:paraId="4CD21780" w14:textId="358CC405" w:rsidR="009E6758" w:rsidRPr="000D7BFA" w:rsidRDefault="009E6758" w:rsidP="0053405B">
      <w:pPr>
        <w:rPr>
          <w:rFonts w:ascii="Arial" w:hAnsi="Arial"/>
          <w:sz w:val="20"/>
          <w:szCs w:val="20"/>
        </w:rPr>
      </w:pPr>
    </w:p>
    <w:sectPr w:rsidR="009E6758" w:rsidRPr="000D7BFA" w:rsidSect="0071353D">
      <w:headerReference w:type="default" r:id="rId8"/>
      <w:type w:val="continuous"/>
      <w:pgSz w:w="11920" w:h="16840"/>
      <w:pgMar w:top="2552" w:right="1247" w:bottom="278" w:left="124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7D6EA" w14:textId="77777777" w:rsidR="000D7BFA" w:rsidRDefault="000D7BFA" w:rsidP="000D7BFA">
      <w:pPr>
        <w:spacing w:after="0" w:line="240" w:lineRule="auto"/>
      </w:pPr>
      <w:r>
        <w:separator/>
      </w:r>
    </w:p>
  </w:endnote>
  <w:endnote w:type="continuationSeparator" w:id="0">
    <w:p w14:paraId="3C5116E4" w14:textId="77777777" w:rsidR="000D7BFA" w:rsidRDefault="000D7BFA" w:rsidP="000D7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DC593A" w14:textId="77777777" w:rsidR="000D7BFA" w:rsidRDefault="000D7BFA" w:rsidP="000D7BFA">
      <w:pPr>
        <w:spacing w:after="0" w:line="240" w:lineRule="auto"/>
      </w:pPr>
      <w:r>
        <w:separator/>
      </w:r>
    </w:p>
  </w:footnote>
  <w:footnote w:type="continuationSeparator" w:id="0">
    <w:p w14:paraId="23FCEFF2" w14:textId="77777777" w:rsidR="000D7BFA" w:rsidRDefault="000D7BFA" w:rsidP="000D7B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8776F" w14:textId="1E3C16C4" w:rsidR="000D7BFA" w:rsidRDefault="00771DEC">
    <w:pPr>
      <w:pStyle w:val="Header"/>
    </w:pPr>
    <w:r>
      <w:rPr>
        <w:noProof/>
        <w:lang w:val="en-GB" w:eastAsia="en-GB"/>
      </w:rPr>
      <mc:AlternateContent>
        <mc:Choice Requires="wps">
          <w:drawing>
            <wp:anchor distT="0" distB="0" distL="114300" distR="114300" simplePos="0" relativeHeight="251658752" behindDoc="1" locked="0" layoutInCell="1" allowOverlap="1" wp14:anchorId="32259218" wp14:editId="70C705F2">
              <wp:simplePos x="0" y="0"/>
              <wp:positionH relativeFrom="page">
                <wp:posOffset>311150</wp:posOffset>
              </wp:positionH>
              <wp:positionV relativeFrom="page">
                <wp:posOffset>10051415</wp:posOffset>
              </wp:positionV>
              <wp:extent cx="3800475" cy="364490"/>
              <wp:effectExtent l="0" t="2540" r="3175"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36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89C46" w14:textId="77777777" w:rsidR="000D7BFA" w:rsidRDefault="000D7BFA" w:rsidP="000D7BFA">
                          <w:pPr>
                            <w:spacing w:before="4" w:after="0" w:line="240" w:lineRule="auto"/>
                            <w:ind w:left="20" w:right="-20"/>
                            <w:rPr>
                              <w:rFonts w:ascii="Arial" w:eastAsia="Arial" w:hAnsi="Arial" w:cs="Arial"/>
                              <w:sz w:val="14"/>
                              <w:szCs w:val="14"/>
                            </w:rPr>
                          </w:pPr>
                          <w:proofErr w:type="spellStart"/>
                          <w:r>
                            <w:rPr>
                              <w:rFonts w:ascii="Arial" w:eastAsia="Arial" w:hAnsi="Arial" w:cs="Arial"/>
                              <w:color w:val="FFFFFF"/>
                              <w:spacing w:val="-13"/>
                              <w:sz w:val="14"/>
                              <w:szCs w:val="14"/>
                            </w:rPr>
                            <w:t>Y</w:t>
                          </w:r>
                          <w:r>
                            <w:rPr>
                              <w:rFonts w:ascii="Arial" w:eastAsia="Arial" w:hAnsi="Arial" w:cs="Arial"/>
                              <w:color w:val="FFFFFF"/>
                              <w:sz w:val="14"/>
                              <w:szCs w:val="14"/>
                            </w:rPr>
                            <w:t>orwaste</w:t>
                          </w:r>
                          <w:proofErr w:type="spellEnd"/>
                          <w:r>
                            <w:rPr>
                              <w:rFonts w:ascii="Arial" w:eastAsia="Arial" w:hAnsi="Arial" w:cs="Arial"/>
                              <w:color w:val="FFFFFF"/>
                              <w:spacing w:val="11"/>
                              <w:sz w:val="14"/>
                              <w:szCs w:val="14"/>
                            </w:rPr>
                            <w:t xml:space="preserve"> </w:t>
                          </w:r>
                          <w:r>
                            <w:rPr>
                              <w:rFonts w:ascii="Arial" w:eastAsia="Arial" w:hAnsi="Arial" w:cs="Arial"/>
                              <w:color w:val="FFFFFF"/>
                              <w:sz w:val="14"/>
                              <w:szCs w:val="14"/>
                            </w:rPr>
                            <w:t>Ltd,</w:t>
                          </w:r>
                          <w:r>
                            <w:rPr>
                              <w:rFonts w:ascii="Arial" w:eastAsia="Arial" w:hAnsi="Arial" w:cs="Arial"/>
                              <w:color w:val="FFFFFF"/>
                              <w:spacing w:val="7"/>
                              <w:sz w:val="14"/>
                              <w:szCs w:val="14"/>
                            </w:rPr>
                            <w:t xml:space="preserve"> </w:t>
                          </w:r>
                          <w:r>
                            <w:rPr>
                              <w:rFonts w:ascii="Arial" w:eastAsia="Arial" w:hAnsi="Arial" w:cs="Arial"/>
                              <w:color w:val="FFFFFF"/>
                              <w:sz w:val="14"/>
                              <w:szCs w:val="14"/>
                            </w:rPr>
                            <w:t>Mount</w:t>
                          </w:r>
                          <w:r>
                            <w:rPr>
                              <w:rFonts w:ascii="Arial" w:eastAsia="Arial" w:hAnsi="Arial" w:cs="Arial"/>
                              <w:color w:val="FFFFFF"/>
                              <w:spacing w:val="9"/>
                              <w:sz w:val="14"/>
                              <w:szCs w:val="14"/>
                            </w:rPr>
                            <w:t xml:space="preserve"> </w:t>
                          </w:r>
                          <w:r>
                            <w:rPr>
                              <w:rFonts w:ascii="Arial" w:eastAsia="Arial" w:hAnsi="Arial" w:cs="Arial"/>
                              <w:color w:val="FFFFFF"/>
                              <w:spacing w:val="-3"/>
                              <w:sz w:val="14"/>
                              <w:szCs w:val="14"/>
                            </w:rPr>
                            <w:t>V</w:t>
                          </w:r>
                          <w:r>
                            <w:rPr>
                              <w:rFonts w:ascii="Arial" w:eastAsia="Arial" w:hAnsi="Arial" w:cs="Arial"/>
                              <w:color w:val="FFFFFF"/>
                              <w:sz w:val="14"/>
                              <w:szCs w:val="14"/>
                            </w:rPr>
                            <w:t>ie</w:t>
                          </w:r>
                          <w:r>
                            <w:rPr>
                              <w:rFonts w:ascii="Arial" w:eastAsia="Arial" w:hAnsi="Arial" w:cs="Arial"/>
                              <w:color w:val="FFFFFF"/>
                              <w:spacing w:val="-8"/>
                              <w:sz w:val="14"/>
                              <w:szCs w:val="14"/>
                            </w:rPr>
                            <w:t>w</w:t>
                          </w:r>
                          <w:r>
                            <w:rPr>
                              <w:rFonts w:ascii="Arial" w:eastAsia="Arial" w:hAnsi="Arial" w:cs="Arial"/>
                              <w:color w:val="FFFFFF"/>
                              <w:sz w:val="14"/>
                              <w:szCs w:val="14"/>
                            </w:rPr>
                            <w:t>,</w:t>
                          </w:r>
                          <w:r>
                            <w:rPr>
                              <w:rFonts w:ascii="Arial" w:eastAsia="Arial" w:hAnsi="Arial" w:cs="Arial"/>
                              <w:color w:val="FFFFFF"/>
                              <w:spacing w:val="8"/>
                              <w:sz w:val="14"/>
                              <w:szCs w:val="14"/>
                            </w:rPr>
                            <w:t xml:space="preserve"> </w:t>
                          </w:r>
                          <w:r>
                            <w:rPr>
                              <w:rFonts w:ascii="Arial" w:eastAsia="Arial" w:hAnsi="Arial" w:cs="Arial"/>
                              <w:color w:val="FFFFFF"/>
                              <w:sz w:val="14"/>
                              <w:szCs w:val="14"/>
                            </w:rPr>
                            <w:t>Standard</w:t>
                          </w:r>
                          <w:r>
                            <w:rPr>
                              <w:rFonts w:ascii="Arial" w:eastAsia="Arial" w:hAnsi="Arial" w:cs="Arial"/>
                              <w:color w:val="FFFFFF"/>
                              <w:spacing w:val="11"/>
                              <w:sz w:val="14"/>
                              <w:szCs w:val="14"/>
                            </w:rPr>
                            <w:t xml:space="preserve"> </w:t>
                          </w:r>
                          <w:r>
                            <w:rPr>
                              <w:rFonts w:ascii="Arial" w:eastAsia="Arial" w:hAnsi="Arial" w:cs="Arial"/>
                              <w:color w:val="FFFFFF"/>
                              <w:spacing w:val="-5"/>
                              <w:sz w:val="14"/>
                              <w:szCs w:val="14"/>
                            </w:rPr>
                            <w:t>W</w:t>
                          </w:r>
                          <w:r>
                            <w:rPr>
                              <w:rFonts w:ascii="Arial" w:eastAsia="Arial" w:hAnsi="Arial" w:cs="Arial"/>
                              <w:color w:val="FFFFFF"/>
                              <w:sz w:val="14"/>
                              <w:szCs w:val="14"/>
                            </w:rPr>
                            <w:t>ay</w:t>
                          </w:r>
                          <w:r>
                            <w:rPr>
                              <w:rFonts w:ascii="Arial" w:eastAsia="Arial" w:hAnsi="Arial" w:cs="Arial"/>
                              <w:color w:val="FFFFFF"/>
                              <w:spacing w:val="8"/>
                              <w:sz w:val="14"/>
                              <w:szCs w:val="14"/>
                            </w:rPr>
                            <w:t xml:space="preserve"> </w:t>
                          </w:r>
                          <w:r>
                            <w:rPr>
                              <w:rFonts w:ascii="Arial" w:eastAsia="Arial" w:hAnsi="Arial" w:cs="Arial"/>
                              <w:color w:val="FFFFFF"/>
                              <w:sz w:val="14"/>
                              <w:szCs w:val="14"/>
                            </w:rPr>
                            <w:t>Business</w:t>
                          </w:r>
                          <w:r>
                            <w:rPr>
                              <w:rFonts w:ascii="Arial" w:eastAsia="Arial" w:hAnsi="Arial" w:cs="Arial"/>
                              <w:color w:val="FFFFFF"/>
                              <w:spacing w:val="11"/>
                              <w:sz w:val="14"/>
                              <w:szCs w:val="14"/>
                            </w:rPr>
                            <w:t xml:space="preserve"> </w:t>
                          </w:r>
                          <w:r>
                            <w:rPr>
                              <w:rFonts w:ascii="Arial" w:eastAsia="Arial" w:hAnsi="Arial" w:cs="Arial"/>
                              <w:color w:val="FFFFFF"/>
                              <w:sz w:val="14"/>
                              <w:szCs w:val="14"/>
                            </w:rPr>
                            <w:t>Park,</w:t>
                          </w:r>
                          <w:r>
                            <w:rPr>
                              <w:rFonts w:ascii="Arial" w:eastAsia="Arial" w:hAnsi="Arial" w:cs="Arial"/>
                              <w:color w:val="FFFFFF"/>
                              <w:spacing w:val="8"/>
                              <w:sz w:val="14"/>
                              <w:szCs w:val="14"/>
                            </w:rPr>
                            <w:t xml:space="preserve"> </w:t>
                          </w:r>
                          <w:proofErr w:type="spellStart"/>
                          <w:r>
                            <w:rPr>
                              <w:rFonts w:ascii="Arial" w:eastAsia="Arial" w:hAnsi="Arial" w:cs="Arial"/>
                              <w:color w:val="FFFFFF"/>
                              <w:sz w:val="14"/>
                              <w:szCs w:val="14"/>
                            </w:rPr>
                            <w:t>Northallerton</w:t>
                          </w:r>
                          <w:proofErr w:type="spellEnd"/>
                          <w:r>
                            <w:rPr>
                              <w:rFonts w:ascii="Arial" w:eastAsia="Arial" w:hAnsi="Arial" w:cs="Arial"/>
                              <w:color w:val="FFFFFF"/>
                              <w:sz w:val="14"/>
                              <w:szCs w:val="14"/>
                            </w:rPr>
                            <w:t>,</w:t>
                          </w:r>
                          <w:r>
                            <w:rPr>
                              <w:rFonts w:ascii="Arial" w:eastAsia="Arial" w:hAnsi="Arial" w:cs="Arial"/>
                              <w:color w:val="FFFFFF"/>
                              <w:spacing w:val="13"/>
                              <w:sz w:val="14"/>
                              <w:szCs w:val="14"/>
                            </w:rPr>
                            <w:t xml:space="preserve"> </w:t>
                          </w:r>
                          <w:r>
                            <w:rPr>
                              <w:rFonts w:ascii="Arial" w:eastAsia="Arial" w:hAnsi="Arial" w:cs="Arial"/>
                              <w:color w:val="FFFFFF"/>
                              <w:sz w:val="14"/>
                              <w:szCs w:val="14"/>
                            </w:rPr>
                            <w:t>DL6</w:t>
                          </w:r>
                          <w:r>
                            <w:rPr>
                              <w:rFonts w:ascii="Arial" w:eastAsia="Arial" w:hAnsi="Arial" w:cs="Arial"/>
                              <w:color w:val="FFFFFF"/>
                              <w:spacing w:val="8"/>
                              <w:sz w:val="14"/>
                              <w:szCs w:val="14"/>
                            </w:rPr>
                            <w:t xml:space="preserve"> </w:t>
                          </w:r>
                          <w:r>
                            <w:rPr>
                              <w:rFonts w:ascii="Arial" w:eastAsia="Arial" w:hAnsi="Arial" w:cs="Arial"/>
                              <w:color w:val="FFFFFF"/>
                              <w:w w:val="101"/>
                              <w:sz w:val="14"/>
                              <w:szCs w:val="14"/>
                            </w:rPr>
                            <w:t>2YD</w:t>
                          </w:r>
                        </w:p>
                        <w:p w14:paraId="5E900B49" w14:textId="77777777" w:rsidR="000D7BFA" w:rsidRDefault="000D7BFA" w:rsidP="000D7BFA">
                          <w:pPr>
                            <w:spacing w:after="0" w:line="244" w:lineRule="exact"/>
                            <w:ind w:left="20" w:right="-56"/>
                            <w:rPr>
                              <w:rFonts w:ascii="Arial" w:eastAsia="Arial" w:hAnsi="Arial" w:cs="Arial"/>
                              <w:sz w:val="14"/>
                              <w:szCs w:val="14"/>
                            </w:rPr>
                          </w:pPr>
                          <w:r>
                            <w:rPr>
                              <w:rFonts w:ascii="Arial" w:eastAsia="Arial" w:hAnsi="Arial" w:cs="Arial"/>
                              <w:color w:val="62BB46"/>
                              <w:spacing w:val="-16"/>
                              <w:position w:val="2"/>
                              <w:sz w:val="14"/>
                              <w:szCs w:val="14"/>
                            </w:rPr>
                            <w:t>T</w:t>
                          </w:r>
                          <w:r>
                            <w:rPr>
                              <w:rFonts w:ascii="Arial" w:eastAsia="Arial" w:hAnsi="Arial" w:cs="Arial"/>
                              <w:color w:val="62BB46"/>
                              <w:position w:val="2"/>
                              <w:sz w:val="14"/>
                              <w:szCs w:val="14"/>
                            </w:rPr>
                            <w:t>el:</w:t>
                          </w:r>
                          <w:r>
                            <w:rPr>
                              <w:rFonts w:ascii="Arial" w:eastAsia="Arial" w:hAnsi="Arial" w:cs="Arial"/>
                              <w:color w:val="62BB46"/>
                              <w:spacing w:val="7"/>
                              <w:position w:val="2"/>
                              <w:sz w:val="14"/>
                              <w:szCs w:val="14"/>
                            </w:rPr>
                            <w:t xml:space="preserve"> </w:t>
                          </w:r>
                          <w:r>
                            <w:rPr>
                              <w:rFonts w:ascii="Arial" w:eastAsia="Arial" w:hAnsi="Arial" w:cs="Arial"/>
                              <w:color w:val="FFFFFF"/>
                              <w:position w:val="2"/>
                              <w:sz w:val="14"/>
                              <w:szCs w:val="14"/>
                            </w:rPr>
                            <w:t>0845</w:t>
                          </w:r>
                          <w:r>
                            <w:rPr>
                              <w:rFonts w:ascii="Arial" w:eastAsia="Arial" w:hAnsi="Arial" w:cs="Arial"/>
                              <w:color w:val="FFFFFF"/>
                              <w:spacing w:val="8"/>
                              <w:position w:val="2"/>
                              <w:sz w:val="14"/>
                              <w:szCs w:val="14"/>
                            </w:rPr>
                            <w:t xml:space="preserve"> </w:t>
                          </w:r>
                          <w:r>
                            <w:rPr>
                              <w:rFonts w:ascii="Arial" w:eastAsia="Arial" w:hAnsi="Arial" w:cs="Arial"/>
                              <w:color w:val="FFFFFF"/>
                              <w:position w:val="2"/>
                              <w:sz w:val="14"/>
                              <w:szCs w:val="14"/>
                            </w:rPr>
                            <w:t>3008889</w:t>
                          </w:r>
                          <w:r>
                            <w:rPr>
                              <w:rFonts w:ascii="Arial" w:eastAsia="Arial" w:hAnsi="Arial" w:cs="Arial"/>
                              <w:color w:val="FFFFFF"/>
                              <w:spacing w:val="10"/>
                              <w:position w:val="2"/>
                              <w:sz w:val="14"/>
                              <w:szCs w:val="14"/>
                            </w:rPr>
                            <w:t xml:space="preserve"> </w:t>
                          </w:r>
                          <w:r>
                            <w:rPr>
                              <w:rFonts w:ascii="Arial" w:eastAsia="Arial" w:hAnsi="Arial" w:cs="Arial"/>
                              <w:color w:val="FFFFFF"/>
                              <w:w w:val="59"/>
                              <w:sz w:val="24"/>
                              <w:szCs w:val="24"/>
                            </w:rPr>
                            <w:t>|</w:t>
                          </w:r>
                          <w:r>
                            <w:rPr>
                              <w:rFonts w:ascii="Arial" w:eastAsia="Arial" w:hAnsi="Arial" w:cs="Arial"/>
                              <w:color w:val="FFFFFF"/>
                              <w:spacing w:val="4"/>
                              <w:w w:val="59"/>
                              <w:sz w:val="24"/>
                              <w:szCs w:val="24"/>
                            </w:rPr>
                            <w:t xml:space="preserve"> </w:t>
                          </w:r>
                          <w:r>
                            <w:rPr>
                              <w:rFonts w:ascii="Arial" w:eastAsia="Arial" w:hAnsi="Arial" w:cs="Arial"/>
                              <w:color w:val="62BB46"/>
                              <w:position w:val="2"/>
                              <w:sz w:val="14"/>
                              <w:szCs w:val="14"/>
                            </w:rPr>
                            <w:t>Email:</w:t>
                          </w:r>
                          <w:r>
                            <w:rPr>
                              <w:rFonts w:ascii="Arial" w:eastAsia="Arial" w:hAnsi="Arial" w:cs="Arial"/>
                              <w:color w:val="62BB46"/>
                              <w:spacing w:val="9"/>
                              <w:position w:val="2"/>
                              <w:sz w:val="14"/>
                              <w:szCs w:val="14"/>
                            </w:rPr>
                            <w:t xml:space="preserve"> </w:t>
                          </w:r>
                          <w:hyperlink r:id="rId1">
                            <w:r>
                              <w:rPr>
                                <w:rFonts w:ascii="Arial" w:eastAsia="Arial" w:hAnsi="Arial" w:cs="Arial"/>
                                <w:color w:val="FFFFFF"/>
                                <w:position w:val="2"/>
                                <w:sz w:val="14"/>
                                <w:szCs w:val="14"/>
                              </w:rPr>
                              <w:t>customerservices@yorwaste.co.uk</w:t>
                            </w:r>
                            <w:r>
                              <w:rPr>
                                <w:rFonts w:ascii="Arial" w:eastAsia="Arial" w:hAnsi="Arial" w:cs="Arial"/>
                                <w:color w:val="FFFFFF"/>
                                <w:spacing w:val="27"/>
                                <w:position w:val="2"/>
                                <w:sz w:val="14"/>
                                <w:szCs w:val="14"/>
                              </w:rPr>
                              <w:t xml:space="preserve"> </w:t>
                            </w:r>
                          </w:hyperlink>
                          <w:r>
                            <w:rPr>
                              <w:rFonts w:ascii="Arial" w:eastAsia="Arial" w:hAnsi="Arial" w:cs="Arial"/>
                              <w:color w:val="FFFFFF"/>
                              <w:w w:val="59"/>
                              <w:sz w:val="24"/>
                              <w:szCs w:val="24"/>
                            </w:rPr>
                            <w:t>|</w:t>
                          </w:r>
                          <w:r>
                            <w:rPr>
                              <w:rFonts w:ascii="Arial" w:eastAsia="Arial" w:hAnsi="Arial" w:cs="Arial"/>
                              <w:color w:val="FFFFFF"/>
                              <w:spacing w:val="4"/>
                              <w:w w:val="59"/>
                              <w:sz w:val="24"/>
                              <w:szCs w:val="24"/>
                            </w:rPr>
                            <w:t xml:space="preserve"> </w:t>
                          </w:r>
                          <w:r>
                            <w:rPr>
                              <w:rFonts w:ascii="Arial" w:eastAsia="Arial" w:hAnsi="Arial" w:cs="Arial"/>
                              <w:color w:val="62BB46"/>
                              <w:spacing w:val="-3"/>
                              <w:position w:val="2"/>
                              <w:sz w:val="14"/>
                              <w:szCs w:val="14"/>
                            </w:rPr>
                            <w:t>W</w:t>
                          </w:r>
                          <w:r>
                            <w:rPr>
                              <w:rFonts w:ascii="Arial" w:eastAsia="Arial" w:hAnsi="Arial" w:cs="Arial"/>
                              <w:color w:val="62BB46"/>
                              <w:position w:val="2"/>
                              <w:sz w:val="14"/>
                              <w:szCs w:val="14"/>
                            </w:rPr>
                            <w:t>ebsite:</w:t>
                          </w:r>
                          <w:r>
                            <w:rPr>
                              <w:rFonts w:ascii="Arial" w:eastAsia="Arial" w:hAnsi="Arial" w:cs="Arial"/>
                              <w:color w:val="62BB46"/>
                              <w:spacing w:val="10"/>
                              <w:position w:val="2"/>
                              <w:sz w:val="14"/>
                              <w:szCs w:val="14"/>
                            </w:rPr>
                            <w:t xml:space="preserve"> </w:t>
                          </w:r>
                          <w:hyperlink r:id="rId2">
                            <w:r>
                              <w:rPr>
                                <w:rFonts w:ascii="Arial" w:eastAsia="Arial" w:hAnsi="Arial" w:cs="Arial"/>
                                <w:color w:val="FFFFFF"/>
                                <w:w w:val="101"/>
                                <w:position w:val="2"/>
                                <w:sz w:val="14"/>
                                <w:szCs w:val="14"/>
                              </w:rPr>
                              <w:t>ww</w:t>
                            </w:r>
                            <w:r>
                              <w:rPr>
                                <w:rFonts w:ascii="Arial" w:eastAsia="Arial" w:hAnsi="Arial" w:cs="Arial"/>
                                <w:color w:val="FFFFFF"/>
                                <w:spacing w:val="-8"/>
                                <w:w w:val="101"/>
                                <w:position w:val="2"/>
                                <w:sz w:val="14"/>
                                <w:szCs w:val="14"/>
                              </w:rPr>
                              <w:t>w</w:t>
                            </w:r>
                            <w:r>
                              <w:rPr>
                                <w:rFonts w:ascii="Arial" w:eastAsia="Arial" w:hAnsi="Arial" w:cs="Arial"/>
                                <w:color w:val="FFFFFF"/>
                                <w:w w:val="101"/>
                                <w:position w:val="2"/>
                                <w:sz w:val="14"/>
                                <w:szCs w:val="14"/>
                              </w:rPr>
                              <w:t>.yorwaste.co.uk</w:t>
                            </w:r>
                          </w:hyperlink>
                        </w:p>
                        <w:p w14:paraId="570DD20D" w14:textId="77777777" w:rsidR="000D7BFA" w:rsidRDefault="000D7BFA" w:rsidP="000D7BFA">
                          <w:pPr>
                            <w:spacing w:before="43" w:after="0" w:line="240" w:lineRule="auto"/>
                            <w:ind w:left="20" w:right="-20"/>
                            <w:rPr>
                              <w:rFonts w:ascii="Arial" w:eastAsia="Arial" w:hAnsi="Arial" w:cs="Arial"/>
                              <w:color w:val="FFFFFF"/>
                              <w:w w:val="105"/>
                              <w:sz w:val="9"/>
                              <w:szCs w:val="9"/>
                            </w:rPr>
                          </w:pPr>
                          <w:r>
                            <w:rPr>
                              <w:rFonts w:ascii="Arial" w:eastAsia="Arial" w:hAnsi="Arial" w:cs="Arial"/>
                              <w:color w:val="FFFFFF"/>
                              <w:sz w:val="9"/>
                              <w:szCs w:val="9"/>
                            </w:rPr>
                            <w:t xml:space="preserve">Registered </w:t>
                          </w:r>
                          <w:r>
                            <w:rPr>
                              <w:rFonts w:ascii="Arial" w:eastAsia="Arial" w:hAnsi="Arial" w:cs="Arial"/>
                              <w:color w:val="FFFFFF"/>
                              <w:spacing w:val="1"/>
                              <w:sz w:val="9"/>
                              <w:szCs w:val="9"/>
                            </w:rPr>
                            <w:t xml:space="preserve"> </w:t>
                          </w:r>
                          <w:r>
                            <w:rPr>
                              <w:rFonts w:ascii="Arial" w:eastAsia="Arial" w:hAnsi="Arial" w:cs="Arial"/>
                              <w:color w:val="FFFFFF"/>
                              <w:sz w:val="9"/>
                              <w:szCs w:val="9"/>
                            </w:rPr>
                            <w:t>in</w:t>
                          </w:r>
                          <w:r>
                            <w:rPr>
                              <w:rFonts w:ascii="Arial" w:eastAsia="Arial" w:hAnsi="Arial" w:cs="Arial"/>
                              <w:color w:val="FFFFFF"/>
                              <w:spacing w:val="7"/>
                              <w:sz w:val="9"/>
                              <w:szCs w:val="9"/>
                            </w:rPr>
                            <w:t xml:space="preserve"> </w:t>
                          </w:r>
                          <w:r>
                            <w:rPr>
                              <w:rFonts w:ascii="Arial" w:eastAsia="Arial" w:hAnsi="Arial" w:cs="Arial"/>
                              <w:color w:val="FFFFFF"/>
                              <w:sz w:val="9"/>
                              <w:szCs w:val="9"/>
                            </w:rPr>
                            <w:t>England</w:t>
                          </w:r>
                          <w:r>
                            <w:rPr>
                              <w:rFonts w:ascii="Arial" w:eastAsia="Arial" w:hAnsi="Arial" w:cs="Arial"/>
                              <w:color w:val="FFFFFF"/>
                              <w:spacing w:val="20"/>
                              <w:sz w:val="9"/>
                              <w:szCs w:val="9"/>
                            </w:rPr>
                            <w:t xml:space="preserve"> </w:t>
                          </w:r>
                          <w:r>
                            <w:rPr>
                              <w:rFonts w:ascii="Arial" w:eastAsia="Arial" w:hAnsi="Arial" w:cs="Arial"/>
                              <w:color w:val="FFFFFF"/>
                              <w:sz w:val="9"/>
                              <w:szCs w:val="9"/>
                            </w:rPr>
                            <w:t>No:</w:t>
                          </w:r>
                          <w:r>
                            <w:rPr>
                              <w:rFonts w:ascii="Arial" w:eastAsia="Arial" w:hAnsi="Arial" w:cs="Arial"/>
                              <w:color w:val="FFFFFF"/>
                              <w:spacing w:val="11"/>
                              <w:sz w:val="9"/>
                              <w:szCs w:val="9"/>
                            </w:rPr>
                            <w:t xml:space="preserve"> </w:t>
                          </w:r>
                          <w:r>
                            <w:rPr>
                              <w:rFonts w:ascii="Arial" w:eastAsia="Arial" w:hAnsi="Arial" w:cs="Arial"/>
                              <w:color w:val="FFFFFF"/>
                              <w:sz w:val="9"/>
                              <w:szCs w:val="9"/>
                            </w:rPr>
                            <w:t>2666908</w:t>
                          </w:r>
                          <w:r>
                            <w:rPr>
                              <w:rFonts w:ascii="Arial" w:eastAsia="Arial" w:hAnsi="Arial" w:cs="Arial"/>
                              <w:color w:val="FFFFFF"/>
                              <w:spacing w:val="21"/>
                              <w:sz w:val="9"/>
                              <w:szCs w:val="9"/>
                            </w:rPr>
                            <w:t xml:space="preserve"> </w:t>
                          </w:r>
                          <w:r>
                            <w:rPr>
                              <w:rFonts w:ascii="Arial" w:eastAsia="Arial" w:hAnsi="Arial" w:cs="Arial"/>
                              <w:color w:val="FFFFFF"/>
                              <w:sz w:val="9"/>
                              <w:szCs w:val="9"/>
                            </w:rPr>
                            <w:t>(</w:t>
                          </w:r>
                          <w:proofErr w:type="spellStart"/>
                          <w:r>
                            <w:rPr>
                              <w:rFonts w:ascii="Arial" w:eastAsia="Arial" w:hAnsi="Arial" w:cs="Arial"/>
                              <w:color w:val="FFFFFF"/>
                              <w:spacing w:val="-9"/>
                              <w:sz w:val="9"/>
                              <w:szCs w:val="9"/>
                            </w:rPr>
                            <w:t>Y</w:t>
                          </w:r>
                          <w:r>
                            <w:rPr>
                              <w:rFonts w:ascii="Arial" w:eastAsia="Arial" w:hAnsi="Arial" w:cs="Arial"/>
                              <w:color w:val="FFFFFF"/>
                              <w:sz w:val="9"/>
                              <w:szCs w:val="9"/>
                            </w:rPr>
                            <w:t>orwaste</w:t>
                          </w:r>
                          <w:proofErr w:type="spellEnd"/>
                          <w:r>
                            <w:rPr>
                              <w:rFonts w:ascii="Arial" w:eastAsia="Arial" w:hAnsi="Arial" w:cs="Arial"/>
                              <w:color w:val="FFFFFF"/>
                              <w:sz w:val="9"/>
                              <w:szCs w:val="9"/>
                            </w:rPr>
                            <w:t xml:space="preserve">) </w:t>
                          </w:r>
                          <w:r>
                            <w:rPr>
                              <w:rFonts w:ascii="Arial" w:eastAsia="Arial" w:hAnsi="Arial" w:cs="Arial"/>
                              <w:color w:val="FFFFFF"/>
                              <w:spacing w:val="1"/>
                              <w:sz w:val="9"/>
                              <w:szCs w:val="9"/>
                            </w:rPr>
                            <w:t xml:space="preserve"> </w:t>
                          </w:r>
                          <w:r>
                            <w:rPr>
                              <w:rFonts w:ascii="Arial" w:eastAsia="Arial" w:hAnsi="Arial" w:cs="Arial"/>
                              <w:color w:val="FFFFFF"/>
                              <w:sz w:val="9"/>
                              <w:szCs w:val="9"/>
                            </w:rPr>
                            <w:t>and</w:t>
                          </w:r>
                          <w:r>
                            <w:rPr>
                              <w:rFonts w:ascii="Arial" w:eastAsia="Arial" w:hAnsi="Arial" w:cs="Arial"/>
                              <w:color w:val="FFFFFF"/>
                              <w:spacing w:val="11"/>
                              <w:sz w:val="9"/>
                              <w:szCs w:val="9"/>
                            </w:rPr>
                            <w:t xml:space="preserve"> </w:t>
                          </w:r>
                          <w:r>
                            <w:rPr>
                              <w:rFonts w:ascii="Arial" w:eastAsia="Arial" w:hAnsi="Arial" w:cs="Arial"/>
                              <w:color w:val="FFFFFF"/>
                              <w:sz w:val="9"/>
                              <w:szCs w:val="9"/>
                            </w:rPr>
                            <w:t>05087784</w:t>
                          </w:r>
                          <w:r>
                            <w:rPr>
                              <w:rFonts w:ascii="Arial" w:eastAsia="Arial" w:hAnsi="Arial" w:cs="Arial"/>
                              <w:color w:val="FFFFFF"/>
                              <w:spacing w:val="24"/>
                              <w:sz w:val="9"/>
                              <w:szCs w:val="9"/>
                            </w:rPr>
                            <w:t xml:space="preserve"> </w:t>
                          </w:r>
                          <w:r>
                            <w:rPr>
                              <w:rFonts w:ascii="Arial" w:eastAsia="Arial" w:hAnsi="Arial" w:cs="Arial"/>
                              <w:color w:val="FFFFFF"/>
                              <w:sz w:val="9"/>
                              <w:szCs w:val="9"/>
                            </w:rPr>
                            <w:t>(SJB</w:t>
                          </w:r>
                          <w:r>
                            <w:rPr>
                              <w:rFonts w:ascii="Arial" w:eastAsia="Arial" w:hAnsi="Arial" w:cs="Arial"/>
                              <w:color w:val="FFFFFF"/>
                              <w:spacing w:val="14"/>
                              <w:sz w:val="9"/>
                              <w:szCs w:val="9"/>
                            </w:rPr>
                            <w:t xml:space="preserve"> </w:t>
                          </w:r>
                          <w:r>
                            <w:rPr>
                              <w:rFonts w:ascii="Arial" w:eastAsia="Arial" w:hAnsi="Arial" w:cs="Arial"/>
                              <w:color w:val="FFFFFF"/>
                              <w:w w:val="105"/>
                              <w:sz w:val="9"/>
                              <w:szCs w:val="9"/>
                            </w:rPr>
                            <w:t>Recycling</w:t>
                          </w:r>
                        </w:p>
                        <w:p w14:paraId="48401117" w14:textId="77777777" w:rsidR="000D7BFA" w:rsidRDefault="000D7BFA" w:rsidP="000D7BFA">
                          <w:pPr>
                            <w:spacing w:before="43" w:after="0" w:line="240" w:lineRule="auto"/>
                            <w:ind w:left="20" w:right="-20"/>
                            <w:rPr>
                              <w:rFonts w:ascii="Arial" w:eastAsia="Arial" w:hAnsi="Arial" w:cs="Arial"/>
                              <w:sz w:val="9"/>
                              <w:szCs w:val="9"/>
                            </w:rPr>
                          </w:pPr>
                          <w:r>
                            <w:rPr>
                              <w:rFonts w:ascii="Arial" w:eastAsia="Arial" w:hAnsi="Arial" w:cs="Arial"/>
                              <w:color w:val="FFFFFF"/>
                              <w:w w:val="105"/>
                              <w:sz w:val="9"/>
                              <w:szCs w:val="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5pt;margin-top:791.45pt;width:299.25pt;height:28.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" filled="f" stroked="f">
              <v:textbox inset="0,0,0,0">
                <w:txbxContent>
                  <w:p w14:paraId="6AF89C46" w14:textId="77777777" w:rsidR="000D7BFA" w:rsidRDefault="000D7BFA" w:rsidP="000D7BFA">
                    <w:pPr>
                      <w:spacing w:before="4" w:after="0" w:line="240" w:lineRule="auto"/>
                      <w:ind w:left="20" w:right="-20"/>
                      <w:rPr>
                        <w:rFonts w:ascii="Arial" w:eastAsia="Arial" w:hAnsi="Arial" w:cs="Arial"/>
                        <w:sz w:val="14"/>
                        <w:szCs w:val="14"/>
                      </w:rPr>
                    </w:pPr>
                    <w:proofErr w:type="spellStart"/>
                    <w:r>
                      <w:rPr>
                        <w:rFonts w:ascii="Arial" w:eastAsia="Arial" w:hAnsi="Arial" w:cs="Arial"/>
                        <w:color w:val="FFFFFF"/>
                        <w:spacing w:val="-13"/>
                        <w:sz w:val="14"/>
                        <w:szCs w:val="14"/>
                      </w:rPr>
                      <w:t>Y</w:t>
                    </w:r>
                    <w:r>
                      <w:rPr>
                        <w:rFonts w:ascii="Arial" w:eastAsia="Arial" w:hAnsi="Arial" w:cs="Arial"/>
                        <w:color w:val="FFFFFF"/>
                        <w:sz w:val="14"/>
                        <w:szCs w:val="14"/>
                      </w:rPr>
                      <w:t>orwaste</w:t>
                    </w:r>
                    <w:proofErr w:type="spellEnd"/>
                    <w:r>
                      <w:rPr>
                        <w:rFonts w:ascii="Arial" w:eastAsia="Arial" w:hAnsi="Arial" w:cs="Arial"/>
                        <w:color w:val="FFFFFF"/>
                        <w:spacing w:val="11"/>
                        <w:sz w:val="14"/>
                        <w:szCs w:val="14"/>
                      </w:rPr>
                      <w:t xml:space="preserve"> </w:t>
                    </w:r>
                    <w:r>
                      <w:rPr>
                        <w:rFonts w:ascii="Arial" w:eastAsia="Arial" w:hAnsi="Arial" w:cs="Arial"/>
                        <w:color w:val="FFFFFF"/>
                        <w:sz w:val="14"/>
                        <w:szCs w:val="14"/>
                      </w:rPr>
                      <w:t>Ltd,</w:t>
                    </w:r>
                    <w:r>
                      <w:rPr>
                        <w:rFonts w:ascii="Arial" w:eastAsia="Arial" w:hAnsi="Arial" w:cs="Arial"/>
                        <w:color w:val="FFFFFF"/>
                        <w:spacing w:val="7"/>
                        <w:sz w:val="14"/>
                        <w:szCs w:val="14"/>
                      </w:rPr>
                      <w:t xml:space="preserve"> </w:t>
                    </w:r>
                    <w:r>
                      <w:rPr>
                        <w:rFonts w:ascii="Arial" w:eastAsia="Arial" w:hAnsi="Arial" w:cs="Arial"/>
                        <w:color w:val="FFFFFF"/>
                        <w:sz w:val="14"/>
                        <w:szCs w:val="14"/>
                      </w:rPr>
                      <w:t>Mount</w:t>
                    </w:r>
                    <w:r>
                      <w:rPr>
                        <w:rFonts w:ascii="Arial" w:eastAsia="Arial" w:hAnsi="Arial" w:cs="Arial"/>
                        <w:color w:val="FFFFFF"/>
                        <w:spacing w:val="9"/>
                        <w:sz w:val="14"/>
                        <w:szCs w:val="14"/>
                      </w:rPr>
                      <w:t xml:space="preserve"> </w:t>
                    </w:r>
                    <w:r>
                      <w:rPr>
                        <w:rFonts w:ascii="Arial" w:eastAsia="Arial" w:hAnsi="Arial" w:cs="Arial"/>
                        <w:color w:val="FFFFFF"/>
                        <w:spacing w:val="-3"/>
                        <w:sz w:val="14"/>
                        <w:szCs w:val="14"/>
                      </w:rPr>
                      <w:t>V</w:t>
                    </w:r>
                    <w:r>
                      <w:rPr>
                        <w:rFonts w:ascii="Arial" w:eastAsia="Arial" w:hAnsi="Arial" w:cs="Arial"/>
                        <w:color w:val="FFFFFF"/>
                        <w:sz w:val="14"/>
                        <w:szCs w:val="14"/>
                      </w:rPr>
                      <w:t>ie</w:t>
                    </w:r>
                    <w:r>
                      <w:rPr>
                        <w:rFonts w:ascii="Arial" w:eastAsia="Arial" w:hAnsi="Arial" w:cs="Arial"/>
                        <w:color w:val="FFFFFF"/>
                        <w:spacing w:val="-8"/>
                        <w:sz w:val="14"/>
                        <w:szCs w:val="14"/>
                      </w:rPr>
                      <w:t>w</w:t>
                    </w:r>
                    <w:r>
                      <w:rPr>
                        <w:rFonts w:ascii="Arial" w:eastAsia="Arial" w:hAnsi="Arial" w:cs="Arial"/>
                        <w:color w:val="FFFFFF"/>
                        <w:sz w:val="14"/>
                        <w:szCs w:val="14"/>
                      </w:rPr>
                      <w:t>,</w:t>
                    </w:r>
                    <w:r>
                      <w:rPr>
                        <w:rFonts w:ascii="Arial" w:eastAsia="Arial" w:hAnsi="Arial" w:cs="Arial"/>
                        <w:color w:val="FFFFFF"/>
                        <w:spacing w:val="8"/>
                        <w:sz w:val="14"/>
                        <w:szCs w:val="14"/>
                      </w:rPr>
                      <w:t xml:space="preserve"> </w:t>
                    </w:r>
                    <w:r>
                      <w:rPr>
                        <w:rFonts w:ascii="Arial" w:eastAsia="Arial" w:hAnsi="Arial" w:cs="Arial"/>
                        <w:color w:val="FFFFFF"/>
                        <w:sz w:val="14"/>
                        <w:szCs w:val="14"/>
                      </w:rPr>
                      <w:t>Standard</w:t>
                    </w:r>
                    <w:r>
                      <w:rPr>
                        <w:rFonts w:ascii="Arial" w:eastAsia="Arial" w:hAnsi="Arial" w:cs="Arial"/>
                        <w:color w:val="FFFFFF"/>
                        <w:spacing w:val="11"/>
                        <w:sz w:val="14"/>
                        <w:szCs w:val="14"/>
                      </w:rPr>
                      <w:t xml:space="preserve"> </w:t>
                    </w:r>
                    <w:r>
                      <w:rPr>
                        <w:rFonts w:ascii="Arial" w:eastAsia="Arial" w:hAnsi="Arial" w:cs="Arial"/>
                        <w:color w:val="FFFFFF"/>
                        <w:spacing w:val="-5"/>
                        <w:sz w:val="14"/>
                        <w:szCs w:val="14"/>
                      </w:rPr>
                      <w:t>W</w:t>
                    </w:r>
                    <w:r>
                      <w:rPr>
                        <w:rFonts w:ascii="Arial" w:eastAsia="Arial" w:hAnsi="Arial" w:cs="Arial"/>
                        <w:color w:val="FFFFFF"/>
                        <w:sz w:val="14"/>
                        <w:szCs w:val="14"/>
                      </w:rPr>
                      <w:t>ay</w:t>
                    </w:r>
                    <w:r>
                      <w:rPr>
                        <w:rFonts w:ascii="Arial" w:eastAsia="Arial" w:hAnsi="Arial" w:cs="Arial"/>
                        <w:color w:val="FFFFFF"/>
                        <w:spacing w:val="8"/>
                        <w:sz w:val="14"/>
                        <w:szCs w:val="14"/>
                      </w:rPr>
                      <w:t xml:space="preserve"> </w:t>
                    </w:r>
                    <w:r>
                      <w:rPr>
                        <w:rFonts w:ascii="Arial" w:eastAsia="Arial" w:hAnsi="Arial" w:cs="Arial"/>
                        <w:color w:val="FFFFFF"/>
                        <w:sz w:val="14"/>
                        <w:szCs w:val="14"/>
                      </w:rPr>
                      <w:t>Business</w:t>
                    </w:r>
                    <w:r>
                      <w:rPr>
                        <w:rFonts w:ascii="Arial" w:eastAsia="Arial" w:hAnsi="Arial" w:cs="Arial"/>
                        <w:color w:val="FFFFFF"/>
                        <w:spacing w:val="11"/>
                        <w:sz w:val="14"/>
                        <w:szCs w:val="14"/>
                      </w:rPr>
                      <w:t xml:space="preserve"> </w:t>
                    </w:r>
                    <w:r>
                      <w:rPr>
                        <w:rFonts w:ascii="Arial" w:eastAsia="Arial" w:hAnsi="Arial" w:cs="Arial"/>
                        <w:color w:val="FFFFFF"/>
                        <w:sz w:val="14"/>
                        <w:szCs w:val="14"/>
                      </w:rPr>
                      <w:t>Park,</w:t>
                    </w:r>
                    <w:r>
                      <w:rPr>
                        <w:rFonts w:ascii="Arial" w:eastAsia="Arial" w:hAnsi="Arial" w:cs="Arial"/>
                        <w:color w:val="FFFFFF"/>
                        <w:spacing w:val="8"/>
                        <w:sz w:val="14"/>
                        <w:szCs w:val="14"/>
                      </w:rPr>
                      <w:t xml:space="preserve"> </w:t>
                    </w:r>
                    <w:proofErr w:type="spellStart"/>
                    <w:r>
                      <w:rPr>
                        <w:rFonts w:ascii="Arial" w:eastAsia="Arial" w:hAnsi="Arial" w:cs="Arial"/>
                        <w:color w:val="FFFFFF"/>
                        <w:sz w:val="14"/>
                        <w:szCs w:val="14"/>
                      </w:rPr>
                      <w:t>Northallerton</w:t>
                    </w:r>
                    <w:proofErr w:type="spellEnd"/>
                    <w:r>
                      <w:rPr>
                        <w:rFonts w:ascii="Arial" w:eastAsia="Arial" w:hAnsi="Arial" w:cs="Arial"/>
                        <w:color w:val="FFFFFF"/>
                        <w:sz w:val="14"/>
                        <w:szCs w:val="14"/>
                      </w:rPr>
                      <w:t>,</w:t>
                    </w:r>
                    <w:r>
                      <w:rPr>
                        <w:rFonts w:ascii="Arial" w:eastAsia="Arial" w:hAnsi="Arial" w:cs="Arial"/>
                        <w:color w:val="FFFFFF"/>
                        <w:spacing w:val="13"/>
                        <w:sz w:val="14"/>
                        <w:szCs w:val="14"/>
                      </w:rPr>
                      <w:t xml:space="preserve"> </w:t>
                    </w:r>
                    <w:r>
                      <w:rPr>
                        <w:rFonts w:ascii="Arial" w:eastAsia="Arial" w:hAnsi="Arial" w:cs="Arial"/>
                        <w:color w:val="FFFFFF"/>
                        <w:sz w:val="14"/>
                        <w:szCs w:val="14"/>
                      </w:rPr>
                      <w:t>DL6</w:t>
                    </w:r>
                    <w:r>
                      <w:rPr>
                        <w:rFonts w:ascii="Arial" w:eastAsia="Arial" w:hAnsi="Arial" w:cs="Arial"/>
                        <w:color w:val="FFFFFF"/>
                        <w:spacing w:val="8"/>
                        <w:sz w:val="14"/>
                        <w:szCs w:val="14"/>
                      </w:rPr>
                      <w:t xml:space="preserve"> </w:t>
                    </w:r>
                    <w:r>
                      <w:rPr>
                        <w:rFonts w:ascii="Arial" w:eastAsia="Arial" w:hAnsi="Arial" w:cs="Arial"/>
                        <w:color w:val="FFFFFF"/>
                        <w:w w:val="101"/>
                        <w:sz w:val="14"/>
                        <w:szCs w:val="14"/>
                      </w:rPr>
                      <w:t>2YD</w:t>
                    </w:r>
                  </w:p>
                  <w:p w14:paraId="5E900B49" w14:textId="77777777" w:rsidR="000D7BFA" w:rsidRDefault="000D7BFA" w:rsidP="000D7BFA">
                    <w:pPr>
                      <w:spacing w:after="0" w:line="244" w:lineRule="exact"/>
                      <w:ind w:left="20" w:right="-56"/>
                      <w:rPr>
                        <w:rFonts w:ascii="Arial" w:eastAsia="Arial" w:hAnsi="Arial" w:cs="Arial"/>
                        <w:sz w:val="14"/>
                        <w:szCs w:val="14"/>
                      </w:rPr>
                    </w:pPr>
                    <w:r>
                      <w:rPr>
                        <w:rFonts w:ascii="Arial" w:eastAsia="Arial" w:hAnsi="Arial" w:cs="Arial"/>
                        <w:color w:val="62BB46"/>
                        <w:spacing w:val="-16"/>
                        <w:position w:val="2"/>
                        <w:sz w:val="14"/>
                        <w:szCs w:val="14"/>
                      </w:rPr>
                      <w:t>T</w:t>
                    </w:r>
                    <w:r>
                      <w:rPr>
                        <w:rFonts w:ascii="Arial" w:eastAsia="Arial" w:hAnsi="Arial" w:cs="Arial"/>
                        <w:color w:val="62BB46"/>
                        <w:position w:val="2"/>
                        <w:sz w:val="14"/>
                        <w:szCs w:val="14"/>
                      </w:rPr>
                      <w:t>el:</w:t>
                    </w:r>
                    <w:r>
                      <w:rPr>
                        <w:rFonts w:ascii="Arial" w:eastAsia="Arial" w:hAnsi="Arial" w:cs="Arial"/>
                        <w:color w:val="62BB46"/>
                        <w:spacing w:val="7"/>
                        <w:position w:val="2"/>
                        <w:sz w:val="14"/>
                        <w:szCs w:val="14"/>
                      </w:rPr>
                      <w:t xml:space="preserve"> </w:t>
                    </w:r>
                    <w:r>
                      <w:rPr>
                        <w:rFonts w:ascii="Arial" w:eastAsia="Arial" w:hAnsi="Arial" w:cs="Arial"/>
                        <w:color w:val="FFFFFF"/>
                        <w:position w:val="2"/>
                        <w:sz w:val="14"/>
                        <w:szCs w:val="14"/>
                      </w:rPr>
                      <w:t>0845</w:t>
                    </w:r>
                    <w:r>
                      <w:rPr>
                        <w:rFonts w:ascii="Arial" w:eastAsia="Arial" w:hAnsi="Arial" w:cs="Arial"/>
                        <w:color w:val="FFFFFF"/>
                        <w:spacing w:val="8"/>
                        <w:position w:val="2"/>
                        <w:sz w:val="14"/>
                        <w:szCs w:val="14"/>
                      </w:rPr>
                      <w:t xml:space="preserve"> </w:t>
                    </w:r>
                    <w:r>
                      <w:rPr>
                        <w:rFonts w:ascii="Arial" w:eastAsia="Arial" w:hAnsi="Arial" w:cs="Arial"/>
                        <w:color w:val="FFFFFF"/>
                        <w:position w:val="2"/>
                        <w:sz w:val="14"/>
                        <w:szCs w:val="14"/>
                      </w:rPr>
                      <w:t>3008889</w:t>
                    </w:r>
                    <w:r>
                      <w:rPr>
                        <w:rFonts w:ascii="Arial" w:eastAsia="Arial" w:hAnsi="Arial" w:cs="Arial"/>
                        <w:color w:val="FFFFFF"/>
                        <w:spacing w:val="10"/>
                        <w:position w:val="2"/>
                        <w:sz w:val="14"/>
                        <w:szCs w:val="14"/>
                      </w:rPr>
                      <w:t xml:space="preserve"> </w:t>
                    </w:r>
                    <w:r>
                      <w:rPr>
                        <w:rFonts w:ascii="Arial" w:eastAsia="Arial" w:hAnsi="Arial" w:cs="Arial"/>
                        <w:color w:val="FFFFFF"/>
                        <w:w w:val="59"/>
                        <w:sz w:val="24"/>
                        <w:szCs w:val="24"/>
                      </w:rPr>
                      <w:t>|</w:t>
                    </w:r>
                    <w:r>
                      <w:rPr>
                        <w:rFonts w:ascii="Arial" w:eastAsia="Arial" w:hAnsi="Arial" w:cs="Arial"/>
                        <w:color w:val="FFFFFF"/>
                        <w:spacing w:val="4"/>
                        <w:w w:val="59"/>
                        <w:sz w:val="24"/>
                        <w:szCs w:val="24"/>
                      </w:rPr>
                      <w:t xml:space="preserve"> </w:t>
                    </w:r>
                    <w:r>
                      <w:rPr>
                        <w:rFonts w:ascii="Arial" w:eastAsia="Arial" w:hAnsi="Arial" w:cs="Arial"/>
                        <w:color w:val="62BB46"/>
                        <w:position w:val="2"/>
                        <w:sz w:val="14"/>
                        <w:szCs w:val="14"/>
                      </w:rPr>
                      <w:t>Email:</w:t>
                    </w:r>
                    <w:r>
                      <w:rPr>
                        <w:rFonts w:ascii="Arial" w:eastAsia="Arial" w:hAnsi="Arial" w:cs="Arial"/>
                        <w:color w:val="62BB46"/>
                        <w:spacing w:val="9"/>
                        <w:position w:val="2"/>
                        <w:sz w:val="14"/>
                        <w:szCs w:val="14"/>
                      </w:rPr>
                      <w:t xml:space="preserve"> </w:t>
                    </w:r>
                    <w:hyperlink r:id="rId3">
                      <w:r>
                        <w:rPr>
                          <w:rFonts w:ascii="Arial" w:eastAsia="Arial" w:hAnsi="Arial" w:cs="Arial"/>
                          <w:color w:val="FFFFFF"/>
                          <w:position w:val="2"/>
                          <w:sz w:val="14"/>
                          <w:szCs w:val="14"/>
                        </w:rPr>
                        <w:t>customerservices@yorwaste.co.uk</w:t>
                      </w:r>
                      <w:r>
                        <w:rPr>
                          <w:rFonts w:ascii="Arial" w:eastAsia="Arial" w:hAnsi="Arial" w:cs="Arial"/>
                          <w:color w:val="FFFFFF"/>
                          <w:spacing w:val="27"/>
                          <w:position w:val="2"/>
                          <w:sz w:val="14"/>
                          <w:szCs w:val="14"/>
                        </w:rPr>
                        <w:t xml:space="preserve"> </w:t>
                      </w:r>
                    </w:hyperlink>
                    <w:r>
                      <w:rPr>
                        <w:rFonts w:ascii="Arial" w:eastAsia="Arial" w:hAnsi="Arial" w:cs="Arial"/>
                        <w:color w:val="FFFFFF"/>
                        <w:w w:val="59"/>
                        <w:sz w:val="24"/>
                        <w:szCs w:val="24"/>
                      </w:rPr>
                      <w:t>|</w:t>
                    </w:r>
                    <w:r>
                      <w:rPr>
                        <w:rFonts w:ascii="Arial" w:eastAsia="Arial" w:hAnsi="Arial" w:cs="Arial"/>
                        <w:color w:val="FFFFFF"/>
                        <w:spacing w:val="4"/>
                        <w:w w:val="59"/>
                        <w:sz w:val="24"/>
                        <w:szCs w:val="24"/>
                      </w:rPr>
                      <w:t xml:space="preserve"> </w:t>
                    </w:r>
                    <w:r>
                      <w:rPr>
                        <w:rFonts w:ascii="Arial" w:eastAsia="Arial" w:hAnsi="Arial" w:cs="Arial"/>
                        <w:color w:val="62BB46"/>
                        <w:spacing w:val="-3"/>
                        <w:position w:val="2"/>
                        <w:sz w:val="14"/>
                        <w:szCs w:val="14"/>
                      </w:rPr>
                      <w:t>W</w:t>
                    </w:r>
                    <w:r>
                      <w:rPr>
                        <w:rFonts w:ascii="Arial" w:eastAsia="Arial" w:hAnsi="Arial" w:cs="Arial"/>
                        <w:color w:val="62BB46"/>
                        <w:position w:val="2"/>
                        <w:sz w:val="14"/>
                        <w:szCs w:val="14"/>
                      </w:rPr>
                      <w:t>ebsite:</w:t>
                    </w:r>
                    <w:r>
                      <w:rPr>
                        <w:rFonts w:ascii="Arial" w:eastAsia="Arial" w:hAnsi="Arial" w:cs="Arial"/>
                        <w:color w:val="62BB46"/>
                        <w:spacing w:val="10"/>
                        <w:position w:val="2"/>
                        <w:sz w:val="14"/>
                        <w:szCs w:val="14"/>
                      </w:rPr>
                      <w:t xml:space="preserve"> </w:t>
                    </w:r>
                    <w:hyperlink r:id="rId4">
                      <w:r>
                        <w:rPr>
                          <w:rFonts w:ascii="Arial" w:eastAsia="Arial" w:hAnsi="Arial" w:cs="Arial"/>
                          <w:color w:val="FFFFFF"/>
                          <w:w w:val="101"/>
                          <w:position w:val="2"/>
                          <w:sz w:val="14"/>
                          <w:szCs w:val="14"/>
                        </w:rPr>
                        <w:t>ww</w:t>
                      </w:r>
                      <w:r>
                        <w:rPr>
                          <w:rFonts w:ascii="Arial" w:eastAsia="Arial" w:hAnsi="Arial" w:cs="Arial"/>
                          <w:color w:val="FFFFFF"/>
                          <w:spacing w:val="-8"/>
                          <w:w w:val="101"/>
                          <w:position w:val="2"/>
                          <w:sz w:val="14"/>
                          <w:szCs w:val="14"/>
                        </w:rPr>
                        <w:t>w</w:t>
                      </w:r>
                      <w:r>
                        <w:rPr>
                          <w:rFonts w:ascii="Arial" w:eastAsia="Arial" w:hAnsi="Arial" w:cs="Arial"/>
                          <w:color w:val="FFFFFF"/>
                          <w:w w:val="101"/>
                          <w:position w:val="2"/>
                          <w:sz w:val="14"/>
                          <w:szCs w:val="14"/>
                        </w:rPr>
                        <w:t>.yorwaste.co.uk</w:t>
                      </w:r>
                    </w:hyperlink>
                  </w:p>
                  <w:p w14:paraId="570DD20D" w14:textId="77777777" w:rsidR="000D7BFA" w:rsidRDefault="000D7BFA" w:rsidP="000D7BFA">
                    <w:pPr>
                      <w:spacing w:before="43" w:after="0" w:line="240" w:lineRule="auto"/>
                      <w:ind w:left="20" w:right="-20"/>
                      <w:rPr>
                        <w:rFonts w:ascii="Arial" w:eastAsia="Arial" w:hAnsi="Arial" w:cs="Arial"/>
                        <w:color w:val="FFFFFF"/>
                        <w:w w:val="105"/>
                        <w:sz w:val="9"/>
                        <w:szCs w:val="9"/>
                      </w:rPr>
                    </w:pPr>
                    <w:proofErr w:type="gramStart"/>
                    <w:r>
                      <w:rPr>
                        <w:rFonts w:ascii="Arial" w:eastAsia="Arial" w:hAnsi="Arial" w:cs="Arial"/>
                        <w:color w:val="FFFFFF"/>
                        <w:sz w:val="9"/>
                        <w:szCs w:val="9"/>
                      </w:rPr>
                      <w:t xml:space="preserve">Registered </w:t>
                    </w:r>
                    <w:r>
                      <w:rPr>
                        <w:rFonts w:ascii="Arial" w:eastAsia="Arial" w:hAnsi="Arial" w:cs="Arial"/>
                        <w:color w:val="FFFFFF"/>
                        <w:spacing w:val="1"/>
                        <w:sz w:val="9"/>
                        <w:szCs w:val="9"/>
                      </w:rPr>
                      <w:t xml:space="preserve"> </w:t>
                    </w:r>
                    <w:r>
                      <w:rPr>
                        <w:rFonts w:ascii="Arial" w:eastAsia="Arial" w:hAnsi="Arial" w:cs="Arial"/>
                        <w:color w:val="FFFFFF"/>
                        <w:sz w:val="9"/>
                        <w:szCs w:val="9"/>
                      </w:rPr>
                      <w:t>in</w:t>
                    </w:r>
                    <w:proofErr w:type="gramEnd"/>
                    <w:r>
                      <w:rPr>
                        <w:rFonts w:ascii="Arial" w:eastAsia="Arial" w:hAnsi="Arial" w:cs="Arial"/>
                        <w:color w:val="FFFFFF"/>
                        <w:spacing w:val="7"/>
                        <w:sz w:val="9"/>
                        <w:szCs w:val="9"/>
                      </w:rPr>
                      <w:t xml:space="preserve"> </w:t>
                    </w:r>
                    <w:r>
                      <w:rPr>
                        <w:rFonts w:ascii="Arial" w:eastAsia="Arial" w:hAnsi="Arial" w:cs="Arial"/>
                        <w:color w:val="FFFFFF"/>
                        <w:sz w:val="9"/>
                        <w:szCs w:val="9"/>
                      </w:rPr>
                      <w:t>England</w:t>
                    </w:r>
                    <w:r>
                      <w:rPr>
                        <w:rFonts w:ascii="Arial" w:eastAsia="Arial" w:hAnsi="Arial" w:cs="Arial"/>
                        <w:color w:val="FFFFFF"/>
                        <w:spacing w:val="20"/>
                        <w:sz w:val="9"/>
                        <w:szCs w:val="9"/>
                      </w:rPr>
                      <w:t xml:space="preserve"> </w:t>
                    </w:r>
                    <w:r>
                      <w:rPr>
                        <w:rFonts w:ascii="Arial" w:eastAsia="Arial" w:hAnsi="Arial" w:cs="Arial"/>
                        <w:color w:val="FFFFFF"/>
                        <w:sz w:val="9"/>
                        <w:szCs w:val="9"/>
                      </w:rPr>
                      <w:t>No:</w:t>
                    </w:r>
                    <w:r>
                      <w:rPr>
                        <w:rFonts w:ascii="Arial" w:eastAsia="Arial" w:hAnsi="Arial" w:cs="Arial"/>
                        <w:color w:val="FFFFFF"/>
                        <w:spacing w:val="11"/>
                        <w:sz w:val="9"/>
                        <w:szCs w:val="9"/>
                      </w:rPr>
                      <w:t xml:space="preserve"> </w:t>
                    </w:r>
                    <w:r>
                      <w:rPr>
                        <w:rFonts w:ascii="Arial" w:eastAsia="Arial" w:hAnsi="Arial" w:cs="Arial"/>
                        <w:color w:val="FFFFFF"/>
                        <w:sz w:val="9"/>
                        <w:szCs w:val="9"/>
                      </w:rPr>
                      <w:t>2666908</w:t>
                    </w:r>
                    <w:r>
                      <w:rPr>
                        <w:rFonts w:ascii="Arial" w:eastAsia="Arial" w:hAnsi="Arial" w:cs="Arial"/>
                        <w:color w:val="FFFFFF"/>
                        <w:spacing w:val="21"/>
                        <w:sz w:val="9"/>
                        <w:szCs w:val="9"/>
                      </w:rPr>
                      <w:t xml:space="preserve"> </w:t>
                    </w:r>
                    <w:r>
                      <w:rPr>
                        <w:rFonts w:ascii="Arial" w:eastAsia="Arial" w:hAnsi="Arial" w:cs="Arial"/>
                        <w:color w:val="FFFFFF"/>
                        <w:sz w:val="9"/>
                        <w:szCs w:val="9"/>
                      </w:rPr>
                      <w:t>(</w:t>
                    </w:r>
                    <w:proofErr w:type="spellStart"/>
                    <w:r>
                      <w:rPr>
                        <w:rFonts w:ascii="Arial" w:eastAsia="Arial" w:hAnsi="Arial" w:cs="Arial"/>
                        <w:color w:val="FFFFFF"/>
                        <w:spacing w:val="-9"/>
                        <w:sz w:val="9"/>
                        <w:szCs w:val="9"/>
                      </w:rPr>
                      <w:t>Y</w:t>
                    </w:r>
                    <w:r>
                      <w:rPr>
                        <w:rFonts w:ascii="Arial" w:eastAsia="Arial" w:hAnsi="Arial" w:cs="Arial"/>
                        <w:color w:val="FFFFFF"/>
                        <w:sz w:val="9"/>
                        <w:szCs w:val="9"/>
                      </w:rPr>
                      <w:t>orwaste</w:t>
                    </w:r>
                    <w:proofErr w:type="spellEnd"/>
                    <w:r>
                      <w:rPr>
                        <w:rFonts w:ascii="Arial" w:eastAsia="Arial" w:hAnsi="Arial" w:cs="Arial"/>
                        <w:color w:val="FFFFFF"/>
                        <w:sz w:val="9"/>
                        <w:szCs w:val="9"/>
                      </w:rPr>
                      <w:t xml:space="preserve">) </w:t>
                    </w:r>
                    <w:r>
                      <w:rPr>
                        <w:rFonts w:ascii="Arial" w:eastAsia="Arial" w:hAnsi="Arial" w:cs="Arial"/>
                        <w:color w:val="FFFFFF"/>
                        <w:spacing w:val="1"/>
                        <w:sz w:val="9"/>
                        <w:szCs w:val="9"/>
                      </w:rPr>
                      <w:t xml:space="preserve"> </w:t>
                    </w:r>
                    <w:r>
                      <w:rPr>
                        <w:rFonts w:ascii="Arial" w:eastAsia="Arial" w:hAnsi="Arial" w:cs="Arial"/>
                        <w:color w:val="FFFFFF"/>
                        <w:sz w:val="9"/>
                        <w:szCs w:val="9"/>
                      </w:rPr>
                      <w:t>and</w:t>
                    </w:r>
                    <w:r>
                      <w:rPr>
                        <w:rFonts w:ascii="Arial" w:eastAsia="Arial" w:hAnsi="Arial" w:cs="Arial"/>
                        <w:color w:val="FFFFFF"/>
                        <w:spacing w:val="11"/>
                        <w:sz w:val="9"/>
                        <w:szCs w:val="9"/>
                      </w:rPr>
                      <w:t xml:space="preserve"> </w:t>
                    </w:r>
                    <w:r>
                      <w:rPr>
                        <w:rFonts w:ascii="Arial" w:eastAsia="Arial" w:hAnsi="Arial" w:cs="Arial"/>
                        <w:color w:val="FFFFFF"/>
                        <w:sz w:val="9"/>
                        <w:szCs w:val="9"/>
                      </w:rPr>
                      <w:t>05087784</w:t>
                    </w:r>
                    <w:r>
                      <w:rPr>
                        <w:rFonts w:ascii="Arial" w:eastAsia="Arial" w:hAnsi="Arial" w:cs="Arial"/>
                        <w:color w:val="FFFFFF"/>
                        <w:spacing w:val="24"/>
                        <w:sz w:val="9"/>
                        <w:szCs w:val="9"/>
                      </w:rPr>
                      <w:t xml:space="preserve"> </w:t>
                    </w:r>
                    <w:r>
                      <w:rPr>
                        <w:rFonts w:ascii="Arial" w:eastAsia="Arial" w:hAnsi="Arial" w:cs="Arial"/>
                        <w:color w:val="FFFFFF"/>
                        <w:sz w:val="9"/>
                        <w:szCs w:val="9"/>
                      </w:rPr>
                      <w:t>(SJB</w:t>
                    </w:r>
                    <w:r>
                      <w:rPr>
                        <w:rFonts w:ascii="Arial" w:eastAsia="Arial" w:hAnsi="Arial" w:cs="Arial"/>
                        <w:color w:val="FFFFFF"/>
                        <w:spacing w:val="14"/>
                        <w:sz w:val="9"/>
                        <w:szCs w:val="9"/>
                      </w:rPr>
                      <w:t xml:space="preserve"> </w:t>
                    </w:r>
                    <w:r>
                      <w:rPr>
                        <w:rFonts w:ascii="Arial" w:eastAsia="Arial" w:hAnsi="Arial" w:cs="Arial"/>
                        <w:color w:val="FFFFFF"/>
                        <w:w w:val="105"/>
                        <w:sz w:val="9"/>
                        <w:szCs w:val="9"/>
                      </w:rPr>
                      <w:t>Recycling</w:t>
                    </w:r>
                  </w:p>
                  <w:p w14:paraId="48401117" w14:textId="77777777" w:rsidR="000D7BFA" w:rsidRDefault="000D7BFA" w:rsidP="000D7BFA">
                    <w:pPr>
                      <w:spacing w:before="43" w:after="0" w:line="240" w:lineRule="auto"/>
                      <w:ind w:left="20" w:right="-20"/>
                      <w:rPr>
                        <w:rFonts w:ascii="Arial" w:eastAsia="Arial" w:hAnsi="Arial" w:cs="Arial"/>
                        <w:sz w:val="9"/>
                        <w:szCs w:val="9"/>
                      </w:rPr>
                    </w:pPr>
                    <w:r>
                      <w:rPr>
                        <w:rFonts w:ascii="Arial" w:eastAsia="Arial" w:hAnsi="Arial" w:cs="Arial"/>
                        <w:color w:val="FFFFFF"/>
                        <w:w w:val="105"/>
                        <w:sz w:val="9"/>
                        <w:szCs w:val="9"/>
                      </w:rPr>
                      <w:t>)</w:t>
                    </w:r>
                  </w:p>
                </w:txbxContent>
              </v:textbox>
              <w10:wrap anchorx="page" anchory="page"/>
            </v:shape>
          </w:pict>
        </mc:Fallback>
      </mc:AlternateContent>
    </w:r>
    <w:r w:rsidR="000D7BFA">
      <w:rPr>
        <w:noProof/>
        <w:lang w:val="en-GB" w:eastAsia="en-GB"/>
      </w:rPr>
      <w:drawing>
        <wp:anchor distT="0" distB="0" distL="114300" distR="114300" simplePos="0" relativeHeight="251657728" behindDoc="1" locked="0" layoutInCell="1" allowOverlap="1" wp14:anchorId="66627BCE" wp14:editId="6B348CE9">
          <wp:simplePos x="0" y="0"/>
          <wp:positionH relativeFrom="page">
            <wp:posOffset>0</wp:posOffset>
          </wp:positionH>
          <wp:positionV relativeFrom="page">
            <wp:posOffset>7937500</wp:posOffset>
          </wp:positionV>
          <wp:extent cx="7559675" cy="27533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59675" cy="2753360"/>
                  </a:xfrm>
                  <a:prstGeom prst="rect">
                    <a:avLst/>
                  </a:prstGeom>
                  <a:noFill/>
                </pic:spPr>
              </pic:pic>
            </a:graphicData>
          </a:graphic>
          <wp14:sizeRelH relativeFrom="page">
            <wp14:pctWidth>0</wp14:pctWidth>
          </wp14:sizeRelH>
          <wp14:sizeRelV relativeFrom="page">
            <wp14:pctHeight>0</wp14:pctHeight>
          </wp14:sizeRelV>
        </wp:anchor>
      </w:drawing>
    </w:r>
    <w:r w:rsidR="000D7BFA">
      <w:rPr>
        <w:noProof/>
        <w:lang w:val="en-GB" w:eastAsia="en-GB"/>
      </w:rPr>
      <w:drawing>
        <wp:anchor distT="0" distB="0" distL="114300" distR="114300" simplePos="0" relativeHeight="251656704" behindDoc="1" locked="0" layoutInCell="1" allowOverlap="1" wp14:anchorId="5A0EC93E" wp14:editId="044B4072">
          <wp:simplePos x="0" y="0"/>
          <wp:positionH relativeFrom="page">
            <wp:posOffset>4364355</wp:posOffset>
          </wp:positionH>
          <wp:positionV relativeFrom="page">
            <wp:posOffset>395605</wp:posOffset>
          </wp:positionV>
          <wp:extent cx="2870835" cy="458470"/>
          <wp:effectExtent l="0" t="0" r="0" b="0"/>
          <wp:wrapThrough wrapText="bothSides">
            <wp:wrapPolygon edited="0">
              <wp:start x="0" y="0"/>
              <wp:lineTo x="0" y="20343"/>
              <wp:lineTo x="21404" y="20343"/>
              <wp:lineTo x="2140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0835" cy="4584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487391"/>
    <w:multiLevelType w:val="multilevel"/>
    <w:tmpl w:val="5ABE95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758"/>
    <w:rsid w:val="000D7BFA"/>
    <w:rsid w:val="0053405B"/>
    <w:rsid w:val="0071353D"/>
    <w:rsid w:val="00771DEC"/>
    <w:rsid w:val="009E6758"/>
    <w:rsid w:val="00BC40FB"/>
    <w:rsid w:val="00E808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BDD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BFA"/>
    <w:pPr>
      <w:tabs>
        <w:tab w:val="center" w:pos="4320"/>
        <w:tab w:val="right" w:pos="8640"/>
      </w:tabs>
      <w:spacing w:after="0" w:line="240" w:lineRule="auto"/>
    </w:pPr>
  </w:style>
  <w:style w:type="character" w:customStyle="1" w:styleId="HeaderChar">
    <w:name w:val="Header Char"/>
    <w:basedOn w:val="DefaultParagraphFont"/>
    <w:link w:val="Header"/>
    <w:uiPriority w:val="99"/>
    <w:rsid w:val="000D7BFA"/>
  </w:style>
  <w:style w:type="paragraph" w:styleId="Footer">
    <w:name w:val="footer"/>
    <w:basedOn w:val="Normal"/>
    <w:link w:val="FooterChar"/>
    <w:uiPriority w:val="99"/>
    <w:unhideWhenUsed/>
    <w:rsid w:val="000D7BFA"/>
    <w:pPr>
      <w:tabs>
        <w:tab w:val="center" w:pos="4320"/>
        <w:tab w:val="right" w:pos="8640"/>
      </w:tabs>
      <w:spacing w:after="0" w:line="240" w:lineRule="auto"/>
    </w:pPr>
  </w:style>
  <w:style w:type="character" w:customStyle="1" w:styleId="FooterChar">
    <w:name w:val="Footer Char"/>
    <w:basedOn w:val="DefaultParagraphFont"/>
    <w:link w:val="Footer"/>
    <w:uiPriority w:val="99"/>
    <w:rsid w:val="000D7BFA"/>
  </w:style>
  <w:style w:type="paragraph" w:styleId="ListParagraph">
    <w:name w:val="List Paragraph"/>
    <w:basedOn w:val="Normal"/>
    <w:uiPriority w:val="34"/>
    <w:qFormat/>
    <w:rsid w:val="0053405B"/>
    <w:pPr>
      <w:widowControl/>
      <w:spacing w:after="0" w:line="240" w:lineRule="auto"/>
      <w:ind w:left="720" w:hanging="720"/>
      <w:contextualSpacing/>
    </w:pPr>
    <w:rPr>
      <w:rFonts w:ascii="Cambria" w:eastAsia="Times New Roman" w:hAnsi="Cambria" w:cs="Times New Roman"/>
      <w:sz w:val="24"/>
      <w:szCs w:val="20"/>
      <w:lang w:val="en-GB"/>
    </w:rPr>
  </w:style>
  <w:style w:type="paragraph" w:customStyle="1" w:styleId="Style2">
    <w:name w:val="Style2"/>
    <w:basedOn w:val="BodyText"/>
    <w:link w:val="Style2Char"/>
    <w:qFormat/>
    <w:rsid w:val="0053405B"/>
    <w:pPr>
      <w:widowControl/>
      <w:spacing w:after="0" w:line="240" w:lineRule="auto"/>
      <w:ind w:left="720" w:hanging="720"/>
      <w:jc w:val="both"/>
    </w:pPr>
    <w:rPr>
      <w:rFonts w:ascii="Cambria" w:eastAsia="Times New Roman" w:hAnsi="Cambria" w:cs="Arial"/>
      <w:sz w:val="24"/>
      <w:szCs w:val="24"/>
      <w:lang w:val="en-GB"/>
    </w:rPr>
  </w:style>
  <w:style w:type="character" w:customStyle="1" w:styleId="Style2Char">
    <w:name w:val="Style2 Char"/>
    <w:basedOn w:val="DefaultParagraphFont"/>
    <w:link w:val="Style2"/>
    <w:rsid w:val="0053405B"/>
    <w:rPr>
      <w:rFonts w:ascii="Cambria" w:eastAsia="Times New Roman" w:hAnsi="Cambria" w:cs="Arial"/>
      <w:sz w:val="24"/>
      <w:szCs w:val="24"/>
      <w:lang w:val="en-GB"/>
    </w:rPr>
  </w:style>
  <w:style w:type="table" w:styleId="TableGrid">
    <w:name w:val="Table Grid"/>
    <w:basedOn w:val="TableNormal"/>
    <w:uiPriority w:val="59"/>
    <w:rsid w:val="0053405B"/>
    <w:pPr>
      <w:widowControl/>
      <w:spacing w:after="0" w:line="240" w:lineRule="auto"/>
    </w:pPr>
    <w:rPr>
      <w:rFonts w:eastAsiaTheme="minorEastAsia"/>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3405B"/>
    <w:pPr>
      <w:spacing w:after="120"/>
    </w:pPr>
  </w:style>
  <w:style w:type="character" w:customStyle="1" w:styleId="BodyTextChar">
    <w:name w:val="Body Text Char"/>
    <w:basedOn w:val="DefaultParagraphFont"/>
    <w:link w:val="BodyText"/>
    <w:uiPriority w:val="99"/>
    <w:semiHidden/>
    <w:rsid w:val="005340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BFA"/>
    <w:pPr>
      <w:tabs>
        <w:tab w:val="center" w:pos="4320"/>
        <w:tab w:val="right" w:pos="8640"/>
      </w:tabs>
      <w:spacing w:after="0" w:line="240" w:lineRule="auto"/>
    </w:pPr>
  </w:style>
  <w:style w:type="character" w:customStyle="1" w:styleId="HeaderChar">
    <w:name w:val="Header Char"/>
    <w:basedOn w:val="DefaultParagraphFont"/>
    <w:link w:val="Header"/>
    <w:uiPriority w:val="99"/>
    <w:rsid w:val="000D7BFA"/>
  </w:style>
  <w:style w:type="paragraph" w:styleId="Footer">
    <w:name w:val="footer"/>
    <w:basedOn w:val="Normal"/>
    <w:link w:val="FooterChar"/>
    <w:uiPriority w:val="99"/>
    <w:unhideWhenUsed/>
    <w:rsid w:val="000D7BFA"/>
    <w:pPr>
      <w:tabs>
        <w:tab w:val="center" w:pos="4320"/>
        <w:tab w:val="right" w:pos="8640"/>
      </w:tabs>
      <w:spacing w:after="0" w:line="240" w:lineRule="auto"/>
    </w:pPr>
  </w:style>
  <w:style w:type="character" w:customStyle="1" w:styleId="FooterChar">
    <w:name w:val="Footer Char"/>
    <w:basedOn w:val="DefaultParagraphFont"/>
    <w:link w:val="Footer"/>
    <w:uiPriority w:val="99"/>
    <w:rsid w:val="000D7BFA"/>
  </w:style>
  <w:style w:type="paragraph" w:styleId="ListParagraph">
    <w:name w:val="List Paragraph"/>
    <w:basedOn w:val="Normal"/>
    <w:uiPriority w:val="34"/>
    <w:qFormat/>
    <w:rsid w:val="0053405B"/>
    <w:pPr>
      <w:widowControl/>
      <w:spacing w:after="0" w:line="240" w:lineRule="auto"/>
      <w:ind w:left="720" w:hanging="720"/>
      <w:contextualSpacing/>
    </w:pPr>
    <w:rPr>
      <w:rFonts w:ascii="Cambria" w:eastAsia="Times New Roman" w:hAnsi="Cambria" w:cs="Times New Roman"/>
      <w:sz w:val="24"/>
      <w:szCs w:val="20"/>
      <w:lang w:val="en-GB"/>
    </w:rPr>
  </w:style>
  <w:style w:type="paragraph" w:customStyle="1" w:styleId="Style2">
    <w:name w:val="Style2"/>
    <w:basedOn w:val="BodyText"/>
    <w:link w:val="Style2Char"/>
    <w:qFormat/>
    <w:rsid w:val="0053405B"/>
    <w:pPr>
      <w:widowControl/>
      <w:spacing w:after="0" w:line="240" w:lineRule="auto"/>
      <w:ind w:left="720" w:hanging="720"/>
      <w:jc w:val="both"/>
    </w:pPr>
    <w:rPr>
      <w:rFonts w:ascii="Cambria" w:eastAsia="Times New Roman" w:hAnsi="Cambria" w:cs="Arial"/>
      <w:sz w:val="24"/>
      <w:szCs w:val="24"/>
      <w:lang w:val="en-GB"/>
    </w:rPr>
  </w:style>
  <w:style w:type="character" w:customStyle="1" w:styleId="Style2Char">
    <w:name w:val="Style2 Char"/>
    <w:basedOn w:val="DefaultParagraphFont"/>
    <w:link w:val="Style2"/>
    <w:rsid w:val="0053405B"/>
    <w:rPr>
      <w:rFonts w:ascii="Cambria" w:eastAsia="Times New Roman" w:hAnsi="Cambria" w:cs="Arial"/>
      <w:sz w:val="24"/>
      <w:szCs w:val="24"/>
      <w:lang w:val="en-GB"/>
    </w:rPr>
  </w:style>
  <w:style w:type="table" w:styleId="TableGrid">
    <w:name w:val="Table Grid"/>
    <w:basedOn w:val="TableNormal"/>
    <w:uiPriority w:val="59"/>
    <w:rsid w:val="0053405B"/>
    <w:pPr>
      <w:widowControl/>
      <w:spacing w:after="0" w:line="240" w:lineRule="auto"/>
    </w:pPr>
    <w:rPr>
      <w:rFonts w:eastAsiaTheme="minorEastAsia"/>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3405B"/>
    <w:pPr>
      <w:spacing w:after="120"/>
    </w:pPr>
  </w:style>
  <w:style w:type="character" w:customStyle="1" w:styleId="BodyTextChar">
    <w:name w:val="Body Text Char"/>
    <w:basedOn w:val="DefaultParagraphFont"/>
    <w:link w:val="BodyText"/>
    <w:uiPriority w:val="99"/>
    <w:semiHidden/>
    <w:rsid w:val="00534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ustomerservices@yorwaste.co.uk" TargetMode="External"/><Relationship Id="rId2" Type="http://schemas.openxmlformats.org/officeDocument/2006/relationships/hyperlink" Target="http://www.yorwaste.co.uk/" TargetMode="External"/><Relationship Id="rId1" Type="http://schemas.openxmlformats.org/officeDocument/2006/relationships/hyperlink" Target="mailto:customerservices@yorwaste.co.uk" TargetMode="Externa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www.yorwast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1254</Words>
  <Characters>7153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Yorwaste</Company>
  <LinksUpToDate>false</LinksUpToDate>
  <CharactersWithSpaces>8391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Anderson</dc:creator>
  <cp:lastModifiedBy>Paula Downing</cp:lastModifiedBy>
  <cp:revision>3</cp:revision>
  <dcterms:created xsi:type="dcterms:W3CDTF">2017-02-28T08:20:00Z</dcterms:created>
  <dcterms:modified xsi:type="dcterms:W3CDTF">2017-03-31T09:21:00Z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2016-09-08T00:00:00Z</vt:filetime>
  </property>
  <property fmtid="{D5CDD505-2E9C-101B-9397-08002B2CF9AE}" pid="3" name="LastSaved">
    <vt:filetime>2016-09-08T00:00:00Z</vt:filetime>
  </property>
</Properties>
</file>