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u w:val="single"/>
        </w:rPr>
      </w:pPr>
      <w:bookmarkStart w:colFirst="0" w:colLast="0" w:name="_gjdgxs" w:id="0"/>
      <w:bookmarkEnd w:id="0"/>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2">
      <w:pPr>
        <w:spacing w:before="200" w:lineRule="auto"/>
        <w:rPr>
          <w:rFonts w:ascii="Arial" w:cs="Arial" w:eastAsia="Arial" w:hAnsi="Arial"/>
        </w:rPr>
      </w:pPr>
      <w:bookmarkStart w:colFirst="0" w:colLast="0" w:name="_oz50bdbwpzjo" w:id="1"/>
      <w:bookmarkEnd w:id="1"/>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3">
      <w:pPr>
        <w:spacing w:before="200" w:lineRule="auto"/>
        <w:rPr>
          <w:rFonts w:ascii="Arial" w:cs="Arial" w:eastAsia="Arial" w:hAnsi="Arial"/>
        </w:rPr>
      </w:pPr>
      <w:bookmarkStart w:colFirst="0" w:colLast="0" w:name="_xarfjco3y3h" w:id="2"/>
      <w:bookmarkEnd w:id="2"/>
      <w:r w:rsidDel="00000000" w:rsidR="00000000" w:rsidRPr="00000000">
        <w:rPr>
          <w:rtl w:val="0"/>
        </w:rPr>
      </w:r>
    </w:p>
    <w:p w:rsidR="00000000" w:rsidDel="00000000" w:rsidP="00000000" w:rsidRDefault="00000000" w:rsidRPr="00000000" w14:paraId="00000004">
      <w:pPr>
        <w:rPr>
          <w:rFonts w:ascii="Arial" w:cs="Arial" w:eastAsia="Arial" w:hAnsi="Arial"/>
        </w:rPr>
      </w:pPr>
      <w:bookmarkStart w:colFirst="0" w:colLast="0" w:name="_kmqybcv4d2vs" w:id="3"/>
      <w:bookmarkEnd w:id="3"/>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5">
      <w:pPr>
        <w:rPr>
          <w:rFonts w:ascii="Arial" w:cs="Arial" w:eastAsia="Arial" w:hAnsi="Arial"/>
        </w:rPr>
      </w:pPr>
      <w:bookmarkStart w:colFirst="0" w:colLast="0" w:name="_e5im4kl1j9ay" w:id="4"/>
      <w:bookmarkEnd w:id="4"/>
      <w:hyperlink r:id="rId6">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T125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procurement-and-contracting-transparency-requirements-guidance"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