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77777777" w:rsidR="00BC2034" w:rsidRPr="0057234C" w:rsidRDefault="0018229B" w:rsidP="00482EDF">
            <w:pPr>
              <w:spacing w:before="120" w:after="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57234C" w:rsidRDefault="00EE3CDC" w:rsidP="007B1759">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14:paraId="1FB69B2C"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D1D11AF"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77777777" w:rsidR="00BC2034" w:rsidRPr="0057234C" w:rsidRDefault="0018229B" w:rsidP="00482EDF">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ispute at each level. You may include as many levels as appropriate to the project. The purpose of having a number of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F8EDC47" w14:textId="574E7686"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(e.g.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613A73">
        <w:rPr>
          <w:rFonts w:ascii="Arial" w:hAnsi="Arial" w:cs="Arial"/>
          <w:b/>
          <w:color w:val="auto"/>
        </w:rPr>
      </w:r>
      <w:r w:rsidR="00613A7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613A73">
        <w:rPr>
          <w:rFonts w:ascii="Arial" w:hAnsi="Arial" w:cs="Arial"/>
          <w:b/>
          <w:color w:val="auto"/>
        </w:rPr>
      </w:r>
      <w:r w:rsidR="00613A7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613A73">
        <w:rPr>
          <w:rFonts w:ascii="Arial" w:hAnsi="Arial" w:cs="Arial"/>
          <w:b/>
          <w:color w:val="auto"/>
        </w:rPr>
      </w:r>
      <w:r w:rsidR="00613A7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613A73">
        <w:rPr>
          <w:rFonts w:ascii="Arial" w:hAnsi="Arial" w:cs="Arial"/>
          <w:b/>
          <w:color w:val="auto"/>
        </w:rPr>
      </w:r>
      <w:r w:rsidR="00613A73">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613A73">
        <w:rPr>
          <w:rFonts w:ascii="Arial" w:hAnsi="Arial" w:cs="Arial"/>
          <w:b/>
          <w:color w:val="auto"/>
        </w:rPr>
      </w:r>
      <w:r w:rsidR="00613A7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613A73">
        <w:rPr>
          <w:rFonts w:ascii="Arial" w:hAnsi="Arial" w:cs="Arial"/>
          <w:b/>
          <w:color w:val="auto"/>
          <w:lang w:val="en-US"/>
        </w:rPr>
      </w:r>
      <w:r w:rsidR="00613A7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613A73">
        <w:rPr>
          <w:rFonts w:ascii="Arial" w:hAnsi="Arial" w:cs="Arial"/>
          <w:b/>
          <w:color w:val="auto"/>
          <w:lang w:val="en-US"/>
        </w:rPr>
      </w:r>
      <w:r w:rsidR="00613A7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613A73">
        <w:rPr>
          <w:rFonts w:ascii="Arial" w:hAnsi="Arial" w:cs="Arial"/>
          <w:b/>
          <w:color w:val="auto"/>
          <w:lang w:val="en-US"/>
        </w:rPr>
      </w:r>
      <w:r w:rsidR="00613A7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613A73">
        <w:rPr>
          <w:rFonts w:ascii="Arial" w:hAnsi="Arial" w:cs="Arial"/>
          <w:b/>
          <w:color w:val="auto"/>
          <w:lang w:val="en-US"/>
        </w:rPr>
      </w:r>
      <w:r w:rsidR="00613A7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613A73">
        <w:rPr>
          <w:rFonts w:ascii="Arial" w:hAnsi="Arial" w:cs="Arial"/>
          <w:b/>
          <w:color w:val="auto"/>
          <w:lang w:val="en-US"/>
        </w:rPr>
      </w:r>
      <w:r w:rsidR="00613A7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613A73">
        <w:rPr>
          <w:rFonts w:ascii="Arial" w:hAnsi="Arial"/>
          <w:b/>
          <w:color w:val="auto"/>
          <w:lang w:val="en-US"/>
        </w:rPr>
      </w:r>
      <w:r w:rsidR="00613A7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613A73">
        <w:rPr>
          <w:rFonts w:ascii="Arial" w:hAnsi="Arial"/>
          <w:b/>
          <w:color w:val="auto"/>
          <w:lang w:val="en-US"/>
        </w:rPr>
      </w:r>
      <w:r w:rsidR="00613A7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r w:rsidR="002D098A" w:rsidRPr="00C4312C">
        <w:rPr>
          <w:rFonts w:eastAsiaTheme="minorEastAsia" w:cs="Calibri"/>
          <w:i/>
          <w:color w:val="999999"/>
          <w:w w:val="0"/>
          <w:szCs w:val="24"/>
        </w:rPr>
        <w:t xml:space="preserve">completed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
    <w:p w14:paraId="1FB69BFF" w14:textId="236EACC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613A73">
        <w:rPr>
          <w:rFonts w:ascii="Arial" w:hAnsi="Arial"/>
          <w:b/>
          <w:color w:val="auto"/>
          <w:lang w:val="en-US"/>
        </w:rPr>
      </w:r>
      <w:r w:rsidR="00613A7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613A73">
        <w:rPr>
          <w:rFonts w:ascii="Arial" w:hAnsi="Arial"/>
          <w:b/>
          <w:color w:val="auto"/>
          <w:lang w:val="en-US"/>
        </w:rPr>
      </w:r>
      <w:r w:rsidR="00613A7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613A73">
        <w:rPr>
          <w:rFonts w:ascii="Arial" w:hAnsi="Arial"/>
          <w:b/>
          <w:color w:val="auto"/>
          <w:lang w:val="en-US"/>
        </w:rPr>
      </w:r>
      <w:r w:rsidR="00613A7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613A73">
        <w:rPr>
          <w:rFonts w:ascii="Arial" w:hAnsi="Arial" w:cs="Arial"/>
          <w:b/>
          <w:color w:val="auto"/>
          <w:lang w:val="en-US"/>
        </w:rPr>
      </w:r>
      <w:r w:rsidR="00613A73">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613A73">
        <w:rPr>
          <w:b/>
          <w:color w:val="auto"/>
          <w:lang w:val="en-US"/>
        </w:rPr>
      </w:r>
      <w:r w:rsidR="00613A73">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613A73">
        <w:rPr>
          <w:rFonts w:ascii="Arial" w:hAnsi="Arial" w:cs="Calibri"/>
          <w:color w:val="auto"/>
          <w:w w:val="0"/>
          <w:szCs w:val="24"/>
        </w:rPr>
      </w:r>
      <w:r w:rsidR="00613A73">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The Authority appoints the Supplier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7"/>
      <w:bookmarkEnd w:id="88"/>
      <w:bookmarkEnd w:id="89"/>
      <w:bookmarkEnd w:id="90"/>
      <w:bookmarkEnd w:id="91"/>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2"/>
      <w:bookmarkEnd w:id="93"/>
      <w:bookmarkEnd w:id="94"/>
      <w:bookmarkEnd w:id="95"/>
      <w:bookmarkEnd w:id="96"/>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7"/>
      <w:bookmarkEnd w:id="98"/>
      <w:bookmarkEnd w:id="99"/>
      <w:bookmarkEnd w:id="100"/>
      <w:bookmarkEnd w:id="101"/>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in accordance with the Law and with Guidance;</w:t>
      </w:r>
      <w:bookmarkEnd w:id="102"/>
      <w:bookmarkEnd w:id="103"/>
      <w:bookmarkEnd w:id="104"/>
      <w:bookmarkEnd w:id="105"/>
      <w:bookmarkEnd w:id="106"/>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Premises, locations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t>The Supplier shall ensure that all Staff are aware of, and at all times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details of the performance of the Supplier when assessed in accordance with the KPIs since the last such performance report;</w:t>
      </w:r>
      <w:bookmarkEnd w:id="354"/>
      <w:bookmarkEnd w:id="355"/>
      <w:bookmarkEnd w:id="356"/>
      <w:bookmarkEnd w:id="357"/>
      <w:bookmarkEnd w:id="358"/>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6"/>
      <w:bookmarkEnd w:id="407"/>
      <w:bookmarkEnd w:id="408"/>
      <w:bookmarkEnd w:id="409"/>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0"/>
      <w:bookmarkEnd w:id="411"/>
      <w:bookmarkEnd w:id="412"/>
      <w:bookmarkEnd w:id="413"/>
      <w:bookmarkEnd w:id="415"/>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6"/>
      <w:bookmarkEnd w:id="417"/>
      <w:bookmarkEnd w:id="418"/>
      <w:bookmarkEnd w:id="419"/>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4"/>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6"/>
      <w:bookmarkEnd w:id="427"/>
      <w:bookmarkEnd w:id="428"/>
      <w:bookmarkEnd w:id="429"/>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0"/>
      <w:bookmarkEnd w:id="431"/>
      <w:bookmarkEnd w:id="432"/>
      <w:bookmarkEnd w:id="433"/>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8"/>
      <w:bookmarkEnd w:id="439"/>
      <w:bookmarkEnd w:id="440"/>
      <w:bookmarkEnd w:id="441"/>
      <w:r w:rsidRPr="0057234C">
        <w:rPr>
          <w:w w:val="0"/>
          <w:szCs w:val="22"/>
        </w:rPr>
        <w:t>;</w:t>
      </w:r>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2"/>
      <w:bookmarkEnd w:id="443"/>
      <w:bookmarkEnd w:id="444"/>
      <w:bookmarkEnd w:id="445"/>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any injury or allegation of injury to any person, including injury resulting in death;</w:t>
      </w:r>
      <w:bookmarkEnd w:id="464"/>
      <w:bookmarkEnd w:id="465"/>
      <w:bookmarkEnd w:id="466"/>
      <w:bookmarkEnd w:id="467"/>
      <w:bookmarkEnd w:id="468"/>
      <w:bookmarkEnd w:id="469"/>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bookmarkEnd w:id="470"/>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any failure by the Supplier to commence the delivery of the Services by the Services Commencement Date;</w:t>
      </w:r>
      <w:bookmarkEnd w:id="475"/>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negligence;</w:t>
      </w:r>
      <w:bookmarkEnd w:id="490"/>
      <w:bookmarkEnd w:id="491"/>
      <w:bookmarkEnd w:id="492"/>
      <w:bookmarkEnd w:id="493"/>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Provided that the Supplier maintains all indemnity arrangements required by Law, the Supplier may self insure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7"/>
      <w:bookmarkEnd w:id="568"/>
      <w:bookmarkEnd w:id="569"/>
      <w:bookmarkEnd w:id="570"/>
      <w:bookmarkEnd w:id="571"/>
      <w:bookmarkEnd w:id="572"/>
      <w:bookmarkEnd w:id="573"/>
      <w:bookmarkEnd w:id="574"/>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0"/>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1" w:name="_DV_M59"/>
      <w:bookmarkEnd w:id="681"/>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4"/>
      <w:bookmarkEnd w:id="695"/>
      <w:bookmarkEnd w:id="696"/>
      <w:bookmarkEnd w:id="697"/>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8"/>
      <w:bookmarkEnd w:id="699"/>
      <w:bookmarkEnd w:id="700"/>
      <w:bookmarkEnd w:id="701"/>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2"/>
      <w:bookmarkEnd w:id="703"/>
      <w:bookmarkEnd w:id="704"/>
      <w:bookmarkEnd w:id="705"/>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any act or omission by the Supplier or Sub-contractor in respect of the Subsequent Transferring Employees occurring on or before the Subsequent Transfer Date;</w:t>
      </w:r>
      <w:bookmarkEnd w:id="723"/>
      <w:bookmarkEnd w:id="724"/>
      <w:bookmarkEnd w:id="725"/>
      <w:bookmarkEnd w:id="726"/>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7"/>
      <w:bookmarkEnd w:id="728"/>
      <w:bookmarkEnd w:id="729"/>
      <w:bookmarkEnd w:id="730"/>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1"/>
      <w:bookmarkEnd w:id="732"/>
      <w:bookmarkEnd w:id="733"/>
      <w:bookmarkEnd w:id="734"/>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t>the Supplier may offer (or may procure that a Sub-contractor may offer) employment to such person within twenty eight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8"/>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slavery or trafficking in its supply chains;</w:t>
      </w:r>
      <w:bookmarkStart w:id="791" w:name="_Hlk92995595"/>
      <w:bookmarkEnd w:id="788"/>
      <w:bookmarkEnd w:id="789"/>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2"/>
      <w:bookmarkEnd w:id="793"/>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4"/>
      <w:bookmarkEnd w:id="795"/>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6"/>
      <w:bookmarkEnd w:id="797"/>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6"/>
      <w:bookmarkEnd w:id="807"/>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the Authority taking action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Assignment, novation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t>all related rights of the Authority in relation to the recovery of sums due but unpaid;</w:t>
      </w:r>
      <w:bookmarkEnd w:id="1048"/>
      <w:bookmarkEnd w:id="1049"/>
      <w:bookmarkEnd w:id="1050"/>
      <w:bookmarkEnd w:id="1051"/>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2"/>
      <w:bookmarkEnd w:id="1053"/>
      <w:bookmarkEnd w:id="1054"/>
      <w:bookmarkEnd w:id="1055"/>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3"/>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4"/>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5"/>
      <w:bookmarkEnd w:id="1116"/>
      <w:bookmarkEnd w:id="1117"/>
      <w:bookmarkEnd w:id="1118"/>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3"/>
      <w:bookmarkEnd w:id="1124"/>
      <w:bookmarkEnd w:id="1125"/>
      <w:bookmarkEnd w:id="1126"/>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the amount or value of any gift, consideration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4"/>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5"/>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7"/>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put in place and maintain policies that describe individual personal responsibilities for handling Personal Data and apply those policies vigorously;</w:t>
      </w:r>
      <w:bookmarkEnd w:id="1208"/>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9"/>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0"/>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where appropriate, have a system in place and a policy for the recording of any telephone calls in relation to the Services, including the retention and disposal of those recordings</w:t>
      </w:r>
      <w:bookmarkEnd w:id="1211"/>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Personal Data including without limitation which relates to any patient or other service user or his or her treatment or clinical or care history;</w:t>
            </w:r>
            <w:bookmarkEnd w:id="1259"/>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8"/>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acts of terrorism;</w:t>
            </w:r>
            <w:bookmarkEnd w:id="1289"/>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flood, storm or other natural disasters;</w:t>
            </w:r>
            <w:bookmarkEnd w:id="1290"/>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r w:rsidRPr="003A6929">
              <w:rPr>
                <w:rFonts w:cs="Arial"/>
                <w:szCs w:val="22"/>
              </w:rPr>
              <w:t>fire;</w:t>
            </w:r>
            <w:bookmarkEnd w:id="1291"/>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2"/>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3"/>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4"/>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0"/>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1"/>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References to any legal entity shall include any body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1. No staff transfer;</w:t>
      </w:r>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2. Staff transfer from the Authority;</w:t>
      </w:r>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0" w:name="DocXTextRef84"/>
      <w:r w:rsidRPr="00367052">
        <w:rPr>
          <w:rFonts w:cs="Arial"/>
          <w:i/>
          <w:color w:val="999999"/>
          <w:szCs w:val="20"/>
        </w:rPr>
        <w:t>A</w:t>
      </w:r>
      <w:bookmarkEnd w:id="1350"/>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1" w:name="DocXTextRef85"/>
      <w:r w:rsidRPr="00367052">
        <w:rPr>
          <w:rFonts w:cs="Arial"/>
          <w:i/>
          <w:color w:val="999999"/>
          <w:szCs w:val="20"/>
        </w:rPr>
        <w:t>B</w:t>
      </w:r>
      <w:bookmarkEnd w:id="1351"/>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2" w:name="DocXTextRef86"/>
      <w:r w:rsidRPr="00367052">
        <w:rPr>
          <w:rFonts w:cs="Arial"/>
          <w:i/>
          <w:color w:val="999999"/>
          <w:szCs w:val="20"/>
        </w:rPr>
        <w:t>C</w:t>
      </w:r>
      <w:bookmarkEnd w:id="1352"/>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3" w:name="DocXTextRef87"/>
      <w:r w:rsidRPr="00367052">
        <w:rPr>
          <w:rFonts w:cs="Arial"/>
          <w:i/>
          <w:color w:val="999999"/>
          <w:szCs w:val="20"/>
        </w:rPr>
        <w:t>B</w:t>
      </w:r>
      <w:bookmarkEnd w:id="1353"/>
      <w:r w:rsidRPr="00367052">
        <w:rPr>
          <w:rFonts w:cs="Arial"/>
          <w:i/>
          <w:color w:val="999999"/>
          <w:szCs w:val="20"/>
        </w:rPr>
        <w:t>, C and 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4" w:name="_CrossRef_fmcAbare"/>
      <w:bookmarkStart w:id="1355" w:name="_CrossRef_GSay0CmE"/>
      <w:bookmarkStart w:id="1356" w:name="_CrossRef_ttCU5iDv"/>
      <w:r w:rsidRPr="00367052">
        <w:rPr>
          <w:rFonts w:cs="Arial"/>
          <w:b/>
          <w:sz w:val="22"/>
          <w:szCs w:val="22"/>
        </w:rPr>
        <w:t xml:space="preserve">Part </w:t>
      </w:r>
      <w:bookmarkStart w:id="1357" w:name="DocXTextRef88"/>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613A73">
        <w:rPr>
          <w:rFonts w:cs="Arial"/>
          <w:b/>
          <w:sz w:val="22"/>
          <w:szCs w:val="20"/>
          <w:lang w:val="en-US"/>
        </w:rPr>
      </w:r>
      <w:r w:rsidR="00613A73">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8"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8"/>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9"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42453573"/>
      <w:r w:rsidRPr="00367052">
        <w:rPr>
          <w:sz w:val="22"/>
          <w:szCs w:val="22"/>
        </w:rPr>
        <w:t>the Supplier will, within seven (7) days of becoming aware of that fact, give notice in writing to the Authority;</w:t>
      </w:r>
      <w:bookmarkStart w:id="1361" w:name="_Ref327289555"/>
      <w:bookmarkEnd w:id="1360"/>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351139870"/>
      <w:r w:rsidRPr="00367052">
        <w:rPr>
          <w:sz w:val="22"/>
          <w:szCs w:val="22"/>
        </w:rPr>
        <w:t>the Authority or Third Party may offer employment to such person within twenty-eight (28) days of the notification by the Supplier;</w:t>
      </w:r>
      <w:bookmarkEnd w:id="1361"/>
      <w:bookmarkEnd w:id="1362"/>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42453574"/>
      <w:r w:rsidRPr="00367052">
        <w:rPr>
          <w:sz w:val="22"/>
          <w:szCs w:val="22"/>
        </w:rPr>
        <w:t>if such offer of employment is accepted, the Supplier or a Sub-contractor shall immediately release the person from their employment;</w:t>
      </w:r>
      <w:bookmarkEnd w:id="1363"/>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10390973"/>
      <w:bookmarkStart w:id="1365"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6" w:name="_CrossRef_gcFtbjJv"/>
      <w:bookmarkStart w:id="1367" w:name="_CrossRef_R7s8PRKL"/>
      <w:r w:rsidRPr="00291FC0">
        <w:rPr>
          <w:b/>
          <w:sz w:val="22"/>
          <w:szCs w:val="22"/>
        </w:rPr>
        <w:t xml:space="preserve">Part </w:t>
      </w:r>
      <w:bookmarkStart w:id="1368" w:name="DocXTextRef91"/>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613A73">
        <w:rPr>
          <w:rFonts w:cs="Arial"/>
          <w:b/>
          <w:sz w:val="22"/>
          <w:szCs w:val="22"/>
          <w:lang w:val="en-US"/>
        </w:rPr>
      </w:r>
      <w:r w:rsidR="00613A73">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70" w:name="_Ref327266266"/>
      <w:bookmarkEnd w:id="1369"/>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1"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2"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3" w:name="_Ref442453577"/>
      <w:r w:rsidRPr="00291FC0">
        <w:rPr>
          <w:sz w:val="22"/>
          <w:szCs w:val="22"/>
        </w:rPr>
        <w:t>The Supplier will, or shall ensure by written agreement that any Sub-contractor will:</w:t>
      </w:r>
      <w:bookmarkEnd w:id="1373"/>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4"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4"/>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5"/>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8" w:name="_Ref442453582"/>
      <w:r w:rsidRPr="00291FC0">
        <w:rPr>
          <w:sz w:val="22"/>
          <w:szCs w:val="22"/>
        </w:rPr>
        <w:t>The Authority will on or before the Transfer Date:</w:t>
      </w:r>
      <w:bookmarkEnd w:id="1378"/>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9"/>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4"/>
      <w:r w:rsidRPr="00367052">
        <w:rPr>
          <w:sz w:val="22"/>
          <w:szCs w:val="22"/>
        </w:rPr>
        <w:t>procure that any loans or advances made to the Transferring Employees before the Transfer Date are repaid to it;</w:t>
      </w:r>
      <w:bookmarkEnd w:id="1380"/>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81"/>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6"/>
      <w:r w:rsidRPr="00367052">
        <w:rPr>
          <w:sz w:val="22"/>
          <w:szCs w:val="22"/>
        </w:rPr>
        <w:t>pay the Supplier the amount which would be payable to each of the Transferring Employees in lieu of accrued but untaken holiday entitlement as at the Transfer Date.</w:t>
      </w:r>
      <w:bookmarkEnd w:id="1382"/>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176926198"/>
      <w:bookmarkStart w:id="1384" w:name="_Ref442453587"/>
      <w:r w:rsidRPr="00367052">
        <w:rPr>
          <w:sz w:val="22"/>
          <w:szCs w:val="22"/>
        </w:rPr>
        <w:t xml:space="preserve">The </w:t>
      </w:r>
      <w:bookmarkEnd w:id="1383"/>
      <w:r w:rsidRPr="00367052">
        <w:rPr>
          <w:sz w:val="22"/>
          <w:szCs w:val="22"/>
        </w:rPr>
        <w:t>Authority will:</w:t>
      </w:r>
      <w:bookmarkEnd w:id="1384"/>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1"/>
      <w:r w:rsidRPr="00367052">
        <w:rPr>
          <w:sz w:val="22"/>
          <w:szCs w:val="22"/>
        </w:rPr>
        <w:t>any of the Transferring Employees (whether on their own behalf or in their capacity as employee representatives); or</w:t>
      </w:r>
      <w:bookmarkEnd w:id="1388"/>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0"/>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4"/>
      <w:r w:rsidRPr="00367052">
        <w:rPr>
          <w:sz w:val="22"/>
          <w:szCs w:val="22"/>
        </w:rPr>
        <w:t>The Supplier shall indemnify and will keep indemnified the Authority in relation to any Employment Liabilities arising out of or in connection with:</w:t>
      </w:r>
      <w:bookmarkEnd w:id="1391"/>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92"/>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393"/>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5"/>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934"/>
      <w:r w:rsidRPr="00367052">
        <w:rPr>
          <w:sz w:val="22"/>
          <w:szCs w:val="22"/>
        </w:rPr>
        <w:t>the Supplier will, within seven (7) days of becoming aware of that fact, give notice in writing to the Authority;</w:t>
      </w:r>
      <w:bookmarkEnd w:id="1397"/>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892"/>
      <w:r w:rsidRPr="00367052">
        <w:rPr>
          <w:sz w:val="22"/>
          <w:szCs w:val="22"/>
        </w:rPr>
        <w:t>the Authority may offer employment to such person within twenty eight (28) days of the notification by the Supplier;</w:t>
      </w:r>
      <w:bookmarkEnd w:id="1398"/>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600"/>
      <w:r w:rsidRPr="00367052">
        <w:rPr>
          <w:sz w:val="22"/>
          <w:szCs w:val="22"/>
        </w:rPr>
        <w:t>if such offer of employment is accepted, the Supplier or Sub-contractor shall immediately release the person from their employment; and</w:t>
      </w:r>
      <w:bookmarkEnd w:id="1399"/>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0"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1" w:name="_CrossRef_AqVKiQgZ"/>
      <w:r w:rsidRPr="00CC4723">
        <w:rPr>
          <w:b/>
          <w:sz w:val="22"/>
          <w:szCs w:val="22"/>
        </w:rPr>
        <w:t xml:space="preserve">Part </w:t>
      </w:r>
      <w:bookmarkStart w:id="1402" w:name="DocXTextRef95"/>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613A73">
        <w:rPr>
          <w:rFonts w:cs="Arial"/>
          <w:b/>
          <w:sz w:val="22"/>
          <w:szCs w:val="22"/>
          <w:lang w:val="en-US"/>
        </w:rPr>
      </w:r>
      <w:r w:rsidR="00613A73">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404" w:name="_Ref351124636"/>
      <w:bookmarkEnd w:id="1403"/>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5"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6"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7" w:name="_Ref442453604"/>
      <w:r w:rsidRPr="00CC4723">
        <w:rPr>
          <w:sz w:val="22"/>
          <w:szCs w:val="22"/>
        </w:rPr>
        <w:t>The Supplier will, or shall ensure by written agreement that any Sub-contractor will:</w:t>
      </w:r>
      <w:bookmarkEnd w:id="1407"/>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351481482"/>
      <w:bookmarkStart w:id="1409"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8"/>
      <w:r w:rsidRPr="00CC4723">
        <w:rPr>
          <w:sz w:val="22"/>
          <w:szCs w:val="22"/>
        </w:rPr>
        <w:t>;</w:t>
      </w:r>
      <w:bookmarkEnd w:id="1409"/>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10"/>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12"/>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3"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0"/>
      <w:r w:rsidRPr="00CC4723">
        <w:rPr>
          <w:sz w:val="22"/>
          <w:szCs w:val="22"/>
        </w:rPr>
        <w:t>The Supplier shall indemnify and will keep indemnified the Authority and any Third Party in relation to any Employment Liabilities arising out of or in connection with:</w:t>
      </w:r>
      <w:bookmarkEnd w:id="1414"/>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5"/>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6"/>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9" w:name="_Ref442453615"/>
      <w:r w:rsidRPr="00482EDF">
        <w:rPr>
          <w:sz w:val="22"/>
          <w:szCs w:val="22"/>
        </w:rPr>
        <w:t>The Authority shall use reasonable endeavours to transfer to the Supplier or any Sub-contractor the benefit of any indemnity it has from the Third Party.</w:t>
      </w:r>
      <w:bookmarkEnd w:id="1419"/>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0" w:name="_CrossRef_tNoBjvZP"/>
      <w:bookmarkStart w:id="1421" w:name="_CrossRef_khfoH9YH"/>
      <w:bookmarkStart w:id="1422" w:name="_CrossRef_7NizwfIv"/>
      <w:bookmarkStart w:id="1423" w:name="_CrossRef_AlOYn1gO"/>
      <w:bookmarkStart w:id="1424" w:name="_CrossRef_UcRP3PoX"/>
      <w:bookmarkStart w:id="1425" w:name="_CrossRef_oohN1apk"/>
      <w:bookmarkStart w:id="1426" w:name="_CrossRef_7BN8yXGo"/>
      <w:bookmarkStart w:id="1427" w:name="_CrossRef_ugA6MLSI"/>
      <w:bookmarkStart w:id="1428" w:name="_CrossRef_l2BtA0gn"/>
      <w:bookmarkStart w:id="1429" w:name="_CrossRef_2HJdvZcB"/>
      <w:bookmarkStart w:id="1430" w:name="_CrossRef_55ZKsX2e"/>
      <w:bookmarkStart w:id="1431" w:name="_CrossRef_nqG6XYzQ"/>
      <w:bookmarkStart w:id="1432" w:name="_CrossRef_KrhrA0aW"/>
      <w:bookmarkStart w:id="1433" w:name="_CrossRef_N5Awlpgn"/>
      <w:bookmarkStart w:id="1434" w:name="_CrossRef_jhAi39jA"/>
      <w:bookmarkStart w:id="1435" w:name="_CrossRef_hU2MtXoR"/>
      <w:bookmarkStart w:id="1436" w:name="_CrossRef_o3Jc3Qdo"/>
      <w:bookmarkStart w:id="1437" w:name="_CrossRef_mbdl1n1y"/>
      <w:bookmarkStart w:id="1438" w:name="_CrossRef_YbGe1u9R"/>
      <w:r w:rsidRPr="00367052">
        <w:rPr>
          <w:b/>
          <w:sz w:val="22"/>
          <w:szCs w:val="22"/>
        </w:rPr>
        <w:t xml:space="preserve">Part </w:t>
      </w:r>
      <w:bookmarkStart w:id="1439" w:name="DocXTextRef98"/>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613A73">
        <w:rPr>
          <w:rFonts w:cs="Arial"/>
          <w:b/>
          <w:sz w:val="22"/>
          <w:szCs w:val="22"/>
          <w:lang w:val="en-US"/>
        </w:rPr>
      </w:r>
      <w:r w:rsidR="00613A7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0" w:name="DocXTextRef10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id="1441" w:name="DocXTextRef102"/>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id="1442" w:name="DocXTextRef103"/>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443" w:name="DocXTextRef101"/>
      <w:r w:rsidRPr="00367052">
        <w:rPr>
          <w:rFonts w:cs="Arial"/>
          <w:i/>
          <w:color w:val="999999"/>
          <w:szCs w:val="20"/>
        </w:rPr>
        <w:t>D</w:t>
      </w:r>
      <w:bookmarkEnd w:id="1443"/>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4" w:name="DocXTextRef10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5" w:name="DocXTextRef105"/>
      <w:r w:rsidRPr="00367052">
        <w:rPr>
          <w:rFonts w:cs="Arial"/>
          <w:i/>
          <w:color w:val="999999"/>
          <w:szCs w:val="20"/>
        </w:rPr>
        <w:t>D</w:t>
      </w:r>
      <w:bookmarkEnd w:id="1445"/>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6" w:name="DocXTextRef10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613A73">
        <w:rPr>
          <w:rFonts w:cs="Arial"/>
          <w:b/>
          <w:sz w:val="22"/>
          <w:szCs w:val="22"/>
          <w:lang w:val="en-US"/>
        </w:rPr>
      </w:r>
      <w:r w:rsidR="00613A7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7" w:name="_Ref442453616"/>
      <w:r w:rsidRPr="00D474F7">
        <w:rPr>
          <w:rFonts w:cs="Arial"/>
          <w:b/>
          <w:sz w:val="22"/>
          <w:szCs w:val="22"/>
        </w:rPr>
        <w:t>Pension protection for Eligible Employees</w:t>
      </w:r>
      <w:bookmarkEnd w:id="1447"/>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8"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4805861"/>
      <w:r w:rsidRPr="00D474F7">
        <w:rPr>
          <w:sz w:val="22"/>
          <w:szCs w:val="22"/>
        </w:rPr>
        <w:t>The Supplier must supply to the Authority a complete copy of the Direction Letter as soon as reasonably practicable after the Employee Transfer Date.</w:t>
      </w:r>
      <w:bookmarkEnd w:id="1450"/>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19"/>
      <w:r w:rsidRPr="00D474F7">
        <w:rPr>
          <w:sz w:val="22"/>
          <w:szCs w:val="22"/>
        </w:rPr>
        <w:t>The Supplier shall comply with the terms of the Direction Letter (including any terms which change as a result of changes in Law) for so long as it remains bound by the terms of the Direction Letter.</w:t>
      </w:r>
      <w:bookmarkEnd w:id="1451"/>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505178268"/>
      <w:bookmarkStart w:id="1454"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994932"/>
      <w:bookmarkStart w:id="1457"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8" w:name="_Ref442453621"/>
      <w:r w:rsidRPr="00D474F7">
        <w:rPr>
          <w:sz w:val="22"/>
          <w:szCs w:val="22"/>
          <w:u w:val="single"/>
        </w:rPr>
        <w:t>Broadly Comparable Pension Benefits</w:t>
      </w:r>
      <w:bookmarkEnd w:id="1458"/>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60"/>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442453624"/>
      <w:r w:rsidRPr="00D474F7">
        <w:rPr>
          <w:sz w:val="22"/>
          <w:szCs w:val="22"/>
          <w:u w:val="single"/>
        </w:rPr>
        <w:t>Transfer Option</w:t>
      </w:r>
      <w:bookmarkEnd w:id="1461"/>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3" w:name="_Ref374622247"/>
      <w:bookmarkStart w:id="1464" w:name="_Ref384807032"/>
      <w:r w:rsidRPr="00D474F7">
        <w:rPr>
          <w:sz w:val="22"/>
          <w:szCs w:val="22"/>
          <w:u w:val="single"/>
        </w:rPr>
        <w:t>Calculation of Transfer Amount</w:t>
      </w:r>
      <w:bookmarkEnd w:id="1463"/>
      <w:bookmarkEnd w:id="1464"/>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384806805"/>
      <w:r w:rsidRPr="00D474F7">
        <w:rPr>
          <w:sz w:val="22"/>
          <w:szCs w:val="22"/>
        </w:rPr>
        <w:t>If the Third Party offers a Broadly Comparable scheme to Eligible Employees:</w:t>
      </w:r>
      <w:bookmarkEnd w:id="1466"/>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7"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9" w:name="_Ref442453628"/>
      <w:r w:rsidRPr="00D474F7">
        <w:rPr>
          <w:sz w:val="22"/>
          <w:szCs w:val="22"/>
        </w:rPr>
        <w:t>the funding requirements of the Third Party’s Broadly Comparable scheme; or</w:t>
      </w:r>
      <w:bookmarkEnd w:id="1469"/>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1"/>
      <w:r w:rsidRPr="00D474F7">
        <w:rPr>
          <w:sz w:val="22"/>
          <w:szCs w:val="22"/>
        </w:rPr>
        <w:t>Each Party shall promptly provide to the Actuary calculating or verifying the Transfer Amount any documentation and information which that Actuary may reasonably require.</w:t>
      </w:r>
      <w:bookmarkEnd w:id="1472"/>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2904152"/>
      <w:r w:rsidRPr="00D474F7">
        <w:rPr>
          <w:sz w:val="22"/>
          <w:szCs w:val="22"/>
          <w:u w:val="single"/>
        </w:rPr>
        <w:t>Payment of Transfer Amount</w:t>
      </w:r>
      <w:bookmarkEnd w:id="1473"/>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2"/>
      <w:r w:rsidRPr="00D474F7">
        <w:rPr>
          <w:sz w:val="22"/>
          <w:szCs w:val="22"/>
        </w:rPr>
        <w:t>the period for acceptance of the Transfer Option having expired; and</w:t>
      </w:r>
      <w:bookmarkEnd w:id="1474"/>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7"/>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4808297"/>
      <w:r w:rsidRPr="00D474F7">
        <w:rPr>
          <w:sz w:val="22"/>
          <w:szCs w:val="22"/>
          <w:u w:val="single"/>
        </w:rPr>
        <w:t>Credit for Transfer Amount</w:t>
      </w:r>
      <w:bookmarkEnd w:id="1478"/>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0" w:name="_Ref442453638"/>
      <w:r w:rsidRPr="00D474F7">
        <w:rPr>
          <w:sz w:val="22"/>
          <w:szCs w:val="22"/>
          <w:u w:val="single"/>
        </w:rPr>
        <w:t>Premature Retirement Rights</w:t>
      </w:r>
      <w:bookmarkEnd w:id="1480"/>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2" w:name="_Ref442453640"/>
      <w:r w:rsidRPr="00D474F7">
        <w:rPr>
          <w:sz w:val="22"/>
          <w:szCs w:val="22"/>
          <w:u w:val="single"/>
        </w:rPr>
        <w:t>Breach and Cancellation of any Direction Letter(s) and Right of Set-Off</w:t>
      </w:r>
      <w:bookmarkEnd w:id="1482"/>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5" w:name="_Ref442453642"/>
      <w:r w:rsidRPr="00D474F7">
        <w:rPr>
          <w:sz w:val="22"/>
          <w:szCs w:val="22"/>
          <w:u w:val="single"/>
        </w:rPr>
        <w:t>Compensation</w:t>
      </w:r>
      <w:bookmarkEnd w:id="1485"/>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3"/>
      <w:r w:rsidRPr="00D474F7">
        <w:rPr>
          <w:sz w:val="22"/>
          <w:szCs w:val="22"/>
        </w:rPr>
        <w:t>If the Supplier is unable to provide the Eligible Employees with either:</w:t>
      </w:r>
      <w:bookmarkEnd w:id="1486"/>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7" w:name="_Ref442453644"/>
      <w:r w:rsidRPr="00D474F7">
        <w:rPr>
          <w:sz w:val="22"/>
          <w:szCs w:val="22"/>
        </w:rPr>
        <w:t>membership of the NHS Pension Scheme (having used its best endeavours to secure a Direction Letter); or</w:t>
      </w:r>
      <w:bookmarkEnd w:id="1487"/>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8" w:name="_Ref442453645"/>
      <w:r w:rsidRPr="00D474F7">
        <w:rPr>
          <w:sz w:val="22"/>
          <w:szCs w:val="22"/>
        </w:rPr>
        <w:t>a Broadly Comparable scheme,</w:t>
      </w:r>
      <w:bookmarkEnd w:id="1488"/>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0" w:name="_Ref442453647"/>
      <w:r w:rsidRPr="00D474F7">
        <w:rPr>
          <w:sz w:val="22"/>
          <w:szCs w:val="22"/>
          <w:u w:val="single"/>
        </w:rPr>
        <w:t>Supplier Indemnities Regarding Pension Benefits and Premature Retirement Rights</w:t>
      </w:r>
      <w:bookmarkEnd w:id="1490"/>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4" w:name="_Ref442453651"/>
      <w:r w:rsidRPr="00D474F7">
        <w:rPr>
          <w:sz w:val="22"/>
          <w:szCs w:val="22"/>
          <w:u w:val="single"/>
        </w:rPr>
        <w:t>Sub-contractors</w:t>
      </w:r>
      <w:bookmarkEnd w:id="1494"/>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6"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7"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8" w:name="_Ref442453655"/>
      <w:r w:rsidRPr="00D474F7">
        <w:rPr>
          <w:sz w:val="22"/>
          <w:szCs w:val="22"/>
          <w:u w:val="single"/>
        </w:rPr>
        <w:t>Direct Enforceability by the Eligible Employees</w:t>
      </w:r>
      <w:bookmarkEnd w:id="1498"/>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9"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1" w:name="_Ref392586063"/>
      <w:r w:rsidRPr="00D474F7">
        <w:rPr>
          <w:sz w:val="22"/>
          <w:szCs w:val="22"/>
          <w:u w:val="single"/>
        </w:rPr>
        <w:t>Pensions on Transfer of Employment on Exit</w:t>
      </w:r>
      <w:bookmarkEnd w:id="1501"/>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2"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3" w:name="_Ref442453659"/>
      <w:r w:rsidRPr="00D474F7">
        <w:rPr>
          <w:sz w:val="22"/>
          <w:szCs w:val="22"/>
        </w:rPr>
        <w:t>not adversely affect pension rights accrued by the Eligible Employees in the period ending on the Subsequent Transfer Date;</w:t>
      </w:r>
      <w:bookmarkEnd w:id="1503"/>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4"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5"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505"/>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506" w:name="_Ref505005829"/>
    </w:p>
    <w:bookmarkEnd w:id="1506"/>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7"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8" w:name="_Ref466032033"/>
      <w:bookmarkEnd w:id="1507"/>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9" w:name="_Ref466032034"/>
      <w:bookmarkEnd w:id="1508"/>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32035"/>
      <w:r w:rsidRPr="00762CB6">
        <w:rPr>
          <w:rFonts w:cs="Arial"/>
          <w:sz w:val="22"/>
          <w:szCs w:val="22"/>
        </w:rPr>
        <w:t>the reasons why the Party serving the Dispute Notice believes the Dispute has arisen.</w:t>
      </w:r>
      <w:bookmarkEnd w:id="1510"/>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25764"/>
      <w:r w:rsidRPr="00762CB6">
        <w:rPr>
          <w:rFonts w:cs="Arial"/>
          <w:sz w:val="22"/>
          <w:szCs w:val="22"/>
        </w:rPr>
        <w:t>The Contract Managers shall be given ten (10) Business Days following the date of the Dispute Meeting to resolve the Dispute.</w:t>
      </w:r>
      <w:bookmarkEnd w:id="1513"/>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26143"/>
      <w:r w:rsidRPr="00762CB6">
        <w:rPr>
          <w:rFonts w:cs="Arial"/>
          <w:sz w:val="22"/>
          <w:szCs w:val="22"/>
        </w:rPr>
        <w:t>Where the Dispute is referred to binding expert determination the following process will apply:</w:t>
      </w:r>
      <w:bookmarkEnd w:id="1517"/>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1"/>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6"/>
      <w:bookmarkStart w:id="1525"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82967385"/>
      <w:bookmarkStart w:id="152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8" w:name="_Ref466032048"/>
      <w:r w:rsidRPr="00762CB6">
        <w:rPr>
          <w:rFonts w:eastAsia="Calibri" w:cs="Arial"/>
          <w:sz w:val="22"/>
          <w:szCs w:val="22"/>
        </w:rPr>
        <w:t>The Expert’s Decision shall include reasons.</w:t>
      </w:r>
      <w:bookmarkEnd w:id="1528"/>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id="1530"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1"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531"/>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3" w:name="_Ref466025852"/>
      <w:r>
        <w:rPr>
          <w:rFonts w:cs="Arial"/>
          <w:sz w:val="22"/>
          <w:szCs w:val="22"/>
        </w:rPr>
        <w:t>N</w:t>
      </w:r>
      <w:r w:rsidRPr="00762CB6">
        <w:rPr>
          <w:rFonts w:cs="Arial"/>
          <w:sz w:val="22"/>
          <w:szCs w:val="22"/>
        </w:rPr>
        <w:t>othing in this Contract shall prevent:</w:t>
      </w:r>
      <w:bookmarkEnd w:id="1533"/>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4"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34"/>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35"/>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6"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8" w:name="_Toc312422937"/>
      <w:bookmarkStart w:id="1539" w:name="_Toc312422938"/>
      <w:bookmarkStart w:id="1540" w:name="_Ref330463338"/>
      <w:bookmarkEnd w:id="1538"/>
      <w:bookmarkEnd w:id="1539"/>
    </w:p>
    <w:bookmarkEnd w:id="1540"/>
    <w:p w14:paraId="1FB6A0C8" w14:textId="782FA72A"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DB68E" w14:textId="77777777" w:rsidR="00DC4ACC" w:rsidRDefault="00DC4ACC" w:rsidP="00BC2034">
      <w:pPr>
        <w:pStyle w:val="Outline4"/>
      </w:pPr>
      <w:r>
        <w:separator/>
      </w:r>
    </w:p>
  </w:endnote>
  <w:endnote w:type="continuationSeparator" w:id="0">
    <w:p w14:paraId="31E813C5" w14:textId="77777777" w:rsidR="00DC4ACC" w:rsidRDefault="00DC4ACC" w:rsidP="00BC2034">
      <w:pPr>
        <w:pStyle w:val="Outline4"/>
      </w:pPr>
      <w:r>
        <w:continuationSeparator/>
      </w:r>
    </w:p>
  </w:endnote>
  <w:endnote w:type="continuationNotice" w:id="1">
    <w:p w14:paraId="74EA402F" w14:textId="77777777" w:rsidR="00DC4ACC" w:rsidRDefault="00DC4A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F6F9D" w14:textId="77777777" w:rsidR="00DC4ACC" w:rsidRDefault="00DC4ACC" w:rsidP="00BC2034">
      <w:pPr>
        <w:pStyle w:val="Outline4"/>
      </w:pPr>
      <w:r>
        <w:separator/>
      </w:r>
    </w:p>
  </w:footnote>
  <w:footnote w:type="continuationSeparator" w:id="0">
    <w:p w14:paraId="463D9AAC" w14:textId="77777777" w:rsidR="00DC4ACC" w:rsidRDefault="00DC4ACC" w:rsidP="00BC2034">
      <w:pPr>
        <w:pStyle w:val="Outline4"/>
      </w:pPr>
      <w:r>
        <w:continuationSeparator/>
      </w:r>
    </w:p>
  </w:footnote>
  <w:footnote w:type="continuationNotice" w:id="1">
    <w:p w14:paraId="3D1EF2BC" w14:textId="77777777" w:rsidR="00DC4ACC" w:rsidRDefault="00DC4A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28"/>
  </w:num>
  <w:num w:numId="4">
    <w:abstractNumId w:val="30"/>
  </w:num>
  <w:num w:numId="5">
    <w:abstractNumId w:val="5"/>
  </w:num>
  <w:num w:numId="6">
    <w:abstractNumId w:val="25"/>
  </w:num>
  <w:num w:numId="7">
    <w:abstractNumId w:val="26"/>
  </w:num>
  <w:num w:numId="8">
    <w:abstractNumId w:val="27"/>
  </w:num>
  <w:num w:numId="9">
    <w:abstractNumId w:val="19"/>
  </w:num>
  <w:num w:numId="10">
    <w:abstractNumId w:val="11"/>
  </w:num>
  <w:num w:numId="11">
    <w:abstractNumId w:val="17"/>
  </w:num>
  <w:num w:numId="12">
    <w:abstractNumId w:val="6"/>
  </w:num>
  <w:num w:numId="13">
    <w:abstractNumId w:val="4"/>
  </w:num>
  <w:num w:numId="14">
    <w:abstractNumId w:val="12"/>
  </w:num>
  <w:num w:numId="15">
    <w:abstractNumId w:val="18"/>
  </w:num>
  <w:num w:numId="16">
    <w:abstractNumId w:val="15"/>
  </w:num>
  <w:num w:numId="17">
    <w:abstractNumId w:val="22"/>
  </w:num>
  <w:num w:numId="18">
    <w:abstractNumId w:val="31"/>
  </w:num>
  <w:num w:numId="19">
    <w:abstractNumId w:val="1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4"/>
  </w:num>
  <w:num w:numId="31">
    <w:abstractNumId w:val="8"/>
  </w:num>
  <w:num w:numId="32">
    <w:abstractNumId w:val="23"/>
  </w:num>
  <w:num w:numId="33">
    <w:abstractNumId w:val="1"/>
  </w:num>
  <w:num w:numId="34">
    <w:abstractNumId w:val="21"/>
  </w:num>
  <w:num w:numId="35">
    <w:abstractNumId w:val="2"/>
  </w:num>
  <w:num w:numId="36">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abstractNumId w:val="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3A73"/>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3.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0E1B8-54AF-4AF7-BB3F-9B7C431F2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38821</Words>
  <Characters>221282</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259584</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Alex McLoughlin</cp:lastModifiedBy>
  <cp:revision>2</cp:revision>
  <cp:lastPrinted>2022-05-24T17:19:00Z</cp:lastPrinted>
  <dcterms:created xsi:type="dcterms:W3CDTF">2022-10-03T12:23:00Z</dcterms:created>
  <dcterms:modified xsi:type="dcterms:W3CDTF">2022-10-03T12:23:00Z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