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8FC70" w14:textId="3BAF2F68" w:rsidR="00AA1382" w:rsidRDefault="00CA518A">
      <w:r>
        <w:t xml:space="preserve"> </w:t>
      </w:r>
      <w:r w:rsidR="00AA1382">
        <w:rPr>
          <w:noProof/>
          <w:lang w:eastAsia="en-GB"/>
        </w:rPr>
        <w:drawing>
          <wp:inline distT="0" distB="0" distL="0" distR="0" wp14:anchorId="531219FF" wp14:editId="0E2D6B95">
            <wp:extent cx="1645920" cy="1371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371600"/>
                    </a:xfrm>
                    <a:prstGeom prst="rect">
                      <a:avLst/>
                    </a:prstGeom>
                    <a:noFill/>
                  </pic:spPr>
                </pic:pic>
              </a:graphicData>
            </a:graphic>
          </wp:inline>
        </w:drawing>
      </w:r>
    </w:p>
    <w:p w14:paraId="3F08C0A5" w14:textId="77777777" w:rsidR="00AA1382" w:rsidRDefault="00AA1382"/>
    <w:p w14:paraId="6BB915DC" w14:textId="77777777" w:rsidR="00AA1382" w:rsidRPr="00EE675A" w:rsidRDefault="00AA1382" w:rsidP="00AA1382">
      <w:pPr>
        <w:spacing w:after="200" w:line="276" w:lineRule="auto"/>
        <w:rPr>
          <w:b/>
          <w:sz w:val="48"/>
          <w:szCs w:val="48"/>
        </w:rPr>
      </w:pPr>
      <w:r w:rsidRPr="00EE675A">
        <w:rPr>
          <w:b/>
          <w:sz w:val="48"/>
          <w:szCs w:val="48"/>
        </w:rPr>
        <w:t xml:space="preserve">Bid Pack </w:t>
      </w:r>
    </w:p>
    <w:p w14:paraId="175520E7" w14:textId="77777777" w:rsidR="00537F36" w:rsidRDefault="00537F36" w:rsidP="00AA1382">
      <w:pPr>
        <w:spacing w:after="200" w:line="276" w:lineRule="auto"/>
        <w:rPr>
          <w:b/>
        </w:rPr>
      </w:pPr>
      <w:bookmarkStart w:id="0" w:name="_xraukwuezq6d" w:colFirst="0" w:colLast="0"/>
      <w:bookmarkEnd w:id="0"/>
    </w:p>
    <w:p w14:paraId="30B7DA56" w14:textId="194E81E5" w:rsidR="00AA1382" w:rsidRPr="0029061C" w:rsidRDefault="00AA1382" w:rsidP="00AA1382">
      <w:pPr>
        <w:spacing w:after="200" w:line="276" w:lineRule="auto"/>
        <w:rPr>
          <w:b/>
          <w:sz w:val="36"/>
          <w:szCs w:val="36"/>
        </w:rPr>
      </w:pPr>
      <w:r>
        <w:rPr>
          <w:b/>
          <w:sz w:val="36"/>
          <w:szCs w:val="36"/>
        </w:rPr>
        <w:t>A</w:t>
      </w:r>
      <w:r w:rsidR="00BA77F8">
        <w:rPr>
          <w:b/>
          <w:sz w:val="36"/>
          <w:szCs w:val="36"/>
        </w:rPr>
        <w:t xml:space="preserve">nnex </w:t>
      </w:r>
      <w:r w:rsidR="007A37F2">
        <w:rPr>
          <w:b/>
          <w:sz w:val="36"/>
          <w:szCs w:val="36"/>
        </w:rPr>
        <w:t>2</w:t>
      </w:r>
      <w:r>
        <w:rPr>
          <w:b/>
          <w:sz w:val="36"/>
          <w:szCs w:val="36"/>
        </w:rPr>
        <w:t xml:space="preserve"> – Statement of Requirements</w:t>
      </w:r>
    </w:p>
    <w:p w14:paraId="183FEB6A" w14:textId="2E3E0537" w:rsidR="00AA1382" w:rsidRDefault="00AA1382" w:rsidP="00AA1382">
      <w:pPr>
        <w:spacing w:line="360" w:lineRule="auto"/>
        <w:ind w:left="2835" w:hanging="2835"/>
        <w:rPr>
          <w:sz w:val="32"/>
          <w:szCs w:val="32"/>
        </w:rPr>
      </w:pPr>
      <w:bookmarkStart w:id="1" w:name="_1fob9te" w:colFirst="0" w:colLast="0"/>
      <w:bookmarkEnd w:id="1"/>
      <w:r w:rsidRPr="0037419F">
        <w:rPr>
          <w:sz w:val="32"/>
          <w:szCs w:val="32"/>
          <w:highlight w:val="white"/>
        </w:rPr>
        <w:t>Contract Reference</w:t>
      </w:r>
      <w:r w:rsidRPr="00537F36">
        <w:rPr>
          <w:sz w:val="32"/>
          <w:szCs w:val="32"/>
        </w:rPr>
        <w:t xml:space="preserve">: </w:t>
      </w:r>
      <w:r w:rsidR="00222537">
        <w:rPr>
          <w:sz w:val="32"/>
          <w:szCs w:val="32"/>
        </w:rPr>
        <w:t xml:space="preserve">CCCC20B36 - </w:t>
      </w:r>
      <w:r w:rsidR="00222537" w:rsidRPr="00222537">
        <w:rPr>
          <w:bCs/>
          <w:sz w:val="32"/>
          <w:szCs w:val="32"/>
        </w:rPr>
        <w:t>Provision of National Underground Asset Register Programme - NUAR</w:t>
      </w:r>
    </w:p>
    <w:p w14:paraId="01997F08" w14:textId="57EC6ED8" w:rsidR="00455C47" w:rsidRPr="00351E25" w:rsidRDefault="00455C47" w:rsidP="00AA1382">
      <w:pPr>
        <w:spacing w:line="360" w:lineRule="auto"/>
        <w:ind w:left="2835" w:hanging="2835"/>
      </w:pPr>
    </w:p>
    <w:p w14:paraId="05825834" w14:textId="78D92FB9" w:rsidR="00AA1382" w:rsidRDefault="00AA1382">
      <w:pPr>
        <w:rPr>
          <w:b/>
          <w:szCs w:val="22"/>
          <w:lang w:eastAsia="en-GB"/>
        </w:rPr>
      </w:pPr>
      <w:r>
        <w:br w:type="page"/>
      </w:r>
    </w:p>
    <w:p w14:paraId="52111C44" w14:textId="114E5793" w:rsidR="00FE18AC" w:rsidRDefault="00FE18AC" w:rsidP="00FE18AC">
      <w:pPr>
        <w:pStyle w:val="bodystrongcentred"/>
      </w:pPr>
      <w:r>
        <w:lastRenderedPageBreak/>
        <w:t>CONTENTS</w:t>
      </w:r>
    </w:p>
    <w:p w14:paraId="757634AA" w14:textId="77777777" w:rsidR="00FE18AC" w:rsidRDefault="00FE18AC" w:rsidP="00FE18AC"/>
    <w:p w14:paraId="5584591A" w14:textId="3FC258CF" w:rsidR="006F2511" w:rsidRDefault="00E10E97">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E18AC" w:rsidRPr="00FA5229">
        <w:rPr>
          <w:rFonts w:cs="Arial"/>
          <w:caps w:val="0"/>
        </w:rPr>
        <w:instrText xml:space="preserve"> TOC \o "1-1" \h \z \u </w:instrText>
      </w:r>
      <w:r w:rsidRPr="00FA5229">
        <w:rPr>
          <w:rFonts w:cs="Arial"/>
          <w:caps w:val="0"/>
        </w:rPr>
        <w:fldChar w:fldCharType="separate"/>
      </w:r>
      <w:hyperlink w:anchor="_Toc69240406" w:history="1">
        <w:r w:rsidR="006F2511" w:rsidRPr="0092512A">
          <w:rPr>
            <w:rStyle w:val="Hyperlink"/>
            <w:noProof/>
          </w:rPr>
          <w:t>1.</w:t>
        </w:r>
        <w:r w:rsidR="006F2511">
          <w:rPr>
            <w:rFonts w:asciiTheme="minorHAnsi" w:eastAsiaTheme="minorEastAsia" w:hAnsiTheme="minorHAnsi" w:cstheme="minorBidi"/>
            <w:caps w:val="0"/>
            <w:noProof/>
            <w:szCs w:val="22"/>
            <w:lang w:eastAsia="en-GB"/>
          </w:rPr>
          <w:tab/>
        </w:r>
        <w:r w:rsidR="006F2511" w:rsidRPr="0092512A">
          <w:rPr>
            <w:rStyle w:val="Hyperlink"/>
            <w:noProof/>
          </w:rPr>
          <w:t>PURPOSE</w:t>
        </w:r>
        <w:r w:rsidR="006F2511">
          <w:rPr>
            <w:noProof/>
            <w:webHidden/>
          </w:rPr>
          <w:tab/>
        </w:r>
        <w:r w:rsidR="006F2511">
          <w:rPr>
            <w:noProof/>
            <w:webHidden/>
          </w:rPr>
          <w:fldChar w:fldCharType="begin"/>
        </w:r>
        <w:r w:rsidR="006F2511">
          <w:rPr>
            <w:noProof/>
            <w:webHidden/>
          </w:rPr>
          <w:instrText xml:space="preserve"> PAGEREF _Toc69240406 \h </w:instrText>
        </w:r>
        <w:r w:rsidR="006F2511">
          <w:rPr>
            <w:noProof/>
            <w:webHidden/>
          </w:rPr>
        </w:r>
        <w:r w:rsidR="006F2511">
          <w:rPr>
            <w:noProof/>
            <w:webHidden/>
          </w:rPr>
          <w:fldChar w:fldCharType="separate"/>
        </w:r>
        <w:r w:rsidR="00961107">
          <w:rPr>
            <w:noProof/>
            <w:webHidden/>
          </w:rPr>
          <w:t>3</w:t>
        </w:r>
        <w:r w:rsidR="006F2511">
          <w:rPr>
            <w:noProof/>
            <w:webHidden/>
          </w:rPr>
          <w:fldChar w:fldCharType="end"/>
        </w:r>
      </w:hyperlink>
    </w:p>
    <w:p w14:paraId="515B1003" w14:textId="48DFAAF6" w:rsidR="006F2511" w:rsidRDefault="003F4DE4">
      <w:pPr>
        <w:pStyle w:val="TOC1"/>
        <w:rPr>
          <w:rFonts w:asciiTheme="minorHAnsi" w:eastAsiaTheme="minorEastAsia" w:hAnsiTheme="minorHAnsi" w:cstheme="minorBidi"/>
          <w:caps w:val="0"/>
          <w:noProof/>
          <w:szCs w:val="22"/>
          <w:lang w:eastAsia="en-GB"/>
        </w:rPr>
      </w:pPr>
      <w:hyperlink w:anchor="_Toc69240407" w:history="1">
        <w:r w:rsidR="006F2511" w:rsidRPr="0092512A">
          <w:rPr>
            <w:rStyle w:val="Hyperlink"/>
            <w:noProof/>
          </w:rPr>
          <w:t>2.</w:t>
        </w:r>
        <w:r w:rsidR="006F2511">
          <w:rPr>
            <w:rFonts w:asciiTheme="minorHAnsi" w:eastAsiaTheme="minorEastAsia" w:hAnsiTheme="minorHAnsi" w:cstheme="minorBidi"/>
            <w:caps w:val="0"/>
            <w:noProof/>
            <w:szCs w:val="22"/>
            <w:lang w:eastAsia="en-GB"/>
          </w:rPr>
          <w:tab/>
        </w:r>
        <w:r w:rsidR="006F2511" w:rsidRPr="0092512A">
          <w:rPr>
            <w:rStyle w:val="Hyperlink"/>
            <w:noProof/>
          </w:rPr>
          <w:t>BACKGROUND TO THE CONTRACTING aUTHORITY</w:t>
        </w:r>
        <w:r w:rsidR="006F2511">
          <w:rPr>
            <w:noProof/>
            <w:webHidden/>
          </w:rPr>
          <w:tab/>
        </w:r>
        <w:r w:rsidR="006F2511">
          <w:rPr>
            <w:noProof/>
            <w:webHidden/>
          </w:rPr>
          <w:fldChar w:fldCharType="begin"/>
        </w:r>
        <w:r w:rsidR="006F2511">
          <w:rPr>
            <w:noProof/>
            <w:webHidden/>
          </w:rPr>
          <w:instrText xml:space="preserve"> PAGEREF _Toc69240407 \h </w:instrText>
        </w:r>
        <w:r w:rsidR="006F2511">
          <w:rPr>
            <w:noProof/>
            <w:webHidden/>
          </w:rPr>
        </w:r>
        <w:r w:rsidR="006F2511">
          <w:rPr>
            <w:noProof/>
            <w:webHidden/>
          </w:rPr>
          <w:fldChar w:fldCharType="separate"/>
        </w:r>
        <w:r w:rsidR="00961107">
          <w:rPr>
            <w:noProof/>
            <w:webHidden/>
          </w:rPr>
          <w:t>3</w:t>
        </w:r>
        <w:r w:rsidR="006F2511">
          <w:rPr>
            <w:noProof/>
            <w:webHidden/>
          </w:rPr>
          <w:fldChar w:fldCharType="end"/>
        </w:r>
      </w:hyperlink>
    </w:p>
    <w:p w14:paraId="2D822D90" w14:textId="33D7359C" w:rsidR="006F2511" w:rsidRDefault="003F4DE4">
      <w:pPr>
        <w:pStyle w:val="TOC1"/>
        <w:rPr>
          <w:rFonts w:asciiTheme="minorHAnsi" w:eastAsiaTheme="minorEastAsia" w:hAnsiTheme="minorHAnsi" w:cstheme="minorBidi"/>
          <w:caps w:val="0"/>
          <w:noProof/>
          <w:szCs w:val="22"/>
          <w:lang w:eastAsia="en-GB"/>
        </w:rPr>
      </w:pPr>
      <w:hyperlink w:anchor="_Toc69240408" w:history="1">
        <w:r w:rsidR="006F2511" w:rsidRPr="0092512A">
          <w:rPr>
            <w:rStyle w:val="Hyperlink"/>
            <w:noProof/>
          </w:rPr>
          <w:t>3.</w:t>
        </w:r>
        <w:r w:rsidR="006F2511">
          <w:rPr>
            <w:rFonts w:asciiTheme="minorHAnsi" w:eastAsiaTheme="minorEastAsia" w:hAnsiTheme="minorHAnsi" w:cstheme="minorBidi"/>
            <w:caps w:val="0"/>
            <w:noProof/>
            <w:szCs w:val="22"/>
            <w:lang w:eastAsia="en-GB"/>
          </w:rPr>
          <w:tab/>
        </w:r>
        <w:r w:rsidR="006F2511" w:rsidRPr="0092512A">
          <w:rPr>
            <w:rStyle w:val="Hyperlink"/>
            <w:noProof/>
          </w:rPr>
          <w:t>Background to requirement/OVERVIEW of requirement</w:t>
        </w:r>
        <w:r w:rsidR="006F2511">
          <w:rPr>
            <w:noProof/>
            <w:webHidden/>
          </w:rPr>
          <w:tab/>
        </w:r>
        <w:r w:rsidR="006F2511">
          <w:rPr>
            <w:noProof/>
            <w:webHidden/>
          </w:rPr>
          <w:fldChar w:fldCharType="begin"/>
        </w:r>
        <w:r w:rsidR="006F2511">
          <w:rPr>
            <w:noProof/>
            <w:webHidden/>
          </w:rPr>
          <w:instrText xml:space="preserve"> PAGEREF _Toc69240408 \h </w:instrText>
        </w:r>
        <w:r w:rsidR="006F2511">
          <w:rPr>
            <w:noProof/>
            <w:webHidden/>
          </w:rPr>
        </w:r>
        <w:r w:rsidR="006F2511">
          <w:rPr>
            <w:noProof/>
            <w:webHidden/>
          </w:rPr>
          <w:fldChar w:fldCharType="separate"/>
        </w:r>
        <w:r w:rsidR="00961107">
          <w:rPr>
            <w:noProof/>
            <w:webHidden/>
          </w:rPr>
          <w:t>4</w:t>
        </w:r>
        <w:r w:rsidR="006F2511">
          <w:rPr>
            <w:noProof/>
            <w:webHidden/>
          </w:rPr>
          <w:fldChar w:fldCharType="end"/>
        </w:r>
      </w:hyperlink>
    </w:p>
    <w:p w14:paraId="761ACB6B" w14:textId="41FBBA4C" w:rsidR="006F2511" w:rsidRDefault="003F4DE4">
      <w:pPr>
        <w:pStyle w:val="TOC1"/>
        <w:rPr>
          <w:rFonts w:asciiTheme="minorHAnsi" w:eastAsiaTheme="minorEastAsia" w:hAnsiTheme="minorHAnsi" w:cstheme="minorBidi"/>
          <w:caps w:val="0"/>
          <w:noProof/>
          <w:szCs w:val="22"/>
          <w:lang w:eastAsia="en-GB"/>
        </w:rPr>
      </w:pPr>
      <w:hyperlink w:anchor="_Toc69240409" w:history="1">
        <w:r w:rsidR="006F2511" w:rsidRPr="0092512A">
          <w:rPr>
            <w:rStyle w:val="Hyperlink"/>
            <w:noProof/>
          </w:rPr>
          <w:t>4.</w:t>
        </w:r>
        <w:r w:rsidR="006F2511">
          <w:rPr>
            <w:rFonts w:asciiTheme="minorHAnsi" w:eastAsiaTheme="minorEastAsia" w:hAnsiTheme="minorHAnsi" w:cstheme="minorBidi"/>
            <w:caps w:val="0"/>
            <w:noProof/>
            <w:szCs w:val="22"/>
            <w:lang w:eastAsia="en-GB"/>
          </w:rPr>
          <w:tab/>
        </w:r>
        <w:r w:rsidR="006F2511" w:rsidRPr="0092512A">
          <w:rPr>
            <w:rStyle w:val="Hyperlink"/>
            <w:noProof/>
          </w:rPr>
          <w:t>definitions</w:t>
        </w:r>
        <w:r w:rsidR="006F2511">
          <w:rPr>
            <w:noProof/>
            <w:webHidden/>
          </w:rPr>
          <w:tab/>
        </w:r>
        <w:r w:rsidR="006F2511">
          <w:rPr>
            <w:noProof/>
            <w:webHidden/>
          </w:rPr>
          <w:fldChar w:fldCharType="begin"/>
        </w:r>
        <w:r w:rsidR="006F2511">
          <w:rPr>
            <w:noProof/>
            <w:webHidden/>
          </w:rPr>
          <w:instrText xml:space="preserve"> PAGEREF _Toc69240409 \h </w:instrText>
        </w:r>
        <w:r w:rsidR="006F2511">
          <w:rPr>
            <w:noProof/>
            <w:webHidden/>
          </w:rPr>
        </w:r>
        <w:r w:rsidR="006F2511">
          <w:rPr>
            <w:noProof/>
            <w:webHidden/>
          </w:rPr>
          <w:fldChar w:fldCharType="separate"/>
        </w:r>
        <w:r w:rsidR="00961107">
          <w:rPr>
            <w:noProof/>
            <w:webHidden/>
          </w:rPr>
          <w:t>6</w:t>
        </w:r>
        <w:r w:rsidR="006F2511">
          <w:rPr>
            <w:noProof/>
            <w:webHidden/>
          </w:rPr>
          <w:fldChar w:fldCharType="end"/>
        </w:r>
      </w:hyperlink>
    </w:p>
    <w:p w14:paraId="7CFACD77" w14:textId="3877D2F3" w:rsidR="006F2511" w:rsidRDefault="003F4DE4">
      <w:pPr>
        <w:pStyle w:val="TOC1"/>
        <w:rPr>
          <w:rFonts w:asciiTheme="minorHAnsi" w:eastAsiaTheme="minorEastAsia" w:hAnsiTheme="minorHAnsi" w:cstheme="minorBidi"/>
          <w:caps w:val="0"/>
          <w:noProof/>
          <w:szCs w:val="22"/>
          <w:lang w:eastAsia="en-GB"/>
        </w:rPr>
      </w:pPr>
      <w:hyperlink w:anchor="_Toc69240410" w:history="1">
        <w:r w:rsidR="006F2511" w:rsidRPr="0092512A">
          <w:rPr>
            <w:rStyle w:val="Hyperlink"/>
            <w:noProof/>
          </w:rPr>
          <w:t>5.</w:t>
        </w:r>
        <w:r w:rsidR="006F2511">
          <w:rPr>
            <w:rFonts w:asciiTheme="minorHAnsi" w:eastAsiaTheme="minorEastAsia" w:hAnsiTheme="minorHAnsi" w:cstheme="minorBidi"/>
            <w:caps w:val="0"/>
            <w:noProof/>
            <w:szCs w:val="22"/>
            <w:lang w:eastAsia="en-GB"/>
          </w:rPr>
          <w:tab/>
        </w:r>
        <w:r w:rsidR="006F2511" w:rsidRPr="0092512A">
          <w:rPr>
            <w:rStyle w:val="Hyperlink"/>
            <w:noProof/>
          </w:rPr>
          <w:t>scope of requirement</w:t>
        </w:r>
        <w:r w:rsidR="006F2511">
          <w:rPr>
            <w:noProof/>
            <w:webHidden/>
          </w:rPr>
          <w:tab/>
        </w:r>
        <w:r w:rsidR="006F2511">
          <w:rPr>
            <w:noProof/>
            <w:webHidden/>
          </w:rPr>
          <w:fldChar w:fldCharType="begin"/>
        </w:r>
        <w:r w:rsidR="006F2511">
          <w:rPr>
            <w:noProof/>
            <w:webHidden/>
          </w:rPr>
          <w:instrText xml:space="preserve"> PAGEREF _Toc69240410 \h </w:instrText>
        </w:r>
        <w:r w:rsidR="006F2511">
          <w:rPr>
            <w:noProof/>
            <w:webHidden/>
          </w:rPr>
        </w:r>
        <w:r w:rsidR="006F2511">
          <w:rPr>
            <w:noProof/>
            <w:webHidden/>
          </w:rPr>
          <w:fldChar w:fldCharType="separate"/>
        </w:r>
        <w:r w:rsidR="00961107">
          <w:rPr>
            <w:noProof/>
            <w:webHidden/>
          </w:rPr>
          <w:t>8</w:t>
        </w:r>
        <w:r w:rsidR="006F2511">
          <w:rPr>
            <w:noProof/>
            <w:webHidden/>
          </w:rPr>
          <w:fldChar w:fldCharType="end"/>
        </w:r>
      </w:hyperlink>
    </w:p>
    <w:p w14:paraId="3CA94957" w14:textId="49C7690C" w:rsidR="006F2511" w:rsidRDefault="003F4DE4">
      <w:pPr>
        <w:pStyle w:val="TOC1"/>
        <w:rPr>
          <w:rFonts w:asciiTheme="minorHAnsi" w:eastAsiaTheme="minorEastAsia" w:hAnsiTheme="minorHAnsi" w:cstheme="minorBidi"/>
          <w:caps w:val="0"/>
          <w:noProof/>
          <w:szCs w:val="22"/>
          <w:lang w:eastAsia="en-GB"/>
        </w:rPr>
      </w:pPr>
      <w:hyperlink w:anchor="_Toc69240411" w:history="1">
        <w:r w:rsidR="006F2511" w:rsidRPr="0092512A">
          <w:rPr>
            <w:rStyle w:val="Hyperlink"/>
            <w:noProof/>
          </w:rPr>
          <w:t>6.</w:t>
        </w:r>
        <w:r w:rsidR="006F2511">
          <w:rPr>
            <w:rFonts w:asciiTheme="minorHAnsi" w:eastAsiaTheme="minorEastAsia" w:hAnsiTheme="minorHAnsi" w:cstheme="minorBidi"/>
            <w:caps w:val="0"/>
            <w:noProof/>
            <w:szCs w:val="22"/>
            <w:lang w:eastAsia="en-GB"/>
          </w:rPr>
          <w:tab/>
        </w:r>
        <w:r w:rsidR="006F2511" w:rsidRPr="0092512A">
          <w:rPr>
            <w:rStyle w:val="Hyperlink"/>
            <w:noProof/>
          </w:rPr>
          <w:t>The requirement</w:t>
        </w:r>
        <w:r w:rsidR="006F2511">
          <w:rPr>
            <w:noProof/>
            <w:webHidden/>
          </w:rPr>
          <w:tab/>
        </w:r>
        <w:r w:rsidR="006F2511">
          <w:rPr>
            <w:noProof/>
            <w:webHidden/>
          </w:rPr>
          <w:fldChar w:fldCharType="begin"/>
        </w:r>
        <w:r w:rsidR="006F2511">
          <w:rPr>
            <w:noProof/>
            <w:webHidden/>
          </w:rPr>
          <w:instrText xml:space="preserve"> PAGEREF _Toc69240411 \h </w:instrText>
        </w:r>
        <w:r w:rsidR="006F2511">
          <w:rPr>
            <w:noProof/>
            <w:webHidden/>
          </w:rPr>
        </w:r>
        <w:r w:rsidR="006F2511">
          <w:rPr>
            <w:noProof/>
            <w:webHidden/>
          </w:rPr>
          <w:fldChar w:fldCharType="separate"/>
        </w:r>
        <w:r w:rsidR="00961107">
          <w:rPr>
            <w:noProof/>
            <w:webHidden/>
          </w:rPr>
          <w:t>12</w:t>
        </w:r>
        <w:r w:rsidR="006F2511">
          <w:rPr>
            <w:noProof/>
            <w:webHidden/>
          </w:rPr>
          <w:fldChar w:fldCharType="end"/>
        </w:r>
      </w:hyperlink>
    </w:p>
    <w:p w14:paraId="456F52DD" w14:textId="1DFDD501" w:rsidR="006F2511" w:rsidRDefault="003F4DE4">
      <w:pPr>
        <w:pStyle w:val="TOC1"/>
        <w:rPr>
          <w:rFonts w:asciiTheme="minorHAnsi" w:eastAsiaTheme="minorEastAsia" w:hAnsiTheme="minorHAnsi" w:cstheme="minorBidi"/>
          <w:caps w:val="0"/>
          <w:noProof/>
          <w:szCs w:val="22"/>
          <w:lang w:eastAsia="en-GB"/>
        </w:rPr>
      </w:pPr>
      <w:hyperlink w:anchor="_Toc69240412" w:history="1">
        <w:r w:rsidR="006F2511" w:rsidRPr="0092512A">
          <w:rPr>
            <w:rStyle w:val="Hyperlink"/>
            <w:noProof/>
          </w:rPr>
          <w:t>7.</w:t>
        </w:r>
        <w:r w:rsidR="006F2511">
          <w:rPr>
            <w:rFonts w:asciiTheme="minorHAnsi" w:eastAsiaTheme="minorEastAsia" w:hAnsiTheme="minorHAnsi" w:cstheme="minorBidi"/>
            <w:caps w:val="0"/>
            <w:noProof/>
            <w:szCs w:val="22"/>
            <w:lang w:eastAsia="en-GB"/>
          </w:rPr>
          <w:tab/>
        </w:r>
        <w:r w:rsidR="006F2511" w:rsidRPr="0092512A">
          <w:rPr>
            <w:rStyle w:val="Hyperlink"/>
            <w:noProof/>
          </w:rPr>
          <w:t>key milestones and Deliverables</w:t>
        </w:r>
        <w:r w:rsidR="006F2511">
          <w:rPr>
            <w:noProof/>
            <w:webHidden/>
          </w:rPr>
          <w:tab/>
        </w:r>
        <w:r w:rsidR="006F2511">
          <w:rPr>
            <w:noProof/>
            <w:webHidden/>
          </w:rPr>
          <w:fldChar w:fldCharType="begin"/>
        </w:r>
        <w:r w:rsidR="006F2511">
          <w:rPr>
            <w:noProof/>
            <w:webHidden/>
          </w:rPr>
          <w:instrText xml:space="preserve"> PAGEREF _Toc69240412 \h </w:instrText>
        </w:r>
        <w:r w:rsidR="006F2511">
          <w:rPr>
            <w:noProof/>
            <w:webHidden/>
          </w:rPr>
        </w:r>
        <w:r w:rsidR="006F2511">
          <w:rPr>
            <w:noProof/>
            <w:webHidden/>
          </w:rPr>
          <w:fldChar w:fldCharType="separate"/>
        </w:r>
        <w:r w:rsidR="00961107">
          <w:rPr>
            <w:noProof/>
            <w:webHidden/>
          </w:rPr>
          <w:t>28</w:t>
        </w:r>
        <w:r w:rsidR="006F2511">
          <w:rPr>
            <w:noProof/>
            <w:webHidden/>
          </w:rPr>
          <w:fldChar w:fldCharType="end"/>
        </w:r>
      </w:hyperlink>
    </w:p>
    <w:p w14:paraId="5ACAD455" w14:textId="6E680074" w:rsidR="006F2511" w:rsidRDefault="003F4DE4">
      <w:pPr>
        <w:pStyle w:val="TOC1"/>
        <w:rPr>
          <w:rFonts w:asciiTheme="minorHAnsi" w:eastAsiaTheme="minorEastAsia" w:hAnsiTheme="minorHAnsi" w:cstheme="minorBidi"/>
          <w:caps w:val="0"/>
          <w:noProof/>
          <w:szCs w:val="22"/>
          <w:lang w:eastAsia="en-GB"/>
        </w:rPr>
      </w:pPr>
      <w:hyperlink w:anchor="_Toc69240413" w:history="1">
        <w:r w:rsidR="006F2511" w:rsidRPr="0092512A">
          <w:rPr>
            <w:rStyle w:val="Hyperlink"/>
            <w:rFonts w:cs="Arial"/>
            <w:noProof/>
          </w:rPr>
          <w:t>8.</w:t>
        </w:r>
        <w:r w:rsidR="006F2511">
          <w:rPr>
            <w:rFonts w:asciiTheme="minorHAnsi" w:eastAsiaTheme="minorEastAsia" w:hAnsiTheme="minorHAnsi" w:cstheme="minorBidi"/>
            <w:caps w:val="0"/>
            <w:noProof/>
            <w:szCs w:val="22"/>
            <w:lang w:eastAsia="en-GB"/>
          </w:rPr>
          <w:tab/>
        </w:r>
        <w:r w:rsidR="006F2511" w:rsidRPr="0092512A">
          <w:rPr>
            <w:rStyle w:val="Hyperlink"/>
            <w:rFonts w:cs="Arial"/>
            <w:noProof/>
          </w:rPr>
          <w:t>MANAGEMENT INFORMATION/reporting</w:t>
        </w:r>
        <w:r w:rsidR="006F2511">
          <w:rPr>
            <w:noProof/>
            <w:webHidden/>
          </w:rPr>
          <w:tab/>
        </w:r>
        <w:r w:rsidR="006F2511">
          <w:rPr>
            <w:noProof/>
            <w:webHidden/>
          </w:rPr>
          <w:fldChar w:fldCharType="begin"/>
        </w:r>
        <w:r w:rsidR="006F2511">
          <w:rPr>
            <w:noProof/>
            <w:webHidden/>
          </w:rPr>
          <w:instrText xml:space="preserve"> PAGEREF _Toc69240413 \h </w:instrText>
        </w:r>
        <w:r w:rsidR="006F2511">
          <w:rPr>
            <w:noProof/>
            <w:webHidden/>
          </w:rPr>
        </w:r>
        <w:r w:rsidR="006F2511">
          <w:rPr>
            <w:noProof/>
            <w:webHidden/>
          </w:rPr>
          <w:fldChar w:fldCharType="separate"/>
        </w:r>
        <w:r w:rsidR="00961107">
          <w:rPr>
            <w:noProof/>
            <w:webHidden/>
          </w:rPr>
          <w:t>37</w:t>
        </w:r>
        <w:r w:rsidR="006F2511">
          <w:rPr>
            <w:noProof/>
            <w:webHidden/>
          </w:rPr>
          <w:fldChar w:fldCharType="end"/>
        </w:r>
      </w:hyperlink>
    </w:p>
    <w:p w14:paraId="324097DF" w14:textId="25208B9D" w:rsidR="006F2511" w:rsidRDefault="003F4DE4">
      <w:pPr>
        <w:pStyle w:val="TOC1"/>
        <w:rPr>
          <w:rFonts w:asciiTheme="minorHAnsi" w:eastAsiaTheme="minorEastAsia" w:hAnsiTheme="minorHAnsi" w:cstheme="minorBidi"/>
          <w:caps w:val="0"/>
          <w:noProof/>
          <w:szCs w:val="22"/>
          <w:lang w:eastAsia="en-GB"/>
        </w:rPr>
      </w:pPr>
      <w:hyperlink w:anchor="_Toc69240414" w:history="1">
        <w:r w:rsidR="006F2511" w:rsidRPr="0092512A">
          <w:rPr>
            <w:rStyle w:val="Hyperlink"/>
            <w:rFonts w:cs="Arial"/>
            <w:noProof/>
          </w:rPr>
          <w:t>9.</w:t>
        </w:r>
        <w:r w:rsidR="006F2511">
          <w:rPr>
            <w:rFonts w:asciiTheme="minorHAnsi" w:eastAsiaTheme="minorEastAsia" w:hAnsiTheme="minorHAnsi" w:cstheme="minorBidi"/>
            <w:caps w:val="0"/>
            <w:noProof/>
            <w:szCs w:val="22"/>
            <w:lang w:eastAsia="en-GB"/>
          </w:rPr>
          <w:tab/>
        </w:r>
        <w:r w:rsidR="006F2511" w:rsidRPr="0092512A">
          <w:rPr>
            <w:rStyle w:val="Hyperlink"/>
            <w:rFonts w:cs="Arial"/>
            <w:noProof/>
          </w:rPr>
          <w:t>volumes</w:t>
        </w:r>
        <w:r w:rsidR="006F2511">
          <w:rPr>
            <w:noProof/>
            <w:webHidden/>
          </w:rPr>
          <w:tab/>
        </w:r>
        <w:r w:rsidR="006F2511">
          <w:rPr>
            <w:noProof/>
            <w:webHidden/>
          </w:rPr>
          <w:fldChar w:fldCharType="begin"/>
        </w:r>
        <w:r w:rsidR="006F2511">
          <w:rPr>
            <w:noProof/>
            <w:webHidden/>
          </w:rPr>
          <w:instrText xml:space="preserve"> PAGEREF _Toc69240414 \h </w:instrText>
        </w:r>
        <w:r w:rsidR="006F2511">
          <w:rPr>
            <w:noProof/>
            <w:webHidden/>
          </w:rPr>
        </w:r>
        <w:r w:rsidR="006F2511">
          <w:rPr>
            <w:noProof/>
            <w:webHidden/>
          </w:rPr>
          <w:fldChar w:fldCharType="separate"/>
        </w:r>
        <w:r w:rsidR="00961107">
          <w:rPr>
            <w:noProof/>
            <w:webHidden/>
          </w:rPr>
          <w:t>37</w:t>
        </w:r>
        <w:r w:rsidR="006F2511">
          <w:rPr>
            <w:noProof/>
            <w:webHidden/>
          </w:rPr>
          <w:fldChar w:fldCharType="end"/>
        </w:r>
      </w:hyperlink>
    </w:p>
    <w:p w14:paraId="730F1B6D" w14:textId="71D815C1" w:rsidR="006F2511" w:rsidRDefault="003F4DE4">
      <w:pPr>
        <w:pStyle w:val="TOC1"/>
        <w:rPr>
          <w:rFonts w:asciiTheme="minorHAnsi" w:eastAsiaTheme="minorEastAsia" w:hAnsiTheme="minorHAnsi" w:cstheme="minorBidi"/>
          <w:caps w:val="0"/>
          <w:noProof/>
          <w:szCs w:val="22"/>
          <w:lang w:eastAsia="en-GB"/>
        </w:rPr>
      </w:pPr>
      <w:hyperlink w:anchor="_Toc69240415" w:history="1">
        <w:r w:rsidR="006F2511" w:rsidRPr="0092512A">
          <w:rPr>
            <w:rStyle w:val="Hyperlink"/>
            <w:rFonts w:cs="Arial"/>
            <w:noProof/>
          </w:rPr>
          <w:t>10.</w:t>
        </w:r>
        <w:r w:rsidR="006F2511">
          <w:rPr>
            <w:rFonts w:asciiTheme="minorHAnsi" w:eastAsiaTheme="minorEastAsia" w:hAnsiTheme="minorHAnsi" w:cstheme="minorBidi"/>
            <w:caps w:val="0"/>
            <w:noProof/>
            <w:szCs w:val="22"/>
            <w:lang w:eastAsia="en-GB"/>
          </w:rPr>
          <w:tab/>
        </w:r>
        <w:r w:rsidR="006F2511" w:rsidRPr="0092512A">
          <w:rPr>
            <w:rStyle w:val="Hyperlink"/>
            <w:rFonts w:cs="Arial"/>
            <w:noProof/>
          </w:rPr>
          <w:t>continuous improvement</w:t>
        </w:r>
        <w:r w:rsidR="006F2511">
          <w:rPr>
            <w:noProof/>
            <w:webHidden/>
          </w:rPr>
          <w:tab/>
        </w:r>
        <w:r w:rsidR="006F2511">
          <w:rPr>
            <w:noProof/>
            <w:webHidden/>
          </w:rPr>
          <w:fldChar w:fldCharType="begin"/>
        </w:r>
        <w:r w:rsidR="006F2511">
          <w:rPr>
            <w:noProof/>
            <w:webHidden/>
          </w:rPr>
          <w:instrText xml:space="preserve"> PAGEREF _Toc69240415 \h </w:instrText>
        </w:r>
        <w:r w:rsidR="006F2511">
          <w:rPr>
            <w:noProof/>
            <w:webHidden/>
          </w:rPr>
        </w:r>
        <w:r w:rsidR="006F2511">
          <w:rPr>
            <w:noProof/>
            <w:webHidden/>
          </w:rPr>
          <w:fldChar w:fldCharType="separate"/>
        </w:r>
        <w:r w:rsidR="00961107">
          <w:rPr>
            <w:noProof/>
            <w:webHidden/>
          </w:rPr>
          <w:t>38</w:t>
        </w:r>
        <w:r w:rsidR="006F2511">
          <w:rPr>
            <w:noProof/>
            <w:webHidden/>
          </w:rPr>
          <w:fldChar w:fldCharType="end"/>
        </w:r>
      </w:hyperlink>
    </w:p>
    <w:p w14:paraId="259C2780" w14:textId="4602EA31" w:rsidR="006F2511" w:rsidRDefault="003F4DE4">
      <w:pPr>
        <w:pStyle w:val="TOC1"/>
        <w:rPr>
          <w:rFonts w:asciiTheme="minorHAnsi" w:eastAsiaTheme="minorEastAsia" w:hAnsiTheme="minorHAnsi" w:cstheme="minorBidi"/>
          <w:caps w:val="0"/>
          <w:noProof/>
          <w:szCs w:val="22"/>
          <w:lang w:eastAsia="en-GB"/>
        </w:rPr>
      </w:pPr>
      <w:hyperlink w:anchor="_Toc69240416" w:history="1">
        <w:r w:rsidR="006F2511" w:rsidRPr="0092512A">
          <w:rPr>
            <w:rStyle w:val="Hyperlink"/>
            <w:rFonts w:cs="Arial"/>
            <w:noProof/>
          </w:rPr>
          <w:t>11.</w:t>
        </w:r>
        <w:r w:rsidR="006F2511">
          <w:rPr>
            <w:rFonts w:asciiTheme="minorHAnsi" w:eastAsiaTheme="minorEastAsia" w:hAnsiTheme="minorHAnsi" w:cstheme="minorBidi"/>
            <w:caps w:val="0"/>
            <w:noProof/>
            <w:szCs w:val="22"/>
            <w:lang w:eastAsia="en-GB"/>
          </w:rPr>
          <w:tab/>
        </w:r>
        <w:r w:rsidR="006F2511" w:rsidRPr="0092512A">
          <w:rPr>
            <w:rStyle w:val="Hyperlink"/>
            <w:rFonts w:cs="Arial"/>
            <w:noProof/>
          </w:rPr>
          <w:t>quality</w:t>
        </w:r>
        <w:r w:rsidR="006F2511">
          <w:rPr>
            <w:noProof/>
            <w:webHidden/>
          </w:rPr>
          <w:tab/>
        </w:r>
        <w:r w:rsidR="006F2511">
          <w:rPr>
            <w:noProof/>
            <w:webHidden/>
          </w:rPr>
          <w:fldChar w:fldCharType="begin"/>
        </w:r>
        <w:r w:rsidR="006F2511">
          <w:rPr>
            <w:noProof/>
            <w:webHidden/>
          </w:rPr>
          <w:instrText xml:space="preserve"> PAGEREF _Toc69240416 \h </w:instrText>
        </w:r>
        <w:r w:rsidR="006F2511">
          <w:rPr>
            <w:noProof/>
            <w:webHidden/>
          </w:rPr>
        </w:r>
        <w:r w:rsidR="006F2511">
          <w:rPr>
            <w:noProof/>
            <w:webHidden/>
          </w:rPr>
          <w:fldChar w:fldCharType="separate"/>
        </w:r>
        <w:r w:rsidR="00961107">
          <w:rPr>
            <w:noProof/>
            <w:webHidden/>
          </w:rPr>
          <w:t>38</w:t>
        </w:r>
        <w:r w:rsidR="006F2511">
          <w:rPr>
            <w:noProof/>
            <w:webHidden/>
          </w:rPr>
          <w:fldChar w:fldCharType="end"/>
        </w:r>
      </w:hyperlink>
    </w:p>
    <w:p w14:paraId="72A41990" w14:textId="49E66B89" w:rsidR="006F2511" w:rsidRDefault="003F4DE4">
      <w:pPr>
        <w:pStyle w:val="TOC1"/>
        <w:rPr>
          <w:rFonts w:asciiTheme="minorHAnsi" w:eastAsiaTheme="minorEastAsia" w:hAnsiTheme="minorHAnsi" w:cstheme="minorBidi"/>
          <w:caps w:val="0"/>
          <w:noProof/>
          <w:szCs w:val="22"/>
          <w:lang w:eastAsia="en-GB"/>
        </w:rPr>
      </w:pPr>
      <w:hyperlink w:anchor="_Toc69240417" w:history="1">
        <w:r w:rsidR="006F2511" w:rsidRPr="0092512A">
          <w:rPr>
            <w:rStyle w:val="Hyperlink"/>
            <w:rFonts w:cs="Arial"/>
            <w:noProof/>
          </w:rPr>
          <w:t>12.</w:t>
        </w:r>
        <w:r w:rsidR="006F2511">
          <w:rPr>
            <w:rFonts w:asciiTheme="minorHAnsi" w:eastAsiaTheme="minorEastAsia" w:hAnsiTheme="minorHAnsi" w:cstheme="minorBidi"/>
            <w:caps w:val="0"/>
            <w:noProof/>
            <w:szCs w:val="22"/>
            <w:lang w:eastAsia="en-GB"/>
          </w:rPr>
          <w:tab/>
        </w:r>
        <w:r w:rsidR="006F2511" w:rsidRPr="0092512A">
          <w:rPr>
            <w:rStyle w:val="Hyperlink"/>
            <w:rFonts w:cs="Arial"/>
            <w:noProof/>
          </w:rPr>
          <w:t>PRICE</w:t>
        </w:r>
        <w:r w:rsidR="006F2511">
          <w:rPr>
            <w:noProof/>
            <w:webHidden/>
          </w:rPr>
          <w:tab/>
        </w:r>
        <w:r w:rsidR="006F2511">
          <w:rPr>
            <w:noProof/>
            <w:webHidden/>
          </w:rPr>
          <w:fldChar w:fldCharType="begin"/>
        </w:r>
        <w:r w:rsidR="006F2511">
          <w:rPr>
            <w:noProof/>
            <w:webHidden/>
          </w:rPr>
          <w:instrText xml:space="preserve"> PAGEREF _Toc69240417 \h </w:instrText>
        </w:r>
        <w:r w:rsidR="006F2511">
          <w:rPr>
            <w:noProof/>
            <w:webHidden/>
          </w:rPr>
        </w:r>
        <w:r w:rsidR="006F2511">
          <w:rPr>
            <w:noProof/>
            <w:webHidden/>
          </w:rPr>
          <w:fldChar w:fldCharType="separate"/>
        </w:r>
        <w:r w:rsidR="00961107">
          <w:rPr>
            <w:noProof/>
            <w:webHidden/>
          </w:rPr>
          <w:t>39</w:t>
        </w:r>
        <w:r w:rsidR="006F2511">
          <w:rPr>
            <w:noProof/>
            <w:webHidden/>
          </w:rPr>
          <w:fldChar w:fldCharType="end"/>
        </w:r>
      </w:hyperlink>
    </w:p>
    <w:p w14:paraId="1C758EC5" w14:textId="591EE8D9" w:rsidR="006F2511" w:rsidRDefault="003F4DE4">
      <w:pPr>
        <w:pStyle w:val="TOC1"/>
        <w:rPr>
          <w:rFonts w:asciiTheme="minorHAnsi" w:eastAsiaTheme="minorEastAsia" w:hAnsiTheme="minorHAnsi" w:cstheme="minorBidi"/>
          <w:caps w:val="0"/>
          <w:noProof/>
          <w:szCs w:val="22"/>
          <w:lang w:eastAsia="en-GB"/>
        </w:rPr>
      </w:pPr>
      <w:hyperlink w:anchor="_Toc69240418" w:history="1">
        <w:r w:rsidR="006F2511" w:rsidRPr="0092512A">
          <w:rPr>
            <w:rStyle w:val="Hyperlink"/>
            <w:rFonts w:cs="Arial"/>
            <w:noProof/>
          </w:rPr>
          <w:t>13.</w:t>
        </w:r>
        <w:r w:rsidR="006F2511">
          <w:rPr>
            <w:rFonts w:asciiTheme="minorHAnsi" w:eastAsiaTheme="minorEastAsia" w:hAnsiTheme="minorHAnsi" w:cstheme="minorBidi"/>
            <w:caps w:val="0"/>
            <w:noProof/>
            <w:szCs w:val="22"/>
            <w:lang w:eastAsia="en-GB"/>
          </w:rPr>
          <w:tab/>
        </w:r>
        <w:r w:rsidR="006F2511" w:rsidRPr="0092512A">
          <w:rPr>
            <w:rStyle w:val="Hyperlink"/>
            <w:rFonts w:cs="Arial"/>
            <w:noProof/>
          </w:rPr>
          <w:t>STAFF AND CUSTOMER SERVICE</w:t>
        </w:r>
        <w:r w:rsidR="006F2511">
          <w:rPr>
            <w:noProof/>
            <w:webHidden/>
          </w:rPr>
          <w:tab/>
        </w:r>
        <w:r w:rsidR="006F2511">
          <w:rPr>
            <w:noProof/>
            <w:webHidden/>
          </w:rPr>
          <w:fldChar w:fldCharType="begin"/>
        </w:r>
        <w:r w:rsidR="006F2511">
          <w:rPr>
            <w:noProof/>
            <w:webHidden/>
          </w:rPr>
          <w:instrText xml:space="preserve"> PAGEREF _Toc69240418 \h </w:instrText>
        </w:r>
        <w:r w:rsidR="006F2511">
          <w:rPr>
            <w:noProof/>
            <w:webHidden/>
          </w:rPr>
        </w:r>
        <w:r w:rsidR="006F2511">
          <w:rPr>
            <w:noProof/>
            <w:webHidden/>
          </w:rPr>
          <w:fldChar w:fldCharType="separate"/>
        </w:r>
        <w:r w:rsidR="00961107">
          <w:rPr>
            <w:noProof/>
            <w:webHidden/>
          </w:rPr>
          <w:t>40</w:t>
        </w:r>
        <w:r w:rsidR="006F2511">
          <w:rPr>
            <w:noProof/>
            <w:webHidden/>
          </w:rPr>
          <w:fldChar w:fldCharType="end"/>
        </w:r>
      </w:hyperlink>
    </w:p>
    <w:p w14:paraId="64F2CCF1" w14:textId="2CBBCC4D" w:rsidR="006F2511" w:rsidRDefault="003F4DE4">
      <w:pPr>
        <w:pStyle w:val="TOC1"/>
        <w:rPr>
          <w:rFonts w:asciiTheme="minorHAnsi" w:eastAsiaTheme="minorEastAsia" w:hAnsiTheme="minorHAnsi" w:cstheme="minorBidi"/>
          <w:caps w:val="0"/>
          <w:noProof/>
          <w:szCs w:val="22"/>
          <w:lang w:eastAsia="en-GB"/>
        </w:rPr>
      </w:pPr>
      <w:hyperlink w:anchor="_Toc69240419" w:history="1">
        <w:r w:rsidR="006F2511" w:rsidRPr="0092512A">
          <w:rPr>
            <w:rStyle w:val="Hyperlink"/>
            <w:rFonts w:cs="Arial"/>
            <w:noProof/>
          </w:rPr>
          <w:t>14.</w:t>
        </w:r>
        <w:r w:rsidR="006F2511">
          <w:rPr>
            <w:rFonts w:asciiTheme="minorHAnsi" w:eastAsiaTheme="minorEastAsia" w:hAnsiTheme="minorHAnsi" w:cstheme="minorBidi"/>
            <w:caps w:val="0"/>
            <w:noProof/>
            <w:szCs w:val="22"/>
            <w:lang w:eastAsia="en-GB"/>
          </w:rPr>
          <w:tab/>
        </w:r>
        <w:r w:rsidR="006F2511" w:rsidRPr="0092512A">
          <w:rPr>
            <w:rStyle w:val="Hyperlink"/>
            <w:rFonts w:cs="Arial"/>
            <w:noProof/>
          </w:rPr>
          <w:t>service levels and performance</w:t>
        </w:r>
        <w:r w:rsidR="006F2511">
          <w:rPr>
            <w:noProof/>
            <w:webHidden/>
          </w:rPr>
          <w:tab/>
        </w:r>
        <w:r w:rsidR="006F2511">
          <w:rPr>
            <w:noProof/>
            <w:webHidden/>
          </w:rPr>
          <w:fldChar w:fldCharType="begin"/>
        </w:r>
        <w:r w:rsidR="006F2511">
          <w:rPr>
            <w:noProof/>
            <w:webHidden/>
          </w:rPr>
          <w:instrText xml:space="preserve"> PAGEREF _Toc69240419 \h </w:instrText>
        </w:r>
        <w:r w:rsidR="006F2511">
          <w:rPr>
            <w:noProof/>
            <w:webHidden/>
          </w:rPr>
        </w:r>
        <w:r w:rsidR="006F2511">
          <w:rPr>
            <w:noProof/>
            <w:webHidden/>
          </w:rPr>
          <w:fldChar w:fldCharType="separate"/>
        </w:r>
        <w:r w:rsidR="00961107">
          <w:rPr>
            <w:noProof/>
            <w:webHidden/>
          </w:rPr>
          <w:t>41</w:t>
        </w:r>
        <w:r w:rsidR="006F2511">
          <w:rPr>
            <w:noProof/>
            <w:webHidden/>
          </w:rPr>
          <w:fldChar w:fldCharType="end"/>
        </w:r>
      </w:hyperlink>
    </w:p>
    <w:p w14:paraId="51AD2E4A" w14:textId="18769202" w:rsidR="006F2511" w:rsidRDefault="003F4DE4">
      <w:pPr>
        <w:pStyle w:val="TOC1"/>
        <w:rPr>
          <w:rFonts w:asciiTheme="minorHAnsi" w:eastAsiaTheme="minorEastAsia" w:hAnsiTheme="minorHAnsi" w:cstheme="minorBidi"/>
          <w:caps w:val="0"/>
          <w:noProof/>
          <w:szCs w:val="22"/>
          <w:lang w:eastAsia="en-GB"/>
        </w:rPr>
      </w:pPr>
      <w:hyperlink w:anchor="_Toc69240420" w:history="1">
        <w:r w:rsidR="006F2511" w:rsidRPr="0092512A">
          <w:rPr>
            <w:rStyle w:val="Hyperlink"/>
            <w:noProof/>
          </w:rPr>
          <w:t>15.</w:t>
        </w:r>
        <w:r w:rsidR="006F2511">
          <w:rPr>
            <w:rFonts w:asciiTheme="minorHAnsi" w:eastAsiaTheme="minorEastAsia" w:hAnsiTheme="minorHAnsi" w:cstheme="minorBidi"/>
            <w:caps w:val="0"/>
            <w:noProof/>
            <w:szCs w:val="22"/>
            <w:lang w:eastAsia="en-GB"/>
          </w:rPr>
          <w:tab/>
        </w:r>
        <w:r w:rsidR="006F2511" w:rsidRPr="0092512A">
          <w:rPr>
            <w:rStyle w:val="Hyperlink"/>
            <w:noProof/>
          </w:rPr>
          <w:t>Security and CONFIDENTIALITY requirements</w:t>
        </w:r>
        <w:r w:rsidR="006F2511">
          <w:rPr>
            <w:noProof/>
            <w:webHidden/>
          </w:rPr>
          <w:tab/>
        </w:r>
        <w:r w:rsidR="006F2511">
          <w:rPr>
            <w:noProof/>
            <w:webHidden/>
          </w:rPr>
          <w:fldChar w:fldCharType="begin"/>
        </w:r>
        <w:r w:rsidR="006F2511">
          <w:rPr>
            <w:noProof/>
            <w:webHidden/>
          </w:rPr>
          <w:instrText xml:space="preserve"> PAGEREF _Toc69240420 \h </w:instrText>
        </w:r>
        <w:r w:rsidR="006F2511">
          <w:rPr>
            <w:noProof/>
            <w:webHidden/>
          </w:rPr>
        </w:r>
        <w:r w:rsidR="006F2511">
          <w:rPr>
            <w:noProof/>
            <w:webHidden/>
          </w:rPr>
          <w:fldChar w:fldCharType="separate"/>
        </w:r>
        <w:r w:rsidR="00961107">
          <w:rPr>
            <w:noProof/>
            <w:webHidden/>
          </w:rPr>
          <w:t>42</w:t>
        </w:r>
        <w:r w:rsidR="006F2511">
          <w:rPr>
            <w:noProof/>
            <w:webHidden/>
          </w:rPr>
          <w:fldChar w:fldCharType="end"/>
        </w:r>
      </w:hyperlink>
    </w:p>
    <w:p w14:paraId="7BD5A692" w14:textId="4106B4CE" w:rsidR="006F2511" w:rsidRDefault="003F4DE4">
      <w:pPr>
        <w:pStyle w:val="TOC1"/>
        <w:rPr>
          <w:rFonts w:asciiTheme="minorHAnsi" w:eastAsiaTheme="minorEastAsia" w:hAnsiTheme="minorHAnsi" w:cstheme="minorBidi"/>
          <w:caps w:val="0"/>
          <w:noProof/>
          <w:szCs w:val="22"/>
          <w:lang w:eastAsia="en-GB"/>
        </w:rPr>
      </w:pPr>
      <w:hyperlink w:anchor="_Toc69240421" w:history="1">
        <w:r w:rsidR="006F2511" w:rsidRPr="0092512A">
          <w:rPr>
            <w:rStyle w:val="Hyperlink"/>
            <w:rFonts w:cs="Arial"/>
            <w:noProof/>
          </w:rPr>
          <w:t>16.</w:t>
        </w:r>
        <w:r w:rsidR="006F2511">
          <w:rPr>
            <w:rFonts w:asciiTheme="minorHAnsi" w:eastAsiaTheme="minorEastAsia" w:hAnsiTheme="minorHAnsi" w:cstheme="minorBidi"/>
            <w:caps w:val="0"/>
            <w:noProof/>
            <w:szCs w:val="22"/>
            <w:lang w:eastAsia="en-GB"/>
          </w:rPr>
          <w:tab/>
        </w:r>
        <w:r w:rsidR="006F2511" w:rsidRPr="0092512A">
          <w:rPr>
            <w:rStyle w:val="Hyperlink"/>
            <w:rFonts w:cs="Arial"/>
            <w:noProof/>
          </w:rPr>
          <w:t>payment AND INVOICING</w:t>
        </w:r>
        <w:r w:rsidR="006F2511">
          <w:rPr>
            <w:noProof/>
            <w:webHidden/>
          </w:rPr>
          <w:tab/>
        </w:r>
        <w:r w:rsidR="006F2511">
          <w:rPr>
            <w:noProof/>
            <w:webHidden/>
          </w:rPr>
          <w:fldChar w:fldCharType="begin"/>
        </w:r>
        <w:r w:rsidR="006F2511">
          <w:rPr>
            <w:noProof/>
            <w:webHidden/>
          </w:rPr>
          <w:instrText xml:space="preserve"> PAGEREF _Toc69240421 \h </w:instrText>
        </w:r>
        <w:r w:rsidR="006F2511">
          <w:rPr>
            <w:noProof/>
            <w:webHidden/>
          </w:rPr>
        </w:r>
        <w:r w:rsidR="006F2511">
          <w:rPr>
            <w:noProof/>
            <w:webHidden/>
          </w:rPr>
          <w:fldChar w:fldCharType="separate"/>
        </w:r>
        <w:r w:rsidR="00961107">
          <w:rPr>
            <w:noProof/>
            <w:webHidden/>
          </w:rPr>
          <w:t>46</w:t>
        </w:r>
        <w:r w:rsidR="006F2511">
          <w:rPr>
            <w:noProof/>
            <w:webHidden/>
          </w:rPr>
          <w:fldChar w:fldCharType="end"/>
        </w:r>
      </w:hyperlink>
    </w:p>
    <w:p w14:paraId="4E641923" w14:textId="725BE220" w:rsidR="006F2511" w:rsidRDefault="003F4DE4">
      <w:pPr>
        <w:pStyle w:val="TOC1"/>
        <w:rPr>
          <w:rFonts w:asciiTheme="minorHAnsi" w:eastAsiaTheme="minorEastAsia" w:hAnsiTheme="minorHAnsi" w:cstheme="minorBidi"/>
          <w:caps w:val="0"/>
          <w:noProof/>
          <w:szCs w:val="22"/>
          <w:lang w:eastAsia="en-GB"/>
        </w:rPr>
      </w:pPr>
      <w:hyperlink w:anchor="_Toc69240422" w:history="1">
        <w:r w:rsidR="006F2511" w:rsidRPr="0092512A">
          <w:rPr>
            <w:rStyle w:val="Hyperlink"/>
            <w:rFonts w:cs="Arial"/>
            <w:noProof/>
          </w:rPr>
          <w:t>17.</w:t>
        </w:r>
        <w:r w:rsidR="006F2511">
          <w:rPr>
            <w:rFonts w:asciiTheme="minorHAnsi" w:eastAsiaTheme="minorEastAsia" w:hAnsiTheme="minorHAnsi" w:cstheme="minorBidi"/>
            <w:caps w:val="0"/>
            <w:noProof/>
            <w:szCs w:val="22"/>
            <w:lang w:eastAsia="en-GB"/>
          </w:rPr>
          <w:tab/>
        </w:r>
        <w:r w:rsidR="006F2511" w:rsidRPr="0092512A">
          <w:rPr>
            <w:rStyle w:val="Hyperlink"/>
            <w:rFonts w:cs="Arial"/>
            <w:noProof/>
          </w:rPr>
          <w:t>CONTRACT MANAGEMENT</w:t>
        </w:r>
        <w:r w:rsidR="006F2511">
          <w:rPr>
            <w:noProof/>
            <w:webHidden/>
          </w:rPr>
          <w:tab/>
        </w:r>
        <w:r w:rsidR="006F2511">
          <w:rPr>
            <w:noProof/>
            <w:webHidden/>
          </w:rPr>
          <w:fldChar w:fldCharType="begin"/>
        </w:r>
        <w:r w:rsidR="006F2511">
          <w:rPr>
            <w:noProof/>
            <w:webHidden/>
          </w:rPr>
          <w:instrText xml:space="preserve"> PAGEREF _Toc69240422 \h </w:instrText>
        </w:r>
        <w:r w:rsidR="006F2511">
          <w:rPr>
            <w:noProof/>
            <w:webHidden/>
          </w:rPr>
        </w:r>
        <w:r w:rsidR="006F2511">
          <w:rPr>
            <w:noProof/>
            <w:webHidden/>
          </w:rPr>
          <w:fldChar w:fldCharType="separate"/>
        </w:r>
        <w:r w:rsidR="00961107">
          <w:rPr>
            <w:noProof/>
            <w:webHidden/>
          </w:rPr>
          <w:t>46</w:t>
        </w:r>
        <w:r w:rsidR="006F2511">
          <w:rPr>
            <w:noProof/>
            <w:webHidden/>
          </w:rPr>
          <w:fldChar w:fldCharType="end"/>
        </w:r>
      </w:hyperlink>
    </w:p>
    <w:p w14:paraId="71253558" w14:textId="4F54C143" w:rsidR="006F2511" w:rsidRDefault="003F4DE4">
      <w:pPr>
        <w:pStyle w:val="TOC1"/>
        <w:rPr>
          <w:rFonts w:asciiTheme="minorHAnsi" w:eastAsiaTheme="minorEastAsia" w:hAnsiTheme="minorHAnsi" w:cstheme="minorBidi"/>
          <w:caps w:val="0"/>
          <w:noProof/>
          <w:szCs w:val="22"/>
          <w:lang w:eastAsia="en-GB"/>
        </w:rPr>
      </w:pPr>
      <w:hyperlink w:anchor="_Toc69240423" w:history="1">
        <w:r w:rsidR="006F2511" w:rsidRPr="0092512A">
          <w:rPr>
            <w:rStyle w:val="Hyperlink"/>
            <w:noProof/>
          </w:rPr>
          <w:t>18.</w:t>
        </w:r>
        <w:r w:rsidR="006F2511">
          <w:rPr>
            <w:rFonts w:asciiTheme="minorHAnsi" w:eastAsiaTheme="minorEastAsia" w:hAnsiTheme="minorHAnsi" w:cstheme="minorBidi"/>
            <w:caps w:val="0"/>
            <w:noProof/>
            <w:szCs w:val="22"/>
            <w:lang w:eastAsia="en-GB"/>
          </w:rPr>
          <w:tab/>
        </w:r>
        <w:r w:rsidR="006F2511" w:rsidRPr="0092512A">
          <w:rPr>
            <w:rStyle w:val="Hyperlink"/>
            <w:noProof/>
          </w:rPr>
          <w:t>Location</w:t>
        </w:r>
        <w:r w:rsidR="006F2511">
          <w:rPr>
            <w:noProof/>
            <w:webHidden/>
          </w:rPr>
          <w:tab/>
        </w:r>
        <w:r w:rsidR="006F2511">
          <w:rPr>
            <w:noProof/>
            <w:webHidden/>
          </w:rPr>
          <w:fldChar w:fldCharType="begin"/>
        </w:r>
        <w:r w:rsidR="006F2511">
          <w:rPr>
            <w:noProof/>
            <w:webHidden/>
          </w:rPr>
          <w:instrText xml:space="preserve"> PAGEREF _Toc69240423 \h </w:instrText>
        </w:r>
        <w:r w:rsidR="006F2511">
          <w:rPr>
            <w:noProof/>
            <w:webHidden/>
          </w:rPr>
        </w:r>
        <w:r w:rsidR="006F2511">
          <w:rPr>
            <w:noProof/>
            <w:webHidden/>
          </w:rPr>
          <w:fldChar w:fldCharType="separate"/>
        </w:r>
        <w:r w:rsidR="00961107">
          <w:rPr>
            <w:noProof/>
            <w:webHidden/>
          </w:rPr>
          <w:t>48</w:t>
        </w:r>
        <w:r w:rsidR="006F2511">
          <w:rPr>
            <w:noProof/>
            <w:webHidden/>
          </w:rPr>
          <w:fldChar w:fldCharType="end"/>
        </w:r>
      </w:hyperlink>
    </w:p>
    <w:p w14:paraId="3B7C64CF" w14:textId="67C96448" w:rsidR="006F2511" w:rsidRDefault="003F4DE4">
      <w:pPr>
        <w:pStyle w:val="TOC1"/>
        <w:rPr>
          <w:rFonts w:asciiTheme="minorHAnsi" w:eastAsiaTheme="minorEastAsia" w:hAnsiTheme="minorHAnsi" w:cstheme="minorBidi"/>
          <w:caps w:val="0"/>
          <w:noProof/>
          <w:szCs w:val="22"/>
          <w:lang w:eastAsia="en-GB"/>
        </w:rPr>
      </w:pPr>
      <w:hyperlink w:anchor="_Toc69240424" w:history="1">
        <w:r w:rsidR="006F2511" w:rsidRPr="0092512A">
          <w:rPr>
            <w:rStyle w:val="Hyperlink"/>
            <w:noProof/>
          </w:rPr>
          <w:t>19.</w:t>
        </w:r>
        <w:r w:rsidR="006F2511">
          <w:rPr>
            <w:rFonts w:asciiTheme="minorHAnsi" w:eastAsiaTheme="minorEastAsia" w:hAnsiTheme="minorHAnsi" w:cstheme="minorBidi"/>
            <w:caps w:val="0"/>
            <w:noProof/>
            <w:szCs w:val="22"/>
            <w:lang w:eastAsia="en-GB"/>
          </w:rPr>
          <w:tab/>
        </w:r>
        <w:r w:rsidR="006F2511" w:rsidRPr="0092512A">
          <w:rPr>
            <w:rStyle w:val="Hyperlink"/>
            <w:noProof/>
          </w:rPr>
          <w:t>appendices</w:t>
        </w:r>
        <w:r w:rsidR="006F2511">
          <w:rPr>
            <w:noProof/>
            <w:webHidden/>
          </w:rPr>
          <w:tab/>
        </w:r>
        <w:r w:rsidR="006F2511">
          <w:rPr>
            <w:noProof/>
            <w:webHidden/>
          </w:rPr>
          <w:fldChar w:fldCharType="begin"/>
        </w:r>
        <w:r w:rsidR="006F2511">
          <w:rPr>
            <w:noProof/>
            <w:webHidden/>
          </w:rPr>
          <w:instrText xml:space="preserve"> PAGEREF _Toc69240424 \h </w:instrText>
        </w:r>
        <w:r w:rsidR="006F2511">
          <w:rPr>
            <w:noProof/>
            <w:webHidden/>
          </w:rPr>
        </w:r>
        <w:r w:rsidR="006F2511">
          <w:rPr>
            <w:noProof/>
            <w:webHidden/>
          </w:rPr>
          <w:fldChar w:fldCharType="separate"/>
        </w:r>
        <w:r w:rsidR="00961107">
          <w:rPr>
            <w:noProof/>
            <w:webHidden/>
          </w:rPr>
          <w:t>48</w:t>
        </w:r>
        <w:r w:rsidR="006F2511">
          <w:rPr>
            <w:noProof/>
            <w:webHidden/>
          </w:rPr>
          <w:fldChar w:fldCharType="end"/>
        </w:r>
      </w:hyperlink>
    </w:p>
    <w:p w14:paraId="374B790A" w14:textId="54A192AA" w:rsidR="00FE18AC" w:rsidRPr="00D37BAC" w:rsidRDefault="00E10E97" w:rsidP="00FE18AC">
      <w:pPr>
        <w:spacing w:after="120"/>
        <w:jc w:val="center"/>
        <w:rPr>
          <w:b/>
        </w:rPr>
      </w:pPr>
      <w:r w:rsidRPr="00FA5229">
        <w:rPr>
          <w:rFonts w:cs="Arial"/>
          <w:caps/>
        </w:rPr>
        <w:fldChar w:fldCharType="end"/>
      </w:r>
    </w:p>
    <w:p w14:paraId="4DA4FDFA" w14:textId="77777777" w:rsidR="00F44D62" w:rsidRPr="00F44D62" w:rsidRDefault="00F44D62" w:rsidP="001A45DF">
      <w:pPr>
        <w:adjustRightInd w:val="0"/>
        <w:spacing w:before="60" w:after="60"/>
        <w:ind w:left="142"/>
        <w:jc w:val="center"/>
        <w:rPr>
          <w:rFonts w:eastAsia="STZhongsong" w:cs="Arial"/>
          <w:b/>
          <w:szCs w:val="22"/>
          <w:highlight w:val="yellow"/>
        </w:rPr>
      </w:pPr>
      <w:bookmarkStart w:id="2" w:name="_Toc297554772"/>
    </w:p>
    <w:p w14:paraId="656F4A80" w14:textId="0A21CC3D" w:rsidR="00FE18AC" w:rsidRPr="001530F5" w:rsidRDefault="00FE18AC" w:rsidP="00F44D62">
      <w:pPr>
        <w:pStyle w:val="Heading1"/>
        <w:numPr>
          <w:ilvl w:val="0"/>
          <w:numId w:val="0"/>
        </w:numPr>
        <w:overflowPunct w:val="0"/>
        <w:autoSpaceDE w:val="0"/>
        <w:autoSpaceDN w:val="0"/>
        <w:spacing w:after="120"/>
        <w:ind w:left="720"/>
        <w:textAlignment w:val="baseline"/>
        <w:rPr>
          <w:szCs w:val="22"/>
        </w:rPr>
      </w:pPr>
      <w:r>
        <w:rPr>
          <w:caps w:val="0"/>
          <w:szCs w:val="22"/>
        </w:rPr>
        <w:br w:type="page"/>
      </w:r>
    </w:p>
    <w:p w14:paraId="7989F07B" w14:textId="77777777" w:rsidR="00FE18AC" w:rsidRPr="000608F5" w:rsidRDefault="00FE18AC" w:rsidP="007F3990">
      <w:pPr>
        <w:pStyle w:val="Heading1"/>
        <w:numPr>
          <w:ilvl w:val="0"/>
          <w:numId w:val="22"/>
        </w:numPr>
        <w:tabs>
          <w:tab w:val="clear" w:pos="720"/>
        </w:tabs>
        <w:overflowPunct w:val="0"/>
        <w:autoSpaceDE w:val="0"/>
        <w:autoSpaceDN w:val="0"/>
        <w:spacing w:after="120"/>
        <w:textAlignment w:val="baseline"/>
        <w:rPr>
          <w:sz w:val="32"/>
          <w:szCs w:val="32"/>
        </w:rPr>
      </w:pPr>
      <w:bookmarkStart w:id="3" w:name="_Toc368573027"/>
      <w:bookmarkStart w:id="4" w:name="_Toc69240406"/>
      <w:r w:rsidRPr="000608F5">
        <w:rPr>
          <w:caps w:val="0"/>
          <w:sz w:val="32"/>
          <w:szCs w:val="32"/>
        </w:rPr>
        <w:lastRenderedPageBreak/>
        <w:t>PURPOSE</w:t>
      </w:r>
      <w:bookmarkEnd w:id="2"/>
      <w:bookmarkEnd w:id="3"/>
      <w:bookmarkEnd w:id="4"/>
    </w:p>
    <w:p w14:paraId="3BDB92AC" w14:textId="43BFCF34" w:rsidR="00FE18AC" w:rsidRPr="00830A77" w:rsidRDefault="000608F5" w:rsidP="00A22D0A">
      <w:pPr>
        <w:pStyle w:val="Heading2"/>
        <w:rPr>
          <w:sz w:val="24"/>
          <w:szCs w:val="24"/>
        </w:rPr>
      </w:pPr>
      <w:bookmarkStart w:id="5" w:name="_Toc296415791"/>
      <w:r w:rsidRPr="00A22D0A">
        <w:rPr>
          <w:sz w:val="24"/>
          <w:szCs w:val="24"/>
        </w:rPr>
        <w:t xml:space="preserve">The purpose of this procurement is to appoint a prime supplier to deliver a regional </w:t>
      </w:r>
      <w:r w:rsidR="000A0303">
        <w:rPr>
          <w:sz w:val="24"/>
          <w:szCs w:val="24"/>
        </w:rPr>
        <w:t>Minimum Viable Product (</w:t>
      </w:r>
      <w:r w:rsidRPr="00A22D0A">
        <w:rPr>
          <w:sz w:val="24"/>
          <w:szCs w:val="24"/>
        </w:rPr>
        <w:t>MVP</w:t>
      </w:r>
      <w:r w:rsidR="000A0303">
        <w:rPr>
          <w:sz w:val="24"/>
          <w:szCs w:val="24"/>
        </w:rPr>
        <w:t>)</w:t>
      </w:r>
      <w:r w:rsidR="00D11B9B">
        <w:rPr>
          <w:sz w:val="24"/>
          <w:szCs w:val="24"/>
        </w:rPr>
        <w:t xml:space="preserve"> and a N</w:t>
      </w:r>
      <w:r w:rsidRPr="00A22D0A">
        <w:rPr>
          <w:sz w:val="24"/>
          <w:szCs w:val="24"/>
        </w:rPr>
        <w:t xml:space="preserve">ational </w:t>
      </w:r>
      <w:r w:rsidR="00D11B9B">
        <w:rPr>
          <w:sz w:val="24"/>
          <w:szCs w:val="24"/>
        </w:rPr>
        <w:t>R</w:t>
      </w:r>
      <w:r w:rsidRPr="00A22D0A">
        <w:rPr>
          <w:sz w:val="24"/>
          <w:szCs w:val="24"/>
        </w:rPr>
        <w:t xml:space="preserve">ollout of a </w:t>
      </w:r>
      <w:r w:rsidR="00A22D0A" w:rsidRPr="00A22D0A">
        <w:rPr>
          <w:sz w:val="24"/>
          <w:szCs w:val="24"/>
        </w:rPr>
        <w:t>secure data exchange platform providing a comprehensive, trusted and secure digital map of where buried assets are located</w:t>
      </w:r>
      <w:r w:rsidRPr="00A22D0A">
        <w:rPr>
          <w:sz w:val="24"/>
          <w:szCs w:val="24"/>
        </w:rPr>
        <w:t>. The services procured will a</w:t>
      </w:r>
      <w:r w:rsidR="005F18CC" w:rsidRPr="00A22D0A">
        <w:rPr>
          <w:sz w:val="24"/>
          <w:szCs w:val="24"/>
        </w:rPr>
        <w:t xml:space="preserve">lso include </w:t>
      </w:r>
      <w:r w:rsidR="005728DA">
        <w:rPr>
          <w:sz w:val="24"/>
          <w:szCs w:val="24"/>
        </w:rPr>
        <w:t>engagement and data discovery with</w:t>
      </w:r>
      <w:r w:rsidR="005F18CC" w:rsidRPr="00A22D0A">
        <w:rPr>
          <w:sz w:val="24"/>
          <w:szCs w:val="24"/>
        </w:rPr>
        <w:t xml:space="preserve"> 6</w:t>
      </w:r>
      <w:r w:rsidRPr="00A22D0A">
        <w:rPr>
          <w:sz w:val="24"/>
          <w:szCs w:val="24"/>
        </w:rPr>
        <w:t xml:space="preserve">00+ </w:t>
      </w:r>
      <w:r w:rsidR="000A0303">
        <w:rPr>
          <w:sz w:val="24"/>
          <w:szCs w:val="24"/>
        </w:rPr>
        <w:t>Asset O</w:t>
      </w:r>
      <w:r w:rsidRPr="00A22D0A">
        <w:rPr>
          <w:sz w:val="24"/>
          <w:szCs w:val="24"/>
        </w:rPr>
        <w:t>wners, a digital platform development, data transformation and ingestion solutions and feedback loop</w:t>
      </w:r>
      <w:r w:rsidR="00FB11DA">
        <w:rPr>
          <w:sz w:val="24"/>
          <w:szCs w:val="24"/>
        </w:rPr>
        <w:t>s</w:t>
      </w:r>
      <w:r w:rsidRPr="00A22D0A">
        <w:rPr>
          <w:sz w:val="24"/>
          <w:szCs w:val="24"/>
        </w:rPr>
        <w:t xml:space="preserve"> for data quality improvement. The programme aims to deliver value through </w:t>
      </w:r>
      <w:r w:rsidR="00FB11DA">
        <w:rPr>
          <w:sz w:val="24"/>
          <w:szCs w:val="24"/>
        </w:rPr>
        <w:t>supporting the reduction of</w:t>
      </w:r>
      <w:r w:rsidR="00FB11DA" w:rsidRPr="00A22D0A">
        <w:rPr>
          <w:sz w:val="24"/>
          <w:szCs w:val="24"/>
        </w:rPr>
        <w:t xml:space="preserve"> </w:t>
      </w:r>
      <w:r w:rsidRPr="00A22D0A">
        <w:rPr>
          <w:sz w:val="24"/>
          <w:szCs w:val="24"/>
        </w:rPr>
        <w:t xml:space="preserve">utility strikes and mitigating serious injury or death </w:t>
      </w:r>
      <w:r w:rsidR="00FB11DA">
        <w:rPr>
          <w:sz w:val="24"/>
          <w:szCs w:val="24"/>
        </w:rPr>
        <w:t>by promoting</w:t>
      </w:r>
      <w:r w:rsidR="00FB11DA" w:rsidRPr="00A22D0A">
        <w:rPr>
          <w:sz w:val="24"/>
          <w:szCs w:val="24"/>
        </w:rPr>
        <w:t xml:space="preserve"> </w:t>
      </w:r>
      <w:r w:rsidRPr="00A22D0A">
        <w:rPr>
          <w:sz w:val="24"/>
          <w:szCs w:val="24"/>
        </w:rPr>
        <w:t>safer working conditions and</w:t>
      </w:r>
      <w:r w:rsidR="00FB11DA">
        <w:rPr>
          <w:sz w:val="24"/>
          <w:szCs w:val="24"/>
        </w:rPr>
        <w:t xml:space="preserve"> by providing efficiency and cost savings in</w:t>
      </w:r>
      <w:r w:rsidRPr="00A22D0A">
        <w:rPr>
          <w:sz w:val="24"/>
          <w:szCs w:val="24"/>
        </w:rPr>
        <w:t xml:space="preserve"> </w:t>
      </w:r>
      <w:r w:rsidR="00FB11DA">
        <w:rPr>
          <w:sz w:val="24"/>
          <w:szCs w:val="24"/>
        </w:rPr>
        <w:t xml:space="preserve">existing </w:t>
      </w:r>
      <w:r w:rsidRPr="00830A77">
        <w:rPr>
          <w:sz w:val="24"/>
          <w:szCs w:val="24"/>
        </w:rPr>
        <w:t>data exchange, planning</w:t>
      </w:r>
      <w:r w:rsidR="00FB11DA" w:rsidRPr="00830A77">
        <w:rPr>
          <w:sz w:val="24"/>
          <w:szCs w:val="24"/>
        </w:rPr>
        <w:t xml:space="preserve"> and</w:t>
      </w:r>
      <w:r w:rsidRPr="00830A77">
        <w:rPr>
          <w:sz w:val="24"/>
          <w:szCs w:val="24"/>
        </w:rPr>
        <w:t xml:space="preserve"> on-</w:t>
      </w:r>
      <w:r w:rsidR="00003D95" w:rsidRPr="00830A77">
        <w:rPr>
          <w:sz w:val="24"/>
          <w:szCs w:val="24"/>
        </w:rPr>
        <w:t xml:space="preserve">site </w:t>
      </w:r>
      <w:r w:rsidR="00FB11DA" w:rsidRPr="00830A77">
        <w:rPr>
          <w:sz w:val="24"/>
          <w:szCs w:val="24"/>
        </w:rPr>
        <w:t>activities</w:t>
      </w:r>
      <w:r w:rsidRPr="00830A77">
        <w:rPr>
          <w:sz w:val="24"/>
          <w:szCs w:val="24"/>
        </w:rPr>
        <w:t xml:space="preserve">. </w:t>
      </w:r>
    </w:p>
    <w:p w14:paraId="4686E152" w14:textId="72753B2C" w:rsidR="000608F5" w:rsidRPr="00830A77" w:rsidRDefault="00D54F99" w:rsidP="000A077E">
      <w:pPr>
        <w:pStyle w:val="Heading2"/>
        <w:rPr>
          <w:sz w:val="24"/>
          <w:szCs w:val="24"/>
        </w:rPr>
      </w:pPr>
      <w:r w:rsidRPr="00830A77">
        <w:rPr>
          <w:sz w:val="24"/>
          <w:szCs w:val="24"/>
        </w:rPr>
        <w:t xml:space="preserve">The </w:t>
      </w:r>
      <w:r w:rsidR="00830A77" w:rsidRPr="00830A77">
        <w:rPr>
          <w:sz w:val="24"/>
          <w:szCs w:val="24"/>
        </w:rPr>
        <w:t>Requirement</w:t>
      </w:r>
      <w:r w:rsidRPr="00830A77">
        <w:rPr>
          <w:sz w:val="24"/>
          <w:szCs w:val="24"/>
        </w:rPr>
        <w:t xml:space="preserve"> will </w:t>
      </w:r>
      <w:r w:rsidR="00830A77" w:rsidRPr="00830A77">
        <w:rPr>
          <w:sz w:val="24"/>
          <w:szCs w:val="24"/>
        </w:rPr>
        <w:t>be</w:t>
      </w:r>
      <w:r w:rsidR="000B7FF8">
        <w:rPr>
          <w:sz w:val="24"/>
          <w:szCs w:val="24"/>
        </w:rPr>
        <w:t xml:space="preserve"> for thirty-seven</w:t>
      </w:r>
      <w:r w:rsidRPr="00830A77">
        <w:rPr>
          <w:sz w:val="24"/>
          <w:szCs w:val="24"/>
        </w:rPr>
        <w:t xml:space="preserve"> (3</w:t>
      </w:r>
      <w:r w:rsidR="00002B20">
        <w:rPr>
          <w:sz w:val="24"/>
          <w:szCs w:val="24"/>
        </w:rPr>
        <w:t>7</w:t>
      </w:r>
      <w:r w:rsidRPr="00830A77">
        <w:rPr>
          <w:sz w:val="24"/>
          <w:szCs w:val="24"/>
        </w:rPr>
        <w:t>) months</w:t>
      </w:r>
      <w:r w:rsidR="002A7260" w:rsidRPr="00830A77">
        <w:rPr>
          <w:sz w:val="24"/>
          <w:szCs w:val="24"/>
        </w:rPr>
        <w:t>,</w:t>
      </w:r>
      <w:r w:rsidRPr="00830A77">
        <w:rPr>
          <w:sz w:val="24"/>
          <w:szCs w:val="24"/>
        </w:rPr>
        <w:t xml:space="preserve"> </w:t>
      </w:r>
      <w:r w:rsidR="005728DA">
        <w:rPr>
          <w:sz w:val="24"/>
          <w:szCs w:val="24"/>
        </w:rPr>
        <w:t>split</w:t>
      </w:r>
      <w:r w:rsidR="005728DA" w:rsidRPr="00830A77">
        <w:rPr>
          <w:sz w:val="24"/>
          <w:szCs w:val="24"/>
        </w:rPr>
        <w:t xml:space="preserve"> </w:t>
      </w:r>
      <w:r w:rsidR="00830A77" w:rsidRPr="00830A77">
        <w:rPr>
          <w:sz w:val="24"/>
          <w:szCs w:val="24"/>
        </w:rPr>
        <w:t xml:space="preserve">into three </w:t>
      </w:r>
      <w:r w:rsidR="00A41957">
        <w:rPr>
          <w:sz w:val="24"/>
          <w:szCs w:val="24"/>
        </w:rPr>
        <w:t xml:space="preserve">segments of </w:t>
      </w:r>
      <w:r w:rsidR="00002B20">
        <w:rPr>
          <w:sz w:val="24"/>
          <w:szCs w:val="24"/>
        </w:rPr>
        <w:t>seven</w:t>
      </w:r>
      <w:r w:rsidR="00830A77" w:rsidRPr="00830A77">
        <w:rPr>
          <w:sz w:val="24"/>
          <w:szCs w:val="24"/>
        </w:rPr>
        <w:t xml:space="preserve"> (</w:t>
      </w:r>
      <w:r w:rsidR="00002B20">
        <w:rPr>
          <w:sz w:val="24"/>
          <w:szCs w:val="24"/>
        </w:rPr>
        <w:t>7</w:t>
      </w:r>
      <w:r w:rsidR="00830A77" w:rsidRPr="00830A77">
        <w:rPr>
          <w:sz w:val="24"/>
          <w:szCs w:val="24"/>
        </w:rPr>
        <w:t xml:space="preserve">) months, twelve (12) months, and eighteen (18) months. Contract extensions will be required </w:t>
      </w:r>
      <w:r w:rsidR="00CE13A5">
        <w:rPr>
          <w:sz w:val="24"/>
          <w:szCs w:val="24"/>
        </w:rPr>
        <w:t xml:space="preserve">between the segments. </w:t>
      </w:r>
      <w:r w:rsidR="00830A77" w:rsidRPr="00830A77">
        <w:rPr>
          <w:sz w:val="24"/>
          <w:szCs w:val="24"/>
        </w:rPr>
        <w:t>The</w:t>
      </w:r>
      <w:r w:rsidR="002A7260" w:rsidRPr="00830A77">
        <w:rPr>
          <w:sz w:val="24"/>
          <w:szCs w:val="24"/>
        </w:rPr>
        <w:t xml:space="preserve"> first</w:t>
      </w:r>
      <w:r w:rsidRPr="00830A77">
        <w:rPr>
          <w:sz w:val="24"/>
          <w:szCs w:val="24"/>
        </w:rPr>
        <w:t xml:space="preserve"> </w:t>
      </w:r>
      <w:r w:rsidR="00830A77" w:rsidRPr="00830A77">
        <w:rPr>
          <w:sz w:val="24"/>
          <w:szCs w:val="24"/>
        </w:rPr>
        <w:t>two segments</w:t>
      </w:r>
      <w:r w:rsidRPr="00830A77">
        <w:rPr>
          <w:sz w:val="24"/>
          <w:szCs w:val="24"/>
        </w:rPr>
        <w:t xml:space="preserve"> </w:t>
      </w:r>
      <w:r w:rsidR="00830A77" w:rsidRPr="00830A77">
        <w:rPr>
          <w:sz w:val="24"/>
          <w:szCs w:val="24"/>
        </w:rPr>
        <w:t>are focused on</w:t>
      </w:r>
      <w:r w:rsidR="00D11B9B" w:rsidRPr="00830A77">
        <w:rPr>
          <w:sz w:val="24"/>
          <w:szCs w:val="24"/>
        </w:rPr>
        <w:t xml:space="preserve"> the design and build of the R</w:t>
      </w:r>
      <w:r w:rsidRPr="00830A77">
        <w:rPr>
          <w:sz w:val="24"/>
          <w:szCs w:val="24"/>
        </w:rPr>
        <w:t>egional MVP for London</w:t>
      </w:r>
      <w:r w:rsidR="00EB4C32" w:rsidRPr="00830A77">
        <w:rPr>
          <w:sz w:val="24"/>
          <w:szCs w:val="24"/>
        </w:rPr>
        <w:t>,</w:t>
      </w:r>
      <w:r w:rsidRPr="00830A77">
        <w:rPr>
          <w:sz w:val="24"/>
          <w:szCs w:val="24"/>
        </w:rPr>
        <w:t xml:space="preserve"> </w:t>
      </w:r>
      <w:r w:rsidR="00A212C9" w:rsidRPr="00830A77">
        <w:rPr>
          <w:sz w:val="24"/>
          <w:szCs w:val="24"/>
        </w:rPr>
        <w:t xml:space="preserve">the </w:t>
      </w:r>
      <w:r w:rsidRPr="00830A77">
        <w:rPr>
          <w:sz w:val="24"/>
          <w:szCs w:val="24"/>
        </w:rPr>
        <w:t>North East of England</w:t>
      </w:r>
      <w:r w:rsidR="00EB4C32" w:rsidRPr="00830A77">
        <w:rPr>
          <w:sz w:val="24"/>
          <w:szCs w:val="24"/>
        </w:rPr>
        <w:t xml:space="preserve"> and Wales</w:t>
      </w:r>
      <w:r w:rsidRPr="00830A77">
        <w:rPr>
          <w:sz w:val="24"/>
          <w:szCs w:val="24"/>
        </w:rPr>
        <w:t xml:space="preserve">. This will be followed by </w:t>
      </w:r>
      <w:r w:rsidR="00830A77" w:rsidRPr="00830A77">
        <w:rPr>
          <w:sz w:val="24"/>
          <w:szCs w:val="24"/>
        </w:rPr>
        <w:t>the last</w:t>
      </w:r>
      <w:r w:rsidR="000A077E" w:rsidRPr="00830A77">
        <w:rPr>
          <w:sz w:val="24"/>
          <w:szCs w:val="24"/>
        </w:rPr>
        <w:t xml:space="preserve"> eighteen </w:t>
      </w:r>
      <w:r w:rsidRPr="00830A77">
        <w:rPr>
          <w:sz w:val="24"/>
          <w:szCs w:val="24"/>
        </w:rPr>
        <w:t>(</w:t>
      </w:r>
      <w:r w:rsidR="000A077E" w:rsidRPr="00830A77">
        <w:rPr>
          <w:sz w:val="24"/>
          <w:szCs w:val="24"/>
        </w:rPr>
        <w:t>18)</w:t>
      </w:r>
      <w:r w:rsidRPr="00830A77">
        <w:rPr>
          <w:sz w:val="24"/>
          <w:szCs w:val="24"/>
        </w:rPr>
        <w:t xml:space="preserve"> month </w:t>
      </w:r>
      <w:r w:rsidR="00830A77" w:rsidRPr="00830A77">
        <w:rPr>
          <w:sz w:val="24"/>
          <w:szCs w:val="24"/>
        </w:rPr>
        <w:t>segment</w:t>
      </w:r>
      <w:r w:rsidRPr="00830A77">
        <w:rPr>
          <w:sz w:val="24"/>
          <w:szCs w:val="24"/>
        </w:rPr>
        <w:t xml:space="preserve"> </w:t>
      </w:r>
      <w:r w:rsidR="002A7260" w:rsidRPr="00830A77">
        <w:rPr>
          <w:sz w:val="24"/>
          <w:szCs w:val="24"/>
        </w:rPr>
        <w:t xml:space="preserve">where the </w:t>
      </w:r>
      <w:r w:rsidRPr="00830A77">
        <w:rPr>
          <w:sz w:val="24"/>
          <w:szCs w:val="24"/>
        </w:rPr>
        <w:t xml:space="preserve">solution </w:t>
      </w:r>
      <w:r w:rsidR="002A7260" w:rsidRPr="00830A77">
        <w:rPr>
          <w:sz w:val="24"/>
          <w:szCs w:val="24"/>
        </w:rPr>
        <w:t>will be</w:t>
      </w:r>
      <w:r w:rsidR="00A212C9" w:rsidRPr="00830A77">
        <w:rPr>
          <w:sz w:val="24"/>
          <w:szCs w:val="24"/>
        </w:rPr>
        <w:t xml:space="preserve"> enhanced and</w:t>
      </w:r>
      <w:r w:rsidR="002A7260" w:rsidRPr="00830A77">
        <w:rPr>
          <w:sz w:val="24"/>
          <w:szCs w:val="24"/>
        </w:rPr>
        <w:t xml:space="preserve"> rolled out</w:t>
      </w:r>
      <w:r w:rsidRPr="00830A77">
        <w:rPr>
          <w:sz w:val="24"/>
          <w:szCs w:val="24"/>
        </w:rPr>
        <w:t xml:space="preserve"> </w:t>
      </w:r>
      <w:r w:rsidR="000A077E" w:rsidRPr="00830A77">
        <w:rPr>
          <w:sz w:val="24"/>
          <w:szCs w:val="24"/>
        </w:rPr>
        <w:t>national</w:t>
      </w:r>
      <w:r w:rsidR="002A7260" w:rsidRPr="00830A77">
        <w:rPr>
          <w:sz w:val="24"/>
          <w:szCs w:val="24"/>
        </w:rPr>
        <w:t>ly</w:t>
      </w:r>
      <w:r w:rsidR="000A077E" w:rsidRPr="00830A77">
        <w:rPr>
          <w:sz w:val="24"/>
          <w:szCs w:val="24"/>
        </w:rPr>
        <w:t xml:space="preserve">. </w:t>
      </w:r>
    </w:p>
    <w:p w14:paraId="7196B137" w14:textId="77777777" w:rsidR="00671798" w:rsidRPr="000608F5" w:rsidRDefault="00FE18AC">
      <w:pPr>
        <w:pStyle w:val="Heading1"/>
        <w:tabs>
          <w:tab w:val="clear" w:pos="720"/>
        </w:tabs>
        <w:overflowPunct w:val="0"/>
        <w:autoSpaceDE w:val="0"/>
        <w:autoSpaceDN w:val="0"/>
        <w:spacing w:after="120"/>
        <w:textAlignment w:val="baseline"/>
        <w:rPr>
          <w:sz w:val="32"/>
          <w:szCs w:val="32"/>
        </w:rPr>
      </w:pPr>
      <w:bookmarkStart w:id="6" w:name="_Toc368573028"/>
      <w:bookmarkStart w:id="7" w:name="_Toc69240407"/>
      <w:bookmarkStart w:id="8" w:name="_Toc297554773"/>
      <w:bookmarkStart w:id="9" w:name="_Toc296415805"/>
      <w:bookmarkStart w:id="10" w:name="_Toc296415793"/>
      <w:bookmarkEnd w:id="5"/>
      <w:r w:rsidRPr="000608F5">
        <w:rPr>
          <w:sz w:val="32"/>
          <w:szCs w:val="32"/>
        </w:rPr>
        <w:t>BACKGROUND TO THE CONTRACTING aUTHORITY</w:t>
      </w:r>
      <w:bookmarkEnd w:id="6"/>
      <w:bookmarkEnd w:id="7"/>
    </w:p>
    <w:p w14:paraId="03AB89DC" w14:textId="20851412" w:rsidR="00E72A9F" w:rsidRPr="000608F5" w:rsidRDefault="00E72A9F" w:rsidP="005F48FF">
      <w:pPr>
        <w:pStyle w:val="Heading2"/>
        <w:rPr>
          <w:rFonts w:ascii="Times New Roman" w:eastAsia="Times New Roman" w:hAnsi="Times New Roman"/>
          <w:sz w:val="40"/>
          <w:szCs w:val="36"/>
          <w:lang w:eastAsia="en-GB"/>
        </w:rPr>
      </w:pPr>
      <w:r w:rsidRPr="000608F5">
        <w:rPr>
          <w:sz w:val="24"/>
        </w:rPr>
        <w:t>The Geospatial Commission (GC)</w:t>
      </w:r>
      <w:r w:rsidR="00071833">
        <w:rPr>
          <w:sz w:val="24"/>
        </w:rPr>
        <w:t>, the “Customer”,</w:t>
      </w:r>
      <w:r w:rsidRPr="000608F5">
        <w:rPr>
          <w:sz w:val="24"/>
        </w:rPr>
        <w:t xml:space="preserve"> was established in April 2018 by the government as an independent, expert committee responsible for setting the UK’s geospatial strategy and coordinating public sector geospatial activity. </w:t>
      </w:r>
    </w:p>
    <w:p w14:paraId="66D47D82" w14:textId="4C75C87A" w:rsidR="00E72A9F" w:rsidRPr="000608F5" w:rsidRDefault="00F04CB3" w:rsidP="005F48FF">
      <w:pPr>
        <w:pStyle w:val="Heading2"/>
        <w:rPr>
          <w:sz w:val="24"/>
        </w:rPr>
      </w:pPr>
      <w:r>
        <w:rPr>
          <w:color w:val="000000"/>
          <w:sz w:val="24"/>
        </w:rPr>
        <w:t>The Customer</w:t>
      </w:r>
      <w:r w:rsidR="00E72A9F" w:rsidRPr="000608F5">
        <w:rPr>
          <w:color w:val="000000"/>
          <w:sz w:val="24"/>
        </w:rPr>
        <w:t xml:space="preserve"> published the UK’s geospatial strategy in June 2020, setting out how the UK will unlock the power of location data. The strategy sets out a vision for how location data will create significant economic, social and environmental value. </w:t>
      </w:r>
      <w:r w:rsidR="00E72A9F" w:rsidRPr="000608F5">
        <w:rPr>
          <w:sz w:val="24"/>
        </w:rPr>
        <w:t>It aims to do this through driving insight, innovation and investment in geospatial capabilities and technologies in the UK, working across both the public and private sectors.</w:t>
      </w:r>
    </w:p>
    <w:p w14:paraId="00DFD419" w14:textId="2F34C5CE" w:rsidR="00E72A9F" w:rsidRPr="000608F5" w:rsidRDefault="00E72A9F" w:rsidP="005F48FF">
      <w:pPr>
        <w:pStyle w:val="Heading2"/>
        <w:rPr>
          <w:sz w:val="24"/>
        </w:rPr>
      </w:pPr>
      <w:r w:rsidRPr="000608F5">
        <w:rPr>
          <w:sz w:val="24"/>
        </w:rPr>
        <w:t xml:space="preserve">The overarching objectives of the </w:t>
      </w:r>
      <w:r w:rsidR="00F04CB3">
        <w:rPr>
          <w:sz w:val="24"/>
        </w:rPr>
        <w:t>Customer</w:t>
      </w:r>
      <w:r w:rsidRPr="000608F5">
        <w:rPr>
          <w:sz w:val="24"/>
        </w:rPr>
        <w:t xml:space="preserve"> are to increase economic growth and improve social and environmental outcomes by:</w:t>
      </w:r>
    </w:p>
    <w:p w14:paraId="25D87DD4" w14:textId="0860FF38" w:rsidR="00E72A9F" w:rsidRPr="000608F5" w:rsidRDefault="00E72A9F" w:rsidP="0041573D">
      <w:pPr>
        <w:pStyle w:val="Heading3"/>
        <w:spacing w:after="120"/>
        <w:ind w:left="1797" w:hanging="1077"/>
        <w:rPr>
          <w:sz w:val="24"/>
        </w:rPr>
      </w:pPr>
      <w:r w:rsidRPr="000608F5">
        <w:rPr>
          <w:sz w:val="24"/>
        </w:rPr>
        <w:t>Setting cross-cutting geospatial strategy, policy and data standards;</w:t>
      </w:r>
    </w:p>
    <w:p w14:paraId="7D5FF113" w14:textId="711B588A" w:rsidR="00E72A9F" w:rsidRPr="000608F5" w:rsidRDefault="00E72A9F" w:rsidP="0041573D">
      <w:pPr>
        <w:pStyle w:val="Heading3"/>
        <w:spacing w:after="120"/>
        <w:ind w:left="1797" w:hanging="1077"/>
        <w:rPr>
          <w:sz w:val="24"/>
        </w:rPr>
      </w:pPr>
      <w:r w:rsidRPr="000608F5">
        <w:rPr>
          <w:sz w:val="24"/>
        </w:rPr>
        <w:t>Promoting competition within markets for geospatial data, products and services;</w:t>
      </w:r>
    </w:p>
    <w:p w14:paraId="64B0610C" w14:textId="326381F8" w:rsidR="00E72A9F" w:rsidRPr="000608F5" w:rsidRDefault="00E72A9F" w:rsidP="0041573D">
      <w:pPr>
        <w:pStyle w:val="Heading3"/>
        <w:spacing w:after="120"/>
        <w:ind w:left="1797" w:hanging="1077"/>
        <w:rPr>
          <w:sz w:val="24"/>
        </w:rPr>
      </w:pPr>
      <w:r w:rsidRPr="000608F5">
        <w:rPr>
          <w:sz w:val="24"/>
        </w:rPr>
        <w:t>Improving accessibility, interoperability and quality of data; and</w:t>
      </w:r>
    </w:p>
    <w:p w14:paraId="5D87E43F" w14:textId="54B3D182" w:rsidR="00E72A9F" w:rsidRPr="000608F5" w:rsidRDefault="00E72A9F" w:rsidP="0041573D">
      <w:pPr>
        <w:pStyle w:val="Heading3"/>
        <w:spacing w:after="120"/>
        <w:ind w:left="1797" w:hanging="1077"/>
        <w:rPr>
          <w:sz w:val="24"/>
        </w:rPr>
      </w:pPr>
      <w:r w:rsidRPr="000608F5">
        <w:rPr>
          <w:sz w:val="24"/>
        </w:rPr>
        <w:t>Improving capability, skills and resources to support the growth of new and existing geospatial businesses and improve public services.</w:t>
      </w:r>
    </w:p>
    <w:p w14:paraId="398DE027" w14:textId="77777777" w:rsidR="00E72A9F" w:rsidRPr="001A45DF" w:rsidRDefault="00E72A9F" w:rsidP="005063FC">
      <w:pPr>
        <w:pStyle w:val="Heading2"/>
        <w:numPr>
          <w:ilvl w:val="0"/>
          <w:numId w:val="0"/>
        </w:numPr>
        <w:spacing w:after="120"/>
        <w:rPr>
          <w:sz w:val="24"/>
          <w:szCs w:val="24"/>
          <w:highlight w:val="yellow"/>
        </w:rPr>
      </w:pPr>
    </w:p>
    <w:p w14:paraId="151A9D23" w14:textId="77777777" w:rsidR="00FE18AC" w:rsidRPr="001A45DF" w:rsidRDefault="00FE18AC" w:rsidP="008F3470">
      <w:pPr>
        <w:pStyle w:val="Heading1"/>
        <w:tabs>
          <w:tab w:val="clear" w:pos="720"/>
        </w:tabs>
        <w:overflowPunct w:val="0"/>
        <w:autoSpaceDE w:val="0"/>
        <w:autoSpaceDN w:val="0"/>
        <w:spacing w:after="120"/>
        <w:textAlignment w:val="baseline"/>
        <w:rPr>
          <w:sz w:val="32"/>
          <w:szCs w:val="32"/>
        </w:rPr>
      </w:pPr>
      <w:bookmarkStart w:id="11" w:name="_Toc368573029"/>
      <w:bookmarkStart w:id="12" w:name="_Toc69240408"/>
      <w:r w:rsidRPr="001A45DF">
        <w:rPr>
          <w:sz w:val="32"/>
          <w:szCs w:val="32"/>
        </w:rPr>
        <w:lastRenderedPageBreak/>
        <w:t>Background to requirement/OVERVIEW</w:t>
      </w:r>
      <w:bookmarkEnd w:id="8"/>
      <w:r w:rsidRPr="001A45DF">
        <w:rPr>
          <w:sz w:val="32"/>
          <w:szCs w:val="32"/>
        </w:rPr>
        <w:t xml:space="preserve"> of requirement</w:t>
      </w:r>
      <w:bookmarkEnd w:id="11"/>
      <w:bookmarkEnd w:id="12"/>
    </w:p>
    <w:p w14:paraId="4FA9219E" w14:textId="12203D72" w:rsidR="002F2FF1" w:rsidRPr="002F2FF1" w:rsidRDefault="002F2FF1">
      <w:pPr>
        <w:pStyle w:val="Heading2"/>
        <w:tabs>
          <w:tab w:val="clear" w:pos="720"/>
          <w:tab w:val="num" w:pos="709"/>
        </w:tabs>
        <w:spacing w:after="120"/>
        <w:ind w:left="709" w:hanging="709"/>
        <w:rPr>
          <w:sz w:val="24"/>
          <w:szCs w:val="24"/>
        </w:rPr>
      </w:pPr>
      <w:bookmarkStart w:id="13" w:name="_Toc297554774"/>
      <w:bookmarkEnd w:id="9"/>
      <w:r w:rsidRPr="002F2FF1">
        <w:rPr>
          <w:sz w:val="24"/>
          <w:szCs w:val="24"/>
        </w:rPr>
        <w:t>The estimated economic cost of accidental strikes on underground pipes and cables is £1.2 billion a year. Workers who strike gas pipes and electricity cables by mistake can also put themselves and others in danger of death or serious injury.</w:t>
      </w:r>
    </w:p>
    <w:p w14:paraId="7AD6EC1F" w14:textId="56BDA6C7" w:rsidR="002F2FF1" w:rsidRDefault="002F2FF1" w:rsidP="002F2FF1">
      <w:pPr>
        <w:pStyle w:val="Heading2"/>
        <w:spacing w:after="120"/>
        <w:ind w:left="709" w:hanging="709"/>
        <w:rPr>
          <w:sz w:val="24"/>
          <w:szCs w:val="24"/>
        </w:rPr>
      </w:pPr>
      <w:r w:rsidRPr="009A4E9A">
        <w:rPr>
          <w:sz w:val="24"/>
          <w:szCs w:val="24"/>
        </w:rPr>
        <w:t xml:space="preserve">The UK does not have a uniform process for </w:t>
      </w:r>
      <w:r w:rsidR="000A0303">
        <w:rPr>
          <w:sz w:val="24"/>
          <w:szCs w:val="24"/>
        </w:rPr>
        <w:t>Asset O</w:t>
      </w:r>
      <w:r w:rsidRPr="009A4E9A">
        <w:rPr>
          <w:sz w:val="24"/>
          <w:szCs w:val="24"/>
        </w:rPr>
        <w:t>wners to share their data, which means prior to excavating a site, operators are required to contact all organisations who own or may have owned assets in the area, wait for each to respond, then compile information so it can be read and understood by workers. This process is slow, inefficient and makes inaccuracies leading to accidental damage more likely. </w:t>
      </w:r>
    </w:p>
    <w:p w14:paraId="53CE847C" w14:textId="18DEB60D" w:rsidR="002F2FF1" w:rsidRDefault="00365815" w:rsidP="002F2FF1">
      <w:pPr>
        <w:pStyle w:val="Heading2"/>
        <w:spacing w:after="120"/>
        <w:ind w:left="709" w:hanging="709"/>
        <w:rPr>
          <w:sz w:val="24"/>
          <w:szCs w:val="24"/>
        </w:rPr>
      </w:pPr>
      <w:r w:rsidRPr="000107E0">
        <w:rPr>
          <w:sz w:val="24"/>
          <w:szCs w:val="24"/>
        </w:rPr>
        <w:t xml:space="preserve">The </w:t>
      </w:r>
      <w:r w:rsidR="00F04CB3">
        <w:rPr>
          <w:sz w:val="24"/>
          <w:szCs w:val="24"/>
        </w:rPr>
        <w:t>Customer</w:t>
      </w:r>
      <w:r w:rsidRPr="000107E0">
        <w:rPr>
          <w:sz w:val="24"/>
          <w:szCs w:val="24"/>
        </w:rPr>
        <w:t xml:space="preserve"> is </w:t>
      </w:r>
      <w:r w:rsidR="00164552">
        <w:rPr>
          <w:sz w:val="24"/>
          <w:szCs w:val="24"/>
        </w:rPr>
        <w:t>seeking to unlock</w:t>
      </w:r>
      <w:r w:rsidRPr="000107E0">
        <w:rPr>
          <w:sz w:val="24"/>
          <w:szCs w:val="24"/>
        </w:rPr>
        <w:t xml:space="preserve"> the economic opportunities offered by geospatial data</w:t>
      </w:r>
      <w:r w:rsidR="004D0520">
        <w:rPr>
          <w:sz w:val="24"/>
          <w:szCs w:val="24"/>
        </w:rPr>
        <w:t>,</w:t>
      </w:r>
      <w:r w:rsidRPr="000107E0">
        <w:rPr>
          <w:sz w:val="24"/>
          <w:szCs w:val="24"/>
        </w:rPr>
        <w:t xml:space="preserve"> and estimates £245m in value could be unlocked for the UK e</w:t>
      </w:r>
      <w:r w:rsidR="00F04CB3">
        <w:rPr>
          <w:sz w:val="24"/>
          <w:szCs w:val="24"/>
        </w:rPr>
        <w:t>conomy per annum by creating a National Underground Asset R</w:t>
      </w:r>
      <w:r w:rsidRPr="000107E0">
        <w:rPr>
          <w:sz w:val="24"/>
          <w:szCs w:val="24"/>
        </w:rPr>
        <w:t xml:space="preserve">egister (NUAR) where </w:t>
      </w:r>
      <w:r w:rsidR="004E3B26" w:rsidRPr="000107E0">
        <w:rPr>
          <w:sz w:val="24"/>
          <w:szCs w:val="24"/>
        </w:rPr>
        <w:t>Asset Owners and their operators share data in a consistent and efficient manner</w:t>
      </w:r>
      <w:r w:rsidRPr="000107E0">
        <w:rPr>
          <w:sz w:val="24"/>
          <w:szCs w:val="24"/>
        </w:rPr>
        <w:t>.</w:t>
      </w:r>
    </w:p>
    <w:p w14:paraId="3B044662" w14:textId="4296B19C" w:rsidR="008D6A97" w:rsidRPr="008D6A97" w:rsidRDefault="008D6A97" w:rsidP="00D14BF6">
      <w:pPr>
        <w:pStyle w:val="Heading2"/>
        <w:rPr>
          <w:sz w:val="24"/>
          <w:szCs w:val="24"/>
        </w:rPr>
      </w:pPr>
      <w:r w:rsidRPr="008D6A97">
        <w:rPr>
          <w:sz w:val="24"/>
          <w:szCs w:val="24"/>
        </w:rPr>
        <w:t>The geospatial economic opportunities in the infrastructure and construction sect</w:t>
      </w:r>
      <w:r>
        <w:rPr>
          <w:sz w:val="24"/>
          <w:szCs w:val="24"/>
        </w:rPr>
        <w:t xml:space="preserve">ors are estimated to amount to </w:t>
      </w:r>
      <w:r w:rsidRPr="008D6A97">
        <w:rPr>
          <w:sz w:val="24"/>
          <w:szCs w:val="24"/>
        </w:rPr>
        <w:t xml:space="preserve">£2.2 - </w:t>
      </w:r>
      <w:r>
        <w:rPr>
          <w:sz w:val="24"/>
          <w:szCs w:val="24"/>
        </w:rPr>
        <w:t>£4.6 billion per year</w:t>
      </w:r>
      <w:r>
        <w:rPr>
          <w:rStyle w:val="FootnoteReference"/>
          <w:szCs w:val="24"/>
        </w:rPr>
        <w:footnoteReference w:id="2"/>
      </w:r>
      <w:r>
        <w:rPr>
          <w:sz w:val="24"/>
          <w:szCs w:val="24"/>
        </w:rPr>
        <w:t>. In 2018,</w:t>
      </w:r>
      <w:r w:rsidRPr="008D6A97">
        <w:rPr>
          <w:sz w:val="24"/>
          <w:szCs w:val="24"/>
        </w:rPr>
        <w:t xml:space="preserve"> </w:t>
      </w:r>
      <w:r>
        <w:rPr>
          <w:sz w:val="24"/>
          <w:szCs w:val="24"/>
        </w:rPr>
        <w:t>t</w:t>
      </w:r>
      <w:r w:rsidRPr="008D6A97">
        <w:rPr>
          <w:sz w:val="24"/>
          <w:szCs w:val="24"/>
        </w:rPr>
        <w:t>he responses to the Geospatial</w:t>
      </w:r>
      <w:r w:rsidR="004E3B26">
        <w:rPr>
          <w:sz w:val="24"/>
          <w:szCs w:val="24"/>
        </w:rPr>
        <w:t xml:space="preserve"> Commission’s Call for Evidence</w:t>
      </w:r>
      <w:r>
        <w:rPr>
          <w:rStyle w:val="FootnoteReference"/>
          <w:szCs w:val="24"/>
        </w:rPr>
        <w:footnoteReference w:id="3"/>
      </w:r>
      <w:r w:rsidR="004E3B26">
        <w:rPr>
          <w:sz w:val="24"/>
          <w:szCs w:val="24"/>
        </w:rPr>
        <w:t xml:space="preserve"> </w:t>
      </w:r>
      <w:r w:rsidRPr="008D6A97">
        <w:rPr>
          <w:sz w:val="24"/>
          <w:szCs w:val="24"/>
        </w:rPr>
        <w:t xml:space="preserve">provided further support to focus on the lack of standardised and streamlined access to subsurface information. </w:t>
      </w:r>
    </w:p>
    <w:p w14:paraId="2E054D8E" w14:textId="68D0A0F9" w:rsidR="00365815" w:rsidRDefault="008D6A97" w:rsidP="008D6A97">
      <w:pPr>
        <w:pStyle w:val="Heading2"/>
        <w:rPr>
          <w:sz w:val="24"/>
          <w:szCs w:val="24"/>
        </w:rPr>
      </w:pPr>
      <w:r w:rsidRPr="0041573D">
        <w:rPr>
          <w:rFonts w:cs="Arial"/>
          <w:sz w:val="24"/>
          <w:szCs w:val="24"/>
        </w:rPr>
        <w:t>Further evidence and use cases surrounding buried infrastructure became available through a report issued by Project Iceberg</w:t>
      </w:r>
      <w:r w:rsidR="00CA4F74" w:rsidRPr="0041573D">
        <w:rPr>
          <w:rStyle w:val="FootnoteReference"/>
          <w:rFonts w:ascii="Arial" w:hAnsi="Arial" w:cs="Arial"/>
          <w:sz w:val="24"/>
          <w:szCs w:val="24"/>
        </w:rPr>
        <w:footnoteReference w:id="4"/>
      </w:r>
      <w:r w:rsidR="00FB11DA">
        <w:rPr>
          <w:rFonts w:cs="Arial"/>
          <w:sz w:val="24"/>
          <w:szCs w:val="24"/>
        </w:rPr>
        <w:t xml:space="preserve">, </w:t>
      </w:r>
      <w:r w:rsidRPr="0041573D">
        <w:rPr>
          <w:rFonts w:cs="Arial"/>
          <w:sz w:val="24"/>
          <w:szCs w:val="24"/>
        </w:rPr>
        <w:t>a collaborative project between the Ordnance Survey, the British Geological Survey and the Connected Places Catapult</w:t>
      </w:r>
      <w:r w:rsidRPr="008D6A97">
        <w:rPr>
          <w:sz w:val="24"/>
          <w:szCs w:val="24"/>
        </w:rPr>
        <w:t>.</w:t>
      </w:r>
    </w:p>
    <w:p w14:paraId="30068DF5" w14:textId="6DAF2AC7" w:rsidR="000778C4" w:rsidRPr="005063FC" w:rsidRDefault="000778C4" w:rsidP="000778C4">
      <w:pPr>
        <w:pStyle w:val="Heading2"/>
        <w:rPr>
          <w:rFonts w:cs="Arial"/>
          <w:sz w:val="24"/>
          <w:szCs w:val="24"/>
        </w:rPr>
      </w:pPr>
      <w:r w:rsidRPr="000778C4">
        <w:rPr>
          <w:rFonts w:cs="Arial"/>
          <w:sz w:val="24"/>
          <w:szCs w:val="24"/>
        </w:rPr>
        <w:t>In 2019/20 the Commission conducted two pilots (one led by the Greater London Authority</w:t>
      </w:r>
      <w:r w:rsidR="00F04CB3">
        <w:rPr>
          <w:rFonts w:cs="Arial"/>
          <w:sz w:val="24"/>
          <w:szCs w:val="24"/>
        </w:rPr>
        <w:t xml:space="preserve"> (GLA)</w:t>
      </w:r>
      <w:r w:rsidRPr="000778C4">
        <w:rPr>
          <w:rFonts w:cs="Arial"/>
          <w:sz w:val="24"/>
          <w:szCs w:val="24"/>
        </w:rPr>
        <w:t xml:space="preserve"> in London, the other by Ordnance Survey</w:t>
      </w:r>
      <w:r w:rsidR="00F04CB3">
        <w:rPr>
          <w:rFonts w:cs="Arial"/>
          <w:sz w:val="24"/>
          <w:szCs w:val="24"/>
        </w:rPr>
        <w:t xml:space="preserve"> (OS)</w:t>
      </w:r>
      <w:r w:rsidRPr="000778C4">
        <w:rPr>
          <w:rFonts w:cs="Arial"/>
          <w:sz w:val="24"/>
          <w:szCs w:val="24"/>
        </w:rPr>
        <w:t xml:space="preserve"> in the North East</w:t>
      </w:r>
      <w:r w:rsidR="00845270">
        <w:rPr>
          <w:rFonts w:cs="Arial"/>
          <w:sz w:val="24"/>
          <w:szCs w:val="24"/>
        </w:rPr>
        <w:t xml:space="preserve"> of England</w:t>
      </w:r>
      <w:r w:rsidRPr="000778C4">
        <w:rPr>
          <w:rFonts w:cs="Arial"/>
          <w:sz w:val="24"/>
          <w:szCs w:val="24"/>
        </w:rPr>
        <w:t xml:space="preserve">) to validate assumptions related to the feasibility of creating a national data-sharing platform on the location and condition of buried pipes, </w:t>
      </w:r>
      <w:r w:rsidR="000A0303">
        <w:rPr>
          <w:rFonts w:cs="Arial"/>
          <w:sz w:val="24"/>
          <w:szCs w:val="24"/>
        </w:rPr>
        <w:t>ducts and cables to be used by Asset O</w:t>
      </w:r>
      <w:r w:rsidRPr="000778C4">
        <w:rPr>
          <w:rFonts w:cs="Arial"/>
          <w:sz w:val="24"/>
          <w:szCs w:val="24"/>
        </w:rPr>
        <w:t>wn</w:t>
      </w:r>
      <w:r>
        <w:rPr>
          <w:rFonts w:cs="Arial"/>
          <w:sz w:val="24"/>
          <w:szCs w:val="24"/>
        </w:rPr>
        <w:t xml:space="preserve">ers and their </w:t>
      </w:r>
      <w:r w:rsidR="00FB11DA">
        <w:rPr>
          <w:rFonts w:cs="Arial"/>
          <w:sz w:val="24"/>
          <w:szCs w:val="24"/>
        </w:rPr>
        <w:t>supply chains</w:t>
      </w:r>
      <w:r>
        <w:rPr>
          <w:rFonts w:cs="Arial"/>
          <w:sz w:val="24"/>
          <w:szCs w:val="24"/>
        </w:rPr>
        <w:t xml:space="preserve">. All </w:t>
      </w:r>
      <w:r w:rsidRPr="000778C4">
        <w:rPr>
          <w:rFonts w:cs="Arial"/>
          <w:sz w:val="24"/>
          <w:szCs w:val="24"/>
        </w:rPr>
        <w:t xml:space="preserve">major </w:t>
      </w:r>
      <w:r w:rsidR="000A0303">
        <w:rPr>
          <w:rFonts w:cs="Arial"/>
          <w:sz w:val="24"/>
          <w:szCs w:val="24"/>
        </w:rPr>
        <w:t>Asset O</w:t>
      </w:r>
      <w:r w:rsidRPr="000778C4">
        <w:rPr>
          <w:rFonts w:cs="Arial"/>
          <w:sz w:val="24"/>
          <w:szCs w:val="24"/>
        </w:rPr>
        <w:t>wners in the pilot areas across gas, water, sewage, electricity, telecoms, transport and local authorities took part by sharing data and carrying out use case testing.</w:t>
      </w:r>
    </w:p>
    <w:p w14:paraId="112BEA6D" w14:textId="0BED9F26" w:rsidR="000778C4" w:rsidRPr="000778C4" w:rsidRDefault="000778C4" w:rsidP="000778C4">
      <w:pPr>
        <w:pStyle w:val="Heading2"/>
        <w:rPr>
          <w:rFonts w:cs="Arial"/>
          <w:sz w:val="24"/>
          <w:szCs w:val="24"/>
        </w:rPr>
      </w:pPr>
      <w:r w:rsidRPr="000778C4">
        <w:rPr>
          <w:rFonts w:cs="Arial"/>
          <w:sz w:val="24"/>
          <w:szCs w:val="24"/>
        </w:rPr>
        <w:t>The pilots concluded</w:t>
      </w:r>
      <w:r>
        <w:rPr>
          <w:rFonts w:cs="Arial"/>
          <w:sz w:val="24"/>
          <w:szCs w:val="24"/>
        </w:rPr>
        <w:t xml:space="preserve"> in April 2020 and validated the</w:t>
      </w:r>
      <w:r w:rsidRPr="000778C4">
        <w:rPr>
          <w:rFonts w:cs="Arial"/>
          <w:sz w:val="24"/>
          <w:szCs w:val="24"/>
        </w:rPr>
        <w:t xml:space="preserve"> assumptions that a NUAR platform is technically fe</w:t>
      </w:r>
      <w:r w:rsidR="000A0303">
        <w:rPr>
          <w:rFonts w:cs="Arial"/>
          <w:sz w:val="24"/>
          <w:szCs w:val="24"/>
        </w:rPr>
        <w:t>asible and highly desirable by Asset O</w:t>
      </w:r>
      <w:r w:rsidRPr="000778C4">
        <w:rPr>
          <w:rFonts w:cs="Arial"/>
          <w:sz w:val="24"/>
          <w:szCs w:val="24"/>
        </w:rPr>
        <w:t>wners and their supply chain</w:t>
      </w:r>
      <w:r w:rsidR="00FB11DA">
        <w:rPr>
          <w:rFonts w:cs="Arial"/>
          <w:sz w:val="24"/>
          <w:szCs w:val="24"/>
        </w:rPr>
        <w:t>s</w:t>
      </w:r>
      <w:r w:rsidRPr="000778C4">
        <w:rPr>
          <w:rFonts w:cs="Arial"/>
          <w:sz w:val="24"/>
          <w:szCs w:val="24"/>
        </w:rPr>
        <w:t xml:space="preserve">. A common data model and system architecture was </w:t>
      </w:r>
      <w:r w:rsidRPr="000778C4">
        <w:rPr>
          <w:rFonts w:cs="Arial"/>
          <w:sz w:val="24"/>
          <w:szCs w:val="24"/>
        </w:rPr>
        <w:lastRenderedPageBreak/>
        <w:t xml:space="preserve">implemented </w:t>
      </w:r>
      <w:r w:rsidR="00BC034A">
        <w:rPr>
          <w:rFonts w:cs="Arial"/>
          <w:sz w:val="24"/>
          <w:szCs w:val="24"/>
        </w:rPr>
        <w:t xml:space="preserve">and </w:t>
      </w:r>
      <w:r w:rsidR="0011437A">
        <w:rPr>
          <w:rFonts w:cs="Arial"/>
          <w:sz w:val="24"/>
          <w:szCs w:val="24"/>
        </w:rPr>
        <w:t>all Asset Owners signed a common Data Distribution Agreement (DDA)</w:t>
      </w:r>
      <w:r w:rsidR="005063FC">
        <w:rPr>
          <w:rFonts w:cs="Arial"/>
          <w:sz w:val="24"/>
          <w:szCs w:val="24"/>
        </w:rPr>
        <w:t xml:space="preserve"> in the pilot phase</w:t>
      </w:r>
      <w:r w:rsidRPr="000778C4">
        <w:rPr>
          <w:rFonts w:cs="Arial"/>
          <w:sz w:val="24"/>
          <w:szCs w:val="24"/>
        </w:rPr>
        <w:t>. Security, legal and commercial barriers were overcome by working closely with legal teams and the Centre for the Protection of National Infrastructure</w:t>
      </w:r>
      <w:r w:rsidR="005063FC">
        <w:rPr>
          <w:rFonts w:cs="Arial"/>
          <w:sz w:val="24"/>
          <w:szCs w:val="24"/>
        </w:rPr>
        <w:t xml:space="preserve"> (CPNI)</w:t>
      </w:r>
      <w:r w:rsidRPr="000778C4">
        <w:rPr>
          <w:rFonts w:cs="Arial"/>
          <w:sz w:val="24"/>
          <w:szCs w:val="24"/>
        </w:rPr>
        <w:t>. </w:t>
      </w:r>
    </w:p>
    <w:p w14:paraId="3FDE5B69" w14:textId="33C7AE48" w:rsidR="000778C4" w:rsidRPr="000778C4" w:rsidRDefault="000778C4" w:rsidP="000778C4">
      <w:pPr>
        <w:pStyle w:val="Heading2"/>
        <w:rPr>
          <w:rFonts w:cs="Arial"/>
          <w:sz w:val="24"/>
          <w:szCs w:val="24"/>
        </w:rPr>
      </w:pPr>
      <w:r w:rsidRPr="000778C4">
        <w:rPr>
          <w:rFonts w:cs="Arial"/>
          <w:sz w:val="24"/>
          <w:szCs w:val="24"/>
        </w:rPr>
        <w:t xml:space="preserve">Since April 2020, the </w:t>
      </w:r>
      <w:r w:rsidR="00F04CB3">
        <w:rPr>
          <w:rFonts w:cs="Arial"/>
          <w:sz w:val="24"/>
          <w:szCs w:val="24"/>
        </w:rPr>
        <w:t>Customer</w:t>
      </w:r>
      <w:r w:rsidRPr="000778C4">
        <w:rPr>
          <w:rFonts w:cs="Arial"/>
          <w:sz w:val="24"/>
          <w:szCs w:val="24"/>
        </w:rPr>
        <w:t xml:space="preserve"> has been completing necessary preparation work ahead of launching a competitive t</w:t>
      </w:r>
      <w:r w:rsidR="00F04CB3">
        <w:rPr>
          <w:rFonts w:cs="Arial"/>
          <w:sz w:val="24"/>
          <w:szCs w:val="24"/>
        </w:rPr>
        <w:t xml:space="preserve">ender for a regional build and </w:t>
      </w:r>
      <w:r w:rsidR="004E3B26">
        <w:rPr>
          <w:rFonts w:cs="Arial"/>
          <w:sz w:val="24"/>
          <w:szCs w:val="24"/>
        </w:rPr>
        <w:t>N</w:t>
      </w:r>
      <w:r w:rsidR="00F04CB3">
        <w:rPr>
          <w:rFonts w:cs="Arial"/>
          <w:sz w:val="24"/>
          <w:szCs w:val="24"/>
        </w:rPr>
        <w:t xml:space="preserve">ational </w:t>
      </w:r>
      <w:r w:rsidR="004E3B26">
        <w:rPr>
          <w:rFonts w:cs="Arial"/>
          <w:sz w:val="24"/>
          <w:szCs w:val="24"/>
        </w:rPr>
        <w:t>R</w:t>
      </w:r>
      <w:r w:rsidR="002E57A7" w:rsidRPr="000778C4">
        <w:rPr>
          <w:rFonts w:cs="Arial"/>
          <w:sz w:val="24"/>
          <w:szCs w:val="24"/>
        </w:rPr>
        <w:t>ollout</w:t>
      </w:r>
      <w:r w:rsidRPr="000778C4">
        <w:rPr>
          <w:rFonts w:cs="Arial"/>
          <w:sz w:val="24"/>
          <w:szCs w:val="24"/>
        </w:rPr>
        <w:t xml:space="preserve">. This involved continued stakeholder engagement, further development and refinement of the </w:t>
      </w:r>
      <w:r>
        <w:rPr>
          <w:rFonts w:cs="Arial"/>
          <w:sz w:val="24"/>
          <w:szCs w:val="24"/>
        </w:rPr>
        <w:t>data model,</w:t>
      </w:r>
      <w:r w:rsidRPr="000778C4">
        <w:rPr>
          <w:rFonts w:cs="Arial"/>
          <w:sz w:val="24"/>
          <w:szCs w:val="24"/>
        </w:rPr>
        <w:t xml:space="preserve"> a</w:t>
      </w:r>
      <w:r w:rsidR="005063FC">
        <w:rPr>
          <w:rFonts w:cs="Arial"/>
          <w:sz w:val="24"/>
          <w:szCs w:val="24"/>
        </w:rPr>
        <w:t>dditional use case testing and End U</w:t>
      </w:r>
      <w:r w:rsidRPr="000778C4">
        <w:rPr>
          <w:rFonts w:cs="Arial"/>
          <w:sz w:val="24"/>
          <w:szCs w:val="24"/>
        </w:rPr>
        <w:t>ser surveys.</w:t>
      </w:r>
    </w:p>
    <w:p w14:paraId="4ADF3876" w14:textId="3E71BD58" w:rsidR="006635E7" w:rsidRDefault="006635E7">
      <w:pPr>
        <w:pStyle w:val="Heading2"/>
        <w:tabs>
          <w:tab w:val="clear" w:pos="720"/>
          <w:tab w:val="num" w:pos="709"/>
        </w:tabs>
        <w:spacing w:after="120"/>
        <w:ind w:left="709" w:hanging="709"/>
        <w:rPr>
          <w:sz w:val="24"/>
          <w:szCs w:val="24"/>
        </w:rPr>
      </w:pPr>
      <w:r w:rsidRPr="006635E7">
        <w:rPr>
          <w:sz w:val="24"/>
          <w:szCs w:val="24"/>
        </w:rPr>
        <w:t xml:space="preserve">In June </w:t>
      </w:r>
      <w:r w:rsidR="007C74F0" w:rsidRPr="006635E7">
        <w:rPr>
          <w:sz w:val="24"/>
          <w:szCs w:val="24"/>
        </w:rPr>
        <w:t>2020,</w:t>
      </w:r>
      <w:r w:rsidRPr="006635E7">
        <w:rPr>
          <w:sz w:val="24"/>
          <w:szCs w:val="24"/>
        </w:rPr>
        <w:t xml:space="preserve"> the </w:t>
      </w:r>
      <w:r w:rsidR="00F04CB3">
        <w:rPr>
          <w:sz w:val="24"/>
          <w:szCs w:val="24"/>
        </w:rPr>
        <w:t>Customer</w:t>
      </w:r>
      <w:r w:rsidRPr="006635E7">
        <w:rPr>
          <w:sz w:val="24"/>
          <w:szCs w:val="24"/>
        </w:rPr>
        <w:t xml:space="preserve"> </w:t>
      </w:r>
      <w:r w:rsidR="002A7260">
        <w:rPr>
          <w:sz w:val="24"/>
          <w:szCs w:val="24"/>
        </w:rPr>
        <w:t>committed</w:t>
      </w:r>
      <w:r w:rsidR="00A212C9">
        <w:rPr>
          <w:sz w:val="24"/>
          <w:szCs w:val="24"/>
        </w:rPr>
        <w:t xml:space="preserve"> in</w:t>
      </w:r>
      <w:r w:rsidRPr="006635E7">
        <w:rPr>
          <w:sz w:val="24"/>
          <w:szCs w:val="24"/>
        </w:rPr>
        <w:t xml:space="preserve"> </w:t>
      </w:r>
      <w:r w:rsidR="00A212C9">
        <w:rPr>
          <w:sz w:val="24"/>
          <w:szCs w:val="24"/>
        </w:rPr>
        <w:t xml:space="preserve">the </w:t>
      </w:r>
      <w:r w:rsidRPr="006635E7">
        <w:rPr>
          <w:sz w:val="24"/>
          <w:szCs w:val="24"/>
        </w:rPr>
        <w:t>UK’s first Geospatial Strategy</w:t>
      </w:r>
      <w:r>
        <w:rPr>
          <w:rStyle w:val="FootnoteReference"/>
          <w:szCs w:val="24"/>
        </w:rPr>
        <w:footnoteReference w:id="5"/>
      </w:r>
      <w:r w:rsidR="00F04CB3">
        <w:rPr>
          <w:sz w:val="24"/>
          <w:szCs w:val="24"/>
        </w:rPr>
        <w:t xml:space="preserve"> to preparing for the national r</w:t>
      </w:r>
      <w:r w:rsidR="00A212C9">
        <w:rPr>
          <w:sz w:val="24"/>
          <w:szCs w:val="24"/>
        </w:rPr>
        <w:t>ollout of NUAR</w:t>
      </w:r>
      <w:r w:rsidRPr="006635E7">
        <w:rPr>
          <w:sz w:val="24"/>
          <w:szCs w:val="24"/>
        </w:rPr>
        <w:t>.</w:t>
      </w:r>
      <w:r w:rsidR="002C2F4F">
        <w:rPr>
          <w:sz w:val="24"/>
          <w:szCs w:val="24"/>
        </w:rPr>
        <w:t xml:space="preserve"> NUAR is also included in the National Infrastructure Strategy</w:t>
      </w:r>
      <w:r w:rsidR="002C2F4F">
        <w:rPr>
          <w:rStyle w:val="FootnoteReference"/>
          <w:szCs w:val="24"/>
        </w:rPr>
        <w:footnoteReference w:id="6"/>
      </w:r>
      <w:r w:rsidR="002C2F4F">
        <w:rPr>
          <w:sz w:val="24"/>
          <w:szCs w:val="24"/>
        </w:rPr>
        <w:t>.</w:t>
      </w:r>
    </w:p>
    <w:p w14:paraId="41B9E32A" w14:textId="1271FE06" w:rsidR="00863BDA" w:rsidRDefault="00863BDA">
      <w:pPr>
        <w:pStyle w:val="Heading2"/>
        <w:tabs>
          <w:tab w:val="clear" w:pos="720"/>
          <w:tab w:val="num" w:pos="709"/>
        </w:tabs>
        <w:spacing w:after="120"/>
        <w:ind w:left="709" w:hanging="709"/>
        <w:rPr>
          <w:sz w:val="24"/>
          <w:szCs w:val="24"/>
        </w:rPr>
      </w:pPr>
      <w:r w:rsidRPr="00071833">
        <w:rPr>
          <w:sz w:val="24"/>
          <w:szCs w:val="24"/>
        </w:rPr>
        <w:t xml:space="preserve">The use cases selected for this programme are strike avoidance and efficient project planning and data exchange. </w:t>
      </w:r>
      <w:r>
        <w:rPr>
          <w:sz w:val="24"/>
          <w:szCs w:val="24"/>
        </w:rPr>
        <w:t>T</w:t>
      </w:r>
      <w:r w:rsidRPr="00071833">
        <w:rPr>
          <w:sz w:val="24"/>
          <w:szCs w:val="24"/>
        </w:rPr>
        <w:t>hey represent the highest valu</w:t>
      </w:r>
      <w:r w:rsidR="000A0303">
        <w:rPr>
          <w:sz w:val="24"/>
          <w:szCs w:val="24"/>
        </w:rPr>
        <w:t>e to Asset O</w:t>
      </w:r>
      <w:r w:rsidRPr="00071833">
        <w:rPr>
          <w:sz w:val="24"/>
          <w:szCs w:val="24"/>
        </w:rPr>
        <w:t xml:space="preserve">wners, planners and excavators, and deliver the widest societal benefit. The programme needs to deliver flexibility for additional use cases to be integrated into </w:t>
      </w:r>
      <w:r w:rsidR="00810203">
        <w:rPr>
          <w:sz w:val="24"/>
          <w:szCs w:val="24"/>
        </w:rPr>
        <w:t xml:space="preserve">the platform and incorporating </w:t>
      </w:r>
      <w:r w:rsidRPr="00071833">
        <w:rPr>
          <w:sz w:val="24"/>
          <w:szCs w:val="24"/>
        </w:rPr>
        <w:t xml:space="preserve">future services, contingent on the </w:t>
      </w:r>
      <w:r w:rsidR="00810203">
        <w:rPr>
          <w:sz w:val="24"/>
          <w:szCs w:val="24"/>
        </w:rPr>
        <w:t xml:space="preserve">need and value of these additional services and </w:t>
      </w:r>
      <w:r w:rsidRPr="00071833">
        <w:rPr>
          <w:sz w:val="24"/>
          <w:szCs w:val="24"/>
        </w:rPr>
        <w:t>case</w:t>
      </w:r>
      <w:r w:rsidR="00810203">
        <w:rPr>
          <w:sz w:val="24"/>
          <w:szCs w:val="24"/>
        </w:rPr>
        <w:t>s</w:t>
      </w:r>
      <w:r w:rsidRPr="00071833">
        <w:rPr>
          <w:sz w:val="24"/>
          <w:szCs w:val="24"/>
        </w:rPr>
        <w:t xml:space="preserve"> being proven.</w:t>
      </w:r>
    </w:p>
    <w:tbl>
      <w:tblPr>
        <w:tblW w:w="0" w:type="auto"/>
        <w:tblCellMar>
          <w:top w:w="15" w:type="dxa"/>
          <w:left w:w="15" w:type="dxa"/>
          <w:bottom w:w="15" w:type="dxa"/>
          <w:right w:w="15" w:type="dxa"/>
        </w:tblCellMar>
        <w:tblLook w:val="04A0" w:firstRow="1" w:lastRow="0" w:firstColumn="1" w:lastColumn="0" w:noHBand="0" w:noVBand="1"/>
      </w:tblPr>
      <w:tblGrid>
        <w:gridCol w:w="1100"/>
        <w:gridCol w:w="1284"/>
        <w:gridCol w:w="2029"/>
        <w:gridCol w:w="2716"/>
        <w:gridCol w:w="1880"/>
      </w:tblGrid>
      <w:tr w:rsidR="00863BDA" w:rsidRPr="00071833" w14:paraId="579F1EBF" w14:textId="77777777" w:rsidTr="00D14BF6">
        <w:trPr>
          <w:trHeight w:val="675"/>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5365AEB" w14:textId="77777777" w:rsidR="00863BDA" w:rsidRPr="00071833" w:rsidRDefault="00863BDA" w:rsidP="00D14BF6">
            <w:pPr>
              <w:rPr>
                <w:rFonts w:ascii="Times New Roman" w:eastAsia="Times New Roman" w:hAnsi="Times New Roman"/>
                <w:sz w:val="24"/>
                <w:lang w:eastAsia="en-GB"/>
              </w:rPr>
            </w:pPr>
            <w:r w:rsidRPr="00071833">
              <w:rPr>
                <w:rFonts w:eastAsia="Times New Roman" w:cs="Arial"/>
                <w:b/>
                <w:bCs/>
                <w:color w:val="000000"/>
                <w:sz w:val="20"/>
                <w:szCs w:val="20"/>
                <w:lang w:eastAsia="en-GB"/>
              </w:rPr>
              <w:t>Use case</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14AC53C" w14:textId="77777777" w:rsidR="00863BDA" w:rsidRPr="00071833" w:rsidRDefault="00863BDA" w:rsidP="00D14BF6">
            <w:pPr>
              <w:rPr>
                <w:rFonts w:ascii="Times New Roman" w:eastAsia="Times New Roman" w:hAnsi="Times New Roman"/>
                <w:sz w:val="24"/>
                <w:lang w:eastAsia="en-GB"/>
              </w:rPr>
            </w:pPr>
            <w:r w:rsidRPr="00071833">
              <w:rPr>
                <w:rFonts w:eastAsia="Times New Roman" w:cs="Arial"/>
                <w:b/>
                <w:bCs/>
                <w:color w:val="000000"/>
                <w:sz w:val="20"/>
                <w:szCs w:val="20"/>
                <w:lang w:eastAsia="en-GB"/>
              </w:rPr>
              <w:t>Value source</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C7D5CCC" w14:textId="77777777" w:rsidR="00863BDA" w:rsidRPr="00071833" w:rsidRDefault="00863BDA" w:rsidP="00D14BF6">
            <w:pPr>
              <w:rPr>
                <w:rFonts w:ascii="Times New Roman" w:eastAsia="Times New Roman" w:hAnsi="Times New Roman"/>
                <w:sz w:val="24"/>
                <w:lang w:eastAsia="en-GB"/>
              </w:rPr>
            </w:pPr>
            <w:r w:rsidRPr="00071833">
              <w:rPr>
                <w:rFonts w:eastAsia="Times New Roman" w:cs="Arial"/>
                <w:b/>
                <w:bCs/>
                <w:color w:val="000000"/>
                <w:sz w:val="20"/>
                <w:szCs w:val="20"/>
                <w:lang w:eastAsia="en-GB"/>
              </w:rPr>
              <w:t>User needs</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05DDB52" w14:textId="77777777" w:rsidR="00863BDA" w:rsidRPr="00071833" w:rsidRDefault="00863BDA" w:rsidP="00D14BF6">
            <w:pPr>
              <w:rPr>
                <w:rFonts w:ascii="Times New Roman" w:eastAsia="Times New Roman" w:hAnsi="Times New Roman"/>
                <w:sz w:val="24"/>
                <w:lang w:eastAsia="en-GB"/>
              </w:rPr>
            </w:pPr>
            <w:r w:rsidRPr="00071833">
              <w:rPr>
                <w:rFonts w:eastAsia="Times New Roman" w:cs="Arial"/>
                <w:b/>
                <w:bCs/>
                <w:color w:val="000000"/>
                <w:sz w:val="20"/>
                <w:szCs w:val="20"/>
                <w:lang w:eastAsia="en-GB"/>
              </w:rPr>
              <w:t>Reason</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BB3B122" w14:textId="77777777" w:rsidR="00863BDA" w:rsidRPr="00071833" w:rsidRDefault="00863BDA" w:rsidP="00D14BF6">
            <w:pPr>
              <w:rPr>
                <w:rFonts w:ascii="Times New Roman" w:eastAsia="Times New Roman" w:hAnsi="Times New Roman"/>
                <w:sz w:val="24"/>
                <w:lang w:eastAsia="en-GB"/>
              </w:rPr>
            </w:pPr>
            <w:r w:rsidRPr="00071833">
              <w:rPr>
                <w:rFonts w:eastAsia="Times New Roman" w:cs="Arial"/>
                <w:b/>
                <w:bCs/>
                <w:color w:val="000000"/>
                <w:sz w:val="20"/>
                <w:szCs w:val="20"/>
                <w:lang w:eastAsia="en-GB"/>
              </w:rPr>
              <w:t>Data required</w:t>
            </w:r>
          </w:p>
        </w:tc>
      </w:tr>
      <w:tr w:rsidR="00863BDA" w:rsidRPr="00071833" w14:paraId="342E2D47" w14:textId="77777777" w:rsidTr="00D14BF6">
        <w:trPr>
          <w:trHeight w:val="8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6B6479" w14:textId="77777777" w:rsidR="00863BDA" w:rsidRPr="00071833" w:rsidRDefault="00863BDA" w:rsidP="00D14BF6">
            <w:pPr>
              <w:rPr>
                <w:rFonts w:ascii="Times New Roman" w:eastAsia="Times New Roman" w:hAnsi="Times New Roman"/>
                <w:sz w:val="24"/>
                <w:lang w:eastAsia="en-GB"/>
              </w:rPr>
            </w:pPr>
            <w:r w:rsidRPr="00071833">
              <w:rPr>
                <w:rFonts w:eastAsia="Times New Roman" w:cs="Arial"/>
                <w:b/>
                <w:bCs/>
                <w:color w:val="000000"/>
                <w:sz w:val="18"/>
                <w:szCs w:val="18"/>
                <w:lang w:eastAsia="en-GB"/>
              </w:rPr>
              <w:t>Safe digging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FA3CB0" w14:textId="77777777" w:rsidR="00863BDA" w:rsidRPr="00071833" w:rsidRDefault="00863BDA" w:rsidP="00D14BF6">
            <w:pPr>
              <w:rPr>
                <w:rFonts w:ascii="Times New Roman" w:eastAsia="Times New Roman" w:hAnsi="Times New Roman"/>
                <w:sz w:val="24"/>
                <w:lang w:eastAsia="en-GB"/>
              </w:rPr>
            </w:pPr>
            <w:r w:rsidRPr="00071833">
              <w:rPr>
                <w:rFonts w:eastAsia="Times New Roman" w:cs="Arial"/>
                <w:b/>
                <w:bCs/>
                <w:color w:val="000000"/>
                <w:sz w:val="18"/>
                <w:szCs w:val="18"/>
                <w:lang w:eastAsia="en-GB"/>
              </w:rPr>
              <w:t>Utility strike avoidance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F717C2" w14:textId="77777777" w:rsidR="00863BDA" w:rsidRPr="00071833" w:rsidRDefault="00863BDA" w:rsidP="00D14BF6">
            <w:pPr>
              <w:rPr>
                <w:rFonts w:ascii="Times New Roman" w:eastAsia="Times New Roman" w:hAnsi="Times New Roman"/>
                <w:sz w:val="24"/>
                <w:lang w:eastAsia="en-GB"/>
              </w:rPr>
            </w:pPr>
            <w:r w:rsidRPr="00071833">
              <w:rPr>
                <w:rFonts w:eastAsia="Times New Roman" w:cs="Arial"/>
                <w:b/>
                <w:bCs/>
                <w:i/>
                <w:iCs/>
                <w:color w:val="000000"/>
                <w:sz w:val="18"/>
                <w:szCs w:val="18"/>
                <w:lang w:eastAsia="en-GB"/>
              </w:rPr>
              <w:t>Excavators</w:t>
            </w:r>
            <w:r w:rsidRPr="00071833">
              <w:rPr>
                <w:rFonts w:eastAsia="Times New Roman" w:cs="Arial"/>
                <w:b/>
                <w:bCs/>
                <w:color w:val="000000"/>
                <w:sz w:val="18"/>
                <w:szCs w:val="18"/>
                <w:lang w:eastAsia="en-GB"/>
              </w:rPr>
              <w:t xml:space="preserve"> need to identify all possible underground assets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5755EE" w14:textId="77777777" w:rsidR="00863BDA" w:rsidRPr="00071833" w:rsidRDefault="00863BDA" w:rsidP="00D14BF6">
            <w:pPr>
              <w:rPr>
                <w:rFonts w:ascii="Times New Roman" w:eastAsia="Times New Roman" w:hAnsi="Times New Roman"/>
                <w:sz w:val="24"/>
                <w:lang w:eastAsia="en-GB"/>
              </w:rPr>
            </w:pPr>
            <w:r w:rsidRPr="00071833">
              <w:rPr>
                <w:rFonts w:eastAsia="Times New Roman" w:cs="Arial"/>
                <w:b/>
                <w:bCs/>
                <w:color w:val="000000"/>
                <w:sz w:val="18"/>
                <w:szCs w:val="18"/>
                <w:lang w:eastAsia="en-GB"/>
              </w:rPr>
              <w:t>So that users can dig safely without striking an underground buried asset</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8846E1" w14:textId="77777777" w:rsidR="00863BDA" w:rsidRPr="00071833" w:rsidRDefault="00863BDA" w:rsidP="00D14BF6">
            <w:pPr>
              <w:rPr>
                <w:rFonts w:ascii="Times New Roman" w:eastAsia="Times New Roman" w:hAnsi="Times New Roman"/>
                <w:sz w:val="24"/>
                <w:lang w:eastAsia="en-GB"/>
              </w:rPr>
            </w:pPr>
            <w:r w:rsidRPr="00071833">
              <w:rPr>
                <w:rFonts w:eastAsia="Times New Roman" w:cs="Arial"/>
                <w:b/>
                <w:bCs/>
                <w:color w:val="000000"/>
                <w:sz w:val="18"/>
                <w:szCs w:val="18"/>
                <w:lang w:eastAsia="en-GB"/>
              </w:rPr>
              <w:t>XY coordinate data </w:t>
            </w:r>
          </w:p>
          <w:p w14:paraId="50140126" w14:textId="77777777" w:rsidR="00863BDA" w:rsidRPr="00071833" w:rsidRDefault="00863BDA" w:rsidP="00D14BF6">
            <w:pPr>
              <w:rPr>
                <w:rFonts w:ascii="Times New Roman" w:eastAsia="Times New Roman" w:hAnsi="Times New Roman"/>
                <w:sz w:val="24"/>
                <w:lang w:eastAsia="en-GB"/>
              </w:rPr>
            </w:pPr>
            <w:r w:rsidRPr="00071833">
              <w:rPr>
                <w:rFonts w:eastAsia="Times New Roman" w:cs="Arial"/>
                <w:b/>
                <w:bCs/>
                <w:color w:val="000000"/>
                <w:sz w:val="20"/>
                <w:szCs w:val="20"/>
                <w:lang w:eastAsia="en-GB"/>
              </w:rPr>
              <w:t> </w:t>
            </w:r>
          </w:p>
          <w:p w14:paraId="2A7CFFB9" w14:textId="77777777" w:rsidR="00863BDA" w:rsidRPr="00071833" w:rsidRDefault="00863BDA" w:rsidP="00D14BF6">
            <w:pPr>
              <w:rPr>
                <w:rFonts w:ascii="Times New Roman" w:eastAsia="Times New Roman" w:hAnsi="Times New Roman"/>
                <w:sz w:val="24"/>
                <w:lang w:eastAsia="en-GB"/>
              </w:rPr>
            </w:pPr>
            <w:r w:rsidRPr="00071833">
              <w:rPr>
                <w:rFonts w:eastAsia="Times New Roman" w:cs="Arial"/>
                <w:b/>
                <w:bCs/>
                <w:color w:val="000000"/>
                <w:sz w:val="18"/>
                <w:szCs w:val="18"/>
                <w:lang w:eastAsia="en-GB"/>
              </w:rPr>
              <w:t>Min info on material type, status (active vs. abandoned), pressure tier/voltage level</w:t>
            </w:r>
          </w:p>
          <w:p w14:paraId="186B2BC9" w14:textId="77777777" w:rsidR="00863BDA" w:rsidRPr="00071833" w:rsidRDefault="00863BDA" w:rsidP="00D14BF6">
            <w:pPr>
              <w:rPr>
                <w:rFonts w:ascii="Times New Roman" w:eastAsia="Times New Roman" w:hAnsi="Times New Roman"/>
                <w:sz w:val="24"/>
                <w:lang w:eastAsia="en-GB"/>
              </w:rPr>
            </w:pPr>
          </w:p>
          <w:p w14:paraId="627B6DBF" w14:textId="77777777" w:rsidR="00863BDA" w:rsidRPr="00071833" w:rsidRDefault="00863BDA" w:rsidP="00D14BF6">
            <w:pPr>
              <w:rPr>
                <w:rFonts w:ascii="Times New Roman" w:eastAsia="Times New Roman" w:hAnsi="Times New Roman"/>
                <w:sz w:val="24"/>
                <w:lang w:eastAsia="en-GB"/>
              </w:rPr>
            </w:pPr>
            <w:r w:rsidRPr="00071833">
              <w:rPr>
                <w:rFonts w:eastAsia="Times New Roman" w:cs="Arial"/>
                <w:b/>
                <w:bCs/>
                <w:color w:val="000000"/>
                <w:sz w:val="18"/>
                <w:szCs w:val="18"/>
                <w:lang w:eastAsia="en-GB"/>
              </w:rPr>
              <w:t>Z (depth) optional </w:t>
            </w:r>
          </w:p>
        </w:tc>
      </w:tr>
      <w:tr w:rsidR="00863BDA" w:rsidRPr="00071833" w14:paraId="7386E7BE" w14:textId="77777777" w:rsidTr="00D14BF6">
        <w:trPr>
          <w:trHeight w:val="10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8BBE0E" w14:textId="77777777" w:rsidR="00863BDA" w:rsidRPr="00071833" w:rsidRDefault="00863BDA" w:rsidP="00D14BF6">
            <w:pPr>
              <w:rPr>
                <w:rFonts w:ascii="Times New Roman" w:eastAsia="Times New Roman" w:hAnsi="Times New Roman"/>
                <w:sz w:val="24"/>
                <w:lang w:eastAsia="en-GB"/>
              </w:rPr>
            </w:pPr>
            <w:r w:rsidRPr="00071833">
              <w:rPr>
                <w:rFonts w:eastAsia="Times New Roman" w:cs="Arial"/>
                <w:b/>
                <w:bCs/>
                <w:color w:val="000000"/>
                <w:sz w:val="18"/>
                <w:szCs w:val="18"/>
                <w:lang w:eastAsia="en-GB"/>
              </w:rPr>
              <w:t>On-site efficiency</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0700F2" w14:textId="77777777" w:rsidR="00863BDA" w:rsidRPr="00071833" w:rsidRDefault="00863BDA" w:rsidP="00D14BF6">
            <w:pPr>
              <w:rPr>
                <w:rFonts w:ascii="Times New Roman" w:eastAsia="Times New Roman" w:hAnsi="Times New Roman"/>
                <w:sz w:val="24"/>
                <w:lang w:eastAsia="en-GB"/>
              </w:rPr>
            </w:pPr>
            <w:r w:rsidRPr="00071833">
              <w:rPr>
                <w:rFonts w:eastAsia="Times New Roman" w:cs="Arial"/>
                <w:b/>
                <w:bCs/>
                <w:color w:val="000000"/>
                <w:sz w:val="18"/>
                <w:szCs w:val="18"/>
                <w:lang w:eastAsia="en-GB"/>
              </w:rPr>
              <w:t>Project efficiency savings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BBFFEF" w14:textId="77777777" w:rsidR="00863BDA" w:rsidRPr="00071833" w:rsidRDefault="00863BDA" w:rsidP="00D14BF6">
            <w:pPr>
              <w:rPr>
                <w:rFonts w:ascii="Times New Roman" w:eastAsia="Times New Roman" w:hAnsi="Times New Roman"/>
                <w:sz w:val="24"/>
                <w:lang w:eastAsia="en-GB"/>
              </w:rPr>
            </w:pPr>
            <w:r w:rsidRPr="00071833">
              <w:rPr>
                <w:rFonts w:eastAsia="Times New Roman" w:cs="Arial"/>
                <w:b/>
                <w:bCs/>
                <w:i/>
                <w:iCs/>
                <w:color w:val="000000"/>
                <w:sz w:val="18"/>
                <w:szCs w:val="18"/>
                <w:lang w:eastAsia="en-GB"/>
              </w:rPr>
              <w:t>Excavators</w:t>
            </w:r>
            <w:r w:rsidRPr="00071833">
              <w:rPr>
                <w:rFonts w:eastAsia="Times New Roman" w:cs="Arial"/>
                <w:b/>
                <w:bCs/>
                <w:color w:val="000000"/>
                <w:sz w:val="18"/>
                <w:szCs w:val="18"/>
                <w:lang w:eastAsia="en-GB"/>
              </w:rPr>
              <w:t xml:space="preserve"> need to identify underground asset data in a single integrated view</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563A41" w14:textId="77777777" w:rsidR="00863BDA" w:rsidRPr="00071833" w:rsidRDefault="00863BDA" w:rsidP="00D14BF6">
            <w:pPr>
              <w:rPr>
                <w:rFonts w:ascii="Times New Roman" w:eastAsia="Times New Roman" w:hAnsi="Times New Roman"/>
                <w:sz w:val="24"/>
                <w:lang w:eastAsia="en-GB"/>
              </w:rPr>
            </w:pPr>
            <w:r w:rsidRPr="00071833">
              <w:rPr>
                <w:rFonts w:eastAsia="Times New Roman" w:cs="Arial"/>
                <w:b/>
                <w:bCs/>
                <w:color w:val="000000"/>
                <w:sz w:val="18"/>
                <w:szCs w:val="18"/>
                <w:lang w:eastAsia="en-GB"/>
              </w:rPr>
              <w:t>So that workers can easily and efficiently orientate themselves on site</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705C5ED" w14:textId="77777777" w:rsidR="00863BDA" w:rsidRPr="00071833" w:rsidRDefault="00863BDA" w:rsidP="00D14BF6">
            <w:pPr>
              <w:rPr>
                <w:rFonts w:ascii="Times New Roman" w:eastAsia="Times New Roman" w:hAnsi="Times New Roman"/>
                <w:sz w:val="24"/>
                <w:lang w:eastAsia="en-GB"/>
              </w:rPr>
            </w:pPr>
          </w:p>
        </w:tc>
      </w:tr>
      <w:tr w:rsidR="00863BDA" w:rsidRPr="00071833" w14:paraId="5E4FDD8A" w14:textId="77777777" w:rsidTr="00D14BF6">
        <w:trPr>
          <w:trHeight w:val="13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754B47" w14:textId="77777777" w:rsidR="00863BDA" w:rsidRPr="00071833" w:rsidRDefault="00863BDA" w:rsidP="00D14BF6">
            <w:pPr>
              <w:rPr>
                <w:rFonts w:ascii="Times New Roman" w:eastAsia="Times New Roman" w:hAnsi="Times New Roman"/>
                <w:sz w:val="24"/>
                <w:lang w:eastAsia="en-GB"/>
              </w:rPr>
            </w:pPr>
            <w:r w:rsidRPr="00071833">
              <w:rPr>
                <w:rFonts w:eastAsia="Times New Roman" w:cs="Arial"/>
                <w:b/>
                <w:bCs/>
                <w:color w:val="000000"/>
                <w:sz w:val="18"/>
                <w:szCs w:val="18"/>
                <w:lang w:eastAsia="en-GB"/>
              </w:rPr>
              <w:t>Site planning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3D5A1F5" w14:textId="77777777" w:rsidR="00863BDA" w:rsidRPr="00071833" w:rsidRDefault="00863BDA" w:rsidP="00D14BF6">
            <w:pPr>
              <w:rPr>
                <w:rFonts w:ascii="Times New Roman" w:eastAsia="Times New Roman" w:hAnsi="Times New Roman"/>
                <w:sz w:val="24"/>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B3128F" w14:textId="77777777" w:rsidR="00863BDA" w:rsidRPr="00071833" w:rsidRDefault="00863BDA" w:rsidP="00D14BF6">
            <w:pPr>
              <w:rPr>
                <w:rFonts w:ascii="Times New Roman" w:eastAsia="Times New Roman" w:hAnsi="Times New Roman"/>
                <w:sz w:val="24"/>
                <w:lang w:eastAsia="en-GB"/>
              </w:rPr>
            </w:pPr>
            <w:r w:rsidRPr="00071833">
              <w:rPr>
                <w:rFonts w:eastAsia="Times New Roman" w:cs="Arial"/>
                <w:b/>
                <w:bCs/>
                <w:i/>
                <w:iCs/>
                <w:color w:val="000000"/>
                <w:sz w:val="18"/>
                <w:szCs w:val="18"/>
                <w:lang w:eastAsia="en-GB"/>
              </w:rPr>
              <w:t xml:space="preserve">Project planners </w:t>
            </w:r>
            <w:r w:rsidRPr="00071833">
              <w:rPr>
                <w:rFonts w:eastAsia="Times New Roman" w:cs="Arial"/>
                <w:b/>
                <w:bCs/>
                <w:color w:val="000000"/>
                <w:sz w:val="18"/>
                <w:szCs w:val="18"/>
                <w:lang w:eastAsia="en-GB"/>
              </w:rPr>
              <w:t>need to identify the location and relevant attributes of all underground assets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DC00FE" w14:textId="77777777" w:rsidR="00863BDA" w:rsidRPr="00071833" w:rsidRDefault="00863BDA" w:rsidP="00D14BF6">
            <w:pPr>
              <w:rPr>
                <w:rFonts w:ascii="Times New Roman" w:eastAsia="Times New Roman" w:hAnsi="Times New Roman"/>
                <w:sz w:val="24"/>
                <w:lang w:eastAsia="en-GB"/>
              </w:rPr>
            </w:pPr>
            <w:r w:rsidRPr="00071833">
              <w:rPr>
                <w:rFonts w:eastAsia="Times New Roman" w:cs="Arial"/>
                <w:b/>
                <w:bCs/>
                <w:color w:val="000000"/>
                <w:sz w:val="18"/>
                <w:szCs w:val="18"/>
                <w:lang w:eastAsia="en-GB"/>
              </w:rPr>
              <w:t>So that accurate and comprehensive plans can be made to avoid project delays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01EF2A8" w14:textId="77777777" w:rsidR="00863BDA" w:rsidRPr="00071833" w:rsidRDefault="00863BDA" w:rsidP="00D14BF6">
            <w:pPr>
              <w:rPr>
                <w:rFonts w:ascii="Times New Roman" w:eastAsia="Times New Roman" w:hAnsi="Times New Roman"/>
                <w:sz w:val="24"/>
                <w:lang w:eastAsia="en-GB"/>
              </w:rPr>
            </w:pPr>
          </w:p>
        </w:tc>
      </w:tr>
      <w:tr w:rsidR="00863BDA" w:rsidRPr="00071833" w14:paraId="2248162D" w14:textId="77777777" w:rsidTr="00D14BF6">
        <w:trPr>
          <w:trHeight w:val="13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F2CE0D" w14:textId="77777777" w:rsidR="00863BDA" w:rsidRPr="00071833" w:rsidRDefault="00863BDA" w:rsidP="00D14BF6">
            <w:pPr>
              <w:rPr>
                <w:rFonts w:ascii="Times New Roman" w:eastAsia="Times New Roman" w:hAnsi="Times New Roman"/>
                <w:sz w:val="24"/>
                <w:lang w:eastAsia="en-GB"/>
              </w:rPr>
            </w:pPr>
            <w:r w:rsidRPr="00071833">
              <w:rPr>
                <w:rFonts w:eastAsia="Times New Roman" w:cs="Arial"/>
                <w:b/>
                <w:bCs/>
                <w:color w:val="000000"/>
                <w:sz w:val="18"/>
                <w:szCs w:val="18"/>
                <w:lang w:eastAsia="en-GB"/>
              </w:rPr>
              <w:t>Data exchange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D7972C" w14:textId="77777777" w:rsidR="00863BDA" w:rsidRPr="00071833" w:rsidRDefault="00863BDA" w:rsidP="00D14BF6">
            <w:pPr>
              <w:rPr>
                <w:rFonts w:ascii="Times New Roman" w:eastAsia="Times New Roman" w:hAnsi="Times New Roman"/>
                <w:sz w:val="24"/>
                <w:lang w:eastAsia="en-GB"/>
              </w:rPr>
            </w:pPr>
            <w:r w:rsidRPr="00071833">
              <w:rPr>
                <w:rFonts w:eastAsia="Times New Roman" w:cs="Arial"/>
                <w:b/>
                <w:bCs/>
                <w:color w:val="000000"/>
                <w:sz w:val="18"/>
                <w:szCs w:val="18"/>
                <w:lang w:eastAsia="en-GB"/>
              </w:rPr>
              <w:t>Data exchange efficiency savings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CF53A4" w14:textId="1101B5C8" w:rsidR="00863BDA" w:rsidRPr="00071833" w:rsidRDefault="000A0303" w:rsidP="00D14BF6">
            <w:pPr>
              <w:rPr>
                <w:rFonts w:ascii="Times New Roman" w:eastAsia="Times New Roman" w:hAnsi="Times New Roman"/>
                <w:sz w:val="24"/>
                <w:lang w:eastAsia="en-GB"/>
              </w:rPr>
            </w:pPr>
            <w:r>
              <w:rPr>
                <w:rFonts w:eastAsia="Times New Roman" w:cs="Arial"/>
                <w:b/>
                <w:bCs/>
                <w:i/>
                <w:iCs/>
                <w:color w:val="000000"/>
                <w:sz w:val="18"/>
                <w:szCs w:val="18"/>
                <w:lang w:eastAsia="en-GB"/>
              </w:rPr>
              <w:t>Asset O</w:t>
            </w:r>
            <w:r w:rsidR="00863BDA" w:rsidRPr="00071833">
              <w:rPr>
                <w:rFonts w:eastAsia="Times New Roman" w:cs="Arial"/>
                <w:b/>
                <w:bCs/>
                <w:i/>
                <w:iCs/>
                <w:color w:val="000000"/>
                <w:sz w:val="18"/>
                <w:szCs w:val="18"/>
                <w:lang w:eastAsia="en-GB"/>
              </w:rPr>
              <w:t>wners</w:t>
            </w:r>
            <w:r w:rsidR="00863BDA" w:rsidRPr="00071833">
              <w:rPr>
                <w:rFonts w:eastAsia="Times New Roman" w:cs="Arial"/>
                <w:b/>
                <w:bCs/>
                <w:color w:val="000000"/>
                <w:sz w:val="18"/>
                <w:szCs w:val="18"/>
                <w:lang w:eastAsia="en-GB"/>
              </w:rPr>
              <w:t xml:space="preserve"> need to share underground asset data through a central platform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C8A08F" w14:textId="31B9AF64" w:rsidR="00863BDA" w:rsidRPr="00071833" w:rsidRDefault="000A0303" w:rsidP="00D14BF6">
            <w:pPr>
              <w:rPr>
                <w:rFonts w:ascii="Times New Roman" w:eastAsia="Times New Roman" w:hAnsi="Times New Roman"/>
                <w:sz w:val="24"/>
                <w:lang w:eastAsia="en-GB"/>
              </w:rPr>
            </w:pPr>
            <w:r>
              <w:rPr>
                <w:rFonts w:eastAsia="Times New Roman" w:cs="Arial"/>
                <w:b/>
                <w:bCs/>
                <w:color w:val="000000"/>
                <w:sz w:val="18"/>
                <w:szCs w:val="18"/>
                <w:lang w:eastAsia="en-GB"/>
              </w:rPr>
              <w:t>So that Asset O</w:t>
            </w:r>
            <w:r w:rsidR="00863BDA" w:rsidRPr="00071833">
              <w:rPr>
                <w:rFonts w:eastAsia="Times New Roman" w:cs="Arial"/>
                <w:b/>
                <w:bCs/>
                <w:color w:val="000000"/>
                <w:sz w:val="18"/>
                <w:szCs w:val="18"/>
                <w:lang w:eastAsia="en-GB"/>
              </w:rPr>
              <w:t>wners can send and respond to data requests without maintaining their own data response systems/functions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C44998" w14:textId="77777777" w:rsidR="00863BDA" w:rsidRPr="00071833" w:rsidRDefault="00863BDA" w:rsidP="00D14BF6">
            <w:pPr>
              <w:rPr>
                <w:rFonts w:ascii="Times New Roman" w:eastAsia="Times New Roman" w:hAnsi="Times New Roman"/>
                <w:sz w:val="24"/>
                <w:lang w:eastAsia="en-GB"/>
              </w:rPr>
            </w:pPr>
            <w:r w:rsidRPr="00071833">
              <w:rPr>
                <w:rFonts w:eastAsia="Times New Roman" w:cs="Arial"/>
                <w:b/>
                <w:bCs/>
                <w:color w:val="000000"/>
                <w:sz w:val="18"/>
                <w:szCs w:val="18"/>
                <w:lang w:eastAsia="en-GB"/>
              </w:rPr>
              <w:t>Data in vector format (raster format as bare minimum) and in shareable condition</w:t>
            </w:r>
          </w:p>
        </w:tc>
      </w:tr>
    </w:tbl>
    <w:p w14:paraId="6CB82FF0" w14:textId="77777777" w:rsidR="00863BDA" w:rsidRDefault="00863BDA" w:rsidP="00863BDA">
      <w:pPr>
        <w:pStyle w:val="Heading2"/>
        <w:numPr>
          <w:ilvl w:val="0"/>
          <w:numId w:val="0"/>
        </w:numPr>
        <w:spacing w:after="120"/>
        <w:ind w:left="709"/>
        <w:rPr>
          <w:sz w:val="24"/>
          <w:szCs w:val="24"/>
        </w:rPr>
      </w:pPr>
    </w:p>
    <w:p w14:paraId="71BF6C9F" w14:textId="6EE94068" w:rsidR="00071833" w:rsidRDefault="00071833">
      <w:pPr>
        <w:pStyle w:val="Heading2"/>
        <w:tabs>
          <w:tab w:val="clear" w:pos="720"/>
          <w:tab w:val="num" w:pos="709"/>
        </w:tabs>
        <w:spacing w:after="120"/>
        <w:ind w:left="709" w:hanging="709"/>
        <w:rPr>
          <w:sz w:val="24"/>
          <w:szCs w:val="24"/>
        </w:rPr>
      </w:pPr>
      <w:r w:rsidRPr="00071833">
        <w:rPr>
          <w:sz w:val="24"/>
          <w:szCs w:val="24"/>
        </w:rPr>
        <w:t xml:space="preserve">The </w:t>
      </w:r>
      <w:r>
        <w:rPr>
          <w:sz w:val="24"/>
          <w:szCs w:val="24"/>
        </w:rPr>
        <w:t>Customer is looking to appoint a prime</w:t>
      </w:r>
      <w:r w:rsidRPr="00071833">
        <w:rPr>
          <w:sz w:val="24"/>
          <w:szCs w:val="24"/>
        </w:rPr>
        <w:t xml:space="preserve"> supplier who will deliver the design and implementation of the system, as well as the necessary </w:t>
      </w:r>
      <w:r w:rsidR="005728DA">
        <w:rPr>
          <w:sz w:val="24"/>
          <w:szCs w:val="24"/>
        </w:rPr>
        <w:t>engagement, data discovery</w:t>
      </w:r>
      <w:r w:rsidR="005728DA" w:rsidRPr="00071833">
        <w:rPr>
          <w:sz w:val="24"/>
          <w:szCs w:val="24"/>
        </w:rPr>
        <w:t xml:space="preserve"> </w:t>
      </w:r>
      <w:r w:rsidRPr="00071833">
        <w:rPr>
          <w:sz w:val="24"/>
          <w:szCs w:val="24"/>
        </w:rPr>
        <w:t>and transformation tasks including the support and maintenance of</w:t>
      </w:r>
      <w:r w:rsidR="000778C4">
        <w:rPr>
          <w:sz w:val="24"/>
          <w:szCs w:val="24"/>
        </w:rPr>
        <w:t xml:space="preserve"> the platform. </w:t>
      </w:r>
    </w:p>
    <w:p w14:paraId="081CFAE7" w14:textId="4404AA16" w:rsidR="00C4233A" w:rsidRPr="001A45DF" w:rsidRDefault="00106F24">
      <w:pPr>
        <w:pStyle w:val="Heading1"/>
        <w:tabs>
          <w:tab w:val="clear" w:pos="720"/>
        </w:tabs>
        <w:overflowPunct w:val="0"/>
        <w:autoSpaceDE w:val="0"/>
        <w:autoSpaceDN w:val="0"/>
        <w:spacing w:after="120"/>
        <w:textAlignment w:val="baseline"/>
        <w:rPr>
          <w:sz w:val="32"/>
          <w:szCs w:val="32"/>
        </w:rPr>
      </w:pPr>
      <w:bookmarkStart w:id="14" w:name="_Toc69240409"/>
      <w:bookmarkStart w:id="15" w:name="_Toc368573030"/>
      <w:r w:rsidRPr="001A45DF">
        <w:rPr>
          <w:sz w:val="32"/>
          <w:szCs w:val="32"/>
        </w:rPr>
        <w:t>definitions</w:t>
      </w:r>
      <w:bookmarkEnd w:id="14"/>
      <w:r w:rsidRPr="001A45DF">
        <w:rPr>
          <w:sz w:val="32"/>
          <w:szCs w:val="32"/>
        </w:rPr>
        <w:t xml:space="preserve"> </w:t>
      </w:r>
    </w:p>
    <w:tbl>
      <w:tblPr>
        <w:tblStyle w:val="TableGrid"/>
        <w:tblW w:w="0" w:type="auto"/>
        <w:tblInd w:w="720" w:type="dxa"/>
        <w:tblLook w:val="04A0" w:firstRow="1" w:lastRow="0" w:firstColumn="1" w:lastColumn="0" w:noHBand="0" w:noVBand="1"/>
      </w:tblPr>
      <w:tblGrid>
        <w:gridCol w:w="2550"/>
        <w:gridCol w:w="5749"/>
      </w:tblGrid>
      <w:tr w:rsidR="00106F24" w14:paraId="553CCD95" w14:textId="77777777" w:rsidTr="00E5019D">
        <w:tc>
          <w:tcPr>
            <w:tcW w:w="2550" w:type="dxa"/>
            <w:shd w:val="clear" w:color="auto" w:fill="B8CCE4" w:themeFill="accent1" w:themeFillTint="66"/>
          </w:tcPr>
          <w:p w14:paraId="2E04E555" w14:textId="1E410DA5" w:rsidR="00106F24" w:rsidRPr="001A45DF" w:rsidRDefault="00106F24" w:rsidP="0081061A">
            <w:pPr>
              <w:pStyle w:val="Heading2"/>
              <w:numPr>
                <w:ilvl w:val="0"/>
                <w:numId w:val="0"/>
              </w:numPr>
              <w:spacing w:after="120"/>
              <w:ind w:left="18" w:hanging="18"/>
              <w:jc w:val="left"/>
              <w:outlineLvl w:val="1"/>
              <w:rPr>
                <w:b/>
                <w:sz w:val="24"/>
                <w:szCs w:val="24"/>
                <w:highlight w:val="yellow"/>
              </w:rPr>
            </w:pPr>
            <w:r w:rsidRPr="001A45DF">
              <w:rPr>
                <w:b/>
                <w:sz w:val="24"/>
                <w:szCs w:val="24"/>
              </w:rPr>
              <w:t>Expression</w:t>
            </w:r>
            <w:r w:rsidR="0081061A" w:rsidRPr="001A45DF">
              <w:rPr>
                <w:b/>
                <w:sz w:val="24"/>
                <w:szCs w:val="24"/>
              </w:rPr>
              <w:t xml:space="preserve"> or </w:t>
            </w:r>
            <w:r w:rsidRPr="001A45DF">
              <w:rPr>
                <w:b/>
                <w:sz w:val="24"/>
                <w:szCs w:val="24"/>
              </w:rPr>
              <w:t>Acronym</w:t>
            </w:r>
          </w:p>
        </w:tc>
        <w:tc>
          <w:tcPr>
            <w:tcW w:w="5749" w:type="dxa"/>
            <w:shd w:val="clear" w:color="auto" w:fill="B8CCE4" w:themeFill="accent1" w:themeFillTint="66"/>
          </w:tcPr>
          <w:p w14:paraId="0CDEAA6D" w14:textId="00739683" w:rsidR="00106F24" w:rsidRPr="001A45DF" w:rsidRDefault="00106F24" w:rsidP="0081061A">
            <w:pPr>
              <w:pStyle w:val="Heading2"/>
              <w:numPr>
                <w:ilvl w:val="0"/>
                <w:numId w:val="0"/>
              </w:numPr>
              <w:spacing w:after="120"/>
              <w:ind w:left="720" w:hanging="720"/>
              <w:outlineLvl w:val="1"/>
              <w:rPr>
                <w:b/>
                <w:sz w:val="24"/>
                <w:szCs w:val="24"/>
                <w:highlight w:val="yellow"/>
              </w:rPr>
            </w:pPr>
            <w:r w:rsidRPr="001A45DF">
              <w:rPr>
                <w:b/>
                <w:sz w:val="24"/>
                <w:szCs w:val="24"/>
              </w:rPr>
              <w:t>Definition</w:t>
            </w:r>
          </w:p>
        </w:tc>
      </w:tr>
      <w:tr w:rsidR="004161B5" w14:paraId="4E2FFC74" w14:textId="77777777" w:rsidTr="00E5019D">
        <w:tc>
          <w:tcPr>
            <w:tcW w:w="2550" w:type="dxa"/>
          </w:tcPr>
          <w:p w14:paraId="7617FB64" w14:textId="551ED64A" w:rsidR="004161B5" w:rsidRDefault="004161B5" w:rsidP="002B45F4">
            <w:pPr>
              <w:pStyle w:val="Heading2"/>
              <w:numPr>
                <w:ilvl w:val="0"/>
                <w:numId w:val="0"/>
              </w:numPr>
              <w:spacing w:after="120"/>
              <w:ind w:left="720" w:hanging="720"/>
              <w:outlineLvl w:val="1"/>
              <w:rPr>
                <w:sz w:val="24"/>
                <w:szCs w:val="24"/>
              </w:rPr>
            </w:pPr>
            <w:r>
              <w:rPr>
                <w:sz w:val="24"/>
                <w:szCs w:val="24"/>
              </w:rPr>
              <w:t>Acceptance Criteria</w:t>
            </w:r>
          </w:p>
        </w:tc>
        <w:tc>
          <w:tcPr>
            <w:tcW w:w="5749" w:type="dxa"/>
          </w:tcPr>
          <w:p w14:paraId="11142DDC" w14:textId="4DB138A2" w:rsidR="004161B5" w:rsidRDefault="006447A5" w:rsidP="002E57A7">
            <w:pPr>
              <w:pStyle w:val="Heading2"/>
              <w:numPr>
                <w:ilvl w:val="0"/>
                <w:numId w:val="0"/>
              </w:numPr>
              <w:spacing w:after="120"/>
              <w:outlineLvl w:val="1"/>
              <w:rPr>
                <w:sz w:val="24"/>
                <w:szCs w:val="24"/>
              </w:rPr>
            </w:pPr>
            <w:r w:rsidRPr="00F04CB3">
              <w:rPr>
                <w:sz w:val="24"/>
                <w:szCs w:val="24"/>
              </w:rPr>
              <w:t>means</w:t>
            </w:r>
            <w:r w:rsidR="00D723CF">
              <w:rPr>
                <w:sz w:val="24"/>
                <w:szCs w:val="24"/>
              </w:rPr>
              <w:t xml:space="preserve"> a</w:t>
            </w:r>
            <w:r w:rsidR="00D723CF" w:rsidRPr="00D723CF">
              <w:rPr>
                <w:sz w:val="24"/>
                <w:szCs w:val="24"/>
              </w:rPr>
              <w:t xml:space="preserve"> set of predefined requirements that must be met in order to mark a user story as complete</w:t>
            </w:r>
          </w:p>
        </w:tc>
      </w:tr>
      <w:tr w:rsidR="002B45F4" w14:paraId="74A16FF7" w14:textId="77777777" w:rsidTr="00E5019D">
        <w:tc>
          <w:tcPr>
            <w:tcW w:w="2550" w:type="dxa"/>
          </w:tcPr>
          <w:p w14:paraId="2DB012D7" w14:textId="70960AEC" w:rsidR="002B45F4" w:rsidRPr="00CA518A" w:rsidRDefault="002B45F4" w:rsidP="002B45F4">
            <w:pPr>
              <w:pStyle w:val="Heading2"/>
              <w:numPr>
                <w:ilvl w:val="0"/>
                <w:numId w:val="0"/>
              </w:numPr>
              <w:spacing w:after="120"/>
              <w:ind w:left="720" w:hanging="720"/>
              <w:outlineLvl w:val="1"/>
              <w:rPr>
                <w:sz w:val="24"/>
                <w:szCs w:val="24"/>
              </w:rPr>
            </w:pPr>
            <w:r>
              <w:rPr>
                <w:sz w:val="24"/>
                <w:szCs w:val="24"/>
              </w:rPr>
              <w:t>API</w:t>
            </w:r>
          </w:p>
        </w:tc>
        <w:tc>
          <w:tcPr>
            <w:tcW w:w="5749" w:type="dxa"/>
          </w:tcPr>
          <w:p w14:paraId="56CF955A" w14:textId="676D5973" w:rsidR="002B45F4" w:rsidRDefault="006447A5" w:rsidP="002E57A7">
            <w:pPr>
              <w:pStyle w:val="Heading2"/>
              <w:numPr>
                <w:ilvl w:val="0"/>
                <w:numId w:val="0"/>
              </w:numPr>
              <w:spacing w:after="120"/>
              <w:outlineLvl w:val="1"/>
              <w:rPr>
                <w:sz w:val="24"/>
                <w:szCs w:val="24"/>
              </w:rPr>
            </w:pPr>
            <w:r w:rsidRPr="00F04CB3">
              <w:rPr>
                <w:sz w:val="24"/>
                <w:szCs w:val="24"/>
              </w:rPr>
              <w:t>means</w:t>
            </w:r>
            <w:r w:rsidR="002B45F4">
              <w:rPr>
                <w:sz w:val="24"/>
                <w:szCs w:val="24"/>
              </w:rPr>
              <w:t xml:space="preserve"> a</w:t>
            </w:r>
            <w:r w:rsidR="002B45F4" w:rsidRPr="009C5092">
              <w:rPr>
                <w:sz w:val="24"/>
                <w:szCs w:val="24"/>
              </w:rPr>
              <w:t xml:space="preserve">n application programming interface (API) </w:t>
            </w:r>
            <w:r w:rsidR="002E57A7">
              <w:rPr>
                <w:sz w:val="24"/>
                <w:szCs w:val="24"/>
              </w:rPr>
              <w:t>-</w:t>
            </w:r>
            <w:r w:rsidR="002E57A7" w:rsidRPr="009C5092">
              <w:rPr>
                <w:sz w:val="24"/>
                <w:szCs w:val="24"/>
              </w:rPr>
              <w:t xml:space="preserve"> </w:t>
            </w:r>
            <w:r w:rsidR="002B45F4" w:rsidRPr="009C5092">
              <w:rPr>
                <w:sz w:val="24"/>
                <w:szCs w:val="24"/>
              </w:rPr>
              <w:t>a computing interface that defines interactions between multiple software intermediaries</w:t>
            </w:r>
          </w:p>
        </w:tc>
      </w:tr>
      <w:tr w:rsidR="002B45F4" w14:paraId="36149F83" w14:textId="77777777" w:rsidTr="00E5019D">
        <w:tc>
          <w:tcPr>
            <w:tcW w:w="2550" w:type="dxa"/>
          </w:tcPr>
          <w:p w14:paraId="7FF7801D" w14:textId="02896E03" w:rsidR="002B45F4" w:rsidRPr="00D14BF6" w:rsidRDefault="002B45F4" w:rsidP="002B45F4">
            <w:pPr>
              <w:pStyle w:val="Heading2"/>
              <w:numPr>
                <w:ilvl w:val="0"/>
                <w:numId w:val="0"/>
              </w:numPr>
              <w:spacing w:after="120"/>
              <w:ind w:left="720" w:hanging="720"/>
              <w:outlineLvl w:val="1"/>
              <w:rPr>
                <w:sz w:val="24"/>
                <w:szCs w:val="24"/>
              </w:rPr>
            </w:pPr>
            <w:r w:rsidRPr="00CA518A">
              <w:rPr>
                <w:sz w:val="24"/>
                <w:szCs w:val="24"/>
              </w:rPr>
              <w:t>Asset Owners</w:t>
            </w:r>
          </w:p>
        </w:tc>
        <w:tc>
          <w:tcPr>
            <w:tcW w:w="5749" w:type="dxa"/>
          </w:tcPr>
          <w:p w14:paraId="54FAD6F0" w14:textId="3996209A" w:rsidR="002B45F4" w:rsidRPr="00D14BF6" w:rsidRDefault="006447A5" w:rsidP="00B53690">
            <w:pPr>
              <w:pStyle w:val="Heading2"/>
              <w:numPr>
                <w:ilvl w:val="0"/>
                <w:numId w:val="0"/>
              </w:numPr>
              <w:spacing w:after="120"/>
              <w:outlineLvl w:val="1"/>
              <w:rPr>
                <w:sz w:val="24"/>
                <w:szCs w:val="24"/>
              </w:rPr>
            </w:pPr>
            <w:r w:rsidRPr="00F04CB3">
              <w:rPr>
                <w:sz w:val="24"/>
                <w:szCs w:val="24"/>
              </w:rPr>
              <w:t>means</w:t>
            </w:r>
            <w:r w:rsidR="002B45F4">
              <w:rPr>
                <w:sz w:val="24"/>
                <w:szCs w:val="24"/>
              </w:rPr>
              <w:t xml:space="preserve"> </w:t>
            </w:r>
            <w:r w:rsidR="00B53690">
              <w:rPr>
                <w:sz w:val="24"/>
                <w:szCs w:val="24"/>
              </w:rPr>
              <w:t xml:space="preserve">statutory </w:t>
            </w:r>
            <w:r w:rsidR="002B45F4">
              <w:rPr>
                <w:sz w:val="24"/>
                <w:szCs w:val="24"/>
              </w:rPr>
              <w:t>utility providers (gas, electricity, clean water, sewage</w:t>
            </w:r>
            <w:r w:rsidR="00B53690">
              <w:rPr>
                <w:sz w:val="24"/>
                <w:szCs w:val="24"/>
              </w:rPr>
              <w:t xml:space="preserve">, </w:t>
            </w:r>
            <w:r w:rsidR="002B45F4">
              <w:rPr>
                <w:sz w:val="24"/>
                <w:szCs w:val="24"/>
              </w:rPr>
              <w:t>telecommunications</w:t>
            </w:r>
            <w:r w:rsidR="00B53690">
              <w:rPr>
                <w:sz w:val="24"/>
                <w:szCs w:val="24"/>
              </w:rPr>
              <w:t xml:space="preserve"> and district energy networks</w:t>
            </w:r>
            <w:r w:rsidR="002B45F4">
              <w:rPr>
                <w:sz w:val="24"/>
                <w:szCs w:val="24"/>
              </w:rPr>
              <w:t>) Local</w:t>
            </w:r>
            <w:r w:rsidR="00167466">
              <w:rPr>
                <w:sz w:val="24"/>
                <w:szCs w:val="24"/>
              </w:rPr>
              <w:t>, Highways and Planning</w:t>
            </w:r>
            <w:r w:rsidR="002B45F4">
              <w:rPr>
                <w:sz w:val="24"/>
                <w:szCs w:val="24"/>
              </w:rPr>
              <w:t xml:space="preserve"> Authorities</w:t>
            </w:r>
            <w:r w:rsidR="00167466">
              <w:rPr>
                <w:sz w:val="24"/>
                <w:szCs w:val="24"/>
              </w:rPr>
              <w:t>,</w:t>
            </w:r>
            <w:r w:rsidR="002B45F4">
              <w:rPr>
                <w:sz w:val="24"/>
                <w:szCs w:val="24"/>
              </w:rPr>
              <w:t xml:space="preserve"> and pipeline operators</w:t>
            </w:r>
          </w:p>
        </w:tc>
      </w:tr>
      <w:tr w:rsidR="002B45F4" w14:paraId="2FAE879C" w14:textId="77777777" w:rsidTr="00E5019D">
        <w:tc>
          <w:tcPr>
            <w:tcW w:w="2550" w:type="dxa"/>
          </w:tcPr>
          <w:p w14:paraId="238C621F" w14:textId="3C54D768" w:rsidR="002B45F4" w:rsidRPr="00D14BF6" w:rsidRDefault="002B45F4" w:rsidP="002B45F4">
            <w:pPr>
              <w:pStyle w:val="Heading2"/>
              <w:numPr>
                <w:ilvl w:val="0"/>
                <w:numId w:val="0"/>
              </w:numPr>
              <w:spacing w:after="120"/>
              <w:ind w:left="720" w:hanging="720"/>
              <w:outlineLvl w:val="1"/>
              <w:rPr>
                <w:sz w:val="24"/>
                <w:szCs w:val="24"/>
              </w:rPr>
            </w:pPr>
            <w:r w:rsidRPr="005E7B1C">
              <w:rPr>
                <w:sz w:val="24"/>
                <w:szCs w:val="24"/>
              </w:rPr>
              <w:t>BPSS</w:t>
            </w:r>
          </w:p>
        </w:tc>
        <w:tc>
          <w:tcPr>
            <w:tcW w:w="5749" w:type="dxa"/>
          </w:tcPr>
          <w:p w14:paraId="5B9CF6A2" w14:textId="58CD69D9" w:rsidR="002B45F4" w:rsidRPr="00D14BF6" w:rsidRDefault="006447A5" w:rsidP="002B45F4">
            <w:pPr>
              <w:pStyle w:val="Heading2"/>
              <w:numPr>
                <w:ilvl w:val="0"/>
                <w:numId w:val="0"/>
              </w:numPr>
              <w:spacing w:after="120"/>
              <w:outlineLvl w:val="1"/>
              <w:rPr>
                <w:sz w:val="24"/>
                <w:szCs w:val="24"/>
              </w:rPr>
            </w:pPr>
            <w:r w:rsidRPr="00F04CB3">
              <w:rPr>
                <w:sz w:val="24"/>
                <w:szCs w:val="24"/>
              </w:rPr>
              <w:t>means</w:t>
            </w:r>
            <w:r w:rsidR="002B45F4">
              <w:rPr>
                <w:sz w:val="24"/>
                <w:szCs w:val="24"/>
              </w:rPr>
              <w:t xml:space="preserve"> Baseline Personnel Security Standard</w:t>
            </w:r>
          </w:p>
        </w:tc>
      </w:tr>
      <w:tr w:rsidR="002B45F4" w14:paraId="0BA1E5F2" w14:textId="77777777" w:rsidTr="00E5019D">
        <w:tc>
          <w:tcPr>
            <w:tcW w:w="2550" w:type="dxa"/>
          </w:tcPr>
          <w:p w14:paraId="428100D4" w14:textId="3B551F40" w:rsidR="002B45F4" w:rsidRPr="005E7B1C" w:rsidRDefault="002B45F4" w:rsidP="002B45F4">
            <w:pPr>
              <w:pStyle w:val="Heading2"/>
              <w:numPr>
                <w:ilvl w:val="0"/>
                <w:numId w:val="0"/>
              </w:numPr>
              <w:spacing w:after="120"/>
              <w:ind w:left="720" w:hanging="720"/>
              <w:outlineLvl w:val="1"/>
              <w:rPr>
                <w:sz w:val="24"/>
                <w:szCs w:val="24"/>
              </w:rPr>
            </w:pPr>
            <w:r w:rsidRPr="00D14BF6">
              <w:rPr>
                <w:sz w:val="24"/>
                <w:szCs w:val="24"/>
              </w:rPr>
              <w:t>Build Phase</w:t>
            </w:r>
          </w:p>
        </w:tc>
        <w:tc>
          <w:tcPr>
            <w:tcW w:w="5749" w:type="dxa"/>
          </w:tcPr>
          <w:p w14:paraId="6A098E38" w14:textId="53494F69" w:rsidR="002B45F4" w:rsidRDefault="006447A5" w:rsidP="002B45F4">
            <w:pPr>
              <w:pStyle w:val="Heading2"/>
              <w:numPr>
                <w:ilvl w:val="0"/>
                <w:numId w:val="0"/>
              </w:numPr>
              <w:spacing w:after="120"/>
              <w:outlineLvl w:val="1"/>
              <w:rPr>
                <w:sz w:val="24"/>
                <w:szCs w:val="24"/>
              </w:rPr>
            </w:pPr>
            <w:r w:rsidRPr="00F04CB3">
              <w:rPr>
                <w:sz w:val="24"/>
                <w:szCs w:val="24"/>
              </w:rPr>
              <w:t>means</w:t>
            </w:r>
            <w:r w:rsidR="002B45F4" w:rsidRPr="00D14BF6">
              <w:rPr>
                <w:sz w:val="24"/>
                <w:szCs w:val="24"/>
              </w:rPr>
              <w:t xml:space="preserve"> </w:t>
            </w:r>
            <w:r w:rsidR="002B45F4">
              <w:rPr>
                <w:sz w:val="24"/>
                <w:szCs w:val="24"/>
              </w:rPr>
              <w:t>the p</w:t>
            </w:r>
            <w:r w:rsidR="002B45F4" w:rsidRPr="00D14BF6">
              <w:rPr>
                <w:sz w:val="24"/>
                <w:szCs w:val="24"/>
              </w:rPr>
              <w:t>hase of the programme that includes the delivery of the Regional MVP and the National Rollout</w:t>
            </w:r>
            <w:r w:rsidR="002B45F4">
              <w:rPr>
                <w:sz w:val="24"/>
                <w:szCs w:val="24"/>
              </w:rPr>
              <w:t>, and it covers the duration of this requirement/contract</w:t>
            </w:r>
          </w:p>
        </w:tc>
      </w:tr>
      <w:tr w:rsidR="002B45F4" w14:paraId="6E3C84A9" w14:textId="77777777" w:rsidTr="00E5019D">
        <w:tc>
          <w:tcPr>
            <w:tcW w:w="2550" w:type="dxa"/>
          </w:tcPr>
          <w:p w14:paraId="5A415EAA" w14:textId="425F90DD" w:rsidR="002B45F4" w:rsidRPr="00D14BF6" w:rsidRDefault="002B45F4" w:rsidP="002B45F4">
            <w:pPr>
              <w:pStyle w:val="Heading2"/>
              <w:numPr>
                <w:ilvl w:val="0"/>
                <w:numId w:val="0"/>
              </w:numPr>
              <w:spacing w:after="120"/>
              <w:ind w:left="720" w:hanging="720"/>
              <w:outlineLvl w:val="1"/>
              <w:rPr>
                <w:sz w:val="24"/>
                <w:szCs w:val="24"/>
              </w:rPr>
            </w:pPr>
            <w:r>
              <w:rPr>
                <w:sz w:val="24"/>
                <w:szCs w:val="24"/>
              </w:rPr>
              <w:t>Core Platform</w:t>
            </w:r>
          </w:p>
        </w:tc>
        <w:tc>
          <w:tcPr>
            <w:tcW w:w="5749" w:type="dxa"/>
          </w:tcPr>
          <w:p w14:paraId="18D9952C" w14:textId="5702414D" w:rsidR="002B45F4" w:rsidRPr="00D14BF6" w:rsidRDefault="002B45F4" w:rsidP="009D71C7">
            <w:pPr>
              <w:pStyle w:val="Heading2"/>
              <w:numPr>
                <w:ilvl w:val="0"/>
                <w:numId w:val="0"/>
              </w:numPr>
              <w:spacing w:after="120"/>
              <w:outlineLvl w:val="1"/>
              <w:rPr>
                <w:sz w:val="24"/>
                <w:szCs w:val="24"/>
              </w:rPr>
            </w:pPr>
            <w:r w:rsidRPr="00F04CB3">
              <w:rPr>
                <w:sz w:val="24"/>
                <w:szCs w:val="24"/>
              </w:rPr>
              <w:t xml:space="preserve">means the subsystem where the system data is stored and exposed to other subsystems via APIs, as described in Section </w:t>
            </w:r>
            <w:r w:rsidR="009D71C7">
              <w:rPr>
                <w:sz w:val="24"/>
                <w:szCs w:val="24"/>
              </w:rPr>
              <w:fldChar w:fldCharType="begin"/>
            </w:r>
            <w:r w:rsidR="009D71C7">
              <w:rPr>
                <w:sz w:val="24"/>
                <w:szCs w:val="24"/>
              </w:rPr>
              <w:instrText xml:space="preserve"> REF _Ref69240745 \n \h </w:instrText>
            </w:r>
            <w:r w:rsidR="009D71C7">
              <w:rPr>
                <w:sz w:val="24"/>
                <w:szCs w:val="24"/>
              </w:rPr>
            </w:r>
            <w:r w:rsidR="009D71C7">
              <w:rPr>
                <w:sz w:val="24"/>
                <w:szCs w:val="24"/>
              </w:rPr>
              <w:fldChar w:fldCharType="separate"/>
            </w:r>
            <w:r w:rsidR="009D71C7">
              <w:rPr>
                <w:sz w:val="24"/>
                <w:szCs w:val="24"/>
              </w:rPr>
              <w:t>6.7.6</w:t>
            </w:r>
            <w:r w:rsidR="009D71C7">
              <w:rPr>
                <w:sz w:val="24"/>
                <w:szCs w:val="24"/>
              </w:rPr>
              <w:fldChar w:fldCharType="end"/>
            </w:r>
          </w:p>
        </w:tc>
      </w:tr>
      <w:tr w:rsidR="00167466" w14:paraId="54FD8E4F" w14:textId="77777777" w:rsidTr="00E5019D">
        <w:tc>
          <w:tcPr>
            <w:tcW w:w="2550" w:type="dxa"/>
          </w:tcPr>
          <w:p w14:paraId="4015847D" w14:textId="73BEC5EE" w:rsidR="00167466" w:rsidRPr="005E7B1C" w:rsidRDefault="00167466" w:rsidP="002B45F4">
            <w:pPr>
              <w:pStyle w:val="Heading2"/>
              <w:numPr>
                <w:ilvl w:val="0"/>
                <w:numId w:val="0"/>
              </w:numPr>
              <w:spacing w:after="120"/>
              <w:ind w:left="720" w:hanging="720"/>
              <w:outlineLvl w:val="1"/>
              <w:rPr>
                <w:sz w:val="24"/>
                <w:szCs w:val="24"/>
              </w:rPr>
            </w:pPr>
            <w:r>
              <w:rPr>
                <w:sz w:val="24"/>
                <w:szCs w:val="24"/>
              </w:rPr>
              <w:t>CPNI</w:t>
            </w:r>
          </w:p>
        </w:tc>
        <w:tc>
          <w:tcPr>
            <w:tcW w:w="5749" w:type="dxa"/>
          </w:tcPr>
          <w:p w14:paraId="14888907" w14:textId="12401C57" w:rsidR="00167466" w:rsidRDefault="00167466" w:rsidP="002B45F4">
            <w:pPr>
              <w:pStyle w:val="Heading2"/>
              <w:numPr>
                <w:ilvl w:val="0"/>
                <w:numId w:val="0"/>
              </w:numPr>
              <w:spacing w:after="120"/>
              <w:outlineLvl w:val="1"/>
              <w:rPr>
                <w:sz w:val="24"/>
                <w:szCs w:val="24"/>
              </w:rPr>
            </w:pPr>
            <w:r>
              <w:rPr>
                <w:sz w:val="24"/>
                <w:szCs w:val="24"/>
              </w:rPr>
              <w:t>means Centre for the Protection of National Infrastructure</w:t>
            </w:r>
          </w:p>
        </w:tc>
      </w:tr>
      <w:tr w:rsidR="002B45F4" w14:paraId="17DA1C7B" w14:textId="77777777" w:rsidTr="00E5019D">
        <w:tc>
          <w:tcPr>
            <w:tcW w:w="2550" w:type="dxa"/>
          </w:tcPr>
          <w:p w14:paraId="175EA44B" w14:textId="6486F6ED" w:rsidR="002B45F4" w:rsidRPr="00D14BF6" w:rsidRDefault="002B45F4" w:rsidP="002B45F4">
            <w:pPr>
              <w:pStyle w:val="Heading2"/>
              <w:numPr>
                <w:ilvl w:val="0"/>
                <w:numId w:val="0"/>
              </w:numPr>
              <w:spacing w:after="120"/>
              <w:ind w:left="720" w:hanging="720"/>
              <w:outlineLvl w:val="1"/>
              <w:rPr>
                <w:sz w:val="24"/>
                <w:szCs w:val="24"/>
              </w:rPr>
            </w:pPr>
            <w:r w:rsidRPr="005E7B1C">
              <w:rPr>
                <w:sz w:val="24"/>
                <w:szCs w:val="24"/>
              </w:rPr>
              <w:t>CTC</w:t>
            </w:r>
          </w:p>
        </w:tc>
        <w:tc>
          <w:tcPr>
            <w:tcW w:w="5749" w:type="dxa"/>
          </w:tcPr>
          <w:p w14:paraId="24D198A8" w14:textId="5C282C4D" w:rsidR="002B45F4" w:rsidRPr="00D14BF6" w:rsidRDefault="003E7742" w:rsidP="003E7742">
            <w:pPr>
              <w:pStyle w:val="Heading2"/>
              <w:numPr>
                <w:ilvl w:val="0"/>
                <w:numId w:val="0"/>
              </w:numPr>
              <w:spacing w:after="120"/>
              <w:outlineLvl w:val="1"/>
              <w:rPr>
                <w:sz w:val="24"/>
                <w:szCs w:val="24"/>
              </w:rPr>
            </w:pPr>
            <w:r>
              <w:rPr>
                <w:sz w:val="24"/>
                <w:szCs w:val="24"/>
              </w:rPr>
              <w:t>means Counter Terrorism Check</w:t>
            </w:r>
          </w:p>
        </w:tc>
      </w:tr>
      <w:tr w:rsidR="00A41A41" w14:paraId="1B1F1233" w14:textId="77777777" w:rsidTr="00E5019D">
        <w:tc>
          <w:tcPr>
            <w:tcW w:w="2550" w:type="dxa"/>
          </w:tcPr>
          <w:p w14:paraId="4A655B06" w14:textId="2D85DD4B" w:rsidR="00A41A41" w:rsidRPr="00F05BBE" w:rsidRDefault="00A41A41" w:rsidP="00E62B57">
            <w:pPr>
              <w:pStyle w:val="Heading2"/>
              <w:numPr>
                <w:ilvl w:val="0"/>
                <w:numId w:val="0"/>
              </w:numPr>
              <w:spacing w:after="120"/>
              <w:ind w:left="21" w:firstLine="11"/>
              <w:jc w:val="left"/>
              <w:outlineLvl w:val="1"/>
              <w:rPr>
                <w:sz w:val="24"/>
              </w:rPr>
            </w:pPr>
            <w:r>
              <w:rPr>
                <w:sz w:val="24"/>
              </w:rPr>
              <w:t>Data Exploration Agreement</w:t>
            </w:r>
          </w:p>
        </w:tc>
        <w:tc>
          <w:tcPr>
            <w:tcW w:w="5749" w:type="dxa"/>
          </w:tcPr>
          <w:p w14:paraId="2D61C714" w14:textId="225521E9" w:rsidR="00A41A41" w:rsidRDefault="00A41A41" w:rsidP="002B45F4">
            <w:pPr>
              <w:pStyle w:val="Heading2"/>
              <w:numPr>
                <w:ilvl w:val="0"/>
                <w:numId w:val="0"/>
              </w:numPr>
              <w:spacing w:after="120"/>
              <w:outlineLvl w:val="1"/>
              <w:rPr>
                <w:sz w:val="24"/>
                <w:szCs w:val="24"/>
              </w:rPr>
            </w:pPr>
            <w:r>
              <w:rPr>
                <w:sz w:val="24"/>
                <w:szCs w:val="24"/>
              </w:rPr>
              <w:t>means an agreement signed between the Supplier and the Asset Owner that allows the Supplier to access</w:t>
            </w:r>
            <w:r w:rsidR="005C20BF">
              <w:rPr>
                <w:sz w:val="24"/>
                <w:szCs w:val="24"/>
              </w:rPr>
              <w:t xml:space="preserve"> and store</w:t>
            </w:r>
            <w:r>
              <w:rPr>
                <w:sz w:val="24"/>
                <w:szCs w:val="24"/>
              </w:rPr>
              <w:t xml:space="preserve"> the Asset Owner’s data for exploration and mapping purposes</w:t>
            </w:r>
            <w:r w:rsidR="00A85CF3">
              <w:rPr>
                <w:sz w:val="24"/>
                <w:szCs w:val="24"/>
              </w:rPr>
              <w:t xml:space="preserve"> solely in connection with the Supplier’s performance of its obligations</w:t>
            </w:r>
            <w:r w:rsidR="005C20BF">
              <w:rPr>
                <w:sz w:val="24"/>
                <w:szCs w:val="24"/>
              </w:rPr>
              <w:t>, but not publication</w:t>
            </w:r>
          </w:p>
        </w:tc>
      </w:tr>
      <w:tr w:rsidR="002B45F4" w14:paraId="03344AB3" w14:textId="77777777" w:rsidTr="00E5019D">
        <w:tc>
          <w:tcPr>
            <w:tcW w:w="2550" w:type="dxa"/>
          </w:tcPr>
          <w:p w14:paraId="0F046C88" w14:textId="1ECAA96D" w:rsidR="002B45F4" w:rsidRPr="00D14BF6" w:rsidRDefault="002B45F4" w:rsidP="00E62B57">
            <w:pPr>
              <w:pStyle w:val="Heading2"/>
              <w:numPr>
                <w:ilvl w:val="0"/>
                <w:numId w:val="0"/>
              </w:numPr>
              <w:spacing w:after="120"/>
              <w:ind w:left="21" w:firstLine="10"/>
              <w:jc w:val="left"/>
              <w:outlineLvl w:val="1"/>
              <w:rPr>
                <w:sz w:val="24"/>
                <w:szCs w:val="24"/>
              </w:rPr>
            </w:pPr>
            <w:r w:rsidRPr="00F05BBE">
              <w:rPr>
                <w:sz w:val="24"/>
              </w:rPr>
              <w:t>Data Distribution Agreement</w:t>
            </w:r>
            <w:r w:rsidR="00E62B57">
              <w:rPr>
                <w:sz w:val="24"/>
              </w:rPr>
              <w:t>,</w:t>
            </w:r>
            <w:r w:rsidR="0029758B">
              <w:rPr>
                <w:sz w:val="24"/>
              </w:rPr>
              <w:t xml:space="preserve"> or DDA</w:t>
            </w:r>
          </w:p>
        </w:tc>
        <w:tc>
          <w:tcPr>
            <w:tcW w:w="5749" w:type="dxa"/>
          </w:tcPr>
          <w:p w14:paraId="37C45D19" w14:textId="22838144" w:rsidR="002B45F4" w:rsidRPr="00D14BF6" w:rsidRDefault="002B45F4" w:rsidP="00BD645D">
            <w:pPr>
              <w:pStyle w:val="Heading2"/>
              <w:numPr>
                <w:ilvl w:val="0"/>
                <w:numId w:val="0"/>
              </w:numPr>
              <w:spacing w:after="120"/>
              <w:outlineLvl w:val="1"/>
              <w:rPr>
                <w:sz w:val="24"/>
                <w:szCs w:val="24"/>
              </w:rPr>
            </w:pPr>
            <w:r>
              <w:rPr>
                <w:sz w:val="24"/>
                <w:szCs w:val="24"/>
              </w:rPr>
              <w:t xml:space="preserve">means a data sharing agreement between the </w:t>
            </w:r>
            <w:r w:rsidR="00A41A41">
              <w:rPr>
                <w:sz w:val="24"/>
                <w:szCs w:val="24"/>
              </w:rPr>
              <w:t xml:space="preserve">Customer </w:t>
            </w:r>
            <w:r>
              <w:rPr>
                <w:sz w:val="24"/>
                <w:szCs w:val="24"/>
              </w:rPr>
              <w:t>and each Asset Owner</w:t>
            </w:r>
            <w:r w:rsidR="005C20BF">
              <w:rPr>
                <w:sz w:val="24"/>
                <w:szCs w:val="24"/>
              </w:rPr>
              <w:t xml:space="preserve"> allowing the storage, processing and publication of data for defined purposes</w:t>
            </w:r>
            <w:r>
              <w:rPr>
                <w:sz w:val="24"/>
                <w:szCs w:val="24"/>
              </w:rPr>
              <w:t xml:space="preserve"> </w:t>
            </w:r>
          </w:p>
        </w:tc>
      </w:tr>
      <w:tr w:rsidR="00BE7866" w14:paraId="0D3EEA72" w14:textId="77777777" w:rsidTr="00E5019D">
        <w:tc>
          <w:tcPr>
            <w:tcW w:w="2550" w:type="dxa"/>
          </w:tcPr>
          <w:p w14:paraId="42C103B5" w14:textId="7338D052" w:rsidR="00BE7866" w:rsidRDefault="00BE7866" w:rsidP="00E62B57">
            <w:pPr>
              <w:pStyle w:val="Heading2"/>
              <w:numPr>
                <w:ilvl w:val="0"/>
                <w:numId w:val="0"/>
              </w:numPr>
              <w:spacing w:after="120"/>
              <w:ind w:left="21" w:firstLine="10"/>
              <w:jc w:val="left"/>
              <w:outlineLvl w:val="1"/>
              <w:rPr>
                <w:sz w:val="24"/>
                <w:szCs w:val="24"/>
              </w:rPr>
            </w:pPr>
            <w:r>
              <w:rPr>
                <w:sz w:val="24"/>
                <w:szCs w:val="24"/>
              </w:rPr>
              <w:t>Data Ingestion Specification, or DIS</w:t>
            </w:r>
          </w:p>
        </w:tc>
        <w:tc>
          <w:tcPr>
            <w:tcW w:w="5749" w:type="dxa"/>
          </w:tcPr>
          <w:p w14:paraId="01B80FB3" w14:textId="56E59A84" w:rsidR="00BE7866" w:rsidRPr="00F04CB3" w:rsidRDefault="00BE7866" w:rsidP="00E62B57">
            <w:pPr>
              <w:pStyle w:val="Heading2"/>
              <w:numPr>
                <w:ilvl w:val="0"/>
                <w:numId w:val="0"/>
              </w:numPr>
              <w:spacing w:after="120"/>
              <w:outlineLvl w:val="1"/>
              <w:rPr>
                <w:sz w:val="24"/>
                <w:szCs w:val="24"/>
              </w:rPr>
            </w:pPr>
            <w:r>
              <w:rPr>
                <w:rFonts w:cs="Arial"/>
                <w:color w:val="222222"/>
                <w:sz w:val="24"/>
                <w:szCs w:val="24"/>
                <w:shd w:val="clear" w:color="auto" w:fill="FFFFFF"/>
              </w:rPr>
              <w:t xml:space="preserve">means </w:t>
            </w:r>
            <w:r w:rsidR="00E62B57">
              <w:rPr>
                <w:rFonts w:cs="Arial"/>
                <w:color w:val="222222"/>
                <w:sz w:val="24"/>
                <w:szCs w:val="24"/>
                <w:shd w:val="clear" w:color="auto" w:fill="FFFFFF"/>
              </w:rPr>
              <w:t>a specification</w:t>
            </w:r>
            <w:r>
              <w:rPr>
                <w:rFonts w:cs="Arial"/>
                <w:color w:val="222222"/>
                <w:sz w:val="24"/>
                <w:szCs w:val="24"/>
                <w:shd w:val="clear" w:color="auto" w:fill="FFFFFF"/>
              </w:rPr>
              <w:t xml:space="preserve"> </w:t>
            </w:r>
            <w:r w:rsidR="00E62B57">
              <w:rPr>
                <w:rFonts w:cs="Arial"/>
                <w:color w:val="222222"/>
                <w:sz w:val="24"/>
                <w:szCs w:val="24"/>
                <w:shd w:val="clear" w:color="auto" w:fill="FFFFFF"/>
              </w:rPr>
              <w:t>defining</w:t>
            </w:r>
            <w:r>
              <w:rPr>
                <w:rFonts w:cs="Arial"/>
                <w:color w:val="222222"/>
                <w:sz w:val="24"/>
                <w:szCs w:val="24"/>
                <w:shd w:val="clear" w:color="auto" w:fill="FFFFFF"/>
              </w:rPr>
              <w:t xml:space="preserve"> the requirements for </w:t>
            </w:r>
            <w:r w:rsidR="00E62B57">
              <w:rPr>
                <w:rFonts w:cs="Arial"/>
                <w:color w:val="222222"/>
                <w:sz w:val="24"/>
                <w:szCs w:val="24"/>
                <w:shd w:val="clear" w:color="auto" w:fill="FFFFFF"/>
              </w:rPr>
              <w:t>an</w:t>
            </w:r>
            <w:r>
              <w:rPr>
                <w:rFonts w:cs="Arial"/>
                <w:color w:val="222222"/>
                <w:sz w:val="24"/>
                <w:szCs w:val="24"/>
                <w:shd w:val="clear" w:color="auto" w:fill="FFFFFF"/>
              </w:rPr>
              <w:t xml:space="preserve"> Asset Owner’s </w:t>
            </w:r>
            <w:r w:rsidRPr="003C5F24">
              <w:rPr>
                <w:rFonts w:cs="Arial"/>
                <w:color w:val="222222"/>
                <w:sz w:val="24"/>
                <w:szCs w:val="24"/>
                <w:shd w:val="clear" w:color="auto" w:fill="FFFFFF"/>
              </w:rPr>
              <w:t xml:space="preserve">supply </w:t>
            </w:r>
            <w:r>
              <w:rPr>
                <w:rFonts w:cs="Arial"/>
                <w:color w:val="222222"/>
                <w:sz w:val="24"/>
                <w:szCs w:val="24"/>
                <w:shd w:val="clear" w:color="auto" w:fill="FFFFFF"/>
              </w:rPr>
              <w:t xml:space="preserve">of </w:t>
            </w:r>
            <w:r w:rsidRPr="003C5F24">
              <w:rPr>
                <w:rFonts w:cs="Arial"/>
                <w:color w:val="222222"/>
                <w:sz w:val="24"/>
                <w:szCs w:val="24"/>
                <w:shd w:val="clear" w:color="auto" w:fill="FFFFFF"/>
              </w:rPr>
              <w:t xml:space="preserve">specified datasets in an </w:t>
            </w:r>
            <w:r w:rsidRPr="003C5F24">
              <w:rPr>
                <w:rFonts w:cs="Arial"/>
                <w:color w:val="222222"/>
                <w:sz w:val="24"/>
                <w:szCs w:val="24"/>
                <w:shd w:val="clear" w:color="auto" w:fill="FFFFFF"/>
              </w:rPr>
              <w:lastRenderedPageBreak/>
              <w:t>agreed structure and format, at an agreed frequency, to the NUAR platform for the data to be transformed in the manner specified and documented during initial ingestion.</w:t>
            </w:r>
          </w:p>
        </w:tc>
      </w:tr>
      <w:tr w:rsidR="00BE7866" w14:paraId="3AD64818" w14:textId="77777777" w:rsidTr="00E5019D">
        <w:tc>
          <w:tcPr>
            <w:tcW w:w="2550" w:type="dxa"/>
          </w:tcPr>
          <w:p w14:paraId="36B5D471" w14:textId="665872A8" w:rsidR="00BE7866" w:rsidRPr="00CA518A" w:rsidRDefault="00BE7866" w:rsidP="00BE7866">
            <w:pPr>
              <w:pStyle w:val="Heading2"/>
              <w:numPr>
                <w:ilvl w:val="0"/>
                <w:numId w:val="0"/>
              </w:numPr>
              <w:spacing w:after="120"/>
              <w:ind w:left="720" w:hanging="720"/>
              <w:outlineLvl w:val="1"/>
              <w:rPr>
                <w:sz w:val="24"/>
                <w:szCs w:val="24"/>
              </w:rPr>
            </w:pPr>
            <w:r>
              <w:rPr>
                <w:sz w:val="24"/>
                <w:szCs w:val="24"/>
              </w:rPr>
              <w:lastRenderedPageBreak/>
              <w:t>Data Model</w:t>
            </w:r>
          </w:p>
        </w:tc>
        <w:tc>
          <w:tcPr>
            <w:tcW w:w="5749" w:type="dxa"/>
          </w:tcPr>
          <w:p w14:paraId="78A3B150" w14:textId="6D8F9DA5" w:rsidR="00BE7866" w:rsidRDefault="00BE7866" w:rsidP="00BE7866">
            <w:pPr>
              <w:pStyle w:val="Heading2"/>
              <w:numPr>
                <w:ilvl w:val="0"/>
                <w:numId w:val="0"/>
              </w:numPr>
              <w:spacing w:after="120"/>
              <w:outlineLvl w:val="1"/>
              <w:rPr>
                <w:sz w:val="24"/>
                <w:szCs w:val="24"/>
              </w:rPr>
            </w:pPr>
            <w:r w:rsidRPr="00F04CB3">
              <w:rPr>
                <w:sz w:val="24"/>
                <w:szCs w:val="24"/>
              </w:rPr>
              <w:t xml:space="preserve">means the data model as described in Appendix </w:t>
            </w:r>
            <w:r w:rsidR="005728DA">
              <w:rPr>
                <w:sz w:val="24"/>
                <w:szCs w:val="24"/>
              </w:rPr>
              <w:t>K</w:t>
            </w:r>
            <w:r w:rsidR="000B7FF8">
              <w:rPr>
                <w:sz w:val="24"/>
                <w:szCs w:val="24"/>
              </w:rPr>
              <w:t xml:space="preserve"> - Data M</w:t>
            </w:r>
            <w:r w:rsidR="00F5764C">
              <w:rPr>
                <w:sz w:val="24"/>
                <w:szCs w:val="24"/>
              </w:rPr>
              <w:t>odel D</w:t>
            </w:r>
            <w:r w:rsidRPr="00F04CB3">
              <w:rPr>
                <w:sz w:val="24"/>
                <w:szCs w:val="24"/>
              </w:rPr>
              <w:t>escription</w:t>
            </w:r>
          </w:p>
        </w:tc>
      </w:tr>
      <w:tr w:rsidR="00BE7866" w14:paraId="17D23492" w14:textId="77777777" w:rsidTr="00E5019D">
        <w:tc>
          <w:tcPr>
            <w:tcW w:w="2550" w:type="dxa"/>
          </w:tcPr>
          <w:p w14:paraId="0AAD4FB2" w14:textId="4BC5A1D6" w:rsidR="00BE7866" w:rsidRPr="00CA518A" w:rsidRDefault="00BE7866" w:rsidP="00BE7866">
            <w:pPr>
              <w:pStyle w:val="Heading2"/>
              <w:numPr>
                <w:ilvl w:val="0"/>
                <w:numId w:val="0"/>
              </w:numPr>
              <w:spacing w:after="120"/>
              <w:ind w:left="720" w:hanging="720"/>
              <w:outlineLvl w:val="1"/>
              <w:rPr>
                <w:sz w:val="24"/>
                <w:szCs w:val="24"/>
              </w:rPr>
            </w:pPr>
            <w:r>
              <w:rPr>
                <w:sz w:val="24"/>
                <w:szCs w:val="24"/>
              </w:rPr>
              <w:t>Data Specification</w:t>
            </w:r>
          </w:p>
        </w:tc>
        <w:tc>
          <w:tcPr>
            <w:tcW w:w="5749" w:type="dxa"/>
          </w:tcPr>
          <w:p w14:paraId="35D71876" w14:textId="093A5391" w:rsidR="00BE7866" w:rsidRDefault="00BE7866" w:rsidP="005728DA">
            <w:pPr>
              <w:pStyle w:val="Heading2"/>
              <w:numPr>
                <w:ilvl w:val="0"/>
                <w:numId w:val="0"/>
              </w:numPr>
              <w:spacing w:after="120"/>
              <w:outlineLvl w:val="1"/>
              <w:rPr>
                <w:sz w:val="24"/>
                <w:szCs w:val="24"/>
              </w:rPr>
            </w:pPr>
            <w:r>
              <w:rPr>
                <w:sz w:val="24"/>
                <w:szCs w:val="24"/>
              </w:rPr>
              <w:t>means a document describing how data should</w:t>
            </w:r>
            <w:r w:rsidR="00E62B57">
              <w:rPr>
                <w:sz w:val="24"/>
                <w:szCs w:val="24"/>
              </w:rPr>
              <w:t xml:space="preserve"> generally</w:t>
            </w:r>
            <w:r>
              <w:rPr>
                <w:sz w:val="24"/>
                <w:szCs w:val="24"/>
              </w:rPr>
              <w:t xml:space="preserve"> be supplied in order to conform with the Data Model. An </w:t>
            </w:r>
            <w:r w:rsidRPr="00661D89">
              <w:rPr>
                <w:sz w:val="24"/>
                <w:szCs w:val="24"/>
              </w:rPr>
              <w:t xml:space="preserve">outline </w:t>
            </w:r>
            <w:r>
              <w:rPr>
                <w:sz w:val="24"/>
                <w:szCs w:val="24"/>
              </w:rPr>
              <w:t>Data Specification is p</w:t>
            </w:r>
            <w:r w:rsidRPr="00661D89">
              <w:rPr>
                <w:sz w:val="24"/>
                <w:szCs w:val="24"/>
              </w:rPr>
              <w:t xml:space="preserve">rovided </w:t>
            </w:r>
            <w:r w:rsidR="00DD438A">
              <w:rPr>
                <w:sz w:val="24"/>
                <w:szCs w:val="24"/>
              </w:rPr>
              <w:t>in Appendix M</w:t>
            </w:r>
            <w:r w:rsidRPr="00F04CB3">
              <w:rPr>
                <w:sz w:val="24"/>
                <w:szCs w:val="24"/>
              </w:rPr>
              <w:t xml:space="preserve"> - Data </w:t>
            </w:r>
            <w:r w:rsidR="005728DA">
              <w:rPr>
                <w:sz w:val="24"/>
                <w:szCs w:val="24"/>
              </w:rPr>
              <w:t>S</w:t>
            </w:r>
            <w:r w:rsidRPr="00F04CB3">
              <w:rPr>
                <w:sz w:val="24"/>
                <w:szCs w:val="24"/>
              </w:rPr>
              <w:t xml:space="preserve">pecification </w:t>
            </w:r>
            <w:r w:rsidR="005728DA">
              <w:rPr>
                <w:sz w:val="24"/>
                <w:szCs w:val="24"/>
              </w:rPr>
              <w:t>O</w:t>
            </w:r>
            <w:r w:rsidR="005728DA" w:rsidRPr="00F04CB3">
              <w:rPr>
                <w:sz w:val="24"/>
                <w:szCs w:val="24"/>
              </w:rPr>
              <w:t>utline</w:t>
            </w:r>
          </w:p>
        </w:tc>
      </w:tr>
      <w:tr w:rsidR="003057D9" w14:paraId="7CD76E63" w14:textId="77777777" w:rsidTr="00E5019D">
        <w:tc>
          <w:tcPr>
            <w:tcW w:w="2550" w:type="dxa"/>
          </w:tcPr>
          <w:p w14:paraId="36B7800A" w14:textId="35D8F2B8" w:rsidR="003057D9" w:rsidRDefault="003057D9" w:rsidP="00E62B57">
            <w:pPr>
              <w:pStyle w:val="Heading2"/>
              <w:numPr>
                <w:ilvl w:val="0"/>
                <w:numId w:val="0"/>
              </w:numPr>
              <w:spacing w:after="120"/>
              <w:ind w:firstLine="10"/>
              <w:jc w:val="left"/>
              <w:outlineLvl w:val="1"/>
              <w:rPr>
                <w:sz w:val="24"/>
                <w:szCs w:val="24"/>
              </w:rPr>
            </w:pPr>
            <w:r>
              <w:rPr>
                <w:sz w:val="24"/>
                <w:szCs w:val="24"/>
              </w:rPr>
              <w:t>Data Transformation Platform</w:t>
            </w:r>
          </w:p>
        </w:tc>
        <w:tc>
          <w:tcPr>
            <w:tcW w:w="5749" w:type="dxa"/>
          </w:tcPr>
          <w:p w14:paraId="38B7C398" w14:textId="2E8A6681" w:rsidR="003057D9" w:rsidRDefault="003057D9" w:rsidP="00CA07AB">
            <w:pPr>
              <w:pStyle w:val="Heading2"/>
              <w:numPr>
                <w:ilvl w:val="0"/>
                <w:numId w:val="0"/>
              </w:numPr>
              <w:spacing w:after="120"/>
              <w:outlineLvl w:val="1"/>
              <w:rPr>
                <w:sz w:val="24"/>
                <w:szCs w:val="24"/>
              </w:rPr>
            </w:pPr>
            <w:r w:rsidRPr="00CA07AB">
              <w:rPr>
                <w:rFonts w:cs="Arial"/>
                <w:color w:val="222222"/>
                <w:sz w:val="24"/>
                <w:szCs w:val="24"/>
                <w:shd w:val="clear" w:color="auto" w:fill="FFFFFF"/>
              </w:rPr>
              <w:t xml:space="preserve">means </w:t>
            </w:r>
            <w:r w:rsidR="00887E3F" w:rsidRPr="00887E3F">
              <w:rPr>
                <w:rFonts w:cs="Arial"/>
                <w:color w:val="222222"/>
                <w:sz w:val="24"/>
                <w:szCs w:val="24"/>
                <w:shd w:val="clear" w:color="auto" w:fill="FFFFFF"/>
              </w:rPr>
              <w:t>a distinct component that allows Asset Owners to upload their source datasets in order to be transformed into a form compliant with the Data Model and loaded into the Core Platform via the Ingestion Subsystem</w:t>
            </w:r>
          </w:p>
        </w:tc>
      </w:tr>
      <w:tr w:rsidR="00BE7866" w14:paraId="62F08D00" w14:textId="77777777" w:rsidTr="00E5019D">
        <w:tc>
          <w:tcPr>
            <w:tcW w:w="2550" w:type="dxa"/>
          </w:tcPr>
          <w:p w14:paraId="26A63EE8" w14:textId="01E8CE9B" w:rsidR="00BE7866" w:rsidRDefault="00BE7866" w:rsidP="00BE7866">
            <w:pPr>
              <w:pStyle w:val="Heading2"/>
              <w:numPr>
                <w:ilvl w:val="0"/>
                <w:numId w:val="0"/>
              </w:numPr>
              <w:spacing w:after="120"/>
              <w:ind w:left="720" w:hanging="720"/>
              <w:outlineLvl w:val="1"/>
              <w:rPr>
                <w:sz w:val="24"/>
                <w:szCs w:val="24"/>
              </w:rPr>
            </w:pPr>
            <w:r>
              <w:rPr>
                <w:sz w:val="24"/>
                <w:szCs w:val="24"/>
              </w:rPr>
              <w:t>Delivery Unit</w:t>
            </w:r>
          </w:p>
        </w:tc>
        <w:tc>
          <w:tcPr>
            <w:tcW w:w="5749" w:type="dxa"/>
          </w:tcPr>
          <w:p w14:paraId="52C822EC" w14:textId="5B4ACA01" w:rsidR="00BE7866" w:rsidRPr="00824925" w:rsidRDefault="00BE7866" w:rsidP="00BE7866">
            <w:pPr>
              <w:pStyle w:val="Heading2"/>
              <w:numPr>
                <w:ilvl w:val="0"/>
                <w:numId w:val="0"/>
              </w:numPr>
              <w:spacing w:after="120"/>
              <w:outlineLvl w:val="1"/>
              <w:rPr>
                <w:sz w:val="24"/>
                <w:szCs w:val="24"/>
              </w:rPr>
            </w:pPr>
            <w:r w:rsidRPr="004E3B26">
              <w:rPr>
                <w:rFonts w:cs="Arial"/>
                <w:color w:val="222222"/>
                <w:sz w:val="24"/>
                <w:szCs w:val="24"/>
                <w:shd w:val="clear" w:color="auto" w:fill="FFFFFF"/>
              </w:rPr>
              <w:t>means the Customer's delivery structure as described in Section 17.4</w:t>
            </w:r>
          </w:p>
        </w:tc>
      </w:tr>
      <w:tr w:rsidR="00BE7866" w14:paraId="6AD1AA19" w14:textId="77777777" w:rsidTr="00E5019D">
        <w:tc>
          <w:tcPr>
            <w:tcW w:w="2550" w:type="dxa"/>
          </w:tcPr>
          <w:p w14:paraId="3F2297D6" w14:textId="42E8B21B" w:rsidR="00BE7866" w:rsidRPr="00CA518A" w:rsidRDefault="00BE7866" w:rsidP="00BE7866">
            <w:pPr>
              <w:pStyle w:val="Heading2"/>
              <w:numPr>
                <w:ilvl w:val="0"/>
                <w:numId w:val="0"/>
              </w:numPr>
              <w:spacing w:after="120"/>
              <w:ind w:left="720" w:hanging="720"/>
              <w:outlineLvl w:val="1"/>
              <w:rPr>
                <w:sz w:val="24"/>
                <w:szCs w:val="24"/>
              </w:rPr>
            </w:pPr>
            <w:r w:rsidRPr="00CA518A">
              <w:rPr>
                <w:sz w:val="24"/>
                <w:szCs w:val="24"/>
              </w:rPr>
              <w:t>End Users</w:t>
            </w:r>
          </w:p>
        </w:tc>
        <w:tc>
          <w:tcPr>
            <w:tcW w:w="5749" w:type="dxa"/>
          </w:tcPr>
          <w:p w14:paraId="2D27CC34" w14:textId="740590FF" w:rsidR="00BE7866" w:rsidRDefault="00BE7866" w:rsidP="00BE7866">
            <w:pPr>
              <w:pStyle w:val="Heading2"/>
              <w:numPr>
                <w:ilvl w:val="0"/>
                <w:numId w:val="0"/>
              </w:numPr>
              <w:spacing w:after="120"/>
              <w:outlineLvl w:val="1"/>
              <w:rPr>
                <w:sz w:val="24"/>
                <w:szCs w:val="24"/>
              </w:rPr>
            </w:pPr>
            <w:r>
              <w:rPr>
                <w:sz w:val="24"/>
                <w:szCs w:val="24"/>
              </w:rPr>
              <w:t>means u</w:t>
            </w:r>
            <w:r w:rsidRPr="00446A93">
              <w:rPr>
                <w:sz w:val="24"/>
                <w:szCs w:val="24"/>
              </w:rPr>
              <w:t>sers who interact with the user interface of the NUAR platform, as consumers and/or providers of the data that the platform exposes</w:t>
            </w:r>
          </w:p>
        </w:tc>
      </w:tr>
      <w:tr w:rsidR="00BE7866" w14:paraId="382245FE" w14:textId="77777777" w:rsidTr="00E5019D">
        <w:tc>
          <w:tcPr>
            <w:tcW w:w="2550" w:type="dxa"/>
          </w:tcPr>
          <w:p w14:paraId="3D6FC760" w14:textId="38AE6AC7" w:rsidR="00BE7866" w:rsidRPr="00CA518A" w:rsidRDefault="00BE7866" w:rsidP="00BE7866">
            <w:pPr>
              <w:pStyle w:val="Heading2"/>
              <w:numPr>
                <w:ilvl w:val="0"/>
                <w:numId w:val="0"/>
              </w:numPr>
              <w:spacing w:after="120"/>
              <w:ind w:left="720" w:hanging="720"/>
              <w:outlineLvl w:val="1"/>
              <w:rPr>
                <w:sz w:val="24"/>
                <w:szCs w:val="24"/>
              </w:rPr>
            </w:pPr>
            <w:r w:rsidRPr="00D14BF6">
              <w:rPr>
                <w:sz w:val="24"/>
                <w:szCs w:val="24"/>
              </w:rPr>
              <w:t>GC</w:t>
            </w:r>
          </w:p>
        </w:tc>
        <w:tc>
          <w:tcPr>
            <w:tcW w:w="5749" w:type="dxa"/>
          </w:tcPr>
          <w:p w14:paraId="04407702" w14:textId="16431A0E" w:rsidR="00BE7866" w:rsidRDefault="00BE7866" w:rsidP="00BE7866">
            <w:pPr>
              <w:pStyle w:val="Heading2"/>
              <w:numPr>
                <w:ilvl w:val="0"/>
                <w:numId w:val="0"/>
              </w:numPr>
              <w:spacing w:after="120"/>
              <w:outlineLvl w:val="1"/>
              <w:rPr>
                <w:sz w:val="24"/>
                <w:szCs w:val="24"/>
              </w:rPr>
            </w:pPr>
            <w:r w:rsidRPr="00D14BF6">
              <w:rPr>
                <w:sz w:val="24"/>
                <w:szCs w:val="24"/>
              </w:rPr>
              <w:t>means Geospatial Commission</w:t>
            </w:r>
          </w:p>
        </w:tc>
      </w:tr>
      <w:tr w:rsidR="003057D9" w14:paraId="1BE823DB" w14:textId="77777777" w:rsidTr="00E5019D">
        <w:tc>
          <w:tcPr>
            <w:tcW w:w="2550" w:type="dxa"/>
          </w:tcPr>
          <w:p w14:paraId="571AAD74" w14:textId="7C5C0DEF" w:rsidR="003057D9" w:rsidRDefault="003057D9" w:rsidP="00BE7866">
            <w:pPr>
              <w:pStyle w:val="Heading2"/>
              <w:numPr>
                <w:ilvl w:val="0"/>
                <w:numId w:val="0"/>
              </w:numPr>
              <w:spacing w:after="120"/>
              <w:ind w:left="720" w:hanging="720"/>
              <w:outlineLvl w:val="1"/>
              <w:rPr>
                <w:sz w:val="24"/>
                <w:szCs w:val="24"/>
              </w:rPr>
            </w:pPr>
            <w:r>
              <w:rPr>
                <w:sz w:val="24"/>
                <w:szCs w:val="24"/>
              </w:rPr>
              <w:t>Ingestion Subsystem</w:t>
            </w:r>
          </w:p>
        </w:tc>
        <w:tc>
          <w:tcPr>
            <w:tcW w:w="5749" w:type="dxa"/>
          </w:tcPr>
          <w:p w14:paraId="357D1DAC" w14:textId="11A35227" w:rsidR="003057D9" w:rsidRDefault="003057D9" w:rsidP="003057D9">
            <w:pPr>
              <w:pStyle w:val="Heading2"/>
              <w:numPr>
                <w:ilvl w:val="0"/>
                <w:numId w:val="0"/>
              </w:numPr>
              <w:spacing w:after="120"/>
              <w:outlineLvl w:val="1"/>
              <w:rPr>
                <w:sz w:val="24"/>
                <w:szCs w:val="24"/>
              </w:rPr>
            </w:pPr>
            <w:r>
              <w:rPr>
                <w:sz w:val="24"/>
                <w:szCs w:val="24"/>
              </w:rPr>
              <w:t xml:space="preserve">means </w:t>
            </w:r>
            <w:r w:rsidRPr="003057D9">
              <w:rPr>
                <w:sz w:val="24"/>
                <w:szCs w:val="24"/>
              </w:rPr>
              <w:t xml:space="preserve">a subsystem of the Core Platform which allows </w:t>
            </w:r>
            <w:r>
              <w:rPr>
                <w:sz w:val="24"/>
                <w:szCs w:val="24"/>
              </w:rPr>
              <w:t xml:space="preserve">transformed </w:t>
            </w:r>
            <w:r w:rsidRPr="003057D9">
              <w:rPr>
                <w:sz w:val="24"/>
                <w:szCs w:val="24"/>
              </w:rPr>
              <w:t>data to be loaded, checked and stored in the Core Platform data store.</w:t>
            </w:r>
          </w:p>
        </w:tc>
      </w:tr>
      <w:tr w:rsidR="00BE7866" w14:paraId="0B269922" w14:textId="77777777" w:rsidTr="00E5019D">
        <w:tc>
          <w:tcPr>
            <w:tcW w:w="2550" w:type="dxa"/>
          </w:tcPr>
          <w:p w14:paraId="754F8A81" w14:textId="275CFBA8" w:rsidR="00BE7866" w:rsidRPr="00CA518A" w:rsidRDefault="00BE7866" w:rsidP="00BE7866">
            <w:pPr>
              <w:pStyle w:val="Heading2"/>
              <w:numPr>
                <w:ilvl w:val="0"/>
                <w:numId w:val="0"/>
              </w:numPr>
              <w:spacing w:after="120"/>
              <w:ind w:left="720" w:hanging="720"/>
              <w:outlineLvl w:val="1"/>
              <w:rPr>
                <w:sz w:val="24"/>
                <w:szCs w:val="24"/>
              </w:rPr>
            </w:pPr>
            <w:r>
              <w:rPr>
                <w:sz w:val="24"/>
                <w:szCs w:val="24"/>
              </w:rPr>
              <w:t xml:space="preserve">MVP </w:t>
            </w:r>
          </w:p>
        </w:tc>
        <w:tc>
          <w:tcPr>
            <w:tcW w:w="5749" w:type="dxa"/>
          </w:tcPr>
          <w:p w14:paraId="07816C5B" w14:textId="352F3127" w:rsidR="00BE7866" w:rsidRDefault="00BE7866" w:rsidP="00BE7866">
            <w:pPr>
              <w:pStyle w:val="Heading2"/>
              <w:numPr>
                <w:ilvl w:val="0"/>
                <w:numId w:val="0"/>
              </w:numPr>
              <w:spacing w:after="120"/>
              <w:outlineLvl w:val="1"/>
              <w:rPr>
                <w:sz w:val="24"/>
                <w:szCs w:val="24"/>
              </w:rPr>
            </w:pPr>
            <w:r>
              <w:rPr>
                <w:sz w:val="24"/>
                <w:szCs w:val="24"/>
              </w:rPr>
              <w:t xml:space="preserve">means Minimum Viable Product </w:t>
            </w:r>
          </w:p>
        </w:tc>
      </w:tr>
      <w:tr w:rsidR="00BE7866" w14:paraId="2F4A2019" w14:textId="77777777" w:rsidTr="00E5019D">
        <w:tc>
          <w:tcPr>
            <w:tcW w:w="2550" w:type="dxa"/>
          </w:tcPr>
          <w:p w14:paraId="2AA3E0A8" w14:textId="0E17B207" w:rsidR="00BE7866" w:rsidRPr="00CA518A" w:rsidRDefault="00BE7866" w:rsidP="00BE7866">
            <w:pPr>
              <w:pStyle w:val="Heading2"/>
              <w:numPr>
                <w:ilvl w:val="0"/>
                <w:numId w:val="0"/>
              </w:numPr>
              <w:spacing w:after="120"/>
              <w:ind w:left="720" w:hanging="720"/>
              <w:outlineLvl w:val="1"/>
              <w:rPr>
                <w:sz w:val="24"/>
                <w:szCs w:val="24"/>
              </w:rPr>
            </w:pPr>
            <w:r w:rsidRPr="00CA518A">
              <w:rPr>
                <w:sz w:val="24"/>
                <w:szCs w:val="24"/>
              </w:rPr>
              <w:t>MVP</w:t>
            </w:r>
            <w:r>
              <w:rPr>
                <w:sz w:val="24"/>
                <w:szCs w:val="24"/>
              </w:rPr>
              <w:t xml:space="preserve"> P</w:t>
            </w:r>
            <w:r w:rsidRPr="00CA518A">
              <w:rPr>
                <w:sz w:val="24"/>
                <w:szCs w:val="24"/>
              </w:rPr>
              <w:t>hase</w:t>
            </w:r>
          </w:p>
        </w:tc>
        <w:tc>
          <w:tcPr>
            <w:tcW w:w="5749" w:type="dxa"/>
          </w:tcPr>
          <w:p w14:paraId="6BEE47EC" w14:textId="3E158119" w:rsidR="00BE7866" w:rsidRDefault="00BE7866" w:rsidP="00BE7866">
            <w:pPr>
              <w:pStyle w:val="Heading2"/>
              <w:numPr>
                <w:ilvl w:val="0"/>
                <w:numId w:val="0"/>
              </w:numPr>
              <w:spacing w:after="120"/>
              <w:outlineLvl w:val="1"/>
              <w:rPr>
                <w:sz w:val="24"/>
                <w:szCs w:val="24"/>
              </w:rPr>
            </w:pPr>
            <w:r>
              <w:rPr>
                <w:sz w:val="24"/>
                <w:szCs w:val="24"/>
              </w:rPr>
              <w:t>means the phase when the Regional MVP production platform will be built. This is the part of the Build Phase</w:t>
            </w:r>
          </w:p>
        </w:tc>
      </w:tr>
      <w:tr w:rsidR="00BE7866" w14:paraId="67A3F7B6" w14:textId="77777777" w:rsidTr="00E5019D">
        <w:tc>
          <w:tcPr>
            <w:tcW w:w="2550" w:type="dxa"/>
          </w:tcPr>
          <w:p w14:paraId="7A3362E1" w14:textId="0CF0B793" w:rsidR="00BE7866" w:rsidRPr="00D14BF6" w:rsidRDefault="00BE7866" w:rsidP="00BE7866">
            <w:pPr>
              <w:pStyle w:val="Heading2"/>
              <w:numPr>
                <w:ilvl w:val="0"/>
                <w:numId w:val="0"/>
              </w:numPr>
              <w:spacing w:after="120"/>
              <w:ind w:left="720" w:hanging="720"/>
              <w:outlineLvl w:val="1"/>
              <w:rPr>
                <w:sz w:val="24"/>
                <w:szCs w:val="24"/>
              </w:rPr>
            </w:pPr>
            <w:r w:rsidRPr="00CA518A">
              <w:rPr>
                <w:sz w:val="24"/>
                <w:szCs w:val="24"/>
              </w:rPr>
              <w:t xml:space="preserve">National </w:t>
            </w:r>
            <w:r>
              <w:rPr>
                <w:sz w:val="24"/>
                <w:szCs w:val="24"/>
              </w:rPr>
              <w:t>R</w:t>
            </w:r>
            <w:r w:rsidRPr="00CA518A">
              <w:rPr>
                <w:sz w:val="24"/>
                <w:szCs w:val="24"/>
              </w:rPr>
              <w:t>ollout</w:t>
            </w:r>
          </w:p>
        </w:tc>
        <w:tc>
          <w:tcPr>
            <w:tcW w:w="5749" w:type="dxa"/>
          </w:tcPr>
          <w:p w14:paraId="2065420F" w14:textId="09BF3163" w:rsidR="00BE7866" w:rsidRPr="00D14BF6" w:rsidRDefault="00BE7866" w:rsidP="00BE7866">
            <w:pPr>
              <w:pStyle w:val="Heading2"/>
              <w:numPr>
                <w:ilvl w:val="0"/>
                <w:numId w:val="0"/>
              </w:numPr>
              <w:spacing w:after="120"/>
              <w:outlineLvl w:val="1"/>
              <w:rPr>
                <w:sz w:val="24"/>
                <w:szCs w:val="24"/>
              </w:rPr>
            </w:pPr>
            <w:r>
              <w:rPr>
                <w:sz w:val="24"/>
                <w:szCs w:val="24"/>
              </w:rPr>
              <w:t>means the phase when the Regional MVP production platform will be scaled-up to a national level (the eleven regions specified in section 5.4) and at its end will be fully operational. This is part of the Build Phase</w:t>
            </w:r>
          </w:p>
        </w:tc>
      </w:tr>
      <w:tr w:rsidR="00BE7866" w14:paraId="01CFE6D5" w14:textId="77777777" w:rsidTr="00E5019D">
        <w:tc>
          <w:tcPr>
            <w:tcW w:w="2550" w:type="dxa"/>
          </w:tcPr>
          <w:p w14:paraId="1FBAF99A" w14:textId="6FF4FE10" w:rsidR="00BE7866" w:rsidRPr="00D14BF6" w:rsidRDefault="00BE7866" w:rsidP="00BE7866">
            <w:pPr>
              <w:pStyle w:val="Heading2"/>
              <w:numPr>
                <w:ilvl w:val="0"/>
                <w:numId w:val="0"/>
              </w:numPr>
              <w:spacing w:after="120"/>
              <w:ind w:left="720" w:hanging="720"/>
              <w:outlineLvl w:val="1"/>
              <w:rPr>
                <w:sz w:val="24"/>
                <w:szCs w:val="24"/>
              </w:rPr>
            </w:pPr>
            <w:r>
              <w:rPr>
                <w:sz w:val="24"/>
                <w:szCs w:val="24"/>
              </w:rPr>
              <w:t>NCSC</w:t>
            </w:r>
          </w:p>
        </w:tc>
        <w:tc>
          <w:tcPr>
            <w:tcW w:w="5749" w:type="dxa"/>
          </w:tcPr>
          <w:p w14:paraId="63063FF1" w14:textId="6695E691" w:rsidR="00BE7866" w:rsidRPr="00D14BF6" w:rsidRDefault="00BE7866" w:rsidP="00BE7866">
            <w:pPr>
              <w:pStyle w:val="Heading2"/>
              <w:numPr>
                <w:ilvl w:val="0"/>
                <w:numId w:val="0"/>
              </w:numPr>
              <w:spacing w:after="120"/>
              <w:outlineLvl w:val="1"/>
              <w:rPr>
                <w:sz w:val="24"/>
                <w:szCs w:val="24"/>
              </w:rPr>
            </w:pPr>
            <w:r>
              <w:rPr>
                <w:sz w:val="24"/>
                <w:szCs w:val="24"/>
              </w:rPr>
              <w:t>means National Cyber Security Centre</w:t>
            </w:r>
          </w:p>
        </w:tc>
      </w:tr>
      <w:tr w:rsidR="00BE7866" w14:paraId="175AEB5A" w14:textId="77777777" w:rsidTr="00E5019D">
        <w:tc>
          <w:tcPr>
            <w:tcW w:w="2550" w:type="dxa"/>
          </w:tcPr>
          <w:p w14:paraId="68554B6B" w14:textId="05476EC4" w:rsidR="00BE7866" w:rsidRPr="00CA518A" w:rsidRDefault="00BE7866" w:rsidP="00BE7866">
            <w:pPr>
              <w:pStyle w:val="Heading2"/>
              <w:numPr>
                <w:ilvl w:val="0"/>
                <w:numId w:val="0"/>
              </w:numPr>
              <w:spacing w:after="120"/>
              <w:ind w:left="720" w:hanging="720"/>
              <w:outlineLvl w:val="1"/>
              <w:rPr>
                <w:sz w:val="24"/>
                <w:szCs w:val="24"/>
              </w:rPr>
            </w:pPr>
            <w:r w:rsidRPr="00D14BF6">
              <w:rPr>
                <w:sz w:val="24"/>
                <w:szCs w:val="24"/>
              </w:rPr>
              <w:t>NUAR</w:t>
            </w:r>
          </w:p>
        </w:tc>
        <w:tc>
          <w:tcPr>
            <w:tcW w:w="5749" w:type="dxa"/>
          </w:tcPr>
          <w:p w14:paraId="2B3B272E" w14:textId="2070F832" w:rsidR="00BE7866" w:rsidRDefault="00BE7866" w:rsidP="00BE7866">
            <w:pPr>
              <w:pStyle w:val="Heading2"/>
              <w:numPr>
                <w:ilvl w:val="0"/>
                <w:numId w:val="0"/>
              </w:numPr>
              <w:spacing w:after="120"/>
              <w:outlineLvl w:val="1"/>
              <w:rPr>
                <w:sz w:val="24"/>
                <w:szCs w:val="24"/>
              </w:rPr>
            </w:pPr>
            <w:r w:rsidRPr="00D14BF6">
              <w:rPr>
                <w:sz w:val="24"/>
                <w:szCs w:val="24"/>
              </w:rPr>
              <w:t>means National Underground Asset Register</w:t>
            </w:r>
          </w:p>
        </w:tc>
      </w:tr>
      <w:tr w:rsidR="00BE7866" w14:paraId="2ACF31E2" w14:textId="77777777" w:rsidTr="00E5019D">
        <w:tc>
          <w:tcPr>
            <w:tcW w:w="2550" w:type="dxa"/>
          </w:tcPr>
          <w:p w14:paraId="0291BE2B" w14:textId="066DAC57" w:rsidR="00BE7866" w:rsidRPr="00CA518A" w:rsidRDefault="00BE7866" w:rsidP="00BE7866">
            <w:pPr>
              <w:pStyle w:val="Heading2"/>
              <w:numPr>
                <w:ilvl w:val="0"/>
                <w:numId w:val="0"/>
              </w:numPr>
              <w:spacing w:after="120"/>
              <w:ind w:left="720" w:hanging="720"/>
              <w:outlineLvl w:val="1"/>
              <w:rPr>
                <w:sz w:val="24"/>
                <w:szCs w:val="24"/>
              </w:rPr>
            </w:pPr>
            <w:r>
              <w:rPr>
                <w:sz w:val="24"/>
                <w:szCs w:val="24"/>
              </w:rPr>
              <w:t>OGC</w:t>
            </w:r>
          </w:p>
        </w:tc>
        <w:tc>
          <w:tcPr>
            <w:tcW w:w="5749" w:type="dxa"/>
          </w:tcPr>
          <w:p w14:paraId="2C393C68" w14:textId="3879332A" w:rsidR="00BE7866" w:rsidRDefault="00BE7866" w:rsidP="00BE7866">
            <w:pPr>
              <w:pStyle w:val="Heading2"/>
              <w:numPr>
                <w:ilvl w:val="0"/>
                <w:numId w:val="0"/>
              </w:numPr>
              <w:spacing w:after="120"/>
              <w:outlineLvl w:val="1"/>
              <w:rPr>
                <w:sz w:val="24"/>
                <w:szCs w:val="24"/>
              </w:rPr>
            </w:pPr>
            <w:r>
              <w:rPr>
                <w:sz w:val="24"/>
                <w:szCs w:val="24"/>
              </w:rPr>
              <w:t xml:space="preserve">means the </w:t>
            </w:r>
            <w:r w:rsidRPr="00724971">
              <w:rPr>
                <w:sz w:val="24"/>
                <w:szCs w:val="24"/>
              </w:rPr>
              <w:t>Open Geospatial Consortium</w:t>
            </w:r>
          </w:p>
        </w:tc>
      </w:tr>
      <w:tr w:rsidR="00BE7866" w14:paraId="55A27961" w14:textId="77777777" w:rsidTr="00E5019D">
        <w:tc>
          <w:tcPr>
            <w:tcW w:w="2550" w:type="dxa"/>
          </w:tcPr>
          <w:p w14:paraId="44F457F7" w14:textId="362B5421" w:rsidR="00BE7866" w:rsidRPr="00962809" w:rsidRDefault="00BE7866" w:rsidP="00BE7866">
            <w:pPr>
              <w:pStyle w:val="Heading2"/>
              <w:numPr>
                <w:ilvl w:val="0"/>
                <w:numId w:val="0"/>
              </w:numPr>
              <w:spacing w:after="120"/>
              <w:ind w:left="720" w:hanging="720"/>
              <w:outlineLvl w:val="1"/>
              <w:rPr>
                <w:color w:val="000000" w:themeColor="text1"/>
                <w:sz w:val="24"/>
                <w:szCs w:val="24"/>
              </w:rPr>
            </w:pPr>
            <w:r w:rsidRPr="00962809">
              <w:rPr>
                <w:color w:val="000000" w:themeColor="text1"/>
                <w:sz w:val="24"/>
                <w:szCs w:val="24"/>
              </w:rPr>
              <w:t>Product Backlog</w:t>
            </w:r>
          </w:p>
        </w:tc>
        <w:tc>
          <w:tcPr>
            <w:tcW w:w="5749" w:type="dxa"/>
          </w:tcPr>
          <w:p w14:paraId="6CDF829C" w14:textId="75E44174" w:rsidR="00BE7866" w:rsidRPr="00962809" w:rsidRDefault="00BE7866" w:rsidP="005728DA">
            <w:pPr>
              <w:pStyle w:val="Heading2"/>
              <w:numPr>
                <w:ilvl w:val="0"/>
                <w:numId w:val="0"/>
              </w:numPr>
              <w:spacing w:after="120"/>
              <w:outlineLvl w:val="1"/>
              <w:rPr>
                <w:color w:val="000000" w:themeColor="text1"/>
                <w:sz w:val="24"/>
                <w:szCs w:val="24"/>
              </w:rPr>
            </w:pPr>
            <w:r w:rsidRPr="00962809">
              <w:rPr>
                <w:rFonts w:cs="Arial"/>
                <w:color w:val="000000" w:themeColor="text1"/>
                <w:sz w:val="24"/>
                <w:szCs w:val="24"/>
                <w:shd w:val="clear" w:color="auto" w:fill="FFFFFF"/>
              </w:rPr>
              <w:t xml:space="preserve">means the product backlog as presented in Appendix </w:t>
            </w:r>
            <w:r w:rsidR="005728DA" w:rsidRPr="00962809">
              <w:rPr>
                <w:rFonts w:cs="Arial"/>
                <w:color w:val="000000" w:themeColor="text1"/>
                <w:sz w:val="24"/>
                <w:szCs w:val="24"/>
                <w:shd w:val="clear" w:color="auto" w:fill="FFFFFF"/>
              </w:rPr>
              <w:t xml:space="preserve">G </w:t>
            </w:r>
            <w:r w:rsidRPr="00962809">
              <w:rPr>
                <w:rFonts w:cs="Arial"/>
                <w:color w:val="000000" w:themeColor="text1"/>
                <w:sz w:val="24"/>
                <w:szCs w:val="24"/>
                <w:shd w:val="clear" w:color="auto" w:fill="FFFFFF"/>
              </w:rPr>
              <w:t>- Product </w:t>
            </w:r>
            <w:r w:rsidR="005728DA" w:rsidRPr="00962809">
              <w:rPr>
                <w:rFonts w:cs="Arial"/>
                <w:color w:val="000000" w:themeColor="text1"/>
                <w:sz w:val="24"/>
                <w:szCs w:val="24"/>
                <w:shd w:val="clear" w:color="auto" w:fill="FFFFFF"/>
              </w:rPr>
              <w:t>Backlog</w:t>
            </w:r>
            <w:r w:rsidRPr="00962809">
              <w:rPr>
                <w:rFonts w:cs="Arial"/>
                <w:color w:val="000000" w:themeColor="text1"/>
                <w:sz w:val="24"/>
                <w:szCs w:val="24"/>
                <w:shd w:val="clear" w:color="auto" w:fill="FFFFFF"/>
              </w:rPr>
              <w:t>/</w:t>
            </w:r>
            <w:r w:rsidR="005728DA" w:rsidRPr="00962809">
              <w:rPr>
                <w:rFonts w:cs="Arial"/>
                <w:color w:val="000000" w:themeColor="text1"/>
                <w:sz w:val="24"/>
                <w:szCs w:val="24"/>
                <w:shd w:val="clear" w:color="auto" w:fill="FFFFFF"/>
              </w:rPr>
              <w:t>User Stories</w:t>
            </w:r>
          </w:p>
        </w:tc>
      </w:tr>
      <w:tr w:rsidR="00BE7866" w14:paraId="403A8C8B" w14:textId="77777777" w:rsidTr="00E5019D">
        <w:tc>
          <w:tcPr>
            <w:tcW w:w="2550" w:type="dxa"/>
          </w:tcPr>
          <w:p w14:paraId="05FE3100" w14:textId="07402E0F" w:rsidR="00BE7866" w:rsidRPr="00962809" w:rsidRDefault="00BE7866" w:rsidP="00BE7866">
            <w:pPr>
              <w:pStyle w:val="Heading2"/>
              <w:numPr>
                <w:ilvl w:val="0"/>
                <w:numId w:val="0"/>
              </w:numPr>
              <w:spacing w:after="120"/>
              <w:ind w:left="720" w:hanging="720"/>
              <w:outlineLvl w:val="1"/>
              <w:rPr>
                <w:color w:val="000000" w:themeColor="text1"/>
                <w:sz w:val="24"/>
                <w:szCs w:val="24"/>
              </w:rPr>
            </w:pPr>
            <w:r w:rsidRPr="00962809">
              <w:rPr>
                <w:color w:val="000000" w:themeColor="text1"/>
                <w:sz w:val="24"/>
                <w:szCs w:val="24"/>
              </w:rPr>
              <w:t>Product Owner</w:t>
            </w:r>
          </w:p>
        </w:tc>
        <w:tc>
          <w:tcPr>
            <w:tcW w:w="5749" w:type="dxa"/>
          </w:tcPr>
          <w:p w14:paraId="03AA8846" w14:textId="18335836" w:rsidR="00BE7866" w:rsidRPr="00962809" w:rsidRDefault="00BE7866" w:rsidP="00180BBE">
            <w:pPr>
              <w:pStyle w:val="Heading2"/>
              <w:numPr>
                <w:ilvl w:val="0"/>
                <w:numId w:val="0"/>
              </w:numPr>
              <w:spacing w:after="120"/>
              <w:outlineLvl w:val="1"/>
              <w:rPr>
                <w:color w:val="000000" w:themeColor="text1"/>
                <w:sz w:val="24"/>
                <w:szCs w:val="24"/>
              </w:rPr>
            </w:pPr>
            <w:r w:rsidRPr="00962809">
              <w:rPr>
                <w:rFonts w:cs="Arial"/>
                <w:color w:val="000000" w:themeColor="text1"/>
                <w:sz w:val="24"/>
                <w:szCs w:val="24"/>
                <w:shd w:val="clear" w:color="auto" w:fill="FFFFFF"/>
              </w:rPr>
              <w:t xml:space="preserve">means the sole person responsible for managing the Product Backlog and signing off functionality as </w:t>
            </w:r>
            <w:r w:rsidRPr="00962809">
              <w:rPr>
                <w:rFonts w:cs="Arial"/>
                <w:color w:val="000000" w:themeColor="text1"/>
                <w:sz w:val="24"/>
                <w:szCs w:val="24"/>
                <w:shd w:val="clear" w:color="auto" w:fill="FFFFFF"/>
              </w:rPr>
              <w:lastRenderedPageBreak/>
              <w:t>complete</w:t>
            </w:r>
            <w:r w:rsidR="00180BBE">
              <w:rPr>
                <w:rFonts w:cs="Arial"/>
                <w:color w:val="000000" w:themeColor="text1"/>
                <w:sz w:val="24"/>
                <w:szCs w:val="24"/>
                <w:shd w:val="clear" w:color="auto" w:fill="FFFFFF"/>
              </w:rPr>
              <w:t>. The Product Owner is provided by Customer’s.</w:t>
            </w:r>
          </w:p>
        </w:tc>
      </w:tr>
      <w:tr w:rsidR="00BE7866" w:rsidDel="00724971" w14:paraId="0E47B834" w14:textId="77777777" w:rsidTr="00E5019D">
        <w:tc>
          <w:tcPr>
            <w:tcW w:w="2550" w:type="dxa"/>
          </w:tcPr>
          <w:p w14:paraId="5369E7E7" w14:textId="049D3420" w:rsidR="00BE7866" w:rsidRPr="005E7B1C" w:rsidRDefault="00BE7866" w:rsidP="00BE7866">
            <w:pPr>
              <w:pStyle w:val="Heading2"/>
              <w:numPr>
                <w:ilvl w:val="0"/>
                <w:numId w:val="0"/>
              </w:numPr>
              <w:spacing w:after="120"/>
              <w:ind w:left="720" w:hanging="720"/>
              <w:outlineLvl w:val="1"/>
              <w:rPr>
                <w:sz w:val="24"/>
                <w:szCs w:val="24"/>
              </w:rPr>
            </w:pPr>
            <w:r>
              <w:rPr>
                <w:sz w:val="24"/>
                <w:szCs w:val="24"/>
              </w:rPr>
              <w:lastRenderedPageBreak/>
              <w:t>Programme</w:t>
            </w:r>
          </w:p>
        </w:tc>
        <w:tc>
          <w:tcPr>
            <w:tcW w:w="5749" w:type="dxa"/>
          </w:tcPr>
          <w:p w14:paraId="20F26635" w14:textId="259DE4BF" w:rsidR="00BE7866" w:rsidDel="00724971" w:rsidRDefault="00BE7866" w:rsidP="00BE7866">
            <w:pPr>
              <w:pStyle w:val="Heading2"/>
              <w:numPr>
                <w:ilvl w:val="0"/>
                <w:numId w:val="0"/>
              </w:numPr>
              <w:spacing w:after="120"/>
              <w:outlineLvl w:val="1"/>
              <w:rPr>
                <w:sz w:val="24"/>
                <w:szCs w:val="24"/>
              </w:rPr>
            </w:pPr>
            <w:r>
              <w:rPr>
                <w:sz w:val="24"/>
                <w:szCs w:val="24"/>
              </w:rPr>
              <w:t>means the Geospatial Commission’s initiative to implement NUAR on a national level</w:t>
            </w:r>
          </w:p>
        </w:tc>
      </w:tr>
      <w:tr w:rsidR="00BE7866" w:rsidDel="00724971" w14:paraId="2619B035" w14:textId="77777777" w:rsidTr="00E5019D">
        <w:tc>
          <w:tcPr>
            <w:tcW w:w="2550" w:type="dxa"/>
          </w:tcPr>
          <w:p w14:paraId="70725829" w14:textId="77777777" w:rsidR="00BE7866" w:rsidRPr="005E7B1C" w:rsidRDefault="00BE7866" w:rsidP="00BE7866">
            <w:pPr>
              <w:pStyle w:val="Heading2"/>
              <w:numPr>
                <w:ilvl w:val="0"/>
                <w:numId w:val="0"/>
              </w:numPr>
              <w:spacing w:after="120"/>
              <w:ind w:left="720" w:hanging="720"/>
              <w:outlineLvl w:val="1"/>
              <w:rPr>
                <w:sz w:val="24"/>
                <w:szCs w:val="24"/>
              </w:rPr>
            </w:pPr>
            <w:r>
              <w:rPr>
                <w:sz w:val="24"/>
                <w:szCs w:val="24"/>
              </w:rPr>
              <w:t xml:space="preserve">Regional MVP </w:t>
            </w:r>
          </w:p>
        </w:tc>
        <w:tc>
          <w:tcPr>
            <w:tcW w:w="5749" w:type="dxa"/>
          </w:tcPr>
          <w:p w14:paraId="6DAD22B7" w14:textId="59DC3446" w:rsidR="00BE7866" w:rsidDel="00724971" w:rsidRDefault="00BE7866" w:rsidP="00BE7866">
            <w:pPr>
              <w:pStyle w:val="Heading2"/>
              <w:numPr>
                <w:ilvl w:val="0"/>
                <w:numId w:val="0"/>
              </w:numPr>
              <w:spacing w:after="120"/>
              <w:outlineLvl w:val="1"/>
              <w:rPr>
                <w:sz w:val="24"/>
                <w:szCs w:val="24"/>
              </w:rPr>
            </w:pPr>
            <w:r>
              <w:rPr>
                <w:sz w:val="24"/>
                <w:szCs w:val="24"/>
              </w:rPr>
              <w:t xml:space="preserve">means the MVP for the regions of </w:t>
            </w:r>
            <w:r w:rsidRPr="00790AA0">
              <w:rPr>
                <w:sz w:val="24"/>
                <w:szCs w:val="24"/>
              </w:rPr>
              <w:t>London, the North East of England and Wales</w:t>
            </w:r>
          </w:p>
        </w:tc>
      </w:tr>
      <w:tr w:rsidR="00BE7866" w:rsidDel="00724971" w14:paraId="3EFC4214" w14:textId="77777777" w:rsidTr="00E5019D">
        <w:tc>
          <w:tcPr>
            <w:tcW w:w="2550" w:type="dxa"/>
          </w:tcPr>
          <w:p w14:paraId="4289A01E" w14:textId="2609731F" w:rsidR="00BE7866" w:rsidRPr="005E7B1C" w:rsidRDefault="00BE7866" w:rsidP="00BE7866">
            <w:pPr>
              <w:pStyle w:val="Heading2"/>
              <w:numPr>
                <w:ilvl w:val="0"/>
                <w:numId w:val="0"/>
              </w:numPr>
              <w:spacing w:after="120"/>
              <w:ind w:left="720" w:hanging="720"/>
              <w:outlineLvl w:val="1"/>
              <w:rPr>
                <w:sz w:val="24"/>
                <w:szCs w:val="24"/>
              </w:rPr>
            </w:pPr>
            <w:r>
              <w:rPr>
                <w:sz w:val="24"/>
                <w:szCs w:val="24"/>
              </w:rPr>
              <w:t>Requirement</w:t>
            </w:r>
          </w:p>
        </w:tc>
        <w:tc>
          <w:tcPr>
            <w:tcW w:w="5749" w:type="dxa"/>
          </w:tcPr>
          <w:p w14:paraId="34D087F3" w14:textId="22217D71" w:rsidR="00BE7866" w:rsidDel="00724971" w:rsidRDefault="00BE7866" w:rsidP="00BE7866">
            <w:pPr>
              <w:pStyle w:val="Heading2"/>
              <w:numPr>
                <w:ilvl w:val="0"/>
                <w:numId w:val="0"/>
              </w:numPr>
              <w:spacing w:after="120"/>
              <w:outlineLvl w:val="1"/>
              <w:rPr>
                <w:sz w:val="24"/>
                <w:szCs w:val="24"/>
              </w:rPr>
            </w:pPr>
            <w:r>
              <w:rPr>
                <w:sz w:val="24"/>
                <w:szCs w:val="24"/>
              </w:rPr>
              <w:t>means the services that the Supplier will deliver as described in this document</w:t>
            </w:r>
          </w:p>
        </w:tc>
      </w:tr>
      <w:tr w:rsidR="00BE7866" w:rsidDel="00724971" w14:paraId="0EC5B3FC" w14:textId="77777777" w:rsidTr="00E5019D">
        <w:tc>
          <w:tcPr>
            <w:tcW w:w="2550" w:type="dxa"/>
          </w:tcPr>
          <w:p w14:paraId="6E7FDA12" w14:textId="2BA3561E" w:rsidR="00BE7866" w:rsidRPr="005E7B1C" w:rsidRDefault="00BE7866" w:rsidP="00BE7866">
            <w:pPr>
              <w:pStyle w:val="Heading2"/>
              <w:numPr>
                <w:ilvl w:val="0"/>
                <w:numId w:val="0"/>
              </w:numPr>
              <w:spacing w:after="120"/>
              <w:ind w:left="720" w:hanging="720"/>
              <w:outlineLvl w:val="1"/>
              <w:rPr>
                <w:sz w:val="24"/>
                <w:szCs w:val="24"/>
              </w:rPr>
            </w:pPr>
            <w:r w:rsidRPr="00CA518A">
              <w:rPr>
                <w:sz w:val="24"/>
                <w:szCs w:val="24"/>
              </w:rPr>
              <w:t>Run Phase</w:t>
            </w:r>
          </w:p>
        </w:tc>
        <w:tc>
          <w:tcPr>
            <w:tcW w:w="5749" w:type="dxa"/>
          </w:tcPr>
          <w:p w14:paraId="39DDD874" w14:textId="7C4A2776" w:rsidR="00BE7866" w:rsidDel="00724971" w:rsidRDefault="00BE7866" w:rsidP="00BE7866">
            <w:pPr>
              <w:pStyle w:val="Heading2"/>
              <w:numPr>
                <w:ilvl w:val="0"/>
                <w:numId w:val="0"/>
              </w:numPr>
              <w:spacing w:after="120"/>
              <w:outlineLvl w:val="1"/>
              <w:rPr>
                <w:sz w:val="24"/>
                <w:szCs w:val="24"/>
              </w:rPr>
            </w:pPr>
            <w:r>
              <w:rPr>
                <w:sz w:val="24"/>
                <w:szCs w:val="24"/>
              </w:rPr>
              <w:t>means the phase of the programme when NUAR will become operational and that begins at the end of this requirement/contract</w:t>
            </w:r>
          </w:p>
        </w:tc>
      </w:tr>
      <w:tr w:rsidR="00BE7866" w:rsidDel="00724971" w14:paraId="6B5E9F7C" w14:textId="77777777" w:rsidTr="00E5019D">
        <w:tc>
          <w:tcPr>
            <w:tcW w:w="2550" w:type="dxa"/>
          </w:tcPr>
          <w:p w14:paraId="737C226A" w14:textId="7FFA4D6F" w:rsidR="00BE7866" w:rsidRDefault="00BE7866" w:rsidP="00BE7866">
            <w:pPr>
              <w:pStyle w:val="Heading2"/>
              <w:numPr>
                <w:ilvl w:val="0"/>
                <w:numId w:val="0"/>
              </w:numPr>
              <w:spacing w:after="120"/>
              <w:ind w:left="720" w:hanging="720"/>
              <w:outlineLvl w:val="1"/>
              <w:rPr>
                <w:sz w:val="24"/>
                <w:szCs w:val="24"/>
              </w:rPr>
            </w:pPr>
            <w:r>
              <w:rPr>
                <w:sz w:val="24"/>
                <w:szCs w:val="24"/>
              </w:rPr>
              <w:t>Scrum Master</w:t>
            </w:r>
          </w:p>
        </w:tc>
        <w:tc>
          <w:tcPr>
            <w:tcW w:w="5749" w:type="dxa"/>
          </w:tcPr>
          <w:p w14:paraId="7C412CBF" w14:textId="4E378FE4" w:rsidR="00BE7866" w:rsidRDefault="00BE7866" w:rsidP="00BE7866">
            <w:pPr>
              <w:pStyle w:val="Heading2"/>
              <w:numPr>
                <w:ilvl w:val="0"/>
                <w:numId w:val="0"/>
              </w:numPr>
              <w:spacing w:after="120"/>
              <w:outlineLvl w:val="1"/>
              <w:rPr>
                <w:sz w:val="24"/>
                <w:szCs w:val="24"/>
              </w:rPr>
            </w:pPr>
            <w:r>
              <w:rPr>
                <w:sz w:val="24"/>
                <w:szCs w:val="24"/>
              </w:rPr>
              <w:t xml:space="preserve">means </w:t>
            </w:r>
            <w:r w:rsidRPr="00E8394E">
              <w:rPr>
                <w:sz w:val="24"/>
                <w:szCs w:val="24"/>
              </w:rPr>
              <w:t xml:space="preserve">the facilitator of the agile framework </w:t>
            </w:r>
            <w:r>
              <w:rPr>
                <w:sz w:val="24"/>
                <w:szCs w:val="24"/>
              </w:rPr>
              <w:t xml:space="preserve">and events </w:t>
            </w:r>
            <w:r w:rsidRPr="00E8394E">
              <w:rPr>
                <w:sz w:val="24"/>
                <w:szCs w:val="24"/>
              </w:rPr>
              <w:t xml:space="preserve">with a focus on time-boxed iterations called </w:t>
            </w:r>
            <w:r>
              <w:rPr>
                <w:sz w:val="24"/>
                <w:szCs w:val="24"/>
              </w:rPr>
              <w:t>S</w:t>
            </w:r>
            <w:r w:rsidRPr="00E8394E">
              <w:rPr>
                <w:sz w:val="24"/>
                <w:szCs w:val="24"/>
              </w:rPr>
              <w:t>prints</w:t>
            </w:r>
          </w:p>
        </w:tc>
      </w:tr>
      <w:tr w:rsidR="00BE7866" w:rsidDel="00724971" w14:paraId="1EFDF790" w14:textId="77777777" w:rsidTr="00E5019D">
        <w:tc>
          <w:tcPr>
            <w:tcW w:w="2550" w:type="dxa"/>
          </w:tcPr>
          <w:p w14:paraId="02968BC5" w14:textId="6D2B44C4" w:rsidR="00BE7866" w:rsidRDefault="00BE7866" w:rsidP="00BE7866">
            <w:pPr>
              <w:pStyle w:val="Heading2"/>
              <w:numPr>
                <w:ilvl w:val="0"/>
                <w:numId w:val="0"/>
              </w:numPr>
              <w:spacing w:after="120"/>
              <w:ind w:left="720" w:hanging="720"/>
              <w:outlineLvl w:val="1"/>
              <w:rPr>
                <w:sz w:val="24"/>
                <w:szCs w:val="24"/>
              </w:rPr>
            </w:pPr>
            <w:r>
              <w:rPr>
                <w:sz w:val="24"/>
                <w:szCs w:val="24"/>
              </w:rPr>
              <w:t>Sprint</w:t>
            </w:r>
          </w:p>
        </w:tc>
        <w:tc>
          <w:tcPr>
            <w:tcW w:w="5749" w:type="dxa"/>
          </w:tcPr>
          <w:p w14:paraId="647CB378" w14:textId="236A067E" w:rsidR="00BE7866" w:rsidRPr="00E8394E" w:rsidRDefault="00BE7866" w:rsidP="00CA5A6F">
            <w:pPr>
              <w:pStyle w:val="Heading2"/>
              <w:numPr>
                <w:ilvl w:val="0"/>
                <w:numId w:val="0"/>
              </w:numPr>
              <w:spacing w:after="120"/>
              <w:outlineLvl w:val="1"/>
              <w:rPr>
                <w:sz w:val="24"/>
              </w:rPr>
            </w:pPr>
            <w:r>
              <w:rPr>
                <w:sz w:val="24"/>
                <w:szCs w:val="24"/>
              </w:rPr>
              <w:t xml:space="preserve">means </w:t>
            </w:r>
            <w:r w:rsidRPr="00E8394E">
              <w:rPr>
                <w:sz w:val="24"/>
                <w:szCs w:val="24"/>
              </w:rPr>
              <w:t xml:space="preserve">a time-boxed iteration of a continuous development cycle, </w:t>
            </w:r>
            <w:r w:rsidR="00D72235" w:rsidRPr="00D72235">
              <w:rPr>
                <w:sz w:val="24"/>
                <w:szCs w:val="24"/>
              </w:rPr>
              <w:t>which shall be three weeks, unless agreed otherwise and in advance of the relevant Sprint with the Customer</w:t>
            </w:r>
          </w:p>
        </w:tc>
      </w:tr>
      <w:tr w:rsidR="00BE7866" w:rsidDel="00724971" w14:paraId="33500319" w14:textId="77777777" w:rsidTr="00E5019D">
        <w:tc>
          <w:tcPr>
            <w:tcW w:w="2550" w:type="dxa"/>
          </w:tcPr>
          <w:p w14:paraId="52A0DD3B" w14:textId="13A081EF" w:rsidR="00BE7866" w:rsidRDefault="00BE7866" w:rsidP="00BE7866">
            <w:pPr>
              <w:pStyle w:val="Heading2"/>
              <w:numPr>
                <w:ilvl w:val="0"/>
                <w:numId w:val="0"/>
              </w:numPr>
              <w:spacing w:after="120"/>
              <w:ind w:left="720" w:hanging="720"/>
              <w:outlineLvl w:val="1"/>
              <w:rPr>
                <w:sz w:val="24"/>
                <w:szCs w:val="24"/>
              </w:rPr>
            </w:pPr>
            <w:r>
              <w:rPr>
                <w:sz w:val="24"/>
                <w:szCs w:val="24"/>
              </w:rPr>
              <w:t>UAT</w:t>
            </w:r>
          </w:p>
        </w:tc>
        <w:tc>
          <w:tcPr>
            <w:tcW w:w="5749" w:type="dxa"/>
          </w:tcPr>
          <w:p w14:paraId="00540BA9" w14:textId="78A20F27" w:rsidR="00BE7866" w:rsidRDefault="00BE7866" w:rsidP="00BE7866">
            <w:pPr>
              <w:pStyle w:val="Heading2"/>
              <w:numPr>
                <w:ilvl w:val="0"/>
                <w:numId w:val="0"/>
              </w:numPr>
              <w:spacing w:after="120"/>
              <w:outlineLvl w:val="1"/>
              <w:rPr>
                <w:sz w:val="24"/>
                <w:szCs w:val="24"/>
              </w:rPr>
            </w:pPr>
            <w:r>
              <w:rPr>
                <w:sz w:val="24"/>
                <w:szCs w:val="24"/>
              </w:rPr>
              <w:t>means User Acceptance Testing</w:t>
            </w:r>
          </w:p>
        </w:tc>
      </w:tr>
      <w:tr w:rsidR="00BE7866" w:rsidDel="00724971" w14:paraId="29741EBF" w14:textId="77777777" w:rsidTr="00E5019D">
        <w:tc>
          <w:tcPr>
            <w:tcW w:w="2550" w:type="dxa"/>
          </w:tcPr>
          <w:p w14:paraId="260B7F8F" w14:textId="5B12E906" w:rsidR="00BE7866" w:rsidRDefault="00BE7866" w:rsidP="00BE7866">
            <w:pPr>
              <w:pStyle w:val="Heading2"/>
              <w:numPr>
                <w:ilvl w:val="0"/>
                <w:numId w:val="0"/>
              </w:numPr>
              <w:spacing w:after="120"/>
              <w:ind w:left="720" w:hanging="720"/>
              <w:outlineLvl w:val="1"/>
              <w:rPr>
                <w:sz w:val="24"/>
                <w:szCs w:val="24"/>
              </w:rPr>
            </w:pPr>
            <w:r>
              <w:rPr>
                <w:sz w:val="24"/>
                <w:szCs w:val="24"/>
              </w:rPr>
              <w:t>UI</w:t>
            </w:r>
          </w:p>
        </w:tc>
        <w:tc>
          <w:tcPr>
            <w:tcW w:w="5749" w:type="dxa"/>
          </w:tcPr>
          <w:p w14:paraId="2229677E" w14:textId="2A2B6F76" w:rsidR="00BE7866" w:rsidRDefault="00BE7866" w:rsidP="00BE7866">
            <w:pPr>
              <w:pStyle w:val="Heading2"/>
              <w:numPr>
                <w:ilvl w:val="0"/>
                <w:numId w:val="0"/>
              </w:numPr>
              <w:spacing w:after="120"/>
              <w:outlineLvl w:val="1"/>
              <w:rPr>
                <w:sz w:val="24"/>
                <w:szCs w:val="24"/>
              </w:rPr>
            </w:pPr>
            <w:r>
              <w:rPr>
                <w:sz w:val="24"/>
                <w:szCs w:val="24"/>
              </w:rPr>
              <w:t>means User Interface</w:t>
            </w:r>
          </w:p>
        </w:tc>
      </w:tr>
    </w:tbl>
    <w:p w14:paraId="58757338" w14:textId="2D3390F0" w:rsidR="00071833" w:rsidRPr="00071833" w:rsidRDefault="00FE18AC" w:rsidP="00071833">
      <w:pPr>
        <w:pStyle w:val="Heading1"/>
        <w:tabs>
          <w:tab w:val="clear" w:pos="720"/>
        </w:tabs>
        <w:overflowPunct w:val="0"/>
        <w:autoSpaceDE w:val="0"/>
        <w:autoSpaceDN w:val="0"/>
        <w:spacing w:before="240" w:after="120"/>
        <w:textAlignment w:val="baseline"/>
        <w:rPr>
          <w:sz w:val="32"/>
          <w:szCs w:val="32"/>
        </w:rPr>
      </w:pPr>
      <w:bookmarkStart w:id="16" w:name="_Toc69240410"/>
      <w:r w:rsidRPr="001A45DF">
        <w:rPr>
          <w:sz w:val="32"/>
          <w:szCs w:val="32"/>
        </w:rPr>
        <w:t>scope of requirement</w:t>
      </w:r>
      <w:bookmarkEnd w:id="13"/>
      <w:bookmarkEnd w:id="15"/>
      <w:bookmarkEnd w:id="16"/>
      <w:r w:rsidRPr="001A45DF">
        <w:rPr>
          <w:sz w:val="32"/>
          <w:szCs w:val="32"/>
        </w:rPr>
        <w:t xml:space="preserve"> </w:t>
      </w:r>
      <w:bookmarkEnd w:id="10"/>
    </w:p>
    <w:p w14:paraId="352923FC" w14:textId="09749499" w:rsidR="00BE6077" w:rsidRPr="00BE6077" w:rsidRDefault="00BE6077" w:rsidP="00BE6077">
      <w:pPr>
        <w:pStyle w:val="Heading2"/>
        <w:rPr>
          <w:sz w:val="24"/>
          <w:szCs w:val="24"/>
        </w:rPr>
      </w:pPr>
      <w:r w:rsidRPr="00BE6077">
        <w:rPr>
          <w:sz w:val="24"/>
          <w:szCs w:val="24"/>
        </w:rPr>
        <w:t>This requirement has been organised into four workstreams, which are:</w:t>
      </w:r>
    </w:p>
    <w:p w14:paraId="0656525E" w14:textId="56D30570" w:rsidR="00BE6077" w:rsidRPr="0041573D" w:rsidRDefault="00042EAB" w:rsidP="0041573D">
      <w:pPr>
        <w:pStyle w:val="Heading3"/>
        <w:spacing w:after="120"/>
        <w:ind w:left="1797" w:hanging="1077"/>
        <w:rPr>
          <w:sz w:val="24"/>
        </w:rPr>
      </w:pPr>
      <w:r>
        <w:rPr>
          <w:sz w:val="24"/>
        </w:rPr>
        <w:t>Asset Owner Engagement</w:t>
      </w:r>
    </w:p>
    <w:p w14:paraId="38A28F21" w14:textId="4DA3693A" w:rsidR="00BE6077" w:rsidRPr="0041573D" w:rsidRDefault="00BE6077" w:rsidP="0041573D">
      <w:pPr>
        <w:pStyle w:val="Heading3"/>
        <w:spacing w:after="120"/>
        <w:ind w:left="1797" w:hanging="1077"/>
        <w:rPr>
          <w:sz w:val="24"/>
        </w:rPr>
      </w:pPr>
      <w:r w:rsidRPr="0041573D">
        <w:rPr>
          <w:sz w:val="24"/>
        </w:rPr>
        <w:t>Data transformation &amp; ingestion</w:t>
      </w:r>
    </w:p>
    <w:p w14:paraId="4F59BA8E" w14:textId="488BF723" w:rsidR="00BE6077" w:rsidRPr="0041573D" w:rsidRDefault="00BE6077" w:rsidP="0041573D">
      <w:pPr>
        <w:pStyle w:val="Heading3"/>
        <w:spacing w:after="120"/>
        <w:ind w:left="1797" w:hanging="1077"/>
        <w:rPr>
          <w:sz w:val="24"/>
        </w:rPr>
      </w:pPr>
      <w:r w:rsidRPr="0041573D">
        <w:rPr>
          <w:sz w:val="24"/>
        </w:rPr>
        <w:t xml:space="preserve">Development </w:t>
      </w:r>
      <w:r w:rsidR="005F5E43">
        <w:rPr>
          <w:sz w:val="24"/>
        </w:rPr>
        <w:t>and</w:t>
      </w:r>
      <w:r w:rsidRPr="0041573D">
        <w:rPr>
          <w:sz w:val="24"/>
        </w:rPr>
        <w:t xml:space="preserve"> user experience</w:t>
      </w:r>
    </w:p>
    <w:p w14:paraId="4056C40F" w14:textId="77777777" w:rsidR="00BE6077" w:rsidRPr="0041573D" w:rsidRDefault="00BE6077" w:rsidP="0041573D">
      <w:pPr>
        <w:pStyle w:val="Heading3"/>
        <w:spacing w:after="120"/>
        <w:ind w:left="1797" w:hanging="1077"/>
        <w:rPr>
          <w:sz w:val="24"/>
        </w:rPr>
      </w:pPr>
      <w:r w:rsidRPr="0041573D">
        <w:rPr>
          <w:sz w:val="24"/>
        </w:rPr>
        <w:t>Cost recovery</w:t>
      </w:r>
    </w:p>
    <w:p w14:paraId="7CC1BA2E" w14:textId="5062E64E" w:rsidR="00BE6077" w:rsidRPr="00BE6077" w:rsidRDefault="00BE6077" w:rsidP="00BE6077">
      <w:pPr>
        <w:pStyle w:val="Heading2"/>
        <w:rPr>
          <w:sz w:val="24"/>
          <w:szCs w:val="24"/>
        </w:rPr>
      </w:pPr>
      <w:r w:rsidRPr="00BE6077">
        <w:rPr>
          <w:sz w:val="24"/>
          <w:szCs w:val="24"/>
        </w:rPr>
        <w:t xml:space="preserve">The supplier will deliver the following </w:t>
      </w:r>
      <w:r w:rsidR="005F5E43">
        <w:rPr>
          <w:sz w:val="24"/>
          <w:szCs w:val="24"/>
        </w:rPr>
        <w:t xml:space="preserve">required </w:t>
      </w:r>
      <w:r w:rsidRPr="00BE6077">
        <w:rPr>
          <w:sz w:val="24"/>
          <w:szCs w:val="24"/>
        </w:rPr>
        <w:t>outcomes</w:t>
      </w:r>
      <w:r w:rsidR="005F5E43">
        <w:rPr>
          <w:sz w:val="24"/>
          <w:szCs w:val="24"/>
        </w:rPr>
        <w:t xml:space="preserve"> (more detail is given in Section 6, The Requirement)</w:t>
      </w:r>
      <w:r w:rsidRPr="00BE6077">
        <w:rPr>
          <w:sz w:val="24"/>
          <w:szCs w:val="24"/>
        </w:rPr>
        <w:t>:</w:t>
      </w:r>
    </w:p>
    <w:p w14:paraId="032DE1E4" w14:textId="0F7BA816" w:rsidR="00BE6077" w:rsidRPr="0041573D" w:rsidRDefault="00042EAB" w:rsidP="0041573D">
      <w:pPr>
        <w:pStyle w:val="Heading3"/>
        <w:spacing w:after="120"/>
        <w:ind w:hanging="1077"/>
        <w:rPr>
          <w:sz w:val="24"/>
        </w:rPr>
      </w:pPr>
      <w:r>
        <w:rPr>
          <w:sz w:val="24"/>
        </w:rPr>
        <w:t>Asset Owner</w:t>
      </w:r>
      <w:r w:rsidRPr="0041573D">
        <w:rPr>
          <w:sz w:val="24"/>
        </w:rPr>
        <w:t xml:space="preserve"> </w:t>
      </w:r>
      <w:r w:rsidR="00622940">
        <w:rPr>
          <w:sz w:val="24"/>
        </w:rPr>
        <w:t xml:space="preserve">Engagement </w:t>
      </w:r>
      <w:r w:rsidR="00BE6077" w:rsidRPr="0041573D">
        <w:rPr>
          <w:sz w:val="24"/>
        </w:rPr>
        <w:t xml:space="preserve">workstream: </w:t>
      </w:r>
    </w:p>
    <w:p w14:paraId="123F93F7" w14:textId="61BC34ED" w:rsidR="00BE6077" w:rsidRPr="0041573D" w:rsidRDefault="002D6750" w:rsidP="0041573D">
      <w:pPr>
        <w:pStyle w:val="Heading4"/>
        <w:spacing w:after="120"/>
        <w:ind w:hanging="1077"/>
        <w:rPr>
          <w:sz w:val="24"/>
        </w:rPr>
      </w:pPr>
      <w:r>
        <w:rPr>
          <w:sz w:val="24"/>
        </w:rPr>
        <w:t xml:space="preserve">All </w:t>
      </w:r>
      <w:r w:rsidR="000A0303">
        <w:rPr>
          <w:sz w:val="24"/>
        </w:rPr>
        <w:t>Asset O</w:t>
      </w:r>
      <w:r w:rsidR="00BE6077" w:rsidRPr="0041573D">
        <w:rPr>
          <w:sz w:val="24"/>
        </w:rPr>
        <w:t>wners are aware of NUAR, its benefits and what is expected of them.</w:t>
      </w:r>
    </w:p>
    <w:p w14:paraId="65890569" w14:textId="41FEF41A" w:rsidR="00F5764C" w:rsidRDefault="002D6750" w:rsidP="0041573D">
      <w:pPr>
        <w:pStyle w:val="Heading4"/>
        <w:spacing w:after="120"/>
        <w:ind w:hanging="1077"/>
        <w:rPr>
          <w:sz w:val="24"/>
        </w:rPr>
      </w:pPr>
      <w:r>
        <w:rPr>
          <w:sz w:val="24"/>
        </w:rPr>
        <w:t xml:space="preserve">All </w:t>
      </w:r>
      <w:r w:rsidR="000A0303">
        <w:rPr>
          <w:sz w:val="24"/>
        </w:rPr>
        <w:t>Asset O</w:t>
      </w:r>
      <w:r w:rsidR="00F5764C">
        <w:rPr>
          <w:sz w:val="24"/>
        </w:rPr>
        <w:t xml:space="preserve">wners </w:t>
      </w:r>
      <w:r w:rsidR="00BE6077" w:rsidRPr="0041573D">
        <w:rPr>
          <w:sz w:val="24"/>
        </w:rPr>
        <w:t xml:space="preserve">signed up to a </w:t>
      </w:r>
      <w:r w:rsidR="00BC034A">
        <w:rPr>
          <w:sz w:val="24"/>
        </w:rPr>
        <w:t>D</w:t>
      </w:r>
      <w:r w:rsidR="00BE6077" w:rsidRPr="0041573D">
        <w:rPr>
          <w:sz w:val="24"/>
        </w:rPr>
        <w:t xml:space="preserve">ata </w:t>
      </w:r>
      <w:r w:rsidR="00622940">
        <w:rPr>
          <w:sz w:val="24"/>
        </w:rPr>
        <w:t>Exploration</w:t>
      </w:r>
      <w:r w:rsidR="00622940" w:rsidRPr="0041573D">
        <w:rPr>
          <w:sz w:val="24"/>
        </w:rPr>
        <w:t xml:space="preserve"> </w:t>
      </w:r>
      <w:r w:rsidR="00BC034A">
        <w:rPr>
          <w:sz w:val="24"/>
        </w:rPr>
        <w:t>A</w:t>
      </w:r>
      <w:r w:rsidR="00BE6077" w:rsidRPr="0041573D">
        <w:rPr>
          <w:sz w:val="24"/>
        </w:rPr>
        <w:t>greement</w:t>
      </w:r>
      <w:r w:rsidR="00F5764C">
        <w:rPr>
          <w:sz w:val="24"/>
        </w:rPr>
        <w:t>,</w:t>
      </w:r>
      <w:r w:rsidR="00BE6077" w:rsidRPr="0041573D">
        <w:rPr>
          <w:sz w:val="24"/>
        </w:rPr>
        <w:t xml:space="preserve"> an</w:t>
      </w:r>
      <w:r w:rsidR="003B23FF">
        <w:rPr>
          <w:sz w:val="24"/>
        </w:rPr>
        <w:t xml:space="preserve">d </w:t>
      </w:r>
      <w:r w:rsidR="00F5764C">
        <w:rPr>
          <w:sz w:val="24"/>
        </w:rPr>
        <w:t>they are ready to share their data for discovery purposes.</w:t>
      </w:r>
    </w:p>
    <w:p w14:paraId="2C1C1DB0" w14:textId="7674C2D5" w:rsidR="00BE6077" w:rsidRDefault="002D6750" w:rsidP="0041573D">
      <w:pPr>
        <w:pStyle w:val="Heading4"/>
        <w:spacing w:after="120"/>
        <w:ind w:hanging="1077"/>
        <w:rPr>
          <w:sz w:val="24"/>
        </w:rPr>
      </w:pPr>
      <w:r>
        <w:rPr>
          <w:sz w:val="24"/>
        </w:rPr>
        <w:lastRenderedPageBreak/>
        <w:t xml:space="preserve">All </w:t>
      </w:r>
      <w:r w:rsidR="00F5764C">
        <w:rPr>
          <w:sz w:val="24"/>
        </w:rPr>
        <w:t xml:space="preserve">Asset Owners are informed about the legal framework that is required for the NUAR and </w:t>
      </w:r>
      <w:r w:rsidR="002D1E1B">
        <w:rPr>
          <w:sz w:val="24"/>
        </w:rPr>
        <w:t>all Asset Owners</w:t>
      </w:r>
      <w:r w:rsidR="00F5764C">
        <w:rPr>
          <w:sz w:val="24"/>
        </w:rPr>
        <w:t xml:space="preserve"> are prepared to hold legal discussions with the Customer</w:t>
      </w:r>
      <w:r w:rsidR="002D1E1B">
        <w:rPr>
          <w:sz w:val="24"/>
        </w:rPr>
        <w:t>.</w:t>
      </w:r>
      <w:r w:rsidR="00BE6077" w:rsidRPr="0041573D">
        <w:rPr>
          <w:sz w:val="24"/>
        </w:rPr>
        <w:t xml:space="preserve"> </w:t>
      </w:r>
    </w:p>
    <w:p w14:paraId="12477A45" w14:textId="0058B04C" w:rsidR="00F5764C" w:rsidRPr="0041573D" w:rsidRDefault="00CF4835" w:rsidP="0041573D">
      <w:pPr>
        <w:pStyle w:val="Heading4"/>
        <w:spacing w:after="120"/>
        <w:ind w:hanging="1077"/>
        <w:rPr>
          <w:sz w:val="24"/>
        </w:rPr>
      </w:pPr>
      <w:r>
        <w:rPr>
          <w:sz w:val="24"/>
        </w:rPr>
        <w:t xml:space="preserve">All </w:t>
      </w:r>
      <w:r w:rsidR="00F5764C">
        <w:rPr>
          <w:sz w:val="24"/>
        </w:rPr>
        <w:t xml:space="preserve">Asset Owners have </w:t>
      </w:r>
      <w:r>
        <w:rPr>
          <w:sz w:val="24"/>
        </w:rPr>
        <w:t>access to an information hub that contains all relevant information regarding the delivery of NUAR.</w:t>
      </w:r>
    </w:p>
    <w:p w14:paraId="12AE95A3" w14:textId="0E5B7780" w:rsidR="00BE6077" w:rsidRPr="0041573D" w:rsidRDefault="003B23FF" w:rsidP="0041573D">
      <w:pPr>
        <w:pStyle w:val="Heading3"/>
        <w:spacing w:after="120"/>
        <w:ind w:hanging="1077"/>
        <w:rPr>
          <w:sz w:val="24"/>
        </w:rPr>
      </w:pPr>
      <w:r>
        <w:rPr>
          <w:sz w:val="24"/>
        </w:rPr>
        <w:t>Data transformation and</w:t>
      </w:r>
      <w:r w:rsidR="00BE6077" w:rsidRPr="0041573D">
        <w:rPr>
          <w:sz w:val="24"/>
        </w:rPr>
        <w:t xml:space="preserve"> ingestion workstream:</w:t>
      </w:r>
    </w:p>
    <w:p w14:paraId="4EAF4A02" w14:textId="419E01D0" w:rsidR="00BE6077" w:rsidRPr="0041573D" w:rsidRDefault="000A0303" w:rsidP="0041573D">
      <w:pPr>
        <w:pStyle w:val="Heading4"/>
        <w:spacing w:after="120"/>
        <w:ind w:hanging="1077"/>
        <w:rPr>
          <w:sz w:val="24"/>
        </w:rPr>
      </w:pPr>
      <w:r>
        <w:rPr>
          <w:sz w:val="24"/>
        </w:rPr>
        <w:t>Asset O</w:t>
      </w:r>
      <w:r w:rsidR="00BE6077" w:rsidRPr="0041573D">
        <w:rPr>
          <w:sz w:val="24"/>
        </w:rPr>
        <w:t xml:space="preserve">wners are making their data available for discovery </w:t>
      </w:r>
      <w:r w:rsidR="00824925">
        <w:rPr>
          <w:sz w:val="24"/>
        </w:rPr>
        <w:t xml:space="preserve">and exploration </w:t>
      </w:r>
      <w:r w:rsidR="00BE6077" w:rsidRPr="0041573D">
        <w:rPr>
          <w:sz w:val="24"/>
        </w:rPr>
        <w:t>purposes.</w:t>
      </w:r>
    </w:p>
    <w:p w14:paraId="35B7069E" w14:textId="6382B1B2" w:rsidR="00BE6077" w:rsidRPr="0041573D" w:rsidRDefault="000A0303" w:rsidP="0041573D">
      <w:pPr>
        <w:pStyle w:val="Heading4"/>
        <w:spacing w:after="120"/>
        <w:ind w:hanging="1077"/>
        <w:rPr>
          <w:sz w:val="24"/>
        </w:rPr>
      </w:pPr>
      <w:r>
        <w:rPr>
          <w:sz w:val="24"/>
        </w:rPr>
        <w:t>Asset O</w:t>
      </w:r>
      <w:r w:rsidR="00BE6077" w:rsidRPr="0041573D">
        <w:rPr>
          <w:sz w:val="24"/>
        </w:rPr>
        <w:t>wners have agreed to provide regular refreshes of their data</w:t>
      </w:r>
      <w:r w:rsidR="00350C18">
        <w:rPr>
          <w:sz w:val="24"/>
        </w:rPr>
        <w:t>,</w:t>
      </w:r>
      <w:r w:rsidR="00BE6077" w:rsidRPr="0041573D">
        <w:rPr>
          <w:sz w:val="24"/>
        </w:rPr>
        <w:t xml:space="preserve"> in accordance with </w:t>
      </w:r>
      <w:r w:rsidR="00DE7542">
        <w:rPr>
          <w:sz w:val="24"/>
        </w:rPr>
        <w:t xml:space="preserve">the </w:t>
      </w:r>
      <w:r w:rsidR="001C50FD">
        <w:rPr>
          <w:sz w:val="24"/>
        </w:rPr>
        <w:t xml:space="preserve">minimum </w:t>
      </w:r>
      <w:r w:rsidR="00DE7542">
        <w:rPr>
          <w:sz w:val="24"/>
        </w:rPr>
        <w:t xml:space="preserve">terms </w:t>
      </w:r>
      <w:r w:rsidR="001C50FD">
        <w:rPr>
          <w:sz w:val="24"/>
        </w:rPr>
        <w:t xml:space="preserve">defined in </w:t>
      </w:r>
      <w:r w:rsidR="00DE7542">
        <w:rPr>
          <w:sz w:val="24"/>
        </w:rPr>
        <w:t>the D</w:t>
      </w:r>
      <w:r w:rsidR="00CF4835">
        <w:rPr>
          <w:sz w:val="24"/>
        </w:rPr>
        <w:t xml:space="preserve">ata </w:t>
      </w:r>
      <w:r w:rsidR="00DE7542">
        <w:rPr>
          <w:sz w:val="24"/>
        </w:rPr>
        <w:t>D</w:t>
      </w:r>
      <w:r w:rsidR="00CF4835">
        <w:rPr>
          <w:sz w:val="24"/>
        </w:rPr>
        <w:t xml:space="preserve">istribution </w:t>
      </w:r>
      <w:r w:rsidR="00DE7542">
        <w:rPr>
          <w:sz w:val="24"/>
        </w:rPr>
        <w:t>A</w:t>
      </w:r>
      <w:r w:rsidR="00CF4835">
        <w:rPr>
          <w:sz w:val="24"/>
        </w:rPr>
        <w:t>greements</w:t>
      </w:r>
      <w:r w:rsidR="00DE7542">
        <w:rPr>
          <w:sz w:val="24"/>
        </w:rPr>
        <w:t xml:space="preserve"> </w:t>
      </w:r>
      <w:r w:rsidR="001C50FD">
        <w:rPr>
          <w:sz w:val="24"/>
        </w:rPr>
        <w:t xml:space="preserve">and the bespoke terms defined in </w:t>
      </w:r>
      <w:r w:rsidR="00BD645D">
        <w:rPr>
          <w:sz w:val="24"/>
        </w:rPr>
        <w:t xml:space="preserve">an </w:t>
      </w:r>
      <w:r w:rsidR="00BE6077" w:rsidRPr="0041573D">
        <w:rPr>
          <w:sz w:val="24"/>
        </w:rPr>
        <w:t xml:space="preserve">agreed </w:t>
      </w:r>
      <w:r w:rsidR="00D44B4F" w:rsidRPr="00DE7542">
        <w:rPr>
          <w:sz w:val="24"/>
        </w:rPr>
        <w:t xml:space="preserve">Data </w:t>
      </w:r>
      <w:r w:rsidR="001C50FD">
        <w:rPr>
          <w:sz w:val="24"/>
        </w:rPr>
        <w:t>Ingestion Specification</w:t>
      </w:r>
      <w:r w:rsidR="00BE6077" w:rsidRPr="00DE7542">
        <w:rPr>
          <w:sz w:val="24"/>
        </w:rPr>
        <w:t>.</w:t>
      </w:r>
    </w:p>
    <w:p w14:paraId="4985B7B6" w14:textId="2712C090" w:rsidR="00BE6077" w:rsidRPr="0041573D" w:rsidRDefault="00BE6077" w:rsidP="0041573D">
      <w:pPr>
        <w:pStyle w:val="Heading4"/>
        <w:spacing w:after="120"/>
        <w:ind w:hanging="1077"/>
        <w:rPr>
          <w:sz w:val="24"/>
        </w:rPr>
      </w:pPr>
      <w:r w:rsidRPr="0041573D">
        <w:rPr>
          <w:sz w:val="24"/>
        </w:rPr>
        <w:t>A</w:t>
      </w:r>
      <w:r w:rsidR="000A0303">
        <w:rPr>
          <w:sz w:val="24"/>
        </w:rPr>
        <w:t>fter initial assistance</w:t>
      </w:r>
      <w:r w:rsidR="00B83D3B">
        <w:rPr>
          <w:sz w:val="24"/>
        </w:rPr>
        <w:t xml:space="preserve"> by the Supplier</w:t>
      </w:r>
      <w:r w:rsidR="00824925">
        <w:rPr>
          <w:sz w:val="24"/>
        </w:rPr>
        <w:t xml:space="preserve"> to define data mappings</w:t>
      </w:r>
      <w:r w:rsidR="000A0303">
        <w:rPr>
          <w:sz w:val="24"/>
        </w:rPr>
        <w:t xml:space="preserve">, </w:t>
      </w:r>
      <w:r w:rsidR="00824925">
        <w:rPr>
          <w:sz w:val="24"/>
        </w:rPr>
        <w:t>A</w:t>
      </w:r>
      <w:r w:rsidR="000A0303">
        <w:rPr>
          <w:sz w:val="24"/>
        </w:rPr>
        <w:t>sset O</w:t>
      </w:r>
      <w:r w:rsidRPr="0041573D">
        <w:rPr>
          <w:sz w:val="24"/>
        </w:rPr>
        <w:t>wners</w:t>
      </w:r>
      <w:r w:rsidR="00824925">
        <w:rPr>
          <w:sz w:val="24"/>
        </w:rPr>
        <w:t xml:space="preserve"> continue to provide data via the default </w:t>
      </w:r>
      <w:r w:rsidR="00CE620E">
        <w:rPr>
          <w:sz w:val="24"/>
        </w:rPr>
        <w:t xml:space="preserve">Data </w:t>
      </w:r>
      <w:r w:rsidR="00824925">
        <w:rPr>
          <w:sz w:val="24"/>
        </w:rPr>
        <w:t>T</w:t>
      </w:r>
      <w:r w:rsidR="00CE620E">
        <w:rPr>
          <w:sz w:val="24"/>
        </w:rPr>
        <w:t>ransformation P</w:t>
      </w:r>
      <w:r w:rsidR="00824925">
        <w:rPr>
          <w:sz w:val="24"/>
        </w:rPr>
        <w:t xml:space="preserve">latform or have the option to </w:t>
      </w:r>
      <w:r w:rsidRPr="0041573D">
        <w:rPr>
          <w:sz w:val="24"/>
        </w:rPr>
        <w:t xml:space="preserve">transform their own data </w:t>
      </w:r>
      <w:r w:rsidR="00350C18">
        <w:rPr>
          <w:sz w:val="24"/>
        </w:rPr>
        <w:t xml:space="preserve">by </w:t>
      </w:r>
      <w:r w:rsidRPr="0041573D">
        <w:rPr>
          <w:sz w:val="24"/>
        </w:rPr>
        <w:t xml:space="preserve">using </w:t>
      </w:r>
      <w:r w:rsidR="00824925">
        <w:rPr>
          <w:sz w:val="24"/>
        </w:rPr>
        <w:t xml:space="preserve">in-house capability or </w:t>
      </w:r>
      <w:r w:rsidRPr="0041573D">
        <w:rPr>
          <w:sz w:val="24"/>
        </w:rPr>
        <w:t xml:space="preserve">a third party supplier. </w:t>
      </w:r>
    </w:p>
    <w:p w14:paraId="29E59291" w14:textId="4A45A233" w:rsidR="00BE6077" w:rsidRPr="0041573D" w:rsidRDefault="000A0303" w:rsidP="0041573D">
      <w:pPr>
        <w:pStyle w:val="Heading4"/>
        <w:spacing w:after="120"/>
        <w:ind w:hanging="1077"/>
        <w:rPr>
          <w:sz w:val="24"/>
        </w:rPr>
      </w:pPr>
      <w:r>
        <w:rPr>
          <w:sz w:val="24"/>
        </w:rPr>
        <w:t>Asset O</w:t>
      </w:r>
      <w:r w:rsidR="00BE6077" w:rsidRPr="0041573D">
        <w:rPr>
          <w:sz w:val="24"/>
        </w:rPr>
        <w:t xml:space="preserve">wners are receiving </w:t>
      </w:r>
      <w:r w:rsidR="00B27D70">
        <w:rPr>
          <w:sz w:val="24"/>
        </w:rPr>
        <w:t xml:space="preserve">automated </w:t>
      </w:r>
      <w:r w:rsidR="00BE6077" w:rsidRPr="0041573D">
        <w:rPr>
          <w:sz w:val="24"/>
        </w:rPr>
        <w:t xml:space="preserve">feedback </w:t>
      </w:r>
      <w:r w:rsidR="00B27D70">
        <w:rPr>
          <w:sz w:val="24"/>
        </w:rPr>
        <w:t xml:space="preserve">on compliance and conformance of data provided </w:t>
      </w:r>
      <w:r w:rsidR="00BE6077" w:rsidRPr="0041573D">
        <w:rPr>
          <w:sz w:val="24"/>
        </w:rPr>
        <w:t xml:space="preserve">through the transformation processes and </w:t>
      </w:r>
      <w:r w:rsidR="00E975B6">
        <w:rPr>
          <w:sz w:val="24"/>
        </w:rPr>
        <w:t>are able to use</w:t>
      </w:r>
      <w:r w:rsidR="00BE6077" w:rsidRPr="0041573D">
        <w:rPr>
          <w:sz w:val="24"/>
        </w:rPr>
        <w:t xml:space="preserve"> this feedback to improve their data. </w:t>
      </w:r>
    </w:p>
    <w:p w14:paraId="657EC47B" w14:textId="59EFA9D8" w:rsidR="00BE6077" w:rsidRPr="0041573D" w:rsidRDefault="00BE6077" w:rsidP="0041573D">
      <w:pPr>
        <w:pStyle w:val="Heading4"/>
        <w:spacing w:after="120"/>
        <w:ind w:hanging="1077"/>
        <w:rPr>
          <w:sz w:val="24"/>
        </w:rPr>
      </w:pPr>
      <w:r w:rsidRPr="0041573D">
        <w:rPr>
          <w:sz w:val="24"/>
        </w:rPr>
        <w:t>Transformation processes c</w:t>
      </w:r>
      <w:r w:rsidR="00C0691A">
        <w:rPr>
          <w:sz w:val="24"/>
        </w:rPr>
        <w:t>ontinue to align with the NUAR Data M</w:t>
      </w:r>
      <w:r w:rsidRPr="0041573D">
        <w:rPr>
          <w:sz w:val="24"/>
        </w:rPr>
        <w:t xml:space="preserve">odel, as governed by the GC’s </w:t>
      </w:r>
      <w:r w:rsidR="00C0691A">
        <w:rPr>
          <w:sz w:val="24"/>
        </w:rPr>
        <w:t>Data M</w:t>
      </w:r>
      <w:r w:rsidRPr="0041573D">
        <w:rPr>
          <w:sz w:val="24"/>
        </w:rPr>
        <w:t xml:space="preserve">odel governance group and in accordance with OGC’s Model for Underground Data Definition and Integration. </w:t>
      </w:r>
    </w:p>
    <w:p w14:paraId="20E22A64" w14:textId="48FD7047" w:rsidR="00BE6077" w:rsidRPr="0041573D" w:rsidRDefault="00B27D70" w:rsidP="0041573D">
      <w:pPr>
        <w:pStyle w:val="Heading3"/>
        <w:spacing w:after="120"/>
        <w:ind w:hanging="1077"/>
        <w:rPr>
          <w:sz w:val="24"/>
        </w:rPr>
      </w:pPr>
      <w:r>
        <w:rPr>
          <w:sz w:val="24"/>
        </w:rPr>
        <w:t>D</w:t>
      </w:r>
      <w:r w:rsidR="00BE6077" w:rsidRPr="0041573D">
        <w:rPr>
          <w:sz w:val="24"/>
        </w:rPr>
        <w:t xml:space="preserve">evelopment </w:t>
      </w:r>
      <w:r>
        <w:rPr>
          <w:sz w:val="24"/>
        </w:rPr>
        <w:t>and</w:t>
      </w:r>
      <w:r w:rsidR="00BE6077" w:rsidRPr="0041573D">
        <w:rPr>
          <w:sz w:val="24"/>
        </w:rPr>
        <w:t xml:space="preserve"> user experience workstream:</w:t>
      </w:r>
    </w:p>
    <w:p w14:paraId="1F81104D" w14:textId="27912487" w:rsidR="00BE6077" w:rsidRPr="0041573D" w:rsidRDefault="00BE6077" w:rsidP="0041573D">
      <w:pPr>
        <w:pStyle w:val="Heading4"/>
        <w:spacing w:after="120"/>
        <w:ind w:hanging="1077"/>
        <w:rPr>
          <w:sz w:val="24"/>
        </w:rPr>
      </w:pPr>
      <w:r w:rsidRPr="0041573D">
        <w:rPr>
          <w:sz w:val="24"/>
        </w:rPr>
        <w:t xml:space="preserve">A </w:t>
      </w:r>
      <w:r w:rsidR="00824925">
        <w:rPr>
          <w:sz w:val="24"/>
        </w:rPr>
        <w:t xml:space="preserve">secure, </w:t>
      </w:r>
      <w:r w:rsidR="00213AC2">
        <w:rPr>
          <w:sz w:val="24"/>
        </w:rPr>
        <w:t>robust access-controlled data-</w:t>
      </w:r>
      <w:r w:rsidRPr="0041573D">
        <w:rPr>
          <w:sz w:val="24"/>
        </w:rPr>
        <w:t>sharing platform is in place</w:t>
      </w:r>
      <w:r w:rsidR="00213AC2">
        <w:rPr>
          <w:sz w:val="24"/>
        </w:rPr>
        <w:t>,</w:t>
      </w:r>
      <w:r w:rsidRPr="0041573D">
        <w:rPr>
          <w:sz w:val="24"/>
        </w:rPr>
        <w:t xml:space="preserve"> which, for the purposes of safe digging, excavation planning and</w:t>
      </w:r>
      <w:r w:rsidR="00213AC2">
        <w:rPr>
          <w:sz w:val="24"/>
        </w:rPr>
        <w:t xml:space="preserve"> on-site orientation, allows End U</w:t>
      </w:r>
      <w:r w:rsidRPr="0041573D">
        <w:rPr>
          <w:sz w:val="24"/>
        </w:rPr>
        <w:t>sers to view the location of undergro</w:t>
      </w:r>
      <w:r w:rsidR="009724C0">
        <w:rPr>
          <w:sz w:val="24"/>
        </w:rPr>
        <w:t xml:space="preserve">und assets against a base map </w:t>
      </w:r>
      <w:r w:rsidR="009724C0">
        <w:rPr>
          <w:rStyle w:val="FootnoteReference"/>
        </w:rPr>
        <w:footnoteReference w:id="7"/>
      </w:r>
      <w:r w:rsidRPr="0041573D">
        <w:rPr>
          <w:sz w:val="24"/>
        </w:rPr>
        <w:t xml:space="preserve">showing roads and buildings as well as other </w:t>
      </w:r>
      <w:r w:rsidR="00824925">
        <w:rPr>
          <w:sz w:val="24"/>
        </w:rPr>
        <w:t>information</w:t>
      </w:r>
      <w:r w:rsidRPr="0041573D">
        <w:rPr>
          <w:sz w:val="24"/>
        </w:rPr>
        <w:t xml:space="preserve"> such as cross sections &amp; supplemental</w:t>
      </w:r>
      <w:r w:rsidR="00824925">
        <w:rPr>
          <w:sz w:val="24"/>
        </w:rPr>
        <w:t xml:space="preserve"> drawings</w:t>
      </w:r>
      <w:r w:rsidRPr="0041573D">
        <w:rPr>
          <w:sz w:val="24"/>
        </w:rPr>
        <w:t>.</w:t>
      </w:r>
    </w:p>
    <w:p w14:paraId="355B28E0" w14:textId="3EFBC408" w:rsidR="00BE6077" w:rsidRPr="0041573D" w:rsidRDefault="00BE6077" w:rsidP="0041573D">
      <w:pPr>
        <w:pStyle w:val="Heading4"/>
        <w:spacing w:after="120"/>
        <w:ind w:hanging="1077"/>
        <w:rPr>
          <w:sz w:val="24"/>
        </w:rPr>
      </w:pPr>
      <w:r w:rsidRPr="0041573D">
        <w:rPr>
          <w:sz w:val="24"/>
        </w:rPr>
        <w:t>The platform includes an ‘observation’ feature</w:t>
      </w:r>
      <w:r w:rsidR="00082C1B">
        <w:rPr>
          <w:sz w:val="24"/>
        </w:rPr>
        <w:t>,</w:t>
      </w:r>
      <w:r w:rsidRPr="0041573D">
        <w:rPr>
          <w:sz w:val="24"/>
        </w:rPr>
        <w:t xml:space="preserve"> which allows excavators to report inaccuracies in data back to the </w:t>
      </w:r>
      <w:r w:rsidR="00D6457D">
        <w:rPr>
          <w:sz w:val="24"/>
        </w:rPr>
        <w:t>Asset</w:t>
      </w:r>
      <w:r w:rsidRPr="0041573D">
        <w:rPr>
          <w:sz w:val="24"/>
        </w:rPr>
        <w:t xml:space="preserve"> </w:t>
      </w:r>
      <w:r w:rsidR="00D6457D">
        <w:rPr>
          <w:sz w:val="24"/>
        </w:rPr>
        <w:t>O</w:t>
      </w:r>
      <w:r w:rsidRPr="0041573D">
        <w:rPr>
          <w:sz w:val="24"/>
        </w:rPr>
        <w:t xml:space="preserve">wner or to report unidentified buried objects.  </w:t>
      </w:r>
    </w:p>
    <w:p w14:paraId="053BD71F" w14:textId="36D4AD55" w:rsidR="00BE6077" w:rsidRPr="0041573D" w:rsidRDefault="00BE6077" w:rsidP="0041573D">
      <w:pPr>
        <w:pStyle w:val="Heading4"/>
        <w:spacing w:after="120"/>
        <w:ind w:hanging="1077"/>
        <w:rPr>
          <w:sz w:val="24"/>
        </w:rPr>
      </w:pPr>
      <w:r w:rsidRPr="0041573D">
        <w:rPr>
          <w:sz w:val="24"/>
        </w:rPr>
        <w:t xml:space="preserve">The platform </w:t>
      </w:r>
      <w:r w:rsidR="00D6457D">
        <w:rPr>
          <w:sz w:val="24"/>
        </w:rPr>
        <w:t>is</w:t>
      </w:r>
      <w:r w:rsidR="00824925">
        <w:rPr>
          <w:sz w:val="24"/>
        </w:rPr>
        <w:t xml:space="preserve"> built on principles of</w:t>
      </w:r>
      <w:r w:rsidRPr="0041573D">
        <w:rPr>
          <w:sz w:val="24"/>
        </w:rPr>
        <w:t xml:space="preserve"> extensib</w:t>
      </w:r>
      <w:r w:rsidR="00824925">
        <w:rPr>
          <w:sz w:val="24"/>
        </w:rPr>
        <w:t>ility</w:t>
      </w:r>
      <w:r w:rsidR="00B27D70">
        <w:rPr>
          <w:sz w:val="24"/>
        </w:rPr>
        <w:t>,</w:t>
      </w:r>
      <w:r w:rsidRPr="0041573D">
        <w:rPr>
          <w:sz w:val="24"/>
        </w:rPr>
        <w:t xml:space="preserve"> interoperab</w:t>
      </w:r>
      <w:r w:rsidR="00824925">
        <w:rPr>
          <w:sz w:val="24"/>
        </w:rPr>
        <w:t>ility</w:t>
      </w:r>
      <w:r w:rsidR="00B27D70">
        <w:rPr>
          <w:sz w:val="24"/>
        </w:rPr>
        <w:t xml:space="preserve"> and </w:t>
      </w:r>
      <w:r w:rsidR="00AA6BEC">
        <w:rPr>
          <w:sz w:val="24"/>
        </w:rPr>
        <w:t>scalab</w:t>
      </w:r>
      <w:r w:rsidR="00824925">
        <w:rPr>
          <w:sz w:val="24"/>
        </w:rPr>
        <w:t>ility</w:t>
      </w:r>
      <w:r w:rsidRPr="0041573D">
        <w:rPr>
          <w:sz w:val="24"/>
        </w:rPr>
        <w:t xml:space="preserve">, keeping the door open for </w:t>
      </w:r>
      <w:r w:rsidRPr="0041573D">
        <w:rPr>
          <w:sz w:val="24"/>
        </w:rPr>
        <w:lastRenderedPageBreak/>
        <w:t xml:space="preserve">future use cases to be adopted as well as for the platform to link with other systems and interfaces. </w:t>
      </w:r>
    </w:p>
    <w:p w14:paraId="63B86726" w14:textId="6C93166F" w:rsidR="00BE6077" w:rsidRPr="0041573D" w:rsidRDefault="00BE6077" w:rsidP="0041573D">
      <w:pPr>
        <w:pStyle w:val="Heading4"/>
        <w:spacing w:after="120"/>
        <w:ind w:hanging="1077"/>
        <w:rPr>
          <w:sz w:val="24"/>
        </w:rPr>
      </w:pPr>
      <w:r w:rsidRPr="0041573D">
        <w:rPr>
          <w:sz w:val="24"/>
        </w:rPr>
        <w:t xml:space="preserve">Planners and excavators are accessing </w:t>
      </w:r>
      <w:r w:rsidR="008F7550">
        <w:rPr>
          <w:sz w:val="24"/>
        </w:rPr>
        <w:t>the</w:t>
      </w:r>
      <w:r w:rsidRPr="0041573D">
        <w:rPr>
          <w:sz w:val="24"/>
        </w:rPr>
        <w:t xml:space="preserve"> new platform to plan and carry out excavations. They find it easy to use, both in the field and in the back office. </w:t>
      </w:r>
    </w:p>
    <w:p w14:paraId="345A010F" w14:textId="688D5ACF" w:rsidR="00BE6077" w:rsidRPr="0041573D" w:rsidRDefault="00BE6077" w:rsidP="0041573D">
      <w:pPr>
        <w:pStyle w:val="Heading4"/>
        <w:spacing w:after="120"/>
        <w:ind w:hanging="1077"/>
        <w:rPr>
          <w:sz w:val="24"/>
        </w:rPr>
      </w:pPr>
      <w:r w:rsidRPr="0041573D">
        <w:rPr>
          <w:sz w:val="24"/>
        </w:rPr>
        <w:t xml:space="preserve">Excavators are using the ‘observation’ feature to report inaccuracies in the data, unidentified buried objects or other observations from the field. This is supported by a </w:t>
      </w:r>
      <w:r w:rsidR="00824925">
        <w:rPr>
          <w:sz w:val="24"/>
        </w:rPr>
        <w:t xml:space="preserve">data management </w:t>
      </w:r>
      <w:r w:rsidRPr="0041573D">
        <w:rPr>
          <w:sz w:val="24"/>
        </w:rPr>
        <w:t xml:space="preserve">workflow and </w:t>
      </w:r>
      <w:r w:rsidR="00824925">
        <w:rPr>
          <w:sz w:val="24"/>
        </w:rPr>
        <w:t xml:space="preserve">observations </w:t>
      </w:r>
      <w:r w:rsidRPr="0041573D">
        <w:rPr>
          <w:sz w:val="24"/>
        </w:rPr>
        <w:t xml:space="preserve">appear </w:t>
      </w:r>
      <w:r w:rsidR="00824925">
        <w:rPr>
          <w:sz w:val="24"/>
        </w:rPr>
        <w:t>i</w:t>
      </w:r>
      <w:r w:rsidR="00824925" w:rsidRPr="0041573D">
        <w:rPr>
          <w:sz w:val="24"/>
        </w:rPr>
        <w:t xml:space="preserve">n </w:t>
      </w:r>
      <w:r w:rsidRPr="0041573D">
        <w:rPr>
          <w:sz w:val="24"/>
        </w:rPr>
        <w:t xml:space="preserve">the </w:t>
      </w:r>
      <w:r w:rsidR="00824925">
        <w:rPr>
          <w:sz w:val="24"/>
        </w:rPr>
        <w:t>map user interface</w:t>
      </w:r>
      <w:r w:rsidRPr="0041573D">
        <w:rPr>
          <w:sz w:val="24"/>
        </w:rPr>
        <w:t xml:space="preserve">. </w:t>
      </w:r>
    </w:p>
    <w:p w14:paraId="7BE777A2" w14:textId="1894D8F1" w:rsidR="00BE6077" w:rsidRPr="0041573D" w:rsidRDefault="000A0303" w:rsidP="0041573D">
      <w:pPr>
        <w:pStyle w:val="Heading4"/>
        <w:spacing w:after="120"/>
        <w:ind w:hanging="1077"/>
        <w:rPr>
          <w:sz w:val="24"/>
        </w:rPr>
      </w:pPr>
      <w:r>
        <w:rPr>
          <w:sz w:val="24"/>
        </w:rPr>
        <w:t>Asset O</w:t>
      </w:r>
      <w:r w:rsidR="00BE6077" w:rsidRPr="0041573D">
        <w:rPr>
          <w:sz w:val="24"/>
        </w:rPr>
        <w:t xml:space="preserve">wners can upload data as well as </w:t>
      </w:r>
      <w:r w:rsidR="00824925">
        <w:rPr>
          <w:sz w:val="24"/>
        </w:rPr>
        <w:t>expose</w:t>
      </w:r>
      <w:r w:rsidR="00824925" w:rsidRPr="0041573D">
        <w:rPr>
          <w:sz w:val="24"/>
        </w:rPr>
        <w:t xml:space="preserve"> </w:t>
      </w:r>
      <w:r w:rsidR="00BE6077" w:rsidRPr="0041573D">
        <w:rPr>
          <w:sz w:val="24"/>
        </w:rPr>
        <w:t xml:space="preserve">data </w:t>
      </w:r>
      <w:r w:rsidR="00824925">
        <w:rPr>
          <w:sz w:val="24"/>
        </w:rPr>
        <w:t>on demand</w:t>
      </w:r>
      <w:r w:rsidR="00BE6077" w:rsidRPr="0041573D">
        <w:rPr>
          <w:sz w:val="24"/>
        </w:rPr>
        <w:t xml:space="preserve"> via an API. </w:t>
      </w:r>
    </w:p>
    <w:p w14:paraId="79E58439" w14:textId="6C9455B3" w:rsidR="00BE6077" w:rsidRPr="0041573D" w:rsidRDefault="00BE6077" w:rsidP="0041573D">
      <w:pPr>
        <w:pStyle w:val="Heading4"/>
        <w:spacing w:after="120"/>
        <w:ind w:hanging="1077"/>
        <w:rPr>
          <w:sz w:val="24"/>
        </w:rPr>
      </w:pPr>
      <w:r w:rsidRPr="0041573D">
        <w:rPr>
          <w:sz w:val="24"/>
        </w:rPr>
        <w:t xml:space="preserve">Sufficient safeguards are in place to protect data related to sensitive assets or sites. For some sites, </w:t>
      </w:r>
      <w:r w:rsidR="000A0303">
        <w:rPr>
          <w:sz w:val="24"/>
        </w:rPr>
        <w:t>Asset O</w:t>
      </w:r>
      <w:r w:rsidRPr="0041573D">
        <w:rPr>
          <w:sz w:val="24"/>
        </w:rPr>
        <w:t>wners are able to request further information</w:t>
      </w:r>
      <w:r w:rsidR="00BD645D">
        <w:rPr>
          <w:sz w:val="24"/>
        </w:rPr>
        <w:t xml:space="preserve"> from End Users</w:t>
      </w:r>
      <w:r w:rsidRPr="0041573D">
        <w:rPr>
          <w:sz w:val="24"/>
        </w:rPr>
        <w:t xml:space="preserve"> prior to the data being exposed. </w:t>
      </w:r>
    </w:p>
    <w:p w14:paraId="750E8101" w14:textId="5D902B37" w:rsidR="00BE6077" w:rsidRPr="0041573D" w:rsidRDefault="000A0303" w:rsidP="0041573D">
      <w:pPr>
        <w:pStyle w:val="Heading4"/>
        <w:spacing w:after="120"/>
        <w:ind w:hanging="1077"/>
        <w:rPr>
          <w:sz w:val="24"/>
        </w:rPr>
      </w:pPr>
      <w:r>
        <w:rPr>
          <w:sz w:val="24"/>
        </w:rPr>
        <w:t>Asset O</w:t>
      </w:r>
      <w:r w:rsidR="00BE6077" w:rsidRPr="0041573D">
        <w:rPr>
          <w:sz w:val="24"/>
        </w:rPr>
        <w:t xml:space="preserve">wners, </w:t>
      </w:r>
      <w:r w:rsidR="008F1755">
        <w:rPr>
          <w:sz w:val="24"/>
        </w:rPr>
        <w:t>security advisers</w:t>
      </w:r>
      <w:r w:rsidR="00B27D70">
        <w:rPr>
          <w:sz w:val="24"/>
        </w:rPr>
        <w:t>, government departments and End U</w:t>
      </w:r>
      <w:r w:rsidR="00BE6077" w:rsidRPr="0041573D">
        <w:rPr>
          <w:sz w:val="24"/>
        </w:rPr>
        <w:t xml:space="preserve">sers have confidence </w:t>
      </w:r>
      <w:r w:rsidR="00BD645D">
        <w:rPr>
          <w:sz w:val="24"/>
        </w:rPr>
        <w:t xml:space="preserve">that </w:t>
      </w:r>
      <w:r w:rsidR="00BE6077" w:rsidRPr="0041573D">
        <w:rPr>
          <w:sz w:val="24"/>
        </w:rPr>
        <w:t xml:space="preserve">data is secure and is not being used or accessed except by authorised users for agreed purposes. </w:t>
      </w:r>
    </w:p>
    <w:p w14:paraId="3E75ABB3" w14:textId="784D2C96" w:rsidR="00BE6077" w:rsidRPr="0041573D" w:rsidRDefault="00BE6077" w:rsidP="0041573D">
      <w:pPr>
        <w:pStyle w:val="Heading4"/>
        <w:spacing w:after="120"/>
        <w:ind w:hanging="1077"/>
        <w:rPr>
          <w:sz w:val="24"/>
        </w:rPr>
      </w:pPr>
      <w:r w:rsidRPr="0041573D">
        <w:rPr>
          <w:sz w:val="24"/>
        </w:rPr>
        <w:t xml:space="preserve">The platform utilises open technologies; it utilises tools and technologies that avoid vendor lock-in. </w:t>
      </w:r>
    </w:p>
    <w:p w14:paraId="5B03F258" w14:textId="6BD4FF06" w:rsidR="00BE6077" w:rsidRPr="0041573D" w:rsidRDefault="00B27D70" w:rsidP="0041573D">
      <w:pPr>
        <w:pStyle w:val="Heading3"/>
        <w:spacing w:after="120"/>
        <w:ind w:hanging="1077"/>
        <w:rPr>
          <w:sz w:val="24"/>
        </w:rPr>
      </w:pPr>
      <w:r>
        <w:rPr>
          <w:sz w:val="24"/>
        </w:rPr>
        <w:t>C</w:t>
      </w:r>
      <w:r w:rsidR="00BE6077" w:rsidRPr="0041573D">
        <w:rPr>
          <w:sz w:val="24"/>
        </w:rPr>
        <w:t xml:space="preserve">ost recovery workstream: </w:t>
      </w:r>
    </w:p>
    <w:p w14:paraId="770EB146" w14:textId="28E125A6" w:rsidR="00071833" w:rsidRPr="00463F70" w:rsidRDefault="00BE6077" w:rsidP="00463F70">
      <w:pPr>
        <w:pStyle w:val="Heading4"/>
        <w:spacing w:after="120"/>
        <w:ind w:hanging="1077"/>
        <w:rPr>
          <w:sz w:val="24"/>
        </w:rPr>
      </w:pPr>
      <w:r w:rsidRPr="0041573D">
        <w:rPr>
          <w:sz w:val="24"/>
        </w:rPr>
        <w:t xml:space="preserve">The Customer is able to obtain audit and usage reports to carry out cost recovery activities. </w:t>
      </w:r>
    </w:p>
    <w:p w14:paraId="0D8BBC61" w14:textId="41027808" w:rsidR="00BE6077" w:rsidRPr="00BE6077" w:rsidRDefault="00BE6077" w:rsidP="00BE6077">
      <w:pPr>
        <w:pStyle w:val="Heading2"/>
        <w:rPr>
          <w:sz w:val="24"/>
          <w:szCs w:val="24"/>
        </w:rPr>
      </w:pPr>
      <w:r w:rsidRPr="00BE6077">
        <w:rPr>
          <w:sz w:val="24"/>
          <w:szCs w:val="24"/>
        </w:rPr>
        <w:t>A number of activities are necessary to deliver the required outcomes. The following is in scope of this requirement</w:t>
      </w:r>
      <w:r w:rsidR="00E975B6">
        <w:rPr>
          <w:sz w:val="24"/>
          <w:szCs w:val="24"/>
        </w:rPr>
        <w:t>, including but not limited to</w:t>
      </w:r>
      <w:r w:rsidRPr="00BE6077">
        <w:rPr>
          <w:sz w:val="24"/>
          <w:szCs w:val="24"/>
        </w:rPr>
        <w:t>:</w:t>
      </w:r>
    </w:p>
    <w:p w14:paraId="113AF1DA" w14:textId="5403DEAB" w:rsidR="00BE6077" w:rsidRPr="0041573D" w:rsidRDefault="00042EAB" w:rsidP="0041573D">
      <w:pPr>
        <w:pStyle w:val="Heading3"/>
        <w:spacing w:after="120"/>
        <w:ind w:hanging="1077"/>
        <w:rPr>
          <w:sz w:val="24"/>
        </w:rPr>
      </w:pPr>
      <w:r>
        <w:rPr>
          <w:sz w:val="24"/>
        </w:rPr>
        <w:t>Asset Owner Engagement</w:t>
      </w:r>
      <w:r w:rsidR="00BE6077" w:rsidRPr="0041573D">
        <w:rPr>
          <w:sz w:val="24"/>
        </w:rPr>
        <w:t xml:space="preserve"> </w:t>
      </w:r>
    </w:p>
    <w:p w14:paraId="1D5CF065" w14:textId="1A1C54DC" w:rsidR="00BE6077" w:rsidRPr="0041573D" w:rsidRDefault="00D819B7" w:rsidP="0041573D">
      <w:pPr>
        <w:pStyle w:val="Heading4"/>
        <w:spacing w:after="120"/>
        <w:ind w:hanging="1077"/>
        <w:rPr>
          <w:sz w:val="24"/>
        </w:rPr>
      </w:pPr>
      <w:r>
        <w:rPr>
          <w:sz w:val="24"/>
        </w:rPr>
        <w:t>Engagement</w:t>
      </w:r>
      <w:r w:rsidRPr="0041573D">
        <w:rPr>
          <w:sz w:val="24"/>
        </w:rPr>
        <w:t xml:space="preserve"> </w:t>
      </w:r>
      <w:r w:rsidR="00BE6077" w:rsidRPr="0041573D">
        <w:rPr>
          <w:sz w:val="24"/>
        </w:rPr>
        <w:t>planning and strategy</w:t>
      </w:r>
      <w:r w:rsidR="00CA5C5C">
        <w:rPr>
          <w:sz w:val="24"/>
        </w:rPr>
        <w:t>;</w:t>
      </w:r>
      <w:r w:rsidR="00BE6077" w:rsidRPr="0041573D">
        <w:rPr>
          <w:sz w:val="24"/>
        </w:rPr>
        <w:t xml:space="preserve"> </w:t>
      </w:r>
    </w:p>
    <w:p w14:paraId="117F0F03" w14:textId="193AC3FF" w:rsidR="00BE6077" w:rsidRPr="0041573D" w:rsidRDefault="000A0303" w:rsidP="0041573D">
      <w:pPr>
        <w:pStyle w:val="Heading4"/>
        <w:spacing w:after="120"/>
        <w:ind w:hanging="1077"/>
        <w:rPr>
          <w:sz w:val="24"/>
        </w:rPr>
      </w:pPr>
      <w:r>
        <w:rPr>
          <w:sz w:val="24"/>
        </w:rPr>
        <w:t>Asset O</w:t>
      </w:r>
      <w:r w:rsidR="00BE6077" w:rsidRPr="0041573D">
        <w:rPr>
          <w:sz w:val="24"/>
        </w:rPr>
        <w:t>wner engagement and support</w:t>
      </w:r>
      <w:r w:rsidR="00CA5C5C">
        <w:rPr>
          <w:sz w:val="24"/>
        </w:rPr>
        <w:t>;</w:t>
      </w:r>
    </w:p>
    <w:p w14:paraId="1FA7F2BC" w14:textId="47F5267C" w:rsidR="00BE6077" w:rsidRDefault="00BE6077" w:rsidP="0041573D">
      <w:pPr>
        <w:pStyle w:val="Heading4"/>
        <w:spacing w:after="120"/>
        <w:ind w:hanging="1077"/>
        <w:rPr>
          <w:sz w:val="24"/>
        </w:rPr>
      </w:pPr>
      <w:r w:rsidRPr="0041573D">
        <w:rPr>
          <w:sz w:val="24"/>
        </w:rPr>
        <w:t xml:space="preserve">Refinement and </w:t>
      </w:r>
      <w:r w:rsidR="009006C0">
        <w:rPr>
          <w:sz w:val="24"/>
        </w:rPr>
        <w:t>issuing</w:t>
      </w:r>
      <w:r w:rsidRPr="0041573D">
        <w:rPr>
          <w:sz w:val="24"/>
        </w:rPr>
        <w:t xml:space="preserve"> of </w:t>
      </w:r>
      <w:r w:rsidR="00D819B7">
        <w:rPr>
          <w:sz w:val="24"/>
        </w:rPr>
        <w:t>Data Exploration Agreement enabling data discovery and exploration</w:t>
      </w:r>
      <w:r w:rsidR="00CA5C5C">
        <w:rPr>
          <w:sz w:val="24"/>
        </w:rPr>
        <w:t>.</w:t>
      </w:r>
    </w:p>
    <w:p w14:paraId="2CE40CBE" w14:textId="78835ECC" w:rsidR="009B0374" w:rsidRPr="0041573D" w:rsidRDefault="009B0374" w:rsidP="0041573D">
      <w:pPr>
        <w:pStyle w:val="Heading4"/>
        <w:spacing w:after="120"/>
        <w:ind w:hanging="1077"/>
        <w:rPr>
          <w:sz w:val="24"/>
        </w:rPr>
      </w:pPr>
      <w:r>
        <w:rPr>
          <w:sz w:val="24"/>
        </w:rPr>
        <w:t>Provision of an information hub available to all Asset Owners</w:t>
      </w:r>
    </w:p>
    <w:p w14:paraId="7586EA58" w14:textId="000A64FA" w:rsidR="00BE6077" w:rsidRPr="0041573D" w:rsidRDefault="00BA4549" w:rsidP="0041573D">
      <w:pPr>
        <w:pStyle w:val="Heading3"/>
        <w:spacing w:after="120"/>
        <w:ind w:hanging="1077"/>
        <w:rPr>
          <w:sz w:val="24"/>
        </w:rPr>
      </w:pPr>
      <w:r>
        <w:rPr>
          <w:sz w:val="24"/>
        </w:rPr>
        <w:t>Data transformation and</w:t>
      </w:r>
      <w:r w:rsidR="00BE6077" w:rsidRPr="0041573D">
        <w:rPr>
          <w:sz w:val="24"/>
        </w:rPr>
        <w:t xml:space="preserve"> ingestion </w:t>
      </w:r>
    </w:p>
    <w:p w14:paraId="53D915C6" w14:textId="648A1FBB" w:rsidR="00BE6077" w:rsidRPr="0041573D" w:rsidRDefault="00BE6077" w:rsidP="0041573D">
      <w:pPr>
        <w:pStyle w:val="Heading4"/>
        <w:spacing w:after="120"/>
        <w:ind w:hanging="1077"/>
        <w:rPr>
          <w:sz w:val="24"/>
        </w:rPr>
      </w:pPr>
      <w:r w:rsidRPr="0041573D">
        <w:rPr>
          <w:sz w:val="24"/>
        </w:rPr>
        <w:t xml:space="preserve">Finalisation and maintenance of the </w:t>
      </w:r>
      <w:r w:rsidR="00AB1D74">
        <w:rPr>
          <w:sz w:val="24"/>
        </w:rPr>
        <w:t xml:space="preserve">core </w:t>
      </w:r>
      <w:r w:rsidRPr="0041573D">
        <w:rPr>
          <w:sz w:val="24"/>
        </w:rPr>
        <w:t>Data Specification in colla</w:t>
      </w:r>
      <w:r w:rsidR="000A0303">
        <w:rPr>
          <w:sz w:val="24"/>
        </w:rPr>
        <w:t>boration with the Customer and Asset O</w:t>
      </w:r>
      <w:r w:rsidRPr="0041573D">
        <w:rPr>
          <w:sz w:val="24"/>
        </w:rPr>
        <w:t>wners</w:t>
      </w:r>
      <w:r w:rsidR="00CA5C5C">
        <w:rPr>
          <w:sz w:val="24"/>
        </w:rPr>
        <w:t>;</w:t>
      </w:r>
    </w:p>
    <w:p w14:paraId="4A2524AC" w14:textId="723A2AE7" w:rsidR="00BE6077" w:rsidRPr="0041573D" w:rsidRDefault="00BE6077" w:rsidP="0041573D">
      <w:pPr>
        <w:pStyle w:val="Heading4"/>
        <w:spacing w:after="120"/>
        <w:ind w:hanging="1077"/>
        <w:rPr>
          <w:sz w:val="24"/>
        </w:rPr>
      </w:pPr>
      <w:r w:rsidRPr="0041573D">
        <w:rPr>
          <w:sz w:val="24"/>
        </w:rPr>
        <w:lastRenderedPageBreak/>
        <w:t>Data exploration, modelling</w:t>
      </w:r>
      <w:r w:rsidR="002F1432">
        <w:rPr>
          <w:sz w:val="24"/>
        </w:rPr>
        <w:t>, mapping</w:t>
      </w:r>
      <w:r w:rsidRPr="0041573D">
        <w:rPr>
          <w:sz w:val="24"/>
        </w:rPr>
        <w:t xml:space="preserve"> and </w:t>
      </w:r>
      <w:r w:rsidR="000A0303">
        <w:rPr>
          <w:sz w:val="24"/>
        </w:rPr>
        <w:t>feedback in collaboration with Asset O</w:t>
      </w:r>
      <w:r w:rsidRPr="0041573D">
        <w:rPr>
          <w:sz w:val="24"/>
        </w:rPr>
        <w:t>wners and industry groups</w:t>
      </w:r>
      <w:r w:rsidR="00CA5C5C">
        <w:rPr>
          <w:sz w:val="24"/>
        </w:rPr>
        <w:t>;</w:t>
      </w:r>
    </w:p>
    <w:p w14:paraId="0DFCA8DD" w14:textId="05AAF6AD" w:rsidR="00BE6077" w:rsidRPr="0041573D" w:rsidRDefault="00BE6077" w:rsidP="0041573D">
      <w:pPr>
        <w:pStyle w:val="Heading4"/>
        <w:spacing w:after="120"/>
        <w:ind w:hanging="1077"/>
        <w:rPr>
          <w:sz w:val="24"/>
        </w:rPr>
      </w:pPr>
      <w:r w:rsidRPr="0041573D">
        <w:rPr>
          <w:sz w:val="24"/>
        </w:rPr>
        <w:t>Development and testing of data transformation processes</w:t>
      </w:r>
      <w:r w:rsidR="00CA5C5C">
        <w:rPr>
          <w:sz w:val="24"/>
        </w:rPr>
        <w:t>;</w:t>
      </w:r>
    </w:p>
    <w:p w14:paraId="30E6D99D" w14:textId="6DF39FDA" w:rsidR="00BE6077" w:rsidRPr="0041573D" w:rsidRDefault="00BE6077" w:rsidP="0041573D">
      <w:pPr>
        <w:pStyle w:val="Heading4"/>
        <w:spacing w:after="120"/>
        <w:ind w:hanging="1077"/>
        <w:rPr>
          <w:sz w:val="24"/>
        </w:rPr>
      </w:pPr>
      <w:r w:rsidRPr="0041573D">
        <w:rPr>
          <w:sz w:val="24"/>
        </w:rPr>
        <w:t>Initial execution of data transformation</w:t>
      </w:r>
      <w:r w:rsidR="00CA5C5C">
        <w:rPr>
          <w:sz w:val="24"/>
        </w:rPr>
        <w:t>;</w:t>
      </w:r>
    </w:p>
    <w:p w14:paraId="23371FC6" w14:textId="6E83E880" w:rsidR="00BE6077" w:rsidRPr="0041573D" w:rsidRDefault="00BE6077" w:rsidP="0041573D">
      <w:pPr>
        <w:pStyle w:val="Heading4"/>
        <w:spacing w:after="120"/>
        <w:ind w:hanging="1077"/>
        <w:rPr>
          <w:sz w:val="24"/>
        </w:rPr>
      </w:pPr>
      <w:r w:rsidRPr="0041573D">
        <w:rPr>
          <w:sz w:val="24"/>
        </w:rPr>
        <w:t xml:space="preserve">Support to </w:t>
      </w:r>
      <w:r w:rsidR="000A0303">
        <w:rPr>
          <w:sz w:val="24"/>
        </w:rPr>
        <w:t>Asset O</w:t>
      </w:r>
      <w:r w:rsidRPr="0041573D">
        <w:rPr>
          <w:sz w:val="24"/>
        </w:rPr>
        <w:t>wner configuration of APIs</w:t>
      </w:r>
      <w:r w:rsidR="00CA5C5C">
        <w:rPr>
          <w:sz w:val="24"/>
        </w:rPr>
        <w:t>;</w:t>
      </w:r>
    </w:p>
    <w:p w14:paraId="3DF03401" w14:textId="05110307" w:rsidR="00BE6077" w:rsidRPr="0041573D" w:rsidRDefault="00BE6077" w:rsidP="0041573D">
      <w:pPr>
        <w:pStyle w:val="Heading4"/>
        <w:spacing w:after="120"/>
        <w:ind w:hanging="1077"/>
        <w:rPr>
          <w:sz w:val="24"/>
        </w:rPr>
      </w:pPr>
      <w:r w:rsidRPr="0041573D">
        <w:rPr>
          <w:sz w:val="24"/>
        </w:rPr>
        <w:t>Data transformation documentation</w:t>
      </w:r>
      <w:r w:rsidR="00AB1D74">
        <w:rPr>
          <w:sz w:val="24"/>
        </w:rPr>
        <w:t xml:space="preserve">, including full details for each </w:t>
      </w:r>
      <w:r w:rsidR="00116B4D">
        <w:rPr>
          <w:sz w:val="24"/>
        </w:rPr>
        <w:t>A</w:t>
      </w:r>
      <w:r w:rsidR="00AB1D74">
        <w:rPr>
          <w:sz w:val="24"/>
        </w:rPr>
        <w:t xml:space="preserve">sset </w:t>
      </w:r>
      <w:r w:rsidR="00116B4D">
        <w:rPr>
          <w:sz w:val="24"/>
        </w:rPr>
        <w:t>O</w:t>
      </w:r>
      <w:r w:rsidR="00AB1D74">
        <w:rPr>
          <w:sz w:val="24"/>
        </w:rPr>
        <w:t>wner of source d</w:t>
      </w:r>
      <w:r w:rsidR="00CA5C5C">
        <w:rPr>
          <w:sz w:val="24"/>
        </w:rPr>
        <w:t>ata and mappings to the target Data M</w:t>
      </w:r>
      <w:r w:rsidR="00AB1D74">
        <w:rPr>
          <w:sz w:val="24"/>
        </w:rPr>
        <w:t xml:space="preserve">odel, and agreed </w:t>
      </w:r>
      <w:r w:rsidR="00D44B4F">
        <w:rPr>
          <w:sz w:val="24"/>
        </w:rPr>
        <w:t xml:space="preserve">Data </w:t>
      </w:r>
      <w:r w:rsidR="00764019">
        <w:rPr>
          <w:sz w:val="24"/>
        </w:rPr>
        <w:t>Ingestion Specification</w:t>
      </w:r>
      <w:r w:rsidR="00AB1D74">
        <w:rPr>
          <w:sz w:val="24"/>
        </w:rPr>
        <w:t xml:space="preserve"> for repeat and sustainable data supply and transformation</w:t>
      </w:r>
      <w:r w:rsidR="00CA5C5C">
        <w:rPr>
          <w:sz w:val="24"/>
        </w:rPr>
        <w:t>.</w:t>
      </w:r>
      <w:r w:rsidRPr="0041573D">
        <w:rPr>
          <w:sz w:val="24"/>
        </w:rPr>
        <w:t xml:space="preserve"> </w:t>
      </w:r>
    </w:p>
    <w:p w14:paraId="1FBC3CB9" w14:textId="7C5F0DC8" w:rsidR="00BE6077" w:rsidRPr="0041573D" w:rsidRDefault="00BA4549" w:rsidP="0041573D">
      <w:pPr>
        <w:pStyle w:val="Heading3"/>
        <w:spacing w:after="120"/>
        <w:ind w:hanging="1077"/>
        <w:rPr>
          <w:sz w:val="24"/>
        </w:rPr>
      </w:pPr>
      <w:r>
        <w:rPr>
          <w:sz w:val="24"/>
        </w:rPr>
        <w:t>Development and</w:t>
      </w:r>
      <w:r w:rsidR="00BE6077" w:rsidRPr="0041573D">
        <w:rPr>
          <w:sz w:val="24"/>
        </w:rPr>
        <w:t xml:space="preserve"> user experience</w:t>
      </w:r>
    </w:p>
    <w:p w14:paraId="13723BFC" w14:textId="5A959C66" w:rsidR="00BE6077" w:rsidRPr="0041573D" w:rsidRDefault="00BE6077" w:rsidP="0041573D">
      <w:pPr>
        <w:pStyle w:val="Heading4"/>
        <w:spacing w:after="120"/>
        <w:ind w:hanging="1077"/>
        <w:rPr>
          <w:sz w:val="24"/>
        </w:rPr>
      </w:pPr>
      <w:r w:rsidRPr="0041573D">
        <w:rPr>
          <w:sz w:val="24"/>
        </w:rPr>
        <w:t>Solution architecture and hosting</w:t>
      </w:r>
      <w:r w:rsidR="00AA58FB">
        <w:rPr>
          <w:sz w:val="24"/>
        </w:rPr>
        <w:t>;</w:t>
      </w:r>
    </w:p>
    <w:p w14:paraId="2073DD8F" w14:textId="042DA50D" w:rsidR="00BE6077" w:rsidRPr="0041573D" w:rsidRDefault="00BE6077" w:rsidP="0041573D">
      <w:pPr>
        <w:pStyle w:val="Heading4"/>
        <w:spacing w:after="120"/>
        <w:ind w:hanging="1077"/>
        <w:rPr>
          <w:sz w:val="24"/>
        </w:rPr>
      </w:pPr>
      <w:r w:rsidRPr="0041573D">
        <w:rPr>
          <w:sz w:val="24"/>
        </w:rPr>
        <w:t>Solution build (cloud-based), including data repository, user interface and API integration</w:t>
      </w:r>
      <w:r w:rsidR="00AA58FB">
        <w:rPr>
          <w:sz w:val="24"/>
        </w:rPr>
        <w:t>;</w:t>
      </w:r>
      <w:r w:rsidRPr="0041573D">
        <w:rPr>
          <w:sz w:val="24"/>
        </w:rPr>
        <w:t xml:space="preserve"> </w:t>
      </w:r>
    </w:p>
    <w:p w14:paraId="18077478" w14:textId="29B93F7D" w:rsidR="00BE6077" w:rsidRPr="0041573D" w:rsidRDefault="00BE6077" w:rsidP="0041573D">
      <w:pPr>
        <w:pStyle w:val="Heading4"/>
        <w:spacing w:after="120"/>
        <w:ind w:hanging="1077"/>
        <w:rPr>
          <w:sz w:val="24"/>
        </w:rPr>
      </w:pPr>
      <w:r w:rsidRPr="0041573D">
        <w:rPr>
          <w:sz w:val="24"/>
        </w:rPr>
        <w:t>System rollout support and management, including training, project documentation and guidance</w:t>
      </w:r>
      <w:r w:rsidR="00AA58FB">
        <w:rPr>
          <w:sz w:val="24"/>
        </w:rPr>
        <w:t>;</w:t>
      </w:r>
      <w:r w:rsidRPr="0041573D">
        <w:rPr>
          <w:sz w:val="24"/>
        </w:rPr>
        <w:t xml:space="preserve"> </w:t>
      </w:r>
    </w:p>
    <w:p w14:paraId="6E6802CD" w14:textId="7B67822F" w:rsidR="00BE6077" w:rsidRPr="0041573D" w:rsidRDefault="00BE6077" w:rsidP="0041573D">
      <w:pPr>
        <w:pStyle w:val="Heading4"/>
        <w:spacing w:after="120"/>
        <w:ind w:hanging="1077"/>
        <w:rPr>
          <w:sz w:val="24"/>
        </w:rPr>
      </w:pPr>
      <w:r w:rsidRPr="0041573D">
        <w:rPr>
          <w:sz w:val="24"/>
        </w:rPr>
        <w:t>End user help desk</w:t>
      </w:r>
      <w:r w:rsidR="00AA58FB">
        <w:rPr>
          <w:sz w:val="24"/>
        </w:rPr>
        <w:t>.</w:t>
      </w:r>
    </w:p>
    <w:p w14:paraId="6E87A813" w14:textId="4C53C996" w:rsidR="00BE6077" w:rsidRPr="0041573D" w:rsidRDefault="00BE6077" w:rsidP="0041573D">
      <w:pPr>
        <w:pStyle w:val="Heading3"/>
        <w:spacing w:after="120"/>
        <w:ind w:hanging="1077"/>
        <w:rPr>
          <w:sz w:val="24"/>
        </w:rPr>
      </w:pPr>
      <w:r w:rsidRPr="0041573D">
        <w:rPr>
          <w:sz w:val="24"/>
        </w:rPr>
        <w:t xml:space="preserve">Cost recovery </w:t>
      </w:r>
    </w:p>
    <w:p w14:paraId="10154BD5" w14:textId="1B95517A" w:rsidR="00BE6077" w:rsidRPr="0041573D" w:rsidRDefault="00BE6077" w:rsidP="0041573D">
      <w:pPr>
        <w:pStyle w:val="Heading4"/>
        <w:spacing w:after="120"/>
        <w:ind w:hanging="1077"/>
        <w:rPr>
          <w:sz w:val="24"/>
        </w:rPr>
      </w:pPr>
      <w:r w:rsidRPr="0041573D">
        <w:rPr>
          <w:sz w:val="24"/>
        </w:rPr>
        <w:t>Auditing and reporting</w:t>
      </w:r>
      <w:r w:rsidR="00BA4549">
        <w:rPr>
          <w:sz w:val="24"/>
        </w:rPr>
        <w:t>.</w:t>
      </w:r>
    </w:p>
    <w:p w14:paraId="1E33AAAB" w14:textId="29E05981" w:rsidR="00F457E5" w:rsidRDefault="00F457E5" w:rsidP="00F457E5">
      <w:pPr>
        <w:pStyle w:val="Heading2"/>
        <w:rPr>
          <w:sz w:val="24"/>
          <w:szCs w:val="24"/>
        </w:rPr>
      </w:pPr>
      <w:r>
        <w:rPr>
          <w:sz w:val="24"/>
          <w:szCs w:val="24"/>
        </w:rPr>
        <w:t>The geographical scope for this procurement is England, Wales and Northern Ireland</w:t>
      </w:r>
      <w:r w:rsidR="003213D7">
        <w:rPr>
          <w:rStyle w:val="FootnoteReference"/>
          <w:szCs w:val="24"/>
        </w:rPr>
        <w:footnoteReference w:id="8"/>
      </w:r>
      <w:r>
        <w:rPr>
          <w:sz w:val="24"/>
          <w:szCs w:val="24"/>
        </w:rPr>
        <w:t xml:space="preserve">. The area in scope is divided in 11 regions, </w:t>
      </w:r>
      <w:r w:rsidR="00E5019D">
        <w:rPr>
          <w:sz w:val="24"/>
          <w:szCs w:val="24"/>
        </w:rPr>
        <w:t>based on</w:t>
      </w:r>
      <w:r>
        <w:rPr>
          <w:sz w:val="24"/>
          <w:szCs w:val="24"/>
        </w:rPr>
        <w:t xml:space="preserve"> boundaries </w:t>
      </w:r>
      <w:r w:rsidR="002F1432">
        <w:rPr>
          <w:sz w:val="24"/>
          <w:szCs w:val="24"/>
        </w:rPr>
        <w:t xml:space="preserve">from </w:t>
      </w:r>
      <w:r>
        <w:rPr>
          <w:sz w:val="24"/>
          <w:szCs w:val="24"/>
        </w:rPr>
        <w:t>the Office for National Statistics</w:t>
      </w:r>
      <w:r>
        <w:rPr>
          <w:rStyle w:val="FootnoteReference"/>
          <w:szCs w:val="24"/>
        </w:rPr>
        <w:footnoteReference w:id="9"/>
      </w:r>
      <w:r>
        <w:rPr>
          <w:sz w:val="24"/>
          <w:szCs w:val="24"/>
        </w:rPr>
        <w:t>: North East</w:t>
      </w:r>
      <w:r w:rsidR="00845270">
        <w:rPr>
          <w:sz w:val="24"/>
          <w:szCs w:val="24"/>
        </w:rPr>
        <w:t xml:space="preserve"> of England</w:t>
      </w:r>
      <w:r>
        <w:rPr>
          <w:sz w:val="24"/>
          <w:szCs w:val="24"/>
        </w:rPr>
        <w:t>; North West</w:t>
      </w:r>
      <w:r w:rsidR="00845270">
        <w:rPr>
          <w:sz w:val="24"/>
          <w:szCs w:val="24"/>
        </w:rPr>
        <w:t xml:space="preserve"> of England</w:t>
      </w:r>
      <w:r>
        <w:rPr>
          <w:sz w:val="24"/>
          <w:szCs w:val="24"/>
        </w:rPr>
        <w:t>; Yorkshire and The Humber; East Midlands; West Midlands; East of England; London; South East</w:t>
      </w:r>
      <w:r w:rsidR="00845270">
        <w:rPr>
          <w:sz w:val="24"/>
          <w:szCs w:val="24"/>
        </w:rPr>
        <w:t xml:space="preserve"> of England</w:t>
      </w:r>
      <w:r>
        <w:rPr>
          <w:sz w:val="24"/>
          <w:szCs w:val="24"/>
        </w:rPr>
        <w:t>; South West</w:t>
      </w:r>
      <w:r w:rsidR="00845270">
        <w:rPr>
          <w:sz w:val="24"/>
          <w:szCs w:val="24"/>
        </w:rPr>
        <w:t xml:space="preserve"> of England</w:t>
      </w:r>
      <w:r>
        <w:rPr>
          <w:sz w:val="24"/>
          <w:szCs w:val="24"/>
        </w:rPr>
        <w:t>; Wales; and Northern Ireland.</w:t>
      </w:r>
    </w:p>
    <w:p w14:paraId="5C86BEF9" w14:textId="1424D2F8" w:rsidR="00300D31" w:rsidRPr="00A04C88" w:rsidRDefault="00F457E5" w:rsidP="00A04C88">
      <w:pPr>
        <w:pStyle w:val="Heading2"/>
        <w:rPr>
          <w:sz w:val="24"/>
          <w:szCs w:val="24"/>
        </w:rPr>
      </w:pPr>
      <w:r>
        <w:rPr>
          <w:sz w:val="24"/>
          <w:szCs w:val="24"/>
        </w:rPr>
        <w:t>The geographical scope for the</w:t>
      </w:r>
      <w:r w:rsidR="00BA4549">
        <w:rPr>
          <w:sz w:val="24"/>
          <w:szCs w:val="24"/>
        </w:rPr>
        <w:t xml:space="preserve"> Regional</w:t>
      </w:r>
      <w:r w:rsidR="00E5019D">
        <w:rPr>
          <w:sz w:val="24"/>
          <w:szCs w:val="24"/>
        </w:rPr>
        <w:t xml:space="preserve"> MVP is based on</w:t>
      </w:r>
      <w:r>
        <w:rPr>
          <w:sz w:val="24"/>
          <w:szCs w:val="24"/>
        </w:rPr>
        <w:t xml:space="preserve"> the three regions of North East</w:t>
      </w:r>
      <w:r w:rsidR="00845270">
        <w:rPr>
          <w:sz w:val="24"/>
          <w:szCs w:val="24"/>
        </w:rPr>
        <w:t xml:space="preserve"> of England</w:t>
      </w:r>
      <w:r>
        <w:rPr>
          <w:sz w:val="24"/>
          <w:szCs w:val="24"/>
        </w:rPr>
        <w:t xml:space="preserve">, London and Wales. The other </w:t>
      </w:r>
      <w:r w:rsidR="00AA58FB">
        <w:rPr>
          <w:sz w:val="24"/>
          <w:szCs w:val="24"/>
        </w:rPr>
        <w:t>eight</w:t>
      </w:r>
      <w:r>
        <w:rPr>
          <w:sz w:val="24"/>
          <w:szCs w:val="24"/>
        </w:rPr>
        <w:t xml:space="preserve"> regions will be in scope for the </w:t>
      </w:r>
      <w:r w:rsidR="00BA4549">
        <w:rPr>
          <w:sz w:val="24"/>
          <w:szCs w:val="24"/>
        </w:rPr>
        <w:t>National R</w:t>
      </w:r>
      <w:r>
        <w:rPr>
          <w:sz w:val="24"/>
          <w:szCs w:val="24"/>
        </w:rPr>
        <w:t>ollout.</w:t>
      </w:r>
    </w:p>
    <w:p w14:paraId="6B99E1F0" w14:textId="602BE57A" w:rsidR="00BE6077" w:rsidRPr="00BE6077" w:rsidRDefault="00BA4549" w:rsidP="00BE6077">
      <w:pPr>
        <w:pStyle w:val="Heading2"/>
        <w:rPr>
          <w:sz w:val="24"/>
          <w:szCs w:val="24"/>
        </w:rPr>
      </w:pPr>
      <w:r>
        <w:rPr>
          <w:sz w:val="24"/>
          <w:szCs w:val="24"/>
        </w:rPr>
        <w:t>The following items are o</w:t>
      </w:r>
      <w:r w:rsidR="00BE6077" w:rsidRPr="00BE6077">
        <w:rPr>
          <w:sz w:val="24"/>
          <w:szCs w:val="24"/>
        </w:rPr>
        <w:t xml:space="preserve">ut of </w:t>
      </w:r>
      <w:r>
        <w:rPr>
          <w:sz w:val="24"/>
          <w:szCs w:val="24"/>
        </w:rPr>
        <w:t>s</w:t>
      </w:r>
      <w:r w:rsidR="00BE6077" w:rsidRPr="00BE6077">
        <w:rPr>
          <w:sz w:val="24"/>
          <w:szCs w:val="24"/>
        </w:rPr>
        <w:t>cope of this procurement</w:t>
      </w:r>
      <w:r w:rsidR="00BE6077">
        <w:rPr>
          <w:sz w:val="24"/>
          <w:szCs w:val="24"/>
        </w:rPr>
        <w:t>:</w:t>
      </w:r>
    </w:p>
    <w:p w14:paraId="097DAF13" w14:textId="15B9DDB0" w:rsidR="00BE6077" w:rsidRPr="0041573D" w:rsidRDefault="00BE6077" w:rsidP="0041573D">
      <w:pPr>
        <w:pStyle w:val="Heading3"/>
        <w:spacing w:after="120"/>
        <w:ind w:left="1797" w:hanging="1077"/>
        <w:rPr>
          <w:sz w:val="24"/>
        </w:rPr>
      </w:pPr>
      <w:r w:rsidRPr="0041573D">
        <w:rPr>
          <w:sz w:val="24"/>
        </w:rPr>
        <w:t>Programme management</w:t>
      </w:r>
      <w:r w:rsidR="00BA4549">
        <w:rPr>
          <w:sz w:val="24"/>
        </w:rPr>
        <w:t>;</w:t>
      </w:r>
      <w:r w:rsidRPr="0041573D">
        <w:rPr>
          <w:sz w:val="24"/>
        </w:rPr>
        <w:t xml:space="preserve"> </w:t>
      </w:r>
    </w:p>
    <w:p w14:paraId="35B21B2F" w14:textId="0282B37F" w:rsidR="00BE6077" w:rsidRDefault="00BA4549" w:rsidP="0041573D">
      <w:pPr>
        <w:pStyle w:val="Heading3"/>
        <w:spacing w:after="120"/>
        <w:ind w:left="1797" w:hanging="1077"/>
        <w:rPr>
          <w:sz w:val="24"/>
        </w:rPr>
      </w:pPr>
      <w:r>
        <w:rPr>
          <w:sz w:val="24"/>
        </w:rPr>
        <w:t>Public communications;</w:t>
      </w:r>
    </w:p>
    <w:p w14:paraId="6B2CC5AF" w14:textId="3AD3FBA6" w:rsidR="00D819B7" w:rsidRDefault="00D819B7" w:rsidP="0041573D">
      <w:pPr>
        <w:pStyle w:val="Heading3"/>
        <w:spacing w:after="120"/>
        <w:ind w:left="1797" w:hanging="1077"/>
        <w:rPr>
          <w:sz w:val="24"/>
        </w:rPr>
      </w:pPr>
      <w:r>
        <w:rPr>
          <w:sz w:val="24"/>
        </w:rPr>
        <w:t>Legal arrangements for the onboarding of Asset Owners</w:t>
      </w:r>
      <w:r w:rsidR="009724C0">
        <w:rPr>
          <w:sz w:val="24"/>
        </w:rPr>
        <w:t>;</w:t>
      </w:r>
    </w:p>
    <w:p w14:paraId="7169D237" w14:textId="2DAB2AAB" w:rsidR="009724C0" w:rsidRPr="0041573D" w:rsidRDefault="009724C0" w:rsidP="0041573D">
      <w:pPr>
        <w:pStyle w:val="Heading3"/>
        <w:spacing w:after="120"/>
        <w:ind w:left="1797" w:hanging="1077"/>
        <w:rPr>
          <w:sz w:val="24"/>
        </w:rPr>
      </w:pPr>
      <w:r>
        <w:rPr>
          <w:sz w:val="24"/>
        </w:rPr>
        <w:t>Sourcing of base map data;</w:t>
      </w:r>
    </w:p>
    <w:p w14:paraId="0CC9A528" w14:textId="62758F10" w:rsidR="00BE6077" w:rsidRPr="0041573D" w:rsidRDefault="00BE6077" w:rsidP="0041573D">
      <w:pPr>
        <w:pStyle w:val="Heading3"/>
        <w:spacing w:after="120"/>
        <w:ind w:left="1797" w:hanging="1077"/>
        <w:rPr>
          <w:sz w:val="24"/>
        </w:rPr>
      </w:pPr>
      <w:r w:rsidRPr="0041573D">
        <w:rPr>
          <w:sz w:val="24"/>
        </w:rPr>
        <w:lastRenderedPageBreak/>
        <w:t xml:space="preserve">Outbound APIs to </w:t>
      </w:r>
      <w:r w:rsidR="000A0303">
        <w:rPr>
          <w:sz w:val="24"/>
        </w:rPr>
        <w:t>Asset O</w:t>
      </w:r>
      <w:r w:rsidRPr="0041573D">
        <w:rPr>
          <w:sz w:val="24"/>
        </w:rPr>
        <w:t>wner systems</w:t>
      </w:r>
      <w:r w:rsidR="00BA4549">
        <w:rPr>
          <w:sz w:val="24"/>
        </w:rPr>
        <w:t>;</w:t>
      </w:r>
    </w:p>
    <w:p w14:paraId="2ED1A329" w14:textId="3DCC41D5" w:rsidR="00BE6077" w:rsidRPr="0041573D" w:rsidRDefault="00BE6077" w:rsidP="0041573D">
      <w:pPr>
        <w:pStyle w:val="Heading3"/>
        <w:spacing w:after="120"/>
        <w:ind w:left="1797" w:hanging="1077"/>
        <w:rPr>
          <w:sz w:val="24"/>
        </w:rPr>
      </w:pPr>
      <w:r w:rsidRPr="0041573D">
        <w:rPr>
          <w:sz w:val="24"/>
        </w:rPr>
        <w:t>Ingestion of as-laid drawing/survey data</w:t>
      </w:r>
      <w:r w:rsidR="00BA4549">
        <w:rPr>
          <w:sz w:val="24"/>
        </w:rPr>
        <w:t>;</w:t>
      </w:r>
    </w:p>
    <w:p w14:paraId="3B6D1524" w14:textId="116DB79A" w:rsidR="00BE6077" w:rsidRPr="0041573D" w:rsidRDefault="00BE6077" w:rsidP="0041573D">
      <w:pPr>
        <w:pStyle w:val="Heading3"/>
        <w:spacing w:after="120"/>
        <w:ind w:left="1797" w:hanging="1077"/>
        <w:rPr>
          <w:sz w:val="24"/>
        </w:rPr>
      </w:pPr>
      <w:r w:rsidRPr="0041573D">
        <w:rPr>
          <w:sz w:val="24"/>
        </w:rPr>
        <w:t>Hardware, such as handheld devices</w:t>
      </w:r>
      <w:r w:rsidR="00BA4549">
        <w:rPr>
          <w:sz w:val="24"/>
        </w:rPr>
        <w:t>;</w:t>
      </w:r>
      <w:r w:rsidRPr="0041573D">
        <w:rPr>
          <w:sz w:val="24"/>
        </w:rPr>
        <w:t xml:space="preserve"> </w:t>
      </w:r>
    </w:p>
    <w:p w14:paraId="62D0D739" w14:textId="75542A6A" w:rsidR="00BE6077" w:rsidRPr="0041573D" w:rsidRDefault="00BE6077" w:rsidP="0041573D">
      <w:pPr>
        <w:pStyle w:val="Heading3"/>
        <w:spacing w:after="120"/>
        <w:ind w:left="1797" w:hanging="1077"/>
        <w:rPr>
          <w:sz w:val="24"/>
        </w:rPr>
      </w:pPr>
      <w:r w:rsidRPr="0041573D">
        <w:rPr>
          <w:sz w:val="24"/>
        </w:rPr>
        <w:t>Geolocate technologies</w:t>
      </w:r>
      <w:r w:rsidR="00BA4549">
        <w:rPr>
          <w:sz w:val="24"/>
        </w:rPr>
        <w:t>; and</w:t>
      </w:r>
      <w:r w:rsidRPr="0041573D">
        <w:rPr>
          <w:sz w:val="24"/>
        </w:rPr>
        <w:t xml:space="preserve"> </w:t>
      </w:r>
    </w:p>
    <w:p w14:paraId="44384B75" w14:textId="21F3475E" w:rsidR="00BE6077" w:rsidRDefault="00BE6077" w:rsidP="0041573D">
      <w:pPr>
        <w:pStyle w:val="Heading3"/>
        <w:spacing w:after="120"/>
        <w:ind w:left="1797" w:hanging="1077"/>
        <w:rPr>
          <w:sz w:val="24"/>
        </w:rPr>
      </w:pPr>
      <w:r w:rsidRPr="0041573D">
        <w:rPr>
          <w:sz w:val="24"/>
        </w:rPr>
        <w:t>Decommissioning of legacy systems</w:t>
      </w:r>
      <w:r w:rsidR="00BA4549">
        <w:rPr>
          <w:sz w:val="24"/>
        </w:rPr>
        <w:t>.</w:t>
      </w:r>
    </w:p>
    <w:p w14:paraId="3491B80B" w14:textId="77777777" w:rsidR="00671798" w:rsidRPr="00E35415" w:rsidRDefault="00FE18AC">
      <w:pPr>
        <w:pStyle w:val="Heading1"/>
        <w:spacing w:after="120"/>
        <w:rPr>
          <w:sz w:val="32"/>
          <w:szCs w:val="32"/>
        </w:rPr>
      </w:pPr>
      <w:bookmarkStart w:id="17" w:name="_Toc368573031"/>
      <w:bookmarkStart w:id="18" w:name="_Toc69240411"/>
      <w:r w:rsidRPr="00E35415">
        <w:rPr>
          <w:sz w:val="32"/>
          <w:szCs w:val="32"/>
        </w:rPr>
        <w:t>The requirement</w:t>
      </w:r>
      <w:bookmarkEnd w:id="17"/>
      <w:bookmarkEnd w:id="18"/>
    </w:p>
    <w:p w14:paraId="3F593C30" w14:textId="1BF4B7BF" w:rsidR="00E35415" w:rsidRDefault="00E35415" w:rsidP="00E35415">
      <w:pPr>
        <w:pStyle w:val="Heading2"/>
        <w:spacing w:after="120"/>
        <w:ind w:left="709" w:hanging="709"/>
        <w:rPr>
          <w:sz w:val="24"/>
          <w:szCs w:val="24"/>
        </w:rPr>
      </w:pPr>
      <w:r w:rsidRPr="00E35415">
        <w:rPr>
          <w:sz w:val="24"/>
          <w:szCs w:val="24"/>
        </w:rPr>
        <w:t>NUAR aims to improve the efficiency and safety of underground works by creating a secure data exchange platform providing a comprehensive, trusted and secure digital map of where buried assets are located.</w:t>
      </w:r>
    </w:p>
    <w:p w14:paraId="6DA0704D" w14:textId="1DBE889F" w:rsidR="00AB5B42" w:rsidRDefault="00AB5B42" w:rsidP="00D07B47">
      <w:pPr>
        <w:pStyle w:val="Heading2"/>
        <w:rPr>
          <w:sz w:val="24"/>
        </w:rPr>
      </w:pPr>
      <w:r w:rsidRPr="0063652F">
        <w:rPr>
          <w:sz w:val="24"/>
        </w:rPr>
        <w:t>The Customer wishes to procure design, implementation and integration services for the NUAR technical solution</w:t>
      </w:r>
      <w:r w:rsidR="00D819B7">
        <w:rPr>
          <w:sz w:val="24"/>
        </w:rPr>
        <w:t>, as well as Asset Owner engagement and data discovery, and data transformation services</w:t>
      </w:r>
      <w:r w:rsidRPr="0063652F">
        <w:rPr>
          <w:sz w:val="24"/>
        </w:rPr>
        <w:t>. A lot of work has been done during the pilot and preparation phases to define the Customer’s technical requirements for NUAR.</w:t>
      </w:r>
    </w:p>
    <w:p w14:paraId="1433458B" w14:textId="507AA5CA" w:rsidR="00693C69" w:rsidRDefault="00D819B7" w:rsidP="00693C69">
      <w:pPr>
        <w:pStyle w:val="Heading2"/>
        <w:rPr>
          <w:sz w:val="24"/>
        </w:rPr>
      </w:pPr>
      <w:r>
        <w:rPr>
          <w:sz w:val="24"/>
        </w:rPr>
        <w:t xml:space="preserve">Alongside the workstreams </w:t>
      </w:r>
      <w:r w:rsidR="006B4121">
        <w:rPr>
          <w:sz w:val="24"/>
        </w:rPr>
        <w:t>that the Supplier is responsible for</w:t>
      </w:r>
      <w:r>
        <w:rPr>
          <w:sz w:val="24"/>
        </w:rPr>
        <w:t xml:space="preserve">, the Customer will undertake an </w:t>
      </w:r>
      <w:r w:rsidR="005138BA">
        <w:rPr>
          <w:sz w:val="24"/>
        </w:rPr>
        <w:t>o</w:t>
      </w:r>
      <w:r>
        <w:rPr>
          <w:sz w:val="24"/>
        </w:rPr>
        <w:t xml:space="preserve">nboarding and </w:t>
      </w:r>
      <w:r w:rsidR="005138BA">
        <w:rPr>
          <w:sz w:val="24"/>
        </w:rPr>
        <w:t>l</w:t>
      </w:r>
      <w:r>
        <w:rPr>
          <w:sz w:val="24"/>
        </w:rPr>
        <w:t>egal workstream</w:t>
      </w:r>
      <w:r w:rsidR="008D4441">
        <w:rPr>
          <w:sz w:val="24"/>
        </w:rPr>
        <w:t xml:space="preserve">. </w:t>
      </w:r>
      <w:r>
        <w:rPr>
          <w:sz w:val="24"/>
        </w:rPr>
        <w:t xml:space="preserve"> </w:t>
      </w:r>
      <w:r w:rsidR="006B4121">
        <w:rPr>
          <w:sz w:val="24"/>
        </w:rPr>
        <w:t>This workstream aims</w:t>
      </w:r>
      <w:r>
        <w:rPr>
          <w:sz w:val="24"/>
        </w:rPr>
        <w:t xml:space="preserve"> </w:t>
      </w:r>
      <w:r w:rsidRPr="00C510DE">
        <w:rPr>
          <w:sz w:val="24"/>
        </w:rPr>
        <w:t>put in place the legal, commercial, and management framew</w:t>
      </w:r>
      <w:r>
        <w:rPr>
          <w:sz w:val="24"/>
        </w:rPr>
        <w:t>orks that are required for the Asset O</w:t>
      </w:r>
      <w:r w:rsidRPr="00C510DE">
        <w:rPr>
          <w:sz w:val="24"/>
        </w:rPr>
        <w:t>wners to be in a compliant and comfortable position to share t</w:t>
      </w:r>
      <w:r>
        <w:rPr>
          <w:sz w:val="24"/>
        </w:rPr>
        <w:t>heir asset location data under D</w:t>
      </w:r>
      <w:r w:rsidRPr="00C510DE">
        <w:rPr>
          <w:sz w:val="24"/>
        </w:rPr>
        <w:t xml:space="preserve">ata </w:t>
      </w:r>
      <w:r>
        <w:rPr>
          <w:sz w:val="24"/>
        </w:rPr>
        <w:t>Distribution</w:t>
      </w:r>
      <w:r w:rsidRPr="00C510DE">
        <w:rPr>
          <w:sz w:val="24"/>
        </w:rPr>
        <w:t xml:space="preserve"> </w:t>
      </w:r>
      <w:r>
        <w:rPr>
          <w:sz w:val="24"/>
        </w:rPr>
        <w:t>A</w:t>
      </w:r>
      <w:r w:rsidRPr="00C510DE">
        <w:rPr>
          <w:sz w:val="24"/>
        </w:rPr>
        <w:t>greements</w:t>
      </w:r>
      <w:r>
        <w:rPr>
          <w:sz w:val="24"/>
        </w:rPr>
        <w:t xml:space="preserve"> and for purposes described in standard End User terms (Appendix C)</w:t>
      </w:r>
      <w:r w:rsidRPr="00C510DE">
        <w:rPr>
          <w:sz w:val="24"/>
        </w:rPr>
        <w:t>.</w:t>
      </w:r>
      <w:r>
        <w:rPr>
          <w:sz w:val="24"/>
        </w:rPr>
        <w:t xml:space="preserve"> This workstream will interface closely with the Asset Owner Engagement workstream described </w:t>
      </w:r>
      <w:r w:rsidR="006B4121">
        <w:rPr>
          <w:sz w:val="24"/>
        </w:rPr>
        <w:t>in 6.5</w:t>
      </w:r>
      <w:r>
        <w:rPr>
          <w:sz w:val="24"/>
        </w:rPr>
        <w:t>.</w:t>
      </w:r>
    </w:p>
    <w:p w14:paraId="78D0FCA5" w14:textId="73DA2E68" w:rsidR="00693C69" w:rsidRPr="00693C69" w:rsidRDefault="00693C69" w:rsidP="00693C69">
      <w:pPr>
        <w:pStyle w:val="Heading2"/>
        <w:rPr>
          <w:sz w:val="24"/>
        </w:rPr>
      </w:pPr>
      <w:r w:rsidRPr="00693C69">
        <w:rPr>
          <w:sz w:val="24"/>
          <w:u w:val="single"/>
        </w:rPr>
        <w:t>Governance</w:t>
      </w:r>
    </w:p>
    <w:p w14:paraId="04792EEB" w14:textId="77777777" w:rsidR="00693C69" w:rsidRPr="00214E98" w:rsidRDefault="00693C69" w:rsidP="00693C69">
      <w:pPr>
        <w:pStyle w:val="Heading3"/>
        <w:rPr>
          <w:sz w:val="24"/>
        </w:rPr>
      </w:pPr>
      <w:r w:rsidRPr="00214E98">
        <w:rPr>
          <w:sz w:val="24"/>
        </w:rPr>
        <w:t xml:space="preserve">The Supplier will be fully </w:t>
      </w:r>
      <w:r>
        <w:rPr>
          <w:sz w:val="24"/>
        </w:rPr>
        <w:t>integrated into the Customer’s D</w:t>
      </w:r>
      <w:r w:rsidRPr="00214E98">
        <w:rPr>
          <w:sz w:val="24"/>
        </w:rPr>
        <w:t xml:space="preserve">elivery </w:t>
      </w:r>
      <w:r>
        <w:rPr>
          <w:sz w:val="24"/>
        </w:rPr>
        <w:t>U</w:t>
      </w:r>
      <w:r w:rsidRPr="00214E98">
        <w:rPr>
          <w:sz w:val="24"/>
        </w:rPr>
        <w:t>nit team</w:t>
      </w:r>
      <w:r>
        <w:rPr>
          <w:sz w:val="24"/>
        </w:rPr>
        <w:t>, as described in section 17.4, Delivery Unit, and fully accountable for the delivery of this Requirement</w:t>
      </w:r>
      <w:r w:rsidRPr="00214E98">
        <w:rPr>
          <w:sz w:val="24"/>
        </w:rPr>
        <w:t>. The Customer will be accountable for the successful delivery of the NUAR programme</w:t>
      </w:r>
      <w:r>
        <w:rPr>
          <w:sz w:val="24"/>
        </w:rPr>
        <w:t xml:space="preserve"> overall and, therefore, will be the decision-maker.</w:t>
      </w:r>
      <w:r w:rsidRPr="00214E98">
        <w:rPr>
          <w:sz w:val="24"/>
        </w:rPr>
        <w:t xml:space="preserve"> </w:t>
      </w:r>
    </w:p>
    <w:p w14:paraId="3809B348" w14:textId="77777777" w:rsidR="00693C69" w:rsidRPr="009B6783" w:rsidRDefault="00693C69" w:rsidP="00693C69">
      <w:pPr>
        <w:pStyle w:val="Heading3"/>
        <w:rPr>
          <w:sz w:val="24"/>
        </w:rPr>
      </w:pPr>
      <w:r w:rsidRPr="00C510DE">
        <w:rPr>
          <w:sz w:val="24"/>
        </w:rPr>
        <w:t xml:space="preserve">The Customer has developed established relationships with the pilot and preparation phase </w:t>
      </w:r>
      <w:r>
        <w:rPr>
          <w:sz w:val="24"/>
        </w:rPr>
        <w:t>Asset Owners</w:t>
      </w:r>
      <w:r w:rsidRPr="00C510DE">
        <w:rPr>
          <w:sz w:val="24"/>
        </w:rPr>
        <w:t xml:space="preserve"> (North East </w:t>
      </w:r>
      <w:r>
        <w:rPr>
          <w:sz w:val="24"/>
        </w:rPr>
        <w:t>of England and London). The S</w:t>
      </w:r>
      <w:r w:rsidRPr="00C510DE">
        <w:rPr>
          <w:sz w:val="24"/>
        </w:rPr>
        <w:t>upplier will be expected to utilise the</w:t>
      </w:r>
      <w:r>
        <w:rPr>
          <w:sz w:val="24"/>
        </w:rPr>
        <w:t>se</w:t>
      </w:r>
      <w:r w:rsidRPr="00C510DE">
        <w:rPr>
          <w:sz w:val="24"/>
        </w:rPr>
        <w:t xml:space="preserve"> existing relationships.</w:t>
      </w:r>
    </w:p>
    <w:p w14:paraId="672F96B0" w14:textId="77777777" w:rsidR="00693C69" w:rsidRPr="00C510DE" w:rsidRDefault="00693C69" w:rsidP="00693C69">
      <w:pPr>
        <w:pStyle w:val="Heading3"/>
        <w:rPr>
          <w:sz w:val="24"/>
        </w:rPr>
      </w:pPr>
      <w:r>
        <w:rPr>
          <w:sz w:val="24"/>
        </w:rPr>
        <w:t>During the MVP P</w:t>
      </w:r>
      <w:r w:rsidRPr="00C510DE">
        <w:rPr>
          <w:sz w:val="24"/>
        </w:rPr>
        <w:t>hase</w:t>
      </w:r>
      <w:r>
        <w:rPr>
          <w:sz w:val="24"/>
        </w:rPr>
        <w:t>,</w:t>
      </w:r>
      <w:r w:rsidRPr="00C510DE">
        <w:rPr>
          <w:sz w:val="24"/>
        </w:rPr>
        <w:t xml:space="preserve"> the Supplier will co-</w:t>
      </w:r>
      <w:r>
        <w:rPr>
          <w:sz w:val="24"/>
        </w:rPr>
        <w:t>convene and co-manage,</w:t>
      </w:r>
      <w:r w:rsidRPr="00C510DE">
        <w:rPr>
          <w:sz w:val="24"/>
        </w:rPr>
        <w:t xml:space="preserve"> with the Customer</w:t>
      </w:r>
      <w:r>
        <w:rPr>
          <w:sz w:val="24"/>
        </w:rPr>
        <w:t>,</w:t>
      </w:r>
      <w:r w:rsidRPr="00C510DE">
        <w:rPr>
          <w:sz w:val="24"/>
        </w:rPr>
        <w:t xml:space="preserve"> regional </w:t>
      </w:r>
      <w:r>
        <w:rPr>
          <w:sz w:val="24"/>
        </w:rPr>
        <w:t xml:space="preserve">and sector </w:t>
      </w:r>
      <w:r w:rsidRPr="00C510DE">
        <w:rPr>
          <w:sz w:val="24"/>
        </w:rPr>
        <w:t>user group</w:t>
      </w:r>
      <w:r>
        <w:rPr>
          <w:sz w:val="24"/>
        </w:rPr>
        <w:t>s</w:t>
      </w:r>
      <w:r w:rsidRPr="00C510DE">
        <w:rPr>
          <w:sz w:val="24"/>
        </w:rPr>
        <w:t>,</w:t>
      </w:r>
      <w:r>
        <w:rPr>
          <w:sz w:val="24"/>
        </w:rPr>
        <w:t xml:space="preserve"> drawn from a broad</w:t>
      </w:r>
      <w:r w:rsidRPr="00C510DE">
        <w:rPr>
          <w:sz w:val="24"/>
        </w:rPr>
        <w:t xml:space="preserve"> </w:t>
      </w:r>
      <w:r>
        <w:rPr>
          <w:sz w:val="24"/>
        </w:rPr>
        <w:t xml:space="preserve">Asset Owner community, </w:t>
      </w:r>
      <w:r w:rsidRPr="00C510DE">
        <w:rPr>
          <w:sz w:val="24"/>
        </w:rPr>
        <w:t xml:space="preserve">which will include </w:t>
      </w:r>
      <w:r>
        <w:rPr>
          <w:sz w:val="24"/>
        </w:rPr>
        <w:t>Asset O</w:t>
      </w:r>
      <w:r w:rsidRPr="00C510DE">
        <w:rPr>
          <w:sz w:val="24"/>
        </w:rPr>
        <w:t xml:space="preserve">wners and </w:t>
      </w:r>
      <w:r>
        <w:rPr>
          <w:sz w:val="24"/>
        </w:rPr>
        <w:t>End U</w:t>
      </w:r>
      <w:r w:rsidRPr="00C510DE">
        <w:rPr>
          <w:sz w:val="24"/>
        </w:rPr>
        <w:t>sers from the MVP</w:t>
      </w:r>
      <w:r>
        <w:rPr>
          <w:sz w:val="24"/>
        </w:rPr>
        <w:t xml:space="preserve"> regions and beyond</w:t>
      </w:r>
      <w:r w:rsidRPr="00C510DE">
        <w:rPr>
          <w:sz w:val="24"/>
        </w:rPr>
        <w:t xml:space="preserve">. The purpose of the </w:t>
      </w:r>
      <w:r>
        <w:rPr>
          <w:sz w:val="24"/>
        </w:rPr>
        <w:t xml:space="preserve">user </w:t>
      </w:r>
      <w:r w:rsidRPr="00C510DE">
        <w:rPr>
          <w:sz w:val="24"/>
        </w:rPr>
        <w:t>group</w:t>
      </w:r>
      <w:r>
        <w:rPr>
          <w:sz w:val="24"/>
        </w:rPr>
        <w:t>s</w:t>
      </w:r>
      <w:r w:rsidRPr="00C510DE">
        <w:rPr>
          <w:sz w:val="24"/>
        </w:rPr>
        <w:t xml:space="preserve"> will include </w:t>
      </w:r>
      <w:r>
        <w:rPr>
          <w:sz w:val="24"/>
        </w:rPr>
        <w:t xml:space="preserve">requirements discovery, </w:t>
      </w:r>
      <w:r w:rsidRPr="00C510DE">
        <w:rPr>
          <w:sz w:val="24"/>
        </w:rPr>
        <w:t xml:space="preserve">sharing experiences and feedback, discussing challenges and coordinating user testing. This list is not exhaustive. </w:t>
      </w:r>
    </w:p>
    <w:p w14:paraId="27B4CD5C" w14:textId="77777777" w:rsidR="00693C69" w:rsidRPr="00C510DE" w:rsidRDefault="00693C69" w:rsidP="00693C69">
      <w:pPr>
        <w:pStyle w:val="Heading3"/>
        <w:rPr>
          <w:sz w:val="24"/>
        </w:rPr>
      </w:pPr>
      <w:r w:rsidRPr="00C510DE">
        <w:rPr>
          <w:sz w:val="24"/>
        </w:rPr>
        <w:lastRenderedPageBreak/>
        <w:t>The Supplier will sit in the group of delivery partners for the NUAR programme. This group will be led by th</w:t>
      </w:r>
      <w:r>
        <w:rPr>
          <w:sz w:val="24"/>
        </w:rPr>
        <w:t>e Customer and, during the MVP P</w:t>
      </w:r>
      <w:r w:rsidRPr="00C510DE">
        <w:rPr>
          <w:sz w:val="24"/>
        </w:rPr>
        <w:t xml:space="preserve">hase, will include the Greater London Authority, North East </w:t>
      </w:r>
      <w:r>
        <w:rPr>
          <w:sz w:val="24"/>
        </w:rPr>
        <w:t xml:space="preserve">of England </w:t>
      </w:r>
      <w:r w:rsidRPr="00C510DE">
        <w:rPr>
          <w:sz w:val="24"/>
        </w:rPr>
        <w:t>local authority leads and equivalent local</w:t>
      </w:r>
      <w:r>
        <w:rPr>
          <w:sz w:val="24"/>
        </w:rPr>
        <w:t xml:space="preserve"> or devolved</w:t>
      </w:r>
      <w:r w:rsidRPr="00C510DE">
        <w:rPr>
          <w:sz w:val="24"/>
        </w:rPr>
        <w:t xml:space="preserve"> government bodies from Wales.</w:t>
      </w:r>
    </w:p>
    <w:p w14:paraId="5E36F9B8" w14:textId="77777777" w:rsidR="00693C69" w:rsidRPr="00C510DE" w:rsidRDefault="00693C69" w:rsidP="00693C69">
      <w:pPr>
        <w:pStyle w:val="Heading3"/>
        <w:rPr>
          <w:sz w:val="24"/>
        </w:rPr>
      </w:pPr>
      <w:r w:rsidRPr="00C510DE">
        <w:rPr>
          <w:sz w:val="24"/>
        </w:rPr>
        <w:t xml:space="preserve">The Supplier </w:t>
      </w:r>
      <w:r>
        <w:rPr>
          <w:sz w:val="24"/>
        </w:rPr>
        <w:t xml:space="preserve">will also sit in </w:t>
      </w:r>
      <w:r w:rsidRPr="00C510DE">
        <w:rPr>
          <w:sz w:val="24"/>
        </w:rPr>
        <w:t xml:space="preserve">the Customer’s </w:t>
      </w:r>
      <w:r>
        <w:rPr>
          <w:sz w:val="24"/>
        </w:rPr>
        <w:t xml:space="preserve">internal </w:t>
      </w:r>
      <w:r w:rsidRPr="00C510DE">
        <w:rPr>
          <w:sz w:val="24"/>
        </w:rPr>
        <w:t xml:space="preserve">organisation governance structures, groups of external advisory specialists and other groups, as appropriate. Further detail </w:t>
      </w:r>
      <w:r>
        <w:rPr>
          <w:sz w:val="24"/>
        </w:rPr>
        <w:t>is</w:t>
      </w:r>
      <w:r w:rsidRPr="00C510DE">
        <w:rPr>
          <w:sz w:val="24"/>
        </w:rPr>
        <w:t xml:space="preserve"> prov</w:t>
      </w:r>
      <w:r>
        <w:rPr>
          <w:sz w:val="24"/>
        </w:rPr>
        <w:t>ided throughout section 6, The R</w:t>
      </w:r>
      <w:r w:rsidRPr="00C510DE">
        <w:rPr>
          <w:sz w:val="24"/>
        </w:rPr>
        <w:t>equireme</w:t>
      </w:r>
      <w:r>
        <w:rPr>
          <w:sz w:val="24"/>
        </w:rPr>
        <w:t>nt, and in section 17.4, Delivery U</w:t>
      </w:r>
      <w:r w:rsidRPr="00C510DE">
        <w:rPr>
          <w:sz w:val="24"/>
        </w:rPr>
        <w:t xml:space="preserve">nit. The list of structures outlined in this document is not </w:t>
      </w:r>
      <w:r>
        <w:rPr>
          <w:sz w:val="24"/>
        </w:rPr>
        <w:t>exhaustive and is subject to amendment</w:t>
      </w:r>
      <w:r w:rsidRPr="00C510DE">
        <w:rPr>
          <w:sz w:val="24"/>
        </w:rPr>
        <w:t>.</w:t>
      </w:r>
    </w:p>
    <w:p w14:paraId="1639EC70" w14:textId="2F122F66" w:rsidR="00A04C88" w:rsidRDefault="00936773" w:rsidP="00E35415">
      <w:pPr>
        <w:pStyle w:val="Heading2"/>
        <w:spacing w:after="120"/>
        <w:ind w:left="709" w:hanging="709"/>
        <w:rPr>
          <w:sz w:val="24"/>
          <w:szCs w:val="24"/>
        </w:rPr>
      </w:pPr>
      <w:r>
        <w:rPr>
          <w:sz w:val="24"/>
          <w:szCs w:val="24"/>
        </w:rPr>
        <w:t>Asset Owner Engagement</w:t>
      </w:r>
      <w:r w:rsidR="00DA5E71">
        <w:rPr>
          <w:sz w:val="24"/>
          <w:szCs w:val="24"/>
        </w:rPr>
        <w:t xml:space="preserve"> </w:t>
      </w:r>
      <w:r w:rsidR="006B4121">
        <w:rPr>
          <w:sz w:val="24"/>
          <w:szCs w:val="24"/>
        </w:rPr>
        <w:t>w</w:t>
      </w:r>
      <w:r w:rsidR="00C510DE">
        <w:rPr>
          <w:sz w:val="24"/>
          <w:szCs w:val="24"/>
        </w:rPr>
        <w:t>orkstream</w:t>
      </w:r>
    </w:p>
    <w:p w14:paraId="0C65061A" w14:textId="453EC3B2" w:rsidR="0084421A" w:rsidRDefault="00C510DE" w:rsidP="00C510DE">
      <w:pPr>
        <w:pStyle w:val="Heading3"/>
        <w:rPr>
          <w:sz w:val="24"/>
        </w:rPr>
      </w:pPr>
      <w:r w:rsidRPr="00C510DE">
        <w:rPr>
          <w:sz w:val="24"/>
        </w:rPr>
        <w:t>The aim of this workstream is to</w:t>
      </w:r>
      <w:r w:rsidR="00F47521">
        <w:rPr>
          <w:sz w:val="24"/>
        </w:rPr>
        <w:t xml:space="preserve"> establish a common understanding among the Asset Owners around the purpose of</w:t>
      </w:r>
      <w:r w:rsidR="00F47521" w:rsidRPr="0041573D">
        <w:rPr>
          <w:sz w:val="24"/>
        </w:rPr>
        <w:t xml:space="preserve"> NUAR, its benefits and what is expected of them</w:t>
      </w:r>
      <w:r w:rsidR="00F47521">
        <w:rPr>
          <w:sz w:val="24"/>
        </w:rPr>
        <w:t>. It also aims to put in place Data Exploration Agreements between the Supplier and the Asset Owners, which allow for data sharing with the Supplier, data discovery and exploration.</w:t>
      </w:r>
      <w:r w:rsidRPr="00C510DE">
        <w:rPr>
          <w:sz w:val="24"/>
        </w:rPr>
        <w:t xml:space="preserve"> </w:t>
      </w:r>
    </w:p>
    <w:p w14:paraId="6FC8A0FD" w14:textId="44730BDF" w:rsidR="00C510DE" w:rsidRPr="00C510DE" w:rsidRDefault="0084421A" w:rsidP="00C510DE">
      <w:pPr>
        <w:pStyle w:val="Heading3"/>
        <w:rPr>
          <w:sz w:val="24"/>
        </w:rPr>
      </w:pPr>
      <w:r>
        <w:rPr>
          <w:sz w:val="24"/>
        </w:rPr>
        <w:t xml:space="preserve">This workstream also covers the engagement with Asset Owners </w:t>
      </w:r>
      <w:r w:rsidR="00C510DE" w:rsidRPr="00C510DE">
        <w:rPr>
          <w:sz w:val="24"/>
        </w:rPr>
        <w:t xml:space="preserve">to </w:t>
      </w:r>
      <w:r>
        <w:rPr>
          <w:sz w:val="24"/>
        </w:rPr>
        <w:t xml:space="preserve">ensure readiness to </w:t>
      </w:r>
      <w:r w:rsidR="00C510DE" w:rsidRPr="00C510DE">
        <w:rPr>
          <w:sz w:val="24"/>
        </w:rPr>
        <w:t xml:space="preserve">implement the </w:t>
      </w:r>
      <w:r>
        <w:rPr>
          <w:sz w:val="24"/>
        </w:rPr>
        <w:t>required</w:t>
      </w:r>
      <w:r w:rsidRPr="00C510DE">
        <w:rPr>
          <w:sz w:val="24"/>
        </w:rPr>
        <w:t xml:space="preserve"> </w:t>
      </w:r>
      <w:r w:rsidR="00C510DE" w:rsidRPr="00C510DE">
        <w:rPr>
          <w:sz w:val="24"/>
        </w:rPr>
        <w:t xml:space="preserve">level of change in their organisations to fully embed the NUAR system. </w:t>
      </w:r>
    </w:p>
    <w:p w14:paraId="16FB220D" w14:textId="359EDEA3" w:rsidR="00C510DE" w:rsidRPr="00C510DE" w:rsidRDefault="00C510DE" w:rsidP="00C510DE">
      <w:pPr>
        <w:pStyle w:val="Heading3"/>
        <w:rPr>
          <w:sz w:val="24"/>
        </w:rPr>
      </w:pPr>
      <w:r w:rsidRPr="00C510DE">
        <w:rPr>
          <w:sz w:val="24"/>
        </w:rPr>
        <w:t xml:space="preserve">The Supplier will deliver a clear stakeholder engagement </w:t>
      </w:r>
      <w:r w:rsidR="005F18CC">
        <w:rPr>
          <w:sz w:val="24"/>
        </w:rPr>
        <w:t>strategy for the 6</w:t>
      </w:r>
      <w:r w:rsidRPr="00C510DE">
        <w:rPr>
          <w:sz w:val="24"/>
        </w:rPr>
        <w:t>00</w:t>
      </w:r>
      <w:r w:rsidR="005F18CC">
        <w:rPr>
          <w:sz w:val="24"/>
        </w:rPr>
        <w:t>+</w:t>
      </w:r>
      <w:r w:rsidR="000A0303">
        <w:rPr>
          <w:sz w:val="24"/>
        </w:rPr>
        <w:t xml:space="preserve"> Asset O</w:t>
      </w:r>
      <w:r w:rsidRPr="00C510DE">
        <w:rPr>
          <w:sz w:val="24"/>
        </w:rPr>
        <w:t xml:space="preserve">wners across England, Wales and Northern Ireland. Details on the volumes of the organisations to be </w:t>
      </w:r>
      <w:r w:rsidR="005C65EE">
        <w:rPr>
          <w:sz w:val="24"/>
        </w:rPr>
        <w:t>engaged</w:t>
      </w:r>
      <w:r w:rsidR="005C65EE" w:rsidRPr="00C510DE">
        <w:rPr>
          <w:sz w:val="24"/>
        </w:rPr>
        <w:t xml:space="preserve"> </w:t>
      </w:r>
      <w:r w:rsidRPr="00C510DE">
        <w:rPr>
          <w:sz w:val="24"/>
        </w:rPr>
        <w:t>are available in section 9, Volumes.</w:t>
      </w:r>
      <w:r w:rsidR="001A2A07">
        <w:rPr>
          <w:sz w:val="24"/>
        </w:rPr>
        <w:t xml:space="preserve"> A</w:t>
      </w:r>
      <w:r w:rsidR="00906F80">
        <w:rPr>
          <w:sz w:val="24"/>
        </w:rPr>
        <w:t xml:space="preserve"> list of the </w:t>
      </w:r>
      <w:r w:rsidR="001A2A07">
        <w:rPr>
          <w:sz w:val="24"/>
        </w:rPr>
        <w:t xml:space="preserve">majority of the </w:t>
      </w:r>
      <w:r w:rsidR="00906F80">
        <w:rPr>
          <w:sz w:val="24"/>
        </w:rPr>
        <w:t xml:space="preserve">Asset Owners across the country is available in Appendix </w:t>
      </w:r>
      <w:r w:rsidR="009902E7">
        <w:rPr>
          <w:sz w:val="24"/>
        </w:rPr>
        <w:t>A</w:t>
      </w:r>
      <w:r w:rsidR="00D336FC">
        <w:rPr>
          <w:sz w:val="24"/>
        </w:rPr>
        <w:t xml:space="preserve">. </w:t>
      </w:r>
    </w:p>
    <w:p w14:paraId="3B561268" w14:textId="70FFC866" w:rsidR="00C510DE" w:rsidRDefault="00C510DE" w:rsidP="00C510DE">
      <w:pPr>
        <w:pStyle w:val="Heading3"/>
        <w:rPr>
          <w:sz w:val="24"/>
        </w:rPr>
      </w:pPr>
      <w:r w:rsidRPr="00C510DE">
        <w:rPr>
          <w:sz w:val="24"/>
        </w:rPr>
        <w:t xml:space="preserve">The expected effort of </w:t>
      </w:r>
      <w:r w:rsidR="00C325E4">
        <w:rPr>
          <w:sz w:val="24"/>
        </w:rPr>
        <w:t>engaging</w:t>
      </w:r>
      <w:r w:rsidR="00C325E4" w:rsidRPr="00C510DE">
        <w:rPr>
          <w:sz w:val="24"/>
        </w:rPr>
        <w:t xml:space="preserve"> </w:t>
      </w:r>
      <w:r w:rsidRPr="00C510DE">
        <w:rPr>
          <w:sz w:val="24"/>
        </w:rPr>
        <w:t xml:space="preserve">stakeholders and collecting their </w:t>
      </w:r>
      <w:r w:rsidRPr="00C979A5">
        <w:rPr>
          <w:sz w:val="24"/>
        </w:rPr>
        <w:t xml:space="preserve">data is not </w:t>
      </w:r>
      <w:r w:rsidR="000A0303">
        <w:rPr>
          <w:sz w:val="24"/>
        </w:rPr>
        <w:t>consistent across the Asset O</w:t>
      </w:r>
      <w:r w:rsidR="00244579" w:rsidRPr="00C979A5">
        <w:rPr>
          <w:sz w:val="24"/>
        </w:rPr>
        <w:t>wners.</w:t>
      </w:r>
      <w:r w:rsidRPr="00C510DE">
        <w:rPr>
          <w:sz w:val="24"/>
        </w:rPr>
        <w:t xml:space="preserve"> Experience during the pilot and preparation phases indicated that the effort is proportionate to the size of the utility providers. Local authorities demonstrated little consistency in the way they manage and maintain information, therefore it is not expected that one approach will be appropriate for all local authorities. </w:t>
      </w:r>
    </w:p>
    <w:p w14:paraId="5C9F5163" w14:textId="78FD4735" w:rsidR="007916F9" w:rsidRPr="007916F9" w:rsidRDefault="00D56DBB" w:rsidP="00341001">
      <w:pPr>
        <w:pStyle w:val="Heading3"/>
      </w:pPr>
      <w:r w:rsidRPr="00D56DBB">
        <w:rPr>
          <w:sz w:val="24"/>
        </w:rPr>
        <w:t>The Supplier will create a Data Exploration Agreement</w:t>
      </w:r>
      <w:r>
        <w:rPr>
          <w:sz w:val="24"/>
        </w:rPr>
        <w:t>,</w:t>
      </w:r>
      <w:r w:rsidRPr="00D56DBB">
        <w:rPr>
          <w:sz w:val="24"/>
        </w:rPr>
        <w:t xml:space="preserve"> which will be required to enable the Supplier to discover, explore and map – but not publish – Asset Owners’ data. The Customer will issue instructions to the Supplier concerning the use and permitted content of Data Exploration Agreements, and the Supplier will create a Data Exploration Agreement</w:t>
      </w:r>
      <w:r>
        <w:rPr>
          <w:sz w:val="24"/>
        </w:rPr>
        <w:t>,</w:t>
      </w:r>
      <w:r w:rsidRPr="00D56DBB">
        <w:rPr>
          <w:sz w:val="24"/>
        </w:rPr>
        <w:t xml:space="preserve"> which is identical, or broadly equivalent, to that set out in Appendix B. The Supplier will issue </w:t>
      </w:r>
      <w:r w:rsidRPr="00D56DBB">
        <w:rPr>
          <w:sz w:val="24"/>
        </w:rPr>
        <w:lastRenderedPageBreak/>
        <w:t>these Data Exploration Agreements and sign them with Asset Owners</w:t>
      </w:r>
      <w:r w:rsidR="00C83562">
        <w:rPr>
          <w:sz w:val="24"/>
        </w:rPr>
        <w:t xml:space="preserve">. </w:t>
      </w:r>
    </w:p>
    <w:p w14:paraId="6BE25002" w14:textId="6CD904F0" w:rsidR="00341001" w:rsidRPr="00CB77CE" w:rsidRDefault="00C83562" w:rsidP="00341001">
      <w:pPr>
        <w:pStyle w:val="Heading3"/>
      </w:pPr>
      <w:r>
        <w:rPr>
          <w:sz w:val="24"/>
        </w:rPr>
        <w:t xml:space="preserve">The Data Exploration Agreements </w:t>
      </w:r>
      <w:r w:rsidR="002F312C">
        <w:rPr>
          <w:sz w:val="24"/>
        </w:rPr>
        <w:t>should be time limited</w:t>
      </w:r>
      <w:r w:rsidR="00BD7228">
        <w:rPr>
          <w:sz w:val="24"/>
        </w:rPr>
        <w:t xml:space="preserve"> (including that they should expire on or before the expiry of the contract)</w:t>
      </w:r>
      <w:r w:rsidR="002F312C">
        <w:rPr>
          <w:sz w:val="24"/>
        </w:rPr>
        <w:t xml:space="preserve">, should expire as soon as a Data Distribution Agreement is signed </w:t>
      </w:r>
      <w:r w:rsidR="0081181D">
        <w:rPr>
          <w:sz w:val="24"/>
        </w:rPr>
        <w:t xml:space="preserve">between the Customer and </w:t>
      </w:r>
      <w:r w:rsidR="002F312C">
        <w:rPr>
          <w:sz w:val="24"/>
        </w:rPr>
        <w:t>the relevant Asset Owner, and should limit Supplier use of Asset Owner data received through data exploration to that which is strictly necessary for the Supplier’s performance of its obligations.</w:t>
      </w:r>
    </w:p>
    <w:p w14:paraId="17C025D0" w14:textId="6C42C40C" w:rsidR="00191369" w:rsidRPr="00CB77CE" w:rsidRDefault="00191369" w:rsidP="00341001">
      <w:pPr>
        <w:pStyle w:val="Heading3"/>
      </w:pPr>
      <w:r>
        <w:rPr>
          <w:sz w:val="24"/>
        </w:rPr>
        <w:t>The Data Exploration Agreements will not cover the legal framework for the data to be published on the Core Platform. This will be enabled by the Data Distribution Agreements between the Customer and the Asset Owners, the completion of which will be deliver</w:t>
      </w:r>
      <w:r w:rsidR="002C3F4D">
        <w:rPr>
          <w:sz w:val="24"/>
        </w:rPr>
        <w:t>ed</w:t>
      </w:r>
      <w:r>
        <w:rPr>
          <w:sz w:val="24"/>
        </w:rPr>
        <w:t xml:space="preserve"> in parallel by the Customer’s onboarding and legal workstream.</w:t>
      </w:r>
    </w:p>
    <w:p w14:paraId="478A55DF" w14:textId="52A07C1D" w:rsidR="00191369" w:rsidRPr="00CB77CE" w:rsidRDefault="00191369" w:rsidP="00341001">
      <w:pPr>
        <w:pStyle w:val="Heading3"/>
      </w:pPr>
      <w:r>
        <w:rPr>
          <w:sz w:val="24"/>
        </w:rPr>
        <w:t xml:space="preserve">The Supplier will inform the Asset Owners of the signing process of the Data Distribution Agreements and will introduce their high-level content to the Asset Owners, before handing over to the Customer to commence the </w:t>
      </w:r>
      <w:r w:rsidR="00FC5381">
        <w:rPr>
          <w:sz w:val="24"/>
        </w:rPr>
        <w:t>signing-off process of the Data Distribution Agreements</w:t>
      </w:r>
      <w:r>
        <w:rPr>
          <w:sz w:val="24"/>
        </w:rPr>
        <w:t xml:space="preserve">. </w:t>
      </w:r>
    </w:p>
    <w:p w14:paraId="67DF3072" w14:textId="042ADFE5" w:rsidR="00191369" w:rsidRPr="00C510DE" w:rsidRDefault="00191369" w:rsidP="00341001">
      <w:pPr>
        <w:pStyle w:val="Heading3"/>
      </w:pPr>
      <w:r>
        <w:rPr>
          <w:sz w:val="24"/>
        </w:rPr>
        <w:t xml:space="preserve">When the Customer has achieved early sign off of the Data Distribution Agreements, the Supplier will not be required to </w:t>
      </w:r>
      <w:r w:rsidR="003F7A67">
        <w:rPr>
          <w:sz w:val="24"/>
        </w:rPr>
        <w:t>sign Data Exploration Agreements, as the access to the Asset Owner’s data is covered by the Data Distribution Agreement.</w:t>
      </w:r>
    </w:p>
    <w:p w14:paraId="42DB1A7C" w14:textId="042F9D84" w:rsidR="00C510DE" w:rsidRPr="00C510DE" w:rsidRDefault="00260634" w:rsidP="00C510DE">
      <w:pPr>
        <w:pStyle w:val="Heading3"/>
        <w:numPr>
          <w:ilvl w:val="0"/>
          <w:numId w:val="0"/>
        </w:numPr>
        <w:ind w:left="851"/>
        <w:rPr>
          <w:sz w:val="24"/>
          <w:u w:val="single"/>
        </w:rPr>
      </w:pPr>
      <w:r>
        <w:rPr>
          <w:sz w:val="24"/>
          <w:u w:val="single"/>
        </w:rPr>
        <w:t xml:space="preserve">Regional </w:t>
      </w:r>
      <w:r w:rsidR="00C510DE" w:rsidRPr="00C510DE">
        <w:rPr>
          <w:sz w:val="24"/>
          <w:u w:val="single"/>
        </w:rPr>
        <w:t>MVP requirements</w:t>
      </w:r>
    </w:p>
    <w:p w14:paraId="6A93E2C2" w14:textId="45AD4BC7" w:rsidR="00C510DE" w:rsidRPr="00C510DE" w:rsidRDefault="00C510DE" w:rsidP="001E0A32">
      <w:pPr>
        <w:pStyle w:val="Heading3"/>
      </w:pPr>
      <w:r w:rsidRPr="001E0A32">
        <w:rPr>
          <w:sz w:val="24"/>
        </w:rPr>
        <w:t>The regional rollout of the MVP will be delivered in the North East of England, London and Wales. The Supplier will commence the engagement</w:t>
      </w:r>
      <w:r w:rsidR="003E4EB4" w:rsidRPr="001E0A32">
        <w:rPr>
          <w:sz w:val="24"/>
        </w:rPr>
        <w:t xml:space="preserve"> with</w:t>
      </w:r>
      <w:r w:rsidRPr="001E0A32">
        <w:rPr>
          <w:sz w:val="24"/>
        </w:rPr>
        <w:t xml:space="preserve"> </w:t>
      </w:r>
      <w:r w:rsidR="006E3C74" w:rsidRPr="001E0A32">
        <w:rPr>
          <w:sz w:val="24"/>
        </w:rPr>
        <w:t xml:space="preserve">Asset Owners as dictated by a priority order defined by the Customer (Appendix </w:t>
      </w:r>
      <w:r w:rsidR="00D8230A" w:rsidRPr="001E0A32">
        <w:rPr>
          <w:sz w:val="24"/>
        </w:rPr>
        <w:t>A</w:t>
      </w:r>
      <w:r w:rsidR="006E3C74" w:rsidRPr="001E0A32">
        <w:rPr>
          <w:sz w:val="24"/>
        </w:rPr>
        <w:t>)</w:t>
      </w:r>
      <w:r w:rsidRPr="001E0A32">
        <w:rPr>
          <w:sz w:val="24"/>
        </w:rPr>
        <w:t>.</w:t>
      </w:r>
      <w:r w:rsidR="001E0A32" w:rsidRPr="001E0A32">
        <w:rPr>
          <w:sz w:val="24"/>
        </w:rPr>
        <w:t xml:space="preserve"> The Supplier will be responsible for finalising 'Group 4' of the MVP Asset Owner list (Appendix A)</w:t>
      </w:r>
      <w:r w:rsidR="002C181B">
        <w:rPr>
          <w:sz w:val="24"/>
        </w:rPr>
        <w:t xml:space="preserve"> through confirming the coverage in the MVP Regions</w:t>
      </w:r>
      <w:r w:rsidR="001E0A32" w:rsidRPr="001E0A32">
        <w:rPr>
          <w:sz w:val="24"/>
        </w:rPr>
        <w:t>. The Customer will sign off changes to this list, including the deletion of Asset Owner</w:t>
      </w:r>
      <w:r w:rsidR="00BE0B2D">
        <w:rPr>
          <w:sz w:val="24"/>
        </w:rPr>
        <w:t>s</w:t>
      </w:r>
      <w:r w:rsidR="000B1529">
        <w:rPr>
          <w:sz w:val="24"/>
        </w:rPr>
        <w:t>,</w:t>
      </w:r>
      <w:r w:rsidR="00BE0B2D">
        <w:rPr>
          <w:sz w:val="24"/>
        </w:rPr>
        <w:t xml:space="preserve"> where no presence in the MVP r</w:t>
      </w:r>
      <w:r w:rsidR="001E0A32" w:rsidRPr="001E0A32">
        <w:rPr>
          <w:sz w:val="24"/>
        </w:rPr>
        <w:t>egions has been definitively confirmed and evidenced.</w:t>
      </w:r>
    </w:p>
    <w:p w14:paraId="466F12E7" w14:textId="77777777" w:rsidR="00C510DE" w:rsidRPr="00C510DE" w:rsidRDefault="00C510DE" w:rsidP="00C510DE">
      <w:pPr>
        <w:pStyle w:val="Heading3"/>
        <w:rPr>
          <w:sz w:val="24"/>
        </w:rPr>
      </w:pPr>
      <w:r w:rsidRPr="00C510DE">
        <w:rPr>
          <w:sz w:val="24"/>
        </w:rPr>
        <w:t>The Supplier will be responsible for delivering the following activities:</w:t>
      </w:r>
    </w:p>
    <w:p w14:paraId="2E350D5F" w14:textId="62B7B9DE" w:rsidR="00C510DE" w:rsidRPr="00F05BBE" w:rsidRDefault="00260634" w:rsidP="00C510DE">
      <w:pPr>
        <w:pStyle w:val="Heading4"/>
        <w:rPr>
          <w:sz w:val="24"/>
        </w:rPr>
      </w:pPr>
      <w:r>
        <w:rPr>
          <w:sz w:val="24"/>
        </w:rPr>
        <w:t>Asset O</w:t>
      </w:r>
      <w:r w:rsidR="00C510DE" w:rsidRPr="00F05BBE">
        <w:rPr>
          <w:sz w:val="24"/>
        </w:rPr>
        <w:t>wner initial engagement</w:t>
      </w:r>
      <w:r>
        <w:rPr>
          <w:sz w:val="24"/>
        </w:rPr>
        <w:t>;</w:t>
      </w:r>
    </w:p>
    <w:p w14:paraId="444ECD1A" w14:textId="51ACB36B" w:rsidR="00C510DE" w:rsidRDefault="00CE78C5" w:rsidP="00C510DE">
      <w:pPr>
        <w:pStyle w:val="Heading4"/>
        <w:rPr>
          <w:sz w:val="24"/>
        </w:rPr>
      </w:pPr>
      <w:r>
        <w:rPr>
          <w:sz w:val="24"/>
        </w:rPr>
        <w:t>Data Exploration Agreement sign-off (if applicable)</w:t>
      </w:r>
      <w:r w:rsidR="00260634">
        <w:rPr>
          <w:sz w:val="24"/>
        </w:rPr>
        <w:t>;</w:t>
      </w:r>
    </w:p>
    <w:p w14:paraId="696BFFE3" w14:textId="55B6A8FE" w:rsidR="000B6C0D" w:rsidRPr="00F05BBE" w:rsidRDefault="000B6C0D" w:rsidP="00C510DE">
      <w:pPr>
        <w:pStyle w:val="Heading4"/>
        <w:rPr>
          <w:sz w:val="24"/>
        </w:rPr>
      </w:pPr>
      <w:r>
        <w:rPr>
          <w:sz w:val="24"/>
        </w:rPr>
        <w:lastRenderedPageBreak/>
        <w:t xml:space="preserve">Introduction of Asset Owners to the Customer </w:t>
      </w:r>
      <w:r w:rsidR="003F7A67">
        <w:rPr>
          <w:sz w:val="24"/>
        </w:rPr>
        <w:t>o</w:t>
      </w:r>
      <w:r>
        <w:rPr>
          <w:sz w:val="24"/>
        </w:rPr>
        <w:t xml:space="preserve">nboarding and </w:t>
      </w:r>
      <w:r w:rsidR="003F7A67">
        <w:rPr>
          <w:sz w:val="24"/>
        </w:rPr>
        <w:t>l</w:t>
      </w:r>
      <w:r>
        <w:rPr>
          <w:sz w:val="24"/>
        </w:rPr>
        <w:t>egal process in a state of preparedness ahead of signing the Data Distribution Agreement with the Customer</w:t>
      </w:r>
    </w:p>
    <w:p w14:paraId="30B063D2" w14:textId="5E44A254" w:rsidR="00C510DE" w:rsidRPr="00F05BBE" w:rsidRDefault="00616C09" w:rsidP="00C510DE">
      <w:pPr>
        <w:pStyle w:val="Heading4"/>
        <w:rPr>
          <w:sz w:val="24"/>
        </w:rPr>
      </w:pPr>
      <w:r>
        <w:rPr>
          <w:sz w:val="24"/>
        </w:rPr>
        <w:t xml:space="preserve">Discovery of </w:t>
      </w:r>
      <w:r w:rsidR="000A0303">
        <w:rPr>
          <w:sz w:val="24"/>
        </w:rPr>
        <w:t>Asset O</w:t>
      </w:r>
      <w:r w:rsidR="00C510DE" w:rsidRPr="00F05BBE">
        <w:rPr>
          <w:sz w:val="24"/>
        </w:rPr>
        <w:t>wners’ data</w:t>
      </w:r>
      <w:r w:rsidR="00260634">
        <w:rPr>
          <w:sz w:val="24"/>
        </w:rPr>
        <w:t>;</w:t>
      </w:r>
    </w:p>
    <w:p w14:paraId="79F23246" w14:textId="47649456" w:rsidR="00C510DE" w:rsidRDefault="006E3C74" w:rsidP="00C510DE">
      <w:pPr>
        <w:pStyle w:val="Heading4"/>
        <w:rPr>
          <w:sz w:val="24"/>
        </w:rPr>
      </w:pPr>
      <w:r>
        <w:rPr>
          <w:sz w:val="24"/>
        </w:rPr>
        <w:t>Receipt and storage of data supplied</w:t>
      </w:r>
      <w:r w:rsidR="000A0303">
        <w:rPr>
          <w:sz w:val="24"/>
        </w:rPr>
        <w:t xml:space="preserve"> by Asset O</w:t>
      </w:r>
      <w:r w:rsidR="00C510DE" w:rsidRPr="00F05BBE">
        <w:rPr>
          <w:sz w:val="24"/>
        </w:rPr>
        <w:t>wners</w:t>
      </w:r>
      <w:r>
        <w:rPr>
          <w:sz w:val="24"/>
        </w:rPr>
        <w:t xml:space="preserve">, under the terms of the Data Distribution Agreement or the Data Exploration Agreement, </w:t>
      </w:r>
      <w:r w:rsidR="00C510DE" w:rsidRPr="00F05BBE">
        <w:rPr>
          <w:sz w:val="24"/>
        </w:rPr>
        <w:t>before proceeding with transformation</w:t>
      </w:r>
      <w:r w:rsidR="00BE0B2D">
        <w:rPr>
          <w:sz w:val="24"/>
        </w:rPr>
        <w:t>;</w:t>
      </w:r>
    </w:p>
    <w:p w14:paraId="2F8E0A58" w14:textId="12E248F5" w:rsidR="00BE0B2D" w:rsidRDefault="00BE0B2D" w:rsidP="00C510DE">
      <w:pPr>
        <w:pStyle w:val="Heading4"/>
        <w:rPr>
          <w:sz w:val="24"/>
        </w:rPr>
      </w:pPr>
      <w:r>
        <w:rPr>
          <w:sz w:val="24"/>
        </w:rPr>
        <w:t>Finalise ‘Group 4’ of the Asset Owner list (Appendix A)</w:t>
      </w:r>
      <w:r w:rsidR="00721F72">
        <w:rPr>
          <w:sz w:val="24"/>
        </w:rPr>
        <w:t>;</w:t>
      </w:r>
    </w:p>
    <w:p w14:paraId="35E5895A" w14:textId="7CBAD5A5" w:rsidR="00721F72" w:rsidRPr="00F05BBE" w:rsidRDefault="00721F72" w:rsidP="00C510DE">
      <w:pPr>
        <w:pStyle w:val="Heading4"/>
        <w:rPr>
          <w:sz w:val="24"/>
        </w:rPr>
      </w:pPr>
      <w:r>
        <w:rPr>
          <w:sz w:val="24"/>
        </w:rPr>
        <w:t>Provision of an information hub that will hold all relevant and up-to-date information on NUAR and all Asset Owners will have access to.</w:t>
      </w:r>
    </w:p>
    <w:p w14:paraId="2251D7BE" w14:textId="77777777" w:rsidR="00820204" w:rsidRDefault="00C510DE" w:rsidP="00C510DE">
      <w:pPr>
        <w:pStyle w:val="Heading3"/>
        <w:rPr>
          <w:sz w:val="24"/>
        </w:rPr>
      </w:pPr>
      <w:r w:rsidRPr="00C510DE">
        <w:rPr>
          <w:sz w:val="24"/>
        </w:rPr>
        <w:t>Some of these activities can be delivered concurrently. The length of and the effort fo</w:t>
      </w:r>
      <w:r w:rsidR="000A0303">
        <w:rPr>
          <w:sz w:val="24"/>
        </w:rPr>
        <w:t>r each activity depends on the Asset O</w:t>
      </w:r>
      <w:r w:rsidRPr="00C510DE">
        <w:rPr>
          <w:sz w:val="24"/>
        </w:rPr>
        <w:t xml:space="preserve">wners’ size, circumstance and appetite. </w:t>
      </w:r>
    </w:p>
    <w:p w14:paraId="03963F1D" w14:textId="3148D54B" w:rsidR="0010214C" w:rsidRDefault="00C510DE" w:rsidP="00C510DE">
      <w:pPr>
        <w:pStyle w:val="Heading3"/>
        <w:rPr>
          <w:sz w:val="24"/>
        </w:rPr>
      </w:pPr>
      <w:r w:rsidRPr="00C510DE">
        <w:rPr>
          <w:sz w:val="24"/>
        </w:rPr>
        <w:t>The Supplier will</w:t>
      </w:r>
      <w:r w:rsidR="000A0303">
        <w:rPr>
          <w:sz w:val="24"/>
        </w:rPr>
        <w:t xml:space="preserve"> request information about the Asset O</w:t>
      </w:r>
      <w:r w:rsidRPr="00C510DE">
        <w:rPr>
          <w:sz w:val="24"/>
        </w:rPr>
        <w:t xml:space="preserve">wners’ data and information management systems at the earliest stages of the engagement in order to inform the development and </w:t>
      </w:r>
      <w:r w:rsidR="0010214C">
        <w:rPr>
          <w:sz w:val="24"/>
        </w:rPr>
        <w:t xml:space="preserve">data </w:t>
      </w:r>
      <w:r w:rsidRPr="00C510DE">
        <w:rPr>
          <w:sz w:val="24"/>
        </w:rPr>
        <w:t>transformation workstreams. This will include any data catal</w:t>
      </w:r>
      <w:r w:rsidR="000A0303">
        <w:rPr>
          <w:sz w:val="24"/>
        </w:rPr>
        <w:t>ogues or data dictionaries the Asset O</w:t>
      </w:r>
      <w:r w:rsidRPr="00C510DE">
        <w:rPr>
          <w:sz w:val="24"/>
        </w:rPr>
        <w:t xml:space="preserve">wners </w:t>
      </w:r>
      <w:r w:rsidR="0010214C">
        <w:rPr>
          <w:sz w:val="24"/>
        </w:rPr>
        <w:t>may already maintain about their data</w:t>
      </w:r>
      <w:r w:rsidRPr="00C510DE">
        <w:rPr>
          <w:sz w:val="24"/>
        </w:rPr>
        <w:t>.</w:t>
      </w:r>
    </w:p>
    <w:p w14:paraId="47C82C35" w14:textId="7B9FF9E8" w:rsidR="00C510DE" w:rsidRPr="00C510DE" w:rsidRDefault="00321CD2" w:rsidP="00C510DE">
      <w:pPr>
        <w:pStyle w:val="Heading3"/>
        <w:rPr>
          <w:sz w:val="24"/>
        </w:rPr>
      </w:pPr>
      <w:r>
        <w:rPr>
          <w:sz w:val="24"/>
        </w:rPr>
        <w:t>The</w:t>
      </w:r>
      <w:r w:rsidRPr="00C510DE">
        <w:rPr>
          <w:sz w:val="24"/>
        </w:rPr>
        <w:t xml:space="preserve"> </w:t>
      </w:r>
      <w:r w:rsidR="003E4EB4">
        <w:rPr>
          <w:sz w:val="24"/>
        </w:rPr>
        <w:t>D</w:t>
      </w:r>
      <w:r w:rsidR="003E4EB4" w:rsidRPr="00C510DE">
        <w:rPr>
          <w:sz w:val="24"/>
        </w:rPr>
        <w:t xml:space="preserve">ata </w:t>
      </w:r>
      <w:r w:rsidR="003E4EB4">
        <w:rPr>
          <w:sz w:val="24"/>
        </w:rPr>
        <w:t>E</w:t>
      </w:r>
      <w:r w:rsidR="003E4EB4" w:rsidRPr="00C510DE">
        <w:rPr>
          <w:sz w:val="24"/>
        </w:rPr>
        <w:t xml:space="preserve">xploration </w:t>
      </w:r>
      <w:r w:rsidR="003E4EB4">
        <w:rPr>
          <w:sz w:val="24"/>
        </w:rPr>
        <w:t>A</w:t>
      </w:r>
      <w:r w:rsidR="0010214C">
        <w:rPr>
          <w:sz w:val="24"/>
        </w:rPr>
        <w:t>greements</w:t>
      </w:r>
      <w:r w:rsidR="0010214C" w:rsidRPr="00C510DE">
        <w:rPr>
          <w:sz w:val="24"/>
        </w:rPr>
        <w:t xml:space="preserve"> </w:t>
      </w:r>
      <w:r>
        <w:rPr>
          <w:sz w:val="24"/>
        </w:rPr>
        <w:t>will</w:t>
      </w:r>
      <w:r w:rsidRPr="00C510DE">
        <w:rPr>
          <w:sz w:val="24"/>
        </w:rPr>
        <w:t xml:space="preserve"> </w:t>
      </w:r>
      <w:r w:rsidR="00C510DE" w:rsidRPr="00C510DE">
        <w:rPr>
          <w:sz w:val="24"/>
        </w:rPr>
        <w:t xml:space="preserve">be required to streamline the </w:t>
      </w:r>
      <w:r w:rsidR="00E304DD">
        <w:rPr>
          <w:sz w:val="24"/>
        </w:rPr>
        <w:t>initiation of the Data Transformation</w:t>
      </w:r>
      <w:r w:rsidR="00E304DD" w:rsidRPr="00C510DE">
        <w:rPr>
          <w:sz w:val="24"/>
        </w:rPr>
        <w:t xml:space="preserve"> </w:t>
      </w:r>
      <w:r w:rsidR="00C510DE" w:rsidRPr="00C510DE">
        <w:rPr>
          <w:sz w:val="24"/>
        </w:rPr>
        <w:t>process.</w:t>
      </w:r>
      <w:r w:rsidR="00D307ED">
        <w:rPr>
          <w:sz w:val="24"/>
        </w:rPr>
        <w:t xml:space="preserve"> The Supplier will be able to </w:t>
      </w:r>
      <w:r w:rsidR="0010214C">
        <w:rPr>
          <w:sz w:val="24"/>
        </w:rPr>
        <w:t>receive and assess</w:t>
      </w:r>
      <w:r w:rsidR="00D307ED">
        <w:rPr>
          <w:sz w:val="24"/>
        </w:rPr>
        <w:t xml:space="preserve"> the Asset Owners’ data </w:t>
      </w:r>
      <w:r w:rsidR="0010214C">
        <w:rPr>
          <w:sz w:val="24"/>
        </w:rPr>
        <w:t>under the terms of</w:t>
      </w:r>
      <w:r w:rsidR="00D307ED">
        <w:rPr>
          <w:sz w:val="24"/>
        </w:rPr>
        <w:t xml:space="preserve"> the Data Exploration Agreements if the Data Distribution Agreements are not signed early on</w:t>
      </w:r>
      <w:r>
        <w:rPr>
          <w:sz w:val="24"/>
        </w:rPr>
        <w:t>.</w:t>
      </w:r>
      <w:r w:rsidR="00D307ED">
        <w:rPr>
          <w:sz w:val="24"/>
        </w:rPr>
        <w:t xml:space="preserve"> </w:t>
      </w:r>
    </w:p>
    <w:p w14:paraId="7FD41BFC" w14:textId="76C3B997" w:rsidR="00C510DE" w:rsidRPr="00C510DE" w:rsidRDefault="00C510DE" w:rsidP="00C510DE">
      <w:pPr>
        <w:pStyle w:val="Heading3"/>
        <w:rPr>
          <w:sz w:val="24"/>
        </w:rPr>
      </w:pPr>
      <w:r w:rsidRPr="00C510DE">
        <w:rPr>
          <w:sz w:val="24"/>
        </w:rPr>
        <w:t xml:space="preserve">The Supplier will be responsible for facilitating </w:t>
      </w:r>
      <w:r w:rsidR="00FC73DC">
        <w:rPr>
          <w:sz w:val="24"/>
        </w:rPr>
        <w:t>discussions</w:t>
      </w:r>
      <w:r w:rsidRPr="00C510DE">
        <w:rPr>
          <w:sz w:val="24"/>
        </w:rPr>
        <w:t xml:space="preserve"> with the </w:t>
      </w:r>
      <w:r w:rsidR="000A0303">
        <w:rPr>
          <w:sz w:val="24"/>
        </w:rPr>
        <w:t>Asset Owners</w:t>
      </w:r>
      <w:r w:rsidR="005953E3">
        <w:rPr>
          <w:sz w:val="24"/>
        </w:rPr>
        <w:t xml:space="preserve">, acting </w:t>
      </w:r>
      <w:r w:rsidR="00936773">
        <w:rPr>
          <w:sz w:val="24"/>
        </w:rPr>
        <w:t xml:space="preserve">on behalf of </w:t>
      </w:r>
      <w:r w:rsidR="005953E3">
        <w:rPr>
          <w:sz w:val="24"/>
        </w:rPr>
        <w:t>to the Customer</w:t>
      </w:r>
      <w:r w:rsidR="00FC73DC">
        <w:rPr>
          <w:sz w:val="24"/>
        </w:rPr>
        <w:t xml:space="preserve"> and for ensuring that Asset Owners </w:t>
      </w:r>
      <w:r w:rsidR="005F1B29">
        <w:rPr>
          <w:sz w:val="24"/>
        </w:rPr>
        <w:t xml:space="preserve">are in a state of preparedness to </w:t>
      </w:r>
      <w:r w:rsidR="00FC73DC">
        <w:rPr>
          <w:sz w:val="24"/>
        </w:rPr>
        <w:t>sign the Data Distribution Agreements</w:t>
      </w:r>
      <w:r w:rsidR="005F1B29">
        <w:rPr>
          <w:sz w:val="24"/>
        </w:rPr>
        <w:t xml:space="preserve"> with the Customer</w:t>
      </w:r>
      <w:r w:rsidR="00FC73DC">
        <w:rPr>
          <w:sz w:val="24"/>
        </w:rPr>
        <w:t>.</w:t>
      </w:r>
      <w:r w:rsidR="000A0303">
        <w:rPr>
          <w:sz w:val="24"/>
        </w:rPr>
        <w:t xml:space="preserve"> </w:t>
      </w:r>
    </w:p>
    <w:p w14:paraId="1CF3E4E1" w14:textId="12EBF1CA" w:rsidR="00C510DE" w:rsidRPr="00C510DE" w:rsidRDefault="00C510DE" w:rsidP="00C510DE">
      <w:pPr>
        <w:pStyle w:val="Heading3"/>
        <w:rPr>
          <w:sz w:val="24"/>
        </w:rPr>
      </w:pPr>
      <w:r w:rsidRPr="00C510DE">
        <w:rPr>
          <w:sz w:val="24"/>
        </w:rPr>
        <w:t xml:space="preserve">The Supplier will </w:t>
      </w:r>
      <w:r w:rsidR="00AA6BEC">
        <w:rPr>
          <w:sz w:val="24"/>
        </w:rPr>
        <w:t>provide information and assistance</w:t>
      </w:r>
      <w:r w:rsidRPr="00C510DE">
        <w:rPr>
          <w:sz w:val="24"/>
        </w:rPr>
        <w:t xml:space="preserve"> </w:t>
      </w:r>
      <w:r w:rsidR="00AA6BEC">
        <w:rPr>
          <w:sz w:val="24"/>
        </w:rPr>
        <w:t xml:space="preserve">to </w:t>
      </w:r>
      <w:r w:rsidR="00845270">
        <w:rPr>
          <w:sz w:val="24"/>
        </w:rPr>
        <w:t xml:space="preserve">onboarded </w:t>
      </w:r>
      <w:r w:rsidR="000A0303">
        <w:rPr>
          <w:sz w:val="24"/>
        </w:rPr>
        <w:t>Asset Owners' and End U</w:t>
      </w:r>
      <w:r w:rsidRPr="00C510DE">
        <w:rPr>
          <w:sz w:val="24"/>
        </w:rPr>
        <w:t xml:space="preserve">sers' organisations </w:t>
      </w:r>
      <w:r w:rsidR="00AA6BEC">
        <w:rPr>
          <w:sz w:val="24"/>
        </w:rPr>
        <w:t xml:space="preserve">so </w:t>
      </w:r>
      <w:r w:rsidR="00AA6BEC" w:rsidRPr="00C510DE">
        <w:rPr>
          <w:sz w:val="24"/>
        </w:rPr>
        <w:t xml:space="preserve">that NUAR is embedded as business as usual </w:t>
      </w:r>
      <w:r w:rsidRPr="00C510DE">
        <w:rPr>
          <w:sz w:val="24"/>
        </w:rPr>
        <w:t xml:space="preserve">for utility searches and data sharing, for planned and emergency works. </w:t>
      </w:r>
      <w:r w:rsidR="00EA2EC5">
        <w:rPr>
          <w:sz w:val="24"/>
        </w:rPr>
        <w:t xml:space="preserve">The Supplier will enable access </w:t>
      </w:r>
      <w:r w:rsidR="0010214C">
        <w:rPr>
          <w:sz w:val="24"/>
        </w:rPr>
        <w:t>for</w:t>
      </w:r>
      <w:r w:rsidR="00EA2EC5">
        <w:rPr>
          <w:sz w:val="24"/>
        </w:rPr>
        <w:t xml:space="preserve"> all Asset Owners and End Users to the same level of information</w:t>
      </w:r>
      <w:r w:rsidR="0010214C">
        <w:rPr>
          <w:sz w:val="24"/>
        </w:rPr>
        <w:t>.</w:t>
      </w:r>
      <w:r w:rsidR="00EA2EC5">
        <w:rPr>
          <w:sz w:val="24"/>
        </w:rPr>
        <w:t xml:space="preserve"> </w:t>
      </w:r>
      <w:r w:rsidR="0010214C">
        <w:rPr>
          <w:sz w:val="24"/>
        </w:rPr>
        <w:t>K</w:t>
      </w:r>
      <w:r w:rsidR="00EA2EC5">
        <w:rPr>
          <w:sz w:val="24"/>
        </w:rPr>
        <w:t>nowledge</w:t>
      </w:r>
      <w:r w:rsidR="00321CD2">
        <w:rPr>
          <w:sz w:val="24"/>
        </w:rPr>
        <w:t xml:space="preserve"> and information</w:t>
      </w:r>
      <w:r w:rsidR="00EA2EC5">
        <w:rPr>
          <w:sz w:val="24"/>
        </w:rPr>
        <w:t xml:space="preserve"> hubs</w:t>
      </w:r>
      <w:r w:rsidR="00AC136B">
        <w:rPr>
          <w:sz w:val="24"/>
        </w:rPr>
        <w:t>, Customer Relationship Management system</w:t>
      </w:r>
      <w:r w:rsidR="00EA2EC5">
        <w:rPr>
          <w:sz w:val="24"/>
        </w:rPr>
        <w:t xml:space="preserve"> and forums should be considered for information exchange</w:t>
      </w:r>
      <w:r w:rsidR="00AC136B">
        <w:rPr>
          <w:sz w:val="24"/>
        </w:rPr>
        <w:t xml:space="preserve"> and Asset Owner engagement</w:t>
      </w:r>
      <w:r w:rsidR="00EA2EC5">
        <w:rPr>
          <w:sz w:val="24"/>
        </w:rPr>
        <w:t>.</w:t>
      </w:r>
    </w:p>
    <w:p w14:paraId="53A05937" w14:textId="2571C723" w:rsidR="00C510DE" w:rsidRPr="00C510DE" w:rsidRDefault="00C510DE" w:rsidP="00C510DE">
      <w:pPr>
        <w:pStyle w:val="Heading3"/>
        <w:rPr>
          <w:sz w:val="24"/>
        </w:rPr>
      </w:pPr>
      <w:r w:rsidRPr="00C510DE">
        <w:rPr>
          <w:sz w:val="24"/>
        </w:rPr>
        <w:lastRenderedPageBreak/>
        <w:t>The Customer has completed research to understand the current processes for seeking and providing information abou</w:t>
      </w:r>
      <w:r w:rsidR="000A0303">
        <w:rPr>
          <w:sz w:val="24"/>
        </w:rPr>
        <w:t>t underground assets by Asset Owners and End U</w:t>
      </w:r>
      <w:r w:rsidRPr="00C510DE">
        <w:rPr>
          <w:sz w:val="24"/>
        </w:rPr>
        <w:t xml:space="preserve">sers. The collated information is available </w:t>
      </w:r>
      <w:r w:rsidRPr="005F18CC">
        <w:rPr>
          <w:sz w:val="24"/>
        </w:rPr>
        <w:t>in</w:t>
      </w:r>
      <w:r w:rsidR="005F18CC" w:rsidRPr="005F18CC">
        <w:rPr>
          <w:sz w:val="24"/>
        </w:rPr>
        <w:t xml:space="preserve"> Appendix</w:t>
      </w:r>
      <w:r w:rsidRPr="005F18CC">
        <w:rPr>
          <w:sz w:val="24"/>
        </w:rPr>
        <w:t xml:space="preserve"> </w:t>
      </w:r>
      <w:r w:rsidR="00F17428">
        <w:rPr>
          <w:sz w:val="24"/>
        </w:rPr>
        <w:t>D</w:t>
      </w:r>
      <w:r w:rsidR="00845270">
        <w:rPr>
          <w:sz w:val="24"/>
        </w:rPr>
        <w:t>.</w:t>
      </w:r>
      <w:r w:rsidRPr="00C510DE">
        <w:rPr>
          <w:sz w:val="24"/>
        </w:rPr>
        <w:t xml:space="preserve"> The Supplier will use the information provided for the purposes of sizing the effort required for the business transformation</w:t>
      </w:r>
      <w:r w:rsidR="000D0D58">
        <w:rPr>
          <w:sz w:val="24"/>
        </w:rPr>
        <w:t xml:space="preserve"> and provide the Asset Owners with the relevant support and information</w:t>
      </w:r>
      <w:r w:rsidRPr="00C510DE">
        <w:rPr>
          <w:sz w:val="24"/>
        </w:rPr>
        <w:t xml:space="preserve">. </w:t>
      </w:r>
    </w:p>
    <w:p w14:paraId="7F2A1EEE" w14:textId="306170A7" w:rsidR="00713868" w:rsidRPr="00E975B6" w:rsidRDefault="00713868" w:rsidP="00713868">
      <w:pPr>
        <w:pStyle w:val="Heading3"/>
        <w:rPr>
          <w:sz w:val="24"/>
          <w:szCs w:val="24"/>
        </w:rPr>
      </w:pPr>
      <w:r w:rsidRPr="00713868">
        <w:rPr>
          <w:sz w:val="24"/>
          <w:szCs w:val="24"/>
        </w:rPr>
        <w:t>The Supplier will conduct user surveys to measure user satisfaction and NUAR uptake in operations in the MVP Region, 3 and 9 months after the MVP delivery, as described in Key Milestones and Deliverables, Section 7.</w:t>
      </w:r>
    </w:p>
    <w:p w14:paraId="03CC521F" w14:textId="77777777" w:rsidR="00C510DE" w:rsidRPr="00CB77CE" w:rsidRDefault="00C510DE" w:rsidP="00C510DE">
      <w:pPr>
        <w:pStyle w:val="Heading3"/>
        <w:numPr>
          <w:ilvl w:val="0"/>
          <w:numId w:val="0"/>
        </w:numPr>
        <w:ind w:left="851"/>
        <w:rPr>
          <w:sz w:val="24"/>
          <w:u w:val="single"/>
          <w:lang w:val="en-US"/>
        </w:rPr>
      </w:pPr>
      <w:r w:rsidRPr="00C510DE">
        <w:rPr>
          <w:sz w:val="24"/>
          <w:u w:val="single"/>
        </w:rPr>
        <w:t>National Rollout requirements</w:t>
      </w:r>
    </w:p>
    <w:p w14:paraId="50772609" w14:textId="0966928B" w:rsidR="00C510DE" w:rsidRPr="00C510DE" w:rsidRDefault="00C510DE" w:rsidP="00C510DE">
      <w:pPr>
        <w:pStyle w:val="Heading3"/>
        <w:rPr>
          <w:sz w:val="24"/>
        </w:rPr>
      </w:pPr>
      <w:r w:rsidRPr="00C510DE">
        <w:rPr>
          <w:sz w:val="24"/>
        </w:rPr>
        <w:t xml:space="preserve">The Supplier will conduct a gateway review at an agreed point </w:t>
      </w:r>
      <w:r w:rsidR="00907CEA">
        <w:rPr>
          <w:sz w:val="24"/>
        </w:rPr>
        <w:t xml:space="preserve">with the Customer </w:t>
      </w:r>
      <w:r w:rsidRPr="00C510DE">
        <w:rPr>
          <w:sz w:val="24"/>
        </w:rPr>
        <w:t xml:space="preserve">during the </w:t>
      </w:r>
      <w:r w:rsidR="00907CEA">
        <w:rPr>
          <w:sz w:val="24"/>
        </w:rPr>
        <w:t>MVP P</w:t>
      </w:r>
      <w:r w:rsidRPr="00C510DE">
        <w:rPr>
          <w:sz w:val="24"/>
        </w:rPr>
        <w:t xml:space="preserve">hase with a lessons learned exercise, which will identify best practices. The Supplier </w:t>
      </w:r>
      <w:r w:rsidR="00907CEA">
        <w:rPr>
          <w:sz w:val="24"/>
        </w:rPr>
        <w:t>will then produce the National R</w:t>
      </w:r>
      <w:r w:rsidRPr="00C510DE">
        <w:rPr>
          <w:sz w:val="24"/>
        </w:rPr>
        <w:t>ollout detailed scope with embedded lessons learned and best practices, which will be approved by the Customer before implementation.</w:t>
      </w:r>
    </w:p>
    <w:p w14:paraId="05FAF8A5" w14:textId="265C0243" w:rsidR="00C510DE" w:rsidRDefault="00907CEA" w:rsidP="00C510DE">
      <w:pPr>
        <w:pStyle w:val="Heading3"/>
        <w:rPr>
          <w:sz w:val="24"/>
        </w:rPr>
      </w:pPr>
      <w:r>
        <w:rPr>
          <w:sz w:val="24"/>
        </w:rPr>
        <w:t>As part of the National R</w:t>
      </w:r>
      <w:r w:rsidR="00C510DE" w:rsidRPr="00C510DE">
        <w:rPr>
          <w:sz w:val="24"/>
        </w:rPr>
        <w:t>ollout detailed scope, the Supplier will demonstrate the detailed engagement plan for the other</w:t>
      </w:r>
      <w:r w:rsidR="009861F3">
        <w:rPr>
          <w:sz w:val="24"/>
        </w:rPr>
        <w:t xml:space="preserve"> </w:t>
      </w:r>
      <w:r w:rsidR="008F1736" w:rsidRPr="00C510DE">
        <w:rPr>
          <w:sz w:val="24"/>
        </w:rPr>
        <w:t>eight</w:t>
      </w:r>
      <w:r w:rsidR="00C510DE" w:rsidRPr="00C510DE">
        <w:rPr>
          <w:sz w:val="24"/>
        </w:rPr>
        <w:t xml:space="preserve"> regions. The Supplier </w:t>
      </w:r>
      <w:r w:rsidR="00B93928">
        <w:rPr>
          <w:sz w:val="24"/>
        </w:rPr>
        <w:t xml:space="preserve">shall respond to any engagement initiated </w:t>
      </w:r>
      <w:r w:rsidR="00C510DE" w:rsidRPr="00C510DE">
        <w:rPr>
          <w:sz w:val="24"/>
        </w:rPr>
        <w:t xml:space="preserve">the stakeholders of the </w:t>
      </w:r>
      <w:r w:rsidR="008F1736" w:rsidRPr="00C510DE">
        <w:rPr>
          <w:sz w:val="24"/>
        </w:rPr>
        <w:t>eight</w:t>
      </w:r>
      <w:r w:rsidR="00C510DE" w:rsidRPr="00C510DE">
        <w:rPr>
          <w:sz w:val="24"/>
        </w:rPr>
        <w:t xml:space="preserve"> regions</w:t>
      </w:r>
      <w:r>
        <w:rPr>
          <w:sz w:val="24"/>
        </w:rPr>
        <w:t xml:space="preserve"> during the MVP P</w:t>
      </w:r>
      <w:r w:rsidR="00C510DE" w:rsidRPr="00C510DE">
        <w:rPr>
          <w:sz w:val="24"/>
        </w:rPr>
        <w:t xml:space="preserve">hase. The learnings from early engagement will be taken </w:t>
      </w:r>
      <w:r w:rsidR="001300E7">
        <w:rPr>
          <w:sz w:val="24"/>
        </w:rPr>
        <w:t>into account into the National R</w:t>
      </w:r>
      <w:r w:rsidR="00C510DE" w:rsidRPr="00C510DE">
        <w:rPr>
          <w:sz w:val="24"/>
        </w:rPr>
        <w:t xml:space="preserve">ollout </w:t>
      </w:r>
      <w:r w:rsidR="00747C91">
        <w:rPr>
          <w:sz w:val="24"/>
        </w:rPr>
        <w:t>engagement</w:t>
      </w:r>
      <w:r w:rsidR="00747C91" w:rsidRPr="00C510DE">
        <w:rPr>
          <w:sz w:val="24"/>
        </w:rPr>
        <w:t xml:space="preserve"> </w:t>
      </w:r>
      <w:r w:rsidR="00C510DE" w:rsidRPr="00C510DE">
        <w:rPr>
          <w:sz w:val="24"/>
        </w:rPr>
        <w:t>planning.</w:t>
      </w:r>
    </w:p>
    <w:p w14:paraId="288C45BE" w14:textId="5FD1E298" w:rsidR="008F1736" w:rsidRDefault="008F1736" w:rsidP="00C510DE">
      <w:pPr>
        <w:pStyle w:val="Heading3"/>
        <w:rPr>
          <w:sz w:val="24"/>
        </w:rPr>
      </w:pPr>
      <w:r w:rsidRPr="008F1736">
        <w:rPr>
          <w:sz w:val="24"/>
        </w:rPr>
        <w:t>The Supplier will work with the Customer to agree the composition, grouping and prioritisation of the Asset Owner list</w:t>
      </w:r>
      <w:r>
        <w:rPr>
          <w:sz w:val="24"/>
        </w:rPr>
        <w:t>,</w:t>
      </w:r>
      <w:r w:rsidRPr="008F1736">
        <w:rPr>
          <w:sz w:val="24"/>
        </w:rPr>
        <w:t xml:space="preserve"> which will </w:t>
      </w:r>
      <w:r w:rsidR="00FE3F2B">
        <w:rPr>
          <w:sz w:val="24"/>
        </w:rPr>
        <w:t>be included in</w:t>
      </w:r>
      <w:r w:rsidRPr="008F1736">
        <w:rPr>
          <w:sz w:val="24"/>
        </w:rPr>
        <w:t xml:space="preserve"> the </w:t>
      </w:r>
      <w:r w:rsidR="00FE3F2B">
        <w:rPr>
          <w:sz w:val="24"/>
        </w:rPr>
        <w:t xml:space="preserve">National Rollout detailed scope. </w:t>
      </w:r>
      <w:r w:rsidRPr="008F1736">
        <w:rPr>
          <w:sz w:val="24"/>
        </w:rPr>
        <w:t xml:space="preserve">The Supplier will propose a grouped, prioritised list of Asset </w:t>
      </w:r>
      <w:r w:rsidR="008C59FE" w:rsidRPr="008F1736">
        <w:rPr>
          <w:sz w:val="24"/>
        </w:rPr>
        <w:t>Owners that</w:t>
      </w:r>
      <w:r w:rsidR="00FE3F2B">
        <w:rPr>
          <w:sz w:val="24"/>
        </w:rPr>
        <w:t xml:space="preserve"> </w:t>
      </w:r>
      <w:r w:rsidRPr="008F1736">
        <w:rPr>
          <w:sz w:val="24"/>
        </w:rPr>
        <w:t>i</w:t>
      </w:r>
      <w:r w:rsidR="00FE3F2B">
        <w:rPr>
          <w:sz w:val="24"/>
        </w:rPr>
        <w:t>ncorporates</w:t>
      </w:r>
      <w:r w:rsidRPr="008F1736">
        <w:rPr>
          <w:sz w:val="24"/>
        </w:rPr>
        <w:t xml:space="preserve"> lessons learned</w:t>
      </w:r>
      <w:r>
        <w:rPr>
          <w:sz w:val="24"/>
        </w:rPr>
        <w:t xml:space="preserve"> from the MVP Phase</w:t>
      </w:r>
      <w:r w:rsidRPr="008F1736">
        <w:rPr>
          <w:sz w:val="24"/>
        </w:rPr>
        <w:t xml:space="preserve">. </w:t>
      </w:r>
    </w:p>
    <w:p w14:paraId="66BFBEF5" w14:textId="5B57CD1A" w:rsidR="000D0D58" w:rsidRPr="00C510DE" w:rsidRDefault="000D0D58" w:rsidP="00C510DE">
      <w:pPr>
        <w:pStyle w:val="Heading3"/>
        <w:rPr>
          <w:sz w:val="24"/>
        </w:rPr>
      </w:pPr>
      <w:r>
        <w:rPr>
          <w:sz w:val="24"/>
        </w:rPr>
        <w:t xml:space="preserve">The Supplier will issue a national call for participation to all Asset Owners in the other </w:t>
      </w:r>
      <w:r w:rsidR="008C59FE">
        <w:rPr>
          <w:sz w:val="24"/>
        </w:rPr>
        <w:t>eight</w:t>
      </w:r>
      <w:r>
        <w:rPr>
          <w:sz w:val="24"/>
        </w:rPr>
        <w:t xml:space="preserve"> regions </w:t>
      </w:r>
      <w:r w:rsidR="00552A0D">
        <w:rPr>
          <w:sz w:val="24"/>
        </w:rPr>
        <w:t xml:space="preserve">approximately </w:t>
      </w:r>
      <w:r>
        <w:rPr>
          <w:sz w:val="24"/>
        </w:rPr>
        <w:t>6 months prior to completion of the MVP.</w:t>
      </w:r>
    </w:p>
    <w:p w14:paraId="08218F76" w14:textId="7DB0BE4A" w:rsidR="00C510DE" w:rsidRPr="00C510DE" w:rsidRDefault="00C510DE" w:rsidP="00C510DE">
      <w:pPr>
        <w:pStyle w:val="Heading3"/>
        <w:rPr>
          <w:sz w:val="24"/>
        </w:rPr>
      </w:pPr>
      <w:r w:rsidRPr="00C510DE">
        <w:rPr>
          <w:sz w:val="24"/>
        </w:rPr>
        <w:t>The Supplier will replicate the MVP</w:t>
      </w:r>
      <w:r w:rsidR="00907CEA">
        <w:rPr>
          <w:sz w:val="24"/>
        </w:rPr>
        <w:t xml:space="preserve"> Phase</w:t>
      </w:r>
      <w:r w:rsidRPr="00C510DE">
        <w:rPr>
          <w:sz w:val="24"/>
        </w:rPr>
        <w:t xml:space="preserve"> structures to the extent that </w:t>
      </w:r>
      <w:r w:rsidR="0010214C">
        <w:rPr>
          <w:sz w:val="24"/>
        </w:rPr>
        <w:t xml:space="preserve">they </w:t>
      </w:r>
      <w:r w:rsidRPr="00C510DE">
        <w:rPr>
          <w:sz w:val="24"/>
        </w:rPr>
        <w:t>deliver best value and follow best practices, however, they will be scaled up in accordance with the needs for the Nationa</w:t>
      </w:r>
      <w:r w:rsidR="008C59FE">
        <w:rPr>
          <w:sz w:val="24"/>
        </w:rPr>
        <w:t>l R</w:t>
      </w:r>
      <w:r w:rsidRPr="00C510DE">
        <w:rPr>
          <w:sz w:val="24"/>
        </w:rPr>
        <w:t xml:space="preserve">ollout and the learnings from the MVP </w:t>
      </w:r>
      <w:r w:rsidR="00907CEA">
        <w:rPr>
          <w:sz w:val="24"/>
        </w:rPr>
        <w:t>P</w:t>
      </w:r>
      <w:r w:rsidRPr="00C510DE">
        <w:rPr>
          <w:sz w:val="24"/>
        </w:rPr>
        <w:t xml:space="preserve">hase. It is expected that some organic development and progress will occur </w:t>
      </w:r>
      <w:r w:rsidR="00907CEA">
        <w:rPr>
          <w:sz w:val="24"/>
        </w:rPr>
        <w:t>during the MVP Phase and National Rollout</w:t>
      </w:r>
      <w:r w:rsidRPr="00C510DE">
        <w:rPr>
          <w:sz w:val="24"/>
        </w:rPr>
        <w:t>.</w:t>
      </w:r>
    </w:p>
    <w:p w14:paraId="5256BA3C" w14:textId="31CD51A9" w:rsidR="00C510DE" w:rsidRPr="00C510DE" w:rsidRDefault="00907CEA" w:rsidP="00C510DE">
      <w:pPr>
        <w:pStyle w:val="Heading3"/>
        <w:rPr>
          <w:sz w:val="24"/>
        </w:rPr>
      </w:pPr>
      <w:r>
        <w:rPr>
          <w:sz w:val="24"/>
        </w:rPr>
        <w:t>By the end of the National R</w:t>
      </w:r>
      <w:r w:rsidR="00C510DE" w:rsidRPr="00C510DE">
        <w:rPr>
          <w:sz w:val="24"/>
        </w:rPr>
        <w:t>ollout, the Suppl</w:t>
      </w:r>
      <w:r w:rsidR="00351854">
        <w:rPr>
          <w:sz w:val="24"/>
        </w:rPr>
        <w:t>ier will have engaged with all Asset O</w:t>
      </w:r>
      <w:r w:rsidR="00C510DE" w:rsidRPr="00C510DE">
        <w:rPr>
          <w:sz w:val="24"/>
        </w:rPr>
        <w:t>wners across a</w:t>
      </w:r>
      <w:r w:rsidR="00351854">
        <w:rPr>
          <w:sz w:val="24"/>
        </w:rPr>
        <w:t>ll regions. The requirement</w:t>
      </w:r>
      <w:r w:rsidR="009B6783">
        <w:rPr>
          <w:sz w:val="24"/>
        </w:rPr>
        <w:t>s</w:t>
      </w:r>
      <w:r w:rsidR="00351854">
        <w:rPr>
          <w:sz w:val="24"/>
        </w:rPr>
        <w:t xml:space="preserve"> </w:t>
      </w:r>
      <w:r w:rsidR="00552A0D">
        <w:rPr>
          <w:sz w:val="24"/>
        </w:rPr>
        <w:t xml:space="preserve">for </w:t>
      </w:r>
      <w:r w:rsidR="00351854">
        <w:rPr>
          <w:sz w:val="24"/>
        </w:rPr>
        <w:t xml:space="preserve">Asset </w:t>
      </w:r>
      <w:r w:rsidR="00351854">
        <w:rPr>
          <w:sz w:val="24"/>
        </w:rPr>
        <w:lastRenderedPageBreak/>
        <w:t>O</w:t>
      </w:r>
      <w:r w:rsidR="00C510DE" w:rsidRPr="00C510DE">
        <w:rPr>
          <w:sz w:val="24"/>
        </w:rPr>
        <w:t xml:space="preserve">wners being </w:t>
      </w:r>
      <w:r w:rsidR="00693C69">
        <w:rPr>
          <w:sz w:val="24"/>
        </w:rPr>
        <w:t xml:space="preserve">engaged </w:t>
      </w:r>
      <w:r w:rsidR="00657ACC">
        <w:rPr>
          <w:sz w:val="24"/>
        </w:rPr>
        <w:t>by the end of the National R</w:t>
      </w:r>
      <w:r w:rsidR="009B6783">
        <w:rPr>
          <w:sz w:val="24"/>
        </w:rPr>
        <w:t>ollout</w:t>
      </w:r>
      <w:r w:rsidR="00C510DE" w:rsidRPr="00C510DE">
        <w:rPr>
          <w:sz w:val="24"/>
        </w:rPr>
        <w:t xml:space="preserve"> are available in section </w:t>
      </w:r>
      <w:r w:rsidR="00657ACC">
        <w:rPr>
          <w:sz w:val="24"/>
        </w:rPr>
        <w:t>7</w:t>
      </w:r>
      <w:r w:rsidR="00C510DE" w:rsidRPr="00C510DE">
        <w:rPr>
          <w:sz w:val="24"/>
        </w:rPr>
        <w:t xml:space="preserve">, </w:t>
      </w:r>
      <w:r w:rsidR="00657ACC">
        <w:rPr>
          <w:sz w:val="24"/>
        </w:rPr>
        <w:t>Key milestones and deliverables</w:t>
      </w:r>
      <w:r w:rsidR="00C510DE" w:rsidRPr="00C510DE">
        <w:rPr>
          <w:sz w:val="24"/>
        </w:rPr>
        <w:t>.</w:t>
      </w:r>
    </w:p>
    <w:p w14:paraId="3D730B7E" w14:textId="77777777" w:rsidR="00C510DE" w:rsidRPr="00C510DE" w:rsidRDefault="00C510DE" w:rsidP="00C510DE">
      <w:pPr>
        <w:pStyle w:val="Heading3"/>
        <w:numPr>
          <w:ilvl w:val="0"/>
          <w:numId w:val="0"/>
        </w:numPr>
        <w:ind w:left="851"/>
        <w:rPr>
          <w:sz w:val="24"/>
          <w:u w:val="single"/>
        </w:rPr>
      </w:pPr>
      <w:r w:rsidRPr="00C510DE">
        <w:rPr>
          <w:sz w:val="24"/>
          <w:u w:val="single"/>
        </w:rPr>
        <w:t>Resources available</w:t>
      </w:r>
    </w:p>
    <w:p w14:paraId="7DB393AE" w14:textId="4357CF1F" w:rsidR="007E3510" w:rsidRPr="000D3995" w:rsidRDefault="00C510DE" w:rsidP="000D3995">
      <w:pPr>
        <w:pStyle w:val="Heading3"/>
        <w:rPr>
          <w:sz w:val="24"/>
        </w:rPr>
      </w:pPr>
      <w:r w:rsidRPr="00C510DE">
        <w:rPr>
          <w:sz w:val="24"/>
        </w:rPr>
        <w:t>Established stakeholder relationships, gove</w:t>
      </w:r>
      <w:r w:rsidR="00351854">
        <w:rPr>
          <w:sz w:val="24"/>
        </w:rPr>
        <w:t>rnance structures that include A</w:t>
      </w:r>
      <w:r w:rsidRPr="00C510DE">
        <w:rPr>
          <w:sz w:val="24"/>
        </w:rPr>
        <w:t xml:space="preserve">sset </w:t>
      </w:r>
      <w:r w:rsidR="00351854">
        <w:rPr>
          <w:sz w:val="24"/>
        </w:rPr>
        <w:t>O</w:t>
      </w:r>
      <w:r w:rsidRPr="00C510DE">
        <w:rPr>
          <w:sz w:val="24"/>
        </w:rPr>
        <w:t>wners, users and relevant local authorities and external experts will be accessible through the programme governance structures. The Customer’s Stakeholder Engagement Lead will also be available to support this workstream.</w:t>
      </w:r>
    </w:p>
    <w:p w14:paraId="376788EF" w14:textId="422520FC" w:rsidR="000D7AFA" w:rsidRPr="00214E98" w:rsidRDefault="000D7AFA">
      <w:pPr>
        <w:pStyle w:val="Heading2"/>
        <w:tabs>
          <w:tab w:val="clear" w:pos="720"/>
          <w:tab w:val="num" w:pos="709"/>
        </w:tabs>
        <w:spacing w:after="120"/>
        <w:ind w:left="709" w:hanging="709"/>
        <w:rPr>
          <w:sz w:val="24"/>
          <w:szCs w:val="24"/>
        </w:rPr>
      </w:pPr>
      <w:r w:rsidRPr="00214E98">
        <w:rPr>
          <w:sz w:val="24"/>
          <w:szCs w:val="24"/>
        </w:rPr>
        <w:t>Data Transformation and Ingestion Workstream</w:t>
      </w:r>
    </w:p>
    <w:p w14:paraId="0BB7505B" w14:textId="56268BBE" w:rsidR="00214E98" w:rsidRPr="00214E98" w:rsidRDefault="00214E98" w:rsidP="00214E98">
      <w:pPr>
        <w:pStyle w:val="Heading3"/>
        <w:rPr>
          <w:sz w:val="24"/>
        </w:rPr>
      </w:pPr>
      <w:r w:rsidRPr="00214E98">
        <w:rPr>
          <w:sz w:val="24"/>
        </w:rPr>
        <w:t>The Supplier will imp</w:t>
      </w:r>
      <w:r w:rsidR="00010FA3">
        <w:rPr>
          <w:sz w:val="24"/>
        </w:rPr>
        <w:t>lement the Data Transformation</w:t>
      </w:r>
      <w:r w:rsidR="00600DC0">
        <w:rPr>
          <w:sz w:val="24"/>
        </w:rPr>
        <w:t xml:space="preserve"> Platform</w:t>
      </w:r>
      <w:r w:rsidR="00010FA3">
        <w:rPr>
          <w:sz w:val="24"/>
        </w:rPr>
        <w:t xml:space="preserve"> and</w:t>
      </w:r>
      <w:r w:rsidRPr="00214E98">
        <w:rPr>
          <w:sz w:val="24"/>
        </w:rPr>
        <w:t xml:space="preserve"> Ingestion Subsystem, which provides the ability for data to be uploaded into the Core Platform.</w:t>
      </w:r>
    </w:p>
    <w:p w14:paraId="12925CF3" w14:textId="43916DA8" w:rsidR="00214E98" w:rsidRDefault="00214E98" w:rsidP="00214E98">
      <w:pPr>
        <w:pStyle w:val="Heading3"/>
        <w:rPr>
          <w:sz w:val="24"/>
        </w:rPr>
      </w:pPr>
      <w:r w:rsidRPr="00214E98">
        <w:rPr>
          <w:sz w:val="24"/>
        </w:rPr>
        <w:t>The Supplier will be responsible for</w:t>
      </w:r>
      <w:r w:rsidR="006B4D35">
        <w:rPr>
          <w:sz w:val="24"/>
        </w:rPr>
        <w:t xml:space="preserve"> developing data transformation modules to</w:t>
      </w:r>
      <w:r w:rsidRPr="00214E98">
        <w:rPr>
          <w:sz w:val="24"/>
        </w:rPr>
        <w:t xml:space="preserve"> transform</w:t>
      </w:r>
      <w:r w:rsidR="00EF469E">
        <w:rPr>
          <w:sz w:val="24"/>
        </w:rPr>
        <w:t>,</w:t>
      </w:r>
      <w:r w:rsidRPr="00214E98">
        <w:rPr>
          <w:sz w:val="24"/>
        </w:rPr>
        <w:t xml:space="preserve"> </w:t>
      </w:r>
      <w:r w:rsidR="00351854">
        <w:rPr>
          <w:sz w:val="24"/>
        </w:rPr>
        <w:t xml:space="preserve">or </w:t>
      </w:r>
      <w:r w:rsidR="006B4D35">
        <w:rPr>
          <w:sz w:val="24"/>
        </w:rPr>
        <w:t xml:space="preserve">allow </w:t>
      </w:r>
      <w:r w:rsidR="00351854">
        <w:rPr>
          <w:sz w:val="24"/>
        </w:rPr>
        <w:t>Asset O</w:t>
      </w:r>
      <w:r w:rsidR="00A212C9">
        <w:rPr>
          <w:sz w:val="24"/>
        </w:rPr>
        <w:t xml:space="preserve">wners </w:t>
      </w:r>
      <w:r w:rsidR="006B4D35">
        <w:rPr>
          <w:sz w:val="24"/>
        </w:rPr>
        <w:t>to transform</w:t>
      </w:r>
      <w:r w:rsidR="00EF469E">
        <w:rPr>
          <w:sz w:val="24"/>
        </w:rPr>
        <w:t xml:space="preserve">, </w:t>
      </w:r>
      <w:r w:rsidRPr="00214E98">
        <w:rPr>
          <w:sz w:val="24"/>
        </w:rPr>
        <w:t>all datasets that are being ingested into the system from their sou</w:t>
      </w:r>
      <w:r w:rsidR="00DD438A">
        <w:rPr>
          <w:sz w:val="24"/>
        </w:rPr>
        <w:t>rce representation to the NUAR Data M</w:t>
      </w:r>
      <w:r w:rsidRPr="00214E98">
        <w:rPr>
          <w:sz w:val="24"/>
        </w:rPr>
        <w:t>odel</w:t>
      </w:r>
      <w:r w:rsidR="007E3510">
        <w:rPr>
          <w:sz w:val="24"/>
        </w:rPr>
        <w:t>. T</w:t>
      </w:r>
      <w:r w:rsidRPr="00214E98">
        <w:rPr>
          <w:sz w:val="24"/>
        </w:rPr>
        <w:t xml:space="preserve">he display of the transformed data in the Presentation Subsystem </w:t>
      </w:r>
      <w:r w:rsidR="007E3510">
        <w:rPr>
          <w:sz w:val="24"/>
        </w:rPr>
        <w:t xml:space="preserve">will be </w:t>
      </w:r>
      <w:r w:rsidRPr="00214E98">
        <w:rPr>
          <w:sz w:val="24"/>
        </w:rPr>
        <w:t xml:space="preserve">in accordance with the illustrations that are provided in the “Example Data Mappings” in </w:t>
      </w:r>
      <w:r w:rsidRPr="00DF272D">
        <w:rPr>
          <w:sz w:val="24"/>
        </w:rPr>
        <w:t xml:space="preserve">Appendix </w:t>
      </w:r>
      <w:r w:rsidR="00C8699E">
        <w:rPr>
          <w:sz w:val="24"/>
        </w:rPr>
        <w:t>E</w:t>
      </w:r>
      <w:r w:rsidRPr="00214E98">
        <w:rPr>
          <w:sz w:val="24"/>
        </w:rPr>
        <w:t>.</w:t>
      </w:r>
    </w:p>
    <w:p w14:paraId="2976E8E3" w14:textId="7B48627C" w:rsidR="004B6E0C" w:rsidRDefault="004B6E0C" w:rsidP="004B6E0C">
      <w:pPr>
        <w:pStyle w:val="Heading3"/>
      </w:pPr>
      <w:r w:rsidRPr="00647C80">
        <w:rPr>
          <w:sz w:val="24"/>
          <w:szCs w:val="24"/>
        </w:rPr>
        <w:t xml:space="preserve">The Supplier will be required to </w:t>
      </w:r>
      <w:r w:rsidR="00250047">
        <w:rPr>
          <w:sz w:val="24"/>
          <w:szCs w:val="24"/>
        </w:rPr>
        <w:t xml:space="preserve">document and </w:t>
      </w:r>
      <w:r w:rsidRPr="00647C80">
        <w:rPr>
          <w:sz w:val="24"/>
          <w:szCs w:val="24"/>
        </w:rPr>
        <w:t xml:space="preserve">agree </w:t>
      </w:r>
      <w:r>
        <w:rPr>
          <w:sz w:val="24"/>
          <w:szCs w:val="24"/>
        </w:rPr>
        <w:t>the Data Ingestion Specification</w:t>
      </w:r>
      <w:r w:rsidRPr="00647C80">
        <w:rPr>
          <w:sz w:val="24"/>
          <w:szCs w:val="24"/>
        </w:rPr>
        <w:t xml:space="preserve"> </w:t>
      </w:r>
      <w:r>
        <w:rPr>
          <w:sz w:val="24"/>
          <w:szCs w:val="24"/>
        </w:rPr>
        <w:t xml:space="preserve">with each </w:t>
      </w:r>
      <w:r w:rsidRPr="00647C80">
        <w:rPr>
          <w:sz w:val="24"/>
          <w:szCs w:val="24"/>
        </w:rPr>
        <w:t>Asset O</w:t>
      </w:r>
      <w:r>
        <w:rPr>
          <w:sz w:val="24"/>
          <w:szCs w:val="24"/>
        </w:rPr>
        <w:t>wner</w:t>
      </w:r>
      <w:r w:rsidRPr="00647C80">
        <w:rPr>
          <w:sz w:val="24"/>
          <w:szCs w:val="24"/>
        </w:rPr>
        <w:t xml:space="preserve"> in accordance with any instructions and/or guidance issued by the Customer</w:t>
      </w:r>
      <w:r>
        <w:rPr>
          <w:sz w:val="24"/>
          <w:szCs w:val="24"/>
        </w:rPr>
        <w:t>,</w:t>
      </w:r>
      <w:r w:rsidRPr="00647C80">
        <w:rPr>
          <w:sz w:val="24"/>
          <w:szCs w:val="24"/>
        </w:rPr>
        <w:t xml:space="preserve"> which may include items such as targets for the frequency of data upload by Asset Owners. </w:t>
      </w:r>
      <w:r w:rsidR="00250047">
        <w:rPr>
          <w:sz w:val="24"/>
          <w:szCs w:val="24"/>
        </w:rPr>
        <w:t>T</w:t>
      </w:r>
      <w:r>
        <w:rPr>
          <w:sz w:val="24"/>
        </w:rPr>
        <w:t xml:space="preserve">he Data Ingestion Specification will be ‘live’ and updated </w:t>
      </w:r>
      <w:r w:rsidR="00250047">
        <w:rPr>
          <w:sz w:val="24"/>
        </w:rPr>
        <w:t>as required to reflect agreed changes in data and supply from the Asset Owner</w:t>
      </w:r>
      <w:r>
        <w:rPr>
          <w:sz w:val="24"/>
        </w:rPr>
        <w:t>. Each revision will supersede the previous version.</w:t>
      </w:r>
      <w:r w:rsidR="002041F7">
        <w:rPr>
          <w:sz w:val="24"/>
        </w:rPr>
        <w:t xml:space="preserve"> </w:t>
      </w:r>
      <w:r w:rsidR="002041F7" w:rsidRPr="002041F7">
        <w:rPr>
          <w:sz w:val="24"/>
        </w:rPr>
        <w:t>The Data Ingestion Specification will build on the base compliance requirements for data supply</w:t>
      </w:r>
      <w:r w:rsidR="002041F7">
        <w:rPr>
          <w:sz w:val="24"/>
        </w:rPr>
        <w:t>,</w:t>
      </w:r>
      <w:r w:rsidR="002041F7" w:rsidRPr="002041F7">
        <w:rPr>
          <w:sz w:val="24"/>
        </w:rPr>
        <w:t xml:space="preserve"> </w:t>
      </w:r>
      <w:r w:rsidR="002041F7">
        <w:rPr>
          <w:sz w:val="24"/>
        </w:rPr>
        <w:t xml:space="preserve">as </w:t>
      </w:r>
      <w:r w:rsidR="002041F7" w:rsidRPr="002041F7">
        <w:rPr>
          <w:sz w:val="24"/>
        </w:rPr>
        <w:t>defined in the D</w:t>
      </w:r>
      <w:r w:rsidR="002041F7">
        <w:rPr>
          <w:sz w:val="24"/>
        </w:rPr>
        <w:t xml:space="preserve">ata </w:t>
      </w:r>
      <w:r w:rsidR="002041F7" w:rsidRPr="002041F7">
        <w:rPr>
          <w:sz w:val="24"/>
        </w:rPr>
        <w:t>D</w:t>
      </w:r>
      <w:r w:rsidR="002041F7">
        <w:rPr>
          <w:sz w:val="24"/>
        </w:rPr>
        <w:t xml:space="preserve">istribution </w:t>
      </w:r>
      <w:r w:rsidR="002041F7" w:rsidRPr="002041F7">
        <w:rPr>
          <w:sz w:val="24"/>
        </w:rPr>
        <w:t>A</w:t>
      </w:r>
      <w:r w:rsidR="002041F7">
        <w:rPr>
          <w:sz w:val="24"/>
        </w:rPr>
        <w:t>greements,</w:t>
      </w:r>
      <w:r w:rsidR="002041F7" w:rsidRPr="002041F7">
        <w:rPr>
          <w:sz w:val="24"/>
        </w:rPr>
        <w:t xml:space="preserve"> and document the specifics of supply, transformation and update arrangements for a specific asset owner.</w:t>
      </w:r>
    </w:p>
    <w:p w14:paraId="12E1CA12" w14:textId="7FD3737C" w:rsidR="00624966" w:rsidRDefault="00E22AD4" w:rsidP="00214E98">
      <w:pPr>
        <w:pStyle w:val="Heading3"/>
        <w:rPr>
          <w:sz w:val="24"/>
        </w:rPr>
      </w:pPr>
      <w:r>
        <w:rPr>
          <w:sz w:val="24"/>
        </w:rPr>
        <w:t>If</w:t>
      </w:r>
      <w:r w:rsidR="00624966" w:rsidRPr="00624966">
        <w:rPr>
          <w:sz w:val="24"/>
        </w:rPr>
        <w:t xml:space="preserve"> </w:t>
      </w:r>
      <w:r>
        <w:rPr>
          <w:sz w:val="24"/>
        </w:rPr>
        <w:t>Asset Owner</w:t>
      </w:r>
      <w:r w:rsidR="00250047">
        <w:rPr>
          <w:sz w:val="24"/>
        </w:rPr>
        <w:t>s</w:t>
      </w:r>
      <w:r>
        <w:rPr>
          <w:sz w:val="24"/>
        </w:rPr>
        <w:t xml:space="preserve"> elect</w:t>
      </w:r>
      <w:r w:rsidR="00624966" w:rsidRPr="00624966">
        <w:rPr>
          <w:sz w:val="24"/>
        </w:rPr>
        <w:t xml:space="preserve"> to define and implement data transformation entirely using their own resources</w:t>
      </w:r>
      <w:r w:rsidR="001F48A7">
        <w:rPr>
          <w:sz w:val="24"/>
        </w:rPr>
        <w:t xml:space="preserve"> (which is not to be discouraged)</w:t>
      </w:r>
      <w:r w:rsidR="00624966" w:rsidRPr="00624966">
        <w:rPr>
          <w:sz w:val="24"/>
        </w:rPr>
        <w:t xml:space="preserve">, the Supplier will retain responsibility for agreeing a </w:t>
      </w:r>
      <w:r>
        <w:rPr>
          <w:sz w:val="24"/>
        </w:rPr>
        <w:t xml:space="preserve">Data </w:t>
      </w:r>
      <w:r w:rsidR="00087356">
        <w:rPr>
          <w:sz w:val="24"/>
        </w:rPr>
        <w:t>Ingestion Specification (DIS)</w:t>
      </w:r>
      <w:r>
        <w:rPr>
          <w:sz w:val="24"/>
        </w:rPr>
        <w:t xml:space="preserve"> with these</w:t>
      </w:r>
      <w:r w:rsidR="00624966" w:rsidRPr="00624966">
        <w:rPr>
          <w:sz w:val="24"/>
        </w:rPr>
        <w:t xml:space="preserve"> Asset Owner</w:t>
      </w:r>
      <w:r>
        <w:rPr>
          <w:sz w:val="24"/>
        </w:rPr>
        <w:t>s</w:t>
      </w:r>
      <w:r w:rsidR="00624966" w:rsidRPr="00624966">
        <w:rPr>
          <w:sz w:val="24"/>
        </w:rPr>
        <w:t>.</w:t>
      </w:r>
      <w:r w:rsidR="00B75D26">
        <w:rPr>
          <w:sz w:val="24"/>
        </w:rPr>
        <w:t xml:space="preserve"> T</w:t>
      </w:r>
      <w:r w:rsidR="00624966" w:rsidRPr="00624966">
        <w:rPr>
          <w:sz w:val="24"/>
        </w:rPr>
        <w:t>he Supplier will notify the Customer workstream lead</w:t>
      </w:r>
      <w:r w:rsidR="00B75D26">
        <w:rPr>
          <w:sz w:val="24"/>
        </w:rPr>
        <w:t xml:space="preserve"> of these Asset Owners.</w:t>
      </w:r>
      <w:r w:rsidR="00624966" w:rsidRPr="00624966">
        <w:rPr>
          <w:sz w:val="24"/>
        </w:rPr>
        <w:t xml:space="preserve"> </w:t>
      </w:r>
      <w:r w:rsidR="00B75D26">
        <w:rPr>
          <w:sz w:val="24"/>
        </w:rPr>
        <w:t>If</w:t>
      </w:r>
      <w:r w:rsidR="00624966" w:rsidRPr="00624966">
        <w:rPr>
          <w:sz w:val="24"/>
        </w:rPr>
        <w:t xml:space="preserve"> Asset Owner</w:t>
      </w:r>
      <w:r w:rsidR="00B75D26">
        <w:rPr>
          <w:sz w:val="24"/>
        </w:rPr>
        <w:t>s</w:t>
      </w:r>
      <w:r w:rsidR="00624966" w:rsidRPr="00624966">
        <w:rPr>
          <w:sz w:val="24"/>
        </w:rPr>
        <w:t xml:space="preserve"> request and receive support from the Supplier for interpretation of the Data Model or fo</w:t>
      </w:r>
      <w:r w:rsidR="00983723">
        <w:rPr>
          <w:sz w:val="24"/>
        </w:rPr>
        <w:t>r defining or implementing the data t</w:t>
      </w:r>
      <w:r w:rsidR="00624966" w:rsidRPr="00624966">
        <w:rPr>
          <w:sz w:val="24"/>
        </w:rPr>
        <w:t xml:space="preserve">ransformation process, the </w:t>
      </w:r>
      <w:r w:rsidR="000D3995">
        <w:rPr>
          <w:sz w:val="24"/>
        </w:rPr>
        <w:t>d</w:t>
      </w:r>
      <w:r w:rsidR="00624966" w:rsidRPr="00624966">
        <w:rPr>
          <w:sz w:val="24"/>
        </w:rPr>
        <w:t xml:space="preserve">ata </w:t>
      </w:r>
      <w:r w:rsidR="000D3995">
        <w:rPr>
          <w:sz w:val="24"/>
        </w:rPr>
        <w:t>t</w:t>
      </w:r>
      <w:r w:rsidR="00624966" w:rsidRPr="00624966">
        <w:rPr>
          <w:sz w:val="24"/>
        </w:rPr>
        <w:t>ransformation activity for this Asset Owner will be deemed to be the same as if the Supplier carried out the de</w:t>
      </w:r>
      <w:r w:rsidR="000D3995">
        <w:rPr>
          <w:sz w:val="24"/>
        </w:rPr>
        <w:t>finition and implementation of data t</w:t>
      </w:r>
      <w:r w:rsidR="00624966" w:rsidRPr="00624966">
        <w:rPr>
          <w:sz w:val="24"/>
        </w:rPr>
        <w:t>ransformation themselves</w:t>
      </w:r>
      <w:r w:rsidR="00983723">
        <w:rPr>
          <w:sz w:val="24"/>
        </w:rPr>
        <w:t xml:space="preserve">. The Supplier remains responsible for documenting the </w:t>
      </w:r>
      <w:r w:rsidR="00983723">
        <w:rPr>
          <w:sz w:val="24"/>
        </w:rPr>
        <w:lastRenderedPageBreak/>
        <w:t xml:space="preserve">data transformation process </w:t>
      </w:r>
      <w:r w:rsidR="00250047">
        <w:rPr>
          <w:sz w:val="24"/>
        </w:rPr>
        <w:t>in</w:t>
      </w:r>
      <w:r w:rsidR="00983723">
        <w:rPr>
          <w:sz w:val="24"/>
        </w:rPr>
        <w:t xml:space="preserve"> the Data Ingestion Specification and agreeing this with the Asset Owner.</w:t>
      </w:r>
    </w:p>
    <w:p w14:paraId="0661374F" w14:textId="42FDA0C0" w:rsidR="00087356" w:rsidRPr="00962809" w:rsidRDefault="00087356" w:rsidP="00214E98">
      <w:pPr>
        <w:pStyle w:val="Heading3"/>
        <w:rPr>
          <w:color w:val="000000" w:themeColor="text1"/>
          <w:sz w:val="24"/>
        </w:rPr>
      </w:pPr>
      <w:r w:rsidRPr="00962809">
        <w:rPr>
          <w:color w:val="000000" w:themeColor="text1"/>
          <w:sz w:val="24"/>
        </w:rPr>
        <w:t>The Supplier will notify the Customer’s workstream lead</w:t>
      </w:r>
      <w:r w:rsidR="00053A7B">
        <w:rPr>
          <w:color w:val="000000" w:themeColor="text1"/>
          <w:sz w:val="24"/>
        </w:rPr>
        <w:t xml:space="preserve"> as soon as possible</w:t>
      </w:r>
      <w:r w:rsidRPr="00962809">
        <w:rPr>
          <w:rFonts w:cs="Arial"/>
          <w:color w:val="000000" w:themeColor="text1"/>
          <w:sz w:val="24"/>
          <w:shd w:val="clear" w:color="auto" w:fill="FFFFFF"/>
        </w:rPr>
        <w:t xml:space="preserve"> in the event that significant obstacles to signing the Data Ingestion Specification still exist after three meetings with an Asset Owner. </w:t>
      </w:r>
    </w:p>
    <w:p w14:paraId="55D15D99" w14:textId="18FD8D44" w:rsidR="00E22AD4" w:rsidRPr="00E22AD4" w:rsidRDefault="00E22AD4" w:rsidP="00E22AD4">
      <w:pPr>
        <w:pStyle w:val="Heading3"/>
        <w:rPr>
          <w:sz w:val="24"/>
        </w:rPr>
      </w:pPr>
      <w:r w:rsidRPr="00962809">
        <w:rPr>
          <w:color w:val="000000" w:themeColor="text1"/>
          <w:sz w:val="24"/>
        </w:rPr>
        <w:t xml:space="preserve">The Supplier will deliver to the Customer the source code of </w:t>
      </w:r>
      <w:r>
        <w:rPr>
          <w:sz w:val="24"/>
        </w:rPr>
        <w:t>all data transformation workbenches and modules, developed using the data transformation technology selected by the Supplier.</w:t>
      </w:r>
    </w:p>
    <w:p w14:paraId="0C357D96" w14:textId="0C069005" w:rsidR="00214E98" w:rsidRPr="00214E98" w:rsidRDefault="00214E98" w:rsidP="00214E98">
      <w:pPr>
        <w:pStyle w:val="Heading3"/>
        <w:rPr>
          <w:sz w:val="24"/>
        </w:rPr>
      </w:pPr>
      <w:r w:rsidRPr="00214E98">
        <w:rPr>
          <w:sz w:val="24"/>
        </w:rPr>
        <w:t>The Supplier will ensure that the data transformation and ingestion processes are sustainable over the long term in te</w:t>
      </w:r>
      <w:r w:rsidR="005F18CC">
        <w:rPr>
          <w:sz w:val="24"/>
        </w:rPr>
        <w:t>rms of costs and resources for 6</w:t>
      </w:r>
      <w:r w:rsidR="00351854">
        <w:rPr>
          <w:sz w:val="24"/>
        </w:rPr>
        <w:t>00+ Asset O</w:t>
      </w:r>
      <w:r w:rsidRPr="00214E98">
        <w:rPr>
          <w:sz w:val="24"/>
        </w:rPr>
        <w:t>wners</w:t>
      </w:r>
      <w:r w:rsidR="001B641B">
        <w:rPr>
          <w:sz w:val="24"/>
        </w:rPr>
        <w:t>.</w:t>
      </w:r>
      <w:r w:rsidR="00E87AA9">
        <w:rPr>
          <w:sz w:val="24"/>
        </w:rPr>
        <w:t xml:space="preserve"> </w:t>
      </w:r>
      <w:r w:rsidR="001B641B">
        <w:rPr>
          <w:sz w:val="24"/>
        </w:rPr>
        <w:t>This consideration will include</w:t>
      </w:r>
      <w:r w:rsidR="00E87AA9">
        <w:rPr>
          <w:sz w:val="24"/>
        </w:rPr>
        <w:t xml:space="preserve"> the design of data transformation processes such that they are transferable to Asset Owners for in-house execution (provided Asset Owners licence the equivalent data transformation</w:t>
      </w:r>
      <w:r w:rsidR="00552A0D">
        <w:rPr>
          <w:sz w:val="24"/>
        </w:rPr>
        <w:t xml:space="preserve"> technology as the Supplier use</w:t>
      </w:r>
      <w:r w:rsidR="00E87AA9">
        <w:rPr>
          <w:sz w:val="24"/>
        </w:rPr>
        <w:t>s to develop the processes)</w:t>
      </w:r>
      <w:r w:rsidRPr="00214E98">
        <w:rPr>
          <w:sz w:val="24"/>
        </w:rPr>
        <w:t>.</w:t>
      </w:r>
    </w:p>
    <w:p w14:paraId="7B1FA889" w14:textId="50A08EBE" w:rsidR="00214E98" w:rsidRPr="00214E98" w:rsidRDefault="00214E98" w:rsidP="00214E98">
      <w:pPr>
        <w:pStyle w:val="Heading3"/>
        <w:rPr>
          <w:sz w:val="24"/>
        </w:rPr>
      </w:pPr>
      <w:r w:rsidRPr="00214E98">
        <w:rPr>
          <w:sz w:val="24"/>
        </w:rPr>
        <w:t xml:space="preserve">The Supplier will deliver </w:t>
      </w:r>
      <w:r w:rsidR="006D66F5">
        <w:rPr>
          <w:sz w:val="24"/>
        </w:rPr>
        <w:t xml:space="preserve">the following </w:t>
      </w:r>
      <w:r w:rsidRPr="00214E98">
        <w:rPr>
          <w:sz w:val="24"/>
        </w:rPr>
        <w:t>documentation and ensure it is kept up-to-date throughout the life of the contract</w:t>
      </w:r>
      <w:r w:rsidR="006D66F5">
        <w:rPr>
          <w:sz w:val="24"/>
        </w:rPr>
        <w:t>, including</w:t>
      </w:r>
      <w:r w:rsidR="00010FA3">
        <w:rPr>
          <w:sz w:val="24"/>
        </w:rPr>
        <w:t xml:space="preserve"> but not limited to</w:t>
      </w:r>
      <w:r w:rsidRPr="00214E98">
        <w:rPr>
          <w:sz w:val="24"/>
        </w:rPr>
        <w:t>:</w:t>
      </w:r>
    </w:p>
    <w:p w14:paraId="134F31DE" w14:textId="5FFC6BBB" w:rsidR="00502C9E" w:rsidRDefault="00502C9E" w:rsidP="00502C9E">
      <w:pPr>
        <w:pStyle w:val="Heading4"/>
        <w:rPr>
          <w:sz w:val="24"/>
        </w:rPr>
      </w:pPr>
      <w:r>
        <w:rPr>
          <w:sz w:val="24"/>
        </w:rPr>
        <w:t>A template for the Data Ingestion Specification which will allow the recording of the input requirements for repeatable and sustainable data supply and conformance requirements, including update frequency, for each Asset Owner</w:t>
      </w:r>
      <w:r w:rsidR="0056739F">
        <w:rPr>
          <w:sz w:val="24"/>
        </w:rPr>
        <w:t>;</w:t>
      </w:r>
    </w:p>
    <w:p w14:paraId="0462C046" w14:textId="2C8575F9" w:rsidR="00477DA3" w:rsidRDefault="00477DA3" w:rsidP="00214E98">
      <w:pPr>
        <w:pStyle w:val="Heading4"/>
        <w:rPr>
          <w:sz w:val="24"/>
        </w:rPr>
      </w:pPr>
      <w:r>
        <w:rPr>
          <w:sz w:val="24"/>
        </w:rPr>
        <w:t>Documentation describing the details of the data transformation for each asset owner, including full description of inputs and outputs, and the mapp</w:t>
      </w:r>
      <w:r w:rsidR="006B4D35">
        <w:rPr>
          <w:sz w:val="24"/>
        </w:rPr>
        <w:t>ing between them</w:t>
      </w:r>
      <w:r w:rsidR="00502C9E">
        <w:rPr>
          <w:sz w:val="24"/>
        </w:rPr>
        <w:t>, for review and approval by the Asset Owner</w:t>
      </w:r>
      <w:r w:rsidR="00552A0D">
        <w:rPr>
          <w:sz w:val="24"/>
        </w:rPr>
        <w:t>;</w:t>
      </w:r>
      <w:r w:rsidR="002349F0">
        <w:rPr>
          <w:sz w:val="24"/>
        </w:rPr>
        <w:t xml:space="preserve"> and</w:t>
      </w:r>
    </w:p>
    <w:p w14:paraId="6834F57A" w14:textId="3A08785B" w:rsidR="00477DA3" w:rsidRDefault="006C4075" w:rsidP="00B31F8B">
      <w:pPr>
        <w:pStyle w:val="Heading4"/>
        <w:rPr>
          <w:sz w:val="24"/>
        </w:rPr>
      </w:pPr>
      <w:r>
        <w:rPr>
          <w:sz w:val="24"/>
        </w:rPr>
        <w:t xml:space="preserve">A completed </w:t>
      </w:r>
      <w:r w:rsidR="00D44B4F">
        <w:rPr>
          <w:sz w:val="24"/>
        </w:rPr>
        <w:t>D</w:t>
      </w:r>
      <w:r>
        <w:rPr>
          <w:sz w:val="24"/>
        </w:rPr>
        <w:t xml:space="preserve">ata </w:t>
      </w:r>
      <w:r w:rsidR="000D3995">
        <w:rPr>
          <w:sz w:val="24"/>
        </w:rPr>
        <w:t>Ingestion Specification</w:t>
      </w:r>
      <w:r w:rsidR="006B4D35">
        <w:rPr>
          <w:sz w:val="24"/>
        </w:rPr>
        <w:t xml:space="preserve"> for each </w:t>
      </w:r>
      <w:r w:rsidR="00B31F8B">
        <w:rPr>
          <w:sz w:val="24"/>
        </w:rPr>
        <w:t>A</w:t>
      </w:r>
      <w:r w:rsidR="006B4D35">
        <w:rPr>
          <w:sz w:val="24"/>
        </w:rPr>
        <w:t xml:space="preserve">sset </w:t>
      </w:r>
      <w:r w:rsidR="00B31F8B">
        <w:rPr>
          <w:sz w:val="24"/>
        </w:rPr>
        <w:t>O</w:t>
      </w:r>
      <w:r w:rsidR="006B4D35">
        <w:rPr>
          <w:sz w:val="24"/>
        </w:rPr>
        <w:t>wner describing the input requirements for repeatable and sustainable data supply and conformance requirements including update frequency</w:t>
      </w:r>
      <w:r w:rsidR="00BB4CA4">
        <w:rPr>
          <w:sz w:val="24"/>
        </w:rPr>
        <w:t>.</w:t>
      </w:r>
    </w:p>
    <w:p w14:paraId="554E3C7C" w14:textId="6FC9C21D" w:rsidR="00671798" w:rsidRPr="00DF272D" w:rsidRDefault="000D7AFA">
      <w:pPr>
        <w:pStyle w:val="Heading2"/>
        <w:tabs>
          <w:tab w:val="clear" w:pos="720"/>
          <w:tab w:val="num" w:pos="709"/>
        </w:tabs>
        <w:spacing w:after="120"/>
        <w:ind w:left="709" w:hanging="709"/>
        <w:rPr>
          <w:sz w:val="24"/>
          <w:szCs w:val="24"/>
        </w:rPr>
      </w:pPr>
      <w:r w:rsidRPr="00DF272D">
        <w:rPr>
          <w:sz w:val="24"/>
          <w:szCs w:val="24"/>
        </w:rPr>
        <w:t>Development and User Experience Workstream</w:t>
      </w:r>
    </w:p>
    <w:p w14:paraId="2C395CCE" w14:textId="302C2656" w:rsidR="009A0513" w:rsidRPr="00DF272D" w:rsidRDefault="009A0513" w:rsidP="009A0513">
      <w:pPr>
        <w:pStyle w:val="Heading3"/>
        <w:rPr>
          <w:sz w:val="24"/>
          <w:szCs w:val="24"/>
        </w:rPr>
      </w:pPr>
      <w:r w:rsidRPr="00DF272D">
        <w:rPr>
          <w:sz w:val="24"/>
          <w:szCs w:val="24"/>
        </w:rPr>
        <w:t>The Supplier will develop the platform towards a</w:t>
      </w:r>
      <w:r w:rsidR="00744D62">
        <w:rPr>
          <w:sz w:val="24"/>
          <w:szCs w:val="24"/>
        </w:rPr>
        <w:t xml:space="preserve"> Regional</w:t>
      </w:r>
      <w:r w:rsidRPr="00DF272D">
        <w:rPr>
          <w:sz w:val="24"/>
          <w:szCs w:val="24"/>
        </w:rPr>
        <w:t xml:space="preserve"> </w:t>
      </w:r>
      <w:r w:rsidR="008B4F39">
        <w:rPr>
          <w:sz w:val="24"/>
          <w:szCs w:val="24"/>
        </w:rPr>
        <w:t>MVP</w:t>
      </w:r>
      <w:r w:rsidRPr="00DF272D">
        <w:rPr>
          <w:sz w:val="24"/>
          <w:szCs w:val="24"/>
        </w:rPr>
        <w:t xml:space="preserve"> allowing </w:t>
      </w:r>
      <w:r w:rsidR="00EF469E">
        <w:rPr>
          <w:sz w:val="24"/>
          <w:szCs w:val="24"/>
        </w:rPr>
        <w:t xml:space="preserve">early </w:t>
      </w:r>
      <w:r w:rsidRPr="00DF272D">
        <w:rPr>
          <w:sz w:val="24"/>
          <w:szCs w:val="24"/>
        </w:rPr>
        <w:t xml:space="preserve">operational use in </w:t>
      </w:r>
      <w:r w:rsidR="00744D62">
        <w:rPr>
          <w:sz w:val="24"/>
          <w:szCs w:val="24"/>
        </w:rPr>
        <w:t>the MVP regions. The</w:t>
      </w:r>
      <w:r w:rsidRPr="00DF272D">
        <w:rPr>
          <w:sz w:val="24"/>
          <w:szCs w:val="24"/>
        </w:rPr>
        <w:t xml:space="preserve"> </w:t>
      </w:r>
      <w:r w:rsidR="00744D62">
        <w:rPr>
          <w:sz w:val="24"/>
          <w:szCs w:val="24"/>
        </w:rPr>
        <w:t>Regional</w:t>
      </w:r>
      <w:r w:rsidRPr="00DF272D">
        <w:rPr>
          <w:sz w:val="24"/>
          <w:szCs w:val="24"/>
        </w:rPr>
        <w:t xml:space="preserve"> MVP will be the basis for scali</w:t>
      </w:r>
      <w:r w:rsidR="008B4F39">
        <w:rPr>
          <w:sz w:val="24"/>
          <w:szCs w:val="24"/>
        </w:rPr>
        <w:t>ng up geographically to a full National R</w:t>
      </w:r>
      <w:r w:rsidRPr="00DF272D">
        <w:rPr>
          <w:sz w:val="24"/>
          <w:szCs w:val="24"/>
        </w:rPr>
        <w:t>ollout.</w:t>
      </w:r>
    </w:p>
    <w:p w14:paraId="2FAA1803" w14:textId="1A64483B" w:rsidR="009A0513" w:rsidRPr="00DF272D" w:rsidRDefault="009A0513" w:rsidP="009A0513">
      <w:pPr>
        <w:pStyle w:val="Heading3"/>
        <w:rPr>
          <w:sz w:val="24"/>
          <w:szCs w:val="24"/>
        </w:rPr>
      </w:pPr>
      <w:r w:rsidRPr="00DF272D">
        <w:rPr>
          <w:sz w:val="24"/>
          <w:szCs w:val="24"/>
        </w:rPr>
        <w:lastRenderedPageBreak/>
        <w:t xml:space="preserve">The Customer has defined an Architecture Blueprint outlining the preferred architectural principles, the anticipated relationships between the </w:t>
      </w:r>
      <w:r w:rsidR="00600DC0">
        <w:rPr>
          <w:sz w:val="24"/>
          <w:szCs w:val="24"/>
        </w:rPr>
        <w:t>elements of the system</w:t>
      </w:r>
      <w:r w:rsidR="0056739F">
        <w:rPr>
          <w:sz w:val="24"/>
          <w:szCs w:val="24"/>
        </w:rPr>
        <w:t xml:space="preserve"> and the high-</w:t>
      </w:r>
      <w:r w:rsidRPr="00DF272D">
        <w:rPr>
          <w:sz w:val="24"/>
          <w:szCs w:val="24"/>
        </w:rPr>
        <w:t xml:space="preserve">level component view, available in </w:t>
      </w:r>
      <w:r w:rsidR="00DF272D" w:rsidRPr="00DF272D">
        <w:rPr>
          <w:sz w:val="24"/>
          <w:szCs w:val="24"/>
        </w:rPr>
        <w:t xml:space="preserve">Appendix </w:t>
      </w:r>
      <w:r w:rsidR="00BE152E">
        <w:rPr>
          <w:sz w:val="24"/>
          <w:szCs w:val="24"/>
        </w:rPr>
        <w:t>F</w:t>
      </w:r>
      <w:r w:rsidRPr="00DF272D">
        <w:rPr>
          <w:sz w:val="24"/>
          <w:szCs w:val="24"/>
        </w:rPr>
        <w:t>.</w:t>
      </w:r>
    </w:p>
    <w:p w14:paraId="2B680861" w14:textId="0AA760B3" w:rsidR="009A0513" w:rsidRPr="00DF272D" w:rsidRDefault="009A0513" w:rsidP="009A0513">
      <w:pPr>
        <w:pStyle w:val="Heading3"/>
        <w:rPr>
          <w:sz w:val="24"/>
        </w:rPr>
      </w:pPr>
      <w:r w:rsidRPr="00671229">
        <w:rPr>
          <w:sz w:val="24"/>
        </w:rPr>
        <w:t>The functional requirements of the solution are represented as high</w:t>
      </w:r>
      <w:r w:rsidR="00744D62">
        <w:rPr>
          <w:sz w:val="24"/>
        </w:rPr>
        <w:t>-</w:t>
      </w:r>
      <w:r w:rsidRPr="00671229">
        <w:rPr>
          <w:sz w:val="24"/>
        </w:rPr>
        <w:t xml:space="preserve"> level user stories in the form of a Product Backlog, available in </w:t>
      </w:r>
      <w:r w:rsidRPr="00DF272D">
        <w:rPr>
          <w:sz w:val="24"/>
        </w:rPr>
        <w:t xml:space="preserve">Appendix </w:t>
      </w:r>
      <w:r w:rsidR="00BE152E">
        <w:rPr>
          <w:sz w:val="24"/>
        </w:rPr>
        <w:t>G</w:t>
      </w:r>
      <w:r w:rsidRPr="00DF272D">
        <w:rPr>
          <w:sz w:val="24"/>
        </w:rPr>
        <w:t>. The Supplier, together with the</w:t>
      </w:r>
      <w:r w:rsidR="00744D62">
        <w:rPr>
          <w:sz w:val="24"/>
        </w:rPr>
        <w:t xml:space="preserve"> Customer, will refine the high-</w:t>
      </w:r>
      <w:r w:rsidRPr="00DF272D">
        <w:rPr>
          <w:sz w:val="24"/>
        </w:rPr>
        <w:t>level backlog into granular user stories as the project progresses</w:t>
      </w:r>
      <w:r w:rsidR="008B4F39">
        <w:rPr>
          <w:sz w:val="24"/>
        </w:rPr>
        <w:t>.</w:t>
      </w:r>
    </w:p>
    <w:p w14:paraId="51162A2F" w14:textId="2B440EC6" w:rsidR="009A0513" w:rsidRPr="00DF272D" w:rsidRDefault="009A0513" w:rsidP="009A0513">
      <w:pPr>
        <w:pStyle w:val="Heading3"/>
        <w:rPr>
          <w:sz w:val="24"/>
        </w:rPr>
      </w:pPr>
      <w:r w:rsidRPr="00DF272D">
        <w:rPr>
          <w:sz w:val="24"/>
        </w:rPr>
        <w:t xml:space="preserve">Non-functional requirements for the solution are listed in </w:t>
      </w:r>
      <w:r w:rsidR="00DF272D" w:rsidRPr="00DF272D">
        <w:rPr>
          <w:sz w:val="24"/>
        </w:rPr>
        <w:t xml:space="preserve">Appendix </w:t>
      </w:r>
      <w:r w:rsidR="00BE152E">
        <w:rPr>
          <w:sz w:val="24"/>
        </w:rPr>
        <w:t>H</w:t>
      </w:r>
      <w:r w:rsidR="00671229" w:rsidRPr="00DF272D">
        <w:rPr>
          <w:sz w:val="24"/>
        </w:rPr>
        <w:t>.</w:t>
      </w:r>
    </w:p>
    <w:p w14:paraId="5A5D28B6" w14:textId="3715D079" w:rsidR="009A0513" w:rsidRPr="008F1755" w:rsidRDefault="009A0513" w:rsidP="009A0513">
      <w:pPr>
        <w:pStyle w:val="Heading3"/>
        <w:rPr>
          <w:sz w:val="24"/>
          <w:szCs w:val="24"/>
        </w:rPr>
      </w:pPr>
      <w:r w:rsidRPr="00671229">
        <w:rPr>
          <w:sz w:val="24"/>
        </w:rPr>
        <w:t>The Supplier will produce and keep up-to-date the following documentation throughout the life of the contract</w:t>
      </w:r>
      <w:r w:rsidR="008F1755" w:rsidRPr="008F1755">
        <w:rPr>
          <w:sz w:val="24"/>
          <w:szCs w:val="24"/>
        </w:rPr>
        <w:t xml:space="preserve">, </w:t>
      </w:r>
      <w:r w:rsidR="008F1755" w:rsidRPr="008F1755">
        <w:rPr>
          <w:rFonts w:cs="Arial"/>
          <w:color w:val="000000"/>
          <w:sz w:val="24"/>
          <w:szCs w:val="24"/>
        </w:rPr>
        <w:t>which will be subject to regular review by the Customer and in the event of significant changes</w:t>
      </w:r>
      <w:r w:rsidRPr="008F1755">
        <w:rPr>
          <w:sz w:val="24"/>
          <w:szCs w:val="24"/>
        </w:rPr>
        <w:t>:</w:t>
      </w:r>
    </w:p>
    <w:p w14:paraId="42EFAD93" w14:textId="68FB7087" w:rsidR="009A0513" w:rsidRDefault="009A0513" w:rsidP="000D1F54">
      <w:pPr>
        <w:pStyle w:val="Heading4"/>
        <w:rPr>
          <w:sz w:val="24"/>
        </w:rPr>
      </w:pPr>
      <w:r w:rsidRPr="000D1F54">
        <w:rPr>
          <w:sz w:val="24"/>
        </w:rPr>
        <w:t>System Architecture Design document (with reference to the Architecture Blueprint)</w:t>
      </w:r>
      <w:r w:rsidR="00DA50E1">
        <w:rPr>
          <w:sz w:val="24"/>
        </w:rPr>
        <w:t>;</w:t>
      </w:r>
    </w:p>
    <w:p w14:paraId="2BEC47B6" w14:textId="4632E4B7" w:rsidR="00B23633" w:rsidRPr="000D1F54" w:rsidRDefault="00B23633" w:rsidP="00B23633">
      <w:pPr>
        <w:pStyle w:val="Heading4"/>
        <w:rPr>
          <w:sz w:val="24"/>
        </w:rPr>
      </w:pPr>
      <w:r w:rsidRPr="00B23633">
        <w:rPr>
          <w:sz w:val="24"/>
        </w:rPr>
        <w:t>Data Transformation and Ingestion Subsystem Architecture Design</w:t>
      </w:r>
      <w:r w:rsidR="00A87547">
        <w:rPr>
          <w:sz w:val="24"/>
        </w:rPr>
        <w:t xml:space="preserve"> document</w:t>
      </w:r>
      <w:r w:rsidR="00744D62">
        <w:rPr>
          <w:sz w:val="24"/>
        </w:rPr>
        <w:t>;</w:t>
      </w:r>
    </w:p>
    <w:p w14:paraId="7FE2C9F9" w14:textId="48D87EF9" w:rsidR="009A0513" w:rsidRPr="000D1F54" w:rsidRDefault="009A0513" w:rsidP="000D1F54">
      <w:pPr>
        <w:pStyle w:val="Heading4"/>
        <w:rPr>
          <w:sz w:val="24"/>
        </w:rPr>
      </w:pPr>
      <w:r w:rsidRPr="000D1F54">
        <w:rPr>
          <w:sz w:val="24"/>
        </w:rPr>
        <w:t>Security Controls and Security Architecture documents</w:t>
      </w:r>
      <w:r w:rsidR="00DA50E1">
        <w:rPr>
          <w:sz w:val="24"/>
        </w:rPr>
        <w:t>;</w:t>
      </w:r>
    </w:p>
    <w:p w14:paraId="3A6B530A" w14:textId="77777777" w:rsidR="009A0513" w:rsidRPr="000D1F54" w:rsidRDefault="009A0513" w:rsidP="000D1F54">
      <w:pPr>
        <w:pStyle w:val="Heading4"/>
        <w:spacing w:after="0"/>
        <w:rPr>
          <w:sz w:val="24"/>
          <w:szCs w:val="24"/>
        </w:rPr>
      </w:pPr>
      <w:r w:rsidRPr="000D1F54">
        <w:rPr>
          <w:sz w:val="24"/>
          <w:szCs w:val="24"/>
        </w:rPr>
        <w:t>Integration Design Document, including:</w:t>
      </w:r>
    </w:p>
    <w:p w14:paraId="425D6A98" w14:textId="2848017F" w:rsidR="009A0513" w:rsidRPr="000D1F54" w:rsidRDefault="009A0513" w:rsidP="000D1F54">
      <w:pPr>
        <w:pStyle w:val="Heading5"/>
        <w:spacing w:after="0"/>
        <w:rPr>
          <w:sz w:val="24"/>
          <w:szCs w:val="24"/>
        </w:rPr>
      </w:pPr>
      <w:r w:rsidRPr="000D1F54">
        <w:rPr>
          <w:sz w:val="24"/>
          <w:szCs w:val="24"/>
        </w:rPr>
        <w:t>Integration between the Core Platfo</w:t>
      </w:r>
      <w:r w:rsidR="008B4F39">
        <w:rPr>
          <w:sz w:val="24"/>
          <w:szCs w:val="24"/>
        </w:rPr>
        <w:t>rm and the Data Transformation</w:t>
      </w:r>
      <w:r w:rsidR="000B56AF">
        <w:rPr>
          <w:sz w:val="24"/>
          <w:szCs w:val="24"/>
        </w:rPr>
        <w:t xml:space="preserve"> Platform</w:t>
      </w:r>
      <w:r w:rsidR="008B4F39">
        <w:rPr>
          <w:sz w:val="24"/>
          <w:szCs w:val="24"/>
        </w:rPr>
        <w:t xml:space="preserve"> and</w:t>
      </w:r>
      <w:r w:rsidRPr="000D1F54">
        <w:rPr>
          <w:sz w:val="24"/>
          <w:szCs w:val="24"/>
        </w:rPr>
        <w:t xml:space="preserve"> Ingestion and Presentation Subsystems</w:t>
      </w:r>
      <w:r w:rsidR="00DA50E1">
        <w:rPr>
          <w:sz w:val="24"/>
          <w:szCs w:val="24"/>
        </w:rPr>
        <w:t>;</w:t>
      </w:r>
    </w:p>
    <w:p w14:paraId="14CF1965" w14:textId="01CA59F6" w:rsidR="009A0513" w:rsidRPr="000D1F54" w:rsidRDefault="009A0513" w:rsidP="000D1F54">
      <w:pPr>
        <w:pStyle w:val="Heading5"/>
        <w:spacing w:after="0"/>
        <w:rPr>
          <w:sz w:val="24"/>
          <w:szCs w:val="24"/>
        </w:rPr>
      </w:pPr>
      <w:r w:rsidRPr="000D1F54">
        <w:rPr>
          <w:sz w:val="24"/>
          <w:szCs w:val="24"/>
        </w:rPr>
        <w:t xml:space="preserve">Architecture for handling inbound APIs and external API requirements, with reference to specific requirements and recommendations </w:t>
      </w:r>
      <w:r w:rsidR="00A9356D">
        <w:rPr>
          <w:sz w:val="24"/>
          <w:szCs w:val="24"/>
        </w:rPr>
        <w:t xml:space="preserve">(Appendix </w:t>
      </w:r>
      <w:r w:rsidR="00FC4C68">
        <w:rPr>
          <w:sz w:val="24"/>
          <w:szCs w:val="24"/>
        </w:rPr>
        <w:t>I</w:t>
      </w:r>
      <w:r w:rsidR="00A9356D">
        <w:rPr>
          <w:sz w:val="24"/>
          <w:szCs w:val="24"/>
        </w:rPr>
        <w:t xml:space="preserve">) </w:t>
      </w:r>
      <w:r w:rsidRPr="000D1F54">
        <w:rPr>
          <w:sz w:val="24"/>
          <w:szCs w:val="24"/>
        </w:rPr>
        <w:t>and the NCSC SaaS Guidance</w:t>
      </w:r>
      <w:r w:rsidR="00DA50E1">
        <w:rPr>
          <w:rStyle w:val="FootnoteReference"/>
          <w:szCs w:val="24"/>
        </w:rPr>
        <w:footnoteReference w:id="10"/>
      </w:r>
      <w:r w:rsidR="00DA50E1">
        <w:rPr>
          <w:sz w:val="24"/>
          <w:szCs w:val="24"/>
        </w:rPr>
        <w:t>;</w:t>
      </w:r>
    </w:p>
    <w:p w14:paraId="680DF8CD" w14:textId="03D2A726" w:rsidR="009A0513" w:rsidRPr="00661D89" w:rsidRDefault="009A0513" w:rsidP="000D1F54">
      <w:pPr>
        <w:pStyle w:val="Heading5"/>
        <w:rPr>
          <w:sz w:val="24"/>
          <w:szCs w:val="24"/>
        </w:rPr>
      </w:pPr>
      <w:r w:rsidRPr="000D1F54">
        <w:rPr>
          <w:sz w:val="24"/>
          <w:szCs w:val="24"/>
        </w:rPr>
        <w:t xml:space="preserve">Integration of existing APIs for “reference” data </w:t>
      </w:r>
      <w:r w:rsidRPr="00661D89">
        <w:rPr>
          <w:sz w:val="24"/>
          <w:szCs w:val="24"/>
        </w:rPr>
        <w:t>relevant to the safe excavation use case</w:t>
      </w:r>
      <w:r w:rsidR="00DA50E1">
        <w:rPr>
          <w:sz w:val="24"/>
          <w:szCs w:val="24"/>
        </w:rPr>
        <w:t>.</w:t>
      </w:r>
    </w:p>
    <w:p w14:paraId="47C5DC17" w14:textId="4168E56F" w:rsidR="000D1F54" w:rsidRPr="000D1F54" w:rsidRDefault="000D1F54" w:rsidP="000D1F54">
      <w:pPr>
        <w:pStyle w:val="Heading3"/>
        <w:numPr>
          <w:ilvl w:val="0"/>
          <w:numId w:val="0"/>
        </w:numPr>
        <w:ind w:left="1931" w:hanging="1080"/>
        <w:rPr>
          <w:sz w:val="24"/>
          <w:u w:val="single"/>
        </w:rPr>
      </w:pPr>
      <w:r w:rsidRPr="000D1F54">
        <w:rPr>
          <w:sz w:val="24"/>
          <w:u w:val="single"/>
        </w:rPr>
        <w:t>Core Platform</w:t>
      </w:r>
    </w:p>
    <w:p w14:paraId="594DEA97" w14:textId="1BC8D9BF" w:rsidR="000D1F54" w:rsidRPr="000D1F54" w:rsidRDefault="00376094" w:rsidP="000D1F54">
      <w:pPr>
        <w:pStyle w:val="Heading3"/>
        <w:rPr>
          <w:sz w:val="24"/>
        </w:rPr>
      </w:pPr>
      <w:bookmarkStart w:id="19" w:name="_Ref69240745"/>
      <w:r>
        <w:rPr>
          <w:sz w:val="24"/>
        </w:rPr>
        <w:t>The C</w:t>
      </w:r>
      <w:r w:rsidR="000D1F54" w:rsidRPr="000D1F54">
        <w:rPr>
          <w:sz w:val="24"/>
        </w:rPr>
        <w:t xml:space="preserve">ore </w:t>
      </w:r>
      <w:r>
        <w:rPr>
          <w:sz w:val="24"/>
        </w:rPr>
        <w:t>P</w:t>
      </w:r>
      <w:r w:rsidR="000D1F54" w:rsidRPr="000D1F54">
        <w:rPr>
          <w:sz w:val="24"/>
        </w:rPr>
        <w:t xml:space="preserve">latform is the </w:t>
      </w:r>
      <w:r w:rsidR="000B56AF">
        <w:rPr>
          <w:sz w:val="24"/>
        </w:rPr>
        <w:t>part of the system</w:t>
      </w:r>
      <w:r w:rsidR="000B56AF" w:rsidRPr="000D1F54">
        <w:rPr>
          <w:sz w:val="24"/>
        </w:rPr>
        <w:t xml:space="preserve"> </w:t>
      </w:r>
      <w:r w:rsidR="000D1F54" w:rsidRPr="000D1F54">
        <w:rPr>
          <w:sz w:val="24"/>
        </w:rPr>
        <w:t xml:space="preserve">where the system data is </w:t>
      </w:r>
      <w:r w:rsidR="000B56AF">
        <w:rPr>
          <w:sz w:val="24"/>
        </w:rPr>
        <w:t xml:space="preserve">ingested, </w:t>
      </w:r>
      <w:r w:rsidR="000D1F54" w:rsidRPr="000D1F54">
        <w:rPr>
          <w:sz w:val="24"/>
        </w:rPr>
        <w:t>stored and exposed to other subsystems via APIs, subject to security controls and role-based access constraints implemented in the core platform.</w:t>
      </w:r>
      <w:bookmarkEnd w:id="19"/>
    </w:p>
    <w:p w14:paraId="1D2D9546" w14:textId="4A813A74" w:rsidR="000D1F54" w:rsidRPr="000D1F54" w:rsidRDefault="000D1F54" w:rsidP="000D1F54">
      <w:pPr>
        <w:pStyle w:val="Heading3"/>
        <w:rPr>
          <w:sz w:val="24"/>
        </w:rPr>
      </w:pPr>
      <w:r w:rsidRPr="000D1F54">
        <w:rPr>
          <w:sz w:val="24"/>
        </w:rPr>
        <w:lastRenderedPageBreak/>
        <w:t>T</w:t>
      </w:r>
      <w:r w:rsidR="00733CBE">
        <w:rPr>
          <w:sz w:val="24"/>
        </w:rPr>
        <w:t>he Supplier will implement the Core P</w:t>
      </w:r>
      <w:r w:rsidRPr="000D1F54">
        <w:rPr>
          <w:sz w:val="24"/>
        </w:rPr>
        <w:t>latform APIs in line with standards and best practice, for example:</w:t>
      </w:r>
    </w:p>
    <w:p w14:paraId="78C45FEA" w14:textId="7D0DF813" w:rsidR="000D1F54" w:rsidRPr="000D1F54" w:rsidRDefault="00DA50E1" w:rsidP="000D1F54">
      <w:pPr>
        <w:pStyle w:val="Heading4"/>
        <w:rPr>
          <w:sz w:val="24"/>
        </w:rPr>
      </w:pPr>
      <w:r>
        <w:rPr>
          <w:sz w:val="24"/>
        </w:rPr>
        <w:t>OGC Web Feature Service 2.0</w:t>
      </w:r>
      <w:r>
        <w:rPr>
          <w:rStyle w:val="FootnoteReference"/>
        </w:rPr>
        <w:footnoteReference w:id="11"/>
      </w:r>
      <w:r>
        <w:rPr>
          <w:sz w:val="24"/>
        </w:rPr>
        <w:t xml:space="preserve"> </w:t>
      </w:r>
      <w:r w:rsidR="000D1F54" w:rsidRPr="000D1F54">
        <w:rPr>
          <w:sz w:val="24"/>
        </w:rPr>
        <w:t>for provision of attributed spatial vector data</w:t>
      </w:r>
      <w:r w:rsidR="000D1F54">
        <w:rPr>
          <w:sz w:val="24"/>
        </w:rPr>
        <w:t>;</w:t>
      </w:r>
    </w:p>
    <w:p w14:paraId="20A08AC5" w14:textId="6DDBB625" w:rsidR="000D1F54" w:rsidRPr="000D1F54" w:rsidRDefault="000D1F54" w:rsidP="000D1F54">
      <w:pPr>
        <w:pStyle w:val="Heading4"/>
        <w:rPr>
          <w:sz w:val="24"/>
        </w:rPr>
      </w:pPr>
      <w:r w:rsidRPr="000D1F54">
        <w:rPr>
          <w:sz w:val="24"/>
        </w:rPr>
        <w:t>OGC Web Map Service 1.3</w:t>
      </w:r>
      <w:r w:rsidR="00DA50E1">
        <w:rPr>
          <w:rStyle w:val="FootnoteReference"/>
        </w:rPr>
        <w:footnoteReference w:id="12"/>
      </w:r>
      <w:r w:rsidRPr="000D1F54">
        <w:rPr>
          <w:sz w:val="24"/>
        </w:rPr>
        <w:t xml:space="preserve"> or OGC Web Map Tile Service 1.0</w:t>
      </w:r>
      <w:r w:rsidR="00DA50E1">
        <w:rPr>
          <w:rStyle w:val="FootnoteReference"/>
        </w:rPr>
        <w:footnoteReference w:id="13"/>
      </w:r>
      <w:r w:rsidRPr="000D1F54">
        <w:rPr>
          <w:sz w:val="24"/>
        </w:rPr>
        <w:t xml:space="preserve"> for provision of spatial raster data</w:t>
      </w:r>
      <w:r>
        <w:rPr>
          <w:sz w:val="24"/>
        </w:rPr>
        <w:t>;</w:t>
      </w:r>
    </w:p>
    <w:p w14:paraId="49F87DA9" w14:textId="74E8EB1B" w:rsidR="000D1F54" w:rsidRPr="000D1F54" w:rsidRDefault="000D1F54" w:rsidP="000D1F54">
      <w:pPr>
        <w:pStyle w:val="Heading4"/>
        <w:rPr>
          <w:sz w:val="24"/>
        </w:rPr>
      </w:pPr>
      <w:r>
        <w:rPr>
          <w:sz w:val="24"/>
        </w:rPr>
        <w:t>The S</w:t>
      </w:r>
      <w:r w:rsidRPr="000D1F54">
        <w:rPr>
          <w:sz w:val="24"/>
        </w:rPr>
        <w:t>upplier should monitor the maturity of the emerging OGC API - Features</w:t>
      </w:r>
      <w:r w:rsidR="00DA50E1">
        <w:rPr>
          <w:rStyle w:val="FootnoteReference"/>
        </w:rPr>
        <w:footnoteReference w:id="14"/>
      </w:r>
      <w:r w:rsidRPr="000D1F54">
        <w:rPr>
          <w:sz w:val="24"/>
        </w:rPr>
        <w:t xml:space="preserve"> standard and assess the feasibility of implementing for the provision of attributed spatial vector data in order to future proof the system</w:t>
      </w:r>
      <w:r>
        <w:rPr>
          <w:sz w:val="24"/>
        </w:rPr>
        <w:t>;</w:t>
      </w:r>
    </w:p>
    <w:p w14:paraId="5CF98AEB" w14:textId="3EDF4FAF" w:rsidR="000D1F54" w:rsidRPr="000D1F54" w:rsidRDefault="002C5C08" w:rsidP="002C5C08">
      <w:pPr>
        <w:pStyle w:val="Heading4"/>
        <w:rPr>
          <w:sz w:val="24"/>
        </w:rPr>
      </w:pPr>
      <w:r w:rsidRPr="002C5C08">
        <w:rPr>
          <w:sz w:val="24"/>
        </w:rPr>
        <w:t>The Supplier should implement RESTful APIs, in line with best practice guidance</w:t>
      </w:r>
      <w:r>
        <w:rPr>
          <w:rStyle w:val="FootnoteReference"/>
        </w:rPr>
        <w:footnoteReference w:id="15"/>
      </w:r>
      <w:r w:rsidRPr="002C5C08">
        <w:rPr>
          <w:sz w:val="24"/>
        </w:rPr>
        <w:t>, for the exposure of other core functions including</w:t>
      </w:r>
      <w:r w:rsidR="000D1F54" w:rsidRPr="000D1F54">
        <w:rPr>
          <w:sz w:val="24"/>
        </w:rPr>
        <w:t>:</w:t>
      </w:r>
    </w:p>
    <w:p w14:paraId="6C5340FF" w14:textId="77777777" w:rsidR="000D1F54" w:rsidRPr="00244579" w:rsidRDefault="000D1F54" w:rsidP="00244579">
      <w:pPr>
        <w:pStyle w:val="Heading5"/>
        <w:spacing w:after="0"/>
        <w:rPr>
          <w:sz w:val="24"/>
        </w:rPr>
      </w:pPr>
      <w:r w:rsidRPr="00244579">
        <w:rPr>
          <w:sz w:val="24"/>
        </w:rPr>
        <w:t>User Accounts (login, administration)</w:t>
      </w:r>
    </w:p>
    <w:p w14:paraId="50F1587E" w14:textId="77777777" w:rsidR="000D1F54" w:rsidRPr="00244579" w:rsidRDefault="000D1F54" w:rsidP="00244579">
      <w:pPr>
        <w:pStyle w:val="Heading5"/>
        <w:spacing w:after="0"/>
        <w:rPr>
          <w:sz w:val="24"/>
        </w:rPr>
      </w:pPr>
      <w:r w:rsidRPr="00244579">
        <w:rPr>
          <w:sz w:val="24"/>
        </w:rPr>
        <w:t>Observations (Submission, Response, Management)</w:t>
      </w:r>
    </w:p>
    <w:p w14:paraId="55DCBC4E" w14:textId="77777777" w:rsidR="000D1F54" w:rsidRPr="00244579" w:rsidRDefault="000D1F54" w:rsidP="00244579">
      <w:pPr>
        <w:pStyle w:val="Heading5"/>
        <w:spacing w:after="0"/>
        <w:rPr>
          <w:sz w:val="24"/>
        </w:rPr>
      </w:pPr>
      <w:r w:rsidRPr="00244579">
        <w:rPr>
          <w:sz w:val="24"/>
        </w:rPr>
        <w:t>Enquiries (Submission, Authorisation and Administration)</w:t>
      </w:r>
    </w:p>
    <w:p w14:paraId="1030D0B5" w14:textId="77777777" w:rsidR="000D1F54" w:rsidRPr="00244579" w:rsidRDefault="000D1F54" w:rsidP="00244579">
      <w:pPr>
        <w:pStyle w:val="Heading5"/>
        <w:spacing w:after="0"/>
        <w:rPr>
          <w:sz w:val="24"/>
        </w:rPr>
      </w:pPr>
      <w:r w:rsidRPr="00244579">
        <w:rPr>
          <w:sz w:val="24"/>
        </w:rPr>
        <w:t>Data Management and reporting</w:t>
      </w:r>
    </w:p>
    <w:p w14:paraId="3BC37776" w14:textId="77777777" w:rsidR="000D1F54" w:rsidRPr="00244579" w:rsidRDefault="000D1F54" w:rsidP="00244579">
      <w:pPr>
        <w:pStyle w:val="Heading5"/>
        <w:spacing w:after="0"/>
        <w:rPr>
          <w:sz w:val="24"/>
        </w:rPr>
      </w:pPr>
      <w:r w:rsidRPr="00244579">
        <w:rPr>
          <w:sz w:val="24"/>
        </w:rPr>
        <w:t>Automated data loads - full refresh and incremental</w:t>
      </w:r>
    </w:p>
    <w:p w14:paraId="54CABD30" w14:textId="77777777" w:rsidR="000D1F54" w:rsidRPr="00244579" w:rsidRDefault="000D1F54" w:rsidP="00244579">
      <w:pPr>
        <w:pStyle w:val="Heading5"/>
        <w:spacing w:after="0"/>
        <w:rPr>
          <w:sz w:val="24"/>
        </w:rPr>
      </w:pPr>
      <w:r w:rsidRPr="00244579">
        <w:rPr>
          <w:sz w:val="24"/>
        </w:rPr>
        <w:t>Data validation</w:t>
      </w:r>
    </w:p>
    <w:p w14:paraId="00C8B3AE" w14:textId="77777777" w:rsidR="000D1F54" w:rsidRPr="00244579" w:rsidRDefault="000D1F54" w:rsidP="00244579">
      <w:pPr>
        <w:pStyle w:val="Heading5"/>
        <w:rPr>
          <w:sz w:val="24"/>
        </w:rPr>
      </w:pPr>
      <w:r w:rsidRPr="00244579">
        <w:rPr>
          <w:sz w:val="24"/>
        </w:rPr>
        <w:t>Audit Reporting</w:t>
      </w:r>
    </w:p>
    <w:p w14:paraId="2EA1DA80" w14:textId="77777777" w:rsidR="000D1F54" w:rsidRPr="000D1F54" w:rsidRDefault="000D1F54" w:rsidP="00962809">
      <w:pPr>
        <w:pStyle w:val="Heading3"/>
        <w:numPr>
          <w:ilvl w:val="0"/>
          <w:numId w:val="0"/>
        </w:numPr>
        <w:ind w:left="2880"/>
        <w:rPr>
          <w:sz w:val="24"/>
        </w:rPr>
      </w:pPr>
      <w:r w:rsidRPr="000D1F54">
        <w:rPr>
          <w:sz w:val="24"/>
        </w:rPr>
        <w:t>This list is not exhaustive.</w:t>
      </w:r>
    </w:p>
    <w:p w14:paraId="12483480" w14:textId="77777777" w:rsidR="000D1F54" w:rsidRPr="000D1F54" w:rsidRDefault="000D1F54" w:rsidP="000D1F54">
      <w:pPr>
        <w:pStyle w:val="Heading3"/>
        <w:rPr>
          <w:sz w:val="24"/>
        </w:rPr>
      </w:pPr>
      <w:r w:rsidRPr="000D1F54">
        <w:rPr>
          <w:sz w:val="24"/>
        </w:rPr>
        <w:t>The Supplier will produce and keep up-to-date the following deliverables throughout the life of the contract:</w:t>
      </w:r>
    </w:p>
    <w:p w14:paraId="7712C2DD" w14:textId="485C19B6" w:rsidR="000D1F54" w:rsidRDefault="000D1F54" w:rsidP="000D1F54">
      <w:pPr>
        <w:pStyle w:val="Heading4"/>
        <w:rPr>
          <w:sz w:val="24"/>
        </w:rPr>
      </w:pPr>
      <w:r w:rsidRPr="000D1F54">
        <w:rPr>
          <w:sz w:val="24"/>
        </w:rPr>
        <w:t>API specification documents, with RESTful APIs being specified in an OpenAPI-compliant format</w:t>
      </w:r>
      <w:r w:rsidR="00733CBE">
        <w:rPr>
          <w:sz w:val="24"/>
        </w:rPr>
        <w:t>.</w:t>
      </w:r>
    </w:p>
    <w:p w14:paraId="6703E6B6" w14:textId="571BB9ED" w:rsidR="00A952FD" w:rsidRPr="00A952FD" w:rsidRDefault="00A952FD" w:rsidP="00A952FD">
      <w:pPr>
        <w:pStyle w:val="Heading4"/>
        <w:numPr>
          <w:ilvl w:val="0"/>
          <w:numId w:val="0"/>
        </w:numPr>
        <w:ind w:left="720"/>
        <w:rPr>
          <w:sz w:val="24"/>
          <w:u w:val="single"/>
        </w:rPr>
      </w:pPr>
      <w:r w:rsidRPr="00A952FD">
        <w:rPr>
          <w:sz w:val="24"/>
          <w:u w:val="single"/>
        </w:rPr>
        <w:t>Data Model</w:t>
      </w:r>
    </w:p>
    <w:p w14:paraId="3EF18365" w14:textId="155B2154" w:rsidR="00A952FD" w:rsidRPr="004B1C0E" w:rsidRDefault="00A952FD" w:rsidP="00A952FD">
      <w:pPr>
        <w:pStyle w:val="Heading3"/>
        <w:rPr>
          <w:sz w:val="24"/>
        </w:rPr>
      </w:pPr>
      <w:r w:rsidRPr="004B1C0E">
        <w:rPr>
          <w:sz w:val="24"/>
        </w:rPr>
        <w:t xml:space="preserve">The Supplier will implement the Data Model, </w:t>
      </w:r>
      <w:r w:rsidRPr="00661D89">
        <w:rPr>
          <w:sz w:val="24"/>
        </w:rPr>
        <w:t xml:space="preserve">which will conform to the NUAR Data Model Principles (included in Appendix </w:t>
      </w:r>
      <w:r w:rsidR="00FC4C68">
        <w:rPr>
          <w:sz w:val="24"/>
        </w:rPr>
        <w:t>J</w:t>
      </w:r>
      <w:r w:rsidRPr="00661D89">
        <w:rPr>
          <w:sz w:val="24"/>
        </w:rPr>
        <w:t xml:space="preserve">) and should conform to the NUAR Data Model definition (described in the </w:t>
      </w:r>
      <w:r w:rsidRPr="00661D89">
        <w:rPr>
          <w:sz w:val="24"/>
        </w:rPr>
        <w:lastRenderedPageBreak/>
        <w:t xml:space="preserve">Data Model Description in </w:t>
      </w:r>
      <w:r w:rsidR="00A9356D">
        <w:rPr>
          <w:sz w:val="24"/>
        </w:rPr>
        <w:t xml:space="preserve">Appendix </w:t>
      </w:r>
      <w:r w:rsidR="00FC4C68">
        <w:rPr>
          <w:sz w:val="24"/>
        </w:rPr>
        <w:t>K</w:t>
      </w:r>
      <w:r w:rsidRPr="00661D89">
        <w:rPr>
          <w:sz w:val="24"/>
        </w:rPr>
        <w:t>) unless</w:t>
      </w:r>
      <w:r w:rsidRPr="004B1C0E">
        <w:rPr>
          <w:sz w:val="24"/>
        </w:rPr>
        <w:t xml:space="preserve"> agreed otherwise in advance by the Customer. </w:t>
      </w:r>
    </w:p>
    <w:p w14:paraId="524A90C2" w14:textId="29187D6C" w:rsidR="00A952FD" w:rsidRPr="004B1C0E" w:rsidRDefault="00A952FD" w:rsidP="00A952FD">
      <w:pPr>
        <w:pStyle w:val="Heading3"/>
        <w:rPr>
          <w:sz w:val="24"/>
        </w:rPr>
      </w:pPr>
      <w:r w:rsidRPr="004B1C0E">
        <w:rPr>
          <w:sz w:val="24"/>
        </w:rPr>
        <w:t xml:space="preserve">The Supplier will implement, as required, any extensions to the Data Model, which should conform </w:t>
      </w:r>
      <w:r w:rsidR="001C42FF" w:rsidRPr="004B1C0E">
        <w:rPr>
          <w:sz w:val="24"/>
        </w:rPr>
        <w:t>to</w:t>
      </w:r>
      <w:r w:rsidRPr="004B1C0E">
        <w:rPr>
          <w:sz w:val="24"/>
        </w:rPr>
        <w:t xml:space="preserve"> the draft OGC MUDDI standard as defined in the 2019 Engineering Report</w:t>
      </w:r>
      <w:r w:rsidR="00F13C51">
        <w:rPr>
          <w:rStyle w:val="FootnoteReference"/>
        </w:rPr>
        <w:footnoteReference w:id="16"/>
      </w:r>
      <w:r w:rsidR="00863075">
        <w:rPr>
          <w:sz w:val="24"/>
        </w:rPr>
        <w:t>, except by explicit approval from the Customer</w:t>
      </w:r>
      <w:r w:rsidRPr="004B1C0E">
        <w:rPr>
          <w:sz w:val="24"/>
        </w:rPr>
        <w:t>.</w:t>
      </w:r>
    </w:p>
    <w:p w14:paraId="11A03EDE" w14:textId="74CFEC0B" w:rsidR="00A952FD" w:rsidRPr="004B1C0E" w:rsidRDefault="00A952FD" w:rsidP="00A952FD">
      <w:pPr>
        <w:pStyle w:val="Heading3"/>
        <w:rPr>
          <w:sz w:val="24"/>
        </w:rPr>
      </w:pPr>
      <w:r w:rsidRPr="004B1C0E">
        <w:rPr>
          <w:sz w:val="24"/>
        </w:rPr>
        <w:t xml:space="preserve">The Supplier will be </w:t>
      </w:r>
      <w:r w:rsidR="00770089">
        <w:rPr>
          <w:sz w:val="24"/>
        </w:rPr>
        <w:t>a member</w:t>
      </w:r>
      <w:r w:rsidR="00770089" w:rsidRPr="004B1C0E">
        <w:rPr>
          <w:sz w:val="24"/>
        </w:rPr>
        <w:t xml:space="preserve"> </w:t>
      </w:r>
      <w:r w:rsidRPr="004B1C0E">
        <w:rPr>
          <w:sz w:val="24"/>
        </w:rPr>
        <w:t>of the Data Model governance body</w:t>
      </w:r>
      <w:r w:rsidR="004B1C0E" w:rsidRPr="004B1C0E">
        <w:rPr>
          <w:sz w:val="24"/>
        </w:rPr>
        <w:t>,</w:t>
      </w:r>
      <w:r w:rsidRPr="004B1C0E">
        <w:rPr>
          <w:sz w:val="24"/>
        </w:rPr>
        <w:t xml:space="preserve"> which will provide expertise, guidance and decision-making powers with respect to Data Model development and evolution during the project. The </w:t>
      </w:r>
      <w:r w:rsidR="004B1C0E" w:rsidRPr="004B1C0E">
        <w:rPr>
          <w:sz w:val="24"/>
        </w:rPr>
        <w:t xml:space="preserve">Customer will define the </w:t>
      </w:r>
      <w:r w:rsidRPr="004B1C0E">
        <w:rPr>
          <w:sz w:val="24"/>
        </w:rPr>
        <w:t xml:space="preserve">precise composition and Terms of Reference for this governance structure </w:t>
      </w:r>
      <w:r w:rsidR="00591757">
        <w:rPr>
          <w:sz w:val="24"/>
        </w:rPr>
        <w:t>ahead of</w:t>
      </w:r>
      <w:r w:rsidRPr="004B1C0E">
        <w:rPr>
          <w:sz w:val="24"/>
        </w:rPr>
        <w:t xml:space="preserve"> project kick-off.</w:t>
      </w:r>
    </w:p>
    <w:p w14:paraId="4B987CB3" w14:textId="6090C5C3" w:rsidR="00A952FD" w:rsidRPr="00D04A67" w:rsidRDefault="00A952FD" w:rsidP="00A952FD">
      <w:pPr>
        <w:pStyle w:val="Heading3"/>
        <w:rPr>
          <w:sz w:val="24"/>
          <w:szCs w:val="24"/>
        </w:rPr>
      </w:pPr>
      <w:r w:rsidRPr="00D04A67">
        <w:rPr>
          <w:sz w:val="24"/>
          <w:szCs w:val="24"/>
        </w:rPr>
        <w:t xml:space="preserve">The Supplier will deliver NUAR Data Model revisions as required and agreed by the Customer during the course of the project, </w:t>
      </w:r>
      <w:r w:rsidR="00D04A67">
        <w:rPr>
          <w:sz w:val="24"/>
          <w:szCs w:val="24"/>
        </w:rPr>
        <w:t>to satisfy new modelling requirements</w:t>
      </w:r>
      <w:r w:rsidRPr="00D04A67">
        <w:rPr>
          <w:sz w:val="24"/>
          <w:szCs w:val="24"/>
        </w:rPr>
        <w:t xml:space="preserve"> and to allow conformance with MUDDI Core model revisions. The changes to the NUAR Data Model that the Supplier will propose will be subject to governance processes </w:t>
      </w:r>
      <w:r w:rsidR="00D04A67">
        <w:rPr>
          <w:sz w:val="24"/>
          <w:szCs w:val="24"/>
        </w:rPr>
        <w:t>that will</w:t>
      </w:r>
      <w:r w:rsidRPr="00D04A67">
        <w:rPr>
          <w:sz w:val="24"/>
          <w:szCs w:val="24"/>
        </w:rPr>
        <w:t xml:space="preserve"> be defined by the Customer.</w:t>
      </w:r>
    </w:p>
    <w:p w14:paraId="33F4C5C1" w14:textId="1918CFE3" w:rsidR="00A952FD" w:rsidRPr="00D04A67" w:rsidRDefault="00A952FD" w:rsidP="00A952FD">
      <w:pPr>
        <w:pStyle w:val="Heading3"/>
        <w:rPr>
          <w:sz w:val="24"/>
          <w:szCs w:val="24"/>
        </w:rPr>
      </w:pPr>
      <w:r w:rsidRPr="00D04A67">
        <w:rPr>
          <w:sz w:val="24"/>
          <w:szCs w:val="24"/>
        </w:rPr>
        <w:t>The Supplier will, with coordination by the Customer, consider and review during the d</w:t>
      </w:r>
      <w:r w:rsidR="001C42FF">
        <w:rPr>
          <w:sz w:val="24"/>
          <w:szCs w:val="24"/>
        </w:rPr>
        <w:t>uration of the project the high-</w:t>
      </w:r>
      <w:r w:rsidRPr="00D04A67">
        <w:rPr>
          <w:sz w:val="24"/>
          <w:szCs w:val="24"/>
        </w:rPr>
        <w:t>level backlog of pote</w:t>
      </w:r>
      <w:r w:rsidR="008B4F39">
        <w:rPr>
          <w:sz w:val="24"/>
          <w:szCs w:val="24"/>
        </w:rPr>
        <w:t>ntial changes to the Data M</w:t>
      </w:r>
      <w:r w:rsidR="00D04A67">
        <w:rPr>
          <w:sz w:val="24"/>
          <w:szCs w:val="24"/>
        </w:rPr>
        <w:t>odel</w:t>
      </w:r>
      <w:r w:rsidRPr="00D04A67">
        <w:rPr>
          <w:sz w:val="24"/>
          <w:szCs w:val="24"/>
        </w:rPr>
        <w:t xml:space="preserve">, which is included </w:t>
      </w:r>
      <w:r w:rsidRPr="00661D89">
        <w:rPr>
          <w:sz w:val="24"/>
          <w:szCs w:val="24"/>
        </w:rPr>
        <w:t>in Ap</w:t>
      </w:r>
      <w:r w:rsidR="00A9356D">
        <w:rPr>
          <w:sz w:val="24"/>
          <w:szCs w:val="24"/>
        </w:rPr>
        <w:t xml:space="preserve">pendix </w:t>
      </w:r>
      <w:r w:rsidR="007025FB">
        <w:rPr>
          <w:sz w:val="24"/>
          <w:szCs w:val="24"/>
        </w:rPr>
        <w:t>L</w:t>
      </w:r>
      <w:r w:rsidRPr="00661D89">
        <w:rPr>
          <w:sz w:val="24"/>
          <w:szCs w:val="24"/>
        </w:rPr>
        <w:t>. This backlog will evolve and change during the project under</w:t>
      </w:r>
      <w:r w:rsidRPr="00D04A67">
        <w:rPr>
          <w:sz w:val="24"/>
          <w:szCs w:val="24"/>
        </w:rPr>
        <w:t xml:space="preserve"> the guidance of the Data Model governance body.</w:t>
      </w:r>
    </w:p>
    <w:p w14:paraId="50535813" w14:textId="339EB09F" w:rsidR="00A952FD" w:rsidRPr="00D04A67" w:rsidRDefault="00A952FD" w:rsidP="00A952FD">
      <w:pPr>
        <w:pStyle w:val="Heading3"/>
        <w:rPr>
          <w:sz w:val="24"/>
          <w:szCs w:val="24"/>
        </w:rPr>
      </w:pPr>
      <w:r w:rsidRPr="00D04A67">
        <w:rPr>
          <w:sz w:val="24"/>
          <w:szCs w:val="24"/>
        </w:rPr>
        <w:t xml:space="preserve">The Supplier will develop the </w:t>
      </w:r>
      <w:r w:rsidR="00AB1D74">
        <w:rPr>
          <w:sz w:val="24"/>
          <w:szCs w:val="24"/>
        </w:rPr>
        <w:t xml:space="preserve">core </w:t>
      </w:r>
      <w:r w:rsidRPr="00D04A67">
        <w:rPr>
          <w:sz w:val="24"/>
          <w:szCs w:val="24"/>
        </w:rPr>
        <w:t xml:space="preserve">Data Specification, </w:t>
      </w:r>
      <w:r w:rsidR="00D04A67" w:rsidRPr="00D04A67">
        <w:rPr>
          <w:sz w:val="24"/>
          <w:szCs w:val="24"/>
        </w:rPr>
        <w:t>which should</w:t>
      </w:r>
      <w:r w:rsidRPr="00D04A67">
        <w:rPr>
          <w:sz w:val="24"/>
          <w:szCs w:val="24"/>
        </w:rPr>
        <w:t xml:space="preserve"> be </w:t>
      </w:r>
      <w:r w:rsidRPr="00661D89">
        <w:rPr>
          <w:sz w:val="24"/>
          <w:szCs w:val="24"/>
        </w:rPr>
        <w:t>based on the NUAR outline Data Specification (include</w:t>
      </w:r>
      <w:r w:rsidR="00D04A67" w:rsidRPr="00661D89">
        <w:rPr>
          <w:sz w:val="24"/>
          <w:szCs w:val="24"/>
        </w:rPr>
        <w:t>d</w:t>
      </w:r>
      <w:r w:rsidRPr="00661D89">
        <w:rPr>
          <w:sz w:val="24"/>
          <w:szCs w:val="24"/>
        </w:rPr>
        <w:t xml:space="preserve"> in </w:t>
      </w:r>
      <w:r w:rsidR="00C41118">
        <w:rPr>
          <w:sz w:val="24"/>
          <w:szCs w:val="24"/>
        </w:rPr>
        <w:t xml:space="preserve">Appendix </w:t>
      </w:r>
      <w:r w:rsidR="007025FB">
        <w:rPr>
          <w:sz w:val="24"/>
          <w:szCs w:val="24"/>
        </w:rPr>
        <w:t>M</w:t>
      </w:r>
      <w:r w:rsidRPr="00661D89">
        <w:rPr>
          <w:sz w:val="24"/>
          <w:szCs w:val="24"/>
        </w:rPr>
        <w:t>)</w:t>
      </w:r>
      <w:r w:rsidR="0089033F">
        <w:rPr>
          <w:sz w:val="24"/>
          <w:szCs w:val="24"/>
        </w:rPr>
        <w:t xml:space="preserve"> and </w:t>
      </w:r>
      <w:r w:rsidR="007E5B50">
        <w:rPr>
          <w:sz w:val="24"/>
          <w:szCs w:val="24"/>
        </w:rPr>
        <w:t>will</w:t>
      </w:r>
      <w:r w:rsidR="0089033F">
        <w:rPr>
          <w:sz w:val="24"/>
          <w:szCs w:val="24"/>
        </w:rPr>
        <w:t xml:space="preserve"> include a Feature Catalogue summarising the mandatory and optional Feature Types, attributes and codelist values for different sectors and domains</w:t>
      </w:r>
      <w:r w:rsidR="00661D89">
        <w:rPr>
          <w:sz w:val="24"/>
          <w:szCs w:val="24"/>
        </w:rPr>
        <w:t>.</w:t>
      </w:r>
    </w:p>
    <w:p w14:paraId="2866BE60" w14:textId="41A12548" w:rsidR="00A952FD" w:rsidRPr="00D04A67" w:rsidRDefault="00A952FD" w:rsidP="00A952FD">
      <w:pPr>
        <w:pStyle w:val="Heading3"/>
        <w:rPr>
          <w:sz w:val="24"/>
          <w:szCs w:val="24"/>
        </w:rPr>
      </w:pPr>
      <w:r w:rsidRPr="00D04A67">
        <w:rPr>
          <w:sz w:val="24"/>
          <w:szCs w:val="24"/>
        </w:rPr>
        <w:t xml:space="preserve">The Supplier will provide designs for other required data structures for elements of the system outside the scope of the core NUAR </w:t>
      </w:r>
      <w:r w:rsidR="00DD438A">
        <w:rPr>
          <w:sz w:val="24"/>
          <w:szCs w:val="24"/>
        </w:rPr>
        <w:t>Data M</w:t>
      </w:r>
      <w:r w:rsidRPr="00D04A67">
        <w:rPr>
          <w:sz w:val="24"/>
          <w:szCs w:val="24"/>
        </w:rPr>
        <w:t>odel including:</w:t>
      </w:r>
    </w:p>
    <w:p w14:paraId="08A22AD1" w14:textId="4CE31C3A" w:rsidR="00A952FD" w:rsidRPr="00D04A67" w:rsidRDefault="00A952FD" w:rsidP="00D04A67">
      <w:pPr>
        <w:pStyle w:val="Heading4"/>
        <w:rPr>
          <w:sz w:val="24"/>
        </w:rPr>
      </w:pPr>
      <w:r w:rsidRPr="00D04A67">
        <w:rPr>
          <w:sz w:val="24"/>
        </w:rPr>
        <w:t>User Account and Security data</w:t>
      </w:r>
      <w:r w:rsidR="007E5B50">
        <w:rPr>
          <w:sz w:val="24"/>
        </w:rPr>
        <w:t>;</w:t>
      </w:r>
    </w:p>
    <w:p w14:paraId="2A28D609" w14:textId="4C40FFAD" w:rsidR="009A0513" w:rsidRDefault="00A952FD" w:rsidP="00D04A67">
      <w:pPr>
        <w:pStyle w:val="Heading4"/>
        <w:rPr>
          <w:sz w:val="24"/>
        </w:rPr>
      </w:pPr>
      <w:r w:rsidRPr="00D04A67">
        <w:rPr>
          <w:sz w:val="24"/>
        </w:rPr>
        <w:t>Data Management information - metadata relating to organisations and datasets</w:t>
      </w:r>
      <w:r w:rsidR="007E5B50">
        <w:rPr>
          <w:sz w:val="24"/>
        </w:rPr>
        <w:t>;</w:t>
      </w:r>
    </w:p>
    <w:p w14:paraId="07515C36" w14:textId="1C9DD1F3" w:rsidR="00C0201C" w:rsidRDefault="00C0201C" w:rsidP="00D04A67">
      <w:pPr>
        <w:pStyle w:val="Heading4"/>
        <w:rPr>
          <w:sz w:val="24"/>
        </w:rPr>
      </w:pPr>
      <w:r>
        <w:rPr>
          <w:sz w:val="24"/>
        </w:rPr>
        <w:t>Supplemental data and documents</w:t>
      </w:r>
      <w:r w:rsidR="007E5B50">
        <w:rPr>
          <w:sz w:val="24"/>
        </w:rPr>
        <w:t>;</w:t>
      </w:r>
    </w:p>
    <w:p w14:paraId="041ADEDE" w14:textId="7DA8F545" w:rsidR="00C0201C" w:rsidRDefault="00C0201C" w:rsidP="00D04A67">
      <w:pPr>
        <w:pStyle w:val="Heading4"/>
        <w:rPr>
          <w:sz w:val="24"/>
        </w:rPr>
      </w:pPr>
      <w:r>
        <w:rPr>
          <w:sz w:val="24"/>
        </w:rPr>
        <w:lastRenderedPageBreak/>
        <w:t>Raster data</w:t>
      </w:r>
      <w:r w:rsidR="007E5B50">
        <w:rPr>
          <w:sz w:val="24"/>
        </w:rPr>
        <w:t>;</w:t>
      </w:r>
    </w:p>
    <w:p w14:paraId="0D8C5EAF" w14:textId="73FDC134" w:rsidR="00C0201C" w:rsidRDefault="00C0201C" w:rsidP="00C0201C">
      <w:pPr>
        <w:pStyle w:val="Heading4"/>
        <w:rPr>
          <w:sz w:val="24"/>
        </w:rPr>
      </w:pPr>
      <w:r>
        <w:rPr>
          <w:sz w:val="24"/>
        </w:rPr>
        <w:t>Observations data</w:t>
      </w:r>
      <w:r w:rsidR="007E5B50">
        <w:rPr>
          <w:sz w:val="24"/>
        </w:rPr>
        <w:t>;</w:t>
      </w:r>
      <w:r w:rsidR="00406F38">
        <w:rPr>
          <w:sz w:val="24"/>
        </w:rPr>
        <w:t xml:space="preserve"> and</w:t>
      </w:r>
    </w:p>
    <w:p w14:paraId="07E9DCF7" w14:textId="794BF3DF" w:rsidR="00A87547" w:rsidRDefault="00A87547" w:rsidP="00A87547">
      <w:pPr>
        <w:pStyle w:val="Heading4"/>
        <w:rPr>
          <w:sz w:val="24"/>
        </w:rPr>
      </w:pPr>
      <w:r>
        <w:rPr>
          <w:sz w:val="24"/>
        </w:rPr>
        <w:t>Intermediate storage of data during data load activities via the Transformation Platform and Ingestion Subsystem</w:t>
      </w:r>
      <w:r w:rsidR="007E5B50">
        <w:rPr>
          <w:sz w:val="24"/>
        </w:rPr>
        <w:t>.</w:t>
      </w:r>
    </w:p>
    <w:p w14:paraId="7C3531F4" w14:textId="52264102" w:rsidR="00863075" w:rsidRDefault="00863075" w:rsidP="00A47EA5">
      <w:pPr>
        <w:pStyle w:val="Heading4"/>
        <w:numPr>
          <w:ilvl w:val="0"/>
          <w:numId w:val="0"/>
        </w:numPr>
        <w:ind w:left="2880" w:hanging="1080"/>
        <w:rPr>
          <w:sz w:val="24"/>
        </w:rPr>
      </w:pPr>
      <w:r>
        <w:rPr>
          <w:sz w:val="24"/>
        </w:rPr>
        <w:t>This list is not exhaustive.</w:t>
      </w:r>
    </w:p>
    <w:p w14:paraId="6F32DBAD" w14:textId="77777777" w:rsidR="00FB5DAA" w:rsidRPr="00214E98" w:rsidRDefault="00FB5DAA" w:rsidP="00FB5DAA">
      <w:pPr>
        <w:pStyle w:val="Heading4"/>
        <w:numPr>
          <w:ilvl w:val="0"/>
          <w:numId w:val="0"/>
        </w:numPr>
        <w:rPr>
          <w:sz w:val="24"/>
          <w:szCs w:val="24"/>
          <w:u w:val="single"/>
        </w:rPr>
      </w:pPr>
      <w:r w:rsidRPr="00214E98">
        <w:rPr>
          <w:sz w:val="24"/>
          <w:szCs w:val="24"/>
          <w:u w:val="single"/>
        </w:rPr>
        <w:t>Presentation Subsystem</w:t>
      </w:r>
    </w:p>
    <w:p w14:paraId="0D227F0D" w14:textId="77777777" w:rsidR="00FB5DAA" w:rsidRPr="00FB5DAA" w:rsidRDefault="00FB5DAA" w:rsidP="00FB5DAA">
      <w:pPr>
        <w:pStyle w:val="Heading3"/>
        <w:numPr>
          <w:ilvl w:val="2"/>
          <w:numId w:val="28"/>
        </w:numPr>
        <w:rPr>
          <w:sz w:val="24"/>
          <w:szCs w:val="24"/>
        </w:rPr>
      </w:pPr>
      <w:r w:rsidRPr="00FB5DAA">
        <w:rPr>
          <w:sz w:val="24"/>
          <w:szCs w:val="24"/>
        </w:rPr>
        <w:t>The Supplier will deliver the Presentation Subsystem, which encapsulates the user interface for all users of the system and integrates with the Core Platform via an API.</w:t>
      </w:r>
    </w:p>
    <w:p w14:paraId="7F70CB4B" w14:textId="5C0F1958" w:rsidR="00FB5DAA" w:rsidRPr="00214E98" w:rsidRDefault="00FB5DAA" w:rsidP="00FB5DAA">
      <w:pPr>
        <w:pStyle w:val="Heading3"/>
        <w:rPr>
          <w:sz w:val="24"/>
          <w:szCs w:val="24"/>
        </w:rPr>
      </w:pPr>
      <w:r w:rsidRPr="00214E98">
        <w:rPr>
          <w:sz w:val="24"/>
          <w:szCs w:val="24"/>
        </w:rPr>
        <w:t>The Supplier will deliver the user interface, which will be a web-based application with no requirement to download or install software locally</w:t>
      </w:r>
      <w:r w:rsidR="00182323">
        <w:rPr>
          <w:sz w:val="24"/>
          <w:szCs w:val="24"/>
        </w:rPr>
        <w:t>.</w:t>
      </w:r>
    </w:p>
    <w:p w14:paraId="2533F794" w14:textId="1D47E89E" w:rsidR="00FB5DAA" w:rsidRPr="00214E98" w:rsidRDefault="00FB5DAA" w:rsidP="00FB5DAA">
      <w:pPr>
        <w:pStyle w:val="Heading3"/>
        <w:rPr>
          <w:sz w:val="24"/>
          <w:szCs w:val="24"/>
        </w:rPr>
      </w:pPr>
      <w:r w:rsidRPr="00214E98">
        <w:rPr>
          <w:sz w:val="24"/>
          <w:szCs w:val="24"/>
        </w:rPr>
        <w:t>The Supplier will ensure that the application has a responsive design such that it is configurable for use on devices with different screen sizes and resolutions, including desktop computers, tablets and smartphones</w:t>
      </w:r>
      <w:r w:rsidR="00182323">
        <w:rPr>
          <w:sz w:val="24"/>
          <w:szCs w:val="24"/>
        </w:rPr>
        <w:t>.</w:t>
      </w:r>
    </w:p>
    <w:p w14:paraId="55ADC201" w14:textId="77777777" w:rsidR="00FB5DAA" w:rsidRDefault="00FB5DAA" w:rsidP="00FB5DAA">
      <w:pPr>
        <w:pStyle w:val="Heading3"/>
        <w:rPr>
          <w:sz w:val="24"/>
          <w:szCs w:val="24"/>
        </w:rPr>
      </w:pPr>
      <w:r w:rsidRPr="002C5C08">
        <w:rPr>
          <w:sz w:val="24"/>
          <w:szCs w:val="24"/>
        </w:rPr>
        <w:t>The Supplier will ensure that the web application supports recent versions of the major web browsers, as outlined in document “Designing for different browsers and devices”</w:t>
      </w:r>
      <w:r>
        <w:rPr>
          <w:rStyle w:val="FootnoteReference"/>
          <w:szCs w:val="24"/>
        </w:rPr>
        <w:footnoteReference w:id="17"/>
      </w:r>
      <w:r w:rsidRPr="002C5C08">
        <w:rPr>
          <w:sz w:val="24"/>
          <w:szCs w:val="24"/>
        </w:rPr>
        <w:t>, and the supported versions of the major operating systems on desktop and mobile devices (Windows, Android, iOS)</w:t>
      </w:r>
      <w:r>
        <w:rPr>
          <w:sz w:val="24"/>
          <w:szCs w:val="24"/>
        </w:rPr>
        <w:t>.</w:t>
      </w:r>
    </w:p>
    <w:p w14:paraId="05F88705" w14:textId="33A1E851" w:rsidR="00FB5DAA" w:rsidRPr="00214E98" w:rsidRDefault="00FB5DAA" w:rsidP="00FB5DAA">
      <w:pPr>
        <w:pStyle w:val="Heading3"/>
        <w:rPr>
          <w:sz w:val="24"/>
          <w:szCs w:val="24"/>
        </w:rPr>
      </w:pPr>
      <w:r w:rsidRPr="00214E98">
        <w:rPr>
          <w:sz w:val="24"/>
          <w:szCs w:val="24"/>
        </w:rPr>
        <w:t>The Supplier will en</w:t>
      </w:r>
      <w:r w:rsidR="00244862">
        <w:rPr>
          <w:sz w:val="24"/>
          <w:szCs w:val="24"/>
        </w:rPr>
        <w:t>sure that they deliver the high-</w:t>
      </w:r>
      <w:r w:rsidRPr="00214E98">
        <w:rPr>
          <w:sz w:val="24"/>
          <w:szCs w:val="24"/>
        </w:rPr>
        <w:t xml:space="preserve">level requirements for the user interface, which are presented in the form of a Product Backlog </w:t>
      </w:r>
      <w:r>
        <w:rPr>
          <w:sz w:val="24"/>
          <w:szCs w:val="24"/>
        </w:rPr>
        <w:t xml:space="preserve">(Appendix </w:t>
      </w:r>
      <w:r w:rsidR="00A27080">
        <w:rPr>
          <w:sz w:val="24"/>
          <w:szCs w:val="24"/>
        </w:rPr>
        <w:t>G</w:t>
      </w:r>
      <w:r>
        <w:rPr>
          <w:sz w:val="24"/>
          <w:szCs w:val="24"/>
        </w:rPr>
        <w:t xml:space="preserve">) </w:t>
      </w:r>
      <w:r w:rsidRPr="00214E98">
        <w:rPr>
          <w:sz w:val="24"/>
          <w:szCs w:val="24"/>
        </w:rPr>
        <w:t>and covers the following broad areas:</w:t>
      </w:r>
    </w:p>
    <w:p w14:paraId="2A607873" w14:textId="77777777" w:rsidR="00FB5DAA" w:rsidRPr="00214E98" w:rsidRDefault="00FB5DAA" w:rsidP="00FB5DAA">
      <w:pPr>
        <w:pStyle w:val="Heading4"/>
        <w:spacing w:after="0"/>
        <w:rPr>
          <w:sz w:val="24"/>
        </w:rPr>
      </w:pPr>
      <w:r w:rsidRPr="00214E98">
        <w:rPr>
          <w:sz w:val="24"/>
        </w:rPr>
        <w:t>Area of Interest mark-up</w:t>
      </w:r>
    </w:p>
    <w:p w14:paraId="51F99F01" w14:textId="77777777" w:rsidR="00FB5DAA" w:rsidRPr="00214E98" w:rsidRDefault="00FB5DAA" w:rsidP="00FB5DAA">
      <w:pPr>
        <w:pStyle w:val="Heading4"/>
        <w:spacing w:after="0"/>
        <w:rPr>
          <w:sz w:val="24"/>
        </w:rPr>
      </w:pPr>
      <w:r w:rsidRPr="00214E98">
        <w:rPr>
          <w:sz w:val="24"/>
        </w:rPr>
        <w:t>Attribute Query</w:t>
      </w:r>
    </w:p>
    <w:p w14:paraId="7055D149" w14:textId="77777777" w:rsidR="00FB5DAA" w:rsidRPr="00214E98" w:rsidRDefault="00FB5DAA" w:rsidP="00FB5DAA">
      <w:pPr>
        <w:pStyle w:val="Heading4"/>
        <w:spacing w:after="0"/>
        <w:rPr>
          <w:sz w:val="24"/>
        </w:rPr>
      </w:pPr>
      <w:r w:rsidRPr="00214E98">
        <w:rPr>
          <w:sz w:val="24"/>
        </w:rPr>
        <w:t>Audit</w:t>
      </w:r>
    </w:p>
    <w:p w14:paraId="274ADB40" w14:textId="77777777" w:rsidR="00FB5DAA" w:rsidRPr="00214E98" w:rsidRDefault="00FB5DAA" w:rsidP="00FB5DAA">
      <w:pPr>
        <w:pStyle w:val="Heading4"/>
        <w:spacing w:after="0"/>
        <w:rPr>
          <w:sz w:val="24"/>
        </w:rPr>
      </w:pPr>
      <w:r w:rsidRPr="00214E98">
        <w:rPr>
          <w:sz w:val="24"/>
        </w:rPr>
        <w:t>Conformance Reporting</w:t>
      </w:r>
    </w:p>
    <w:p w14:paraId="7DC9F84B" w14:textId="77777777" w:rsidR="00FB5DAA" w:rsidRPr="00214E98" w:rsidRDefault="00FB5DAA" w:rsidP="00FB5DAA">
      <w:pPr>
        <w:pStyle w:val="Heading4"/>
        <w:spacing w:after="0"/>
        <w:rPr>
          <w:sz w:val="24"/>
        </w:rPr>
      </w:pPr>
      <w:r w:rsidRPr="00214E98">
        <w:rPr>
          <w:sz w:val="24"/>
        </w:rPr>
        <w:t>Coverage Reporting</w:t>
      </w:r>
    </w:p>
    <w:p w14:paraId="4847517A" w14:textId="77777777" w:rsidR="00FB5DAA" w:rsidRPr="00214E98" w:rsidRDefault="00FB5DAA" w:rsidP="00FB5DAA">
      <w:pPr>
        <w:pStyle w:val="Heading4"/>
        <w:spacing w:after="0"/>
        <w:rPr>
          <w:sz w:val="24"/>
        </w:rPr>
      </w:pPr>
      <w:r w:rsidRPr="00214E98">
        <w:rPr>
          <w:sz w:val="24"/>
        </w:rPr>
        <w:t>Data Load</w:t>
      </w:r>
    </w:p>
    <w:p w14:paraId="730D9573" w14:textId="77777777" w:rsidR="00FB5DAA" w:rsidRPr="00214E98" w:rsidRDefault="00FB5DAA" w:rsidP="00FB5DAA">
      <w:pPr>
        <w:pStyle w:val="Heading4"/>
        <w:spacing w:after="0"/>
        <w:rPr>
          <w:sz w:val="24"/>
        </w:rPr>
      </w:pPr>
      <w:r w:rsidRPr="00214E98">
        <w:rPr>
          <w:sz w:val="24"/>
        </w:rPr>
        <w:t>Data Management</w:t>
      </w:r>
    </w:p>
    <w:p w14:paraId="6B2B5EB3" w14:textId="77777777" w:rsidR="00FB5DAA" w:rsidRPr="00214E98" w:rsidRDefault="00FB5DAA" w:rsidP="00FB5DAA">
      <w:pPr>
        <w:pStyle w:val="Heading4"/>
        <w:spacing w:after="0"/>
        <w:rPr>
          <w:sz w:val="24"/>
        </w:rPr>
      </w:pPr>
      <w:r w:rsidRPr="00214E98">
        <w:rPr>
          <w:sz w:val="24"/>
        </w:rPr>
        <w:t>Intention to Dig</w:t>
      </w:r>
    </w:p>
    <w:p w14:paraId="79DCF807" w14:textId="77777777" w:rsidR="00FB5DAA" w:rsidRPr="00214E98" w:rsidRDefault="00FB5DAA" w:rsidP="00FB5DAA">
      <w:pPr>
        <w:pStyle w:val="Heading4"/>
        <w:spacing w:after="0"/>
        <w:rPr>
          <w:sz w:val="24"/>
        </w:rPr>
      </w:pPr>
      <w:r w:rsidRPr="00214E98">
        <w:rPr>
          <w:sz w:val="24"/>
        </w:rPr>
        <w:t>Layers</w:t>
      </w:r>
    </w:p>
    <w:p w14:paraId="2D242040" w14:textId="77777777" w:rsidR="00FB5DAA" w:rsidRPr="00214E98" w:rsidRDefault="00FB5DAA" w:rsidP="00FB5DAA">
      <w:pPr>
        <w:pStyle w:val="Heading4"/>
        <w:spacing w:after="0"/>
        <w:rPr>
          <w:sz w:val="24"/>
        </w:rPr>
      </w:pPr>
      <w:r w:rsidRPr="00214E98">
        <w:rPr>
          <w:sz w:val="24"/>
        </w:rPr>
        <w:t>Link share</w:t>
      </w:r>
    </w:p>
    <w:p w14:paraId="5DF60CE4" w14:textId="77777777" w:rsidR="00FB5DAA" w:rsidRPr="00214E98" w:rsidRDefault="00FB5DAA" w:rsidP="00FB5DAA">
      <w:pPr>
        <w:pStyle w:val="Heading4"/>
        <w:spacing w:after="0"/>
        <w:rPr>
          <w:sz w:val="24"/>
        </w:rPr>
      </w:pPr>
      <w:r w:rsidRPr="00214E98">
        <w:rPr>
          <w:sz w:val="24"/>
        </w:rPr>
        <w:t>Login</w:t>
      </w:r>
    </w:p>
    <w:p w14:paraId="43597845" w14:textId="39BA3C6E" w:rsidR="00FB5DAA" w:rsidRPr="00214E98" w:rsidRDefault="00FB5DAA" w:rsidP="00FB5DAA">
      <w:pPr>
        <w:pStyle w:val="Heading4"/>
        <w:spacing w:after="0"/>
        <w:rPr>
          <w:sz w:val="24"/>
        </w:rPr>
      </w:pPr>
      <w:r w:rsidRPr="00214E98">
        <w:rPr>
          <w:sz w:val="24"/>
        </w:rPr>
        <w:lastRenderedPageBreak/>
        <w:t xml:space="preserve">Map navigation </w:t>
      </w:r>
    </w:p>
    <w:p w14:paraId="5A67C90E" w14:textId="77777777" w:rsidR="00FB5DAA" w:rsidRPr="00214E98" w:rsidRDefault="00FB5DAA" w:rsidP="00FB5DAA">
      <w:pPr>
        <w:pStyle w:val="Heading4"/>
        <w:spacing w:after="0"/>
        <w:rPr>
          <w:sz w:val="24"/>
        </w:rPr>
      </w:pPr>
      <w:r w:rsidRPr="00214E98">
        <w:rPr>
          <w:sz w:val="24"/>
        </w:rPr>
        <w:t>Observations management</w:t>
      </w:r>
    </w:p>
    <w:p w14:paraId="5A98FDB1" w14:textId="77777777" w:rsidR="00FB5DAA" w:rsidRPr="00214E98" w:rsidRDefault="00FB5DAA" w:rsidP="00FB5DAA">
      <w:pPr>
        <w:pStyle w:val="Heading4"/>
        <w:spacing w:after="0"/>
        <w:rPr>
          <w:sz w:val="24"/>
        </w:rPr>
      </w:pPr>
      <w:r w:rsidRPr="00214E98">
        <w:rPr>
          <w:sz w:val="24"/>
        </w:rPr>
        <w:t>Observations submission</w:t>
      </w:r>
    </w:p>
    <w:p w14:paraId="3A4966D0" w14:textId="77777777" w:rsidR="00FB5DAA" w:rsidRPr="00214E98" w:rsidRDefault="00FB5DAA" w:rsidP="00FB5DAA">
      <w:pPr>
        <w:pStyle w:val="Heading4"/>
        <w:spacing w:after="0"/>
        <w:rPr>
          <w:sz w:val="24"/>
        </w:rPr>
      </w:pPr>
      <w:r w:rsidRPr="00214E98">
        <w:rPr>
          <w:sz w:val="24"/>
        </w:rPr>
        <w:t>Print/Export</w:t>
      </w:r>
    </w:p>
    <w:p w14:paraId="2CFA088A" w14:textId="77777777" w:rsidR="00FB5DAA" w:rsidRPr="00214E98" w:rsidRDefault="00FB5DAA" w:rsidP="00FB5DAA">
      <w:pPr>
        <w:pStyle w:val="Heading4"/>
        <w:spacing w:after="0"/>
        <w:rPr>
          <w:sz w:val="24"/>
        </w:rPr>
      </w:pPr>
      <w:r w:rsidRPr="00214E98">
        <w:rPr>
          <w:sz w:val="24"/>
        </w:rPr>
        <w:t>Request to View</w:t>
      </w:r>
    </w:p>
    <w:p w14:paraId="0F265AD8" w14:textId="77777777" w:rsidR="00FB5DAA" w:rsidRPr="00214E98" w:rsidRDefault="00FB5DAA" w:rsidP="00FB5DAA">
      <w:pPr>
        <w:pStyle w:val="Heading4"/>
        <w:spacing w:after="0"/>
        <w:rPr>
          <w:sz w:val="24"/>
        </w:rPr>
      </w:pPr>
      <w:r w:rsidRPr="00214E98">
        <w:rPr>
          <w:sz w:val="24"/>
        </w:rPr>
        <w:t>Search</w:t>
      </w:r>
    </w:p>
    <w:p w14:paraId="4D77D999" w14:textId="77777777" w:rsidR="00FB5DAA" w:rsidRPr="00214E98" w:rsidRDefault="00FB5DAA" w:rsidP="00FB5DAA">
      <w:pPr>
        <w:pStyle w:val="Heading4"/>
        <w:spacing w:after="0"/>
        <w:rPr>
          <w:sz w:val="24"/>
        </w:rPr>
      </w:pPr>
      <w:r w:rsidRPr="00214E98">
        <w:rPr>
          <w:sz w:val="24"/>
        </w:rPr>
        <w:t>Security Notifications</w:t>
      </w:r>
    </w:p>
    <w:p w14:paraId="09E3A737" w14:textId="77777777" w:rsidR="00FB5DAA" w:rsidRPr="00214E98" w:rsidRDefault="00FB5DAA" w:rsidP="00FB5DAA">
      <w:pPr>
        <w:pStyle w:val="Heading4"/>
        <w:spacing w:after="0"/>
        <w:rPr>
          <w:sz w:val="24"/>
        </w:rPr>
      </w:pPr>
      <w:r w:rsidRPr="00214E98">
        <w:rPr>
          <w:sz w:val="24"/>
        </w:rPr>
        <w:t>Sensitivity</w:t>
      </w:r>
    </w:p>
    <w:p w14:paraId="7D929A48" w14:textId="77777777" w:rsidR="00FB5DAA" w:rsidRPr="00214E98" w:rsidRDefault="00FB5DAA" w:rsidP="00FB5DAA">
      <w:pPr>
        <w:pStyle w:val="Heading4"/>
        <w:spacing w:after="0"/>
        <w:rPr>
          <w:sz w:val="24"/>
        </w:rPr>
      </w:pPr>
      <w:r w:rsidRPr="00214E98">
        <w:rPr>
          <w:sz w:val="24"/>
        </w:rPr>
        <w:t>User Administration</w:t>
      </w:r>
    </w:p>
    <w:p w14:paraId="7C35A9EC" w14:textId="77777777" w:rsidR="00FB5DAA" w:rsidRPr="00214E98" w:rsidRDefault="00FB5DAA" w:rsidP="00FB5DAA">
      <w:pPr>
        <w:pStyle w:val="Heading4"/>
        <w:spacing w:after="0"/>
        <w:rPr>
          <w:sz w:val="24"/>
        </w:rPr>
      </w:pPr>
      <w:r w:rsidRPr="00214E98">
        <w:rPr>
          <w:sz w:val="24"/>
        </w:rPr>
        <w:t>User Notifications</w:t>
      </w:r>
    </w:p>
    <w:p w14:paraId="31C4C6FC" w14:textId="77777777" w:rsidR="00FB5DAA" w:rsidRPr="00214E98" w:rsidRDefault="00FB5DAA" w:rsidP="00FB5DAA">
      <w:pPr>
        <w:pStyle w:val="Heading4"/>
        <w:spacing w:after="0"/>
        <w:rPr>
          <w:sz w:val="24"/>
        </w:rPr>
      </w:pPr>
      <w:r w:rsidRPr="00214E98">
        <w:rPr>
          <w:sz w:val="24"/>
        </w:rPr>
        <w:t>Visualisation</w:t>
      </w:r>
    </w:p>
    <w:p w14:paraId="0DC711C8" w14:textId="66109F79" w:rsidR="008E6BCB" w:rsidRDefault="008E6BCB" w:rsidP="00244862">
      <w:pPr>
        <w:pStyle w:val="Heading3"/>
        <w:numPr>
          <w:ilvl w:val="0"/>
          <w:numId w:val="0"/>
        </w:numPr>
        <w:spacing w:before="240"/>
        <w:ind w:left="1931"/>
        <w:rPr>
          <w:sz w:val="24"/>
          <w:szCs w:val="24"/>
        </w:rPr>
      </w:pPr>
      <w:r>
        <w:rPr>
          <w:sz w:val="24"/>
          <w:szCs w:val="24"/>
        </w:rPr>
        <w:t>This is not an exhaustive list</w:t>
      </w:r>
    </w:p>
    <w:p w14:paraId="65127BF3" w14:textId="599D976D" w:rsidR="00FB5DAA" w:rsidRPr="009A0513" w:rsidRDefault="00FB5DAA" w:rsidP="00FB5DAA">
      <w:pPr>
        <w:pStyle w:val="Heading3"/>
        <w:spacing w:before="240"/>
        <w:rPr>
          <w:sz w:val="24"/>
          <w:szCs w:val="24"/>
        </w:rPr>
      </w:pPr>
      <w:r w:rsidRPr="009A0513">
        <w:rPr>
          <w:sz w:val="24"/>
          <w:szCs w:val="24"/>
        </w:rPr>
        <w:t>The Supplier will deliver the following documentation, which will be kept up-to-date throughout the life of the contract</w:t>
      </w:r>
      <w:r>
        <w:rPr>
          <w:sz w:val="24"/>
          <w:szCs w:val="24"/>
        </w:rPr>
        <w:t>, including but not limited to</w:t>
      </w:r>
      <w:r w:rsidRPr="009A0513">
        <w:rPr>
          <w:sz w:val="24"/>
          <w:szCs w:val="24"/>
        </w:rPr>
        <w:t>:</w:t>
      </w:r>
    </w:p>
    <w:p w14:paraId="112A0148" w14:textId="77777777" w:rsidR="00FB5DAA" w:rsidRPr="009A0513" w:rsidRDefault="00FB5DAA" w:rsidP="00FB5DAA">
      <w:pPr>
        <w:pStyle w:val="Heading4"/>
        <w:spacing w:after="0"/>
        <w:rPr>
          <w:sz w:val="24"/>
          <w:szCs w:val="24"/>
        </w:rPr>
      </w:pPr>
      <w:r w:rsidRPr="009A0513">
        <w:rPr>
          <w:sz w:val="24"/>
          <w:szCs w:val="24"/>
        </w:rPr>
        <w:t xml:space="preserve">User Interface </w:t>
      </w:r>
      <w:r>
        <w:rPr>
          <w:sz w:val="24"/>
          <w:szCs w:val="24"/>
        </w:rPr>
        <w:t xml:space="preserve">(UI) </w:t>
      </w:r>
      <w:r w:rsidRPr="009A0513">
        <w:rPr>
          <w:sz w:val="24"/>
          <w:szCs w:val="24"/>
        </w:rPr>
        <w:t>Specification:</w:t>
      </w:r>
    </w:p>
    <w:p w14:paraId="137FDF21" w14:textId="77777777" w:rsidR="00FB5DAA" w:rsidRPr="009A0513" w:rsidRDefault="00FB5DAA" w:rsidP="00FB5DAA">
      <w:pPr>
        <w:pStyle w:val="Heading5"/>
        <w:spacing w:after="0"/>
        <w:rPr>
          <w:sz w:val="24"/>
          <w:szCs w:val="24"/>
        </w:rPr>
      </w:pPr>
      <w:r w:rsidRPr="009A0513">
        <w:rPr>
          <w:sz w:val="24"/>
          <w:szCs w:val="24"/>
        </w:rPr>
        <w:t>Sitemap</w:t>
      </w:r>
    </w:p>
    <w:p w14:paraId="2B9FC2C4" w14:textId="77777777" w:rsidR="00FB5DAA" w:rsidRPr="009A0513" w:rsidRDefault="00FB5DAA" w:rsidP="00FB5DAA">
      <w:pPr>
        <w:pStyle w:val="Heading5"/>
        <w:spacing w:after="0"/>
        <w:rPr>
          <w:sz w:val="24"/>
          <w:szCs w:val="24"/>
        </w:rPr>
      </w:pPr>
      <w:r w:rsidRPr="009A0513">
        <w:rPr>
          <w:sz w:val="24"/>
          <w:szCs w:val="24"/>
        </w:rPr>
        <w:t>Screen layouts</w:t>
      </w:r>
    </w:p>
    <w:p w14:paraId="2AFFA183" w14:textId="57BF20BC" w:rsidR="00FB5DAA" w:rsidRPr="009A0513" w:rsidRDefault="00FB5DAA" w:rsidP="00FB5DAA">
      <w:pPr>
        <w:pStyle w:val="Heading5"/>
        <w:spacing w:after="0"/>
        <w:rPr>
          <w:sz w:val="24"/>
          <w:szCs w:val="24"/>
        </w:rPr>
      </w:pPr>
      <w:r w:rsidRPr="009A0513">
        <w:rPr>
          <w:sz w:val="24"/>
          <w:szCs w:val="24"/>
        </w:rPr>
        <w:t>Display Rules (including UI ma</w:t>
      </w:r>
      <w:r w:rsidR="00DD438A">
        <w:rPr>
          <w:sz w:val="24"/>
          <w:szCs w:val="24"/>
        </w:rPr>
        <w:t>ppings from the Data M</w:t>
      </w:r>
      <w:r w:rsidRPr="009A0513">
        <w:rPr>
          <w:sz w:val="24"/>
          <w:szCs w:val="24"/>
        </w:rPr>
        <w:t>odel)</w:t>
      </w:r>
    </w:p>
    <w:p w14:paraId="2BE3DCEF" w14:textId="77777777" w:rsidR="00FB5DAA" w:rsidRPr="009A0513" w:rsidRDefault="00FB5DAA" w:rsidP="00FB5DAA">
      <w:pPr>
        <w:pStyle w:val="Heading5"/>
        <w:spacing w:after="0"/>
        <w:rPr>
          <w:sz w:val="24"/>
          <w:szCs w:val="24"/>
        </w:rPr>
      </w:pPr>
      <w:r w:rsidRPr="009A0513">
        <w:rPr>
          <w:sz w:val="24"/>
          <w:szCs w:val="24"/>
        </w:rPr>
        <w:t>Messages and Notifications</w:t>
      </w:r>
    </w:p>
    <w:p w14:paraId="5F9F7518" w14:textId="77777777" w:rsidR="00FB5DAA" w:rsidRPr="009A0513" w:rsidRDefault="00FB5DAA" w:rsidP="00FB5DAA">
      <w:pPr>
        <w:pStyle w:val="Heading5"/>
        <w:spacing w:after="0"/>
        <w:rPr>
          <w:sz w:val="24"/>
          <w:szCs w:val="24"/>
        </w:rPr>
      </w:pPr>
      <w:r w:rsidRPr="009A0513">
        <w:rPr>
          <w:sz w:val="24"/>
          <w:szCs w:val="24"/>
        </w:rPr>
        <w:t>Links</w:t>
      </w:r>
    </w:p>
    <w:p w14:paraId="035C035F" w14:textId="77777777" w:rsidR="00FB5DAA" w:rsidRPr="009A0513" w:rsidRDefault="00FB5DAA" w:rsidP="00FB5DAA">
      <w:pPr>
        <w:pStyle w:val="Heading4"/>
        <w:spacing w:before="240"/>
        <w:rPr>
          <w:sz w:val="24"/>
          <w:szCs w:val="24"/>
        </w:rPr>
      </w:pPr>
      <w:r w:rsidRPr="009A0513">
        <w:rPr>
          <w:sz w:val="24"/>
          <w:szCs w:val="24"/>
        </w:rPr>
        <w:t>Symbology and Cartography definition</w:t>
      </w:r>
      <w:r>
        <w:rPr>
          <w:sz w:val="24"/>
          <w:szCs w:val="24"/>
        </w:rPr>
        <w:t>;</w:t>
      </w:r>
    </w:p>
    <w:p w14:paraId="7BFA0B54" w14:textId="77777777" w:rsidR="00FB5DAA" w:rsidRPr="009A0513" w:rsidRDefault="00FB5DAA" w:rsidP="00FB5DAA">
      <w:pPr>
        <w:pStyle w:val="Heading4"/>
        <w:rPr>
          <w:sz w:val="24"/>
          <w:szCs w:val="24"/>
        </w:rPr>
      </w:pPr>
      <w:r w:rsidRPr="009A0513">
        <w:rPr>
          <w:sz w:val="24"/>
          <w:szCs w:val="24"/>
        </w:rPr>
        <w:t>UI element Style Guide (accessibility, buttons, text, links etc)</w:t>
      </w:r>
      <w:r>
        <w:rPr>
          <w:sz w:val="24"/>
          <w:szCs w:val="24"/>
        </w:rPr>
        <w:t>; and</w:t>
      </w:r>
    </w:p>
    <w:p w14:paraId="0C00CBCF" w14:textId="1E100231" w:rsidR="00FB5DAA" w:rsidRPr="00CF175E" w:rsidRDefault="00FB5DAA" w:rsidP="00CF175E">
      <w:pPr>
        <w:pStyle w:val="Heading4"/>
        <w:rPr>
          <w:sz w:val="24"/>
          <w:szCs w:val="24"/>
        </w:rPr>
      </w:pPr>
      <w:r>
        <w:rPr>
          <w:sz w:val="24"/>
          <w:szCs w:val="24"/>
        </w:rPr>
        <w:t>Product B</w:t>
      </w:r>
      <w:r w:rsidRPr="009A0513">
        <w:rPr>
          <w:sz w:val="24"/>
          <w:szCs w:val="24"/>
        </w:rPr>
        <w:t>acklog (in conjunction with GC Product Owner)</w:t>
      </w:r>
      <w:r>
        <w:rPr>
          <w:sz w:val="24"/>
          <w:szCs w:val="24"/>
        </w:rPr>
        <w:t>.</w:t>
      </w:r>
    </w:p>
    <w:p w14:paraId="240F8232" w14:textId="5A449466" w:rsidR="000D7AFA" w:rsidRPr="000D7AFA" w:rsidRDefault="000D7AFA">
      <w:pPr>
        <w:pStyle w:val="Heading2"/>
        <w:tabs>
          <w:tab w:val="clear" w:pos="720"/>
          <w:tab w:val="num" w:pos="709"/>
        </w:tabs>
        <w:spacing w:after="120"/>
        <w:ind w:left="709" w:hanging="709"/>
        <w:rPr>
          <w:sz w:val="24"/>
          <w:szCs w:val="24"/>
        </w:rPr>
      </w:pPr>
      <w:r w:rsidRPr="000D7AFA">
        <w:rPr>
          <w:sz w:val="24"/>
          <w:szCs w:val="24"/>
        </w:rPr>
        <w:t>Cost Recovery Workstream</w:t>
      </w:r>
    </w:p>
    <w:p w14:paraId="13FDFCED" w14:textId="5225A728" w:rsidR="000D7AFA" w:rsidRPr="00320A70" w:rsidRDefault="000D7AFA" w:rsidP="000D7AFA">
      <w:pPr>
        <w:pStyle w:val="Heading3"/>
        <w:rPr>
          <w:sz w:val="28"/>
          <w:szCs w:val="24"/>
        </w:rPr>
      </w:pPr>
      <w:r w:rsidRPr="000D7AFA">
        <w:rPr>
          <w:sz w:val="24"/>
          <w:shd w:val="clear" w:color="auto" w:fill="FFFFFF"/>
        </w:rPr>
        <w:t xml:space="preserve">The Customer aims to develop and deliver </w:t>
      </w:r>
      <w:r w:rsidR="008B4F39">
        <w:rPr>
          <w:sz w:val="24"/>
          <w:shd w:val="clear" w:color="auto" w:fill="FFFFFF"/>
        </w:rPr>
        <w:t>a cost recovery scheme for the Run P</w:t>
      </w:r>
      <w:r w:rsidRPr="000D7AFA">
        <w:rPr>
          <w:sz w:val="24"/>
          <w:shd w:val="clear" w:color="auto" w:fill="FFFFFF"/>
        </w:rPr>
        <w:t xml:space="preserve">hase of NUAR. </w:t>
      </w:r>
      <w:r w:rsidR="009B0DA3">
        <w:rPr>
          <w:sz w:val="24"/>
          <w:shd w:val="clear" w:color="auto" w:fill="FFFFFF"/>
        </w:rPr>
        <w:t>The Supplier will keep a record of the effort required to maintain, host, update and upgrade the NUAR Platform, to regularly refresh the asset information</w:t>
      </w:r>
      <w:r w:rsidR="008E6BCB">
        <w:rPr>
          <w:sz w:val="24"/>
          <w:shd w:val="clear" w:color="auto" w:fill="FFFFFF"/>
        </w:rPr>
        <w:t>, to manage change in the Data Model</w:t>
      </w:r>
      <w:r w:rsidR="009B0DA3">
        <w:rPr>
          <w:sz w:val="24"/>
          <w:shd w:val="clear" w:color="auto" w:fill="FFFFFF"/>
        </w:rPr>
        <w:t xml:space="preserve"> and</w:t>
      </w:r>
      <w:r w:rsidR="008E6BCB">
        <w:rPr>
          <w:sz w:val="24"/>
          <w:shd w:val="clear" w:color="auto" w:fill="FFFFFF"/>
        </w:rPr>
        <w:t xml:space="preserve"> to</w:t>
      </w:r>
      <w:r w:rsidR="009B0DA3">
        <w:rPr>
          <w:sz w:val="24"/>
          <w:shd w:val="clear" w:color="auto" w:fill="FFFFFF"/>
        </w:rPr>
        <w:t xml:space="preserve"> review the End User terms. The records will be shared with the Customer to inform the development of the cost recovery model</w:t>
      </w:r>
      <w:r w:rsidR="00236839">
        <w:rPr>
          <w:sz w:val="24"/>
          <w:shd w:val="clear" w:color="auto" w:fill="FFFFFF"/>
        </w:rPr>
        <w:t>.</w:t>
      </w:r>
      <w:r w:rsidRPr="000D7AFA">
        <w:rPr>
          <w:sz w:val="24"/>
          <w:shd w:val="clear" w:color="auto" w:fill="FFFFFF"/>
        </w:rPr>
        <w:t xml:space="preserve"> The Supplier </w:t>
      </w:r>
      <w:r w:rsidR="0001134F">
        <w:rPr>
          <w:sz w:val="24"/>
          <w:shd w:val="clear" w:color="auto" w:fill="FFFFFF"/>
        </w:rPr>
        <w:t>will</w:t>
      </w:r>
      <w:r w:rsidRPr="000D7AFA">
        <w:rPr>
          <w:sz w:val="24"/>
          <w:shd w:val="clear" w:color="auto" w:fill="FFFFFF"/>
        </w:rPr>
        <w:t xml:space="preserve"> </w:t>
      </w:r>
      <w:r w:rsidR="0001134F">
        <w:rPr>
          <w:sz w:val="24"/>
          <w:shd w:val="clear" w:color="auto" w:fill="FFFFFF"/>
        </w:rPr>
        <w:t>include</w:t>
      </w:r>
      <w:r w:rsidRPr="000D7AFA">
        <w:rPr>
          <w:sz w:val="24"/>
          <w:shd w:val="clear" w:color="auto" w:fill="FFFFFF"/>
        </w:rPr>
        <w:t xml:space="preserve"> this in their exit strategy.</w:t>
      </w:r>
    </w:p>
    <w:p w14:paraId="449B4B1F" w14:textId="7CB049CD" w:rsidR="00320A70" w:rsidRDefault="00320A70" w:rsidP="00320A70">
      <w:pPr>
        <w:pStyle w:val="Heading2"/>
        <w:rPr>
          <w:sz w:val="24"/>
        </w:rPr>
      </w:pPr>
      <w:r w:rsidRPr="00320A70">
        <w:rPr>
          <w:sz w:val="24"/>
        </w:rPr>
        <w:t>Skills Transfer and Training</w:t>
      </w:r>
    </w:p>
    <w:p w14:paraId="34F73B70" w14:textId="1E4355E2" w:rsidR="00320A70" w:rsidRPr="000552A8" w:rsidRDefault="00320A70" w:rsidP="00320A70">
      <w:pPr>
        <w:pStyle w:val="Heading3"/>
        <w:rPr>
          <w:sz w:val="24"/>
        </w:rPr>
      </w:pPr>
      <w:r w:rsidRPr="000552A8">
        <w:rPr>
          <w:sz w:val="24"/>
        </w:rPr>
        <w:t xml:space="preserve">The Supplier will ensure </w:t>
      </w:r>
      <w:r w:rsidR="00053A7B">
        <w:rPr>
          <w:sz w:val="24"/>
        </w:rPr>
        <w:t>appropriate</w:t>
      </w:r>
      <w:r w:rsidRPr="000552A8">
        <w:rPr>
          <w:sz w:val="24"/>
        </w:rPr>
        <w:t xml:space="preserve"> training on the use of the platform is provided to the following groups:</w:t>
      </w:r>
    </w:p>
    <w:p w14:paraId="2684A468" w14:textId="1236B800" w:rsidR="00320A70" w:rsidRPr="000552A8" w:rsidRDefault="008B4F39" w:rsidP="00320A70">
      <w:pPr>
        <w:pStyle w:val="Heading4"/>
        <w:rPr>
          <w:sz w:val="24"/>
        </w:rPr>
      </w:pPr>
      <w:r>
        <w:rPr>
          <w:sz w:val="24"/>
          <w:lang w:eastAsia="en-GB"/>
        </w:rPr>
        <w:lastRenderedPageBreak/>
        <w:t>End U</w:t>
      </w:r>
      <w:r w:rsidR="00320A70" w:rsidRPr="000552A8">
        <w:rPr>
          <w:sz w:val="24"/>
          <w:lang w:eastAsia="en-GB"/>
        </w:rPr>
        <w:t>sers accessing the data exposed by the platform</w:t>
      </w:r>
      <w:r>
        <w:rPr>
          <w:sz w:val="24"/>
          <w:lang w:eastAsia="en-GB"/>
        </w:rPr>
        <w:t>; and</w:t>
      </w:r>
    </w:p>
    <w:p w14:paraId="222D6F43" w14:textId="1C516561" w:rsidR="00320A70" w:rsidRPr="000552A8" w:rsidRDefault="00426932" w:rsidP="00320A70">
      <w:pPr>
        <w:pStyle w:val="Heading4"/>
        <w:rPr>
          <w:sz w:val="24"/>
        </w:rPr>
      </w:pPr>
      <w:r>
        <w:rPr>
          <w:sz w:val="24"/>
          <w:lang w:eastAsia="en-GB"/>
        </w:rPr>
        <w:t>Asset Owners</w:t>
      </w:r>
      <w:r w:rsidR="00320A70" w:rsidRPr="000552A8">
        <w:rPr>
          <w:sz w:val="24"/>
          <w:lang w:eastAsia="en-GB"/>
        </w:rPr>
        <w:t xml:space="preserve"> transforming and uploading data to the platform</w:t>
      </w:r>
      <w:r w:rsidR="008B4F39">
        <w:rPr>
          <w:sz w:val="24"/>
          <w:lang w:eastAsia="en-GB"/>
        </w:rPr>
        <w:t>.</w:t>
      </w:r>
    </w:p>
    <w:p w14:paraId="0255350B" w14:textId="69501B76" w:rsidR="00453B46" w:rsidRPr="000552A8" w:rsidRDefault="0018598A" w:rsidP="00713868">
      <w:pPr>
        <w:pStyle w:val="Heading3"/>
      </w:pPr>
      <w:r w:rsidRPr="00863075">
        <w:rPr>
          <w:sz w:val="24"/>
          <w:szCs w:val="24"/>
        </w:rPr>
        <w:t xml:space="preserve">The Supplier will deliver the following documentation </w:t>
      </w:r>
      <w:r w:rsidR="00845270" w:rsidRPr="00863075">
        <w:rPr>
          <w:sz w:val="24"/>
          <w:szCs w:val="24"/>
        </w:rPr>
        <w:t xml:space="preserve">to the Customer </w:t>
      </w:r>
      <w:r w:rsidRPr="00863075">
        <w:rPr>
          <w:sz w:val="24"/>
          <w:szCs w:val="24"/>
        </w:rPr>
        <w:t>and ensure that it is kept up-to-date throughout the life of the contract</w:t>
      </w:r>
      <w:r w:rsidRPr="000552A8">
        <w:t>:</w:t>
      </w:r>
    </w:p>
    <w:p w14:paraId="6F9BDCC2" w14:textId="00ED434C" w:rsidR="00453B46" w:rsidRPr="000552A8" w:rsidRDefault="00453B46" w:rsidP="00453B46">
      <w:pPr>
        <w:pStyle w:val="Heading4"/>
        <w:rPr>
          <w:sz w:val="24"/>
        </w:rPr>
      </w:pPr>
      <w:r w:rsidRPr="000552A8">
        <w:rPr>
          <w:sz w:val="24"/>
          <w:shd w:val="clear" w:color="auto" w:fill="FFFFFF"/>
          <w:lang w:eastAsia="en-GB"/>
        </w:rPr>
        <w:t xml:space="preserve">An </w:t>
      </w:r>
      <w:r w:rsidR="008B4F39">
        <w:rPr>
          <w:sz w:val="24"/>
          <w:shd w:val="clear" w:color="auto" w:fill="FFFFFF"/>
          <w:lang w:eastAsia="en-GB"/>
        </w:rPr>
        <w:t>End U</w:t>
      </w:r>
      <w:r w:rsidRPr="000552A8">
        <w:rPr>
          <w:sz w:val="24"/>
          <w:shd w:val="clear" w:color="auto" w:fill="FFFFFF"/>
          <w:lang w:eastAsia="en-GB"/>
        </w:rPr>
        <w:t>ser training strategy and plan</w:t>
      </w:r>
      <w:r w:rsidR="008B4F39">
        <w:rPr>
          <w:sz w:val="24"/>
          <w:shd w:val="clear" w:color="auto" w:fill="FFFFFF"/>
          <w:lang w:eastAsia="en-GB"/>
        </w:rPr>
        <w:t>;</w:t>
      </w:r>
    </w:p>
    <w:p w14:paraId="1637424C" w14:textId="719F7DCD" w:rsidR="00453B46" w:rsidRPr="000552A8" w:rsidRDefault="00453B46" w:rsidP="00453B46">
      <w:pPr>
        <w:pStyle w:val="Heading4"/>
        <w:rPr>
          <w:sz w:val="24"/>
        </w:rPr>
      </w:pPr>
      <w:r w:rsidRPr="000552A8">
        <w:rPr>
          <w:sz w:val="24"/>
          <w:shd w:val="clear" w:color="auto" w:fill="FFFFFF"/>
          <w:lang w:eastAsia="en-GB"/>
        </w:rPr>
        <w:t>A handover to support strategy and plan</w:t>
      </w:r>
      <w:r w:rsidR="008B4F39">
        <w:rPr>
          <w:sz w:val="24"/>
          <w:shd w:val="clear" w:color="auto" w:fill="FFFFFF"/>
          <w:lang w:eastAsia="en-GB"/>
        </w:rPr>
        <w:t>;</w:t>
      </w:r>
    </w:p>
    <w:p w14:paraId="6FE2C4EB" w14:textId="5D599DA8" w:rsidR="00453B46" w:rsidRPr="000552A8" w:rsidRDefault="00453B46" w:rsidP="00453B46">
      <w:pPr>
        <w:pStyle w:val="Heading4"/>
        <w:rPr>
          <w:sz w:val="24"/>
        </w:rPr>
      </w:pPr>
      <w:r w:rsidRPr="000552A8">
        <w:rPr>
          <w:sz w:val="24"/>
          <w:shd w:val="clear" w:color="auto" w:fill="FFFFFF"/>
          <w:lang w:eastAsia="en-GB"/>
        </w:rPr>
        <w:t xml:space="preserve">A user manual for </w:t>
      </w:r>
      <w:r w:rsidR="00102EFD">
        <w:rPr>
          <w:sz w:val="24"/>
          <w:shd w:val="clear" w:color="auto" w:fill="FFFFFF"/>
          <w:lang w:eastAsia="en-GB"/>
        </w:rPr>
        <w:t>End</w:t>
      </w:r>
      <w:r w:rsidR="00102EFD" w:rsidRPr="000552A8">
        <w:rPr>
          <w:sz w:val="24"/>
          <w:shd w:val="clear" w:color="auto" w:fill="FFFFFF"/>
          <w:lang w:eastAsia="en-GB"/>
        </w:rPr>
        <w:t xml:space="preserve"> </w:t>
      </w:r>
      <w:r w:rsidR="00102EFD">
        <w:rPr>
          <w:sz w:val="24"/>
          <w:shd w:val="clear" w:color="auto" w:fill="FFFFFF"/>
          <w:lang w:eastAsia="en-GB"/>
        </w:rPr>
        <w:t>U</w:t>
      </w:r>
      <w:r w:rsidRPr="000552A8">
        <w:rPr>
          <w:sz w:val="24"/>
          <w:shd w:val="clear" w:color="auto" w:fill="FFFFFF"/>
          <w:lang w:eastAsia="en-GB"/>
        </w:rPr>
        <w:t>sers</w:t>
      </w:r>
      <w:r w:rsidR="008B4F39">
        <w:rPr>
          <w:sz w:val="24"/>
          <w:shd w:val="clear" w:color="auto" w:fill="FFFFFF"/>
          <w:lang w:eastAsia="en-GB"/>
        </w:rPr>
        <w:t>;</w:t>
      </w:r>
    </w:p>
    <w:p w14:paraId="392D710D" w14:textId="6B441A64" w:rsidR="00453B46" w:rsidRPr="00A12926" w:rsidRDefault="00453B46" w:rsidP="00453B46">
      <w:pPr>
        <w:pStyle w:val="Heading4"/>
        <w:rPr>
          <w:sz w:val="24"/>
        </w:rPr>
      </w:pPr>
      <w:r w:rsidRPr="000552A8">
        <w:rPr>
          <w:sz w:val="24"/>
          <w:shd w:val="clear" w:color="auto" w:fill="FFFFFF"/>
          <w:lang w:eastAsia="en-GB"/>
        </w:rPr>
        <w:t>Training materials for train the trainer sessions</w:t>
      </w:r>
      <w:r w:rsidR="00A12926" w:rsidRPr="00A12926">
        <w:rPr>
          <w:sz w:val="24"/>
          <w:shd w:val="clear" w:color="auto" w:fill="FFFFFF"/>
          <w:lang w:eastAsia="en-GB"/>
        </w:rPr>
        <w:t xml:space="preserve">, </w:t>
      </w:r>
      <w:r w:rsidR="00A12926" w:rsidRPr="00A12926">
        <w:rPr>
          <w:bCs/>
          <w:sz w:val="24"/>
          <w:shd w:val="clear" w:color="auto" w:fill="FFFFFF"/>
          <w:lang w:eastAsia="en-GB"/>
        </w:rPr>
        <w:t>including End User Security Briefing material, to be produced in consultation with CPNI</w:t>
      </w:r>
      <w:r w:rsidR="008B4F39" w:rsidRPr="00A12926">
        <w:rPr>
          <w:sz w:val="24"/>
          <w:shd w:val="clear" w:color="auto" w:fill="FFFFFF"/>
          <w:lang w:eastAsia="en-GB"/>
        </w:rPr>
        <w:t>;</w:t>
      </w:r>
    </w:p>
    <w:p w14:paraId="3B2295DC" w14:textId="350B1B18" w:rsidR="00453B46" w:rsidRPr="000552A8" w:rsidRDefault="00453B46" w:rsidP="00453B46">
      <w:pPr>
        <w:pStyle w:val="Heading4"/>
        <w:rPr>
          <w:sz w:val="24"/>
        </w:rPr>
      </w:pPr>
      <w:r w:rsidRPr="000552A8">
        <w:rPr>
          <w:sz w:val="24"/>
          <w:shd w:val="clear" w:color="auto" w:fill="FFFFFF"/>
          <w:lang w:eastAsia="en-GB"/>
        </w:rPr>
        <w:t>Materials for Data Model familiarisation sessions</w:t>
      </w:r>
      <w:r w:rsidR="008B4F39">
        <w:rPr>
          <w:sz w:val="24"/>
          <w:shd w:val="clear" w:color="auto" w:fill="FFFFFF"/>
          <w:lang w:eastAsia="en-GB"/>
        </w:rPr>
        <w:t>; and</w:t>
      </w:r>
    </w:p>
    <w:p w14:paraId="120C35E3" w14:textId="409F5CC2" w:rsidR="00320A70" w:rsidRPr="000552A8" w:rsidRDefault="00380012" w:rsidP="000552A8">
      <w:pPr>
        <w:pStyle w:val="Heading4"/>
        <w:rPr>
          <w:sz w:val="24"/>
        </w:rPr>
      </w:pPr>
      <w:r>
        <w:rPr>
          <w:sz w:val="24"/>
          <w:shd w:val="clear" w:color="auto" w:fill="FFFFFF"/>
          <w:lang w:eastAsia="en-GB"/>
        </w:rPr>
        <w:t xml:space="preserve">A </w:t>
      </w:r>
      <w:r w:rsidR="00D01B8A">
        <w:rPr>
          <w:sz w:val="24"/>
          <w:shd w:val="clear" w:color="auto" w:fill="FFFFFF"/>
          <w:lang w:eastAsia="en-GB"/>
        </w:rPr>
        <w:t xml:space="preserve">Data Transformation </w:t>
      </w:r>
      <w:r>
        <w:rPr>
          <w:sz w:val="24"/>
          <w:shd w:val="clear" w:color="auto" w:fill="FFFFFF"/>
          <w:lang w:eastAsia="en-GB"/>
        </w:rPr>
        <w:t>“Adoption Pack”</w:t>
      </w:r>
      <w:r w:rsidR="00D01B8A">
        <w:rPr>
          <w:sz w:val="24"/>
          <w:shd w:val="clear" w:color="auto" w:fill="FFFFFF"/>
          <w:lang w:eastAsia="en-GB"/>
        </w:rPr>
        <w:t xml:space="preserve"> template</w:t>
      </w:r>
      <w:r w:rsidR="00217533">
        <w:rPr>
          <w:sz w:val="24"/>
          <w:shd w:val="clear" w:color="auto" w:fill="FFFFFF"/>
          <w:lang w:eastAsia="en-GB"/>
        </w:rPr>
        <w:t xml:space="preserve"> suitable for the handover to Asset Owners of all documentation and materials required to perform in-house execution of data transformation.</w:t>
      </w:r>
      <w:r>
        <w:rPr>
          <w:sz w:val="24"/>
          <w:shd w:val="clear" w:color="auto" w:fill="FFFFFF"/>
          <w:lang w:eastAsia="en-GB"/>
        </w:rPr>
        <w:t xml:space="preserve"> </w:t>
      </w:r>
    </w:p>
    <w:p w14:paraId="7D18F7E0" w14:textId="4078EC09" w:rsidR="00320A70" w:rsidRPr="000552A8" w:rsidRDefault="000552A8" w:rsidP="00320A70">
      <w:pPr>
        <w:pStyle w:val="Heading2"/>
        <w:rPr>
          <w:sz w:val="24"/>
        </w:rPr>
      </w:pPr>
      <w:r w:rsidRPr="000552A8">
        <w:rPr>
          <w:sz w:val="24"/>
        </w:rPr>
        <w:t>Delivery approach requirement</w:t>
      </w:r>
    </w:p>
    <w:p w14:paraId="7A03E238" w14:textId="78454D4B" w:rsidR="000552A8" w:rsidRDefault="000552A8" w:rsidP="000552A8">
      <w:pPr>
        <w:pStyle w:val="Heading3"/>
        <w:rPr>
          <w:sz w:val="24"/>
        </w:rPr>
      </w:pPr>
      <w:r w:rsidRPr="000552A8">
        <w:rPr>
          <w:sz w:val="24"/>
        </w:rPr>
        <w:t xml:space="preserve">The Supplier will adopt a delivery approach appropriate to each workstream and will agree the </w:t>
      </w:r>
      <w:r w:rsidR="006447A5">
        <w:rPr>
          <w:sz w:val="24"/>
        </w:rPr>
        <w:t>approach</w:t>
      </w:r>
      <w:r w:rsidR="006447A5" w:rsidRPr="000552A8">
        <w:rPr>
          <w:sz w:val="24"/>
        </w:rPr>
        <w:t>(</w:t>
      </w:r>
      <w:r w:rsidRPr="000552A8">
        <w:rPr>
          <w:sz w:val="24"/>
        </w:rPr>
        <w:t xml:space="preserve">es) with the Customer prior to commencing work. The </w:t>
      </w:r>
      <w:r w:rsidR="006447A5">
        <w:rPr>
          <w:sz w:val="24"/>
        </w:rPr>
        <w:t>approach</w:t>
      </w:r>
      <w:r w:rsidR="006447A5" w:rsidRPr="000552A8">
        <w:rPr>
          <w:sz w:val="24"/>
        </w:rPr>
        <w:t>(</w:t>
      </w:r>
      <w:r w:rsidRPr="000552A8">
        <w:rPr>
          <w:sz w:val="24"/>
        </w:rPr>
        <w:t>es) will enable:</w:t>
      </w:r>
    </w:p>
    <w:p w14:paraId="3A866FCF" w14:textId="373D233F" w:rsidR="000552A8" w:rsidRPr="000552A8" w:rsidRDefault="000552A8" w:rsidP="000552A8">
      <w:pPr>
        <w:pStyle w:val="Heading4"/>
        <w:rPr>
          <w:sz w:val="24"/>
        </w:rPr>
      </w:pPr>
      <w:r w:rsidRPr="000552A8">
        <w:rPr>
          <w:sz w:val="24"/>
        </w:rPr>
        <w:t>Value to be delivered</w:t>
      </w:r>
      <w:r w:rsidR="00217533">
        <w:rPr>
          <w:sz w:val="24"/>
        </w:rPr>
        <w:t xml:space="preserve"> to End Users</w:t>
      </w:r>
      <w:r w:rsidRPr="000552A8">
        <w:rPr>
          <w:sz w:val="24"/>
        </w:rPr>
        <w:t xml:space="preserve"> at the earliest opportunity</w:t>
      </w:r>
      <w:r w:rsidR="008B4F39">
        <w:rPr>
          <w:sz w:val="24"/>
        </w:rPr>
        <w:t>;</w:t>
      </w:r>
    </w:p>
    <w:p w14:paraId="527C38C8" w14:textId="0026A3C8" w:rsidR="000552A8" w:rsidRPr="000552A8" w:rsidRDefault="000552A8" w:rsidP="000552A8">
      <w:pPr>
        <w:pStyle w:val="Heading4"/>
        <w:rPr>
          <w:sz w:val="24"/>
        </w:rPr>
      </w:pPr>
      <w:r w:rsidRPr="000552A8">
        <w:rPr>
          <w:sz w:val="24"/>
        </w:rPr>
        <w:t>Input and feedback fro</w:t>
      </w:r>
      <w:r w:rsidR="008B4F39">
        <w:rPr>
          <w:sz w:val="24"/>
        </w:rPr>
        <w:t>m stakeholders, End U</w:t>
      </w:r>
      <w:r w:rsidRPr="000552A8">
        <w:rPr>
          <w:sz w:val="24"/>
        </w:rPr>
        <w:t>sers and others to be elicited and incorporated back into the programme on a continuous basis</w:t>
      </w:r>
      <w:r w:rsidR="008B4F39">
        <w:rPr>
          <w:sz w:val="24"/>
        </w:rPr>
        <w:t>;</w:t>
      </w:r>
      <w:r w:rsidRPr="000552A8">
        <w:rPr>
          <w:sz w:val="24"/>
        </w:rPr>
        <w:t xml:space="preserve"> </w:t>
      </w:r>
    </w:p>
    <w:p w14:paraId="029B2FAB" w14:textId="01BF14CF" w:rsidR="000552A8" w:rsidRPr="000552A8" w:rsidRDefault="000552A8" w:rsidP="000552A8">
      <w:pPr>
        <w:pStyle w:val="Heading4"/>
        <w:rPr>
          <w:sz w:val="24"/>
        </w:rPr>
      </w:pPr>
      <w:r w:rsidRPr="000552A8">
        <w:rPr>
          <w:sz w:val="24"/>
        </w:rPr>
        <w:t>Lessons learned and project findings to be reviewed and acted upon and best practices to be embedded</w:t>
      </w:r>
      <w:r w:rsidR="008B4F39">
        <w:rPr>
          <w:sz w:val="24"/>
        </w:rPr>
        <w:t>;</w:t>
      </w:r>
    </w:p>
    <w:p w14:paraId="168072E3" w14:textId="7E2076A1" w:rsidR="000552A8" w:rsidRPr="000552A8" w:rsidRDefault="000552A8" w:rsidP="000552A8">
      <w:pPr>
        <w:pStyle w:val="Heading4"/>
        <w:rPr>
          <w:sz w:val="24"/>
        </w:rPr>
      </w:pPr>
      <w:r w:rsidRPr="000552A8">
        <w:rPr>
          <w:sz w:val="24"/>
        </w:rPr>
        <w:t>Robust quality controls to be put in place</w:t>
      </w:r>
      <w:r w:rsidR="008B4F39">
        <w:rPr>
          <w:sz w:val="24"/>
        </w:rPr>
        <w:t>;</w:t>
      </w:r>
    </w:p>
    <w:p w14:paraId="58C4380C" w14:textId="4AB159B7" w:rsidR="000552A8" w:rsidRPr="000552A8" w:rsidRDefault="000552A8" w:rsidP="000552A8">
      <w:pPr>
        <w:pStyle w:val="Heading4"/>
        <w:rPr>
          <w:sz w:val="24"/>
        </w:rPr>
      </w:pPr>
      <w:r w:rsidRPr="000552A8">
        <w:rPr>
          <w:sz w:val="24"/>
        </w:rPr>
        <w:t>Efficient use of resources, including use of staff time and skills</w:t>
      </w:r>
      <w:r w:rsidR="008B4F39">
        <w:rPr>
          <w:sz w:val="24"/>
        </w:rPr>
        <w:t>;</w:t>
      </w:r>
      <w:r w:rsidRPr="000552A8">
        <w:rPr>
          <w:sz w:val="24"/>
        </w:rPr>
        <w:t xml:space="preserve"> </w:t>
      </w:r>
    </w:p>
    <w:p w14:paraId="7AA6FD12" w14:textId="7257297B" w:rsidR="000552A8" w:rsidRPr="000552A8" w:rsidRDefault="000552A8" w:rsidP="000552A8">
      <w:pPr>
        <w:pStyle w:val="Heading4"/>
        <w:rPr>
          <w:sz w:val="24"/>
        </w:rPr>
      </w:pPr>
      <w:r w:rsidRPr="000552A8">
        <w:rPr>
          <w:sz w:val="24"/>
        </w:rPr>
        <w:lastRenderedPageBreak/>
        <w:t>Effective communication within and across each workstream</w:t>
      </w:r>
      <w:r w:rsidR="008B4F39">
        <w:rPr>
          <w:sz w:val="24"/>
        </w:rPr>
        <w:t>;</w:t>
      </w:r>
      <w:r w:rsidRPr="000552A8">
        <w:rPr>
          <w:sz w:val="24"/>
        </w:rPr>
        <w:t xml:space="preserve"> </w:t>
      </w:r>
    </w:p>
    <w:p w14:paraId="73479E23" w14:textId="2852947C" w:rsidR="000552A8" w:rsidRPr="000552A8" w:rsidRDefault="000552A8" w:rsidP="000552A8">
      <w:pPr>
        <w:pStyle w:val="Heading4"/>
        <w:rPr>
          <w:sz w:val="24"/>
        </w:rPr>
      </w:pPr>
      <w:r w:rsidRPr="000552A8">
        <w:rPr>
          <w:sz w:val="24"/>
        </w:rPr>
        <w:t xml:space="preserve">Oversight and direction by </w:t>
      </w:r>
      <w:r w:rsidR="00217533">
        <w:rPr>
          <w:sz w:val="24"/>
        </w:rPr>
        <w:t xml:space="preserve">the </w:t>
      </w:r>
      <w:r w:rsidRPr="000552A8">
        <w:rPr>
          <w:sz w:val="24"/>
        </w:rPr>
        <w:t>Customer (including budget monitoring and project controls)</w:t>
      </w:r>
      <w:r w:rsidR="008B4F39">
        <w:rPr>
          <w:sz w:val="24"/>
        </w:rPr>
        <w:t>; and</w:t>
      </w:r>
    </w:p>
    <w:p w14:paraId="29A156C4" w14:textId="2D3B16C1" w:rsidR="000552A8" w:rsidRPr="000552A8" w:rsidRDefault="000552A8" w:rsidP="000552A8">
      <w:pPr>
        <w:pStyle w:val="Heading4"/>
        <w:rPr>
          <w:sz w:val="24"/>
        </w:rPr>
      </w:pPr>
      <w:r w:rsidRPr="000552A8">
        <w:rPr>
          <w:sz w:val="24"/>
        </w:rPr>
        <w:t xml:space="preserve">Effective running of the NUAR Delivery Unit, made up of the Supplier, Customer, </w:t>
      </w:r>
      <w:r w:rsidR="00217533">
        <w:rPr>
          <w:sz w:val="24"/>
        </w:rPr>
        <w:t>L</w:t>
      </w:r>
      <w:r w:rsidRPr="000552A8">
        <w:rPr>
          <w:sz w:val="24"/>
        </w:rPr>
        <w:t xml:space="preserve">ocal </w:t>
      </w:r>
      <w:r w:rsidR="00217533">
        <w:rPr>
          <w:sz w:val="24"/>
        </w:rPr>
        <w:t>G</w:t>
      </w:r>
      <w:r w:rsidR="00217533" w:rsidRPr="000552A8">
        <w:rPr>
          <w:sz w:val="24"/>
        </w:rPr>
        <w:t xml:space="preserve">overnment </w:t>
      </w:r>
      <w:r w:rsidRPr="000552A8">
        <w:rPr>
          <w:sz w:val="24"/>
        </w:rPr>
        <w:t xml:space="preserve">and subject matter experts working together as one team. </w:t>
      </w:r>
    </w:p>
    <w:p w14:paraId="62693409" w14:textId="66C892AB" w:rsidR="000552A8" w:rsidRPr="008B4F39" w:rsidRDefault="004B3F55" w:rsidP="008B4F39">
      <w:pPr>
        <w:pStyle w:val="Heading3"/>
        <w:rPr>
          <w:sz w:val="24"/>
          <w:szCs w:val="24"/>
        </w:rPr>
      </w:pPr>
      <w:r w:rsidRPr="008B4F39">
        <w:rPr>
          <w:sz w:val="24"/>
          <w:szCs w:val="24"/>
        </w:rPr>
        <w:t>Platform development</w:t>
      </w:r>
      <w:r w:rsidR="00217533">
        <w:rPr>
          <w:sz w:val="24"/>
          <w:szCs w:val="24"/>
        </w:rPr>
        <w:t>:</w:t>
      </w:r>
      <w:r w:rsidRPr="008B4F39">
        <w:rPr>
          <w:sz w:val="24"/>
          <w:szCs w:val="24"/>
        </w:rPr>
        <w:t xml:space="preserve"> </w:t>
      </w:r>
      <w:r w:rsidR="00217533">
        <w:rPr>
          <w:sz w:val="24"/>
          <w:szCs w:val="24"/>
        </w:rPr>
        <w:t>t</w:t>
      </w:r>
      <w:r w:rsidRPr="008B4F39">
        <w:rPr>
          <w:sz w:val="24"/>
          <w:szCs w:val="24"/>
        </w:rPr>
        <w:t xml:space="preserve">he Supplier will use agile software development methods and practices to develop, implement, test and enhance the NUAR platform and will do so in line with best practice. </w:t>
      </w:r>
      <w:r w:rsidR="008B4F39" w:rsidRPr="008B4F39">
        <w:rPr>
          <w:sz w:val="24"/>
          <w:szCs w:val="24"/>
        </w:rPr>
        <w:t>The Supplier may wish to consider approaches such as scrum framework and dual track approaches</w:t>
      </w:r>
      <w:r w:rsidRPr="008B4F39">
        <w:rPr>
          <w:sz w:val="24"/>
          <w:szCs w:val="24"/>
        </w:rPr>
        <w:t>. To mitigate against faux-agile practices, it has been suggested that dual-track agile sprints are adopted whereby discovery work to refine user stories (including prototyping and wireframing) and user research is conducted alongside software development on an ongoing basis.</w:t>
      </w:r>
    </w:p>
    <w:p w14:paraId="7E33D135" w14:textId="0772A444" w:rsidR="00DB15DF" w:rsidRDefault="00DB15DF" w:rsidP="00DB15DF">
      <w:pPr>
        <w:pStyle w:val="Heading3"/>
        <w:numPr>
          <w:ilvl w:val="0"/>
          <w:numId w:val="0"/>
        </w:numPr>
        <w:ind w:left="142"/>
        <w:rPr>
          <w:sz w:val="24"/>
        </w:rPr>
      </w:pPr>
      <w:r>
        <w:rPr>
          <w:rFonts w:cs="Arial"/>
          <w:noProof/>
          <w:color w:val="000000"/>
          <w:szCs w:val="22"/>
          <w:bdr w:val="none" w:sz="0" w:space="0" w:color="auto" w:frame="1"/>
          <w:lang w:eastAsia="en-GB"/>
        </w:rPr>
        <w:drawing>
          <wp:inline distT="0" distB="0" distL="0" distR="0" wp14:anchorId="25CE9B84" wp14:editId="12EFA766">
            <wp:extent cx="5733415" cy="2882265"/>
            <wp:effectExtent l="0" t="0" r="635" b="0"/>
            <wp:docPr id="1" name="Picture 1" descr="https://lh6.googleusercontent.com/TtNqxm6IL7G5v4epZGape3M96xMGt0Sk7y5Rf16gewaGSpQahLHIHogiL_vSxSZnhmqv6-S08BaQza3jlDUl5hy6gWLAnAu3YJq2QhlJOyuCJaZju6OUwewKHduChR065d31Lc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TtNqxm6IL7G5v4epZGape3M96xMGt0Sk7y5Rf16gewaGSpQahLHIHogiL_vSxSZnhmqv6-S08BaQza3jlDUl5hy6gWLAnAu3YJq2QhlJOyuCJaZju6OUwewKHduChR065d31Lc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3415" cy="2882265"/>
                    </a:xfrm>
                    <a:prstGeom prst="rect">
                      <a:avLst/>
                    </a:prstGeom>
                    <a:noFill/>
                    <a:ln>
                      <a:noFill/>
                    </a:ln>
                  </pic:spPr>
                </pic:pic>
              </a:graphicData>
            </a:graphic>
          </wp:inline>
        </w:drawing>
      </w:r>
    </w:p>
    <w:p w14:paraId="5414891D" w14:textId="77777777" w:rsidR="00DB15DF" w:rsidRDefault="00DB15DF" w:rsidP="00DB15DF">
      <w:pPr>
        <w:pStyle w:val="Heading3"/>
        <w:numPr>
          <w:ilvl w:val="0"/>
          <w:numId w:val="0"/>
        </w:numPr>
        <w:ind w:left="142"/>
        <w:rPr>
          <w:sz w:val="24"/>
        </w:rPr>
      </w:pPr>
    </w:p>
    <w:p w14:paraId="7B867431" w14:textId="23E48F1C" w:rsidR="00DB15DF" w:rsidRPr="00217533" w:rsidRDefault="00DB15DF" w:rsidP="00A44193">
      <w:pPr>
        <w:pStyle w:val="Heading3"/>
        <w:rPr>
          <w:sz w:val="24"/>
          <w:szCs w:val="24"/>
        </w:rPr>
      </w:pPr>
      <w:r w:rsidRPr="00217533">
        <w:rPr>
          <w:sz w:val="24"/>
          <w:szCs w:val="24"/>
        </w:rPr>
        <w:t>The Customer’s Product Owner will own, maintain and sequence the product roadmap and backlog</w:t>
      </w:r>
      <w:r w:rsidR="00A44193" w:rsidRPr="00217533">
        <w:rPr>
          <w:sz w:val="24"/>
          <w:szCs w:val="24"/>
        </w:rPr>
        <w:t xml:space="preserve">, and </w:t>
      </w:r>
      <w:r w:rsidR="003F2CF9">
        <w:rPr>
          <w:sz w:val="24"/>
          <w:szCs w:val="24"/>
        </w:rPr>
        <w:t xml:space="preserve">the </w:t>
      </w:r>
      <w:r w:rsidR="003F2CF9" w:rsidRPr="0090423C">
        <w:rPr>
          <w:sz w:val="24"/>
          <w:szCs w:val="24"/>
        </w:rPr>
        <w:t>Customer’s Scrum Master</w:t>
      </w:r>
      <w:r w:rsidR="003F2CF9">
        <w:rPr>
          <w:sz w:val="24"/>
          <w:szCs w:val="24"/>
        </w:rPr>
        <w:t xml:space="preserve"> will oversee the Sprints</w:t>
      </w:r>
      <w:r w:rsidRPr="00217533">
        <w:rPr>
          <w:sz w:val="24"/>
          <w:szCs w:val="24"/>
        </w:rPr>
        <w:t xml:space="preserve">. The Supplier will ensure all user stories are confirmed as ‘ready for development’ and are prioritised into a development sprint by the Product Owner prior to implementing them. </w:t>
      </w:r>
      <w:r w:rsidR="003F2CF9">
        <w:rPr>
          <w:sz w:val="24"/>
          <w:szCs w:val="24"/>
        </w:rPr>
        <w:t>The Customer’s Product Owner will sign off a</w:t>
      </w:r>
      <w:r w:rsidRPr="00217533">
        <w:rPr>
          <w:sz w:val="24"/>
          <w:szCs w:val="24"/>
        </w:rPr>
        <w:t>ll user stories as ‘done’ prior to being closed.</w:t>
      </w:r>
    </w:p>
    <w:p w14:paraId="25EA7551" w14:textId="31897876" w:rsidR="005462D9" w:rsidRPr="00FE6138" w:rsidRDefault="005462D9" w:rsidP="005462D9">
      <w:pPr>
        <w:pStyle w:val="Heading3"/>
        <w:rPr>
          <w:sz w:val="24"/>
          <w:szCs w:val="24"/>
        </w:rPr>
      </w:pPr>
      <w:r>
        <w:rPr>
          <w:sz w:val="24"/>
        </w:rPr>
        <w:lastRenderedPageBreak/>
        <w:t xml:space="preserve">The Customer will </w:t>
      </w:r>
      <w:r w:rsidR="002B42E9">
        <w:rPr>
          <w:sz w:val="24"/>
        </w:rPr>
        <w:t xml:space="preserve">further </w:t>
      </w:r>
      <w:r>
        <w:rPr>
          <w:sz w:val="24"/>
        </w:rPr>
        <w:t>define, in collaboration with the Supplier upon appointment, t</w:t>
      </w:r>
      <w:r w:rsidRPr="005462D9">
        <w:rPr>
          <w:sz w:val="24"/>
        </w:rPr>
        <w:t>he definition</w:t>
      </w:r>
      <w:r w:rsidR="00217533">
        <w:rPr>
          <w:sz w:val="24"/>
        </w:rPr>
        <w:t>s</w:t>
      </w:r>
      <w:r w:rsidRPr="005462D9">
        <w:rPr>
          <w:sz w:val="24"/>
        </w:rPr>
        <w:t xml:space="preserve"> of ‘re</w:t>
      </w:r>
      <w:r>
        <w:rPr>
          <w:sz w:val="24"/>
        </w:rPr>
        <w:t xml:space="preserve">ady for development’ and ‘done’, </w:t>
      </w:r>
      <w:r w:rsidRPr="00FE6138">
        <w:rPr>
          <w:sz w:val="24"/>
          <w:szCs w:val="24"/>
        </w:rPr>
        <w:t>which will include but is not limited to the following elements:</w:t>
      </w:r>
    </w:p>
    <w:p w14:paraId="546ED46C" w14:textId="32D0D12F" w:rsidR="00FE6138" w:rsidRPr="00FE6138" w:rsidRDefault="00FE6138" w:rsidP="00FE6138">
      <w:pPr>
        <w:pStyle w:val="Heading4"/>
        <w:rPr>
          <w:sz w:val="24"/>
          <w:szCs w:val="24"/>
        </w:rPr>
      </w:pPr>
      <w:r w:rsidRPr="00FE6138">
        <w:rPr>
          <w:sz w:val="24"/>
          <w:szCs w:val="24"/>
        </w:rPr>
        <w:t>Ready for development</w:t>
      </w:r>
    </w:p>
    <w:p w14:paraId="3AD816E4" w14:textId="51BEFB22" w:rsidR="00FE6138" w:rsidRPr="00FE6138" w:rsidRDefault="00FE6138" w:rsidP="00FE6138">
      <w:pPr>
        <w:pStyle w:val="Heading5"/>
        <w:spacing w:after="0"/>
        <w:rPr>
          <w:sz w:val="24"/>
        </w:rPr>
      </w:pPr>
      <w:r w:rsidRPr="00FE6138">
        <w:rPr>
          <w:sz w:val="24"/>
        </w:rPr>
        <w:t>User story follows the format “As a… I want to… So That…”</w:t>
      </w:r>
      <w:r w:rsidR="00C27191">
        <w:rPr>
          <w:sz w:val="24"/>
        </w:rPr>
        <w:t>;</w:t>
      </w:r>
    </w:p>
    <w:p w14:paraId="0EF2F2A3" w14:textId="17CF7DF4" w:rsidR="00FE6138" w:rsidRPr="00FE6138" w:rsidRDefault="00FE6138" w:rsidP="00FE6138">
      <w:pPr>
        <w:pStyle w:val="Heading5"/>
        <w:spacing w:after="0"/>
        <w:rPr>
          <w:sz w:val="24"/>
        </w:rPr>
      </w:pPr>
      <w:r w:rsidRPr="00FE6138">
        <w:rPr>
          <w:sz w:val="24"/>
        </w:rPr>
        <w:t>User story can be delivered in a single sprint</w:t>
      </w:r>
      <w:r w:rsidR="00C27191">
        <w:rPr>
          <w:sz w:val="24"/>
        </w:rPr>
        <w:t>;</w:t>
      </w:r>
    </w:p>
    <w:p w14:paraId="19530779" w14:textId="7D8926BD" w:rsidR="00FE6138" w:rsidRPr="00FE6138" w:rsidRDefault="00FE6138" w:rsidP="00FE6138">
      <w:pPr>
        <w:pStyle w:val="Heading5"/>
        <w:spacing w:after="0"/>
        <w:rPr>
          <w:sz w:val="24"/>
        </w:rPr>
      </w:pPr>
      <w:r w:rsidRPr="00FE6138">
        <w:rPr>
          <w:sz w:val="24"/>
        </w:rPr>
        <w:t xml:space="preserve">Acceptance </w:t>
      </w:r>
      <w:r w:rsidR="00D723CF">
        <w:rPr>
          <w:sz w:val="24"/>
        </w:rPr>
        <w:t>C</w:t>
      </w:r>
      <w:r w:rsidRPr="00FE6138">
        <w:rPr>
          <w:sz w:val="24"/>
        </w:rPr>
        <w:t>riteria are clear and concis</w:t>
      </w:r>
      <w:r w:rsidR="00C27191">
        <w:rPr>
          <w:sz w:val="24"/>
        </w:rPr>
        <w:t>e (Gherkin format is preferred);</w:t>
      </w:r>
    </w:p>
    <w:p w14:paraId="21525F89" w14:textId="13086FB7" w:rsidR="00FE6138" w:rsidRPr="00FE6138" w:rsidRDefault="00FE6138" w:rsidP="00FE6138">
      <w:pPr>
        <w:pStyle w:val="Heading5"/>
        <w:spacing w:after="0"/>
        <w:rPr>
          <w:sz w:val="24"/>
        </w:rPr>
      </w:pPr>
      <w:r w:rsidRPr="00FE6138">
        <w:rPr>
          <w:sz w:val="24"/>
        </w:rPr>
        <w:t xml:space="preserve">User story has been </w:t>
      </w:r>
      <w:r w:rsidR="00217533">
        <w:rPr>
          <w:sz w:val="24"/>
        </w:rPr>
        <w:t>reviewed by</w:t>
      </w:r>
      <w:r w:rsidRPr="00FE6138">
        <w:rPr>
          <w:sz w:val="24"/>
        </w:rPr>
        <w:t xml:space="preserve"> relevant SMEs, business and/or stakeholders</w:t>
      </w:r>
      <w:r w:rsidR="00217533">
        <w:rPr>
          <w:sz w:val="24"/>
        </w:rPr>
        <w:t xml:space="preserve"> as required</w:t>
      </w:r>
      <w:r w:rsidR="00C27191">
        <w:rPr>
          <w:sz w:val="24"/>
        </w:rPr>
        <w:t>;</w:t>
      </w:r>
    </w:p>
    <w:p w14:paraId="432FF9C4" w14:textId="5FA83A60" w:rsidR="00FE6138" w:rsidRDefault="00FE6138" w:rsidP="00FE6138">
      <w:pPr>
        <w:pStyle w:val="Heading5"/>
        <w:spacing w:after="0"/>
        <w:rPr>
          <w:sz w:val="24"/>
        </w:rPr>
      </w:pPr>
      <w:r w:rsidRPr="00FE6138">
        <w:rPr>
          <w:sz w:val="24"/>
        </w:rPr>
        <w:t xml:space="preserve">User story has been </w:t>
      </w:r>
      <w:r w:rsidR="00217533">
        <w:rPr>
          <w:sz w:val="24"/>
        </w:rPr>
        <w:t>reviewed by</w:t>
      </w:r>
      <w:r w:rsidRPr="00FE6138">
        <w:rPr>
          <w:sz w:val="24"/>
        </w:rPr>
        <w:t xml:space="preserve"> relevant members of the development team as required</w:t>
      </w:r>
      <w:r w:rsidR="00C27191">
        <w:rPr>
          <w:sz w:val="24"/>
        </w:rPr>
        <w:t>.</w:t>
      </w:r>
    </w:p>
    <w:p w14:paraId="56D1FFDE" w14:textId="77777777" w:rsidR="001D7A76" w:rsidRDefault="001D7A76" w:rsidP="001D7A76">
      <w:pPr>
        <w:pStyle w:val="Heading5"/>
        <w:numPr>
          <w:ilvl w:val="0"/>
          <w:numId w:val="0"/>
        </w:numPr>
        <w:spacing w:after="0"/>
        <w:ind w:left="3600"/>
        <w:rPr>
          <w:sz w:val="24"/>
        </w:rPr>
      </w:pPr>
    </w:p>
    <w:p w14:paraId="4DDB2F40" w14:textId="0A310BBF" w:rsidR="00FE6138" w:rsidRPr="00FE6138" w:rsidRDefault="00FE6138" w:rsidP="00FE6138">
      <w:pPr>
        <w:pStyle w:val="Heading4"/>
        <w:rPr>
          <w:sz w:val="24"/>
        </w:rPr>
      </w:pPr>
      <w:r w:rsidRPr="00FE6138">
        <w:rPr>
          <w:sz w:val="24"/>
        </w:rPr>
        <w:t>Definition of Done</w:t>
      </w:r>
    </w:p>
    <w:p w14:paraId="74EFB3A8" w14:textId="5C2A33D0" w:rsidR="00217533" w:rsidRDefault="00217533" w:rsidP="00FE6138">
      <w:pPr>
        <w:pStyle w:val="Heading5"/>
        <w:spacing w:after="0"/>
        <w:rPr>
          <w:sz w:val="24"/>
        </w:rPr>
      </w:pPr>
      <w:r>
        <w:rPr>
          <w:sz w:val="24"/>
        </w:rPr>
        <w:t>All unit and regression tests are passed</w:t>
      </w:r>
    </w:p>
    <w:p w14:paraId="66FF1D6B" w14:textId="732EDBBC" w:rsidR="00FE6138" w:rsidRPr="00FE6138" w:rsidRDefault="00D723CF" w:rsidP="00FE6138">
      <w:pPr>
        <w:pStyle w:val="Heading5"/>
        <w:spacing w:after="0"/>
        <w:rPr>
          <w:sz w:val="24"/>
        </w:rPr>
      </w:pPr>
      <w:r>
        <w:rPr>
          <w:sz w:val="24"/>
        </w:rPr>
        <w:t>All A</w:t>
      </w:r>
      <w:r w:rsidR="00FE6138" w:rsidRPr="00FE6138">
        <w:rPr>
          <w:sz w:val="24"/>
        </w:rPr>
        <w:t xml:space="preserve">cceptance </w:t>
      </w:r>
      <w:r>
        <w:rPr>
          <w:sz w:val="24"/>
        </w:rPr>
        <w:t>C</w:t>
      </w:r>
      <w:r w:rsidR="00FE6138" w:rsidRPr="00FE6138">
        <w:rPr>
          <w:sz w:val="24"/>
        </w:rPr>
        <w:t>riteria have been tested, passed and are closed</w:t>
      </w:r>
      <w:r w:rsidR="00C27191">
        <w:rPr>
          <w:sz w:val="24"/>
        </w:rPr>
        <w:t>;</w:t>
      </w:r>
    </w:p>
    <w:p w14:paraId="64188E07" w14:textId="064927BF" w:rsidR="00FE6138" w:rsidRPr="00FE6138" w:rsidRDefault="00FE6138" w:rsidP="00FE6138">
      <w:pPr>
        <w:pStyle w:val="Heading5"/>
        <w:spacing w:after="0"/>
        <w:rPr>
          <w:sz w:val="24"/>
        </w:rPr>
      </w:pPr>
      <w:r w:rsidRPr="00FE6138">
        <w:rPr>
          <w:sz w:val="24"/>
        </w:rPr>
        <w:t>UAT has been condu</w:t>
      </w:r>
      <w:r w:rsidR="00C27191">
        <w:rPr>
          <w:sz w:val="24"/>
        </w:rPr>
        <w:t>cted by th</w:t>
      </w:r>
      <w:r w:rsidR="00D723CF">
        <w:rPr>
          <w:sz w:val="24"/>
        </w:rPr>
        <w:t>e Customer and passed with all A</w:t>
      </w:r>
      <w:r w:rsidR="00C27191">
        <w:rPr>
          <w:sz w:val="24"/>
        </w:rPr>
        <w:t xml:space="preserve">cceptance </w:t>
      </w:r>
      <w:r w:rsidR="00D723CF">
        <w:rPr>
          <w:sz w:val="24"/>
        </w:rPr>
        <w:t>C</w:t>
      </w:r>
      <w:r w:rsidR="00C27191">
        <w:rPr>
          <w:sz w:val="24"/>
        </w:rPr>
        <w:t>riteria validated;</w:t>
      </w:r>
    </w:p>
    <w:p w14:paraId="169C565C" w14:textId="0C104735" w:rsidR="00FE6138" w:rsidRDefault="00FE6138" w:rsidP="00FE6138">
      <w:pPr>
        <w:pStyle w:val="Heading5"/>
        <w:spacing w:after="0"/>
        <w:rPr>
          <w:sz w:val="24"/>
        </w:rPr>
      </w:pPr>
      <w:r w:rsidRPr="00FE6138">
        <w:rPr>
          <w:sz w:val="24"/>
        </w:rPr>
        <w:t>User story ‘So That’ outcome has been delivered</w:t>
      </w:r>
      <w:r w:rsidR="00C27191">
        <w:rPr>
          <w:sz w:val="24"/>
        </w:rPr>
        <w:t>.</w:t>
      </w:r>
    </w:p>
    <w:p w14:paraId="2A239B0C" w14:textId="77777777" w:rsidR="00D204A8" w:rsidRDefault="00D204A8" w:rsidP="00D204A8">
      <w:pPr>
        <w:pStyle w:val="Heading3"/>
        <w:spacing w:before="240"/>
        <w:rPr>
          <w:sz w:val="24"/>
        </w:rPr>
      </w:pPr>
      <w:r>
        <w:rPr>
          <w:sz w:val="24"/>
        </w:rPr>
        <w:t xml:space="preserve">Sprint cycle </w:t>
      </w:r>
    </w:p>
    <w:p w14:paraId="48367896" w14:textId="1B3BF213" w:rsidR="00D204A8" w:rsidRPr="00D204A8" w:rsidRDefault="00D204A8" w:rsidP="00D204A8">
      <w:pPr>
        <w:pStyle w:val="Heading4"/>
        <w:rPr>
          <w:sz w:val="24"/>
        </w:rPr>
      </w:pPr>
      <w:r w:rsidRPr="00D204A8">
        <w:rPr>
          <w:sz w:val="24"/>
        </w:rPr>
        <w:t xml:space="preserve">The Customer will group the development work into building blocks. The Product Owner will maintain a product roadmap, which sets out at a high level the sequencing of these groupings. The Product Owner will also sequence the product backlog and commit user stories to development. </w:t>
      </w:r>
    </w:p>
    <w:p w14:paraId="2530DCA9" w14:textId="7E81133F" w:rsidR="00D204A8" w:rsidRPr="00D204A8" w:rsidRDefault="00D204A8" w:rsidP="00D204A8">
      <w:pPr>
        <w:pStyle w:val="Heading4"/>
        <w:rPr>
          <w:sz w:val="24"/>
        </w:rPr>
      </w:pPr>
      <w:r w:rsidRPr="00D204A8">
        <w:rPr>
          <w:sz w:val="24"/>
        </w:rPr>
        <w:t xml:space="preserve">All user stories will be estimated in terms of effort prior to being committed to development. Agile story pointing is preferred. This will be a collaborative activity, involving the </w:t>
      </w:r>
      <w:r w:rsidR="00A44193">
        <w:rPr>
          <w:sz w:val="24"/>
        </w:rPr>
        <w:t xml:space="preserve">Customer’s </w:t>
      </w:r>
      <w:r w:rsidRPr="00D204A8">
        <w:rPr>
          <w:sz w:val="24"/>
        </w:rPr>
        <w:t>Product Owner</w:t>
      </w:r>
      <w:r w:rsidR="00A44193">
        <w:rPr>
          <w:sz w:val="24"/>
        </w:rPr>
        <w:t xml:space="preserve"> and Scrum Master</w:t>
      </w:r>
      <w:r w:rsidRPr="00D204A8">
        <w:rPr>
          <w:sz w:val="24"/>
        </w:rPr>
        <w:t xml:space="preserve">, the Supplier’s developers and the Supplier’s discovery leads. </w:t>
      </w:r>
    </w:p>
    <w:p w14:paraId="025FDD28" w14:textId="4620F044" w:rsidR="00FE6138" w:rsidRDefault="005D43DA" w:rsidP="00D204A8">
      <w:pPr>
        <w:pStyle w:val="Heading4"/>
        <w:rPr>
          <w:sz w:val="24"/>
        </w:rPr>
      </w:pPr>
      <w:r>
        <w:rPr>
          <w:sz w:val="24"/>
        </w:rPr>
        <w:t>If</w:t>
      </w:r>
      <w:r w:rsidR="00D204A8" w:rsidRPr="00D204A8">
        <w:rPr>
          <w:sz w:val="24"/>
        </w:rPr>
        <w:t xml:space="preserve"> t</w:t>
      </w:r>
      <w:r>
        <w:rPr>
          <w:sz w:val="24"/>
        </w:rPr>
        <w:t>he Dual Track Sprint approach is</w:t>
      </w:r>
      <w:r w:rsidR="00D204A8" w:rsidRPr="00D204A8">
        <w:rPr>
          <w:sz w:val="24"/>
        </w:rPr>
        <w:t xml:space="preserve"> adopted, the Supplie</w:t>
      </w:r>
      <w:r w:rsidR="00D8201D">
        <w:rPr>
          <w:sz w:val="24"/>
        </w:rPr>
        <w:t>r’s d</w:t>
      </w:r>
      <w:r w:rsidR="00D204A8" w:rsidRPr="00D204A8">
        <w:rPr>
          <w:sz w:val="24"/>
        </w:rPr>
        <w:t xml:space="preserve">iscovery leads will be responsible for refining assigned user stories each sprint so that they are ‘ready for development’. The Supplier’s Development leads will be responsible for implementing and testing user stories so that </w:t>
      </w:r>
      <w:r w:rsidR="001D7A76">
        <w:rPr>
          <w:sz w:val="24"/>
        </w:rPr>
        <w:t>they</w:t>
      </w:r>
      <w:r w:rsidR="00D204A8" w:rsidRPr="00D204A8">
        <w:rPr>
          <w:sz w:val="24"/>
        </w:rPr>
        <w:t xml:space="preserve"> meet the definition of ‘done’.</w:t>
      </w:r>
    </w:p>
    <w:p w14:paraId="78AE313F" w14:textId="77777777" w:rsidR="00463F70" w:rsidRDefault="00463F70" w:rsidP="00463F70">
      <w:pPr>
        <w:pStyle w:val="Heading4"/>
        <w:numPr>
          <w:ilvl w:val="0"/>
          <w:numId w:val="0"/>
        </w:numPr>
        <w:ind w:left="2880"/>
        <w:rPr>
          <w:sz w:val="24"/>
        </w:rPr>
      </w:pPr>
    </w:p>
    <w:p w14:paraId="14A87010" w14:textId="285CFCB0" w:rsidR="00A01A8D" w:rsidRPr="00A01A8D" w:rsidRDefault="00A01A8D" w:rsidP="00A01A8D">
      <w:pPr>
        <w:pStyle w:val="Heading3"/>
        <w:rPr>
          <w:sz w:val="24"/>
        </w:rPr>
      </w:pPr>
      <w:r w:rsidRPr="00A01A8D">
        <w:rPr>
          <w:sz w:val="24"/>
        </w:rPr>
        <w:lastRenderedPageBreak/>
        <w:t>Acceptance testing requirement</w:t>
      </w:r>
    </w:p>
    <w:p w14:paraId="619CCA15" w14:textId="53DCB55A" w:rsidR="00A01A8D" w:rsidRPr="00A01A8D" w:rsidRDefault="00A01A8D" w:rsidP="00A01A8D">
      <w:pPr>
        <w:pStyle w:val="Heading4"/>
        <w:rPr>
          <w:sz w:val="24"/>
        </w:rPr>
      </w:pPr>
      <w:r w:rsidRPr="00A01A8D">
        <w:rPr>
          <w:sz w:val="24"/>
        </w:rPr>
        <w:t>The Supplier testing team will evaluate the feature against the acceptance criteria before authorising promotion to the UAT environment</w:t>
      </w:r>
      <w:r w:rsidR="005304C2">
        <w:rPr>
          <w:sz w:val="24"/>
        </w:rPr>
        <w:t xml:space="preserve">, subject to the </w:t>
      </w:r>
      <w:r w:rsidR="00B17464">
        <w:rPr>
          <w:sz w:val="24"/>
        </w:rPr>
        <w:t>Customer’s</w:t>
      </w:r>
      <w:r w:rsidR="005304C2">
        <w:rPr>
          <w:sz w:val="24"/>
        </w:rPr>
        <w:t xml:space="preserve"> approval</w:t>
      </w:r>
      <w:r w:rsidRPr="00A01A8D">
        <w:rPr>
          <w:sz w:val="24"/>
        </w:rPr>
        <w:t>.</w:t>
      </w:r>
    </w:p>
    <w:p w14:paraId="570167B0" w14:textId="33B43672" w:rsidR="00A01A8D" w:rsidRPr="00A01A8D" w:rsidRDefault="00A01A8D" w:rsidP="00A01A8D">
      <w:pPr>
        <w:pStyle w:val="Heading4"/>
        <w:rPr>
          <w:sz w:val="24"/>
        </w:rPr>
      </w:pPr>
      <w:r w:rsidRPr="00A01A8D">
        <w:rPr>
          <w:sz w:val="24"/>
        </w:rPr>
        <w:t xml:space="preserve">Once in the UAT environment, the Customer’s Product Owner and selected representatives from the Customer and from the user </w:t>
      </w:r>
      <w:r w:rsidR="001D7A76">
        <w:rPr>
          <w:sz w:val="24"/>
        </w:rPr>
        <w:t>community</w:t>
      </w:r>
      <w:r w:rsidR="001D7A76" w:rsidRPr="00A01A8D">
        <w:rPr>
          <w:sz w:val="24"/>
        </w:rPr>
        <w:t xml:space="preserve"> </w:t>
      </w:r>
      <w:r w:rsidRPr="00A01A8D">
        <w:rPr>
          <w:sz w:val="24"/>
        </w:rPr>
        <w:t>will be responsi</w:t>
      </w:r>
      <w:r w:rsidR="00D723CF">
        <w:rPr>
          <w:sz w:val="24"/>
        </w:rPr>
        <w:t>ble for evaluation against the Acceptance C</w:t>
      </w:r>
      <w:r w:rsidRPr="00A01A8D">
        <w:rPr>
          <w:sz w:val="24"/>
        </w:rPr>
        <w:t>riteria.</w:t>
      </w:r>
    </w:p>
    <w:p w14:paraId="6BF39F87" w14:textId="6AC0F276" w:rsidR="00A01A8D" w:rsidRPr="00A01A8D" w:rsidRDefault="00A01A8D" w:rsidP="00A01A8D">
      <w:pPr>
        <w:pStyle w:val="Heading4"/>
        <w:rPr>
          <w:sz w:val="24"/>
        </w:rPr>
      </w:pPr>
      <w:r w:rsidRPr="00A01A8D">
        <w:rPr>
          <w:sz w:val="24"/>
        </w:rPr>
        <w:t>The Customer’s Product Owner will b</w:t>
      </w:r>
      <w:r w:rsidR="004F7CCD">
        <w:rPr>
          <w:sz w:val="24"/>
        </w:rPr>
        <w:t>e responsible for signing off the</w:t>
      </w:r>
      <w:r w:rsidRPr="00A01A8D">
        <w:rPr>
          <w:sz w:val="24"/>
        </w:rPr>
        <w:t xml:space="preserve"> user stories as “done” o</w:t>
      </w:r>
      <w:r w:rsidR="00D723CF">
        <w:rPr>
          <w:sz w:val="24"/>
        </w:rPr>
        <w:t>nce UAT has been completed and Acceptance C</w:t>
      </w:r>
      <w:r w:rsidRPr="00A01A8D">
        <w:rPr>
          <w:sz w:val="24"/>
        </w:rPr>
        <w:t xml:space="preserve">riteria met. </w:t>
      </w:r>
    </w:p>
    <w:p w14:paraId="1256C63B" w14:textId="4552DF0B" w:rsidR="00A01A8D" w:rsidRDefault="00A01A8D" w:rsidP="00A01A8D">
      <w:pPr>
        <w:pStyle w:val="Heading4"/>
        <w:rPr>
          <w:sz w:val="24"/>
        </w:rPr>
      </w:pPr>
      <w:r w:rsidRPr="00A01A8D">
        <w:rPr>
          <w:sz w:val="24"/>
        </w:rPr>
        <w:t>The Supplier’s development and test teams will be responsible for unit testing during development, and for full regression testing prior to any release to the Production environment. Incorporation of</w:t>
      </w:r>
      <w:r w:rsidR="004C0196">
        <w:rPr>
          <w:sz w:val="24"/>
        </w:rPr>
        <w:t xml:space="preserve"> some</w:t>
      </w:r>
      <w:r w:rsidRPr="00A01A8D">
        <w:rPr>
          <w:sz w:val="24"/>
        </w:rPr>
        <w:t xml:space="preserve"> automated testing is recommended.</w:t>
      </w:r>
    </w:p>
    <w:p w14:paraId="59863D70" w14:textId="70EBC945" w:rsidR="0084638B" w:rsidRDefault="007C47E1" w:rsidP="0084638B">
      <w:pPr>
        <w:pStyle w:val="Heading3"/>
        <w:rPr>
          <w:sz w:val="24"/>
        </w:rPr>
      </w:pPr>
      <w:r w:rsidRPr="0084638B">
        <w:rPr>
          <w:sz w:val="24"/>
        </w:rPr>
        <w:t>Other delivery approaches may be adopted by the Supp</w:t>
      </w:r>
      <w:r w:rsidR="00EC0E82" w:rsidRPr="0084638B">
        <w:rPr>
          <w:sz w:val="24"/>
        </w:rPr>
        <w:t xml:space="preserve">lier to deliver the </w:t>
      </w:r>
      <w:r w:rsidR="001B7D2F">
        <w:rPr>
          <w:sz w:val="24"/>
        </w:rPr>
        <w:t xml:space="preserve">Asset Owner Engagement </w:t>
      </w:r>
      <w:r w:rsidR="00EC0E82" w:rsidRPr="0084638B">
        <w:rPr>
          <w:sz w:val="24"/>
        </w:rPr>
        <w:t>and Data Transformation and</w:t>
      </w:r>
      <w:r w:rsidRPr="0084638B">
        <w:rPr>
          <w:sz w:val="24"/>
        </w:rPr>
        <w:t xml:space="preserve"> Ingestion workstreams as appropriate.</w:t>
      </w:r>
    </w:p>
    <w:p w14:paraId="39FAC60A" w14:textId="400B342A" w:rsidR="0053251A" w:rsidRPr="0084638B" w:rsidRDefault="0053251A" w:rsidP="0084638B">
      <w:pPr>
        <w:pStyle w:val="Heading2"/>
        <w:rPr>
          <w:sz w:val="24"/>
        </w:rPr>
      </w:pPr>
      <w:r w:rsidRPr="0084638B">
        <w:rPr>
          <w:sz w:val="24"/>
        </w:rPr>
        <w:t>Supply chain requirements</w:t>
      </w:r>
      <w:r w:rsidR="001D7A76">
        <w:rPr>
          <w:sz w:val="24"/>
        </w:rPr>
        <w:t>:</w:t>
      </w:r>
      <w:r w:rsidRPr="0084638B">
        <w:rPr>
          <w:sz w:val="24"/>
        </w:rPr>
        <w:t xml:space="preserve"> </w:t>
      </w:r>
      <w:r w:rsidR="001D7A76">
        <w:rPr>
          <w:sz w:val="24"/>
        </w:rPr>
        <w:t>t</w:t>
      </w:r>
      <w:r w:rsidR="00EC0E82" w:rsidRPr="0084638B">
        <w:rPr>
          <w:sz w:val="24"/>
        </w:rPr>
        <w:t>he Supplier will develop and demonstrate a supply chain that provides the required expertise, resilience and sustainability</w:t>
      </w:r>
      <w:r w:rsidR="00014CDC">
        <w:rPr>
          <w:sz w:val="24"/>
        </w:rPr>
        <w:t xml:space="preserve"> </w:t>
      </w:r>
      <w:r w:rsidR="00014CDC" w:rsidRPr="00014CDC">
        <w:rPr>
          <w:bCs/>
          <w:sz w:val="24"/>
        </w:rPr>
        <w:t>and adherence to security requirements</w:t>
      </w:r>
      <w:r w:rsidR="00EC0E82" w:rsidRPr="00014CDC">
        <w:rPr>
          <w:sz w:val="24"/>
        </w:rPr>
        <w:t xml:space="preserve"> </w:t>
      </w:r>
      <w:r w:rsidR="003F19CE">
        <w:rPr>
          <w:sz w:val="24"/>
        </w:rPr>
        <w:t>to deliver the Requirement</w:t>
      </w:r>
      <w:r w:rsidR="00EC0E82" w:rsidRPr="0084638B">
        <w:rPr>
          <w:sz w:val="24"/>
        </w:rPr>
        <w:t xml:space="preserve"> outlined in this document. Where applicable, the Supplier will detail the use of Subject Matter Experts and Small/Medium Enterprises in proposed supply chains. In addition, the Supplier will detail which elements of the supply chain will be in place on award of the contract and which elements</w:t>
      </w:r>
      <w:r w:rsidR="001D7A76">
        <w:rPr>
          <w:sz w:val="24"/>
        </w:rPr>
        <w:t>, if any,</w:t>
      </w:r>
      <w:r w:rsidR="00EC0E82" w:rsidRPr="0084638B">
        <w:rPr>
          <w:sz w:val="24"/>
        </w:rPr>
        <w:t xml:space="preserve"> are envisaged to be contracted by the Supplier following contract award including details of how such sub-contractors will be sourced e.g. via Supplier’s own dynamic purchasing systems.  </w:t>
      </w:r>
    </w:p>
    <w:p w14:paraId="4D41FFC2" w14:textId="4BCAB542" w:rsidR="0053251A" w:rsidRDefault="00184017" w:rsidP="0053251A">
      <w:pPr>
        <w:pStyle w:val="Heading2"/>
        <w:rPr>
          <w:sz w:val="24"/>
        </w:rPr>
      </w:pPr>
      <w:r w:rsidRPr="00184017">
        <w:rPr>
          <w:sz w:val="24"/>
        </w:rPr>
        <w:t>Vendor Lock-In</w:t>
      </w:r>
    </w:p>
    <w:p w14:paraId="7DC569CE" w14:textId="1EDA223D" w:rsidR="00184017" w:rsidRPr="00184017" w:rsidRDefault="00EC0E82" w:rsidP="00184017">
      <w:pPr>
        <w:pStyle w:val="Heading3"/>
        <w:rPr>
          <w:sz w:val="24"/>
        </w:rPr>
      </w:pPr>
      <w:r>
        <w:rPr>
          <w:sz w:val="24"/>
        </w:rPr>
        <w:t>The Supp</w:t>
      </w:r>
      <w:r w:rsidR="0012258A">
        <w:rPr>
          <w:sz w:val="24"/>
        </w:rPr>
        <w:t>lier will deliver the R</w:t>
      </w:r>
      <w:r w:rsidR="00184017" w:rsidRPr="00184017">
        <w:rPr>
          <w:sz w:val="24"/>
        </w:rPr>
        <w:t>equirement</w:t>
      </w:r>
      <w:r>
        <w:rPr>
          <w:sz w:val="24"/>
        </w:rPr>
        <w:t xml:space="preserve"> outlined in this document</w:t>
      </w:r>
      <w:r w:rsidR="00184017" w:rsidRPr="00184017">
        <w:rPr>
          <w:sz w:val="24"/>
        </w:rPr>
        <w:t xml:space="preserve"> in a manner that avoids vendor lock-in, a situation wherein the solutions and services adopted make switching from one technology or provider to another in the future unnecessarily difficult, time consuming or disproportionately expensive for the Customer. </w:t>
      </w:r>
    </w:p>
    <w:p w14:paraId="53DEB6E5" w14:textId="41488391" w:rsidR="00184017" w:rsidRPr="00184017" w:rsidRDefault="00184017" w:rsidP="00184017">
      <w:pPr>
        <w:pStyle w:val="Heading3"/>
        <w:rPr>
          <w:sz w:val="24"/>
        </w:rPr>
      </w:pPr>
      <w:r w:rsidRPr="00184017">
        <w:rPr>
          <w:sz w:val="24"/>
        </w:rPr>
        <w:t>The Supplier will ensure the Customer is made aware</w:t>
      </w:r>
      <w:r w:rsidR="00EC0E82">
        <w:rPr>
          <w:sz w:val="24"/>
        </w:rPr>
        <w:t xml:space="preserve"> and has approved</w:t>
      </w:r>
      <w:r w:rsidRPr="00184017">
        <w:rPr>
          <w:sz w:val="24"/>
        </w:rPr>
        <w:t xml:space="preserve"> of any lock-in implications related to the technologies, </w:t>
      </w:r>
      <w:r w:rsidRPr="00184017">
        <w:rPr>
          <w:sz w:val="24"/>
        </w:rPr>
        <w:lastRenderedPageBreak/>
        <w:t xml:space="preserve">services and processes adopted and will do so in advance of implementing them. This will include: </w:t>
      </w:r>
    </w:p>
    <w:p w14:paraId="221B4E5A" w14:textId="77777777" w:rsidR="00184017" w:rsidRPr="00184017" w:rsidRDefault="00184017" w:rsidP="00184017">
      <w:pPr>
        <w:pStyle w:val="Heading4"/>
        <w:rPr>
          <w:sz w:val="24"/>
        </w:rPr>
      </w:pPr>
      <w:r w:rsidRPr="00184017">
        <w:rPr>
          <w:sz w:val="24"/>
        </w:rPr>
        <w:t xml:space="preserve">Technical decisions which may rely on doing things in a certain way, thus excluding other vendors in the future; </w:t>
      </w:r>
    </w:p>
    <w:p w14:paraId="0C99A066" w14:textId="3F0A6FB2" w:rsidR="00184017" w:rsidRPr="00184017" w:rsidRDefault="00184017" w:rsidP="00184017">
      <w:pPr>
        <w:pStyle w:val="Heading4"/>
        <w:rPr>
          <w:sz w:val="24"/>
        </w:rPr>
      </w:pPr>
      <w:r w:rsidRPr="00184017">
        <w:rPr>
          <w:sz w:val="24"/>
        </w:rPr>
        <w:t>Use of</w:t>
      </w:r>
      <w:r w:rsidR="001D7A76">
        <w:rPr>
          <w:sz w:val="24"/>
        </w:rPr>
        <w:t>,</w:t>
      </w:r>
      <w:r w:rsidRPr="00184017">
        <w:rPr>
          <w:sz w:val="24"/>
        </w:rPr>
        <w:t xml:space="preserve"> or tight integration with</w:t>
      </w:r>
      <w:r w:rsidR="001D7A76">
        <w:rPr>
          <w:sz w:val="24"/>
        </w:rPr>
        <w:t>,</w:t>
      </w:r>
      <w:r w:rsidRPr="00184017">
        <w:rPr>
          <w:sz w:val="24"/>
        </w:rPr>
        <w:t xml:space="preserve"> provider-specific services or products;</w:t>
      </w:r>
    </w:p>
    <w:p w14:paraId="7CAB2A64" w14:textId="18E8FC34" w:rsidR="00184017" w:rsidRPr="00184017" w:rsidRDefault="00026C8B" w:rsidP="00184017">
      <w:pPr>
        <w:pStyle w:val="Heading4"/>
        <w:rPr>
          <w:sz w:val="24"/>
        </w:rPr>
      </w:pPr>
      <w:r>
        <w:rPr>
          <w:sz w:val="24"/>
        </w:rPr>
        <w:t>Solutions or s</w:t>
      </w:r>
      <w:r w:rsidR="00184017" w:rsidRPr="00184017">
        <w:rPr>
          <w:sz w:val="24"/>
        </w:rPr>
        <w:t xml:space="preserve">ervices which require specialist skills not readily available </w:t>
      </w:r>
      <w:r w:rsidR="001D7A76">
        <w:rPr>
          <w:sz w:val="24"/>
        </w:rPr>
        <w:t>i</w:t>
      </w:r>
      <w:r w:rsidR="00184017" w:rsidRPr="00184017">
        <w:rPr>
          <w:sz w:val="24"/>
        </w:rPr>
        <w:t xml:space="preserve">n the wider market; </w:t>
      </w:r>
    </w:p>
    <w:p w14:paraId="4D862727" w14:textId="77777777" w:rsidR="00184017" w:rsidRPr="00184017" w:rsidRDefault="00184017" w:rsidP="00184017">
      <w:pPr>
        <w:pStyle w:val="Heading4"/>
        <w:rPr>
          <w:sz w:val="24"/>
        </w:rPr>
      </w:pPr>
      <w:r w:rsidRPr="00184017">
        <w:rPr>
          <w:sz w:val="24"/>
        </w:rPr>
        <w:t xml:space="preserve">Data migration implications should the technology or service be replaced by another provider; </w:t>
      </w:r>
    </w:p>
    <w:p w14:paraId="2E98E181" w14:textId="04B7908E" w:rsidR="00184017" w:rsidRPr="00184017" w:rsidRDefault="00184017" w:rsidP="00184017">
      <w:pPr>
        <w:pStyle w:val="Heading4"/>
        <w:rPr>
          <w:sz w:val="24"/>
        </w:rPr>
      </w:pPr>
      <w:r w:rsidRPr="00184017">
        <w:rPr>
          <w:sz w:val="24"/>
        </w:rPr>
        <w:t xml:space="preserve">Data migration implications of documentation maintained on the Supplier’s systems (such as the product backlog, testing results, </w:t>
      </w:r>
      <w:r w:rsidR="001F48A7">
        <w:rPr>
          <w:sz w:val="24"/>
        </w:rPr>
        <w:t xml:space="preserve">knowledge hub, </w:t>
      </w:r>
      <w:r w:rsidRPr="00184017">
        <w:rPr>
          <w:sz w:val="24"/>
        </w:rPr>
        <w:t>etc</w:t>
      </w:r>
      <w:r w:rsidR="001D7A76">
        <w:rPr>
          <w:sz w:val="24"/>
        </w:rPr>
        <w:t>.</w:t>
      </w:r>
      <w:r w:rsidRPr="00184017">
        <w:rPr>
          <w:sz w:val="24"/>
        </w:rPr>
        <w:t>)</w:t>
      </w:r>
      <w:r w:rsidR="00026C8B">
        <w:rPr>
          <w:sz w:val="24"/>
        </w:rPr>
        <w:t>;</w:t>
      </w:r>
    </w:p>
    <w:p w14:paraId="0E035EE3" w14:textId="5EEA5B88" w:rsidR="00184017" w:rsidRPr="00184017" w:rsidRDefault="00184017" w:rsidP="00184017">
      <w:pPr>
        <w:pStyle w:val="Heading4"/>
        <w:rPr>
          <w:sz w:val="24"/>
        </w:rPr>
      </w:pPr>
      <w:r w:rsidRPr="00184017">
        <w:rPr>
          <w:sz w:val="24"/>
        </w:rPr>
        <w:t xml:space="preserve">Data </w:t>
      </w:r>
      <w:r w:rsidR="00B93928">
        <w:rPr>
          <w:sz w:val="24"/>
        </w:rPr>
        <w:t>Exploration</w:t>
      </w:r>
      <w:r w:rsidRPr="00184017">
        <w:rPr>
          <w:sz w:val="24"/>
        </w:rPr>
        <w:t xml:space="preserve"> </w:t>
      </w:r>
      <w:r w:rsidR="00CB1461">
        <w:rPr>
          <w:sz w:val="24"/>
        </w:rPr>
        <w:t>A</w:t>
      </w:r>
      <w:r w:rsidRPr="00184017">
        <w:rPr>
          <w:sz w:val="24"/>
        </w:rPr>
        <w:t xml:space="preserve">greements and associated </w:t>
      </w:r>
      <w:r w:rsidR="00E32DFF">
        <w:rPr>
          <w:sz w:val="24"/>
        </w:rPr>
        <w:t xml:space="preserve">Data </w:t>
      </w:r>
      <w:r w:rsidR="00764019">
        <w:rPr>
          <w:sz w:val="24"/>
        </w:rPr>
        <w:t>Ingestion Specification</w:t>
      </w:r>
      <w:r w:rsidRPr="00184017">
        <w:rPr>
          <w:sz w:val="24"/>
        </w:rPr>
        <w:t xml:space="preserve"> and/or licen</w:t>
      </w:r>
      <w:r w:rsidR="001D7A76">
        <w:rPr>
          <w:sz w:val="24"/>
        </w:rPr>
        <w:t>c</w:t>
      </w:r>
      <w:r w:rsidRPr="00184017">
        <w:rPr>
          <w:sz w:val="24"/>
        </w:rPr>
        <w:t>es</w:t>
      </w:r>
      <w:r w:rsidR="00026C8B">
        <w:rPr>
          <w:sz w:val="24"/>
        </w:rPr>
        <w:t>.</w:t>
      </w:r>
    </w:p>
    <w:p w14:paraId="3A98729A" w14:textId="60E22D7A" w:rsidR="00184017" w:rsidRPr="00035668" w:rsidRDefault="00EC0E82" w:rsidP="00EC0E82">
      <w:pPr>
        <w:pStyle w:val="Heading3"/>
        <w:rPr>
          <w:sz w:val="24"/>
        </w:rPr>
      </w:pPr>
      <w:r w:rsidRPr="00EC0E82">
        <w:rPr>
          <w:sz w:val="24"/>
        </w:rPr>
        <w:t>It is recognised that it is impossible to avoid technical lock-in completely. In respect of technologies and services that may have lock-in implications</w:t>
      </w:r>
      <w:r w:rsidR="00026C8B">
        <w:rPr>
          <w:sz w:val="24"/>
        </w:rPr>
        <w:t>,</w:t>
      </w:r>
      <w:r w:rsidRPr="00EC0E82">
        <w:rPr>
          <w:sz w:val="24"/>
        </w:rPr>
        <w:t xml:space="preserve"> the Supplier </w:t>
      </w:r>
      <w:r>
        <w:rPr>
          <w:sz w:val="24"/>
        </w:rPr>
        <w:t>will</w:t>
      </w:r>
      <w:r w:rsidRPr="00EC0E82">
        <w:rPr>
          <w:sz w:val="24"/>
        </w:rPr>
        <w:t xml:space="preserve"> require prior written approval from the Customer before proceeding with such technologies and services. The Supplier </w:t>
      </w:r>
      <w:r>
        <w:rPr>
          <w:sz w:val="24"/>
        </w:rPr>
        <w:t>will</w:t>
      </w:r>
      <w:r w:rsidRPr="00EC0E82">
        <w:rPr>
          <w:sz w:val="24"/>
        </w:rPr>
        <w:t xml:space="preserve"> provide the Customer with all necessary details of the lock-in implications of such technologies and services to en</w:t>
      </w:r>
      <w:r w:rsidR="00026C8B">
        <w:rPr>
          <w:sz w:val="24"/>
        </w:rPr>
        <w:t>able a decision by the Customer. T</w:t>
      </w:r>
      <w:r w:rsidRPr="00EC0E82">
        <w:rPr>
          <w:sz w:val="24"/>
        </w:rPr>
        <w:t xml:space="preserve">he Supplier </w:t>
      </w:r>
      <w:r w:rsidR="00026C8B">
        <w:rPr>
          <w:sz w:val="24"/>
        </w:rPr>
        <w:t>will</w:t>
      </w:r>
      <w:r w:rsidRPr="00EC0E82">
        <w:rPr>
          <w:sz w:val="24"/>
        </w:rPr>
        <w:t xml:space="preserve"> keep a written record of Customer approvals</w:t>
      </w:r>
      <w:r w:rsidR="00026C8B">
        <w:rPr>
          <w:sz w:val="24"/>
        </w:rPr>
        <w:t>, which</w:t>
      </w:r>
      <w:r w:rsidRPr="00EC0E82">
        <w:rPr>
          <w:sz w:val="24"/>
        </w:rPr>
        <w:t xml:space="preserve"> record </w:t>
      </w:r>
      <w:r w:rsidR="00026C8B">
        <w:rPr>
          <w:sz w:val="24"/>
        </w:rPr>
        <w:t>will</w:t>
      </w:r>
      <w:r w:rsidRPr="00EC0E82">
        <w:rPr>
          <w:sz w:val="24"/>
        </w:rPr>
        <w:t xml:space="preserve"> be made </w:t>
      </w:r>
      <w:r w:rsidRPr="00035668">
        <w:rPr>
          <w:sz w:val="24"/>
        </w:rPr>
        <w:t xml:space="preserve">available to the Customer upon request.  </w:t>
      </w:r>
      <w:r w:rsidR="001D7A76" w:rsidRPr="00035668">
        <w:rPr>
          <w:sz w:val="24"/>
        </w:rPr>
        <w:t xml:space="preserve">At </w:t>
      </w:r>
      <w:r w:rsidRPr="00035668">
        <w:rPr>
          <w:sz w:val="24"/>
        </w:rPr>
        <w:t xml:space="preserve">the Customer’s sole discretion, the Customer may provide the Supplier with criteria that </w:t>
      </w:r>
      <w:r w:rsidR="00026C8B" w:rsidRPr="00035668">
        <w:rPr>
          <w:sz w:val="24"/>
        </w:rPr>
        <w:t>allow for</w:t>
      </w:r>
      <w:r w:rsidRPr="00035668">
        <w:rPr>
          <w:sz w:val="24"/>
        </w:rPr>
        <w:t xml:space="preserve"> deemed consent to the development of certain technologies and services without requiring prior approval by the Customer</w:t>
      </w:r>
      <w:r w:rsidR="00184017" w:rsidRPr="00035668">
        <w:rPr>
          <w:sz w:val="24"/>
        </w:rPr>
        <w:t xml:space="preserve">. </w:t>
      </w:r>
    </w:p>
    <w:p w14:paraId="35734D9E" w14:textId="54CCFB79" w:rsidR="00671798" w:rsidRPr="00035668" w:rsidRDefault="00FE18AC">
      <w:pPr>
        <w:pStyle w:val="Heading1"/>
        <w:spacing w:after="120"/>
        <w:rPr>
          <w:sz w:val="32"/>
          <w:szCs w:val="32"/>
        </w:rPr>
      </w:pPr>
      <w:bookmarkStart w:id="20" w:name="_Toc368573032"/>
      <w:bookmarkStart w:id="21" w:name="_Toc69240412"/>
      <w:r w:rsidRPr="00035668">
        <w:rPr>
          <w:sz w:val="32"/>
          <w:szCs w:val="32"/>
        </w:rPr>
        <w:t>key milestones</w:t>
      </w:r>
      <w:bookmarkEnd w:id="20"/>
      <w:r w:rsidR="00F0311A" w:rsidRPr="00035668">
        <w:rPr>
          <w:sz w:val="32"/>
          <w:szCs w:val="32"/>
        </w:rPr>
        <w:t xml:space="preserve"> and Deliverables</w:t>
      </w:r>
      <w:bookmarkEnd w:id="21"/>
    </w:p>
    <w:p w14:paraId="1673389E" w14:textId="149AF3F5" w:rsidR="00035668" w:rsidRPr="00CB0AFA" w:rsidRDefault="00035668" w:rsidP="00035668">
      <w:pPr>
        <w:pStyle w:val="Heading2"/>
        <w:rPr>
          <w:sz w:val="24"/>
          <w:szCs w:val="24"/>
        </w:rPr>
      </w:pPr>
      <w:r w:rsidRPr="00CB0AFA">
        <w:rPr>
          <w:rFonts w:eastAsia="Times New Roman" w:cs="Arial"/>
          <w:color w:val="000000"/>
          <w:sz w:val="24"/>
          <w:lang w:eastAsia="en-GB"/>
        </w:rPr>
        <w:t xml:space="preserve">The Supplier will deliver the following deliverables and milestones listed below and the Supplier’s performance will be monitored against these. The Supplier will define further </w:t>
      </w:r>
      <w:r w:rsidR="00B539C5" w:rsidRPr="00CB0AFA">
        <w:rPr>
          <w:rFonts w:eastAsia="Times New Roman" w:cs="Arial"/>
          <w:color w:val="000000"/>
          <w:sz w:val="24"/>
          <w:lang w:eastAsia="en-GB"/>
        </w:rPr>
        <w:t>deliverables and milestones</w:t>
      </w:r>
      <w:r w:rsidRPr="00CB0AFA">
        <w:rPr>
          <w:rFonts w:eastAsia="Times New Roman" w:cs="Arial"/>
          <w:color w:val="000000"/>
          <w:sz w:val="24"/>
          <w:lang w:eastAsia="en-GB"/>
        </w:rPr>
        <w:t>, with the Customer’s agreement, prior to the start of the National Rollout phase. Where the deliverables are documents, the Supplier will be required to maintain and update these documents, as appropriate. The Supplier and the Customer will be reviewing the updates on the documents on a bimonthly basis.</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04"/>
        <w:gridCol w:w="5340"/>
        <w:gridCol w:w="1984"/>
        <w:gridCol w:w="1081"/>
      </w:tblGrid>
      <w:tr w:rsidR="00035668" w:rsidRPr="00035668" w14:paraId="502A7392" w14:textId="77777777" w:rsidTr="00BC4660">
        <w:trPr>
          <w:trHeight w:val="873"/>
        </w:trPr>
        <w:tc>
          <w:tcPr>
            <w:tcW w:w="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4FBB1F" w14:textId="77777777" w:rsidR="00035668" w:rsidRPr="00035668" w:rsidRDefault="00035668" w:rsidP="00035668">
            <w:pPr>
              <w:spacing w:before="240" w:after="240"/>
              <w:rPr>
                <w:rFonts w:eastAsia="Times New Roman" w:cs="Arial"/>
                <w:szCs w:val="22"/>
                <w:lang w:eastAsia="en-GB"/>
              </w:rPr>
            </w:pPr>
            <w:r w:rsidRPr="00035668">
              <w:rPr>
                <w:rFonts w:eastAsia="Times New Roman" w:cs="Arial"/>
                <w:b/>
                <w:bCs/>
                <w:color w:val="000000"/>
                <w:szCs w:val="22"/>
                <w:lang w:eastAsia="en-GB"/>
              </w:rPr>
              <w:lastRenderedPageBreak/>
              <w:t>Ref</w:t>
            </w:r>
          </w:p>
        </w:tc>
        <w:tc>
          <w:tcPr>
            <w:tcW w:w="5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CA772A" w14:textId="77777777" w:rsidR="00035668" w:rsidRPr="00035668" w:rsidRDefault="00035668" w:rsidP="00035668">
            <w:pPr>
              <w:spacing w:before="240" w:after="240"/>
              <w:rPr>
                <w:rFonts w:eastAsia="Times New Roman" w:cs="Arial"/>
                <w:szCs w:val="22"/>
                <w:lang w:eastAsia="en-GB"/>
              </w:rPr>
            </w:pPr>
            <w:r w:rsidRPr="00035668">
              <w:rPr>
                <w:rFonts w:eastAsia="Times New Roman" w:cs="Arial"/>
                <w:b/>
                <w:bCs/>
                <w:color w:val="000000"/>
                <w:szCs w:val="22"/>
                <w:lang w:eastAsia="en-GB"/>
              </w:rPr>
              <w:t>Deliverable </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4A7D78" w14:textId="77777777" w:rsidR="00035668" w:rsidRPr="00035668" w:rsidRDefault="00035668" w:rsidP="00035668">
            <w:pPr>
              <w:spacing w:before="240" w:after="240"/>
              <w:rPr>
                <w:rFonts w:eastAsia="Times New Roman" w:cs="Arial"/>
                <w:szCs w:val="22"/>
                <w:lang w:eastAsia="en-GB"/>
              </w:rPr>
            </w:pPr>
            <w:r w:rsidRPr="00035668">
              <w:rPr>
                <w:rFonts w:eastAsia="Times New Roman" w:cs="Arial"/>
                <w:b/>
                <w:bCs/>
                <w:color w:val="000000"/>
                <w:szCs w:val="22"/>
                <w:lang w:eastAsia="en-GB"/>
              </w:rPr>
              <w:t>Production date</w:t>
            </w:r>
          </w:p>
        </w:tc>
        <w:tc>
          <w:tcPr>
            <w:tcW w:w="10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A59AA5" w14:textId="77777777" w:rsidR="00035668" w:rsidRPr="00035668" w:rsidRDefault="00035668" w:rsidP="00035668">
            <w:pPr>
              <w:spacing w:before="240" w:after="240"/>
              <w:rPr>
                <w:rFonts w:eastAsia="Times New Roman" w:cs="Arial"/>
                <w:szCs w:val="22"/>
                <w:lang w:eastAsia="en-GB"/>
              </w:rPr>
            </w:pPr>
            <w:r w:rsidRPr="00035668">
              <w:rPr>
                <w:rFonts w:eastAsia="Times New Roman" w:cs="Arial"/>
                <w:b/>
                <w:bCs/>
                <w:color w:val="000000"/>
                <w:szCs w:val="22"/>
                <w:lang w:eastAsia="en-GB"/>
              </w:rPr>
              <w:t>Work stream</w:t>
            </w:r>
          </w:p>
        </w:tc>
      </w:tr>
      <w:tr w:rsidR="00035668" w:rsidRPr="00035668" w14:paraId="18E2333F" w14:textId="77777777" w:rsidTr="00035668">
        <w:trPr>
          <w:trHeight w:val="1377"/>
        </w:trPr>
        <w:tc>
          <w:tcPr>
            <w:tcW w:w="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A09AC2"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1</w:t>
            </w:r>
          </w:p>
        </w:tc>
        <w:tc>
          <w:tcPr>
            <w:tcW w:w="5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5DBB7A" w14:textId="77777777" w:rsidR="00035668" w:rsidRPr="00035668" w:rsidRDefault="00035668" w:rsidP="00035668">
            <w:pPr>
              <w:spacing w:before="280" w:after="80"/>
              <w:outlineLvl w:val="2"/>
              <w:rPr>
                <w:rFonts w:eastAsia="Times New Roman" w:cs="Arial"/>
                <w:b/>
                <w:bCs/>
                <w:szCs w:val="22"/>
                <w:lang w:eastAsia="en-GB"/>
              </w:rPr>
            </w:pPr>
            <w:r w:rsidRPr="00035668">
              <w:rPr>
                <w:rFonts w:eastAsia="Times New Roman" w:cs="Arial"/>
                <w:color w:val="000000"/>
                <w:szCs w:val="22"/>
                <w:lang w:eastAsia="en-GB"/>
              </w:rPr>
              <w:t>Set-up of the development team is in place and has commenced development work on the platform, ways of working and scrum events are defined and scheduled, development environments set-up.</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EDF73C"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Within 1 month of contract award</w:t>
            </w:r>
          </w:p>
        </w:tc>
        <w:tc>
          <w:tcPr>
            <w:tcW w:w="10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D72CE5"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D</w:t>
            </w:r>
          </w:p>
        </w:tc>
      </w:tr>
      <w:tr w:rsidR="00035668" w:rsidRPr="00035668" w14:paraId="5EFDB134" w14:textId="77777777" w:rsidTr="00035668">
        <w:tc>
          <w:tcPr>
            <w:tcW w:w="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D4BA80"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2</w:t>
            </w:r>
          </w:p>
        </w:tc>
        <w:tc>
          <w:tcPr>
            <w:tcW w:w="5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038655" w14:textId="42C4E060" w:rsidR="00035668" w:rsidRPr="00035668" w:rsidRDefault="00996C60" w:rsidP="00035668">
            <w:pPr>
              <w:spacing w:before="240" w:after="240"/>
              <w:rPr>
                <w:rFonts w:eastAsia="Times New Roman" w:cs="Arial"/>
                <w:szCs w:val="22"/>
                <w:lang w:eastAsia="en-GB"/>
              </w:rPr>
            </w:pPr>
            <w:r>
              <w:rPr>
                <w:rFonts w:eastAsia="Times New Roman" w:cs="Arial"/>
                <w:color w:val="000000"/>
                <w:szCs w:val="22"/>
                <w:lang w:eastAsia="en-GB"/>
              </w:rPr>
              <w:t>Engagement</w:t>
            </w:r>
            <w:r w:rsidRPr="00035668">
              <w:rPr>
                <w:rFonts w:eastAsia="Times New Roman" w:cs="Arial"/>
                <w:color w:val="000000"/>
                <w:szCs w:val="22"/>
                <w:lang w:eastAsia="en-GB"/>
              </w:rPr>
              <w:t xml:space="preserve"> </w:t>
            </w:r>
            <w:r w:rsidR="00035668" w:rsidRPr="00035668">
              <w:rPr>
                <w:rFonts w:eastAsia="Times New Roman" w:cs="Arial"/>
                <w:color w:val="000000"/>
                <w:szCs w:val="22"/>
                <w:lang w:eastAsia="en-GB"/>
              </w:rPr>
              <w:t>strategy for MVP Asset Owners (document)</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454FCF"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Within 1 month of contract award</w:t>
            </w:r>
          </w:p>
        </w:tc>
        <w:tc>
          <w:tcPr>
            <w:tcW w:w="10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F0912A" w14:textId="3AE0ACA5" w:rsidR="00035668" w:rsidRPr="00035668" w:rsidRDefault="00996C60" w:rsidP="00035668">
            <w:pPr>
              <w:rPr>
                <w:rFonts w:eastAsia="Times New Roman" w:cs="Arial"/>
                <w:szCs w:val="22"/>
                <w:lang w:eastAsia="en-GB"/>
              </w:rPr>
            </w:pPr>
            <w:r>
              <w:rPr>
                <w:rFonts w:eastAsia="Times New Roman" w:cs="Arial"/>
                <w:color w:val="000000"/>
                <w:szCs w:val="22"/>
                <w:lang w:eastAsia="en-GB"/>
              </w:rPr>
              <w:t>AOE</w:t>
            </w:r>
          </w:p>
        </w:tc>
      </w:tr>
      <w:tr w:rsidR="00035668" w:rsidRPr="00035668" w14:paraId="1DFEC2C6" w14:textId="77777777" w:rsidTr="00035668">
        <w:tc>
          <w:tcPr>
            <w:tcW w:w="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83F387"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3</w:t>
            </w:r>
          </w:p>
        </w:tc>
        <w:tc>
          <w:tcPr>
            <w:tcW w:w="5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226180" w14:textId="77777777" w:rsidR="00035668" w:rsidRPr="00035668" w:rsidRDefault="00035668" w:rsidP="00035668">
            <w:pPr>
              <w:spacing w:before="240" w:after="240"/>
              <w:rPr>
                <w:rFonts w:eastAsia="Times New Roman" w:cs="Arial"/>
                <w:szCs w:val="22"/>
                <w:lang w:eastAsia="en-GB"/>
              </w:rPr>
            </w:pPr>
            <w:r w:rsidRPr="00035668">
              <w:rPr>
                <w:rFonts w:eastAsia="Times New Roman" w:cs="Arial"/>
                <w:color w:val="000000"/>
                <w:szCs w:val="22"/>
                <w:lang w:eastAsia="en-GB"/>
              </w:rPr>
              <w:t>Product Backlog - first iteration</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035513"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Within 1 month of contract award</w:t>
            </w:r>
          </w:p>
        </w:tc>
        <w:tc>
          <w:tcPr>
            <w:tcW w:w="10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45F618"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D</w:t>
            </w:r>
          </w:p>
        </w:tc>
      </w:tr>
      <w:tr w:rsidR="00152D63" w:rsidRPr="00035668" w14:paraId="09D1D2DB" w14:textId="77777777" w:rsidTr="00152D63">
        <w:tc>
          <w:tcPr>
            <w:tcW w:w="9009" w:type="dxa"/>
            <w:gridSpan w:val="4"/>
            <w:tcBorders>
              <w:top w:val="single" w:sz="8" w:space="0" w:color="000000"/>
              <w:left w:val="single" w:sz="8" w:space="0" w:color="000000"/>
              <w:bottom w:val="single" w:sz="8" w:space="0" w:color="000000"/>
              <w:right w:val="single" w:sz="8" w:space="0" w:color="000000"/>
            </w:tcBorders>
            <w:shd w:val="clear" w:color="auto" w:fill="B8CCE4" w:themeFill="accent1" w:themeFillTint="66"/>
            <w:tcMar>
              <w:top w:w="100" w:type="dxa"/>
              <w:left w:w="100" w:type="dxa"/>
              <w:bottom w:w="100" w:type="dxa"/>
              <w:right w:w="100" w:type="dxa"/>
            </w:tcMar>
          </w:tcPr>
          <w:p w14:paraId="71A95FEC" w14:textId="0845FAF5" w:rsidR="00152D63" w:rsidRPr="00035668" w:rsidRDefault="00152D63" w:rsidP="00152D63">
            <w:pPr>
              <w:rPr>
                <w:rFonts w:eastAsia="Times New Roman" w:cs="Arial"/>
                <w:color w:val="000000"/>
                <w:szCs w:val="22"/>
                <w:lang w:eastAsia="en-GB"/>
              </w:rPr>
            </w:pPr>
            <w:r>
              <w:rPr>
                <w:rFonts w:eastAsia="Times New Roman" w:cs="Arial"/>
                <w:color w:val="000000"/>
                <w:szCs w:val="22"/>
                <w:lang w:eastAsia="en-GB"/>
              </w:rPr>
              <w:t>Gateway Review A – Within 3 months of contract award</w:t>
            </w:r>
          </w:p>
        </w:tc>
      </w:tr>
      <w:tr w:rsidR="00035668" w:rsidRPr="00035668" w14:paraId="1B366B8F" w14:textId="77777777" w:rsidTr="00035668">
        <w:tc>
          <w:tcPr>
            <w:tcW w:w="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1A6116"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A1</w:t>
            </w:r>
          </w:p>
        </w:tc>
        <w:tc>
          <w:tcPr>
            <w:tcW w:w="5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0B508D" w14:textId="77777777" w:rsidR="00035668" w:rsidRPr="00035668" w:rsidRDefault="00035668" w:rsidP="00035668">
            <w:pPr>
              <w:spacing w:before="240" w:after="40"/>
              <w:outlineLvl w:val="3"/>
              <w:rPr>
                <w:rFonts w:eastAsia="Times New Roman" w:cs="Arial"/>
                <w:b/>
                <w:bCs/>
                <w:szCs w:val="22"/>
                <w:lang w:eastAsia="en-GB"/>
              </w:rPr>
            </w:pPr>
            <w:r w:rsidRPr="00035668">
              <w:rPr>
                <w:rFonts w:eastAsia="Times New Roman" w:cs="Arial"/>
                <w:color w:val="000000"/>
                <w:szCs w:val="22"/>
                <w:lang w:eastAsia="en-GB"/>
              </w:rPr>
              <w:t>Sprint velocity established and used to plan / estimate sprint cycles</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1DF69B"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Within 3 months of the contract</w:t>
            </w:r>
          </w:p>
        </w:tc>
        <w:tc>
          <w:tcPr>
            <w:tcW w:w="10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6F2049"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D</w:t>
            </w:r>
          </w:p>
        </w:tc>
      </w:tr>
      <w:tr w:rsidR="00035668" w:rsidRPr="00035668" w14:paraId="4DA62DB3" w14:textId="77777777" w:rsidTr="00035668">
        <w:tc>
          <w:tcPr>
            <w:tcW w:w="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C91B07"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A2</w:t>
            </w:r>
          </w:p>
        </w:tc>
        <w:tc>
          <w:tcPr>
            <w:tcW w:w="5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1E995B" w14:textId="77777777" w:rsidR="00035668" w:rsidRPr="00035668" w:rsidRDefault="00035668" w:rsidP="00035668">
            <w:pPr>
              <w:spacing w:before="280" w:after="80"/>
              <w:outlineLvl w:val="2"/>
              <w:rPr>
                <w:rFonts w:eastAsia="Times New Roman" w:cs="Arial"/>
                <w:b/>
                <w:bCs/>
                <w:szCs w:val="22"/>
                <w:lang w:eastAsia="en-GB"/>
              </w:rPr>
            </w:pPr>
            <w:r w:rsidRPr="00035668">
              <w:rPr>
                <w:rFonts w:eastAsia="Times New Roman" w:cs="Arial"/>
                <w:color w:val="000000"/>
                <w:szCs w:val="22"/>
                <w:lang w:eastAsia="en-GB"/>
              </w:rPr>
              <w:t>First platform release (to be defined and agreed on during the scrum events)</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EE32A5"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Within 3 months of contract award</w:t>
            </w:r>
          </w:p>
        </w:tc>
        <w:tc>
          <w:tcPr>
            <w:tcW w:w="10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C42AAE"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D</w:t>
            </w:r>
          </w:p>
        </w:tc>
      </w:tr>
      <w:tr w:rsidR="00035668" w:rsidRPr="00035668" w14:paraId="70DFFDEF" w14:textId="77777777" w:rsidTr="00035668">
        <w:tc>
          <w:tcPr>
            <w:tcW w:w="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3419B8"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A3</w:t>
            </w:r>
          </w:p>
        </w:tc>
        <w:tc>
          <w:tcPr>
            <w:tcW w:w="5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CBA50D" w14:textId="77777777" w:rsidR="00035668" w:rsidRPr="00035668" w:rsidRDefault="00035668" w:rsidP="00152D63">
            <w:pPr>
              <w:spacing w:before="240" w:after="240"/>
              <w:outlineLvl w:val="3"/>
              <w:rPr>
                <w:rFonts w:eastAsia="Times New Roman" w:cs="Arial"/>
                <w:b/>
                <w:bCs/>
                <w:szCs w:val="22"/>
                <w:lang w:eastAsia="en-GB"/>
              </w:rPr>
            </w:pPr>
            <w:r w:rsidRPr="00035668">
              <w:rPr>
                <w:rFonts w:eastAsia="Times New Roman" w:cs="Arial"/>
                <w:color w:val="000000"/>
                <w:szCs w:val="22"/>
                <w:lang w:eastAsia="en-GB"/>
              </w:rPr>
              <w:t>System Architecture Design document (with reference to the Architecture Blueprint)</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87AB47"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Within 3 months of contract award</w:t>
            </w:r>
          </w:p>
        </w:tc>
        <w:tc>
          <w:tcPr>
            <w:tcW w:w="10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AEC59D"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D</w:t>
            </w:r>
          </w:p>
        </w:tc>
      </w:tr>
      <w:tr w:rsidR="00035668" w:rsidRPr="00035668" w14:paraId="1AD50B03" w14:textId="77777777" w:rsidTr="00035668">
        <w:tc>
          <w:tcPr>
            <w:tcW w:w="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1DBB39"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A4</w:t>
            </w:r>
          </w:p>
        </w:tc>
        <w:tc>
          <w:tcPr>
            <w:tcW w:w="5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A46E38" w14:textId="0F2E4BA8" w:rsidR="00035668" w:rsidRPr="00035668" w:rsidRDefault="00035668" w:rsidP="00152D63">
            <w:pPr>
              <w:spacing w:before="240" w:after="240"/>
              <w:outlineLvl w:val="3"/>
              <w:rPr>
                <w:rFonts w:eastAsia="Times New Roman" w:cs="Arial"/>
                <w:b/>
                <w:bCs/>
                <w:szCs w:val="22"/>
                <w:lang w:eastAsia="en-GB"/>
              </w:rPr>
            </w:pPr>
            <w:r w:rsidRPr="00035668">
              <w:rPr>
                <w:rFonts w:eastAsia="Times New Roman" w:cs="Arial"/>
                <w:color w:val="000000"/>
                <w:szCs w:val="22"/>
                <w:lang w:eastAsia="en-GB"/>
              </w:rPr>
              <w:t>Security Architecture Document</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25457D"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Within 3 months of contract award</w:t>
            </w:r>
          </w:p>
        </w:tc>
        <w:tc>
          <w:tcPr>
            <w:tcW w:w="10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318556"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D</w:t>
            </w:r>
          </w:p>
        </w:tc>
      </w:tr>
      <w:tr w:rsidR="00035668" w:rsidRPr="00035668" w14:paraId="2AEF1C01" w14:textId="77777777" w:rsidTr="00035668">
        <w:tc>
          <w:tcPr>
            <w:tcW w:w="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14329A"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A5</w:t>
            </w:r>
          </w:p>
        </w:tc>
        <w:tc>
          <w:tcPr>
            <w:tcW w:w="5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E626D8" w14:textId="77777777" w:rsidR="00035668" w:rsidRPr="00035668" w:rsidRDefault="00035668" w:rsidP="00035668">
            <w:pPr>
              <w:spacing w:before="240" w:after="240"/>
              <w:rPr>
                <w:rFonts w:eastAsia="Times New Roman" w:cs="Arial"/>
                <w:szCs w:val="22"/>
                <w:lang w:eastAsia="en-GB"/>
              </w:rPr>
            </w:pPr>
            <w:r w:rsidRPr="00035668">
              <w:rPr>
                <w:rFonts w:eastAsia="Times New Roman" w:cs="Arial"/>
                <w:color w:val="000000"/>
                <w:szCs w:val="22"/>
                <w:lang w:eastAsia="en-GB"/>
              </w:rPr>
              <w:t>Integration Design Document </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6D11B2"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Within 3 months of contract award</w:t>
            </w:r>
          </w:p>
        </w:tc>
        <w:tc>
          <w:tcPr>
            <w:tcW w:w="10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D99326"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D</w:t>
            </w:r>
          </w:p>
        </w:tc>
      </w:tr>
      <w:tr w:rsidR="00035668" w:rsidRPr="00035668" w14:paraId="2972CC6B" w14:textId="77777777" w:rsidTr="00035668">
        <w:tc>
          <w:tcPr>
            <w:tcW w:w="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122E4D"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A6</w:t>
            </w:r>
          </w:p>
        </w:tc>
        <w:tc>
          <w:tcPr>
            <w:tcW w:w="5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8714F0" w14:textId="77777777" w:rsidR="00035668" w:rsidRPr="00035668" w:rsidRDefault="00035668" w:rsidP="00035668">
            <w:pPr>
              <w:spacing w:before="240" w:after="240"/>
              <w:rPr>
                <w:rFonts w:eastAsia="Times New Roman" w:cs="Arial"/>
                <w:szCs w:val="22"/>
                <w:lang w:eastAsia="en-GB"/>
              </w:rPr>
            </w:pPr>
            <w:r w:rsidRPr="00035668">
              <w:rPr>
                <w:rFonts w:eastAsia="Times New Roman" w:cs="Arial"/>
                <w:color w:val="000000"/>
                <w:szCs w:val="22"/>
                <w:lang w:eastAsia="en-GB"/>
              </w:rPr>
              <w:t>API Specification Documents</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3B3AA5"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Within 3 months of contract award</w:t>
            </w:r>
          </w:p>
        </w:tc>
        <w:tc>
          <w:tcPr>
            <w:tcW w:w="10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0DBF5B"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D</w:t>
            </w:r>
          </w:p>
        </w:tc>
      </w:tr>
      <w:tr w:rsidR="00035668" w:rsidRPr="00035668" w14:paraId="27609DB3" w14:textId="77777777" w:rsidTr="00035668">
        <w:tc>
          <w:tcPr>
            <w:tcW w:w="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18EDDA"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A7</w:t>
            </w:r>
          </w:p>
        </w:tc>
        <w:tc>
          <w:tcPr>
            <w:tcW w:w="5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699AE3" w14:textId="77777777" w:rsidR="00035668" w:rsidRPr="00035668" w:rsidRDefault="00035668" w:rsidP="00035668">
            <w:pPr>
              <w:spacing w:before="240" w:after="240"/>
              <w:rPr>
                <w:rFonts w:eastAsia="Times New Roman" w:cs="Arial"/>
                <w:szCs w:val="22"/>
                <w:lang w:eastAsia="en-GB"/>
              </w:rPr>
            </w:pPr>
            <w:r w:rsidRPr="00035668">
              <w:rPr>
                <w:rFonts w:eastAsia="Times New Roman" w:cs="Arial"/>
                <w:color w:val="000000"/>
                <w:szCs w:val="22"/>
                <w:lang w:eastAsia="en-GB"/>
              </w:rPr>
              <w:t>Core Data Specification including Feature Catalogue</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67D65F"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Within 3 months of contract award</w:t>
            </w:r>
          </w:p>
        </w:tc>
        <w:tc>
          <w:tcPr>
            <w:tcW w:w="10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9A3143"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D</w:t>
            </w:r>
          </w:p>
        </w:tc>
      </w:tr>
      <w:tr w:rsidR="00035668" w:rsidRPr="00035668" w14:paraId="480F6D86" w14:textId="77777777" w:rsidTr="00035668">
        <w:tc>
          <w:tcPr>
            <w:tcW w:w="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8EA502"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lastRenderedPageBreak/>
              <w:t>A8</w:t>
            </w:r>
          </w:p>
        </w:tc>
        <w:tc>
          <w:tcPr>
            <w:tcW w:w="5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5D146B" w14:textId="77777777" w:rsidR="00035668" w:rsidRPr="00035668" w:rsidRDefault="00035668" w:rsidP="00035668">
            <w:pPr>
              <w:spacing w:before="240" w:after="240"/>
              <w:rPr>
                <w:rFonts w:eastAsia="Times New Roman" w:cs="Arial"/>
                <w:szCs w:val="22"/>
                <w:lang w:eastAsia="en-GB"/>
              </w:rPr>
            </w:pPr>
            <w:r w:rsidRPr="00035668">
              <w:rPr>
                <w:rFonts w:eastAsia="Times New Roman" w:cs="Arial"/>
                <w:color w:val="000000"/>
                <w:szCs w:val="22"/>
                <w:shd w:val="clear" w:color="auto" w:fill="FFFFFF"/>
                <w:lang w:eastAsia="en-GB"/>
              </w:rPr>
              <w:t>Materials for Data Model familiarisation sessions</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E52CC7"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Within 3 months of contract award</w:t>
            </w:r>
          </w:p>
        </w:tc>
        <w:tc>
          <w:tcPr>
            <w:tcW w:w="10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65D0FD"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D</w:t>
            </w:r>
          </w:p>
        </w:tc>
      </w:tr>
      <w:tr w:rsidR="00035668" w:rsidRPr="00035668" w14:paraId="10006B22" w14:textId="77777777" w:rsidTr="00035668">
        <w:tc>
          <w:tcPr>
            <w:tcW w:w="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E991F0"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A9</w:t>
            </w:r>
          </w:p>
        </w:tc>
        <w:tc>
          <w:tcPr>
            <w:tcW w:w="5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905904" w14:textId="77777777" w:rsidR="00035668" w:rsidRPr="00035668" w:rsidRDefault="00035668" w:rsidP="00035668">
            <w:pPr>
              <w:spacing w:before="240" w:after="240"/>
              <w:rPr>
                <w:rFonts w:eastAsia="Times New Roman" w:cs="Arial"/>
                <w:szCs w:val="22"/>
                <w:lang w:eastAsia="en-GB"/>
              </w:rPr>
            </w:pPr>
            <w:r w:rsidRPr="00035668">
              <w:rPr>
                <w:rFonts w:eastAsia="Times New Roman" w:cs="Arial"/>
                <w:color w:val="000000"/>
                <w:szCs w:val="22"/>
                <w:shd w:val="clear" w:color="auto" w:fill="FFFFFF"/>
                <w:lang w:eastAsia="en-GB"/>
              </w:rPr>
              <w:t>Data Design document: User Account and Security data</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B3A41A"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Within 3 months of contract award</w:t>
            </w:r>
          </w:p>
        </w:tc>
        <w:tc>
          <w:tcPr>
            <w:tcW w:w="10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F76592"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D</w:t>
            </w:r>
          </w:p>
        </w:tc>
      </w:tr>
      <w:tr w:rsidR="00035668" w:rsidRPr="00035668" w14:paraId="1FE62FE1" w14:textId="77777777" w:rsidTr="00035668">
        <w:tc>
          <w:tcPr>
            <w:tcW w:w="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1AA9B3"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A10</w:t>
            </w:r>
          </w:p>
        </w:tc>
        <w:tc>
          <w:tcPr>
            <w:tcW w:w="5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ED3AA1" w14:textId="77777777" w:rsidR="00035668" w:rsidRPr="00035668" w:rsidRDefault="00035668" w:rsidP="00035668">
            <w:pPr>
              <w:spacing w:before="240" w:after="240"/>
              <w:rPr>
                <w:rFonts w:eastAsia="Times New Roman" w:cs="Arial"/>
                <w:szCs w:val="22"/>
                <w:lang w:eastAsia="en-GB"/>
              </w:rPr>
            </w:pPr>
            <w:r w:rsidRPr="00035668">
              <w:rPr>
                <w:rFonts w:eastAsia="Times New Roman" w:cs="Arial"/>
                <w:color w:val="000000"/>
                <w:szCs w:val="22"/>
                <w:shd w:val="clear" w:color="auto" w:fill="FFFFFF"/>
                <w:lang w:eastAsia="en-GB"/>
              </w:rPr>
              <w:t>Security Controls document </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EEFD0B"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Within 3 months of contract award</w:t>
            </w:r>
          </w:p>
        </w:tc>
        <w:tc>
          <w:tcPr>
            <w:tcW w:w="10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2EDD23"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D</w:t>
            </w:r>
          </w:p>
        </w:tc>
      </w:tr>
      <w:tr w:rsidR="00035668" w:rsidRPr="00035668" w14:paraId="7AE7928A" w14:textId="77777777" w:rsidTr="00035668">
        <w:tc>
          <w:tcPr>
            <w:tcW w:w="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C78C00"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A11</w:t>
            </w:r>
          </w:p>
        </w:tc>
        <w:tc>
          <w:tcPr>
            <w:tcW w:w="5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52BDDB" w14:textId="0BFA73CA" w:rsidR="00035668" w:rsidRPr="00035668" w:rsidRDefault="002162D8" w:rsidP="002162D8">
            <w:pPr>
              <w:spacing w:before="240" w:after="240"/>
              <w:rPr>
                <w:rFonts w:eastAsia="Times New Roman" w:cs="Arial"/>
                <w:szCs w:val="22"/>
                <w:lang w:eastAsia="en-GB"/>
              </w:rPr>
            </w:pPr>
            <w:r>
              <w:rPr>
                <w:rFonts w:eastAsia="Times New Roman" w:cs="Arial"/>
                <w:color w:val="000000"/>
                <w:szCs w:val="22"/>
                <w:shd w:val="clear" w:color="auto" w:fill="FFFFFF"/>
                <w:lang w:eastAsia="en-GB"/>
              </w:rPr>
              <w:t xml:space="preserve">Data Ingestion Specification </w:t>
            </w:r>
            <w:r w:rsidR="00035668" w:rsidRPr="00035668">
              <w:rPr>
                <w:rFonts w:eastAsia="Times New Roman" w:cs="Arial"/>
                <w:color w:val="000000"/>
                <w:szCs w:val="22"/>
                <w:shd w:val="clear" w:color="auto" w:fill="FFFFFF"/>
                <w:lang w:eastAsia="en-GB"/>
              </w:rPr>
              <w:t>template</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4A5CF0"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Within 3 months of contract award</w:t>
            </w:r>
          </w:p>
        </w:tc>
        <w:tc>
          <w:tcPr>
            <w:tcW w:w="10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F82670"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T</w:t>
            </w:r>
          </w:p>
        </w:tc>
      </w:tr>
      <w:tr w:rsidR="00035668" w:rsidRPr="00035668" w14:paraId="57D195D4" w14:textId="77777777" w:rsidTr="00035668">
        <w:tc>
          <w:tcPr>
            <w:tcW w:w="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EDC214"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A12</w:t>
            </w:r>
          </w:p>
        </w:tc>
        <w:tc>
          <w:tcPr>
            <w:tcW w:w="5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3B3C2D" w14:textId="52308C6A" w:rsidR="00035668" w:rsidRPr="00035668" w:rsidRDefault="00035668" w:rsidP="001621D0">
            <w:pPr>
              <w:pStyle w:val="NormalWeb"/>
              <w:spacing w:before="240" w:after="240"/>
              <w:rPr>
                <w:rFonts w:ascii="Times New Roman" w:eastAsia="Times New Roman" w:hAnsi="Times New Roman"/>
                <w:lang w:eastAsia="en-GB"/>
              </w:rPr>
            </w:pPr>
            <w:r w:rsidRPr="00035668">
              <w:rPr>
                <w:rFonts w:eastAsia="Times New Roman" w:cs="Arial"/>
                <w:color w:val="000000"/>
                <w:sz w:val="22"/>
                <w:szCs w:val="22"/>
                <w:shd w:val="clear" w:color="auto" w:fill="FFFFFF"/>
                <w:lang w:eastAsia="en-GB"/>
              </w:rPr>
              <w:t>Exit strategy document - for six month exit</w:t>
            </w:r>
            <w:r w:rsidR="001621D0">
              <w:rPr>
                <w:rFonts w:eastAsia="Times New Roman" w:cs="Arial"/>
                <w:color w:val="000000"/>
                <w:szCs w:val="22"/>
                <w:shd w:val="clear" w:color="auto" w:fill="FFFFFF"/>
                <w:lang w:eastAsia="en-GB"/>
              </w:rPr>
              <w:t xml:space="preserve">, </w:t>
            </w:r>
            <w:r w:rsidR="005138BA">
              <w:rPr>
                <w:rFonts w:eastAsia="Times New Roman" w:cs="Arial"/>
                <w:color w:val="000000"/>
                <w:sz w:val="22"/>
                <w:shd w:val="clear" w:color="auto" w:fill="FFFFFF"/>
                <w:lang w:eastAsia="en-GB"/>
              </w:rPr>
              <w:t>including records as per 6.8</w:t>
            </w:r>
            <w:r w:rsidR="001621D0" w:rsidRPr="001621D0">
              <w:rPr>
                <w:rFonts w:eastAsia="Times New Roman" w:cs="Arial"/>
                <w:color w:val="000000"/>
                <w:sz w:val="22"/>
                <w:shd w:val="clear" w:color="auto" w:fill="FFFFFF"/>
                <w:lang w:eastAsia="en-GB"/>
              </w:rPr>
              <w:t>.1</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806C0D"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Within 3 months of contract award</w:t>
            </w:r>
          </w:p>
        </w:tc>
        <w:tc>
          <w:tcPr>
            <w:tcW w:w="10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4C1515"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CR</w:t>
            </w:r>
          </w:p>
        </w:tc>
      </w:tr>
      <w:tr w:rsidR="00152D63" w:rsidRPr="00035668" w14:paraId="5546F4D2" w14:textId="77777777" w:rsidTr="00152D63">
        <w:tc>
          <w:tcPr>
            <w:tcW w:w="9009" w:type="dxa"/>
            <w:gridSpan w:val="4"/>
            <w:tcBorders>
              <w:top w:val="single" w:sz="8" w:space="0" w:color="000000"/>
              <w:left w:val="single" w:sz="8" w:space="0" w:color="000000"/>
              <w:bottom w:val="single" w:sz="8" w:space="0" w:color="000000"/>
              <w:right w:val="single" w:sz="8" w:space="0" w:color="000000"/>
            </w:tcBorders>
            <w:shd w:val="clear" w:color="auto" w:fill="B8CCE4" w:themeFill="accent1" w:themeFillTint="66"/>
            <w:tcMar>
              <w:top w:w="100" w:type="dxa"/>
              <w:left w:w="100" w:type="dxa"/>
              <w:bottom w:w="100" w:type="dxa"/>
              <w:right w:w="100" w:type="dxa"/>
            </w:tcMar>
          </w:tcPr>
          <w:p w14:paraId="1EEF16B6" w14:textId="77777777" w:rsidR="00152D63" w:rsidRPr="00035668" w:rsidRDefault="00152D63" w:rsidP="00035668">
            <w:pPr>
              <w:rPr>
                <w:rFonts w:eastAsia="Times New Roman" w:cs="Arial"/>
                <w:color w:val="000000"/>
                <w:szCs w:val="22"/>
                <w:lang w:eastAsia="en-GB"/>
              </w:rPr>
            </w:pPr>
          </w:p>
        </w:tc>
      </w:tr>
      <w:tr w:rsidR="00035668" w:rsidRPr="00035668" w14:paraId="63BB0735" w14:textId="77777777" w:rsidTr="00035668">
        <w:tc>
          <w:tcPr>
            <w:tcW w:w="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36A126"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4</w:t>
            </w:r>
          </w:p>
        </w:tc>
        <w:tc>
          <w:tcPr>
            <w:tcW w:w="5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D1226C" w14:textId="77777777" w:rsidR="00035668" w:rsidRPr="00035668" w:rsidRDefault="00035668" w:rsidP="00035668">
            <w:pPr>
              <w:spacing w:before="240" w:after="240"/>
              <w:rPr>
                <w:rFonts w:eastAsia="Times New Roman" w:cs="Arial"/>
                <w:szCs w:val="22"/>
                <w:lang w:eastAsia="en-GB"/>
              </w:rPr>
            </w:pPr>
            <w:r w:rsidRPr="00035668">
              <w:rPr>
                <w:rFonts w:eastAsia="Times New Roman" w:cs="Arial"/>
                <w:color w:val="000000"/>
                <w:szCs w:val="22"/>
                <w:lang w:eastAsia="en-GB"/>
              </w:rPr>
              <w:t>User Interface Specification</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22471F"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Within 4 months of contract award</w:t>
            </w:r>
          </w:p>
        </w:tc>
        <w:tc>
          <w:tcPr>
            <w:tcW w:w="10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8E14A7"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D</w:t>
            </w:r>
          </w:p>
        </w:tc>
      </w:tr>
      <w:tr w:rsidR="00035668" w:rsidRPr="00035668" w14:paraId="099BBC8D" w14:textId="77777777" w:rsidTr="00035668">
        <w:tc>
          <w:tcPr>
            <w:tcW w:w="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107378"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5</w:t>
            </w:r>
          </w:p>
        </w:tc>
        <w:tc>
          <w:tcPr>
            <w:tcW w:w="5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2A75B2" w14:textId="77777777" w:rsidR="00035668" w:rsidRPr="00035668" w:rsidRDefault="00035668" w:rsidP="00035668">
            <w:pPr>
              <w:spacing w:before="240" w:after="240"/>
              <w:rPr>
                <w:rFonts w:eastAsia="Times New Roman" w:cs="Arial"/>
                <w:szCs w:val="22"/>
                <w:lang w:eastAsia="en-GB"/>
              </w:rPr>
            </w:pPr>
            <w:r w:rsidRPr="00035668">
              <w:rPr>
                <w:rFonts w:eastAsia="Times New Roman" w:cs="Arial"/>
                <w:color w:val="000000"/>
                <w:szCs w:val="22"/>
                <w:lang w:eastAsia="en-GB"/>
              </w:rPr>
              <w:t>Symbology and Cartography definition</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F202DC"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Within 4 months of contract award</w:t>
            </w:r>
          </w:p>
        </w:tc>
        <w:tc>
          <w:tcPr>
            <w:tcW w:w="10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9808F0"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D</w:t>
            </w:r>
          </w:p>
        </w:tc>
      </w:tr>
      <w:tr w:rsidR="00035668" w:rsidRPr="00035668" w14:paraId="6FD01130" w14:textId="77777777" w:rsidTr="00035668">
        <w:tc>
          <w:tcPr>
            <w:tcW w:w="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9D2D23"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6</w:t>
            </w:r>
          </w:p>
        </w:tc>
        <w:tc>
          <w:tcPr>
            <w:tcW w:w="5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D96F3B" w14:textId="77777777" w:rsidR="00035668" w:rsidRPr="00035668" w:rsidRDefault="00035668" w:rsidP="00035668">
            <w:pPr>
              <w:spacing w:before="240" w:after="240"/>
              <w:rPr>
                <w:rFonts w:eastAsia="Times New Roman" w:cs="Arial"/>
                <w:szCs w:val="22"/>
                <w:lang w:eastAsia="en-GB"/>
              </w:rPr>
            </w:pPr>
            <w:r w:rsidRPr="00035668">
              <w:rPr>
                <w:rFonts w:eastAsia="Times New Roman" w:cs="Arial"/>
                <w:color w:val="000000"/>
                <w:szCs w:val="22"/>
                <w:lang w:eastAsia="en-GB"/>
              </w:rPr>
              <w:t>UI element Style Guide</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8D0A45"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Within 4 months of contract award</w:t>
            </w:r>
          </w:p>
        </w:tc>
        <w:tc>
          <w:tcPr>
            <w:tcW w:w="10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EFAD16"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D</w:t>
            </w:r>
          </w:p>
        </w:tc>
      </w:tr>
      <w:tr w:rsidR="00035668" w:rsidRPr="00035668" w14:paraId="0BC8308F" w14:textId="77777777" w:rsidTr="00035668">
        <w:tc>
          <w:tcPr>
            <w:tcW w:w="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30435E"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7</w:t>
            </w:r>
          </w:p>
        </w:tc>
        <w:tc>
          <w:tcPr>
            <w:tcW w:w="5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953A67" w14:textId="77777777" w:rsidR="00035668" w:rsidRPr="00035668" w:rsidRDefault="00035668" w:rsidP="00035668">
            <w:pPr>
              <w:spacing w:before="240" w:after="240"/>
              <w:rPr>
                <w:rFonts w:eastAsia="Times New Roman" w:cs="Arial"/>
                <w:szCs w:val="22"/>
                <w:lang w:eastAsia="en-GB"/>
              </w:rPr>
            </w:pPr>
            <w:r w:rsidRPr="00035668">
              <w:rPr>
                <w:rFonts w:eastAsia="Times New Roman" w:cs="Arial"/>
                <w:color w:val="000000"/>
                <w:szCs w:val="22"/>
                <w:shd w:val="clear" w:color="auto" w:fill="FFFFFF"/>
                <w:lang w:eastAsia="en-GB"/>
              </w:rPr>
              <w:t>Data Design document: other data structures </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EE3F4F"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Within 4 months of contract award</w:t>
            </w:r>
          </w:p>
        </w:tc>
        <w:tc>
          <w:tcPr>
            <w:tcW w:w="10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FFBB7B"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D</w:t>
            </w:r>
          </w:p>
        </w:tc>
      </w:tr>
      <w:tr w:rsidR="00152D63" w:rsidRPr="00035668" w14:paraId="6FDB0575" w14:textId="77777777" w:rsidTr="00152D63">
        <w:tc>
          <w:tcPr>
            <w:tcW w:w="9009" w:type="dxa"/>
            <w:gridSpan w:val="4"/>
            <w:tcBorders>
              <w:top w:val="single" w:sz="8" w:space="0" w:color="000000"/>
              <w:left w:val="single" w:sz="8" w:space="0" w:color="000000"/>
              <w:bottom w:val="single" w:sz="8" w:space="0" w:color="000000"/>
              <w:right w:val="single" w:sz="8" w:space="0" w:color="000000"/>
            </w:tcBorders>
            <w:shd w:val="clear" w:color="auto" w:fill="B8CCE4" w:themeFill="accent1" w:themeFillTint="66"/>
            <w:tcMar>
              <w:top w:w="100" w:type="dxa"/>
              <w:left w:w="100" w:type="dxa"/>
              <w:bottom w:w="100" w:type="dxa"/>
              <w:right w:w="100" w:type="dxa"/>
            </w:tcMar>
          </w:tcPr>
          <w:p w14:paraId="291398D6" w14:textId="4099CC04" w:rsidR="00152D63" w:rsidRPr="00035668" w:rsidRDefault="00152D63" w:rsidP="00E376AE">
            <w:pPr>
              <w:rPr>
                <w:rFonts w:eastAsia="Times New Roman" w:cs="Arial"/>
                <w:color w:val="000000"/>
                <w:szCs w:val="22"/>
                <w:lang w:eastAsia="en-GB"/>
              </w:rPr>
            </w:pPr>
            <w:r>
              <w:rPr>
                <w:rFonts w:eastAsia="Times New Roman" w:cs="Arial"/>
                <w:color w:val="000000"/>
                <w:szCs w:val="22"/>
                <w:lang w:eastAsia="en-GB"/>
              </w:rPr>
              <w:t xml:space="preserve">Gateway Review </w:t>
            </w:r>
            <w:r w:rsidR="00E376AE">
              <w:rPr>
                <w:rFonts w:eastAsia="Times New Roman" w:cs="Arial"/>
                <w:color w:val="000000"/>
                <w:szCs w:val="22"/>
                <w:lang w:eastAsia="en-GB"/>
              </w:rPr>
              <w:t>B</w:t>
            </w:r>
            <w:r>
              <w:rPr>
                <w:rFonts w:eastAsia="Times New Roman" w:cs="Arial"/>
                <w:color w:val="000000"/>
                <w:szCs w:val="22"/>
                <w:lang w:eastAsia="en-GB"/>
              </w:rPr>
              <w:t xml:space="preserve"> – Within 6 months of contract award</w:t>
            </w:r>
          </w:p>
        </w:tc>
      </w:tr>
      <w:tr w:rsidR="00035668" w:rsidRPr="00035668" w14:paraId="73A5447F" w14:textId="0F44A6C2" w:rsidTr="00035668">
        <w:tc>
          <w:tcPr>
            <w:tcW w:w="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2FDE5C" w14:textId="2DBFA021"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B1</w:t>
            </w:r>
          </w:p>
        </w:tc>
        <w:tc>
          <w:tcPr>
            <w:tcW w:w="5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724FC8" w14:textId="58E3F8AF" w:rsidR="00035668" w:rsidRPr="00035668" w:rsidRDefault="00035668" w:rsidP="00DD6EFD">
            <w:pPr>
              <w:spacing w:before="240" w:after="40"/>
              <w:outlineLvl w:val="3"/>
              <w:rPr>
                <w:rFonts w:eastAsia="Times New Roman" w:cs="Arial"/>
                <w:b/>
                <w:bCs/>
                <w:szCs w:val="22"/>
                <w:lang w:eastAsia="en-GB"/>
              </w:rPr>
            </w:pPr>
            <w:r w:rsidRPr="00035668">
              <w:rPr>
                <w:rFonts w:eastAsia="Times New Roman" w:cs="Arial"/>
                <w:color w:val="000000"/>
                <w:szCs w:val="22"/>
                <w:lang w:eastAsia="en-GB"/>
              </w:rPr>
              <w:t xml:space="preserve">60% of Asset Owners in Group 1, 40% of Asset Owners in Group 2, 30% of Asset Owners in Group 3 have signed </w:t>
            </w:r>
            <w:r w:rsidR="000B3192">
              <w:rPr>
                <w:rFonts w:eastAsia="Times New Roman" w:cs="Arial"/>
                <w:color w:val="000000"/>
                <w:szCs w:val="22"/>
                <w:lang w:eastAsia="en-GB"/>
              </w:rPr>
              <w:t xml:space="preserve">the </w:t>
            </w:r>
            <w:r w:rsidR="00DD6EFD">
              <w:rPr>
                <w:rFonts w:eastAsia="Times New Roman" w:cs="Arial"/>
                <w:color w:val="000000"/>
                <w:szCs w:val="22"/>
                <w:lang w:eastAsia="en-GB"/>
              </w:rPr>
              <w:t>Data Exploration Agreements</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6B75C3" w14:textId="41636D71"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Within 6 months of contract award</w:t>
            </w:r>
          </w:p>
        </w:tc>
        <w:tc>
          <w:tcPr>
            <w:tcW w:w="10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CD438E" w14:textId="495DA2B9" w:rsidR="00035668" w:rsidRPr="00035668" w:rsidRDefault="00DD6EFD" w:rsidP="00035668">
            <w:pPr>
              <w:rPr>
                <w:rFonts w:eastAsia="Times New Roman" w:cs="Arial"/>
                <w:szCs w:val="22"/>
                <w:lang w:eastAsia="en-GB"/>
              </w:rPr>
            </w:pPr>
            <w:r>
              <w:rPr>
                <w:rFonts w:eastAsia="Times New Roman" w:cs="Arial"/>
                <w:color w:val="000000"/>
                <w:szCs w:val="22"/>
                <w:lang w:eastAsia="en-GB"/>
              </w:rPr>
              <w:t>AOE</w:t>
            </w:r>
          </w:p>
        </w:tc>
      </w:tr>
      <w:tr w:rsidR="000E551C" w:rsidRPr="00035668" w14:paraId="7285274D" w14:textId="77777777" w:rsidTr="00035668">
        <w:tc>
          <w:tcPr>
            <w:tcW w:w="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73D34F" w14:textId="090D246E" w:rsidR="000E551C" w:rsidRDefault="000E551C" w:rsidP="00035668">
            <w:pPr>
              <w:rPr>
                <w:rFonts w:eastAsia="Times New Roman" w:cs="Arial"/>
                <w:color w:val="000000"/>
                <w:szCs w:val="22"/>
                <w:lang w:eastAsia="en-GB"/>
              </w:rPr>
            </w:pPr>
          </w:p>
          <w:p w14:paraId="583B362C" w14:textId="0091C869" w:rsidR="000E551C" w:rsidRPr="00DD6EFD" w:rsidRDefault="00DD6EFD" w:rsidP="000E551C">
            <w:pPr>
              <w:rPr>
                <w:rFonts w:eastAsia="Times New Roman" w:cs="Arial"/>
                <w:szCs w:val="22"/>
                <w:lang w:eastAsia="en-GB"/>
              </w:rPr>
            </w:pPr>
            <w:r>
              <w:rPr>
                <w:rFonts w:eastAsia="Times New Roman" w:cs="Arial"/>
                <w:szCs w:val="22"/>
                <w:lang w:eastAsia="en-GB"/>
              </w:rPr>
              <w:t>B2</w:t>
            </w:r>
          </w:p>
        </w:tc>
        <w:tc>
          <w:tcPr>
            <w:tcW w:w="5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7E421B" w14:textId="4CC5F9B5" w:rsidR="000E551C" w:rsidRPr="00035668" w:rsidRDefault="00F029E6" w:rsidP="00F029E6">
            <w:pPr>
              <w:spacing w:before="240" w:after="240"/>
              <w:rPr>
                <w:rFonts w:eastAsia="Times New Roman" w:cs="Arial"/>
                <w:color w:val="000000"/>
                <w:szCs w:val="22"/>
                <w:shd w:val="clear" w:color="auto" w:fill="FFFFFF"/>
                <w:lang w:eastAsia="en-GB"/>
              </w:rPr>
            </w:pPr>
            <w:r>
              <w:rPr>
                <w:rFonts w:eastAsia="Times New Roman" w:cs="Arial"/>
                <w:color w:val="000000"/>
                <w:szCs w:val="22"/>
                <w:lang w:eastAsia="en-GB"/>
              </w:rPr>
              <w:t>Interim Engagement</w:t>
            </w:r>
            <w:r w:rsidRPr="00035668">
              <w:rPr>
                <w:rFonts w:eastAsia="Times New Roman" w:cs="Arial"/>
                <w:color w:val="000000"/>
                <w:szCs w:val="22"/>
                <w:lang w:eastAsia="en-GB"/>
              </w:rPr>
              <w:t xml:space="preserve"> strategy for National Rollout - lessons from MVP </w:t>
            </w:r>
            <w:r>
              <w:rPr>
                <w:rFonts w:eastAsia="Times New Roman" w:cs="Arial"/>
                <w:color w:val="000000"/>
                <w:szCs w:val="22"/>
                <w:lang w:eastAsia="en-GB"/>
              </w:rPr>
              <w:t>engagement to date</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BAFFCB" w14:textId="4579E2FB" w:rsidR="000E551C" w:rsidRPr="00035668" w:rsidRDefault="000E551C" w:rsidP="00035668">
            <w:pPr>
              <w:rPr>
                <w:rFonts w:eastAsia="Times New Roman" w:cs="Arial"/>
                <w:color w:val="000000"/>
                <w:szCs w:val="22"/>
                <w:lang w:eastAsia="en-GB"/>
              </w:rPr>
            </w:pPr>
            <w:r w:rsidRPr="00035668">
              <w:rPr>
                <w:rFonts w:eastAsia="Times New Roman" w:cs="Arial"/>
                <w:color w:val="000000"/>
                <w:szCs w:val="22"/>
                <w:lang w:eastAsia="en-GB"/>
              </w:rPr>
              <w:t>Within 6 months of contract award</w:t>
            </w:r>
          </w:p>
        </w:tc>
        <w:tc>
          <w:tcPr>
            <w:tcW w:w="10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F3DD7F" w14:textId="52AF76C1" w:rsidR="000E551C" w:rsidRPr="00035668" w:rsidRDefault="000E551C" w:rsidP="00035668">
            <w:pPr>
              <w:rPr>
                <w:rFonts w:eastAsia="Times New Roman" w:cs="Arial"/>
                <w:color w:val="000000"/>
                <w:szCs w:val="22"/>
                <w:lang w:eastAsia="en-GB"/>
              </w:rPr>
            </w:pPr>
            <w:r>
              <w:rPr>
                <w:rFonts w:eastAsia="Times New Roman" w:cs="Arial"/>
                <w:color w:val="000000"/>
                <w:szCs w:val="22"/>
                <w:lang w:eastAsia="en-GB"/>
              </w:rPr>
              <w:t>AOE</w:t>
            </w:r>
          </w:p>
        </w:tc>
      </w:tr>
      <w:tr w:rsidR="00035668" w:rsidRPr="00035668" w14:paraId="2CEA0739" w14:textId="77777777" w:rsidTr="00035668">
        <w:tc>
          <w:tcPr>
            <w:tcW w:w="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41B8E5" w14:textId="1A93D9DD" w:rsidR="00035668" w:rsidRPr="00035668" w:rsidRDefault="00DD6EFD" w:rsidP="00035668">
            <w:pPr>
              <w:rPr>
                <w:rFonts w:eastAsia="Times New Roman" w:cs="Arial"/>
                <w:szCs w:val="22"/>
                <w:lang w:eastAsia="en-GB"/>
              </w:rPr>
            </w:pPr>
            <w:r>
              <w:rPr>
                <w:rFonts w:eastAsia="Times New Roman" w:cs="Arial"/>
                <w:color w:val="000000"/>
                <w:szCs w:val="22"/>
                <w:lang w:eastAsia="en-GB"/>
              </w:rPr>
              <w:lastRenderedPageBreak/>
              <w:t>B3</w:t>
            </w:r>
          </w:p>
        </w:tc>
        <w:tc>
          <w:tcPr>
            <w:tcW w:w="5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5EED4D" w14:textId="77777777" w:rsidR="00035668" w:rsidRPr="00035668" w:rsidRDefault="00035668" w:rsidP="00035668">
            <w:pPr>
              <w:spacing w:before="240" w:after="240"/>
              <w:rPr>
                <w:rFonts w:eastAsia="Times New Roman" w:cs="Arial"/>
                <w:szCs w:val="22"/>
                <w:lang w:eastAsia="en-GB"/>
              </w:rPr>
            </w:pPr>
            <w:r w:rsidRPr="00035668">
              <w:rPr>
                <w:rFonts w:eastAsia="Times New Roman" w:cs="Arial"/>
                <w:color w:val="000000"/>
                <w:szCs w:val="22"/>
                <w:shd w:val="clear" w:color="auto" w:fill="FFFFFF"/>
                <w:lang w:eastAsia="en-GB"/>
              </w:rPr>
              <w:t>End User training strategy and plan</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C28115"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Within 6 months of contract award</w:t>
            </w:r>
          </w:p>
        </w:tc>
        <w:tc>
          <w:tcPr>
            <w:tcW w:w="10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8BAFF3"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D</w:t>
            </w:r>
          </w:p>
        </w:tc>
      </w:tr>
      <w:tr w:rsidR="00035668" w:rsidRPr="00035668" w14:paraId="2A77903F" w14:textId="77777777" w:rsidTr="00035668">
        <w:tc>
          <w:tcPr>
            <w:tcW w:w="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23D89F" w14:textId="3D1A98D5" w:rsidR="00035668" w:rsidRPr="00035668" w:rsidRDefault="00DD6EFD" w:rsidP="00035668">
            <w:pPr>
              <w:rPr>
                <w:rFonts w:eastAsia="Times New Roman" w:cs="Arial"/>
                <w:szCs w:val="22"/>
                <w:lang w:eastAsia="en-GB"/>
              </w:rPr>
            </w:pPr>
            <w:r>
              <w:rPr>
                <w:rFonts w:eastAsia="Times New Roman" w:cs="Arial"/>
                <w:color w:val="000000"/>
                <w:szCs w:val="22"/>
                <w:lang w:eastAsia="en-GB"/>
              </w:rPr>
              <w:t>B4</w:t>
            </w:r>
          </w:p>
        </w:tc>
        <w:tc>
          <w:tcPr>
            <w:tcW w:w="5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3A071A" w14:textId="460E46E1" w:rsidR="00035668" w:rsidRPr="00035668" w:rsidRDefault="00035668" w:rsidP="00E20689">
            <w:pPr>
              <w:spacing w:before="240" w:after="40"/>
              <w:outlineLvl w:val="3"/>
              <w:rPr>
                <w:rFonts w:eastAsia="Times New Roman" w:cs="Arial"/>
                <w:b/>
                <w:bCs/>
                <w:szCs w:val="22"/>
                <w:lang w:eastAsia="en-GB"/>
              </w:rPr>
            </w:pPr>
            <w:r w:rsidRPr="00035668">
              <w:rPr>
                <w:rFonts w:eastAsia="Times New Roman" w:cs="Arial"/>
                <w:color w:val="000000"/>
                <w:szCs w:val="22"/>
                <w:lang w:eastAsia="en-GB"/>
              </w:rPr>
              <w:t xml:space="preserve">30% of Asset Owners in Group 1, 20% of Asset Owners in Group 2, have </w:t>
            </w:r>
            <w:r w:rsidR="00E20689">
              <w:rPr>
                <w:rFonts w:eastAsia="Times New Roman" w:cs="Arial"/>
                <w:color w:val="000000"/>
                <w:szCs w:val="22"/>
                <w:lang w:eastAsia="en-GB"/>
              </w:rPr>
              <w:t>agreed</w:t>
            </w:r>
            <w:r w:rsidR="00E20689" w:rsidRPr="00035668">
              <w:rPr>
                <w:rFonts w:eastAsia="Times New Roman" w:cs="Arial"/>
                <w:color w:val="000000"/>
                <w:szCs w:val="22"/>
                <w:lang w:eastAsia="en-GB"/>
              </w:rPr>
              <w:t xml:space="preserve"> </w:t>
            </w:r>
            <w:r w:rsidRPr="00035668">
              <w:rPr>
                <w:rFonts w:eastAsia="Times New Roman" w:cs="Arial"/>
                <w:color w:val="000000"/>
                <w:szCs w:val="22"/>
                <w:lang w:eastAsia="en-GB"/>
              </w:rPr>
              <w:t>the</w:t>
            </w:r>
            <w:r w:rsidR="002162D8">
              <w:rPr>
                <w:rFonts w:eastAsia="Times New Roman" w:cs="Arial"/>
                <w:color w:val="000000"/>
                <w:szCs w:val="22"/>
                <w:lang w:eastAsia="en-GB"/>
              </w:rPr>
              <w:t xml:space="preserve"> Data Ingestion Specification </w:t>
            </w:r>
            <w:r w:rsidRPr="00035668">
              <w:rPr>
                <w:rFonts w:eastAsia="Times New Roman" w:cs="Arial"/>
                <w:color w:val="000000"/>
                <w:szCs w:val="22"/>
                <w:lang w:eastAsia="en-GB"/>
              </w:rPr>
              <w:t xml:space="preserve">and have their data </w:t>
            </w:r>
            <w:r w:rsidR="00610F0E">
              <w:rPr>
                <w:rFonts w:eastAsia="Times New Roman" w:cs="Arial"/>
                <w:color w:val="000000"/>
                <w:szCs w:val="22"/>
                <w:lang w:eastAsia="en-GB"/>
              </w:rPr>
              <w:t>ready to be</w:t>
            </w:r>
            <w:r w:rsidR="00DD6EFD">
              <w:rPr>
                <w:rFonts w:eastAsia="Times New Roman" w:cs="Arial"/>
                <w:color w:val="000000"/>
                <w:szCs w:val="22"/>
                <w:lang w:eastAsia="en-GB"/>
              </w:rPr>
              <w:t xml:space="preserve"> </w:t>
            </w:r>
            <w:r w:rsidRPr="00035668">
              <w:rPr>
                <w:rFonts w:eastAsia="Times New Roman" w:cs="Arial"/>
                <w:color w:val="000000"/>
                <w:szCs w:val="22"/>
                <w:lang w:eastAsia="en-GB"/>
              </w:rPr>
              <w:t>exposed through the platform</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2F6B41"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Within 6 months of contract award</w:t>
            </w:r>
          </w:p>
        </w:tc>
        <w:tc>
          <w:tcPr>
            <w:tcW w:w="10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4AC516"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T</w:t>
            </w:r>
          </w:p>
        </w:tc>
      </w:tr>
      <w:tr w:rsidR="00035668" w:rsidRPr="00035668" w14:paraId="33FB6381" w14:textId="77777777" w:rsidTr="00035668">
        <w:tc>
          <w:tcPr>
            <w:tcW w:w="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E57DA7" w14:textId="6E361018" w:rsidR="00035668" w:rsidRPr="00035668" w:rsidRDefault="00DD6EFD" w:rsidP="00035668">
            <w:pPr>
              <w:rPr>
                <w:rFonts w:eastAsia="Times New Roman" w:cs="Arial"/>
                <w:szCs w:val="22"/>
                <w:lang w:eastAsia="en-GB"/>
              </w:rPr>
            </w:pPr>
            <w:r>
              <w:rPr>
                <w:rFonts w:eastAsia="Times New Roman" w:cs="Arial"/>
                <w:color w:val="000000"/>
                <w:szCs w:val="22"/>
                <w:lang w:eastAsia="en-GB"/>
              </w:rPr>
              <w:t>B5</w:t>
            </w:r>
          </w:p>
        </w:tc>
        <w:tc>
          <w:tcPr>
            <w:tcW w:w="5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12556C" w14:textId="77777777" w:rsidR="00035668" w:rsidRPr="00035668" w:rsidRDefault="00035668" w:rsidP="00035668">
            <w:pPr>
              <w:spacing w:before="240" w:after="240"/>
              <w:rPr>
                <w:rFonts w:eastAsia="Times New Roman" w:cs="Arial"/>
                <w:szCs w:val="22"/>
                <w:lang w:eastAsia="en-GB"/>
              </w:rPr>
            </w:pPr>
            <w:r w:rsidRPr="00035668">
              <w:rPr>
                <w:rFonts w:eastAsia="Times New Roman" w:cs="Arial"/>
                <w:color w:val="000000"/>
                <w:szCs w:val="22"/>
                <w:shd w:val="clear" w:color="auto" w:fill="FFFFFF"/>
                <w:lang w:eastAsia="en-GB"/>
              </w:rPr>
              <w:t>Data Transformation and Ingestion Subsystem Architecture Design </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63DD56"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Within 6 months of contract award</w:t>
            </w:r>
          </w:p>
        </w:tc>
        <w:tc>
          <w:tcPr>
            <w:tcW w:w="10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820B61"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D</w:t>
            </w:r>
          </w:p>
        </w:tc>
      </w:tr>
      <w:tr w:rsidR="00E376AE" w:rsidRPr="00035668" w14:paraId="7563033F" w14:textId="77777777" w:rsidTr="00E376AE">
        <w:tc>
          <w:tcPr>
            <w:tcW w:w="9009" w:type="dxa"/>
            <w:gridSpan w:val="4"/>
            <w:tcBorders>
              <w:top w:val="single" w:sz="8" w:space="0" w:color="000000"/>
              <w:left w:val="single" w:sz="8" w:space="0" w:color="000000"/>
              <w:bottom w:val="single" w:sz="8" w:space="0" w:color="000000"/>
              <w:right w:val="single" w:sz="8" w:space="0" w:color="000000"/>
            </w:tcBorders>
            <w:shd w:val="clear" w:color="auto" w:fill="B8CCE4" w:themeFill="accent1" w:themeFillTint="66"/>
            <w:tcMar>
              <w:top w:w="100" w:type="dxa"/>
              <w:left w:w="100" w:type="dxa"/>
              <w:bottom w:w="100" w:type="dxa"/>
              <w:right w:w="100" w:type="dxa"/>
            </w:tcMar>
          </w:tcPr>
          <w:p w14:paraId="3CD29320" w14:textId="0E829B25" w:rsidR="00E376AE" w:rsidRPr="00035668" w:rsidRDefault="00E376AE" w:rsidP="00035668">
            <w:pPr>
              <w:rPr>
                <w:rFonts w:eastAsia="Times New Roman" w:cs="Arial"/>
                <w:color w:val="000000"/>
                <w:szCs w:val="22"/>
                <w:lang w:eastAsia="en-GB"/>
              </w:rPr>
            </w:pPr>
            <w:r>
              <w:rPr>
                <w:rFonts w:eastAsia="Times New Roman" w:cs="Arial"/>
                <w:color w:val="000000"/>
                <w:szCs w:val="22"/>
                <w:lang w:eastAsia="en-GB"/>
              </w:rPr>
              <w:t>Gateway Review C – Within 9 months of contract award</w:t>
            </w:r>
          </w:p>
        </w:tc>
      </w:tr>
      <w:tr w:rsidR="00035668" w:rsidRPr="00035668" w14:paraId="145E3888" w14:textId="77777777" w:rsidTr="00035668">
        <w:tc>
          <w:tcPr>
            <w:tcW w:w="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DBB9D8"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C1</w:t>
            </w:r>
          </w:p>
        </w:tc>
        <w:tc>
          <w:tcPr>
            <w:tcW w:w="5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75691C" w14:textId="77777777" w:rsidR="00035668" w:rsidRPr="00035668" w:rsidRDefault="00035668" w:rsidP="00035668">
            <w:pPr>
              <w:spacing w:before="240" w:after="40"/>
              <w:outlineLvl w:val="3"/>
              <w:rPr>
                <w:rFonts w:eastAsia="Times New Roman" w:cs="Arial"/>
                <w:b/>
                <w:bCs/>
                <w:szCs w:val="22"/>
                <w:lang w:eastAsia="en-GB"/>
              </w:rPr>
            </w:pPr>
            <w:r w:rsidRPr="00035668">
              <w:rPr>
                <w:rFonts w:eastAsia="Times New Roman" w:cs="Arial"/>
                <w:color w:val="000000"/>
                <w:szCs w:val="22"/>
                <w:lang w:eastAsia="en-GB"/>
              </w:rPr>
              <w:t>Platform assessed against the GDS Service Standards and ‘met’</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4E489D"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Within 9 months of contract award</w:t>
            </w:r>
          </w:p>
        </w:tc>
        <w:tc>
          <w:tcPr>
            <w:tcW w:w="10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498ACB"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D</w:t>
            </w:r>
          </w:p>
        </w:tc>
      </w:tr>
      <w:tr w:rsidR="00035668" w:rsidRPr="00035668" w14:paraId="4A87F519" w14:textId="0B4E5185" w:rsidTr="00035668">
        <w:tc>
          <w:tcPr>
            <w:tcW w:w="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AB8861" w14:textId="3F498D81"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C2</w:t>
            </w:r>
          </w:p>
        </w:tc>
        <w:tc>
          <w:tcPr>
            <w:tcW w:w="5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9BDC50" w14:textId="70B68F13" w:rsidR="00035668" w:rsidRPr="00035668" w:rsidRDefault="00035668" w:rsidP="00DD6EFD">
            <w:pPr>
              <w:spacing w:before="240" w:after="40"/>
              <w:outlineLvl w:val="3"/>
              <w:rPr>
                <w:rFonts w:eastAsia="Times New Roman" w:cs="Arial"/>
                <w:b/>
                <w:bCs/>
                <w:szCs w:val="22"/>
                <w:lang w:eastAsia="en-GB"/>
              </w:rPr>
            </w:pPr>
            <w:r w:rsidRPr="00035668">
              <w:rPr>
                <w:rFonts w:eastAsia="Times New Roman" w:cs="Arial"/>
                <w:color w:val="000000"/>
                <w:szCs w:val="22"/>
                <w:lang w:eastAsia="en-GB"/>
              </w:rPr>
              <w:t xml:space="preserve">99% of Asset Owners in Group 1, 80% of Asset Owners in Group 2, 60% of Asset Owners in Group 3 have signed </w:t>
            </w:r>
            <w:r w:rsidR="000B3192">
              <w:rPr>
                <w:rFonts w:eastAsia="Times New Roman" w:cs="Arial"/>
                <w:color w:val="000000"/>
                <w:szCs w:val="22"/>
                <w:lang w:eastAsia="en-GB"/>
              </w:rPr>
              <w:t xml:space="preserve">the </w:t>
            </w:r>
            <w:r w:rsidR="00DD6EFD">
              <w:rPr>
                <w:rFonts w:eastAsia="Times New Roman" w:cs="Arial"/>
                <w:color w:val="000000"/>
                <w:szCs w:val="22"/>
                <w:lang w:eastAsia="en-GB"/>
              </w:rPr>
              <w:t>Data Exploration Agreements</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5FB244" w14:textId="7C4479AF"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Within 9 months of contract award</w:t>
            </w:r>
          </w:p>
        </w:tc>
        <w:tc>
          <w:tcPr>
            <w:tcW w:w="10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324B84" w14:textId="3DF625FA" w:rsidR="00035668" w:rsidRPr="00035668" w:rsidRDefault="00DD6EFD" w:rsidP="00035668">
            <w:pPr>
              <w:rPr>
                <w:rFonts w:eastAsia="Times New Roman" w:cs="Arial"/>
                <w:szCs w:val="22"/>
                <w:lang w:eastAsia="en-GB"/>
              </w:rPr>
            </w:pPr>
            <w:r>
              <w:rPr>
                <w:rFonts w:eastAsia="Times New Roman" w:cs="Arial"/>
                <w:color w:val="000000"/>
                <w:szCs w:val="22"/>
                <w:lang w:eastAsia="en-GB"/>
              </w:rPr>
              <w:t>AOE</w:t>
            </w:r>
          </w:p>
        </w:tc>
      </w:tr>
      <w:tr w:rsidR="00035668" w:rsidRPr="00035668" w14:paraId="322B55EE" w14:textId="77777777" w:rsidTr="00035668">
        <w:tc>
          <w:tcPr>
            <w:tcW w:w="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D29A5F" w14:textId="647C24F0"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C3</w:t>
            </w:r>
          </w:p>
        </w:tc>
        <w:tc>
          <w:tcPr>
            <w:tcW w:w="5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7903A2" w14:textId="6CE23DC4" w:rsidR="00035668" w:rsidRPr="00035668" w:rsidRDefault="00035668" w:rsidP="00E20689">
            <w:pPr>
              <w:spacing w:before="240" w:after="40"/>
              <w:outlineLvl w:val="3"/>
              <w:rPr>
                <w:rFonts w:eastAsia="Times New Roman" w:cs="Arial"/>
                <w:b/>
                <w:bCs/>
                <w:szCs w:val="22"/>
                <w:lang w:eastAsia="en-GB"/>
              </w:rPr>
            </w:pPr>
            <w:r w:rsidRPr="00035668">
              <w:rPr>
                <w:rFonts w:eastAsia="Times New Roman" w:cs="Arial"/>
                <w:color w:val="000000"/>
                <w:szCs w:val="22"/>
                <w:lang w:eastAsia="en-GB"/>
              </w:rPr>
              <w:t xml:space="preserve">60% of Asset Owners in Group 1, 40% of Asset Owners in Group 2, 30% of Asset Owners in Group 3 have </w:t>
            </w:r>
            <w:r w:rsidR="00E20689">
              <w:rPr>
                <w:rFonts w:eastAsia="Times New Roman" w:cs="Arial"/>
                <w:color w:val="000000"/>
                <w:szCs w:val="22"/>
                <w:lang w:eastAsia="en-GB"/>
              </w:rPr>
              <w:t xml:space="preserve">agreed </w:t>
            </w:r>
            <w:r w:rsidRPr="00035668">
              <w:rPr>
                <w:rFonts w:eastAsia="Times New Roman" w:cs="Arial"/>
                <w:color w:val="000000"/>
                <w:szCs w:val="22"/>
                <w:lang w:eastAsia="en-GB"/>
              </w:rPr>
              <w:t xml:space="preserve">the </w:t>
            </w:r>
            <w:r w:rsidR="009D0E6F">
              <w:rPr>
                <w:rFonts w:eastAsia="Times New Roman" w:cs="Arial"/>
                <w:color w:val="000000"/>
                <w:szCs w:val="22"/>
                <w:lang w:eastAsia="en-GB"/>
              </w:rPr>
              <w:t xml:space="preserve">Data Ingestion Specification </w:t>
            </w:r>
            <w:r w:rsidRPr="00035668">
              <w:rPr>
                <w:rFonts w:eastAsia="Times New Roman" w:cs="Arial"/>
                <w:color w:val="000000"/>
                <w:szCs w:val="22"/>
                <w:lang w:eastAsia="en-GB"/>
              </w:rPr>
              <w:t xml:space="preserve">and have their data </w:t>
            </w:r>
            <w:r w:rsidR="00610F0E">
              <w:rPr>
                <w:rFonts w:eastAsia="Times New Roman" w:cs="Arial"/>
                <w:color w:val="000000"/>
                <w:szCs w:val="22"/>
                <w:lang w:eastAsia="en-GB"/>
              </w:rPr>
              <w:t xml:space="preserve">ready to be </w:t>
            </w:r>
            <w:r w:rsidRPr="00035668">
              <w:rPr>
                <w:rFonts w:eastAsia="Times New Roman" w:cs="Arial"/>
                <w:color w:val="000000"/>
                <w:szCs w:val="22"/>
                <w:lang w:eastAsia="en-GB"/>
              </w:rPr>
              <w:t>exposed through the platform</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8D1E84"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Within 9 months of contract award</w:t>
            </w:r>
          </w:p>
        </w:tc>
        <w:tc>
          <w:tcPr>
            <w:tcW w:w="10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76F896"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T</w:t>
            </w:r>
          </w:p>
        </w:tc>
      </w:tr>
      <w:tr w:rsidR="00FB52C4" w:rsidRPr="00035668" w14:paraId="41CA27E2" w14:textId="77777777" w:rsidTr="00FB52C4">
        <w:tc>
          <w:tcPr>
            <w:tcW w:w="9009" w:type="dxa"/>
            <w:gridSpan w:val="4"/>
            <w:tcBorders>
              <w:top w:val="single" w:sz="8" w:space="0" w:color="000000"/>
              <w:left w:val="single" w:sz="8" w:space="0" w:color="000000"/>
              <w:bottom w:val="single" w:sz="8" w:space="0" w:color="000000"/>
              <w:right w:val="single" w:sz="8" w:space="0" w:color="000000"/>
            </w:tcBorders>
            <w:shd w:val="clear" w:color="auto" w:fill="B8CCE4" w:themeFill="accent1" w:themeFillTint="66"/>
            <w:tcMar>
              <w:top w:w="100" w:type="dxa"/>
              <w:left w:w="100" w:type="dxa"/>
              <w:bottom w:w="100" w:type="dxa"/>
              <w:right w:w="100" w:type="dxa"/>
            </w:tcMar>
          </w:tcPr>
          <w:p w14:paraId="229B7AFE" w14:textId="04B41B7B" w:rsidR="00FB52C4" w:rsidRPr="00035668" w:rsidRDefault="00FB52C4" w:rsidP="00FB52C4">
            <w:pPr>
              <w:rPr>
                <w:rFonts w:eastAsia="Times New Roman" w:cs="Arial"/>
                <w:color w:val="000000"/>
                <w:szCs w:val="22"/>
                <w:lang w:eastAsia="en-GB"/>
              </w:rPr>
            </w:pPr>
            <w:r>
              <w:rPr>
                <w:rFonts w:eastAsia="Times New Roman" w:cs="Arial"/>
                <w:color w:val="000000"/>
                <w:szCs w:val="22"/>
                <w:lang w:eastAsia="en-GB"/>
              </w:rPr>
              <w:t>Gateway Review D – Within 12 months of contract award</w:t>
            </w:r>
          </w:p>
        </w:tc>
      </w:tr>
      <w:tr w:rsidR="00035668" w:rsidRPr="00035668" w14:paraId="256F0FB4" w14:textId="77777777" w:rsidTr="00035668">
        <w:tc>
          <w:tcPr>
            <w:tcW w:w="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9614A3"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D1</w:t>
            </w:r>
          </w:p>
        </w:tc>
        <w:tc>
          <w:tcPr>
            <w:tcW w:w="5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A267D6"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National call for participation to the National Rollout</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76668A"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Within 12 months of contract award</w:t>
            </w:r>
          </w:p>
        </w:tc>
        <w:tc>
          <w:tcPr>
            <w:tcW w:w="10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6BA392" w14:textId="2DDD1C92"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All work</w:t>
            </w:r>
            <w:r>
              <w:rPr>
                <w:rFonts w:eastAsia="Times New Roman" w:cs="Arial"/>
                <w:color w:val="000000"/>
                <w:szCs w:val="22"/>
                <w:lang w:eastAsia="en-GB"/>
              </w:rPr>
              <w:t xml:space="preserve"> </w:t>
            </w:r>
            <w:r w:rsidRPr="00035668">
              <w:rPr>
                <w:rFonts w:eastAsia="Times New Roman" w:cs="Arial"/>
                <w:color w:val="000000"/>
                <w:szCs w:val="22"/>
                <w:lang w:eastAsia="en-GB"/>
              </w:rPr>
              <w:t>streams</w:t>
            </w:r>
          </w:p>
        </w:tc>
      </w:tr>
      <w:tr w:rsidR="00035668" w:rsidRPr="00035668" w14:paraId="7F03E17C" w14:textId="77777777" w:rsidTr="00035668">
        <w:tc>
          <w:tcPr>
            <w:tcW w:w="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BA2304"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D2</w:t>
            </w:r>
          </w:p>
        </w:tc>
        <w:tc>
          <w:tcPr>
            <w:tcW w:w="5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DE13E3" w14:textId="399F4D9A" w:rsidR="00035668" w:rsidRPr="00035668" w:rsidRDefault="00F029E6" w:rsidP="00F029E6">
            <w:pPr>
              <w:spacing w:before="240" w:after="240"/>
              <w:outlineLvl w:val="3"/>
              <w:rPr>
                <w:rFonts w:eastAsia="Times New Roman" w:cs="Arial"/>
                <w:b/>
                <w:bCs/>
                <w:szCs w:val="22"/>
                <w:lang w:eastAsia="en-GB"/>
              </w:rPr>
            </w:pPr>
            <w:r>
              <w:rPr>
                <w:rFonts w:eastAsia="Times New Roman" w:cs="Arial"/>
                <w:color w:val="000000"/>
                <w:szCs w:val="22"/>
                <w:lang w:eastAsia="en-GB"/>
              </w:rPr>
              <w:t>Engagement</w:t>
            </w:r>
            <w:r w:rsidRPr="00035668">
              <w:rPr>
                <w:rFonts w:eastAsia="Times New Roman" w:cs="Arial"/>
                <w:color w:val="000000"/>
                <w:szCs w:val="22"/>
                <w:lang w:eastAsia="en-GB"/>
              </w:rPr>
              <w:t xml:space="preserve"> </w:t>
            </w:r>
            <w:r w:rsidR="00035668" w:rsidRPr="00035668">
              <w:rPr>
                <w:rFonts w:eastAsia="Times New Roman" w:cs="Arial"/>
                <w:color w:val="000000"/>
                <w:szCs w:val="22"/>
                <w:lang w:eastAsia="en-GB"/>
              </w:rPr>
              <w:t xml:space="preserve">strategy for National Rollout - lessons from MVP </w:t>
            </w:r>
            <w:r>
              <w:rPr>
                <w:rFonts w:eastAsia="Times New Roman" w:cs="Arial"/>
                <w:color w:val="000000"/>
                <w:szCs w:val="22"/>
                <w:lang w:eastAsia="en-GB"/>
              </w:rPr>
              <w:t>engagement</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ADD796"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Within 12 months of contract award</w:t>
            </w:r>
          </w:p>
        </w:tc>
        <w:tc>
          <w:tcPr>
            <w:tcW w:w="10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40DA50" w14:textId="4146C60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All work</w:t>
            </w:r>
            <w:r>
              <w:rPr>
                <w:rFonts w:eastAsia="Times New Roman" w:cs="Arial"/>
                <w:color w:val="000000"/>
                <w:szCs w:val="22"/>
                <w:lang w:eastAsia="en-GB"/>
              </w:rPr>
              <w:t xml:space="preserve"> </w:t>
            </w:r>
            <w:r w:rsidRPr="00035668">
              <w:rPr>
                <w:rFonts w:eastAsia="Times New Roman" w:cs="Arial"/>
                <w:color w:val="000000"/>
                <w:szCs w:val="22"/>
                <w:lang w:eastAsia="en-GB"/>
              </w:rPr>
              <w:t>streams</w:t>
            </w:r>
          </w:p>
        </w:tc>
      </w:tr>
      <w:tr w:rsidR="00035668" w:rsidRPr="00035668" w14:paraId="29D3C590" w14:textId="77777777" w:rsidTr="00035668">
        <w:tc>
          <w:tcPr>
            <w:tcW w:w="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EE5B9D"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D3</w:t>
            </w:r>
          </w:p>
        </w:tc>
        <w:tc>
          <w:tcPr>
            <w:tcW w:w="5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3D82C2" w14:textId="77777777" w:rsidR="00035668" w:rsidRPr="00035668" w:rsidRDefault="00035668" w:rsidP="00035668">
            <w:pPr>
              <w:spacing w:before="240" w:after="40"/>
              <w:outlineLvl w:val="3"/>
              <w:rPr>
                <w:rFonts w:eastAsia="Times New Roman" w:cs="Arial"/>
                <w:b/>
                <w:bCs/>
                <w:szCs w:val="22"/>
                <w:lang w:eastAsia="en-GB"/>
              </w:rPr>
            </w:pPr>
            <w:r w:rsidRPr="00035668">
              <w:rPr>
                <w:rFonts w:eastAsia="Times New Roman" w:cs="Arial"/>
                <w:color w:val="000000"/>
                <w:szCs w:val="22"/>
                <w:lang w:eastAsia="en-GB"/>
              </w:rPr>
              <w:t>First API is connected to NUAR and providing an “on-demand” data feed</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CE1575"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Within 12 months of contract award</w:t>
            </w:r>
          </w:p>
        </w:tc>
        <w:tc>
          <w:tcPr>
            <w:tcW w:w="10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865E12"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T</w:t>
            </w:r>
          </w:p>
        </w:tc>
      </w:tr>
      <w:tr w:rsidR="00035668" w:rsidRPr="00035668" w14:paraId="6586AAAD" w14:textId="4B9239DC" w:rsidTr="00035668">
        <w:tc>
          <w:tcPr>
            <w:tcW w:w="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4EE3CE" w14:textId="64957F10"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D4</w:t>
            </w:r>
          </w:p>
        </w:tc>
        <w:tc>
          <w:tcPr>
            <w:tcW w:w="5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861C0B" w14:textId="0360D3BC" w:rsidR="00035668" w:rsidRPr="00035668" w:rsidRDefault="00035668" w:rsidP="00035668">
            <w:pPr>
              <w:spacing w:before="240" w:after="40"/>
              <w:rPr>
                <w:rFonts w:eastAsia="Times New Roman" w:cs="Arial"/>
                <w:szCs w:val="22"/>
                <w:lang w:eastAsia="en-GB"/>
              </w:rPr>
            </w:pPr>
            <w:r w:rsidRPr="00035668">
              <w:rPr>
                <w:rFonts w:eastAsia="Times New Roman" w:cs="Arial"/>
                <w:color w:val="000000"/>
                <w:szCs w:val="22"/>
                <w:lang w:eastAsia="en-GB"/>
              </w:rPr>
              <w:t xml:space="preserve">99% of Asset Owners in Group 1, 2 and 3 have signed the </w:t>
            </w:r>
            <w:r w:rsidR="00DD6EFD">
              <w:rPr>
                <w:rFonts w:eastAsia="Times New Roman" w:cs="Arial"/>
                <w:color w:val="000000"/>
                <w:szCs w:val="22"/>
                <w:lang w:eastAsia="en-GB"/>
              </w:rPr>
              <w:t>Data Exploration Agreements</w:t>
            </w:r>
          </w:p>
          <w:p w14:paraId="68EEB367" w14:textId="520C137F"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The list of Asset Owners in Group 4 is finalised</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65555B" w14:textId="33CE8F12"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Within 12 months of contract award</w:t>
            </w:r>
          </w:p>
        </w:tc>
        <w:tc>
          <w:tcPr>
            <w:tcW w:w="10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936B42" w14:textId="3B9833A6" w:rsidR="00035668" w:rsidRPr="00035668" w:rsidRDefault="00DD6EFD" w:rsidP="00035668">
            <w:pPr>
              <w:rPr>
                <w:rFonts w:eastAsia="Times New Roman" w:cs="Arial"/>
                <w:szCs w:val="22"/>
                <w:lang w:eastAsia="en-GB"/>
              </w:rPr>
            </w:pPr>
            <w:r>
              <w:rPr>
                <w:rFonts w:eastAsia="Times New Roman" w:cs="Arial"/>
                <w:color w:val="000000"/>
                <w:szCs w:val="22"/>
                <w:lang w:eastAsia="en-GB"/>
              </w:rPr>
              <w:t>AOE</w:t>
            </w:r>
          </w:p>
        </w:tc>
      </w:tr>
      <w:tr w:rsidR="00035668" w:rsidRPr="00035668" w14:paraId="728EA5A2" w14:textId="77777777" w:rsidTr="00035668">
        <w:tc>
          <w:tcPr>
            <w:tcW w:w="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4E97AB" w14:textId="0B9CA964"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lastRenderedPageBreak/>
              <w:t>D5</w:t>
            </w:r>
          </w:p>
        </w:tc>
        <w:tc>
          <w:tcPr>
            <w:tcW w:w="5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1D7FBF" w14:textId="7505061E" w:rsidR="00035668" w:rsidRPr="00035668" w:rsidRDefault="00035668" w:rsidP="00E20689">
            <w:pPr>
              <w:spacing w:before="240" w:after="40"/>
              <w:outlineLvl w:val="3"/>
              <w:rPr>
                <w:rFonts w:eastAsia="Times New Roman" w:cs="Arial"/>
                <w:b/>
                <w:bCs/>
                <w:szCs w:val="22"/>
                <w:lang w:eastAsia="en-GB"/>
              </w:rPr>
            </w:pPr>
            <w:r w:rsidRPr="00035668">
              <w:rPr>
                <w:rFonts w:eastAsia="Times New Roman" w:cs="Arial"/>
                <w:color w:val="000000"/>
                <w:szCs w:val="22"/>
                <w:lang w:eastAsia="en-GB"/>
              </w:rPr>
              <w:t xml:space="preserve">99% of Asset Owners in Group 1, 80% of Asset Owners in Group 2, 60% of Asset Owners in Group 3 have </w:t>
            </w:r>
            <w:r w:rsidR="00E20689">
              <w:rPr>
                <w:rFonts w:eastAsia="Times New Roman" w:cs="Arial"/>
                <w:color w:val="000000"/>
                <w:szCs w:val="22"/>
                <w:lang w:eastAsia="en-GB"/>
              </w:rPr>
              <w:t>agreed</w:t>
            </w:r>
            <w:r w:rsidRPr="00035668">
              <w:rPr>
                <w:rFonts w:eastAsia="Times New Roman" w:cs="Arial"/>
                <w:color w:val="000000"/>
                <w:szCs w:val="22"/>
                <w:lang w:eastAsia="en-GB"/>
              </w:rPr>
              <w:t xml:space="preserve"> the</w:t>
            </w:r>
            <w:r w:rsidR="009D0E6F">
              <w:rPr>
                <w:rFonts w:eastAsia="Times New Roman" w:cs="Arial"/>
                <w:color w:val="000000"/>
                <w:szCs w:val="22"/>
                <w:lang w:eastAsia="en-GB"/>
              </w:rPr>
              <w:t xml:space="preserve"> Data Ingestion Specification </w:t>
            </w:r>
            <w:r w:rsidRPr="00035668">
              <w:rPr>
                <w:rFonts w:eastAsia="Times New Roman" w:cs="Arial"/>
                <w:color w:val="000000"/>
                <w:szCs w:val="22"/>
                <w:lang w:eastAsia="en-GB"/>
              </w:rPr>
              <w:t xml:space="preserve">and have their data </w:t>
            </w:r>
            <w:r w:rsidR="00610F0E">
              <w:rPr>
                <w:rFonts w:eastAsia="Times New Roman" w:cs="Arial"/>
                <w:color w:val="000000"/>
                <w:szCs w:val="22"/>
                <w:lang w:eastAsia="en-GB"/>
              </w:rPr>
              <w:t xml:space="preserve">ready to be </w:t>
            </w:r>
            <w:r w:rsidRPr="00035668">
              <w:rPr>
                <w:rFonts w:eastAsia="Times New Roman" w:cs="Arial"/>
                <w:color w:val="000000"/>
                <w:szCs w:val="22"/>
                <w:lang w:eastAsia="en-GB"/>
              </w:rPr>
              <w:t>exposed through the platform</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BA8957"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Within 12 months of contract award</w:t>
            </w:r>
          </w:p>
        </w:tc>
        <w:tc>
          <w:tcPr>
            <w:tcW w:w="10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A5CBF8"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T</w:t>
            </w:r>
          </w:p>
        </w:tc>
      </w:tr>
      <w:tr w:rsidR="00035668" w:rsidRPr="00035668" w14:paraId="1E437C6F" w14:textId="77777777" w:rsidTr="00035668">
        <w:tc>
          <w:tcPr>
            <w:tcW w:w="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752F0F" w14:textId="5BB21ED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D6</w:t>
            </w:r>
          </w:p>
        </w:tc>
        <w:tc>
          <w:tcPr>
            <w:tcW w:w="5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9B525A" w14:textId="77777777" w:rsidR="00035668" w:rsidRPr="00035668" w:rsidRDefault="00035668" w:rsidP="00035668">
            <w:pPr>
              <w:spacing w:before="240" w:after="240"/>
              <w:rPr>
                <w:rFonts w:eastAsia="Times New Roman" w:cs="Arial"/>
                <w:szCs w:val="22"/>
                <w:lang w:eastAsia="en-GB"/>
              </w:rPr>
            </w:pPr>
            <w:r w:rsidRPr="00035668">
              <w:rPr>
                <w:rFonts w:eastAsia="Times New Roman" w:cs="Arial"/>
                <w:color w:val="000000"/>
                <w:szCs w:val="22"/>
                <w:lang w:eastAsia="en-GB"/>
              </w:rPr>
              <w:t>System Architecture Design document - Major review and revision for regional rollout</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B322DB"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Within 12 months of contract award</w:t>
            </w:r>
          </w:p>
        </w:tc>
        <w:tc>
          <w:tcPr>
            <w:tcW w:w="10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3C1020"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D</w:t>
            </w:r>
          </w:p>
        </w:tc>
      </w:tr>
      <w:tr w:rsidR="00035668" w:rsidRPr="00035668" w14:paraId="6F7D691F" w14:textId="77777777" w:rsidTr="00035668">
        <w:tc>
          <w:tcPr>
            <w:tcW w:w="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097BE1" w14:textId="4D8E819B"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D7</w:t>
            </w:r>
          </w:p>
        </w:tc>
        <w:tc>
          <w:tcPr>
            <w:tcW w:w="5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E21A23" w14:textId="77777777" w:rsidR="00035668" w:rsidRPr="00035668" w:rsidRDefault="00035668" w:rsidP="00035668">
            <w:pPr>
              <w:spacing w:before="240" w:after="240"/>
              <w:rPr>
                <w:rFonts w:eastAsia="Times New Roman" w:cs="Arial"/>
                <w:szCs w:val="22"/>
                <w:lang w:eastAsia="en-GB"/>
              </w:rPr>
            </w:pPr>
            <w:r w:rsidRPr="00035668">
              <w:rPr>
                <w:rFonts w:eastAsia="Times New Roman" w:cs="Arial"/>
                <w:color w:val="000000"/>
                <w:szCs w:val="22"/>
                <w:lang w:eastAsia="en-GB"/>
              </w:rPr>
              <w:t>Security Controls and Security Architecture Document - Major review and revision for regional rollout</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11A1C8"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Within 12 months of contract award</w:t>
            </w:r>
          </w:p>
        </w:tc>
        <w:tc>
          <w:tcPr>
            <w:tcW w:w="10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1E4658"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D</w:t>
            </w:r>
          </w:p>
        </w:tc>
      </w:tr>
      <w:tr w:rsidR="00035668" w:rsidRPr="00035668" w14:paraId="061307E2" w14:textId="77777777" w:rsidTr="00035668">
        <w:tc>
          <w:tcPr>
            <w:tcW w:w="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36AB38" w14:textId="47E5E38D"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D8</w:t>
            </w:r>
          </w:p>
        </w:tc>
        <w:tc>
          <w:tcPr>
            <w:tcW w:w="5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535EFC" w14:textId="77777777" w:rsidR="00035668" w:rsidRPr="00035668" w:rsidRDefault="00035668" w:rsidP="00035668">
            <w:pPr>
              <w:spacing w:before="240" w:after="240"/>
              <w:rPr>
                <w:rFonts w:eastAsia="Times New Roman" w:cs="Arial"/>
                <w:szCs w:val="22"/>
                <w:lang w:eastAsia="en-GB"/>
              </w:rPr>
            </w:pPr>
            <w:r w:rsidRPr="00035668">
              <w:rPr>
                <w:rFonts w:eastAsia="Times New Roman" w:cs="Arial"/>
                <w:color w:val="000000"/>
                <w:szCs w:val="22"/>
                <w:lang w:eastAsia="en-GB"/>
              </w:rPr>
              <w:t>Integration Design Document - Major review and revision for regional rollout</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6FA2A4"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Within 12 months of contract award</w:t>
            </w:r>
          </w:p>
        </w:tc>
        <w:tc>
          <w:tcPr>
            <w:tcW w:w="10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7F55FF"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D</w:t>
            </w:r>
          </w:p>
        </w:tc>
      </w:tr>
      <w:tr w:rsidR="00035668" w:rsidRPr="00035668" w14:paraId="03C4953D" w14:textId="77777777" w:rsidTr="00035668">
        <w:tc>
          <w:tcPr>
            <w:tcW w:w="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222053" w14:textId="21AE3088"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D9</w:t>
            </w:r>
          </w:p>
        </w:tc>
        <w:tc>
          <w:tcPr>
            <w:tcW w:w="5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3EE4F8" w14:textId="77777777" w:rsidR="00035668" w:rsidRPr="00035668" w:rsidRDefault="00035668" w:rsidP="00035668">
            <w:pPr>
              <w:spacing w:before="240" w:after="240"/>
              <w:rPr>
                <w:rFonts w:eastAsia="Times New Roman" w:cs="Arial"/>
                <w:szCs w:val="22"/>
                <w:lang w:eastAsia="en-GB"/>
              </w:rPr>
            </w:pPr>
            <w:r w:rsidRPr="00035668">
              <w:rPr>
                <w:rFonts w:eastAsia="Times New Roman" w:cs="Arial"/>
                <w:color w:val="000000"/>
                <w:szCs w:val="22"/>
                <w:lang w:eastAsia="en-GB"/>
              </w:rPr>
              <w:t>Core Data Specification and Feature Catalogue - Major review and revision for regional rollout</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E2EF9C"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Within 12 months of contract award</w:t>
            </w:r>
          </w:p>
        </w:tc>
        <w:tc>
          <w:tcPr>
            <w:tcW w:w="10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9A1FDA"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D</w:t>
            </w:r>
          </w:p>
        </w:tc>
      </w:tr>
      <w:tr w:rsidR="00035668" w:rsidRPr="00035668" w14:paraId="68D6CC2F" w14:textId="77777777" w:rsidTr="00035668">
        <w:tc>
          <w:tcPr>
            <w:tcW w:w="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9DEAA0" w14:textId="44723558"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D10</w:t>
            </w:r>
          </w:p>
        </w:tc>
        <w:tc>
          <w:tcPr>
            <w:tcW w:w="5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3ECF11" w14:textId="77777777" w:rsidR="00035668" w:rsidRPr="00035668" w:rsidRDefault="00035668" w:rsidP="00035668">
            <w:pPr>
              <w:spacing w:before="240" w:after="240"/>
              <w:rPr>
                <w:rFonts w:eastAsia="Times New Roman" w:cs="Arial"/>
                <w:szCs w:val="22"/>
                <w:lang w:eastAsia="en-GB"/>
              </w:rPr>
            </w:pPr>
            <w:r w:rsidRPr="00035668">
              <w:rPr>
                <w:rFonts w:eastAsia="Times New Roman" w:cs="Arial"/>
                <w:color w:val="000000"/>
                <w:szCs w:val="22"/>
                <w:lang w:eastAsia="en-GB"/>
              </w:rPr>
              <w:t>Product backlog -Major review and revision for regional rollout</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9AC24D"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Within 12 months of contract award</w:t>
            </w:r>
          </w:p>
        </w:tc>
        <w:tc>
          <w:tcPr>
            <w:tcW w:w="10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BE4E82"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D</w:t>
            </w:r>
          </w:p>
        </w:tc>
      </w:tr>
      <w:tr w:rsidR="00035668" w:rsidRPr="00035668" w14:paraId="1DFD24F6" w14:textId="77777777" w:rsidTr="00035668">
        <w:tc>
          <w:tcPr>
            <w:tcW w:w="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6403B0" w14:textId="5F9D5DED"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D11</w:t>
            </w:r>
          </w:p>
        </w:tc>
        <w:tc>
          <w:tcPr>
            <w:tcW w:w="5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EE3DE4" w14:textId="77777777" w:rsidR="00035668" w:rsidRPr="00035668" w:rsidRDefault="00035668" w:rsidP="00035668">
            <w:pPr>
              <w:spacing w:before="240" w:after="240"/>
              <w:rPr>
                <w:rFonts w:eastAsia="Times New Roman" w:cs="Arial"/>
                <w:szCs w:val="22"/>
                <w:lang w:eastAsia="en-GB"/>
              </w:rPr>
            </w:pPr>
            <w:r w:rsidRPr="00035668">
              <w:rPr>
                <w:rFonts w:eastAsia="Times New Roman" w:cs="Arial"/>
                <w:color w:val="000000"/>
                <w:szCs w:val="22"/>
                <w:shd w:val="clear" w:color="auto" w:fill="FFFFFF"/>
                <w:lang w:eastAsia="en-GB"/>
              </w:rPr>
              <w:t>Strategy and plan for the handover of platform to the support function </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C9548F"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Within 12 months of contract award</w:t>
            </w:r>
          </w:p>
        </w:tc>
        <w:tc>
          <w:tcPr>
            <w:tcW w:w="10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DC1422"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D</w:t>
            </w:r>
          </w:p>
        </w:tc>
      </w:tr>
      <w:tr w:rsidR="00035668" w:rsidRPr="00035668" w14:paraId="74657F81" w14:textId="77777777" w:rsidTr="00035668">
        <w:tc>
          <w:tcPr>
            <w:tcW w:w="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7FA538" w14:textId="39B60362"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D12</w:t>
            </w:r>
          </w:p>
        </w:tc>
        <w:tc>
          <w:tcPr>
            <w:tcW w:w="5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F2237F" w14:textId="77777777" w:rsidR="00035668" w:rsidRPr="00035668" w:rsidRDefault="00035668" w:rsidP="00035668">
            <w:pPr>
              <w:spacing w:before="240" w:after="240"/>
              <w:rPr>
                <w:rFonts w:eastAsia="Times New Roman" w:cs="Arial"/>
                <w:szCs w:val="22"/>
                <w:lang w:eastAsia="en-GB"/>
              </w:rPr>
            </w:pPr>
            <w:r w:rsidRPr="00035668">
              <w:rPr>
                <w:rFonts w:eastAsia="Times New Roman" w:cs="Arial"/>
                <w:color w:val="000000"/>
                <w:szCs w:val="22"/>
                <w:shd w:val="clear" w:color="auto" w:fill="FFFFFF"/>
                <w:lang w:eastAsia="en-GB"/>
              </w:rPr>
              <w:t>User manual for general users</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4883EC"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Within 12 months of contract award</w:t>
            </w:r>
          </w:p>
        </w:tc>
        <w:tc>
          <w:tcPr>
            <w:tcW w:w="10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00FFE3"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D</w:t>
            </w:r>
          </w:p>
        </w:tc>
      </w:tr>
      <w:tr w:rsidR="00035668" w:rsidRPr="00035668" w14:paraId="5EEE0418" w14:textId="77777777" w:rsidTr="00035668">
        <w:tc>
          <w:tcPr>
            <w:tcW w:w="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D9621C" w14:textId="7D47F2BD"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D13</w:t>
            </w:r>
          </w:p>
        </w:tc>
        <w:tc>
          <w:tcPr>
            <w:tcW w:w="5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95BBE4" w14:textId="5EE46F1E" w:rsidR="00035668" w:rsidRPr="00035668" w:rsidRDefault="00035668" w:rsidP="00035668">
            <w:pPr>
              <w:spacing w:before="240" w:after="240"/>
              <w:rPr>
                <w:rFonts w:eastAsia="Times New Roman" w:cs="Arial"/>
                <w:szCs w:val="22"/>
                <w:lang w:eastAsia="en-GB"/>
              </w:rPr>
            </w:pPr>
            <w:r w:rsidRPr="00035668">
              <w:rPr>
                <w:rFonts w:eastAsia="Times New Roman" w:cs="Arial"/>
                <w:color w:val="000000"/>
                <w:szCs w:val="22"/>
                <w:shd w:val="clear" w:color="auto" w:fill="FFFFFF"/>
                <w:lang w:eastAsia="en-GB"/>
              </w:rPr>
              <w:t xml:space="preserve">Training materials for train the trainer </w:t>
            </w:r>
            <w:r w:rsidRPr="00014CDC">
              <w:rPr>
                <w:rFonts w:eastAsia="Times New Roman" w:cs="Arial"/>
                <w:color w:val="000000"/>
                <w:szCs w:val="22"/>
                <w:shd w:val="clear" w:color="auto" w:fill="FFFFFF"/>
                <w:lang w:eastAsia="en-GB"/>
              </w:rPr>
              <w:t>sessions</w:t>
            </w:r>
            <w:r w:rsidR="00014CDC">
              <w:rPr>
                <w:rFonts w:eastAsia="Times New Roman" w:cs="Arial"/>
                <w:color w:val="000000"/>
                <w:szCs w:val="22"/>
                <w:shd w:val="clear" w:color="auto" w:fill="FFFFFF"/>
                <w:lang w:eastAsia="en-GB"/>
              </w:rPr>
              <w:t>,</w:t>
            </w:r>
            <w:r w:rsidR="00014CDC" w:rsidRPr="00014CDC">
              <w:rPr>
                <w:rFonts w:eastAsia="Times New Roman" w:cs="Arial"/>
                <w:bCs/>
                <w:color w:val="000000"/>
                <w:szCs w:val="22"/>
                <w:shd w:val="clear" w:color="auto" w:fill="FFFFFF"/>
                <w:lang w:eastAsia="en-GB"/>
              </w:rPr>
              <w:t> including End User Security Briefing material</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55ED13"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Within 12 months of contract award</w:t>
            </w:r>
          </w:p>
        </w:tc>
        <w:tc>
          <w:tcPr>
            <w:tcW w:w="10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96B6C3"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D</w:t>
            </w:r>
          </w:p>
        </w:tc>
      </w:tr>
      <w:tr w:rsidR="00035668" w:rsidRPr="00035668" w14:paraId="60672DBD" w14:textId="77777777" w:rsidTr="00035668">
        <w:tc>
          <w:tcPr>
            <w:tcW w:w="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2001D4" w14:textId="0CE87BDD"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D14</w:t>
            </w:r>
          </w:p>
        </w:tc>
        <w:tc>
          <w:tcPr>
            <w:tcW w:w="5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F31E8C" w14:textId="77777777" w:rsidR="00035668" w:rsidRPr="00035668" w:rsidRDefault="00035668" w:rsidP="00035668">
            <w:pPr>
              <w:spacing w:before="240" w:after="240"/>
              <w:rPr>
                <w:rFonts w:eastAsia="Times New Roman" w:cs="Arial"/>
                <w:szCs w:val="22"/>
                <w:lang w:eastAsia="en-GB"/>
              </w:rPr>
            </w:pPr>
            <w:r w:rsidRPr="00035668">
              <w:rPr>
                <w:rFonts w:eastAsia="Times New Roman" w:cs="Arial"/>
                <w:color w:val="000000"/>
                <w:szCs w:val="22"/>
                <w:shd w:val="clear" w:color="auto" w:fill="FFFFFF"/>
                <w:lang w:eastAsia="en-GB"/>
              </w:rPr>
              <w:t xml:space="preserve">Materials for Data Model familiarisation sessions </w:t>
            </w:r>
            <w:r w:rsidRPr="00035668">
              <w:rPr>
                <w:rFonts w:eastAsia="Times New Roman" w:cs="Arial"/>
                <w:color w:val="000000"/>
                <w:szCs w:val="22"/>
                <w:lang w:eastAsia="en-GB"/>
              </w:rPr>
              <w:t>- Major review and revision for national rollout</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E7B680"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Within 12 months of contract award</w:t>
            </w:r>
          </w:p>
        </w:tc>
        <w:tc>
          <w:tcPr>
            <w:tcW w:w="10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C2208B"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D</w:t>
            </w:r>
          </w:p>
        </w:tc>
      </w:tr>
      <w:tr w:rsidR="00035668" w:rsidRPr="00035668" w14:paraId="22996B9B" w14:textId="77777777" w:rsidTr="00035668">
        <w:tc>
          <w:tcPr>
            <w:tcW w:w="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52A32B" w14:textId="3FFFE948"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lastRenderedPageBreak/>
              <w:t>D15</w:t>
            </w:r>
          </w:p>
        </w:tc>
        <w:tc>
          <w:tcPr>
            <w:tcW w:w="5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4A9DF6" w14:textId="77777777" w:rsidR="00035668" w:rsidRPr="00035668" w:rsidRDefault="00035668" w:rsidP="00035668">
            <w:pPr>
              <w:spacing w:before="240" w:after="240"/>
              <w:rPr>
                <w:rFonts w:eastAsia="Times New Roman" w:cs="Arial"/>
                <w:szCs w:val="22"/>
                <w:lang w:eastAsia="en-GB"/>
              </w:rPr>
            </w:pPr>
            <w:r w:rsidRPr="00035668">
              <w:rPr>
                <w:rFonts w:eastAsia="Times New Roman" w:cs="Arial"/>
                <w:color w:val="000000"/>
                <w:szCs w:val="22"/>
                <w:shd w:val="clear" w:color="auto" w:fill="FFFFFF"/>
                <w:lang w:eastAsia="en-GB"/>
              </w:rPr>
              <w:t xml:space="preserve">Data Design document: User Account and Security data </w:t>
            </w:r>
            <w:r w:rsidRPr="00035668">
              <w:rPr>
                <w:rFonts w:eastAsia="Times New Roman" w:cs="Arial"/>
                <w:color w:val="000000"/>
                <w:szCs w:val="22"/>
                <w:lang w:eastAsia="en-GB"/>
              </w:rPr>
              <w:t>- Major review and revision for regional rollout</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9AAB39"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Within 12 months of contract award</w:t>
            </w:r>
          </w:p>
        </w:tc>
        <w:tc>
          <w:tcPr>
            <w:tcW w:w="10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C3C640"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D</w:t>
            </w:r>
          </w:p>
        </w:tc>
      </w:tr>
      <w:tr w:rsidR="00035668" w:rsidRPr="00035668" w14:paraId="2F921B1B" w14:textId="77777777" w:rsidTr="00035668">
        <w:tc>
          <w:tcPr>
            <w:tcW w:w="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C1D16D" w14:textId="7644C296"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D16</w:t>
            </w:r>
          </w:p>
        </w:tc>
        <w:tc>
          <w:tcPr>
            <w:tcW w:w="5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8C44AD" w14:textId="77777777" w:rsidR="00035668" w:rsidRPr="00035668" w:rsidRDefault="00035668" w:rsidP="00035668">
            <w:pPr>
              <w:spacing w:before="240" w:after="240"/>
              <w:rPr>
                <w:rFonts w:eastAsia="Times New Roman" w:cs="Arial"/>
                <w:szCs w:val="22"/>
                <w:lang w:eastAsia="en-GB"/>
              </w:rPr>
            </w:pPr>
            <w:r w:rsidRPr="00035668">
              <w:rPr>
                <w:rFonts w:eastAsia="Times New Roman" w:cs="Arial"/>
                <w:color w:val="000000"/>
                <w:szCs w:val="22"/>
                <w:shd w:val="clear" w:color="auto" w:fill="FFFFFF"/>
                <w:lang w:eastAsia="en-GB"/>
              </w:rPr>
              <w:t xml:space="preserve">Data Design document: other data structures </w:t>
            </w:r>
            <w:r w:rsidRPr="00035668">
              <w:rPr>
                <w:rFonts w:eastAsia="Times New Roman" w:cs="Arial"/>
                <w:color w:val="000000"/>
                <w:szCs w:val="22"/>
                <w:lang w:eastAsia="en-GB"/>
              </w:rPr>
              <w:t>- Major review and revision for regional rollout</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3360E9"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Within 12 months of contract award</w:t>
            </w:r>
          </w:p>
        </w:tc>
        <w:tc>
          <w:tcPr>
            <w:tcW w:w="10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8586D3"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D</w:t>
            </w:r>
          </w:p>
        </w:tc>
      </w:tr>
      <w:tr w:rsidR="00035668" w:rsidRPr="00035668" w14:paraId="63831312" w14:textId="77777777" w:rsidTr="00035668">
        <w:tc>
          <w:tcPr>
            <w:tcW w:w="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26951B" w14:textId="7AE9BDA3"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D17</w:t>
            </w:r>
          </w:p>
        </w:tc>
        <w:tc>
          <w:tcPr>
            <w:tcW w:w="5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32EC6C" w14:textId="77777777" w:rsidR="00035668" w:rsidRPr="00035668" w:rsidRDefault="00035668" w:rsidP="00035668">
            <w:pPr>
              <w:spacing w:before="240" w:after="240"/>
              <w:rPr>
                <w:rFonts w:eastAsia="Times New Roman" w:cs="Arial"/>
                <w:szCs w:val="22"/>
                <w:lang w:eastAsia="en-GB"/>
              </w:rPr>
            </w:pPr>
            <w:r w:rsidRPr="00035668">
              <w:rPr>
                <w:rFonts w:eastAsia="Times New Roman" w:cs="Arial"/>
                <w:color w:val="000000"/>
                <w:szCs w:val="22"/>
                <w:shd w:val="clear" w:color="auto" w:fill="FFFFFF"/>
                <w:lang w:eastAsia="en-GB"/>
              </w:rPr>
              <w:t>Data Transformation “Adoption Pack” template</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A4CD3E"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Within 12 months of contract award</w:t>
            </w:r>
          </w:p>
        </w:tc>
        <w:tc>
          <w:tcPr>
            <w:tcW w:w="10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DA65DF"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T</w:t>
            </w:r>
          </w:p>
        </w:tc>
      </w:tr>
      <w:tr w:rsidR="00035668" w:rsidRPr="00035668" w14:paraId="3F3FC6A5" w14:textId="77777777" w:rsidTr="00035668">
        <w:tc>
          <w:tcPr>
            <w:tcW w:w="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7F8B6E" w14:textId="41F10C5D"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D18</w:t>
            </w:r>
          </w:p>
        </w:tc>
        <w:tc>
          <w:tcPr>
            <w:tcW w:w="5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14D865" w14:textId="77777777" w:rsidR="00035668" w:rsidRPr="00035668" w:rsidRDefault="00035668" w:rsidP="00035668">
            <w:pPr>
              <w:spacing w:before="240" w:after="240"/>
              <w:rPr>
                <w:rFonts w:eastAsia="Times New Roman" w:cs="Arial"/>
                <w:szCs w:val="22"/>
                <w:lang w:eastAsia="en-GB"/>
              </w:rPr>
            </w:pPr>
            <w:r w:rsidRPr="00035668">
              <w:rPr>
                <w:rFonts w:eastAsia="Times New Roman" w:cs="Arial"/>
                <w:color w:val="000000"/>
                <w:szCs w:val="22"/>
                <w:shd w:val="clear" w:color="auto" w:fill="FFFFFF"/>
                <w:lang w:eastAsia="en-GB"/>
              </w:rPr>
              <w:t xml:space="preserve">Data Transformation and Ingestion Subsystem Architecture Design </w:t>
            </w:r>
            <w:r w:rsidRPr="00035668">
              <w:rPr>
                <w:rFonts w:eastAsia="Times New Roman" w:cs="Arial"/>
                <w:color w:val="000000"/>
                <w:szCs w:val="22"/>
                <w:lang w:eastAsia="en-GB"/>
              </w:rPr>
              <w:t>- Major review and revision for regional rollout</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BE87EF"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Within 12 months of contract award</w:t>
            </w:r>
          </w:p>
        </w:tc>
        <w:tc>
          <w:tcPr>
            <w:tcW w:w="10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1B9569"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D</w:t>
            </w:r>
          </w:p>
        </w:tc>
      </w:tr>
      <w:tr w:rsidR="00035668" w:rsidRPr="00035668" w14:paraId="7E07FF6E" w14:textId="77777777" w:rsidTr="00035668">
        <w:tc>
          <w:tcPr>
            <w:tcW w:w="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B47831" w14:textId="15D6E781"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D19</w:t>
            </w:r>
          </w:p>
        </w:tc>
        <w:tc>
          <w:tcPr>
            <w:tcW w:w="5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73B7E3" w14:textId="77777777" w:rsidR="00035668" w:rsidRPr="00035668" w:rsidRDefault="00035668" w:rsidP="00035668">
            <w:pPr>
              <w:spacing w:before="240" w:after="240"/>
              <w:rPr>
                <w:rFonts w:eastAsia="Times New Roman" w:cs="Arial"/>
                <w:szCs w:val="22"/>
                <w:lang w:eastAsia="en-GB"/>
              </w:rPr>
            </w:pPr>
            <w:r w:rsidRPr="00035668">
              <w:rPr>
                <w:rFonts w:eastAsia="Times New Roman" w:cs="Arial"/>
                <w:color w:val="000000"/>
                <w:szCs w:val="22"/>
                <w:shd w:val="clear" w:color="auto" w:fill="FFFFFF"/>
                <w:lang w:eastAsia="en-GB"/>
              </w:rPr>
              <w:t xml:space="preserve">Security Controls document </w:t>
            </w:r>
            <w:r w:rsidRPr="00035668">
              <w:rPr>
                <w:rFonts w:eastAsia="Times New Roman" w:cs="Arial"/>
                <w:color w:val="000000"/>
                <w:szCs w:val="22"/>
                <w:lang w:eastAsia="en-GB"/>
              </w:rPr>
              <w:t>- Major review and revision for regional rollout</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6228E7"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Within 12 months of contract award</w:t>
            </w:r>
          </w:p>
        </w:tc>
        <w:tc>
          <w:tcPr>
            <w:tcW w:w="10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7E22C1"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D</w:t>
            </w:r>
          </w:p>
        </w:tc>
      </w:tr>
      <w:tr w:rsidR="00410A0F" w:rsidRPr="00035668" w14:paraId="748C195B" w14:textId="77777777" w:rsidTr="00410A0F">
        <w:tc>
          <w:tcPr>
            <w:tcW w:w="9009" w:type="dxa"/>
            <w:gridSpan w:val="4"/>
            <w:tcBorders>
              <w:top w:val="single" w:sz="8" w:space="0" w:color="000000"/>
              <w:left w:val="single" w:sz="8" w:space="0" w:color="000000"/>
              <w:bottom w:val="single" w:sz="8" w:space="0" w:color="000000"/>
              <w:right w:val="single" w:sz="8" w:space="0" w:color="000000"/>
            </w:tcBorders>
            <w:shd w:val="clear" w:color="auto" w:fill="B8CCE4" w:themeFill="accent1" w:themeFillTint="66"/>
            <w:tcMar>
              <w:top w:w="100" w:type="dxa"/>
              <w:left w:w="100" w:type="dxa"/>
              <w:bottom w:w="100" w:type="dxa"/>
              <w:right w:w="100" w:type="dxa"/>
            </w:tcMar>
          </w:tcPr>
          <w:p w14:paraId="0720132B" w14:textId="7A719725" w:rsidR="00410A0F" w:rsidRPr="00035668" w:rsidRDefault="00410A0F" w:rsidP="00410A0F">
            <w:pPr>
              <w:rPr>
                <w:rFonts w:eastAsia="Times New Roman" w:cs="Arial"/>
                <w:color w:val="000000"/>
                <w:szCs w:val="22"/>
                <w:lang w:eastAsia="en-GB"/>
              </w:rPr>
            </w:pPr>
            <w:r>
              <w:rPr>
                <w:rFonts w:eastAsia="Times New Roman" w:cs="Arial"/>
                <w:color w:val="000000"/>
                <w:szCs w:val="22"/>
                <w:lang w:eastAsia="en-GB"/>
              </w:rPr>
              <w:t>Gateway Review E – Within 15 months of contract award</w:t>
            </w:r>
          </w:p>
        </w:tc>
      </w:tr>
      <w:tr w:rsidR="00035668" w:rsidRPr="00035668" w14:paraId="73B7B73A" w14:textId="77777777" w:rsidTr="00035668">
        <w:tc>
          <w:tcPr>
            <w:tcW w:w="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08835D"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E1</w:t>
            </w:r>
          </w:p>
        </w:tc>
        <w:tc>
          <w:tcPr>
            <w:tcW w:w="5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A472E8" w14:textId="77777777" w:rsidR="00035668" w:rsidRPr="00035668" w:rsidRDefault="00035668" w:rsidP="00035668">
            <w:pPr>
              <w:spacing w:before="240" w:after="40"/>
              <w:rPr>
                <w:rFonts w:eastAsia="Times New Roman" w:cs="Arial"/>
                <w:szCs w:val="22"/>
                <w:lang w:eastAsia="en-GB"/>
              </w:rPr>
            </w:pPr>
            <w:r w:rsidRPr="00035668">
              <w:rPr>
                <w:rFonts w:eastAsia="Times New Roman" w:cs="Arial"/>
                <w:color w:val="000000"/>
                <w:szCs w:val="22"/>
                <w:lang w:eastAsia="en-GB"/>
              </w:rPr>
              <w:t>National Rollout detailed scope</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D90C3D"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Within 15 months of contract award</w:t>
            </w:r>
          </w:p>
        </w:tc>
        <w:tc>
          <w:tcPr>
            <w:tcW w:w="10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7C9047" w14:textId="3CA3E089"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All work</w:t>
            </w:r>
            <w:r>
              <w:rPr>
                <w:rFonts w:eastAsia="Times New Roman" w:cs="Arial"/>
                <w:color w:val="000000"/>
                <w:szCs w:val="22"/>
                <w:lang w:eastAsia="en-GB"/>
              </w:rPr>
              <w:t xml:space="preserve"> </w:t>
            </w:r>
            <w:r w:rsidRPr="00035668">
              <w:rPr>
                <w:rFonts w:eastAsia="Times New Roman" w:cs="Arial"/>
                <w:color w:val="000000"/>
                <w:szCs w:val="22"/>
                <w:lang w:eastAsia="en-GB"/>
              </w:rPr>
              <w:t>streams</w:t>
            </w:r>
          </w:p>
        </w:tc>
      </w:tr>
      <w:tr w:rsidR="00035668" w:rsidRPr="00035668" w14:paraId="026B0634" w14:textId="77777777" w:rsidTr="00035668">
        <w:tc>
          <w:tcPr>
            <w:tcW w:w="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FD1831"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E2</w:t>
            </w:r>
          </w:p>
        </w:tc>
        <w:tc>
          <w:tcPr>
            <w:tcW w:w="5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95EDD6" w14:textId="09D85057" w:rsidR="00035668" w:rsidRPr="00035668" w:rsidRDefault="00035668" w:rsidP="00E20689">
            <w:pPr>
              <w:spacing w:before="240" w:after="40"/>
              <w:rPr>
                <w:rFonts w:eastAsia="Times New Roman" w:cs="Arial"/>
                <w:szCs w:val="22"/>
                <w:lang w:eastAsia="en-GB"/>
              </w:rPr>
            </w:pPr>
            <w:r w:rsidRPr="00035668">
              <w:rPr>
                <w:rFonts w:eastAsia="Times New Roman" w:cs="Arial"/>
                <w:color w:val="000000"/>
                <w:szCs w:val="22"/>
                <w:lang w:eastAsia="en-GB"/>
              </w:rPr>
              <w:t xml:space="preserve">99% of Asset Owners in Group 1, 2 and 3 have </w:t>
            </w:r>
            <w:r w:rsidR="00E20689">
              <w:rPr>
                <w:rFonts w:eastAsia="Times New Roman" w:cs="Arial"/>
                <w:color w:val="000000"/>
                <w:szCs w:val="22"/>
                <w:lang w:eastAsia="en-GB"/>
              </w:rPr>
              <w:t>agreed</w:t>
            </w:r>
            <w:r w:rsidRPr="00035668">
              <w:rPr>
                <w:rFonts w:eastAsia="Times New Roman" w:cs="Arial"/>
                <w:color w:val="000000"/>
                <w:szCs w:val="22"/>
                <w:lang w:eastAsia="en-GB"/>
              </w:rPr>
              <w:t xml:space="preserve"> the </w:t>
            </w:r>
            <w:r w:rsidR="009D0E6F">
              <w:rPr>
                <w:rFonts w:eastAsia="Times New Roman" w:cs="Arial"/>
                <w:color w:val="000000"/>
                <w:szCs w:val="22"/>
                <w:lang w:eastAsia="en-GB"/>
              </w:rPr>
              <w:t>Data Ingestion Specification</w:t>
            </w:r>
            <w:r w:rsidRPr="00035668">
              <w:rPr>
                <w:rFonts w:eastAsia="Times New Roman" w:cs="Arial"/>
                <w:color w:val="000000"/>
                <w:szCs w:val="22"/>
                <w:lang w:eastAsia="en-GB"/>
              </w:rPr>
              <w:t xml:space="preserve"> and have their data </w:t>
            </w:r>
            <w:r w:rsidR="006D57BC">
              <w:rPr>
                <w:rFonts w:eastAsia="Times New Roman" w:cs="Arial"/>
                <w:color w:val="000000"/>
                <w:szCs w:val="22"/>
                <w:lang w:eastAsia="en-GB"/>
              </w:rPr>
              <w:t xml:space="preserve">ready to be </w:t>
            </w:r>
            <w:r w:rsidRPr="00035668">
              <w:rPr>
                <w:rFonts w:eastAsia="Times New Roman" w:cs="Arial"/>
                <w:color w:val="000000"/>
                <w:szCs w:val="22"/>
                <w:lang w:eastAsia="en-GB"/>
              </w:rPr>
              <w:t>exposed through the platform</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D20301"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Within 15 months of contract award</w:t>
            </w:r>
          </w:p>
        </w:tc>
        <w:tc>
          <w:tcPr>
            <w:tcW w:w="10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80773B"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T</w:t>
            </w:r>
          </w:p>
        </w:tc>
      </w:tr>
      <w:tr w:rsidR="00035668" w:rsidRPr="00035668" w14:paraId="1F2ADEC6" w14:textId="77777777" w:rsidTr="00035668">
        <w:tc>
          <w:tcPr>
            <w:tcW w:w="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D99E5A"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E3</w:t>
            </w:r>
          </w:p>
        </w:tc>
        <w:tc>
          <w:tcPr>
            <w:tcW w:w="5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9CDC01" w14:textId="3FFF934C" w:rsidR="00035668" w:rsidRPr="00035668" w:rsidRDefault="00035668" w:rsidP="001621D0">
            <w:pPr>
              <w:spacing w:after="40"/>
              <w:outlineLvl w:val="3"/>
              <w:rPr>
                <w:rFonts w:eastAsia="Times New Roman" w:cs="Arial"/>
                <w:color w:val="000000"/>
                <w:szCs w:val="22"/>
                <w:lang w:eastAsia="en-GB"/>
              </w:rPr>
            </w:pPr>
            <w:r w:rsidRPr="00035668">
              <w:rPr>
                <w:rFonts w:eastAsia="Times New Roman" w:cs="Arial"/>
                <w:color w:val="000000"/>
                <w:szCs w:val="22"/>
                <w:lang w:eastAsia="en-GB"/>
              </w:rPr>
              <w:t>Exit strategy - Amendment for 18 month exit</w:t>
            </w:r>
            <w:r w:rsidR="001621D0">
              <w:rPr>
                <w:rFonts w:eastAsia="Times New Roman" w:cs="Arial"/>
                <w:color w:val="000000"/>
                <w:szCs w:val="22"/>
                <w:lang w:eastAsia="en-GB"/>
              </w:rPr>
              <w:t xml:space="preserve">, </w:t>
            </w:r>
            <w:r w:rsidR="00DD6EFD">
              <w:rPr>
                <w:rFonts w:eastAsia="Times New Roman" w:cs="Arial"/>
                <w:color w:val="000000"/>
                <w:szCs w:val="22"/>
                <w:lang w:eastAsia="en-GB"/>
              </w:rPr>
              <w:t>including records as per 6.8</w:t>
            </w:r>
            <w:r w:rsidR="001621D0" w:rsidRPr="001621D0">
              <w:rPr>
                <w:rFonts w:eastAsia="Times New Roman" w:cs="Arial"/>
                <w:color w:val="000000"/>
                <w:szCs w:val="22"/>
                <w:lang w:eastAsia="en-GB"/>
              </w:rPr>
              <w:t>.1</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B10620"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Within 15 months of contract award</w:t>
            </w:r>
          </w:p>
        </w:tc>
        <w:tc>
          <w:tcPr>
            <w:tcW w:w="10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1783E0"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CR</w:t>
            </w:r>
          </w:p>
        </w:tc>
      </w:tr>
      <w:tr w:rsidR="00175FE2" w:rsidRPr="00035668" w14:paraId="399C5C6F" w14:textId="77777777" w:rsidTr="00175FE2">
        <w:tc>
          <w:tcPr>
            <w:tcW w:w="9009" w:type="dxa"/>
            <w:gridSpan w:val="4"/>
            <w:tcBorders>
              <w:top w:val="single" w:sz="8" w:space="0" w:color="000000"/>
              <w:left w:val="single" w:sz="8" w:space="0" w:color="000000"/>
              <w:bottom w:val="single" w:sz="8" w:space="0" w:color="000000"/>
              <w:right w:val="single" w:sz="8" w:space="0" w:color="000000"/>
            </w:tcBorders>
            <w:shd w:val="clear" w:color="auto" w:fill="B8CCE4" w:themeFill="accent1" w:themeFillTint="66"/>
            <w:tcMar>
              <w:top w:w="100" w:type="dxa"/>
              <w:left w:w="100" w:type="dxa"/>
              <w:bottom w:w="100" w:type="dxa"/>
              <w:right w:w="100" w:type="dxa"/>
            </w:tcMar>
          </w:tcPr>
          <w:p w14:paraId="78E9BA48" w14:textId="77777777" w:rsidR="00175FE2" w:rsidRPr="00035668" w:rsidRDefault="00175FE2" w:rsidP="00035668">
            <w:pPr>
              <w:rPr>
                <w:rFonts w:eastAsia="Times New Roman" w:cs="Arial"/>
                <w:color w:val="000000"/>
                <w:szCs w:val="22"/>
                <w:lang w:eastAsia="en-GB"/>
              </w:rPr>
            </w:pPr>
          </w:p>
        </w:tc>
      </w:tr>
      <w:tr w:rsidR="00035668" w:rsidRPr="00035668" w14:paraId="3C70061B" w14:textId="14E20402" w:rsidTr="00035668">
        <w:tc>
          <w:tcPr>
            <w:tcW w:w="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140EC4" w14:textId="6FC7D506"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8</w:t>
            </w:r>
          </w:p>
        </w:tc>
        <w:tc>
          <w:tcPr>
            <w:tcW w:w="5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875111" w14:textId="5A873707" w:rsidR="00035668" w:rsidRPr="00035668" w:rsidRDefault="00035668" w:rsidP="00DD6EFD">
            <w:pPr>
              <w:rPr>
                <w:rFonts w:eastAsia="Times New Roman" w:cs="Arial"/>
                <w:szCs w:val="22"/>
                <w:lang w:eastAsia="en-GB"/>
              </w:rPr>
            </w:pPr>
            <w:r w:rsidRPr="00035668">
              <w:rPr>
                <w:rFonts w:eastAsia="Times New Roman" w:cs="Arial"/>
                <w:color w:val="000000"/>
                <w:szCs w:val="22"/>
                <w:lang w:eastAsia="en-GB"/>
              </w:rPr>
              <w:t xml:space="preserve">99% of Asset Owners in all 4 groups have signed the Data </w:t>
            </w:r>
            <w:r w:rsidR="00DD6EFD">
              <w:rPr>
                <w:rFonts w:eastAsia="Times New Roman" w:cs="Arial"/>
                <w:color w:val="000000"/>
                <w:szCs w:val="22"/>
                <w:lang w:eastAsia="en-GB"/>
              </w:rPr>
              <w:t>Exploration Agreements</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3DC72E" w14:textId="72C342F6"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Within 16 months of contract award</w:t>
            </w:r>
          </w:p>
        </w:tc>
        <w:tc>
          <w:tcPr>
            <w:tcW w:w="10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AFD44A" w14:textId="0857B208" w:rsidR="00035668" w:rsidRPr="00035668" w:rsidRDefault="00DD6EFD" w:rsidP="00035668">
            <w:pPr>
              <w:rPr>
                <w:rFonts w:eastAsia="Times New Roman" w:cs="Arial"/>
                <w:szCs w:val="22"/>
                <w:lang w:eastAsia="en-GB"/>
              </w:rPr>
            </w:pPr>
            <w:r>
              <w:rPr>
                <w:rFonts w:eastAsia="Times New Roman" w:cs="Arial"/>
                <w:color w:val="000000"/>
                <w:szCs w:val="22"/>
                <w:lang w:eastAsia="en-GB"/>
              </w:rPr>
              <w:t>AOE</w:t>
            </w:r>
          </w:p>
        </w:tc>
      </w:tr>
      <w:tr w:rsidR="00175FE2" w:rsidRPr="00035668" w14:paraId="336A3FBB" w14:textId="77777777" w:rsidTr="00175FE2">
        <w:tc>
          <w:tcPr>
            <w:tcW w:w="9009" w:type="dxa"/>
            <w:gridSpan w:val="4"/>
            <w:tcBorders>
              <w:top w:val="single" w:sz="8" w:space="0" w:color="000000"/>
              <w:left w:val="single" w:sz="8" w:space="0" w:color="000000"/>
              <w:bottom w:val="single" w:sz="8" w:space="0" w:color="000000"/>
              <w:right w:val="single" w:sz="8" w:space="0" w:color="000000"/>
            </w:tcBorders>
            <w:shd w:val="clear" w:color="auto" w:fill="B8CCE4" w:themeFill="accent1" w:themeFillTint="66"/>
            <w:tcMar>
              <w:top w:w="100" w:type="dxa"/>
              <w:left w:w="100" w:type="dxa"/>
              <w:bottom w:w="100" w:type="dxa"/>
              <w:right w:w="100" w:type="dxa"/>
            </w:tcMar>
          </w:tcPr>
          <w:p w14:paraId="26F22B0C" w14:textId="6EC92944" w:rsidR="00175FE2" w:rsidRPr="00035668" w:rsidRDefault="00175FE2" w:rsidP="00175FE2">
            <w:pPr>
              <w:rPr>
                <w:rFonts w:eastAsia="Times New Roman" w:cs="Arial"/>
                <w:color w:val="000000"/>
                <w:szCs w:val="22"/>
                <w:lang w:eastAsia="en-GB"/>
              </w:rPr>
            </w:pPr>
            <w:r>
              <w:rPr>
                <w:rFonts w:eastAsia="Times New Roman" w:cs="Arial"/>
                <w:color w:val="000000"/>
                <w:szCs w:val="22"/>
                <w:lang w:eastAsia="en-GB"/>
              </w:rPr>
              <w:t>Gateway Review F – Within 18 months of contract award</w:t>
            </w:r>
          </w:p>
        </w:tc>
      </w:tr>
      <w:tr w:rsidR="00035668" w:rsidRPr="00035668" w14:paraId="7673E5BC" w14:textId="77777777" w:rsidTr="00035668">
        <w:tc>
          <w:tcPr>
            <w:tcW w:w="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313A41"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F1</w:t>
            </w:r>
          </w:p>
        </w:tc>
        <w:tc>
          <w:tcPr>
            <w:tcW w:w="5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94B657" w14:textId="0E68B702" w:rsidR="00035668" w:rsidRPr="00035668" w:rsidRDefault="00035668" w:rsidP="00E20689">
            <w:pPr>
              <w:spacing w:before="240" w:after="40"/>
              <w:rPr>
                <w:rFonts w:eastAsia="Times New Roman" w:cs="Arial"/>
                <w:szCs w:val="22"/>
                <w:lang w:eastAsia="en-GB"/>
              </w:rPr>
            </w:pPr>
            <w:r w:rsidRPr="00035668">
              <w:rPr>
                <w:rFonts w:eastAsia="Times New Roman" w:cs="Arial"/>
                <w:color w:val="000000"/>
                <w:szCs w:val="22"/>
                <w:lang w:eastAsia="en-GB"/>
              </w:rPr>
              <w:t xml:space="preserve">99% of Asset Owners in all 4 groups have </w:t>
            </w:r>
            <w:r w:rsidR="00E20689">
              <w:rPr>
                <w:rFonts w:eastAsia="Times New Roman" w:cs="Arial"/>
                <w:color w:val="000000"/>
                <w:szCs w:val="22"/>
                <w:lang w:eastAsia="en-GB"/>
              </w:rPr>
              <w:t>agreed</w:t>
            </w:r>
            <w:r w:rsidRPr="00035668">
              <w:rPr>
                <w:rFonts w:eastAsia="Times New Roman" w:cs="Arial"/>
                <w:color w:val="000000"/>
                <w:szCs w:val="22"/>
                <w:lang w:eastAsia="en-GB"/>
              </w:rPr>
              <w:t xml:space="preserve"> the </w:t>
            </w:r>
            <w:r w:rsidR="009D0E6F">
              <w:rPr>
                <w:rFonts w:eastAsia="Times New Roman" w:cs="Arial"/>
                <w:color w:val="000000"/>
                <w:szCs w:val="22"/>
                <w:lang w:eastAsia="en-GB"/>
              </w:rPr>
              <w:t>Data Ingestion Specification</w:t>
            </w:r>
            <w:r w:rsidRPr="00035668">
              <w:rPr>
                <w:rFonts w:eastAsia="Times New Roman" w:cs="Arial"/>
                <w:color w:val="000000"/>
                <w:szCs w:val="22"/>
                <w:lang w:eastAsia="en-GB"/>
              </w:rPr>
              <w:t xml:space="preserve"> and have their data </w:t>
            </w:r>
            <w:r w:rsidR="006D57BC">
              <w:rPr>
                <w:rFonts w:eastAsia="Times New Roman" w:cs="Arial"/>
                <w:color w:val="000000"/>
                <w:szCs w:val="22"/>
                <w:lang w:eastAsia="en-GB"/>
              </w:rPr>
              <w:t xml:space="preserve">ready to be </w:t>
            </w:r>
            <w:r w:rsidRPr="00035668">
              <w:rPr>
                <w:rFonts w:eastAsia="Times New Roman" w:cs="Arial"/>
                <w:color w:val="000000"/>
                <w:szCs w:val="22"/>
                <w:lang w:eastAsia="en-GB"/>
              </w:rPr>
              <w:t>exposed through the platform</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240291"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Within 18 months of contract award</w:t>
            </w:r>
          </w:p>
        </w:tc>
        <w:tc>
          <w:tcPr>
            <w:tcW w:w="10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590DD1" w14:textId="1C74D7CC" w:rsidR="00035668" w:rsidRPr="00035668" w:rsidRDefault="009D0E6F" w:rsidP="00035668">
            <w:pPr>
              <w:rPr>
                <w:rFonts w:eastAsia="Times New Roman" w:cs="Arial"/>
                <w:szCs w:val="22"/>
                <w:lang w:eastAsia="en-GB"/>
              </w:rPr>
            </w:pPr>
            <w:r>
              <w:rPr>
                <w:rFonts w:eastAsia="Times New Roman" w:cs="Arial"/>
                <w:color w:val="000000"/>
                <w:szCs w:val="22"/>
                <w:lang w:eastAsia="en-GB"/>
              </w:rPr>
              <w:t>T</w:t>
            </w:r>
          </w:p>
        </w:tc>
      </w:tr>
      <w:tr w:rsidR="00035668" w:rsidRPr="00035668" w14:paraId="3AF8B110" w14:textId="77777777" w:rsidTr="00035668">
        <w:tc>
          <w:tcPr>
            <w:tcW w:w="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416331"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lastRenderedPageBreak/>
              <w:t>F2</w:t>
            </w:r>
          </w:p>
        </w:tc>
        <w:tc>
          <w:tcPr>
            <w:tcW w:w="5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873F6C" w14:textId="77777777" w:rsidR="00035668" w:rsidRPr="00035668" w:rsidRDefault="00035668" w:rsidP="00035668">
            <w:pPr>
              <w:spacing w:before="280" w:after="80"/>
              <w:outlineLvl w:val="2"/>
              <w:rPr>
                <w:rFonts w:eastAsia="Times New Roman" w:cs="Arial"/>
                <w:b/>
                <w:bCs/>
                <w:szCs w:val="22"/>
                <w:lang w:eastAsia="en-GB"/>
              </w:rPr>
            </w:pPr>
            <w:r w:rsidRPr="00035668">
              <w:rPr>
                <w:rFonts w:eastAsia="Times New Roman" w:cs="Arial"/>
                <w:color w:val="000000"/>
                <w:szCs w:val="22"/>
                <w:lang w:eastAsia="en-GB"/>
              </w:rPr>
              <w:t>Regional MVP is operational in all three regions (North East of England, London, Wales)</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98C5F0"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Within 18 months of contract award</w:t>
            </w:r>
          </w:p>
        </w:tc>
        <w:tc>
          <w:tcPr>
            <w:tcW w:w="10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5C7B73" w14:textId="542F2176"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All work</w:t>
            </w:r>
            <w:r>
              <w:rPr>
                <w:rFonts w:eastAsia="Times New Roman" w:cs="Arial"/>
                <w:color w:val="000000"/>
                <w:szCs w:val="22"/>
                <w:lang w:eastAsia="en-GB"/>
              </w:rPr>
              <w:t xml:space="preserve"> </w:t>
            </w:r>
            <w:r w:rsidRPr="00035668">
              <w:rPr>
                <w:rFonts w:eastAsia="Times New Roman" w:cs="Arial"/>
                <w:color w:val="000000"/>
                <w:szCs w:val="22"/>
                <w:lang w:eastAsia="en-GB"/>
              </w:rPr>
              <w:t>stream</w:t>
            </w:r>
            <w:r>
              <w:rPr>
                <w:rFonts w:eastAsia="Times New Roman" w:cs="Arial"/>
                <w:color w:val="000000"/>
                <w:szCs w:val="22"/>
                <w:lang w:eastAsia="en-GB"/>
              </w:rPr>
              <w:t>s</w:t>
            </w:r>
          </w:p>
        </w:tc>
      </w:tr>
      <w:tr w:rsidR="00035668" w:rsidRPr="00035668" w14:paraId="1FD2731B" w14:textId="77777777" w:rsidTr="00035668">
        <w:tc>
          <w:tcPr>
            <w:tcW w:w="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AD74D2"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F3</w:t>
            </w:r>
          </w:p>
        </w:tc>
        <w:tc>
          <w:tcPr>
            <w:tcW w:w="5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679D78" w14:textId="77777777" w:rsidR="00035668" w:rsidRPr="00035668" w:rsidRDefault="00035668" w:rsidP="00035668">
            <w:pPr>
              <w:spacing w:before="240" w:after="40"/>
              <w:outlineLvl w:val="3"/>
              <w:rPr>
                <w:rFonts w:eastAsia="Times New Roman" w:cs="Arial"/>
                <w:b/>
                <w:bCs/>
                <w:szCs w:val="22"/>
                <w:lang w:eastAsia="en-GB"/>
              </w:rPr>
            </w:pPr>
            <w:r w:rsidRPr="00035668">
              <w:rPr>
                <w:rFonts w:eastAsia="Times New Roman" w:cs="Arial"/>
                <w:color w:val="000000"/>
                <w:szCs w:val="22"/>
                <w:lang w:eastAsia="en-GB"/>
              </w:rPr>
              <w:t>99% of Asset Owners in groups 1, 2 and 3 in the MVP Regions are refreshing their data to agreed minimum frequencies</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10BDC3"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Within 18 months of contract award</w:t>
            </w:r>
          </w:p>
        </w:tc>
        <w:tc>
          <w:tcPr>
            <w:tcW w:w="10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2FCCDA"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T</w:t>
            </w:r>
          </w:p>
        </w:tc>
      </w:tr>
      <w:tr w:rsidR="008F2DE5" w:rsidRPr="00035668" w14:paraId="48650881" w14:textId="77777777" w:rsidTr="008F2DE5">
        <w:tc>
          <w:tcPr>
            <w:tcW w:w="9009" w:type="dxa"/>
            <w:gridSpan w:val="4"/>
            <w:tcBorders>
              <w:top w:val="single" w:sz="8" w:space="0" w:color="000000"/>
              <w:left w:val="single" w:sz="8" w:space="0" w:color="000000"/>
              <w:bottom w:val="single" w:sz="8" w:space="0" w:color="000000"/>
              <w:right w:val="single" w:sz="8" w:space="0" w:color="000000"/>
            </w:tcBorders>
            <w:shd w:val="clear" w:color="auto" w:fill="B8CCE4" w:themeFill="accent1" w:themeFillTint="66"/>
            <w:tcMar>
              <w:top w:w="100" w:type="dxa"/>
              <w:left w:w="100" w:type="dxa"/>
              <w:bottom w:w="100" w:type="dxa"/>
              <w:right w:w="100" w:type="dxa"/>
            </w:tcMar>
          </w:tcPr>
          <w:p w14:paraId="5F39D31E" w14:textId="77777777" w:rsidR="008F2DE5" w:rsidRPr="00035668" w:rsidRDefault="008F2DE5" w:rsidP="00035668">
            <w:pPr>
              <w:rPr>
                <w:rFonts w:eastAsia="Times New Roman" w:cs="Arial"/>
                <w:color w:val="000000"/>
                <w:szCs w:val="22"/>
                <w:lang w:eastAsia="en-GB"/>
              </w:rPr>
            </w:pPr>
          </w:p>
        </w:tc>
      </w:tr>
      <w:tr w:rsidR="00035668" w:rsidRPr="00035668" w14:paraId="5456CAE8" w14:textId="77777777" w:rsidTr="00035668">
        <w:tc>
          <w:tcPr>
            <w:tcW w:w="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C85C7B" w14:textId="2C810384"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9</w:t>
            </w:r>
          </w:p>
        </w:tc>
        <w:tc>
          <w:tcPr>
            <w:tcW w:w="5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90B0D9" w14:textId="77777777" w:rsidR="00035668" w:rsidRPr="00035668" w:rsidRDefault="00035668" w:rsidP="00035668">
            <w:pPr>
              <w:spacing w:before="280" w:after="80"/>
              <w:outlineLvl w:val="2"/>
              <w:rPr>
                <w:rFonts w:eastAsia="Times New Roman" w:cs="Arial"/>
                <w:b/>
                <w:bCs/>
                <w:szCs w:val="22"/>
                <w:lang w:eastAsia="en-GB"/>
              </w:rPr>
            </w:pPr>
            <w:r w:rsidRPr="00035668">
              <w:rPr>
                <w:rFonts w:eastAsia="Times New Roman" w:cs="Arial"/>
                <w:color w:val="000000"/>
                <w:szCs w:val="22"/>
                <w:lang w:eastAsia="en-GB"/>
              </w:rPr>
              <w:t>Launch of National Rollout</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DD70B0"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Within 19 months of contract award</w:t>
            </w:r>
          </w:p>
        </w:tc>
        <w:tc>
          <w:tcPr>
            <w:tcW w:w="10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E2F827" w14:textId="76C5A70D"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All work</w:t>
            </w:r>
            <w:r>
              <w:rPr>
                <w:rFonts w:eastAsia="Times New Roman" w:cs="Arial"/>
                <w:color w:val="000000"/>
                <w:szCs w:val="22"/>
                <w:lang w:eastAsia="en-GB"/>
              </w:rPr>
              <w:t xml:space="preserve"> </w:t>
            </w:r>
            <w:r w:rsidRPr="00035668">
              <w:rPr>
                <w:rFonts w:eastAsia="Times New Roman" w:cs="Arial"/>
                <w:color w:val="000000"/>
                <w:szCs w:val="22"/>
                <w:lang w:eastAsia="en-GB"/>
              </w:rPr>
              <w:t>streams</w:t>
            </w:r>
          </w:p>
        </w:tc>
      </w:tr>
      <w:tr w:rsidR="008F2DE5" w:rsidRPr="00035668" w14:paraId="3023FA94" w14:textId="77777777" w:rsidTr="008F2DE5">
        <w:tc>
          <w:tcPr>
            <w:tcW w:w="9009" w:type="dxa"/>
            <w:gridSpan w:val="4"/>
            <w:tcBorders>
              <w:top w:val="single" w:sz="8" w:space="0" w:color="000000"/>
              <w:left w:val="single" w:sz="8" w:space="0" w:color="000000"/>
              <w:bottom w:val="single" w:sz="8" w:space="0" w:color="000000"/>
              <w:right w:val="single" w:sz="8" w:space="0" w:color="000000"/>
            </w:tcBorders>
            <w:shd w:val="clear" w:color="auto" w:fill="B8CCE4" w:themeFill="accent1" w:themeFillTint="66"/>
            <w:tcMar>
              <w:top w:w="100" w:type="dxa"/>
              <w:left w:w="100" w:type="dxa"/>
              <w:bottom w:w="100" w:type="dxa"/>
              <w:right w:w="100" w:type="dxa"/>
            </w:tcMar>
          </w:tcPr>
          <w:p w14:paraId="6A6141BE" w14:textId="6BFD7936" w:rsidR="008F2DE5" w:rsidRPr="00035668" w:rsidRDefault="008F2DE5" w:rsidP="00035668">
            <w:pPr>
              <w:rPr>
                <w:rFonts w:eastAsia="Times New Roman" w:cs="Arial"/>
                <w:color w:val="000000"/>
                <w:szCs w:val="22"/>
                <w:lang w:eastAsia="en-GB"/>
              </w:rPr>
            </w:pPr>
            <w:r>
              <w:rPr>
                <w:rFonts w:eastAsia="Times New Roman" w:cs="Arial"/>
                <w:color w:val="000000"/>
                <w:szCs w:val="22"/>
                <w:lang w:eastAsia="en-GB"/>
              </w:rPr>
              <w:t>Gateway Review G – Within 21 months of contract award</w:t>
            </w:r>
          </w:p>
        </w:tc>
      </w:tr>
      <w:tr w:rsidR="00035668" w:rsidRPr="00035668" w14:paraId="501E4541" w14:textId="77777777" w:rsidTr="00035668">
        <w:tc>
          <w:tcPr>
            <w:tcW w:w="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EA8013"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G1</w:t>
            </w:r>
          </w:p>
        </w:tc>
        <w:tc>
          <w:tcPr>
            <w:tcW w:w="5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4020C3" w14:textId="77777777" w:rsidR="00035668" w:rsidRPr="00035668" w:rsidRDefault="00035668" w:rsidP="00035668">
            <w:pPr>
              <w:spacing w:before="240" w:after="40"/>
              <w:outlineLvl w:val="3"/>
              <w:rPr>
                <w:rFonts w:eastAsia="Times New Roman" w:cs="Arial"/>
                <w:b/>
                <w:bCs/>
                <w:szCs w:val="22"/>
                <w:lang w:eastAsia="en-GB"/>
              </w:rPr>
            </w:pPr>
            <w:r w:rsidRPr="00035668">
              <w:rPr>
                <w:rFonts w:eastAsia="Times New Roman" w:cs="Arial"/>
                <w:color w:val="000000"/>
                <w:szCs w:val="22"/>
                <w:lang w:eastAsia="en-GB"/>
              </w:rPr>
              <w:t>99% of Asset Owners in all 4 groups in the MVP Regions are refreshing their data to agreed minimum frequencies</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3593BB"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Within 21 months of contract award</w:t>
            </w:r>
          </w:p>
        </w:tc>
        <w:tc>
          <w:tcPr>
            <w:tcW w:w="10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2178A5"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T</w:t>
            </w:r>
          </w:p>
        </w:tc>
      </w:tr>
      <w:tr w:rsidR="00035668" w:rsidRPr="00035668" w14:paraId="63844DF4" w14:textId="77777777" w:rsidTr="00035668">
        <w:tc>
          <w:tcPr>
            <w:tcW w:w="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53BD5C"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G2</w:t>
            </w:r>
          </w:p>
        </w:tc>
        <w:tc>
          <w:tcPr>
            <w:tcW w:w="5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9437BC" w14:textId="77777777" w:rsidR="00035668" w:rsidRPr="00035668" w:rsidRDefault="00035668" w:rsidP="00035668">
            <w:pPr>
              <w:spacing w:before="240" w:after="40"/>
              <w:outlineLvl w:val="3"/>
              <w:rPr>
                <w:rFonts w:eastAsia="Times New Roman" w:cs="Arial"/>
                <w:b/>
                <w:bCs/>
                <w:szCs w:val="22"/>
                <w:lang w:eastAsia="en-GB"/>
              </w:rPr>
            </w:pPr>
            <w:r w:rsidRPr="00035668">
              <w:rPr>
                <w:rFonts w:eastAsia="Times New Roman" w:cs="Arial"/>
                <w:color w:val="000000"/>
                <w:szCs w:val="22"/>
                <w:lang w:eastAsia="en-GB"/>
              </w:rPr>
              <w:t>Conduct user surveys to measure user satisfaction and NUAR uptake in operations. The desired survey outcomes must indicate that:</w:t>
            </w:r>
          </w:p>
          <w:p w14:paraId="502ADB72" w14:textId="77777777" w:rsidR="00035668" w:rsidRPr="00035668" w:rsidRDefault="00035668" w:rsidP="00035668">
            <w:pPr>
              <w:numPr>
                <w:ilvl w:val="0"/>
                <w:numId w:val="30"/>
              </w:numPr>
              <w:spacing w:before="240"/>
              <w:textAlignment w:val="baseline"/>
              <w:outlineLvl w:val="3"/>
              <w:rPr>
                <w:rFonts w:eastAsia="Times New Roman" w:cs="Arial"/>
                <w:b/>
                <w:bCs/>
                <w:color w:val="666666"/>
                <w:szCs w:val="22"/>
                <w:lang w:eastAsia="en-GB"/>
              </w:rPr>
            </w:pPr>
            <w:r w:rsidRPr="00035668">
              <w:rPr>
                <w:rFonts w:eastAsia="Times New Roman" w:cs="Arial"/>
                <w:color w:val="000000"/>
                <w:szCs w:val="22"/>
                <w:lang w:eastAsia="en-GB"/>
              </w:rPr>
              <w:t>At least 80% of end users in the MVP Regions report platform is easy to use and intuitive</w:t>
            </w:r>
          </w:p>
          <w:p w14:paraId="17318E71" w14:textId="77777777" w:rsidR="00035668" w:rsidRPr="00035668" w:rsidRDefault="00035668" w:rsidP="00035668">
            <w:pPr>
              <w:numPr>
                <w:ilvl w:val="0"/>
                <w:numId w:val="30"/>
              </w:numPr>
              <w:textAlignment w:val="baseline"/>
              <w:outlineLvl w:val="3"/>
              <w:rPr>
                <w:rFonts w:eastAsia="Times New Roman" w:cs="Arial"/>
                <w:b/>
                <w:bCs/>
                <w:color w:val="666666"/>
                <w:szCs w:val="22"/>
                <w:lang w:eastAsia="en-GB"/>
              </w:rPr>
            </w:pPr>
            <w:r w:rsidRPr="00035668">
              <w:rPr>
                <w:rFonts w:eastAsia="Times New Roman" w:cs="Arial"/>
                <w:color w:val="000000"/>
                <w:szCs w:val="22"/>
                <w:lang w:eastAsia="en-GB"/>
              </w:rPr>
              <w:t>At least 80% of excavators in the MVP Regions find the observations feedback loop user friendly and easy to use</w:t>
            </w:r>
          </w:p>
          <w:p w14:paraId="63323959" w14:textId="77777777" w:rsidR="00035668" w:rsidRPr="00035668" w:rsidRDefault="00035668" w:rsidP="00035668">
            <w:pPr>
              <w:numPr>
                <w:ilvl w:val="0"/>
                <w:numId w:val="30"/>
              </w:numPr>
              <w:textAlignment w:val="baseline"/>
              <w:outlineLvl w:val="3"/>
              <w:rPr>
                <w:rFonts w:eastAsia="Times New Roman" w:cs="Arial"/>
                <w:b/>
                <w:bCs/>
                <w:color w:val="666666"/>
                <w:szCs w:val="22"/>
                <w:lang w:eastAsia="en-GB"/>
              </w:rPr>
            </w:pPr>
            <w:r w:rsidRPr="00035668">
              <w:rPr>
                <w:rFonts w:eastAsia="Times New Roman" w:cs="Arial"/>
                <w:color w:val="000000"/>
                <w:szCs w:val="22"/>
                <w:lang w:eastAsia="en-GB"/>
              </w:rPr>
              <w:t>90% of statutory undertakers in the MVP Regions are using the platform to plan and carry out excavations</w:t>
            </w:r>
          </w:p>
          <w:p w14:paraId="18CF034C" w14:textId="77777777" w:rsidR="00035668" w:rsidRPr="00035668" w:rsidRDefault="00035668" w:rsidP="00035668">
            <w:pPr>
              <w:numPr>
                <w:ilvl w:val="0"/>
                <w:numId w:val="30"/>
              </w:numPr>
              <w:spacing w:after="40"/>
              <w:textAlignment w:val="baseline"/>
              <w:outlineLvl w:val="3"/>
              <w:rPr>
                <w:rFonts w:eastAsia="Times New Roman" w:cs="Arial"/>
                <w:b/>
                <w:bCs/>
                <w:color w:val="666666"/>
                <w:szCs w:val="22"/>
                <w:lang w:eastAsia="en-GB"/>
              </w:rPr>
            </w:pPr>
            <w:r w:rsidRPr="00035668">
              <w:rPr>
                <w:rFonts w:eastAsia="Times New Roman" w:cs="Arial"/>
                <w:color w:val="000000"/>
                <w:szCs w:val="22"/>
                <w:lang w:eastAsia="en-GB"/>
              </w:rPr>
              <w:t> 90% of Asset Owners in the MVP Regions have implemented internal processes to respond to feedback made by excavators</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BE26AB"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Within 21 months of contract award</w:t>
            </w:r>
          </w:p>
        </w:tc>
        <w:tc>
          <w:tcPr>
            <w:tcW w:w="10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5C06F9" w14:textId="21DDF1EB"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All work</w:t>
            </w:r>
            <w:r>
              <w:rPr>
                <w:rFonts w:eastAsia="Times New Roman" w:cs="Arial"/>
                <w:color w:val="000000"/>
                <w:szCs w:val="22"/>
                <w:lang w:eastAsia="en-GB"/>
              </w:rPr>
              <w:t xml:space="preserve"> </w:t>
            </w:r>
            <w:r w:rsidRPr="00035668">
              <w:rPr>
                <w:rFonts w:eastAsia="Times New Roman" w:cs="Arial"/>
                <w:color w:val="000000"/>
                <w:szCs w:val="22"/>
                <w:lang w:eastAsia="en-GB"/>
              </w:rPr>
              <w:t>streams</w:t>
            </w:r>
          </w:p>
        </w:tc>
      </w:tr>
      <w:tr w:rsidR="00035668" w:rsidRPr="00035668" w14:paraId="01C9D25B" w14:textId="77777777" w:rsidTr="00035668">
        <w:tc>
          <w:tcPr>
            <w:tcW w:w="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AF7F20"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G3</w:t>
            </w:r>
          </w:p>
        </w:tc>
        <w:tc>
          <w:tcPr>
            <w:tcW w:w="5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ACE7A3" w14:textId="77777777" w:rsidR="00035668" w:rsidRPr="00035668" w:rsidRDefault="00035668" w:rsidP="00035668">
            <w:pPr>
              <w:spacing w:before="240" w:after="40"/>
              <w:outlineLvl w:val="3"/>
              <w:rPr>
                <w:rFonts w:eastAsia="Times New Roman" w:cs="Arial"/>
                <w:b/>
                <w:bCs/>
                <w:szCs w:val="22"/>
                <w:lang w:eastAsia="en-GB"/>
              </w:rPr>
            </w:pPr>
            <w:r w:rsidRPr="00035668">
              <w:rPr>
                <w:rFonts w:eastAsia="Times New Roman" w:cs="Arial"/>
                <w:color w:val="000000"/>
                <w:szCs w:val="22"/>
                <w:lang w:eastAsia="en-GB"/>
              </w:rPr>
              <w:t>Sufficient reporting is available to support the cost recovery regime</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3F191A"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Within 21 months of contract award</w:t>
            </w:r>
          </w:p>
        </w:tc>
        <w:tc>
          <w:tcPr>
            <w:tcW w:w="10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417246"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CR</w:t>
            </w:r>
          </w:p>
        </w:tc>
      </w:tr>
      <w:tr w:rsidR="008F2DE5" w:rsidRPr="00035668" w14:paraId="008DA4E2" w14:textId="77777777" w:rsidTr="008F2DE5">
        <w:tc>
          <w:tcPr>
            <w:tcW w:w="9009" w:type="dxa"/>
            <w:gridSpan w:val="4"/>
            <w:tcBorders>
              <w:top w:val="single" w:sz="8" w:space="0" w:color="000000"/>
              <w:left w:val="single" w:sz="8" w:space="0" w:color="000000"/>
              <w:bottom w:val="single" w:sz="8" w:space="0" w:color="000000"/>
              <w:right w:val="single" w:sz="8" w:space="0" w:color="000000"/>
            </w:tcBorders>
            <w:shd w:val="clear" w:color="auto" w:fill="B8CCE4" w:themeFill="accent1" w:themeFillTint="66"/>
            <w:tcMar>
              <w:top w:w="100" w:type="dxa"/>
              <w:left w:w="100" w:type="dxa"/>
              <w:bottom w:w="100" w:type="dxa"/>
              <w:right w:w="100" w:type="dxa"/>
            </w:tcMar>
          </w:tcPr>
          <w:p w14:paraId="14C91093" w14:textId="23745975" w:rsidR="008F2DE5" w:rsidRPr="00035668" w:rsidRDefault="008F2DE5" w:rsidP="00035668">
            <w:pPr>
              <w:rPr>
                <w:rFonts w:eastAsia="Times New Roman" w:cs="Arial"/>
                <w:color w:val="000000"/>
                <w:szCs w:val="22"/>
                <w:lang w:eastAsia="en-GB"/>
              </w:rPr>
            </w:pPr>
            <w:r>
              <w:rPr>
                <w:rFonts w:eastAsia="Times New Roman" w:cs="Arial"/>
                <w:color w:val="000000"/>
                <w:szCs w:val="22"/>
                <w:lang w:eastAsia="en-GB"/>
              </w:rPr>
              <w:t>Gateway Review H – Within 24 months of contract award</w:t>
            </w:r>
          </w:p>
        </w:tc>
      </w:tr>
      <w:tr w:rsidR="00035668" w:rsidRPr="00035668" w14:paraId="01F7EFB6" w14:textId="77777777" w:rsidTr="00035668">
        <w:tc>
          <w:tcPr>
            <w:tcW w:w="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38D912"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H1</w:t>
            </w:r>
          </w:p>
        </w:tc>
        <w:tc>
          <w:tcPr>
            <w:tcW w:w="5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EC73A8" w14:textId="77777777" w:rsidR="00035668" w:rsidRPr="00035668" w:rsidRDefault="00035668" w:rsidP="00035668">
            <w:pPr>
              <w:spacing w:before="240" w:after="240"/>
              <w:outlineLvl w:val="3"/>
              <w:rPr>
                <w:rFonts w:eastAsia="Times New Roman" w:cs="Arial"/>
                <w:b/>
                <w:bCs/>
                <w:szCs w:val="22"/>
                <w:lang w:eastAsia="en-GB"/>
              </w:rPr>
            </w:pPr>
            <w:r w:rsidRPr="00035668">
              <w:rPr>
                <w:rFonts w:eastAsia="Times New Roman" w:cs="Arial"/>
                <w:color w:val="000000"/>
                <w:szCs w:val="22"/>
                <w:lang w:eastAsia="en-GB"/>
              </w:rPr>
              <w:t>System Architecture Design document - Major review and revision for national rollout</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1DF85B"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Within 24 months of contract award</w:t>
            </w:r>
          </w:p>
        </w:tc>
        <w:tc>
          <w:tcPr>
            <w:tcW w:w="10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941BB6"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D</w:t>
            </w:r>
          </w:p>
        </w:tc>
      </w:tr>
      <w:tr w:rsidR="00035668" w:rsidRPr="00035668" w14:paraId="73CD1DF6" w14:textId="77777777" w:rsidTr="00035668">
        <w:tc>
          <w:tcPr>
            <w:tcW w:w="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B3BD63"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lastRenderedPageBreak/>
              <w:t>H2</w:t>
            </w:r>
          </w:p>
        </w:tc>
        <w:tc>
          <w:tcPr>
            <w:tcW w:w="5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752F25" w14:textId="77777777" w:rsidR="00035668" w:rsidRPr="00035668" w:rsidRDefault="00035668" w:rsidP="00035668">
            <w:pPr>
              <w:spacing w:before="240" w:after="240"/>
              <w:outlineLvl w:val="3"/>
              <w:rPr>
                <w:rFonts w:eastAsia="Times New Roman" w:cs="Arial"/>
                <w:b/>
                <w:bCs/>
                <w:szCs w:val="22"/>
                <w:lang w:eastAsia="en-GB"/>
              </w:rPr>
            </w:pPr>
            <w:r w:rsidRPr="00035668">
              <w:rPr>
                <w:rFonts w:eastAsia="Times New Roman" w:cs="Arial"/>
                <w:color w:val="000000"/>
                <w:szCs w:val="22"/>
                <w:lang w:eastAsia="en-GB"/>
              </w:rPr>
              <w:t>Security Controls and Security Architecture Document - Major review and revision for national rollout</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9E876B"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Within 24 months of contract award</w:t>
            </w:r>
          </w:p>
        </w:tc>
        <w:tc>
          <w:tcPr>
            <w:tcW w:w="10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55B351"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D</w:t>
            </w:r>
          </w:p>
        </w:tc>
      </w:tr>
      <w:tr w:rsidR="00035668" w:rsidRPr="00035668" w14:paraId="75DE850B" w14:textId="77777777" w:rsidTr="00035668">
        <w:tc>
          <w:tcPr>
            <w:tcW w:w="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036A2B"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H3</w:t>
            </w:r>
          </w:p>
        </w:tc>
        <w:tc>
          <w:tcPr>
            <w:tcW w:w="5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0CBA94" w14:textId="77777777" w:rsidR="00035668" w:rsidRPr="00035668" w:rsidRDefault="00035668" w:rsidP="00035668">
            <w:pPr>
              <w:spacing w:before="240" w:after="240"/>
              <w:rPr>
                <w:rFonts w:eastAsia="Times New Roman" w:cs="Arial"/>
                <w:szCs w:val="22"/>
                <w:lang w:eastAsia="en-GB"/>
              </w:rPr>
            </w:pPr>
            <w:r w:rsidRPr="00035668">
              <w:rPr>
                <w:rFonts w:eastAsia="Times New Roman" w:cs="Arial"/>
                <w:color w:val="000000"/>
                <w:szCs w:val="22"/>
                <w:lang w:eastAsia="en-GB"/>
              </w:rPr>
              <w:t>Integration Design Document - Major review and revision for national rollout</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5E9A21"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Within 24 months of contract award</w:t>
            </w:r>
          </w:p>
        </w:tc>
        <w:tc>
          <w:tcPr>
            <w:tcW w:w="10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147BCE"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D</w:t>
            </w:r>
          </w:p>
        </w:tc>
      </w:tr>
      <w:tr w:rsidR="00035668" w:rsidRPr="00035668" w14:paraId="23FCFF18" w14:textId="77777777" w:rsidTr="00035668">
        <w:tc>
          <w:tcPr>
            <w:tcW w:w="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A2F6D2"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H4</w:t>
            </w:r>
          </w:p>
        </w:tc>
        <w:tc>
          <w:tcPr>
            <w:tcW w:w="5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E3D1FF" w14:textId="77777777" w:rsidR="00035668" w:rsidRPr="00035668" w:rsidRDefault="00035668" w:rsidP="00035668">
            <w:pPr>
              <w:spacing w:before="240" w:after="240"/>
              <w:rPr>
                <w:rFonts w:eastAsia="Times New Roman" w:cs="Arial"/>
                <w:szCs w:val="22"/>
                <w:lang w:eastAsia="en-GB"/>
              </w:rPr>
            </w:pPr>
            <w:r w:rsidRPr="00035668">
              <w:rPr>
                <w:rFonts w:eastAsia="Times New Roman" w:cs="Arial"/>
                <w:color w:val="000000"/>
                <w:szCs w:val="22"/>
                <w:lang w:eastAsia="en-GB"/>
              </w:rPr>
              <w:t>API Specification Documents - Major review and revision for national rollout</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FBF949"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Within 24 months of contract award</w:t>
            </w:r>
          </w:p>
        </w:tc>
        <w:tc>
          <w:tcPr>
            <w:tcW w:w="10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7079CA"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D</w:t>
            </w:r>
          </w:p>
        </w:tc>
      </w:tr>
      <w:tr w:rsidR="00035668" w:rsidRPr="00035668" w14:paraId="28BC8621" w14:textId="77777777" w:rsidTr="00035668">
        <w:tc>
          <w:tcPr>
            <w:tcW w:w="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D304D9"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H5</w:t>
            </w:r>
          </w:p>
        </w:tc>
        <w:tc>
          <w:tcPr>
            <w:tcW w:w="5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6DDD76" w14:textId="77777777" w:rsidR="00035668" w:rsidRPr="00035668" w:rsidRDefault="00035668" w:rsidP="00035668">
            <w:pPr>
              <w:spacing w:before="240" w:after="240"/>
              <w:rPr>
                <w:rFonts w:eastAsia="Times New Roman" w:cs="Arial"/>
                <w:szCs w:val="22"/>
                <w:lang w:eastAsia="en-GB"/>
              </w:rPr>
            </w:pPr>
            <w:r w:rsidRPr="00035668">
              <w:rPr>
                <w:rFonts w:eastAsia="Times New Roman" w:cs="Arial"/>
                <w:color w:val="000000"/>
                <w:szCs w:val="22"/>
                <w:lang w:eastAsia="en-GB"/>
              </w:rPr>
              <w:t>Core Data Specification and Feature Catalogue - Major review and revision for national rollout</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D5CF88"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Within 24 months of contract award</w:t>
            </w:r>
          </w:p>
        </w:tc>
        <w:tc>
          <w:tcPr>
            <w:tcW w:w="10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99D63D"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D</w:t>
            </w:r>
          </w:p>
        </w:tc>
      </w:tr>
      <w:tr w:rsidR="00035668" w:rsidRPr="00035668" w14:paraId="3384B03B" w14:textId="77777777" w:rsidTr="00035668">
        <w:tc>
          <w:tcPr>
            <w:tcW w:w="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725AA8" w14:textId="5ABB5256" w:rsidR="00035668" w:rsidRPr="00035668" w:rsidRDefault="008F2DE5" w:rsidP="00035668">
            <w:pPr>
              <w:rPr>
                <w:rFonts w:eastAsia="Times New Roman" w:cs="Arial"/>
                <w:szCs w:val="22"/>
                <w:lang w:eastAsia="en-GB"/>
              </w:rPr>
            </w:pPr>
            <w:r>
              <w:rPr>
                <w:rFonts w:eastAsia="Times New Roman" w:cs="Arial"/>
                <w:color w:val="000000"/>
                <w:szCs w:val="22"/>
                <w:lang w:eastAsia="en-GB"/>
              </w:rPr>
              <w:t>H6</w:t>
            </w:r>
          </w:p>
        </w:tc>
        <w:tc>
          <w:tcPr>
            <w:tcW w:w="5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0CCCFD" w14:textId="77777777" w:rsidR="00035668" w:rsidRPr="00035668" w:rsidRDefault="00035668" w:rsidP="00035668">
            <w:pPr>
              <w:spacing w:before="240" w:after="240"/>
              <w:rPr>
                <w:rFonts w:eastAsia="Times New Roman" w:cs="Arial"/>
                <w:szCs w:val="22"/>
                <w:lang w:eastAsia="en-GB"/>
              </w:rPr>
            </w:pPr>
            <w:r w:rsidRPr="00035668">
              <w:rPr>
                <w:rFonts w:eastAsia="Times New Roman" w:cs="Arial"/>
                <w:color w:val="000000"/>
                <w:szCs w:val="22"/>
                <w:lang w:eastAsia="en-GB"/>
              </w:rPr>
              <w:t>Product backlog - Major review and revision for national rollout</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20E1EC"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Within 24 months of contract award</w:t>
            </w:r>
          </w:p>
        </w:tc>
        <w:tc>
          <w:tcPr>
            <w:tcW w:w="10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0EF975"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D</w:t>
            </w:r>
          </w:p>
        </w:tc>
      </w:tr>
      <w:tr w:rsidR="00035668" w:rsidRPr="00035668" w14:paraId="2B2BBF37" w14:textId="77777777" w:rsidTr="00035668">
        <w:tc>
          <w:tcPr>
            <w:tcW w:w="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69A027" w14:textId="40C1430E" w:rsidR="00035668" w:rsidRPr="00035668" w:rsidRDefault="008F2DE5" w:rsidP="00035668">
            <w:pPr>
              <w:rPr>
                <w:rFonts w:eastAsia="Times New Roman" w:cs="Arial"/>
                <w:szCs w:val="22"/>
                <w:lang w:eastAsia="en-GB"/>
              </w:rPr>
            </w:pPr>
            <w:r>
              <w:rPr>
                <w:rFonts w:eastAsia="Times New Roman" w:cs="Arial"/>
                <w:color w:val="000000"/>
                <w:szCs w:val="22"/>
                <w:lang w:eastAsia="en-GB"/>
              </w:rPr>
              <w:t>H7</w:t>
            </w:r>
          </w:p>
        </w:tc>
        <w:tc>
          <w:tcPr>
            <w:tcW w:w="5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31AE0A" w14:textId="77777777" w:rsidR="00035668" w:rsidRPr="00035668" w:rsidRDefault="00035668" w:rsidP="00035668">
            <w:pPr>
              <w:spacing w:before="240" w:after="240"/>
              <w:rPr>
                <w:rFonts w:eastAsia="Times New Roman" w:cs="Arial"/>
                <w:szCs w:val="22"/>
                <w:lang w:eastAsia="en-GB"/>
              </w:rPr>
            </w:pPr>
            <w:r w:rsidRPr="00035668">
              <w:rPr>
                <w:rFonts w:eastAsia="Times New Roman" w:cs="Arial"/>
                <w:color w:val="000000"/>
                <w:szCs w:val="22"/>
                <w:shd w:val="clear" w:color="auto" w:fill="FFFFFF"/>
                <w:lang w:eastAsia="en-GB"/>
              </w:rPr>
              <w:t xml:space="preserve">Materials for Data Model familiarisation sessions </w:t>
            </w:r>
            <w:r w:rsidRPr="00035668">
              <w:rPr>
                <w:rFonts w:eastAsia="Times New Roman" w:cs="Arial"/>
                <w:color w:val="000000"/>
                <w:szCs w:val="22"/>
                <w:lang w:eastAsia="en-GB"/>
              </w:rPr>
              <w:t>-Major review and revision for national rollout</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EEA67B"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Within 24 months of contract award</w:t>
            </w:r>
          </w:p>
        </w:tc>
        <w:tc>
          <w:tcPr>
            <w:tcW w:w="10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C78450"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D</w:t>
            </w:r>
          </w:p>
        </w:tc>
      </w:tr>
      <w:tr w:rsidR="00035668" w:rsidRPr="00035668" w14:paraId="755650A7" w14:textId="77777777" w:rsidTr="00035668">
        <w:tc>
          <w:tcPr>
            <w:tcW w:w="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5365C4" w14:textId="2DA15A2A" w:rsidR="00035668" w:rsidRPr="00035668" w:rsidRDefault="008F2DE5" w:rsidP="00035668">
            <w:pPr>
              <w:rPr>
                <w:rFonts w:eastAsia="Times New Roman" w:cs="Arial"/>
                <w:szCs w:val="22"/>
                <w:lang w:eastAsia="en-GB"/>
              </w:rPr>
            </w:pPr>
            <w:r>
              <w:rPr>
                <w:rFonts w:eastAsia="Times New Roman" w:cs="Arial"/>
                <w:color w:val="000000"/>
                <w:szCs w:val="22"/>
                <w:lang w:eastAsia="en-GB"/>
              </w:rPr>
              <w:t>H8</w:t>
            </w:r>
          </w:p>
        </w:tc>
        <w:tc>
          <w:tcPr>
            <w:tcW w:w="5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73E04D" w14:textId="77777777" w:rsidR="00035668" w:rsidRPr="00035668" w:rsidRDefault="00035668" w:rsidP="00035668">
            <w:pPr>
              <w:spacing w:before="240" w:after="240"/>
              <w:rPr>
                <w:rFonts w:eastAsia="Times New Roman" w:cs="Arial"/>
                <w:szCs w:val="22"/>
                <w:lang w:eastAsia="en-GB"/>
              </w:rPr>
            </w:pPr>
            <w:r w:rsidRPr="00035668">
              <w:rPr>
                <w:rFonts w:eastAsia="Times New Roman" w:cs="Arial"/>
                <w:color w:val="000000"/>
                <w:szCs w:val="22"/>
                <w:shd w:val="clear" w:color="auto" w:fill="FFFFFF"/>
                <w:lang w:eastAsia="en-GB"/>
              </w:rPr>
              <w:t xml:space="preserve">Data Design document: User Account and Security data </w:t>
            </w:r>
            <w:r w:rsidRPr="00035668">
              <w:rPr>
                <w:rFonts w:eastAsia="Times New Roman" w:cs="Arial"/>
                <w:color w:val="000000"/>
                <w:szCs w:val="22"/>
                <w:lang w:eastAsia="en-GB"/>
              </w:rPr>
              <w:t>- Major review and revision for national rollout</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70CA7A"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Within 24 months of contract award</w:t>
            </w:r>
          </w:p>
        </w:tc>
        <w:tc>
          <w:tcPr>
            <w:tcW w:w="10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99AB87"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D</w:t>
            </w:r>
          </w:p>
        </w:tc>
      </w:tr>
      <w:tr w:rsidR="00035668" w:rsidRPr="00035668" w14:paraId="25F70EE8" w14:textId="77777777" w:rsidTr="00035668">
        <w:tc>
          <w:tcPr>
            <w:tcW w:w="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610531" w14:textId="0BE4F3B3" w:rsidR="00035668" w:rsidRPr="00035668" w:rsidRDefault="008F2DE5" w:rsidP="00035668">
            <w:pPr>
              <w:rPr>
                <w:rFonts w:eastAsia="Times New Roman" w:cs="Arial"/>
                <w:szCs w:val="22"/>
                <w:lang w:eastAsia="en-GB"/>
              </w:rPr>
            </w:pPr>
            <w:r>
              <w:rPr>
                <w:rFonts w:eastAsia="Times New Roman" w:cs="Arial"/>
                <w:color w:val="000000"/>
                <w:szCs w:val="22"/>
                <w:lang w:eastAsia="en-GB"/>
              </w:rPr>
              <w:t>H9</w:t>
            </w:r>
          </w:p>
        </w:tc>
        <w:tc>
          <w:tcPr>
            <w:tcW w:w="5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10D948" w14:textId="77777777" w:rsidR="00035668" w:rsidRPr="00035668" w:rsidRDefault="00035668" w:rsidP="00035668">
            <w:pPr>
              <w:spacing w:before="240" w:after="240"/>
              <w:rPr>
                <w:rFonts w:eastAsia="Times New Roman" w:cs="Arial"/>
                <w:szCs w:val="22"/>
                <w:lang w:eastAsia="en-GB"/>
              </w:rPr>
            </w:pPr>
            <w:r w:rsidRPr="00035668">
              <w:rPr>
                <w:rFonts w:eastAsia="Times New Roman" w:cs="Arial"/>
                <w:color w:val="000000"/>
                <w:szCs w:val="22"/>
                <w:shd w:val="clear" w:color="auto" w:fill="FFFFFF"/>
                <w:lang w:eastAsia="en-GB"/>
              </w:rPr>
              <w:t xml:space="preserve">Data Design document: other data structures </w:t>
            </w:r>
            <w:r w:rsidRPr="00035668">
              <w:rPr>
                <w:rFonts w:eastAsia="Times New Roman" w:cs="Arial"/>
                <w:color w:val="000000"/>
                <w:szCs w:val="22"/>
                <w:lang w:eastAsia="en-GB"/>
              </w:rPr>
              <w:t>- Major review and revision for national rollout</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6C66A4"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Within 24 months of contract award</w:t>
            </w:r>
          </w:p>
        </w:tc>
        <w:tc>
          <w:tcPr>
            <w:tcW w:w="10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3178E1"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D</w:t>
            </w:r>
          </w:p>
        </w:tc>
      </w:tr>
      <w:tr w:rsidR="00035668" w:rsidRPr="00035668" w14:paraId="13C720B7" w14:textId="77777777" w:rsidTr="00035668">
        <w:tc>
          <w:tcPr>
            <w:tcW w:w="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03927B" w14:textId="79FE5413" w:rsidR="00035668" w:rsidRPr="00035668" w:rsidRDefault="008F2DE5" w:rsidP="00035668">
            <w:pPr>
              <w:rPr>
                <w:rFonts w:eastAsia="Times New Roman" w:cs="Arial"/>
                <w:szCs w:val="22"/>
                <w:lang w:eastAsia="en-GB"/>
              </w:rPr>
            </w:pPr>
            <w:r>
              <w:rPr>
                <w:rFonts w:eastAsia="Times New Roman" w:cs="Arial"/>
                <w:color w:val="000000"/>
                <w:szCs w:val="22"/>
                <w:lang w:eastAsia="en-GB"/>
              </w:rPr>
              <w:t>H10</w:t>
            </w:r>
          </w:p>
        </w:tc>
        <w:tc>
          <w:tcPr>
            <w:tcW w:w="5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173501" w14:textId="77777777" w:rsidR="00035668" w:rsidRPr="00035668" w:rsidRDefault="00035668" w:rsidP="00035668">
            <w:pPr>
              <w:spacing w:before="240" w:after="240"/>
              <w:rPr>
                <w:rFonts w:eastAsia="Times New Roman" w:cs="Arial"/>
                <w:szCs w:val="22"/>
                <w:lang w:eastAsia="en-GB"/>
              </w:rPr>
            </w:pPr>
            <w:r w:rsidRPr="00035668">
              <w:rPr>
                <w:rFonts w:eastAsia="Times New Roman" w:cs="Arial"/>
                <w:color w:val="000000"/>
                <w:szCs w:val="22"/>
                <w:shd w:val="clear" w:color="auto" w:fill="FFFFFF"/>
                <w:lang w:eastAsia="en-GB"/>
              </w:rPr>
              <w:t xml:space="preserve">Data Transformation and Ingestion Subsystem Architecture Design </w:t>
            </w:r>
            <w:r w:rsidRPr="00035668">
              <w:rPr>
                <w:rFonts w:eastAsia="Times New Roman" w:cs="Arial"/>
                <w:color w:val="000000"/>
                <w:szCs w:val="22"/>
                <w:lang w:eastAsia="en-GB"/>
              </w:rPr>
              <w:t>- Major review and revision for national rollout</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59234E"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Within 24 months of contract award</w:t>
            </w:r>
          </w:p>
        </w:tc>
        <w:tc>
          <w:tcPr>
            <w:tcW w:w="10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191854"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D</w:t>
            </w:r>
          </w:p>
        </w:tc>
      </w:tr>
      <w:tr w:rsidR="00035668" w:rsidRPr="00035668" w14:paraId="5C125960" w14:textId="77777777" w:rsidTr="00035668">
        <w:tc>
          <w:tcPr>
            <w:tcW w:w="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3EC9EC" w14:textId="357C30D5" w:rsidR="00035668" w:rsidRPr="00035668" w:rsidRDefault="008F2DE5" w:rsidP="00035668">
            <w:pPr>
              <w:rPr>
                <w:rFonts w:eastAsia="Times New Roman" w:cs="Arial"/>
                <w:szCs w:val="22"/>
                <w:lang w:eastAsia="en-GB"/>
              </w:rPr>
            </w:pPr>
            <w:r>
              <w:rPr>
                <w:rFonts w:eastAsia="Times New Roman" w:cs="Arial"/>
                <w:color w:val="000000"/>
                <w:szCs w:val="22"/>
                <w:lang w:eastAsia="en-GB"/>
              </w:rPr>
              <w:t>H11</w:t>
            </w:r>
          </w:p>
        </w:tc>
        <w:tc>
          <w:tcPr>
            <w:tcW w:w="5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D53A79" w14:textId="77777777" w:rsidR="00035668" w:rsidRPr="00035668" w:rsidRDefault="00035668" w:rsidP="00035668">
            <w:pPr>
              <w:spacing w:before="240" w:after="240"/>
              <w:rPr>
                <w:rFonts w:eastAsia="Times New Roman" w:cs="Arial"/>
                <w:szCs w:val="22"/>
                <w:lang w:eastAsia="en-GB"/>
              </w:rPr>
            </w:pPr>
            <w:r w:rsidRPr="00035668">
              <w:rPr>
                <w:rFonts w:eastAsia="Times New Roman" w:cs="Arial"/>
                <w:color w:val="000000"/>
                <w:szCs w:val="22"/>
                <w:shd w:val="clear" w:color="auto" w:fill="FFFFFF"/>
                <w:lang w:eastAsia="en-GB"/>
              </w:rPr>
              <w:t xml:space="preserve">Security Controls document </w:t>
            </w:r>
            <w:r w:rsidRPr="00035668">
              <w:rPr>
                <w:rFonts w:eastAsia="Times New Roman" w:cs="Arial"/>
                <w:color w:val="000000"/>
                <w:szCs w:val="22"/>
                <w:lang w:eastAsia="en-GB"/>
              </w:rPr>
              <w:t>- Major review and revision for national rollout</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3128B3"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Within 24 months of contract award</w:t>
            </w:r>
          </w:p>
        </w:tc>
        <w:tc>
          <w:tcPr>
            <w:tcW w:w="10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7A7CCC"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D</w:t>
            </w:r>
          </w:p>
        </w:tc>
      </w:tr>
      <w:tr w:rsidR="008F2DE5" w:rsidRPr="00035668" w14:paraId="40289D98" w14:textId="77777777" w:rsidTr="008F2DE5">
        <w:tc>
          <w:tcPr>
            <w:tcW w:w="9009" w:type="dxa"/>
            <w:gridSpan w:val="4"/>
            <w:tcBorders>
              <w:top w:val="single" w:sz="8" w:space="0" w:color="000000"/>
              <w:left w:val="single" w:sz="8" w:space="0" w:color="000000"/>
              <w:bottom w:val="single" w:sz="8" w:space="0" w:color="000000"/>
              <w:right w:val="single" w:sz="8" w:space="0" w:color="000000"/>
            </w:tcBorders>
            <w:shd w:val="clear" w:color="auto" w:fill="B8CCE4" w:themeFill="accent1" w:themeFillTint="66"/>
            <w:tcMar>
              <w:top w:w="100" w:type="dxa"/>
              <w:left w:w="100" w:type="dxa"/>
              <w:bottom w:w="100" w:type="dxa"/>
              <w:right w:w="100" w:type="dxa"/>
            </w:tcMar>
          </w:tcPr>
          <w:p w14:paraId="1B30F4B6" w14:textId="77777777" w:rsidR="008F2DE5" w:rsidRPr="00035668" w:rsidRDefault="008F2DE5" w:rsidP="00035668">
            <w:pPr>
              <w:rPr>
                <w:rFonts w:eastAsia="Times New Roman" w:cs="Arial"/>
                <w:color w:val="000000"/>
                <w:szCs w:val="22"/>
                <w:lang w:eastAsia="en-GB"/>
              </w:rPr>
            </w:pPr>
          </w:p>
        </w:tc>
      </w:tr>
      <w:tr w:rsidR="00035668" w:rsidRPr="00035668" w14:paraId="3534E77B" w14:textId="77777777" w:rsidTr="00035668">
        <w:tc>
          <w:tcPr>
            <w:tcW w:w="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E8989F" w14:textId="3FBFBF8F"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lastRenderedPageBreak/>
              <w:t>10</w:t>
            </w:r>
          </w:p>
        </w:tc>
        <w:tc>
          <w:tcPr>
            <w:tcW w:w="5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33C288" w14:textId="77777777" w:rsidR="00035668" w:rsidRPr="00035668" w:rsidRDefault="00035668" w:rsidP="00035668">
            <w:pPr>
              <w:spacing w:before="240" w:after="40"/>
              <w:outlineLvl w:val="3"/>
              <w:rPr>
                <w:rFonts w:eastAsia="Times New Roman" w:cs="Arial"/>
                <w:b/>
                <w:bCs/>
                <w:szCs w:val="22"/>
                <w:lang w:eastAsia="en-GB"/>
              </w:rPr>
            </w:pPr>
            <w:r w:rsidRPr="00035668">
              <w:rPr>
                <w:rFonts w:eastAsia="Times New Roman" w:cs="Arial"/>
                <w:color w:val="000000"/>
                <w:szCs w:val="22"/>
                <w:lang w:eastAsia="en-GB"/>
              </w:rPr>
              <w:t>Conduct user surveys to measure user satisfaction and NUAR uptake in operations. The desired survey outcomes must indicate that:</w:t>
            </w:r>
          </w:p>
          <w:p w14:paraId="01BAD325" w14:textId="77777777" w:rsidR="00035668" w:rsidRPr="00035668" w:rsidRDefault="00035668" w:rsidP="00035668">
            <w:pPr>
              <w:numPr>
                <w:ilvl w:val="0"/>
                <w:numId w:val="31"/>
              </w:numPr>
              <w:spacing w:before="240"/>
              <w:textAlignment w:val="baseline"/>
              <w:outlineLvl w:val="3"/>
              <w:rPr>
                <w:rFonts w:eastAsia="Times New Roman" w:cs="Arial"/>
                <w:b/>
                <w:bCs/>
                <w:color w:val="666666"/>
                <w:szCs w:val="22"/>
                <w:lang w:eastAsia="en-GB"/>
              </w:rPr>
            </w:pPr>
            <w:r w:rsidRPr="00035668">
              <w:rPr>
                <w:rFonts w:eastAsia="Times New Roman" w:cs="Arial"/>
                <w:color w:val="000000"/>
                <w:szCs w:val="22"/>
                <w:lang w:eastAsia="en-GB"/>
              </w:rPr>
              <w:t>90% of planners in the MVP Regions report using NUAR as their first point of call when planning excavations</w:t>
            </w:r>
          </w:p>
          <w:p w14:paraId="7742EFF4" w14:textId="77777777" w:rsidR="00035668" w:rsidRPr="00035668" w:rsidRDefault="00035668" w:rsidP="00035668">
            <w:pPr>
              <w:numPr>
                <w:ilvl w:val="0"/>
                <w:numId w:val="31"/>
              </w:numPr>
              <w:textAlignment w:val="baseline"/>
              <w:outlineLvl w:val="3"/>
              <w:rPr>
                <w:rFonts w:eastAsia="Times New Roman" w:cs="Arial"/>
                <w:b/>
                <w:bCs/>
                <w:color w:val="666666"/>
                <w:szCs w:val="22"/>
                <w:lang w:eastAsia="en-GB"/>
              </w:rPr>
            </w:pPr>
            <w:r w:rsidRPr="00035668">
              <w:rPr>
                <w:rFonts w:eastAsia="Times New Roman" w:cs="Arial"/>
                <w:color w:val="000000"/>
                <w:szCs w:val="22"/>
                <w:lang w:eastAsia="en-GB"/>
              </w:rPr>
              <w:t>85% of Asset Owners surveyed in the MVP Regions report using NUAR in the field when carrying out excavations</w:t>
            </w:r>
          </w:p>
          <w:p w14:paraId="5DFC68B7" w14:textId="77777777" w:rsidR="00035668" w:rsidRPr="00035668" w:rsidRDefault="00035668" w:rsidP="00035668">
            <w:pPr>
              <w:numPr>
                <w:ilvl w:val="0"/>
                <w:numId w:val="31"/>
              </w:numPr>
              <w:spacing w:after="40"/>
              <w:textAlignment w:val="baseline"/>
              <w:outlineLvl w:val="3"/>
              <w:rPr>
                <w:rFonts w:eastAsia="Times New Roman" w:cs="Arial"/>
                <w:b/>
                <w:bCs/>
                <w:color w:val="666666"/>
                <w:szCs w:val="22"/>
                <w:lang w:eastAsia="en-GB"/>
              </w:rPr>
            </w:pPr>
            <w:r w:rsidRPr="00035668">
              <w:rPr>
                <w:rFonts w:eastAsia="Times New Roman" w:cs="Arial"/>
                <w:color w:val="000000"/>
                <w:szCs w:val="22"/>
                <w:lang w:eastAsia="en-GB"/>
              </w:rPr>
              <w:t>85% of surveyed end users report high levels of satisfaction with the user experience (see guidance on measuring user satisfaction)</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4A15D0"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Within 27 months of contract award</w:t>
            </w:r>
          </w:p>
        </w:tc>
        <w:tc>
          <w:tcPr>
            <w:tcW w:w="10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3BB253" w14:textId="64939308"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All work</w:t>
            </w:r>
            <w:r>
              <w:rPr>
                <w:rFonts w:eastAsia="Times New Roman" w:cs="Arial"/>
                <w:color w:val="000000"/>
                <w:szCs w:val="22"/>
                <w:lang w:eastAsia="en-GB"/>
              </w:rPr>
              <w:t xml:space="preserve"> </w:t>
            </w:r>
            <w:r w:rsidRPr="00035668">
              <w:rPr>
                <w:rFonts w:eastAsia="Times New Roman" w:cs="Arial"/>
                <w:color w:val="000000"/>
                <w:szCs w:val="22"/>
                <w:lang w:eastAsia="en-GB"/>
              </w:rPr>
              <w:t>streams</w:t>
            </w:r>
          </w:p>
        </w:tc>
      </w:tr>
      <w:tr w:rsidR="00035668" w:rsidRPr="00035668" w14:paraId="44A9E242" w14:textId="77777777" w:rsidTr="00035668">
        <w:tc>
          <w:tcPr>
            <w:tcW w:w="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A11E8B" w14:textId="6F72FAC2"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11</w:t>
            </w:r>
          </w:p>
        </w:tc>
        <w:tc>
          <w:tcPr>
            <w:tcW w:w="5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1D9190" w14:textId="68539B95" w:rsidR="00035668" w:rsidRPr="00035668" w:rsidRDefault="00035668" w:rsidP="00035668">
            <w:pPr>
              <w:rPr>
                <w:rFonts w:eastAsia="Times New Roman" w:cs="Arial"/>
                <w:color w:val="000000"/>
                <w:szCs w:val="22"/>
                <w:lang w:eastAsia="en-GB"/>
              </w:rPr>
            </w:pPr>
            <w:r w:rsidRPr="00035668">
              <w:rPr>
                <w:rFonts w:eastAsia="Times New Roman" w:cs="Arial"/>
                <w:color w:val="000000"/>
                <w:szCs w:val="22"/>
                <w:lang w:eastAsia="en-GB"/>
              </w:rPr>
              <w:t>Exit strategy - Amendment for end of contract exit</w:t>
            </w:r>
            <w:r w:rsidR="001621D0">
              <w:rPr>
                <w:rFonts w:eastAsia="Times New Roman" w:cs="Arial"/>
                <w:color w:val="000000"/>
                <w:szCs w:val="22"/>
                <w:lang w:eastAsia="en-GB"/>
              </w:rPr>
              <w:t xml:space="preserve">, </w:t>
            </w:r>
            <w:r w:rsidR="00DD6EFD">
              <w:rPr>
                <w:rFonts w:eastAsia="Times New Roman" w:cs="Arial"/>
                <w:color w:val="000000"/>
                <w:szCs w:val="22"/>
                <w:lang w:eastAsia="en-GB"/>
              </w:rPr>
              <w:t>including records as per 6.8</w:t>
            </w:r>
            <w:r w:rsidR="001621D0" w:rsidRPr="001621D0">
              <w:rPr>
                <w:rFonts w:eastAsia="Times New Roman" w:cs="Arial"/>
                <w:color w:val="000000"/>
                <w:szCs w:val="22"/>
                <w:lang w:eastAsia="en-GB"/>
              </w:rPr>
              <w:t>.1</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661DB4"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Within 33 months of contract award</w:t>
            </w:r>
          </w:p>
        </w:tc>
        <w:tc>
          <w:tcPr>
            <w:tcW w:w="10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7EB9C8"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CR</w:t>
            </w:r>
          </w:p>
        </w:tc>
      </w:tr>
      <w:tr w:rsidR="008F2DE5" w:rsidRPr="00035668" w14:paraId="23C44DF4" w14:textId="77777777" w:rsidTr="008F2DE5">
        <w:tc>
          <w:tcPr>
            <w:tcW w:w="9009" w:type="dxa"/>
            <w:gridSpan w:val="4"/>
            <w:tcBorders>
              <w:top w:val="single" w:sz="8" w:space="0" w:color="000000"/>
              <w:left w:val="single" w:sz="8" w:space="0" w:color="000000"/>
              <w:bottom w:val="single" w:sz="8" w:space="0" w:color="000000"/>
              <w:right w:val="single" w:sz="8" w:space="0" w:color="000000"/>
            </w:tcBorders>
            <w:shd w:val="clear" w:color="auto" w:fill="B8CCE4" w:themeFill="accent1" w:themeFillTint="66"/>
            <w:tcMar>
              <w:top w:w="100" w:type="dxa"/>
              <w:left w:w="100" w:type="dxa"/>
              <w:bottom w:w="100" w:type="dxa"/>
              <w:right w:w="100" w:type="dxa"/>
            </w:tcMar>
          </w:tcPr>
          <w:p w14:paraId="4682D222" w14:textId="4C168397" w:rsidR="008F2DE5" w:rsidRPr="00035668" w:rsidRDefault="008F2DE5" w:rsidP="00035668">
            <w:pPr>
              <w:rPr>
                <w:rFonts w:eastAsia="Times New Roman" w:cs="Arial"/>
                <w:color w:val="000000"/>
                <w:szCs w:val="22"/>
                <w:lang w:eastAsia="en-GB"/>
              </w:rPr>
            </w:pPr>
            <w:r>
              <w:rPr>
                <w:rFonts w:eastAsia="Times New Roman" w:cs="Arial"/>
                <w:color w:val="000000"/>
                <w:szCs w:val="22"/>
                <w:lang w:eastAsia="en-GB"/>
              </w:rPr>
              <w:t>Gateway Review I – Within 36 months of contract award</w:t>
            </w:r>
          </w:p>
        </w:tc>
      </w:tr>
      <w:tr w:rsidR="00035668" w:rsidRPr="00035668" w14:paraId="431981C6" w14:textId="77777777" w:rsidTr="00035668">
        <w:tc>
          <w:tcPr>
            <w:tcW w:w="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DFE44E"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I1</w:t>
            </w:r>
          </w:p>
        </w:tc>
        <w:tc>
          <w:tcPr>
            <w:tcW w:w="5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4667FD" w14:textId="77777777" w:rsidR="00035668" w:rsidRPr="00035668" w:rsidRDefault="00035668" w:rsidP="00035668">
            <w:pPr>
              <w:spacing w:before="240" w:after="40"/>
              <w:outlineLvl w:val="3"/>
              <w:rPr>
                <w:rFonts w:eastAsia="Times New Roman" w:cs="Arial"/>
                <w:b/>
                <w:bCs/>
                <w:szCs w:val="22"/>
                <w:lang w:eastAsia="en-GB"/>
              </w:rPr>
            </w:pPr>
            <w:r w:rsidRPr="00035668">
              <w:rPr>
                <w:rFonts w:eastAsia="Times New Roman" w:cs="Arial"/>
                <w:color w:val="000000"/>
                <w:szCs w:val="22"/>
                <w:lang w:eastAsia="en-GB"/>
              </w:rPr>
              <w:t>99% of Asset Owners across the UK are refreshing their data to agreed minimum frequencies</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104515"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Within 36 months of contract award</w:t>
            </w:r>
          </w:p>
        </w:tc>
        <w:tc>
          <w:tcPr>
            <w:tcW w:w="10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44450A"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T</w:t>
            </w:r>
          </w:p>
        </w:tc>
      </w:tr>
      <w:tr w:rsidR="00035668" w:rsidRPr="00035668" w14:paraId="22E8EDD7" w14:textId="77777777" w:rsidTr="00035668">
        <w:tc>
          <w:tcPr>
            <w:tcW w:w="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946D69"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I2</w:t>
            </w:r>
          </w:p>
        </w:tc>
        <w:tc>
          <w:tcPr>
            <w:tcW w:w="5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361EE1" w14:textId="77777777" w:rsidR="00035668" w:rsidRPr="00035668" w:rsidRDefault="00035668" w:rsidP="00035668">
            <w:pPr>
              <w:spacing w:before="280" w:after="80"/>
              <w:outlineLvl w:val="2"/>
              <w:rPr>
                <w:rFonts w:eastAsia="Times New Roman" w:cs="Arial"/>
                <w:b/>
                <w:bCs/>
                <w:szCs w:val="22"/>
                <w:lang w:eastAsia="en-GB"/>
              </w:rPr>
            </w:pPr>
            <w:r w:rsidRPr="00035668">
              <w:rPr>
                <w:rFonts w:eastAsia="Times New Roman" w:cs="Arial"/>
                <w:color w:val="000000"/>
                <w:szCs w:val="22"/>
                <w:lang w:eastAsia="en-GB"/>
              </w:rPr>
              <w:t>NUAR delivered, available for production use across the UK</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4B4705" w14:textId="77777777" w:rsidR="00035668" w:rsidRPr="00035668" w:rsidRDefault="00035668" w:rsidP="00035668">
            <w:pPr>
              <w:rPr>
                <w:rFonts w:eastAsia="Times New Roman" w:cs="Arial"/>
                <w:szCs w:val="22"/>
                <w:lang w:eastAsia="en-GB"/>
              </w:rPr>
            </w:pPr>
            <w:r w:rsidRPr="00035668">
              <w:rPr>
                <w:rFonts w:eastAsia="Times New Roman" w:cs="Arial"/>
                <w:color w:val="000000"/>
                <w:szCs w:val="22"/>
                <w:lang w:eastAsia="en-GB"/>
              </w:rPr>
              <w:t>Within 36 months of contract award</w:t>
            </w:r>
          </w:p>
        </w:tc>
        <w:tc>
          <w:tcPr>
            <w:tcW w:w="10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8DAB14" w14:textId="54AA23B4" w:rsidR="00035668" w:rsidRPr="00035668" w:rsidRDefault="0082236E" w:rsidP="00035668">
            <w:pPr>
              <w:rPr>
                <w:rFonts w:eastAsia="Times New Roman" w:cs="Arial"/>
                <w:szCs w:val="22"/>
                <w:lang w:eastAsia="en-GB"/>
              </w:rPr>
            </w:pPr>
            <w:r w:rsidRPr="00035668">
              <w:rPr>
                <w:rFonts w:eastAsia="Times New Roman" w:cs="Arial"/>
                <w:color w:val="000000"/>
                <w:szCs w:val="22"/>
                <w:lang w:eastAsia="en-GB"/>
              </w:rPr>
              <w:t>All work</w:t>
            </w:r>
            <w:r>
              <w:rPr>
                <w:rFonts w:eastAsia="Times New Roman" w:cs="Arial"/>
                <w:color w:val="000000"/>
                <w:szCs w:val="22"/>
                <w:lang w:eastAsia="en-GB"/>
              </w:rPr>
              <w:t xml:space="preserve"> </w:t>
            </w:r>
            <w:r w:rsidRPr="00035668">
              <w:rPr>
                <w:rFonts w:eastAsia="Times New Roman" w:cs="Arial"/>
                <w:color w:val="000000"/>
                <w:szCs w:val="22"/>
                <w:lang w:eastAsia="en-GB"/>
              </w:rPr>
              <w:t>stream</w:t>
            </w:r>
            <w:r>
              <w:rPr>
                <w:rFonts w:eastAsia="Times New Roman" w:cs="Arial"/>
                <w:color w:val="000000"/>
                <w:szCs w:val="22"/>
                <w:lang w:eastAsia="en-GB"/>
              </w:rPr>
              <w:t>s</w:t>
            </w:r>
          </w:p>
        </w:tc>
      </w:tr>
    </w:tbl>
    <w:p w14:paraId="01C40D2D" w14:textId="16343EA8" w:rsidR="008571E6" w:rsidRDefault="008571E6" w:rsidP="00463F70">
      <w:pPr>
        <w:pStyle w:val="Heading2"/>
        <w:tabs>
          <w:tab w:val="num" w:pos="862"/>
        </w:tabs>
        <w:spacing w:before="240"/>
        <w:rPr>
          <w:sz w:val="24"/>
          <w:szCs w:val="24"/>
        </w:rPr>
      </w:pPr>
      <w:r>
        <w:rPr>
          <w:sz w:val="24"/>
          <w:szCs w:val="24"/>
        </w:rPr>
        <w:t xml:space="preserve">All deliverables and </w:t>
      </w:r>
      <w:r w:rsidR="00B539C5">
        <w:rPr>
          <w:sz w:val="24"/>
          <w:szCs w:val="24"/>
        </w:rPr>
        <w:t>milestones</w:t>
      </w:r>
      <w:r>
        <w:rPr>
          <w:sz w:val="24"/>
          <w:szCs w:val="24"/>
        </w:rPr>
        <w:t xml:space="preserve"> will need to be </w:t>
      </w:r>
      <w:r w:rsidR="00776BC3">
        <w:rPr>
          <w:sz w:val="24"/>
          <w:szCs w:val="24"/>
        </w:rPr>
        <w:t>approved</w:t>
      </w:r>
      <w:r>
        <w:rPr>
          <w:sz w:val="24"/>
          <w:szCs w:val="24"/>
        </w:rPr>
        <w:t xml:space="preserve"> by the Customer.</w:t>
      </w:r>
    </w:p>
    <w:p w14:paraId="59EF34FB" w14:textId="464F3648" w:rsidR="000C75C4" w:rsidRDefault="000C75C4" w:rsidP="007A12D7">
      <w:pPr>
        <w:pStyle w:val="Heading2"/>
        <w:tabs>
          <w:tab w:val="num" w:pos="862"/>
        </w:tabs>
        <w:rPr>
          <w:sz w:val="24"/>
          <w:szCs w:val="24"/>
        </w:rPr>
      </w:pPr>
      <w:r>
        <w:rPr>
          <w:sz w:val="24"/>
          <w:szCs w:val="24"/>
        </w:rPr>
        <w:t>The Gateway Reviews will be conducted by the Customer’s Programme Board and will be signed-off by the Senior Responsible Officer.</w:t>
      </w:r>
    </w:p>
    <w:p w14:paraId="228D428C" w14:textId="422321C5" w:rsidR="00FE18AC" w:rsidRDefault="00EB39F9" w:rsidP="007A12D7">
      <w:pPr>
        <w:pStyle w:val="Heading2"/>
        <w:tabs>
          <w:tab w:val="num" w:pos="862"/>
        </w:tabs>
        <w:rPr>
          <w:sz w:val="24"/>
          <w:szCs w:val="24"/>
        </w:rPr>
      </w:pPr>
      <w:r w:rsidRPr="007A12D7">
        <w:rPr>
          <w:sz w:val="24"/>
          <w:szCs w:val="24"/>
        </w:rPr>
        <w:t>The Supp</w:t>
      </w:r>
      <w:r w:rsidR="00577182">
        <w:rPr>
          <w:sz w:val="24"/>
          <w:szCs w:val="24"/>
        </w:rPr>
        <w:t>lier will provide regular show and</w:t>
      </w:r>
      <w:r w:rsidRPr="007A12D7">
        <w:rPr>
          <w:sz w:val="24"/>
          <w:szCs w:val="24"/>
        </w:rPr>
        <w:t xml:space="preserve"> tell demonstrations of the platform for the Customer, </w:t>
      </w:r>
      <w:r w:rsidR="007F5736">
        <w:rPr>
          <w:sz w:val="24"/>
          <w:szCs w:val="24"/>
        </w:rPr>
        <w:t>Asset O</w:t>
      </w:r>
      <w:r w:rsidRPr="007A12D7">
        <w:rPr>
          <w:sz w:val="24"/>
          <w:szCs w:val="24"/>
        </w:rPr>
        <w:t>wners and other interested parties where feedback will be elicited and acted upon</w:t>
      </w:r>
      <w:r w:rsidR="007A12D7" w:rsidRPr="007A12D7">
        <w:rPr>
          <w:sz w:val="24"/>
          <w:szCs w:val="24"/>
        </w:rPr>
        <w:t>.</w:t>
      </w:r>
      <w:bookmarkStart w:id="22" w:name="_Toc302637211"/>
    </w:p>
    <w:p w14:paraId="58D35BA8" w14:textId="4BBF4753" w:rsidR="00E45FF5" w:rsidRPr="007A12D7" w:rsidRDefault="00E45FF5" w:rsidP="007A12D7">
      <w:pPr>
        <w:pStyle w:val="Heading2"/>
        <w:tabs>
          <w:tab w:val="num" w:pos="862"/>
        </w:tabs>
        <w:rPr>
          <w:sz w:val="24"/>
          <w:szCs w:val="24"/>
        </w:rPr>
      </w:pPr>
      <w:r>
        <w:rPr>
          <w:sz w:val="24"/>
          <w:szCs w:val="24"/>
        </w:rPr>
        <w:t>T</w:t>
      </w:r>
      <w:r w:rsidRPr="00E45FF5">
        <w:rPr>
          <w:sz w:val="24"/>
          <w:szCs w:val="24"/>
        </w:rPr>
        <w:t xml:space="preserve">he only milestones that are attached to payments </w:t>
      </w:r>
      <w:r>
        <w:rPr>
          <w:sz w:val="24"/>
          <w:szCs w:val="24"/>
        </w:rPr>
        <w:t xml:space="preserve">during the MVP Phase </w:t>
      </w:r>
      <w:r w:rsidRPr="00E45FF5">
        <w:rPr>
          <w:sz w:val="24"/>
          <w:szCs w:val="24"/>
        </w:rPr>
        <w:t xml:space="preserve">are those related </w:t>
      </w:r>
      <w:r>
        <w:rPr>
          <w:sz w:val="24"/>
          <w:szCs w:val="24"/>
        </w:rPr>
        <w:t>to the Data T</w:t>
      </w:r>
      <w:r w:rsidRPr="00E45FF5">
        <w:rPr>
          <w:sz w:val="24"/>
          <w:szCs w:val="24"/>
        </w:rPr>
        <w:t>ransformation</w:t>
      </w:r>
      <w:r>
        <w:rPr>
          <w:sz w:val="24"/>
          <w:szCs w:val="24"/>
        </w:rPr>
        <w:t xml:space="preserve"> and Ingestion workstream</w:t>
      </w:r>
      <w:r w:rsidRPr="00E45FF5">
        <w:rPr>
          <w:sz w:val="24"/>
          <w:szCs w:val="24"/>
        </w:rPr>
        <w:t xml:space="preserve"> (marked with a 'T')</w:t>
      </w:r>
      <w:r>
        <w:rPr>
          <w:sz w:val="24"/>
          <w:szCs w:val="24"/>
        </w:rPr>
        <w:t xml:space="preserve">. Further payment milestones for the Data Transformation and Ingestion workstream for the National Rollout will be </w:t>
      </w:r>
      <w:r>
        <w:rPr>
          <w:rFonts w:eastAsia="Times New Roman" w:cs="Arial"/>
          <w:color w:val="000000"/>
          <w:sz w:val="24"/>
          <w:lang w:eastAsia="en-GB"/>
        </w:rPr>
        <w:t>will defined by the Supplier,</w:t>
      </w:r>
      <w:r w:rsidRPr="00035668">
        <w:rPr>
          <w:rFonts w:eastAsia="Times New Roman" w:cs="Arial"/>
          <w:color w:val="000000"/>
          <w:sz w:val="24"/>
          <w:lang w:eastAsia="en-GB"/>
        </w:rPr>
        <w:t xml:space="preserve"> with the Customer</w:t>
      </w:r>
      <w:r>
        <w:rPr>
          <w:rFonts w:eastAsia="Times New Roman" w:cs="Arial"/>
          <w:color w:val="000000"/>
          <w:sz w:val="24"/>
          <w:lang w:eastAsia="en-GB"/>
        </w:rPr>
        <w:t>’s agreement,</w:t>
      </w:r>
      <w:r w:rsidRPr="00035668">
        <w:rPr>
          <w:rFonts w:eastAsia="Times New Roman" w:cs="Arial"/>
          <w:color w:val="000000"/>
          <w:sz w:val="24"/>
          <w:lang w:eastAsia="en-GB"/>
        </w:rPr>
        <w:t xml:space="preserve"> prior to the start of the National Rollout phase</w:t>
      </w:r>
      <w:r>
        <w:rPr>
          <w:rFonts w:eastAsia="Times New Roman" w:cs="Arial"/>
          <w:color w:val="000000"/>
          <w:sz w:val="24"/>
          <w:lang w:eastAsia="en-GB"/>
        </w:rPr>
        <w:t>.</w:t>
      </w:r>
    </w:p>
    <w:p w14:paraId="203EC2B6" w14:textId="6BC3F211" w:rsidR="00671798" w:rsidRPr="00CD118D" w:rsidRDefault="009E3739">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23" w:name="_Toc368573033"/>
      <w:bookmarkStart w:id="24" w:name="_Toc69240413"/>
      <w:r w:rsidRPr="00CD118D">
        <w:rPr>
          <w:rFonts w:cs="Arial"/>
          <w:sz w:val="32"/>
          <w:szCs w:val="32"/>
        </w:rPr>
        <w:t>MANAGEMENT INFORMATION/</w:t>
      </w:r>
      <w:r w:rsidR="00FE18AC" w:rsidRPr="00CD118D">
        <w:rPr>
          <w:rFonts w:cs="Arial"/>
          <w:sz w:val="32"/>
          <w:szCs w:val="32"/>
        </w:rPr>
        <w:t>reporting</w:t>
      </w:r>
      <w:bookmarkEnd w:id="23"/>
      <w:bookmarkEnd w:id="24"/>
    </w:p>
    <w:p w14:paraId="06B1BFFE" w14:textId="7D8CCFC8" w:rsidR="00CD118D" w:rsidRPr="00CD118D" w:rsidRDefault="00CD118D" w:rsidP="00CD118D">
      <w:pPr>
        <w:pStyle w:val="Heading2"/>
        <w:rPr>
          <w:sz w:val="24"/>
          <w:szCs w:val="24"/>
        </w:rPr>
      </w:pPr>
      <w:r w:rsidRPr="00CD118D">
        <w:rPr>
          <w:sz w:val="24"/>
          <w:szCs w:val="24"/>
        </w:rPr>
        <w:t>The Supplier will report progress against each workstream to the Contract/Project Manager assigned by the Customer to that workstream. They will also report overall p</w:t>
      </w:r>
      <w:r w:rsidR="00B539C5">
        <w:rPr>
          <w:sz w:val="24"/>
          <w:szCs w:val="24"/>
        </w:rPr>
        <w:t xml:space="preserve">rogress against the milestones </w:t>
      </w:r>
      <w:r w:rsidRPr="00CD118D">
        <w:rPr>
          <w:sz w:val="24"/>
          <w:szCs w:val="24"/>
        </w:rPr>
        <w:t xml:space="preserve">and documented </w:t>
      </w:r>
      <w:r w:rsidRPr="00CD118D">
        <w:rPr>
          <w:sz w:val="24"/>
          <w:szCs w:val="24"/>
        </w:rPr>
        <w:lastRenderedPageBreak/>
        <w:t xml:space="preserve">deliverables to the Customer’s Senior Programme Manager, who will be assigned overall responsibility for contract management. </w:t>
      </w:r>
    </w:p>
    <w:p w14:paraId="22C08F65" w14:textId="6CDB4C46" w:rsidR="00671798" w:rsidRPr="00CD118D" w:rsidRDefault="00CD118D" w:rsidP="00CD118D">
      <w:pPr>
        <w:pStyle w:val="Heading2"/>
        <w:rPr>
          <w:sz w:val="24"/>
          <w:szCs w:val="24"/>
        </w:rPr>
      </w:pPr>
      <w:r w:rsidRPr="00CD118D">
        <w:rPr>
          <w:sz w:val="24"/>
          <w:szCs w:val="24"/>
        </w:rPr>
        <w:t xml:space="preserve">Incremental delivery (building blocks) - The Customer will group the services and activities to be carried out. These groupings will be commissioned by the NUAR Programme Board. The Supplier will then deliver each building block using the methodology appropriate to each workstream as agreed with the Customer. The Supplier will seek to deliver value at the earliest opportunity by taking an incremental approach to delivery. The Supplier will report progress to the Customer’s workstream leads and Senior Programme Manager as appropriate. </w:t>
      </w:r>
    </w:p>
    <w:p w14:paraId="40219839" w14:textId="77777777" w:rsidR="00E24EE7" w:rsidRPr="001A45DF" w:rsidRDefault="00FE18AC" w:rsidP="00E24EE7">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25" w:name="_Toc368573034"/>
      <w:bookmarkStart w:id="26" w:name="_Toc69240414"/>
      <w:r w:rsidRPr="001A45DF">
        <w:rPr>
          <w:rFonts w:cs="Arial"/>
          <w:sz w:val="32"/>
          <w:szCs w:val="32"/>
        </w:rPr>
        <w:t>volumes</w:t>
      </w:r>
      <w:bookmarkEnd w:id="25"/>
      <w:bookmarkEnd w:id="26"/>
    </w:p>
    <w:p w14:paraId="0670B6FE" w14:textId="1A66975E" w:rsidR="00712884" w:rsidRDefault="00712884" w:rsidP="00712884">
      <w:pPr>
        <w:pStyle w:val="Heading2"/>
        <w:spacing w:after="120"/>
        <w:ind w:left="709" w:hanging="709"/>
        <w:rPr>
          <w:sz w:val="24"/>
          <w:szCs w:val="24"/>
        </w:rPr>
      </w:pPr>
      <w:r>
        <w:rPr>
          <w:sz w:val="24"/>
          <w:szCs w:val="24"/>
        </w:rPr>
        <w:t>The list of Asset Owners understood to be active in England, Wales and Northern Ireland at the time of writing is given in Appendix A.</w:t>
      </w:r>
    </w:p>
    <w:p w14:paraId="4EF5E029" w14:textId="7E16B447" w:rsidR="003839E8" w:rsidRPr="003839E8" w:rsidRDefault="003839E8" w:rsidP="003839E8">
      <w:pPr>
        <w:pStyle w:val="Heading2"/>
        <w:spacing w:after="120"/>
        <w:ind w:left="709" w:hanging="709"/>
        <w:rPr>
          <w:sz w:val="24"/>
          <w:szCs w:val="24"/>
        </w:rPr>
      </w:pPr>
      <w:r w:rsidRPr="003839E8">
        <w:rPr>
          <w:sz w:val="24"/>
          <w:szCs w:val="24"/>
        </w:rPr>
        <w:t>The length of the underground network in kilometres</w:t>
      </w:r>
      <w:r w:rsidR="00F92160">
        <w:rPr>
          <w:sz w:val="24"/>
          <w:szCs w:val="24"/>
        </w:rPr>
        <w:t xml:space="preserve"> in England, Wales and Northern Ireland</w:t>
      </w:r>
      <w:r w:rsidRPr="003839E8">
        <w:rPr>
          <w:sz w:val="24"/>
          <w:szCs w:val="24"/>
        </w:rPr>
        <w:t xml:space="preserve"> and the percentage share of the total, broken down by asset sector </w:t>
      </w:r>
      <w:r w:rsidR="007320A4">
        <w:rPr>
          <w:sz w:val="24"/>
          <w:szCs w:val="24"/>
        </w:rPr>
        <w:t>was</w:t>
      </w:r>
      <w:r w:rsidR="007320A4" w:rsidRPr="003839E8">
        <w:rPr>
          <w:sz w:val="24"/>
          <w:szCs w:val="24"/>
        </w:rPr>
        <w:t xml:space="preserve"> </w:t>
      </w:r>
      <w:r w:rsidRPr="003839E8">
        <w:rPr>
          <w:sz w:val="24"/>
          <w:szCs w:val="24"/>
        </w:rPr>
        <w:t>calculated by the Customer based on publicly available inform</w:t>
      </w:r>
      <w:r w:rsidR="007F5736">
        <w:rPr>
          <w:sz w:val="24"/>
          <w:szCs w:val="24"/>
        </w:rPr>
        <w:t>ation and in consultation with Asset O</w:t>
      </w:r>
      <w:r w:rsidRPr="003839E8">
        <w:rPr>
          <w:sz w:val="24"/>
          <w:szCs w:val="24"/>
        </w:rPr>
        <w:t>wners. These are presented below</w:t>
      </w:r>
      <w:r w:rsidR="003764D4">
        <w:rPr>
          <w:sz w:val="24"/>
          <w:szCs w:val="24"/>
        </w:rPr>
        <w:t xml:space="preserve"> and they are indicative</w:t>
      </w:r>
      <w:r w:rsidRPr="003839E8">
        <w:rPr>
          <w:sz w:val="24"/>
          <w:szCs w:val="24"/>
        </w:rPr>
        <w:t>:</w:t>
      </w:r>
    </w:p>
    <w:p w14:paraId="79BA6155" w14:textId="77777777" w:rsidR="009E6E50" w:rsidRPr="009E6E50" w:rsidRDefault="009E6E50" w:rsidP="009E6E50">
      <w:pPr>
        <w:rPr>
          <w:rFonts w:ascii="Times New Roman" w:eastAsia="Times New Roman" w:hAnsi="Times New Roman"/>
          <w:sz w:val="24"/>
          <w:lang w:eastAsia="en-GB"/>
        </w:rPr>
      </w:pPr>
    </w:p>
    <w:tbl>
      <w:tblPr>
        <w:tblW w:w="0" w:type="auto"/>
        <w:tblInd w:w="1361" w:type="dxa"/>
        <w:tblCellMar>
          <w:top w:w="15" w:type="dxa"/>
          <w:left w:w="15" w:type="dxa"/>
          <w:bottom w:w="15" w:type="dxa"/>
          <w:right w:w="15" w:type="dxa"/>
        </w:tblCellMar>
        <w:tblLook w:val="04A0" w:firstRow="1" w:lastRow="0" w:firstColumn="1" w:lastColumn="0" w:noHBand="0" w:noVBand="1"/>
      </w:tblPr>
      <w:tblGrid>
        <w:gridCol w:w="1781"/>
        <w:gridCol w:w="2095"/>
        <w:gridCol w:w="1134"/>
      </w:tblGrid>
      <w:tr w:rsidR="009E6E50" w:rsidRPr="009E6E50" w14:paraId="210CBDF8" w14:textId="77777777" w:rsidTr="009E6E50">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B8CCE4" w:themeFill="accent1" w:themeFillTint="66"/>
            <w:tcMar>
              <w:top w:w="40" w:type="dxa"/>
              <w:left w:w="40" w:type="dxa"/>
              <w:bottom w:w="40" w:type="dxa"/>
              <w:right w:w="40" w:type="dxa"/>
            </w:tcMar>
            <w:vAlign w:val="bottom"/>
            <w:hideMark/>
          </w:tcPr>
          <w:p w14:paraId="7E34FF53" w14:textId="77777777" w:rsidR="009E6E50" w:rsidRPr="009E6E50" w:rsidRDefault="009E6E50" w:rsidP="009E6E50">
            <w:pPr>
              <w:rPr>
                <w:rFonts w:ascii="Times New Roman" w:eastAsia="Times New Roman" w:hAnsi="Times New Roman"/>
                <w:sz w:val="24"/>
                <w:lang w:eastAsia="en-GB"/>
              </w:rPr>
            </w:pPr>
            <w:r w:rsidRPr="009E6E50">
              <w:rPr>
                <w:rFonts w:eastAsia="Times New Roman" w:cs="Arial"/>
                <w:b/>
                <w:bCs/>
                <w:color w:val="000000"/>
                <w:sz w:val="20"/>
                <w:szCs w:val="20"/>
                <w:lang w:eastAsia="en-GB"/>
              </w:rPr>
              <w:t>Asset Sector</w:t>
            </w:r>
          </w:p>
        </w:tc>
        <w:tc>
          <w:tcPr>
            <w:tcW w:w="2095"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tcMar>
              <w:top w:w="40" w:type="dxa"/>
              <w:left w:w="40" w:type="dxa"/>
              <w:bottom w:w="40" w:type="dxa"/>
              <w:right w:w="40" w:type="dxa"/>
            </w:tcMar>
            <w:vAlign w:val="bottom"/>
            <w:hideMark/>
          </w:tcPr>
          <w:p w14:paraId="52340052" w14:textId="77777777" w:rsidR="009E6E50" w:rsidRPr="009E6E50" w:rsidRDefault="009E6E50" w:rsidP="009E6E50">
            <w:pPr>
              <w:rPr>
                <w:rFonts w:ascii="Times New Roman" w:eastAsia="Times New Roman" w:hAnsi="Times New Roman"/>
                <w:sz w:val="24"/>
                <w:lang w:eastAsia="en-GB"/>
              </w:rPr>
            </w:pPr>
            <w:r w:rsidRPr="009E6E50">
              <w:rPr>
                <w:rFonts w:eastAsia="Times New Roman" w:cs="Arial"/>
                <w:b/>
                <w:bCs/>
                <w:color w:val="000000"/>
                <w:sz w:val="20"/>
                <w:szCs w:val="20"/>
                <w:lang w:eastAsia="en-GB"/>
              </w:rPr>
              <w:t>Length of Underground Network (km)</w:t>
            </w:r>
          </w:p>
        </w:tc>
        <w:tc>
          <w:tcPr>
            <w:tcW w:w="1134"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tcMar>
              <w:top w:w="40" w:type="dxa"/>
              <w:left w:w="40" w:type="dxa"/>
              <w:bottom w:w="40" w:type="dxa"/>
              <w:right w:w="40" w:type="dxa"/>
            </w:tcMar>
            <w:vAlign w:val="bottom"/>
            <w:hideMark/>
          </w:tcPr>
          <w:p w14:paraId="2FFD3CA8" w14:textId="77777777" w:rsidR="009E6E50" w:rsidRPr="009E6E50" w:rsidRDefault="009E6E50" w:rsidP="009E6E50">
            <w:pPr>
              <w:rPr>
                <w:rFonts w:ascii="Times New Roman" w:eastAsia="Times New Roman" w:hAnsi="Times New Roman"/>
                <w:sz w:val="24"/>
                <w:lang w:eastAsia="en-GB"/>
              </w:rPr>
            </w:pPr>
            <w:r w:rsidRPr="009E6E50">
              <w:rPr>
                <w:rFonts w:eastAsia="Times New Roman" w:cs="Arial"/>
                <w:b/>
                <w:bCs/>
                <w:color w:val="000000"/>
                <w:sz w:val="20"/>
                <w:szCs w:val="20"/>
                <w:lang w:eastAsia="en-GB"/>
              </w:rPr>
              <w:t>% Share</w:t>
            </w:r>
          </w:p>
        </w:tc>
      </w:tr>
      <w:tr w:rsidR="00F92160" w:rsidRPr="009E6E50" w14:paraId="3EB98345" w14:textId="77777777" w:rsidTr="00F92160">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14:paraId="00E08AC5" w14:textId="77777777" w:rsidR="00F92160" w:rsidRPr="00F92160" w:rsidRDefault="00F92160" w:rsidP="00F92160">
            <w:pPr>
              <w:rPr>
                <w:rFonts w:ascii="Times New Roman" w:eastAsia="Times New Roman" w:hAnsi="Times New Roman"/>
                <w:sz w:val="20"/>
                <w:szCs w:val="20"/>
                <w:lang w:eastAsia="en-GB"/>
              </w:rPr>
            </w:pPr>
            <w:r w:rsidRPr="00F92160">
              <w:rPr>
                <w:rFonts w:eastAsia="Times New Roman" w:cs="Arial"/>
                <w:color w:val="000000"/>
                <w:sz w:val="20"/>
                <w:szCs w:val="20"/>
                <w:lang w:eastAsia="en-GB"/>
              </w:rPr>
              <w:t>District Heating</w:t>
            </w:r>
          </w:p>
        </w:tc>
        <w:tc>
          <w:tcPr>
            <w:tcW w:w="2095"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14:paraId="41385978" w14:textId="3DEB0130" w:rsidR="00F92160" w:rsidRPr="00F92160" w:rsidRDefault="00F92160" w:rsidP="00F92160">
            <w:pPr>
              <w:jc w:val="right"/>
              <w:rPr>
                <w:rFonts w:ascii="Times New Roman" w:eastAsia="Times New Roman" w:hAnsi="Times New Roman"/>
                <w:sz w:val="20"/>
                <w:szCs w:val="20"/>
                <w:lang w:eastAsia="en-GB"/>
              </w:rPr>
            </w:pPr>
            <w:r w:rsidRPr="00F92160">
              <w:rPr>
                <w:sz w:val="20"/>
                <w:szCs w:val="20"/>
              </w:rPr>
              <w:t>1</w:t>
            </w:r>
            <w:r>
              <w:rPr>
                <w:sz w:val="20"/>
                <w:szCs w:val="20"/>
              </w:rPr>
              <w:t>,</w:t>
            </w:r>
            <w:r w:rsidRPr="00F92160">
              <w:rPr>
                <w:sz w:val="20"/>
                <w:szCs w:val="20"/>
              </w:rPr>
              <w:t>250</w:t>
            </w:r>
          </w:p>
        </w:tc>
        <w:tc>
          <w:tcPr>
            <w:tcW w:w="113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29CD2963" w14:textId="13FADEAA" w:rsidR="00F92160" w:rsidRPr="00F92160" w:rsidRDefault="00F92160" w:rsidP="00F92160">
            <w:pPr>
              <w:jc w:val="right"/>
              <w:rPr>
                <w:rFonts w:ascii="Times New Roman" w:eastAsia="Times New Roman" w:hAnsi="Times New Roman"/>
                <w:sz w:val="20"/>
                <w:szCs w:val="20"/>
                <w:lang w:eastAsia="en-GB"/>
              </w:rPr>
            </w:pPr>
            <w:r w:rsidRPr="00F92160">
              <w:rPr>
                <w:sz w:val="20"/>
                <w:szCs w:val="20"/>
              </w:rPr>
              <w:t>0</w:t>
            </w:r>
          </w:p>
        </w:tc>
      </w:tr>
      <w:tr w:rsidR="00F92160" w:rsidRPr="009E6E50" w14:paraId="4273B067" w14:textId="77777777" w:rsidTr="00F92160">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14:paraId="6DEDD2C4" w14:textId="77777777" w:rsidR="00F92160" w:rsidRPr="00F92160" w:rsidRDefault="00F92160" w:rsidP="00F92160">
            <w:pPr>
              <w:rPr>
                <w:rFonts w:ascii="Times New Roman" w:eastAsia="Times New Roman" w:hAnsi="Times New Roman"/>
                <w:sz w:val="20"/>
                <w:szCs w:val="20"/>
                <w:lang w:eastAsia="en-GB"/>
              </w:rPr>
            </w:pPr>
            <w:r w:rsidRPr="00F92160">
              <w:rPr>
                <w:rFonts w:eastAsia="Times New Roman" w:cs="Arial"/>
                <w:color w:val="000000"/>
                <w:sz w:val="20"/>
                <w:szCs w:val="20"/>
                <w:lang w:eastAsia="en-GB"/>
              </w:rPr>
              <w:t>Electricity</w:t>
            </w:r>
          </w:p>
        </w:tc>
        <w:tc>
          <w:tcPr>
            <w:tcW w:w="2095"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14:paraId="57BBAE33" w14:textId="190447D3" w:rsidR="00F92160" w:rsidRPr="00F92160" w:rsidRDefault="00F92160" w:rsidP="00F92160">
            <w:pPr>
              <w:jc w:val="right"/>
              <w:rPr>
                <w:rFonts w:ascii="Times New Roman" w:eastAsia="Times New Roman" w:hAnsi="Times New Roman"/>
                <w:sz w:val="20"/>
                <w:szCs w:val="20"/>
                <w:lang w:eastAsia="en-GB"/>
              </w:rPr>
            </w:pPr>
            <w:r w:rsidRPr="00F92160">
              <w:rPr>
                <w:sz w:val="20"/>
                <w:szCs w:val="20"/>
              </w:rPr>
              <w:t>412</w:t>
            </w:r>
            <w:r>
              <w:rPr>
                <w:sz w:val="20"/>
                <w:szCs w:val="20"/>
              </w:rPr>
              <w:t>,</w:t>
            </w:r>
            <w:r w:rsidRPr="00F92160">
              <w:rPr>
                <w:sz w:val="20"/>
                <w:szCs w:val="20"/>
              </w:rPr>
              <w:t>000</w:t>
            </w:r>
          </w:p>
        </w:tc>
        <w:tc>
          <w:tcPr>
            <w:tcW w:w="113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5616C440" w14:textId="7EDD027A" w:rsidR="00F92160" w:rsidRPr="00F92160" w:rsidRDefault="00F92160" w:rsidP="00F92160">
            <w:pPr>
              <w:jc w:val="right"/>
              <w:rPr>
                <w:rFonts w:ascii="Times New Roman" w:eastAsia="Times New Roman" w:hAnsi="Times New Roman"/>
                <w:sz w:val="20"/>
                <w:szCs w:val="20"/>
                <w:lang w:eastAsia="en-GB"/>
              </w:rPr>
            </w:pPr>
            <w:r w:rsidRPr="00F92160">
              <w:rPr>
                <w:sz w:val="20"/>
                <w:szCs w:val="20"/>
              </w:rPr>
              <w:t>12</w:t>
            </w:r>
          </w:p>
        </w:tc>
      </w:tr>
      <w:tr w:rsidR="00F92160" w:rsidRPr="009E6E50" w14:paraId="27696032" w14:textId="77777777" w:rsidTr="00F92160">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14:paraId="6B43417F" w14:textId="77777777" w:rsidR="00F92160" w:rsidRPr="00F92160" w:rsidRDefault="00F92160" w:rsidP="00F92160">
            <w:pPr>
              <w:rPr>
                <w:rFonts w:ascii="Times New Roman" w:eastAsia="Times New Roman" w:hAnsi="Times New Roman"/>
                <w:sz w:val="20"/>
                <w:szCs w:val="20"/>
                <w:lang w:eastAsia="en-GB"/>
              </w:rPr>
            </w:pPr>
            <w:r w:rsidRPr="00F92160">
              <w:rPr>
                <w:rFonts w:eastAsia="Times New Roman" w:cs="Arial"/>
                <w:color w:val="000000"/>
                <w:sz w:val="20"/>
                <w:szCs w:val="20"/>
                <w:lang w:eastAsia="en-GB"/>
              </w:rPr>
              <w:t>Gas</w:t>
            </w:r>
          </w:p>
        </w:tc>
        <w:tc>
          <w:tcPr>
            <w:tcW w:w="2095"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14:paraId="0E349C6D" w14:textId="1DBDD332" w:rsidR="00F92160" w:rsidRPr="00F92160" w:rsidRDefault="00F92160" w:rsidP="00F92160">
            <w:pPr>
              <w:jc w:val="right"/>
              <w:rPr>
                <w:rFonts w:ascii="Times New Roman" w:eastAsia="Times New Roman" w:hAnsi="Times New Roman"/>
                <w:sz w:val="20"/>
                <w:szCs w:val="20"/>
                <w:lang w:eastAsia="en-GB"/>
              </w:rPr>
            </w:pPr>
            <w:r w:rsidRPr="00F92160">
              <w:rPr>
                <w:sz w:val="20"/>
                <w:szCs w:val="20"/>
              </w:rPr>
              <w:t>245</w:t>
            </w:r>
            <w:r>
              <w:rPr>
                <w:sz w:val="20"/>
                <w:szCs w:val="20"/>
              </w:rPr>
              <w:t>,</w:t>
            </w:r>
            <w:r w:rsidRPr="00F92160">
              <w:rPr>
                <w:sz w:val="20"/>
                <w:szCs w:val="20"/>
              </w:rPr>
              <w:t>000</w:t>
            </w:r>
          </w:p>
        </w:tc>
        <w:tc>
          <w:tcPr>
            <w:tcW w:w="113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1361BBAC" w14:textId="4DD3A63D" w:rsidR="00F92160" w:rsidRPr="00F92160" w:rsidRDefault="00F92160" w:rsidP="00F92160">
            <w:pPr>
              <w:jc w:val="right"/>
              <w:rPr>
                <w:rFonts w:ascii="Times New Roman" w:eastAsia="Times New Roman" w:hAnsi="Times New Roman"/>
                <w:sz w:val="20"/>
                <w:szCs w:val="20"/>
                <w:lang w:eastAsia="en-GB"/>
              </w:rPr>
            </w:pPr>
            <w:r w:rsidRPr="00F92160">
              <w:rPr>
                <w:sz w:val="20"/>
                <w:szCs w:val="20"/>
              </w:rPr>
              <w:t>7.1</w:t>
            </w:r>
          </w:p>
        </w:tc>
      </w:tr>
      <w:tr w:rsidR="00F92160" w:rsidRPr="009E6E50" w14:paraId="58DB8B5C" w14:textId="77777777" w:rsidTr="00F92160">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14:paraId="109C262C" w14:textId="77777777" w:rsidR="00F92160" w:rsidRPr="00F92160" w:rsidRDefault="00F92160" w:rsidP="00F92160">
            <w:pPr>
              <w:rPr>
                <w:rFonts w:ascii="Times New Roman" w:eastAsia="Times New Roman" w:hAnsi="Times New Roman"/>
                <w:sz w:val="20"/>
                <w:szCs w:val="20"/>
                <w:lang w:eastAsia="en-GB"/>
              </w:rPr>
            </w:pPr>
            <w:r w:rsidRPr="00F92160">
              <w:rPr>
                <w:rFonts w:eastAsia="Times New Roman" w:cs="Arial"/>
                <w:color w:val="000000"/>
                <w:sz w:val="20"/>
                <w:szCs w:val="20"/>
                <w:lang w:eastAsia="en-GB"/>
              </w:rPr>
              <w:t>Water and Sewage</w:t>
            </w:r>
          </w:p>
        </w:tc>
        <w:tc>
          <w:tcPr>
            <w:tcW w:w="2095"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14:paraId="51712ED0" w14:textId="3F1161ED" w:rsidR="00F92160" w:rsidRPr="00F92160" w:rsidRDefault="00F92160" w:rsidP="00F92160">
            <w:pPr>
              <w:jc w:val="right"/>
              <w:rPr>
                <w:rFonts w:ascii="Times New Roman" w:eastAsia="Times New Roman" w:hAnsi="Times New Roman"/>
                <w:sz w:val="20"/>
                <w:szCs w:val="20"/>
                <w:lang w:eastAsia="en-GB"/>
              </w:rPr>
            </w:pPr>
            <w:r w:rsidRPr="00F92160">
              <w:rPr>
                <w:sz w:val="20"/>
                <w:szCs w:val="20"/>
              </w:rPr>
              <w:t>637</w:t>
            </w:r>
            <w:r>
              <w:rPr>
                <w:sz w:val="20"/>
                <w:szCs w:val="20"/>
              </w:rPr>
              <w:t>,</w:t>
            </w:r>
            <w:r w:rsidRPr="00F92160">
              <w:rPr>
                <w:sz w:val="20"/>
                <w:szCs w:val="20"/>
              </w:rPr>
              <w:t>000</w:t>
            </w:r>
          </w:p>
        </w:tc>
        <w:tc>
          <w:tcPr>
            <w:tcW w:w="113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7E1DD0AD" w14:textId="3BE33532" w:rsidR="00F92160" w:rsidRPr="00F92160" w:rsidRDefault="00F92160" w:rsidP="00F92160">
            <w:pPr>
              <w:jc w:val="right"/>
              <w:rPr>
                <w:rFonts w:ascii="Times New Roman" w:eastAsia="Times New Roman" w:hAnsi="Times New Roman"/>
                <w:sz w:val="20"/>
                <w:szCs w:val="20"/>
                <w:lang w:eastAsia="en-GB"/>
              </w:rPr>
            </w:pPr>
            <w:r w:rsidRPr="00F92160">
              <w:rPr>
                <w:sz w:val="20"/>
                <w:szCs w:val="20"/>
              </w:rPr>
              <w:t>18.6</w:t>
            </w:r>
          </w:p>
        </w:tc>
      </w:tr>
      <w:tr w:rsidR="00F92160" w:rsidRPr="009E6E50" w14:paraId="5394B103" w14:textId="77777777" w:rsidTr="00F92160">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14:paraId="797E34D7" w14:textId="77777777" w:rsidR="00F92160" w:rsidRPr="00F92160" w:rsidRDefault="00F92160" w:rsidP="00F92160">
            <w:pPr>
              <w:rPr>
                <w:rFonts w:ascii="Times New Roman" w:eastAsia="Times New Roman" w:hAnsi="Times New Roman"/>
                <w:sz w:val="20"/>
                <w:szCs w:val="20"/>
                <w:lang w:eastAsia="en-GB"/>
              </w:rPr>
            </w:pPr>
            <w:r w:rsidRPr="00F92160">
              <w:rPr>
                <w:rFonts w:eastAsia="Times New Roman" w:cs="Arial"/>
                <w:color w:val="000000"/>
                <w:sz w:val="20"/>
                <w:szCs w:val="20"/>
                <w:lang w:eastAsia="en-GB"/>
              </w:rPr>
              <w:t>Telecoms</w:t>
            </w:r>
          </w:p>
        </w:tc>
        <w:tc>
          <w:tcPr>
            <w:tcW w:w="2095"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14:paraId="79BE15F0" w14:textId="4F3C6FDD" w:rsidR="00F92160" w:rsidRPr="00F92160" w:rsidRDefault="00F92160" w:rsidP="00F92160">
            <w:pPr>
              <w:jc w:val="right"/>
              <w:rPr>
                <w:rFonts w:ascii="Times New Roman" w:eastAsia="Times New Roman" w:hAnsi="Times New Roman"/>
                <w:sz w:val="20"/>
                <w:szCs w:val="20"/>
                <w:lang w:eastAsia="en-GB"/>
              </w:rPr>
            </w:pPr>
            <w:r w:rsidRPr="00F92160">
              <w:rPr>
                <w:sz w:val="20"/>
                <w:szCs w:val="20"/>
              </w:rPr>
              <w:t>629</w:t>
            </w:r>
            <w:r>
              <w:rPr>
                <w:sz w:val="20"/>
                <w:szCs w:val="20"/>
              </w:rPr>
              <w:t>,</w:t>
            </w:r>
            <w:r w:rsidRPr="00F92160">
              <w:rPr>
                <w:sz w:val="20"/>
                <w:szCs w:val="20"/>
              </w:rPr>
              <w:t>000</w:t>
            </w:r>
          </w:p>
        </w:tc>
        <w:tc>
          <w:tcPr>
            <w:tcW w:w="113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0C5C7F84" w14:textId="4BEDC47D" w:rsidR="00F92160" w:rsidRPr="00F92160" w:rsidRDefault="00F92160" w:rsidP="00F92160">
            <w:pPr>
              <w:jc w:val="right"/>
              <w:rPr>
                <w:rFonts w:ascii="Times New Roman" w:eastAsia="Times New Roman" w:hAnsi="Times New Roman"/>
                <w:sz w:val="20"/>
                <w:szCs w:val="20"/>
                <w:lang w:eastAsia="en-GB"/>
              </w:rPr>
            </w:pPr>
            <w:r w:rsidRPr="00F92160">
              <w:rPr>
                <w:sz w:val="20"/>
                <w:szCs w:val="20"/>
              </w:rPr>
              <w:t>18.3</w:t>
            </w:r>
          </w:p>
        </w:tc>
      </w:tr>
      <w:tr w:rsidR="00F92160" w:rsidRPr="009E6E50" w14:paraId="68F88C03" w14:textId="77777777" w:rsidTr="00F92160">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14:paraId="0A579390" w14:textId="77777777" w:rsidR="00F92160" w:rsidRPr="00F92160" w:rsidRDefault="00F92160" w:rsidP="00F92160">
            <w:pPr>
              <w:rPr>
                <w:rFonts w:ascii="Times New Roman" w:eastAsia="Times New Roman" w:hAnsi="Times New Roman"/>
                <w:sz w:val="20"/>
                <w:szCs w:val="20"/>
                <w:lang w:eastAsia="en-GB"/>
              </w:rPr>
            </w:pPr>
            <w:r w:rsidRPr="00F92160">
              <w:rPr>
                <w:rFonts w:eastAsia="Times New Roman" w:cs="Arial"/>
                <w:color w:val="000000"/>
                <w:sz w:val="20"/>
                <w:szCs w:val="20"/>
                <w:lang w:eastAsia="en-GB"/>
              </w:rPr>
              <w:t>Transport</w:t>
            </w:r>
          </w:p>
        </w:tc>
        <w:tc>
          <w:tcPr>
            <w:tcW w:w="2095"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14:paraId="5CC4BC20" w14:textId="38D8453D" w:rsidR="00F92160" w:rsidRPr="00F92160" w:rsidRDefault="00F92160" w:rsidP="00F92160">
            <w:pPr>
              <w:jc w:val="right"/>
              <w:rPr>
                <w:rFonts w:ascii="Times New Roman" w:eastAsia="Times New Roman" w:hAnsi="Times New Roman"/>
                <w:sz w:val="20"/>
                <w:szCs w:val="20"/>
                <w:lang w:eastAsia="en-GB"/>
              </w:rPr>
            </w:pPr>
            <w:r w:rsidRPr="00F92160">
              <w:rPr>
                <w:sz w:val="20"/>
                <w:szCs w:val="20"/>
              </w:rPr>
              <w:t>42</w:t>
            </w:r>
            <w:r>
              <w:rPr>
                <w:sz w:val="20"/>
                <w:szCs w:val="20"/>
              </w:rPr>
              <w:t>,</w:t>
            </w:r>
            <w:r w:rsidRPr="00F92160">
              <w:rPr>
                <w:sz w:val="20"/>
                <w:szCs w:val="20"/>
              </w:rPr>
              <w:t>000</w:t>
            </w:r>
          </w:p>
        </w:tc>
        <w:tc>
          <w:tcPr>
            <w:tcW w:w="113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0271F60A" w14:textId="5397D5CC" w:rsidR="00F92160" w:rsidRPr="00F92160" w:rsidRDefault="00F92160" w:rsidP="00F92160">
            <w:pPr>
              <w:jc w:val="right"/>
              <w:rPr>
                <w:rFonts w:ascii="Times New Roman" w:eastAsia="Times New Roman" w:hAnsi="Times New Roman"/>
                <w:sz w:val="20"/>
                <w:szCs w:val="20"/>
                <w:lang w:eastAsia="en-GB"/>
              </w:rPr>
            </w:pPr>
            <w:r w:rsidRPr="00F92160">
              <w:rPr>
                <w:sz w:val="20"/>
                <w:szCs w:val="20"/>
              </w:rPr>
              <w:t>1.2</w:t>
            </w:r>
          </w:p>
        </w:tc>
      </w:tr>
      <w:tr w:rsidR="00F92160" w:rsidRPr="009E6E50" w14:paraId="22DCD1E7" w14:textId="77777777" w:rsidTr="00F92160">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14:paraId="222039A4" w14:textId="77777777" w:rsidR="00F92160" w:rsidRPr="00F92160" w:rsidRDefault="00F92160" w:rsidP="00F92160">
            <w:pPr>
              <w:rPr>
                <w:rFonts w:ascii="Times New Roman" w:eastAsia="Times New Roman" w:hAnsi="Times New Roman"/>
                <w:sz w:val="20"/>
                <w:szCs w:val="20"/>
                <w:lang w:eastAsia="en-GB"/>
              </w:rPr>
            </w:pPr>
            <w:r w:rsidRPr="00F92160">
              <w:rPr>
                <w:rFonts w:eastAsia="Times New Roman" w:cs="Arial"/>
                <w:color w:val="000000"/>
                <w:sz w:val="20"/>
                <w:szCs w:val="20"/>
                <w:lang w:eastAsia="en-GB"/>
              </w:rPr>
              <w:t>Small fiber optics</w:t>
            </w:r>
          </w:p>
        </w:tc>
        <w:tc>
          <w:tcPr>
            <w:tcW w:w="2095"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14:paraId="49501E4C" w14:textId="44B7CE31" w:rsidR="00F92160" w:rsidRPr="00F92160" w:rsidRDefault="00F92160" w:rsidP="00F92160">
            <w:pPr>
              <w:jc w:val="right"/>
              <w:rPr>
                <w:rFonts w:ascii="Times New Roman" w:eastAsia="Times New Roman" w:hAnsi="Times New Roman"/>
                <w:sz w:val="20"/>
                <w:szCs w:val="20"/>
                <w:lang w:eastAsia="en-GB"/>
              </w:rPr>
            </w:pPr>
            <w:r w:rsidRPr="00F92160">
              <w:rPr>
                <w:sz w:val="20"/>
                <w:szCs w:val="20"/>
              </w:rPr>
              <w:t>31</w:t>
            </w:r>
            <w:r>
              <w:rPr>
                <w:sz w:val="20"/>
                <w:szCs w:val="20"/>
              </w:rPr>
              <w:t>,</w:t>
            </w:r>
            <w:r w:rsidRPr="00F92160">
              <w:rPr>
                <w:sz w:val="20"/>
                <w:szCs w:val="20"/>
              </w:rPr>
              <w:t>000</w:t>
            </w:r>
          </w:p>
        </w:tc>
        <w:tc>
          <w:tcPr>
            <w:tcW w:w="113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21A71BA8" w14:textId="16DFEA95" w:rsidR="00F92160" w:rsidRPr="00F92160" w:rsidRDefault="00F92160" w:rsidP="00F92160">
            <w:pPr>
              <w:jc w:val="right"/>
              <w:rPr>
                <w:rFonts w:ascii="Times New Roman" w:eastAsia="Times New Roman" w:hAnsi="Times New Roman"/>
                <w:sz w:val="20"/>
                <w:szCs w:val="20"/>
                <w:lang w:eastAsia="en-GB"/>
              </w:rPr>
            </w:pPr>
            <w:r w:rsidRPr="00F92160">
              <w:rPr>
                <w:sz w:val="20"/>
                <w:szCs w:val="20"/>
              </w:rPr>
              <w:t>1</w:t>
            </w:r>
          </w:p>
        </w:tc>
      </w:tr>
      <w:tr w:rsidR="00F92160" w:rsidRPr="009E6E50" w14:paraId="24BF0C34" w14:textId="77777777" w:rsidTr="00F92160">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14:paraId="0C6D448B" w14:textId="77777777" w:rsidR="00F92160" w:rsidRPr="00F92160" w:rsidRDefault="00F92160" w:rsidP="00F92160">
            <w:pPr>
              <w:rPr>
                <w:rFonts w:ascii="Times New Roman" w:eastAsia="Times New Roman" w:hAnsi="Times New Roman"/>
                <w:sz w:val="20"/>
                <w:szCs w:val="20"/>
                <w:lang w:eastAsia="en-GB"/>
              </w:rPr>
            </w:pPr>
            <w:r w:rsidRPr="00F92160">
              <w:rPr>
                <w:rFonts w:eastAsia="Times New Roman" w:cs="Arial"/>
                <w:color w:val="000000"/>
                <w:sz w:val="20"/>
                <w:szCs w:val="20"/>
                <w:lang w:eastAsia="en-GB"/>
              </w:rPr>
              <w:t>Highway cables</w:t>
            </w:r>
          </w:p>
        </w:tc>
        <w:tc>
          <w:tcPr>
            <w:tcW w:w="2095"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14:paraId="56EB2FC2" w14:textId="6C9B4152" w:rsidR="00F92160" w:rsidRPr="00F92160" w:rsidRDefault="00F92160" w:rsidP="00F92160">
            <w:pPr>
              <w:jc w:val="right"/>
              <w:rPr>
                <w:rFonts w:ascii="Times New Roman" w:eastAsia="Times New Roman" w:hAnsi="Times New Roman"/>
                <w:sz w:val="20"/>
                <w:szCs w:val="20"/>
                <w:lang w:eastAsia="en-GB"/>
              </w:rPr>
            </w:pPr>
            <w:r w:rsidRPr="00F92160">
              <w:rPr>
                <w:sz w:val="20"/>
                <w:szCs w:val="20"/>
              </w:rPr>
              <w:t>718</w:t>
            </w:r>
            <w:r>
              <w:rPr>
                <w:sz w:val="20"/>
                <w:szCs w:val="20"/>
              </w:rPr>
              <w:t>,</w:t>
            </w:r>
            <w:r w:rsidRPr="00F92160">
              <w:rPr>
                <w:sz w:val="20"/>
                <w:szCs w:val="20"/>
              </w:rPr>
              <w:t>000</w:t>
            </w:r>
          </w:p>
        </w:tc>
        <w:tc>
          <w:tcPr>
            <w:tcW w:w="113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17940636" w14:textId="3AFB5A5E" w:rsidR="00F92160" w:rsidRPr="00F92160" w:rsidRDefault="00F92160" w:rsidP="00F92160">
            <w:pPr>
              <w:jc w:val="right"/>
              <w:rPr>
                <w:rFonts w:ascii="Times New Roman" w:eastAsia="Times New Roman" w:hAnsi="Times New Roman"/>
                <w:sz w:val="20"/>
                <w:szCs w:val="20"/>
                <w:lang w:eastAsia="en-GB"/>
              </w:rPr>
            </w:pPr>
            <w:r w:rsidRPr="00F92160">
              <w:rPr>
                <w:sz w:val="20"/>
                <w:szCs w:val="20"/>
              </w:rPr>
              <w:t>20.9</w:t>
            </w:r>
          </w:p>
        </w:tc>
      </w:tr>
      <w:tr w:rsidR="00F92160" w:rsidRPr="009E6E50" w14:paraId="7FACDA62" w14:textId="77777777" w:rsidTr="00F92160">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14:paraId="5043DE69" w14:textId="77777777" w:rsidR="00F92160" w:rsidRPr="00F92160" w:rsidRDefault="00F92160" w:rsidP="00F92160">
            <w:pPr>
              <w:rPr>
                <w:rFonts w:ascii="Times New Roman" w:eastAsia="Times New Roman" w:hAnsi="Times New Roman"/>
                <w:sz w:val="20"/>
                <w:szCs w:val="20"/>
                <w:lang w:eastAsia="en-GB"/>
              </w:rPr>
            </w:pPr>
            <w:r w:rsidRPr="00F92160">
              <w:rPr>
                <w:rFonts w:eastAsia="Times New Roman" w:cs="Arial"/>
                <w:color w:val="000000"/>
                <w:sz w:val="20"/>
                <w:szCs w:val="20"/>
                <w:lang w:eastAsia="en-GB"/>
              </w:rPr>
              <w:t>Highway drains</w:t>
            </w:r>
          </w:p>
        </w:tc>
        <w:tc>
          <w:tcPr>
            <w:tcW w:w="2095"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14:paraId="56B852D6" w14:textId="71269E78" w:rsidR="00F92160" w:rsidRPr="00F92160" w:rsidRDefault="00F92160" w:rsidP="00F92160">
            <w:pPr>
              <w:jc w:val="right"/>
              <w:rPr>
                <w:rFonts w:ascii="Times New Roman" w:eastAsia="Times New Roman" w:hAnsi="Times New Roman"/>
                <w:sz w:val="20"/>
                <w:szCs w:val="20"/>
                <w:lang w:eastAsia="en-GB"/>
              </w:rPr>
            </w:pPr>
            <w:r w:rsidRPr="00F92160">
              <w:rPr>
                <w:sz w:val="20"/>
                <w:szCs w:val="20"/>
              </w:rPr>
              <w:t>718</w:t>
            </w:r>
            <w:r>
              <w:rPr>
                <w:sz w:val="20"/>
                <w:szCs w:val="20"/>
              </w:rPr>
              <w:t>,</w:t>
            </w:r>
            <w:r w:rsidRPr="00F92160">
              <w:rPr>
                <w:sz w:val="20"/>
                <w:szCs w:val="20"/>
              </w:rPr>
              <w:t>000</w:t>
            </w:r>
          </w:p>
        </w:tc>
        <w:tc>
          <w:tcPr>
            <w:tcW w:w="113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784EBCC5" w14:textId="42072266" w:rsidR="00F92160" w:rsidRPr="00F92160" w:rsidRDefault="00F92160" w:rsidP="00F92160">
            <w:pPr>
              <w:jc w:val="right"/>
              <w:rPr>
                <w:rFonts w:ascii="Times New Roman" w:eastAsia="Times New Roman" w:hAnsi="Times New Roman"/>
                <w:sz w:val="20"/>
                <w:szCs w:val="20"/>
                <w:lang w:eastAsia="en-GB"/>
              </w:rPr>
            </w:pPr>
            <w:r w:rsidRPr="00F92160">
              <w:rPr>
                <w:sz w:val="20"/>
                <w:szCs w:val="20"/>
              </w:rPr>
              <w:t>20.9</w:t>
            </w:r>
          </w:p>
        </w:tc>
      </w:tr>
      <w:tr w:rsidR="00F92160" w:rsidRPr="009E6E50" w14:paraId="67119D42" w14:textId="77777777" w:rsidTr="00F92160">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14:paraId="2542D585" w14:textId="77777777" w:rsidR="00F92160" w:rsidRPr="00F92160" w:rsidRDefault="00F92160" w:rsidP="00F92160">
            <w:pPr>
              <w:rPr>
                <w:rFonts w:ascii="Times New Roman" w:eastAsia="Times New Roman" w:hAnsi="Times New Roman"/>
                <w:sz w:val="20"/>
                <w:szCs w:val="20"/>
                <w:lang w:eastAsia="en-GB"/>
              </w:rPr>
            </w:pPr>
            <w:r w:rsidRPr="00F92160">
              <w:rPr>
                <w:rFonts w:eastAsia="Times New Roman" w:cs="Arial"/>
                <w:color w:val="000000"/>
                <w:sz w:val="20"/>
                <w:szCs w:val="20"/>
                <w:lang w:eastAsia="en-GB"/>
              </w:rPr>
              <w:t>Other</w:t>
            </w:r>
          </w:p>
        </w:tc>
        <w:tc>
          <w:tcPr>
            <w:tcW w:w="2095"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14:paraId="100602CC" w14:textId="1E096209" w:rsidR="00F92160" w:rsidRPr="00F92160" w:rsidRDefault="00F92160" w:rsidP="00F92160">
            <w:pPr>
              <w:jc w:val="right"/>
              <w:rPr>
                <w:rFonts w:ascii="Times New Roman" w:eastAsia="Times New Roman" w:hAnsi="Times New Roman"/>
                <w:sz w:val="20"/>
                <w:szCs w:val="20"/>
                <w:lang w:eastAsia="en-GB"/>
              </w:rPr>
            </w:pPr>
            <w:r w:rsidRPr="00F92160">
              <w:rPr>
                <w:sz w:val="20"/>
                <w:szCs w:val="20"/>
              </w:rPr>
              <w:t>1</w:t>
            </w:r>
            <w:r>
              <w:rPr>
                <w:sz w:val="20"/>
                <w:szCs w:val="20"/>
              </w:rPr>
              <w:t>,</w:t>
            </w:r>
            <w:r w:rsidRPr="00F92160">
              <w:rPr>
                <w:sz w:val="20"/>
                <w:szCs w:val="20"/>
              </w:rPr>
              <w:t>000</w:t>
            </w:r>
          </w:p>
        </w:tc>
        <w:tc>
          <w:tcPr>
            <w:tcW w:w="113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51A5F76B" w14:textId="59E51DC9" w:rsidR="00F92160" w:rsidRPr="00F92160" w:rsidRDefault="00F92160" w:rsidP="00F92160">
            <w:pPr>
              <w:jc w:val="right"/>
              <w:rPr>
                <w:rFonts w:ascii="Times New Roman" w:eastAsia="Times New Roman" w:hAnsi="Times New Roman"/>
                <w:sz w:val="20"/>
                <w:szCs w:val="20"/>
                <w:lang w:eastAsia="en-GB"/>
              </w:rPr>
            </w:pPr>
            <w:r w:rsidRPr="00F92160">
              <w:rPr>
                <w:sz w:val="20"/>
                <w:szCs w:val="20"/>
              </w:rPr>
              <w:t>0</w:t>
            </w:r>
          </w:p>
        </w:tc>
      </w:tr>
      <w:tr w:rsidR="00F92160" w:rsidRPr="009E6E50" w14:paraId="56253E12" w14:textId="77777777" w:rsidTr="00F92160">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14:paraId="29CAE191" w14:textId="77777777" w:rsidR="00F92160" w:rsidRPr="00F92160" w:rsidRDefault="00F92160" w:rsidP="00F92160">
            <w:pPr>
              <w:rPr>
                <w:rFonts w:ascii="Times New Roman" w:eastAsia="Times New Roman" w:hAnsi="Times New Roman"/>
                <w:sz w:val="20"/>
                <w:szCs w:val="20"/>
                <w:lang w:eastAsia="en-GB"/>
              </w:rPr>
            </w:pPr>
            <w:r w:rsidRPr="00F92160">
              <w:rPr>
                <w:rFonts w:eastAsia="Times New Roman" w:cs="Arial"/>
                <w:b/>
                <w:bCs/>
                <w:color w:val="000000"/>
                <w:sz w:val="20"/>
                <w:szCs w:val="20"/>
                <w:lang w:eastAsia="en-GB"/>
              </w:rPr>
              <w:t>Grand Total</w:t>
            </w:r>
          </w:p>
        </w:tc>
        <w:tc>
          <w:tcPr>
            <w:tcW w:w="2095"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14:paraId="673C436D" w14:textId="24A4CCD8" w:rsidR="00F92160" w:rsidRPr="00F92160" w:rsidRDefault="00F92160" w:rsidP="00F92160">
            <w:pPr>
              <w:jc w:val="right"/>
              <w:rPr>
                <w:rFonts w:ascii="Times New Roman" w:eastAsia="Times New Roman" w:hAnsi="Times New Roman"/>
                <w:b/>
                <w:sz w:val="20"/>
                <w:szCs w:val="20"/>
                <w:lang w:eastAsia="en-GB"/>
              </w:rPr>
            </w:pPr>
            <w:r w:rsidRPr="00F92160">
              <w:rPr>
                <w:b/>
                <w:sz w:val="20"/>
                <w:szCs w:val="20"/>
              </w:rPr>
              <w:t>3,434,250</w:t>
            </w:r>
          </w:p>
        </w:tc>
        <w:tc>
          <w:tcPr>
            <w:tcW w:w="113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0DF39EF1" w14:textId="77777777" w:rsidR="00F92160" w:rsidRPr="00F92160" w:rsidRDefault="00F92160" w:rsidP="00F92160">
            <w:pPr>
              <w:jc w:val="right"/>
              <w:rPr>
                <w:rFonts w:ascii="Times New Roman" w:eastAsia="Times New Roman" w:hAnsi="Times New Roman"/>
                <w:sz w:val="20"/>
                <w:szCs w:val="20"/>
                <w:lang w:eastAsia="en-GB"/>
              </w:rPr>
            </w:pPr>
            <w:r w:rsidRPr="00F92160">
              <w:rPr>
                <w:rFonts w:eastAsia="Times New Roman" w:cs="Arial"/>
                <w:b/>
                <w:bCs/>
                <w:color w:val="000000"/>
                <w:sz w:val="20"/>
                <w:szCs w:val="20"/>
                <w:lang w:eastAsia="en-GB"/>
              </w:rPr>
              <w:t>100.0</w:t>
            </w:r>
          </w:p>
        </w:tc>
      </w:tr>
    </w:tbl>
    <w:p w14:paraId="157C8CDA" w14:textId="77777777" w:rsidR="00714481" w:rsidRPr="009E6E50" w:rsidRDefault="00714481" w:rsidP="009E6E50">
      <w:pPr>
        <w:pStyle w:val="Heading2"/>
        <w:numPr>
          <w:ilvl w:val="0"/>
          <w:numId w:val="0"/>
        </w:numPr>
        <w:spacing w:after="120"/>
        <w:ind w:left="709"/>
        <w:rPr>
          <w:sz w:val="24"/>
          <w:szCs w:val="24"/>
        </w:rPr>
      </w:pPr>
    </w:p>
    <w:p w14:paraId="22520CF3" w14:textId="758F37E4" w:rsidR="009E6E50" w:rsidRPr="009E6E50" w:rsidRDefault="009E6E50" w:rsidP="009E6E50">
      <w:pPr>
        <w:pStyle w:val="Heading2"/>
        <w:spacing w:after="120"/>
        <w:ind w:left="709" w:hanging="709"/>
        <w:rPr>
          <w:sz w:val="24"/>
          <w:szCs w:val="24"/>
        </w:rPr>
      </w:pPr>
      <w:r w:rsidRPr="009E6E50">
        <w:rPr>
          <w:sz w:val="24"/>
          <w:szCs w:val="24"/>
        </w:rPr>
        <w:t xml:space="preserve">The </w:t>
      </w:r>
      <w:r>
        <w:rPr>
          <w:sz w:val="24"/>
          <w:szCs w:val="24"/>
        </w:rPr>
        <w:t xml:space="preserve">Customer calculated the </w:t>
      </w:r>
      <w:r w:rsidRPr="009E6E50">
        <w:rPr>
          <w:sz w:val="24"/>
          <w:szCs w:val="24"/>
        </w:rPr>
        <w:t>estimated number of digs</w:t>
      </w:r>
      <w:r>
        <w:rPr>
          <w:sz w:val="24"/>
          <w:szCs w:val="24"/>
        </w:rPr>
        <w:t>,</w:t>
      </w:r>
      <w:r w:rsidRPr="009E6E50">
        <w:rPr>
          <w:sz w:val="24"/>
          <w:szCs w:val="24"/>
        </w:rPr>
        <w:t xml:space="preserve"> by statutory undertakers per year</w:t>
      </w:r>
      <w:r w:rsidR="00F92160">
        <w:rPr>
          <w:sz w:val="24"/>
          <w:szCs w:val="24"/>
        </w:rPr>
        <w:t xml:space="preserve"> in England</w:t>
      </w:r>
      <w:r w:rsidR="00FB5F6C">
        <w:rPr>
          <w:sz w:val="24"/>
          <w:szCs w:val="24"/>
        </w:rPr>
        <w:t>,</w:t>
      </w:r>
      <w:r w:rsidR="00F92160">
        <w:rPr>
          <w:sz w:val="24"/>
          <w:szCs w:val="24"/>
        </w:rPr>
        <w:t xml:space="preserve"> Wales and Northern Ireland</w:t>
      </w:r>
      <w:r w:rsidRPr="009E6E50">
        <w:rPr>
          <w:sz w:val="24"/>
          <w:szCs w:val="24"/>
        </w:rPr>
        <w:t>, broken down by asset sector,</w:t>
      </w:r>
      <w:r>
        <w:rPr>
          <w:sz w:val="24"/>
          <w:szCs w:val="24"/>
        </w:rPr>
        <w:t xml:space="preserve"> </w:t>
      </w:r>
      <w:r w:rsidRPr="009E6E50">
        <w:rPr>
          <w:sz w:val="24"/>
          <w:szCs w:val="24"/>
        </w:rPr>
        <w:t>using public sources and estimates by selected statutory undertakers. These are presented below</w:t>
      </w:r>
      <w:r w:rsidR="003764D4">
        <w:rPr>
          <w:sz w:val="24"/>
          <w:szCs w:val="24"/>
        </w:rPr>
        <w:t xml:space="preserve"> and they are indicative</w:t>
      </w:r>
      <w:r w:rsidR="007320A4">
        <w:rPr>
          <w:sz w:val="24"/>
          <w:szCs w:val="24"/>
        </w:rPr>
        <w:t>:</w:t>
      </w:r>
    </w:p>
    <w:tbl>
      <w:tblPr>
        <w:tblW w:w="0" w:type="auto"/>
        <w:tblInd w:w="1410" w:type="dxa"/>
        <w:tblCellMar>
          <w:top w:w="15" w:type="dxa"/>
          <w:left w:w="15" w:type="dxa"/>
          <w:bottom w:w="15" w:type="dxa"/>
          <w:right w:w="15" w:type="dxa"/>
        </w:tblCellMar>
        <w:tblLook w:val="04A0" w:firstRow="1" w:lastRow="0" w:firstColumn="1" w:lastColumn="0" w:noHBand="0" w:noVBand="1"/>
      </w:tblPr>
      <w:tblGrid>
        <w:gridCol w:w="1781"/>
        <w:gridCol w:w="2330"/>
      </w:tblGrid>
      <w:tr w:rsidR="009E6E50" w:rsidRPr="009E6E50" w14:paraId="1E61A379" w14:textId="77777777" w:rsidTr="009E6E50">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B8CCE4" w:themeFill="accent1" w:themeFillTint="66"/>
            <w:tcMar>
              <w:top w:w="40" w:type="dxa"/>
              <w:left w:w="40" w:type="dxa"/>
              <w:bottom w:w="40" w:type="dxa"/>
              <w:right w:w="40" w:type="dxa"/>
            </w:tcMar>
            <w:hideMark/>
          </w:tcPr>
          <w:p w14:paraId="40C7988D" w14:textId="77777777" w:rsidR="009E6E50" w:rsidRPr="009E6E50" w:rsidRDefault="009E6E50" w:rsidP="009E6E50">
            <w:pPr>
              <w:rPr>
                <w:rFonts w:ascii="Times New Roman" w:eastAsia="Times New Roman" w:hAnsi="Times New Roman"/>
                <w:sz w:val="24"/>
                <w:lang w:eastAsia="en-GB"/>
              </w:rPr>
            </w:pPr>
            <w:r w:rsidRPr="009E6E50">
              <w:rPr>
                <w:rFonts w:eastAsia="Times New Roman" w:cs="Arial"/>
                <w:b/>
                <w:bCs/>
                <w:color w:val="000000"/>
                <w:sz w:val="20"/>
                <w:szCs w:val="20"/>
                <w:lang w:eastAsia="en-GB"/>
              </w:rPr>
              <w:lastRenderedPageBreak/>
              <w:t>Asset Sector</w:t>
            </w:r>
          </w:p>
        </w:tc>
        <w:tc>
          <w:tcPr>
            <w:tcW w:w="2330"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tcMar>
              <w:top w:w="40" w:type="dxa"/>
              <w:left w:w="40" w:type="dxa"/>
              <w:bottom w:w="40" w:type="dxa"/>
              <w:right w:w="40" w:type="dxa"/>
            </w:tcMar>
            <w:hideMark/>
          </w:tcPr>
          <w:p w14:paraId="6DFC9CDC" w14:textId="77777777" w:rsidR="009E6E50" w:rsidRDefault="009E6E50" w:rsidP="009E6E50">
            <w:pPr>
              <w:rPr>
                <w:rFonts w:eastAsia="Times New Roman" w:cs="Arial"/>
                <w:b/>
                <w:bCs/>
                <w:color w:val="000000"/>
                <w:sz w:val="20"/>
                <w:szCs w:val="20"/>
                <w:lang w:eastAsia="en-GB"/>
              </w:rPr>
            </w:pPr>
            <w:r w:rsidRPr="009E6E50">
              <w:rPr>
                <w:rFonts w:eastAsia="Times New Roman" w:cs="Arial"/>
                <w:b/>
                <w:bCs/>
                <w:color w:val="000000"/>
                <w:sz w:val="20"/>
                <w:szCs w:val="20"/>
                <w:lang w:eastAsia="en-GB"/>
              </w:rPr>
              <w:t>Estimated Number of Digs per year</w:t>
            </w:r>
          </w:p>
          <w:p w14:paraId="44341DA2" w14:textId="1D5200FD" w:rsidR="009E6E50" w:rsidRPr="009E6E50" w:rsidRDefault="009E6E50" w:rsidP="009E6E50">
            <w:pPr>
              <w:rPr>
                <w:rFonts w:ascii="Times New Roman" w:eastAsia="Times New Roman" w:hAnsi="Times New Roman"/>
                <w:sz w:val="24"/>
                <w:lang w:eastAsia="en-GB"/>
              </w:rPr>
            </w:pPr>
          </w:p>
        </w:tc>
      </w:tr>
      <w:tr w:rsidR="00F92160" w:rsidRPr="009E6E50" w14:paraId="51CCD33A" w14:textId="77777777" w:rsidTr="00416E62">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14:paraId="22C927B5" w14:textId="77777777" w:rsidR="00F92160" w:rsidRPr="00416E62" w:rsidRDefault="00F92160" w:rsidP="00F92160">
            <w:pPr>
              <w:rPr>
                <w:rFonts w:ascii="Times New Roman" w:eastAsia="Times New Roman" w:hAnsi="Times New Roman"/>
                <w:sz w:val="20"/>
                <w:szCs w:val="20"/>
                <w:lang w:eastAsia="en-GB"/>
              </w:rPr>
            </w:pPr>
            <w:r w:rsidRPr="00416E62">
              <w:rPr>
                <w:rFonts w:eastAsia="Times New Roman" w:cs="Arial"/>
                <w:color w:val="000000"/>
                <w:sz w:val="20"/>
                <w:szCs w:val="20"/>
                <w:lang w:eastAsia="en-GB"/>
              </w:rPr>
              <w:t>Electricity</w:t>
            </w:r>
          </w:p>
        </w:tc>
        <w:tc>
          <w:tcPr>
            <w:tcW w:w="233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14:paraId="1A0520ED" w14:textId="217C7CAE" w:rsidR="00F92160" w:rsidRPr="00416E62" w:rsidRDefault="00F92160" w:rsidP="00F92160">
            <w:pPr>
              <w:jc w:val="right"/>
              <w:rPr>
                <w:rFonts w:ascii="Times New Roman" w:eastAsia="Times New Roman" w:hAnsi="Times New Roman"/>
                <w:sz w:val="20"/>
                <w:szCs w:val="20"/>
                <w:lang w:eastAsia="en-GB"/>
              </w:rPr>
            </w:pPr>
            <w:r w:rsidRPr="00416E62">
              <w:rPr>
                <w:sz w:val="20"/>
                <w:szCs w:val="20"/>
              </w:rPr>
              <w:t>307,000</w:t>
            </w:r>
          </w:p>
        </w:tc>
      </w:tr>
      <w:tr w:rsidR="00F92160" w:rsidRPr="009E6E50" w14:paraId="4A771DB6" w14:textId="77777777" w:rsidTr="00416E62">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14:paraId="39D03B93" w14:textId="77777777" w:rsidR="00F92160" w:rsidRPr="00416E62" w:rsidRDefault="00F92160" w:rsidP="00F92160">
            <w:pPr>
              <w:rPr>
                <w:rFonts w:ascii="Times New Roman" w:eastAsia="Times New Roman" w:hAnsi="Times New Roman"/>
                <w:sz w:val="20"/>
                <w:szCs w:val="20"/>
                <w:lang w:eastAsia="en-GB"/>
              </w:rPr>
            </w:pPr>
            <w:r w:rsidRPr="00416E62">
              <w:rPr>
                <w:rFonts w:eastAsia="Times New Roman" w:cs="Arial"/>
                <w:color w:val="000000"/>
                <w:sz w:val="20"/>
                <w:szCs w:val="20"/>
                <w:lang w:eastAsia="en-GB"/>
              </w:rPr>
              <w:t>Gas</w:t>
            </w:r>
          </w:p>
        </w:tc>
        <w:tc>
          <w:tcPr>
            <w:tcW w:w="233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14:paraId="048A58A3" w14:textId="10CD1DEE" w:rsidR="00F92160" w:rsidRPr="00416E62" w:rsidRDefault="00F92160" w:rsidP="00F92160">
            <w:pPr>
              <w:jc w:val="right"/>
              <w:rPr>
                <w:rFonts w:ascii="Times New Roman" w:eastAsia="Times New Roman" w:hAnsi="Times New Roman"/>
                <w:sz w:val="20"/>
                <w:szCs w:val="20"/>
                <w:lang w:eastAsia="en-GB"/>
              </w:rPr>
            </w:pPr>
            <w:r w:rsidRPr="00416E62">
              <w:rPr>
                <w:sz w:val="20"/>
                <w:szCs w:val="20"/>
              </w:rPr>
              <w:t>710,000</w:t>
            </w:r>
          </w:p>
        </w:tc>
      </w:tr>
      <w:tr w:rsidR="00F92160" w:rsidRPr="009E6E50" w14:paraId="58A6FCA4" w14:textId="77777777" w:rsidTr="00416E62">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14:paraId="56BBA74F" w14:textId="77777777" w:rsidR="00F92160" w:rsidRPr="00416E62" w:rsidRDefault="00F92160" w:rsidP="00F92160">
            <w:pPr>
              <w:rPr>
                <w:rFonts w:ascii="Times New Roman" w:eastAsia="Times New Roman" w:hAnsi="Times New Roman"/>
                <w:sz w:val="20"/>
                <w:szCs w:val="20"/>
                <w:lang w:eastAsia="en-GB"/>
              </w:rPr>
            </w:pPr>
            <w:r w:rsidRPr="00416E62">
              <w:rPr>
                <w:rFonts w:eastAsia="Times New Roman" w:cs="Arial"/>
                <w:color w:val="000000"/>
                <w:sz w:val="20"/>
                <w:szCs w:val="20"/>
                <w:lang w:eastAsia="en-GB"/>
              </w:rPr>
              <w:t>Water and Sewage</w:t>
            </w:r>
          </w:p>
        </w:tc>
        <w:tc>
          <w:tcPr>
            <w:tcW w:w="233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14:paraId="780E5385" w14:textId="188E805F" w:rsidR="00F92160" w:rsidRPr="00416E62" w:rsidRDefault="00F92160" w:rsidP="00F92160">
            <w:pPr>
              <w:jc w:val="right"/>
              <w:rPr>
                <w:rFonts w:ascii="Times New Roman" w:eastAsia="Times New Roman" w:hAnsi="Times New Roman"/>
                <w:sz w:val="20"/>
                <w:szCs w:val="20"/>
                <w:lang w:eastAsia="en-GB"/>
              </w:rPr>
            </w:pPr>
            <w:r w:rsidRPr="00416E62">
              <w:rPr>
                <w:sz w:val="20"/>
                <w:szCs w:val="20"/>
              </w:rPr>
              <w:t>955,000</w:t>
            </w:r>
          </w:p>
        </w:tc>
      </w:tr>
      <w:tr w:rsidR="00F92160" w:rsidRPr="009E6E50" w14:paraId="3A2DF5C5" w14:textId="77777777" w:rsidTr="00416E62">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14:paraId="19370C01" w14:textId="77777777" w:rsidR="00F92160" w:rsidRPr="00416E62" w:rsidRDefault="00F92160" w:rsidP="00F92160">
            <w:pPr>
              <w:rPr>
                <w:rFonts w:ascii="Times New Roman" w:eastAsia="Times New Roman" w:hAnsi="Times New Roman"/>
                <w:sz w:val="20"/>
                <w:szCs w:val="20"/>
                <w:lang w:eastAsia="en-GB"/>
              </w:rPr>
            </w:pPr>
            <w:r w:rsidRPr="00416E62">
              <w:rPr>
                <w:rFonts w:eastAsia="Times New Roman" w:cs="Arial"/>
                <w:color w:val="000000"/>
                <w:sz w:val="20"/>
                <w:szCs w:val="20"/>
                <w:lang w:eastAsia="en-GB"/>
              </w:rPr>
              <w:t>Telecoms</w:t>
            </w:r>
          </w:p>
        </w:tc>
        <w:tc>
          <w:tcPr>
            <w:tcW w:w="233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14:paraId="6FD42F78" w14:textId="56D62AD6" w:rsidR="00F92160" w:rsidRPr="00416E62" w:rsidRDefault="00F92160" w:rsidP="00F92160">
            <w:pPr>
              <w:jc w:val="right"/>
              <w:rPr>
                <w:rFonts w:ascii="Times New Roman" w:eastAsia="Times New Roman" w:hAnsi="Times New Roman"/>
                <w:sz w:val="20"/>
                <w:szCs w:val="20"/>
                <w:lang w:eastAsia="en-GB"/>
              </w:rPr>
            </w:pPr>
            <w:r w:rsidRPr="00416E62">
              <w:rPr>
                <w:sz w:val="20"/>
                <w:szCs w:val="20"/>
              </w:rPr>
              <w:t>382,500</w:t>
            </w:r>
          </w:p>
        </w:tc>
      </w:tr>
      <w:tr w:rsidR="00F92160" w:rsidRPr="009E6E50" w14:paraId="577CABC0" w14:textId="77777777" w:rsidTr="00416E62">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14:paraId="103A650E" w14:textId="77777777" w:rsidR="00F92160" w:rsidRPr="00416E62" w:rsidRDefault="00F92160" w:rsidP="00F92160">
            <w:pPr>
              <w:rPr>
                <w:rFonts w:ascii="Times New Roman" w:eastAsia="Times New Roman" w:hAnsi="Times New Roman"/>
                <w:sz w:val="20"/>
                <w:szCs w:val="20"/>
                <w:lang w:eastAsia="en-GB"/>
              </w:rPr>
            </w:pPr>
            <w:r w:rsidRPr="00416E62">
              <w:rPr>
                <w:rFonts w:eastAsia="Times New Roman" w:cs="Arial"/>
                <w:color w:val="000000"/>
                <w:sz w:val="20"/>
                <w:szCs w:val="20"/>
                <w:lang w:eastAsia="en-GB"/>
              </w:rPr>
              <w:t>Highways</w:t>
            </w:r>
          </w:p>
        </w:tc>
        <w:tc>
          <w:tcPr>
            <w:tcW w:w="233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14:paraId="2B437F70" w14:textId="07CEED0A" w:rsidR="00F92160" w:rsidRPr="00416E62" w:rsidRDefault="00F92160" w:rsidP="00F92160">
            <w:pPr>
              <w:jc w:val="right"/>
              <w:rPr>
                <w:rFonts w:ascii="Times New Roman" w:eastAsia="Times New Roman" w:hAnsi="Times New Roman"/>
                <w:sz w:val="20"/>
                <w:szCs w:val="20"/>
                <w:lang w:eastAsia="en-GB"/>
              </w:rPr>
            </w:pPr>
            <w:r w:rsidRPr="00416E62">
              <w:rPr>
                <w:sz w:val="20"/>
                <w:szCs w:val="20"/>
              </w:rPr>
              <w:t>1,457,000</w:t>
            </w:r>
          </w:p>
        </w:tc>
      </w:tr>
      <w:tr w:rsidR="00F92160" w:rsidRPr="009E6E50" w14:paraId="39A7C97C" w14:textId="77777777" w:rsidTr="00416E62">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14:paraId="64D5CA33" w14:textId="77777777" w:rsidR="00F92160" w:rsidRPr="00416E62" w:rsidRDefault="00F92160" w:rsidP="00F92160">
            <w:pPr>
              <w:rPr>
                <w:rFonts w:ascii="Times New Roman" w:eastAsia="Times New Roman" w:hAnsi="Times New Roman"/>
                <w:sz w:val="20"/>
                <w:szCs w:val="20"/>
                <w:lang w:eastAsia="en-GB"/>
              </w:rPr>
            </w:pPr>
            <w:r w:rsidRPr="00416E62">
              <w:rPr>
                <w:rFonts w:eastAsia="Times New Roman" w:cs="Arial"/>
                <w:color w:val="000000"/>
                <w:sz w:val="20"/>
                <w:szCs w:val="20"/>
                <w:lang w:eastAsia="en-GB"/>
              </w:rPr>
              <w:t>Transport</w:t>
            </w:r>
          </w:p>
        </w:tc>
        <w:tc>
          <w:tcPr>
            <w:tcW w:w="233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14:paraId="78BB047B" w14:textId="2B5C5F11" w:rsidR="00F92160" w:rsidRPr="00416E62" w:rsidRDefault="00F92160" w:rsidP="00F92160">
            <w:pPr>
              <w:jc w:val="right"/>
              <w:rPr>
                <w:rFonts w:ascii="Times New Roman" w:eastAsia="Times New Roman" w:hAnsi="Times New Roman"/>
                <w:sz w:val="20"/>
                <w:szCs w:val="20"/>
                <w:lang w:eastAsia="en-GB"/>
              </w:rPr>
            </w:pPr>
            <w:r w:rsidRPr="00416E62">
              <w:rPr>
                <w:sz w:val="20"/>
                <w:szCs w:val="20"/>
              </w:rPr>
              <w:t>190,500</w:t>
            </w:r>
          </w:p>
        </w:tc>
      </w:tr>
      <w:tr w:rsidR="00F92160" w:rsidRPr="009E6E50" w14:paraId="66C0CD72" w14:textId="77777777" w:rsidTr="00416E62">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14:paraId="74E97BFA" w14:textId="77777777" w:rsidR="00F92160" w:rsidRPr="00416E62" w:rsidRDefault="00F92160" w:rsidP="00F92160">
            <w:pPr>
              <w:rPr>
                <w:rFonts w:ascii="Times New Roman" w:eastAsia="Times New Roman" w:hAnsi="Times New Roman"/>
                <w:sz w:val="20"/>
                <w:szCs w:val="20"/>
                <w:lang w:eastAsia="en-GB"/>
              </w:rPr>
            </w:pPr>
            <w:r w:rsidRPr="00416E62">
              <w:rPr>
                <w:rFonts w:eastAsia="Times New Roman" w:cs="Arial"/>
                <w:b/>
                <w:bCs/>
                <w:color w:val="000000"/>
                <w:sz w:val="20"/>
                <w:szCs w:val="20"/>
                <w:lang w:eastAsia="en-GB"/>
              </w:rPr>
              <w:t>Grand Total</w:t>
            </w:r>
          </w:p>
        </w:tc>
        <w:tc>
          <w:tcPr>
            <w:tcW w:w="233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14:paraId="3C460F2C" w14:textId="6F850312" w:rsidR="00F92160" w:rsidRPr="00416E62" w:rsidRDefault="00F92160" w:rsidP="00F92160">
            <w:pPr>
              <w:jc w:val="right"/>
              <w:rPr>
                <w:rFonts w:ascii="Times New Roman" w:eastAsia="Times New Roman" w:hAnsi="Times New Roman"/>
                <w:b/>
                <w:sz w:val="20"/>
                <w:szCs w:val="20"/>
                <w:lang w:eastAsia="en-GB"/>
              </w:rPr>
            </w:pPr>
            <w:r w:rsidRPr="00416E62">
              <w:rPr>
                <w:b/>
                <w:sz w:val="20"/>
                <w:szCs w:val="20"/>
              </w:rPr>
              <w:t>4,002,000</w:t>
            </w:r>
          </w:p>
        </w:tc>
      </w:tr>
    </w:tbl>
    <w:p w14:paraId="00AF7CA3" w14:textId="6B304C66" w:rsidR="00714481" w:rsidRDefault="009E6E50" w:rsidP="009E6E50">
      <w:pPr>
        <w:pStyle w:val="Heading2"/>
        <w:numPr>
          <w:ilvl w:val="0"/>
          <w:numId w:val="0"/>
        </w:numPr>
        <w:ind w:left="1440"/>
        <w:rPr>
          <w:sz w:val="24"/>
          <w:highlight w:val="yellow"/>
        </w:rPr>
      </w:pPr>
      <w:r>
        <w:rPr>
          <w:rFonts w:cs="Arial"/>
          <w:color w:val="000000"/>
          <w:sz w:val="20"/>
        </w:rPr>
        <w:t xml:space="preserve">NB each </w:t>
      </w:r>
      <w:r w:rsidR="007320A4">
        <w:rPr>
          <w:rFonts w:cs="Arial"/>
          <w:color w:val="000000"/>
          <w:sz w:val="20"/>
        </w:rPr>
        <w:t>“</w:t>
      </w:r>
      <w:r>
        <w:rPr>
          <w:rFonts w:cs="Arial"/>
          <w:color w:val="000000"/>
          <w:sz w:val="20"/>
        </w:rPr>
        <w:t>dig</w:t>
      </w:r>
      <w:r w:rsidR="007320A4">
        <w:rPr>
          <w:rFonts w:cs="Arial"/>
          <w:color w:val="000000"/>
          <w:sz w:val="20"/>
        </w:rPr>
        <w:t>”</w:t>
      </w:r>
      <w:r>
        <w:rPr>
          <w:rFonts w:cs="Arial"/>
          <w:color w:val="000000"/>
          <w:sz w:val="20"/>
        </w:rPr>
        <w:t xml:space="preserve"> </w:t>
      </w:r>
      <w:r w:rsidR="007320A4">
        <w:rPr>
          <w:rFonts w:cs="Arial"/>
          <w:color w:val="000000"/>
          <w:sz w:val="20"/>
        </w:rPr>
        <w:t xml:space="preserve">may </w:t>
      </w:r>
      <w:r>
        <w:rPr>
          <w:rFonts w:cs="Arial"/>
          <w:color w:val="000000"/>
          <w:sz w:val="20"/>
        </w:rPr>
        <w:t>incur a number of information requests (including: planning, site visits and execution)</w:t>
      </w:r>
    </w:p>
    <w:p w14:paraId="0C1E78CC" w14:textId="7777777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27" w:name="_Toc368573035"/>
      <w:bookmarkStart w:id="28" w:name="_Toc69240415"/>
      <w:r w:rsidRPr="001A45DF">
        <w:rPr>
          <w:rFonts w:cs="Arial"/>
          <w:sz w:val="32"/>
          <w:szCs w:val="32"/>
        </w:rPr>
        <w:t>continuous improvement</w:t>
      </w:r>
      <w:bookmarkEnd w:id="27"/>
      <w:bookmarkEnd w:id="28"/>
    </w:p>
    <w:p w14:paraId="6BCBD30E" w14:textId="17F53362" w:rsidR="00090094" w:rsidRDefault="00FE18AC" w:rsidP="00090094">
      <w:pPr>
        <w:pStyle w:val="Heading2"/>
        <w:spacing w:after="120"/>
        <w:ind w:left="709" w:hanging="709"/>
        <w:rPr>
          <w:sz w:val="24"/>
          <w:szCs w:val="24"/>
        </w:rPr>
      </w:pPr>
      <w:r w:rsidRPr="001A45DF">
        <w:rPr>
          <w:sz w:val="24"/>
          <w:szCs w:val="24"/>
        </w:rPr>
        <w:t xml:space="preserve">The </w:t>
      </w:r>
      <w:r w:rsidR="003047E0" w:rsidRPr="001A45DF">
        <w:rPr>
          <w:sz w:val="24"/>
          <w:szCs w:val="24"/>
        </w:rPr>
        <w:t>Supplier</w:t>
      </w:r>
      <w:r w:rsidRPr="001A45DF">
        <w:rPr>
          <w:sz w:val="24"/>
          <w:szCs w:val="24"/>
        </w:rPr>
        <w:t xml:space="preserve"> will be expected to continually improve the way in which the required Services are to be delivered throughout the </w:t>
      </w:r>
      <w:r w:rsidR="00577182">
        <w:rPr>
          <w:sz w:val="24"/>
          <w:szCs w:val="24"/>
        </w:rPr>
        <w:t>c</w:t>
      </w:r>
      <w:r w:rsidR="0052086C" w:rsidRPr="001A45DF">
        <w:rPr>
          <w:sz w:val="24"/>
          <w:szCs w:val="24"/>
        </w:rPr>
        <w:t xml:space="preserve">ontract </w:t>
      </w:r>
      <w:r w:rsidRPr="001A45DF">
        <w:rPr>
          <w:sz w:val="24"/>
          <w:szCs w:val="24"/>
        </w:rPr>
        <w:t>duration</w:t>
      </w:r>
      <w:r w:rsidR="00014CDC">
        <w:rPr>
          <w:sz w:val="24"/>
          <w:szCs w:val="24"/>
        </w:rPr>
        <w:t xml:space="preserve">, </w:t>
      </w:r>
      <w:r w:rsidR="00014CDC" w:rsidRPr="00014CDC">
        <w:rPr>
          <w:bCs/>
          <w:sz w:val="24"/>
          <w:szCs w:val="24"/>
        </w:rPr>
        <w:t>including the approach to security in the platform and the delivery of the Requirement</w:t>
      </w:r>
      <w:r w:rsidRPr="00014CDC">
        <w:rPr>
          <w:sz w:val="24"/>
          <w:szCs w:val="24"/>
        </w:rPr>
        <w:t>.</w:t>
      </w:r>
      <w:bookmarkStart w:id="29" w:name="_Toc368573036"/>
    </w:p>
    <w:p w14:paraId="3C57E82E" w14:textId="77777777" w:rsidR="00090094" w:rsidRDefault="00090094" w:rsidP="00090094">
      <w:pPr>
        <w:pStyle w:val="Heading2"/>
        <w:spacing w:after="120"/>
        <w:ind w:left="709" w:hanging="709"/>
        <w:rPr>
          <w:sz w:val="24"/>
          <w:szCs w:val="24"/>
        </w:rPr>
      </w:pPr>
      <w:r w:rsidRPr="00090094">
        <w:rPr>
          <w:sz w:val="24"/>
          <w:szCs w:val="24"/>
        </w:rPr>
        <w:t xml:space="preserve">The Supplier should present new ways of working to the Customer in regular retrospectives or contract review meetings. </w:t>
      </w:r>
    </w:p>
    <w:p w14:paraId="137B3FC7" w14:textId="1E16E333" w:rsidR="00090094" w:rsidRDefault="00090094" w:rsidP="00090094">
      <w:pPr>
        <w:pStyle w:val="Heading2"/>
        <w:spacing w:after="120"/>
        <w:ind w:left="709" w:hanging="709"/>
        <w:rPr>
          <w:sz w:val="24"/>
          <w:szCs w:val="24"/>
        </w:rPr>
      </w:pPr>
      <w:r w:rsidRPr="00090094">
        <w:rPr>
          <w:sz w:val="24"/>
          <w:szCs w:val="24"/>
        </w:rPr>
        <w:t>The Supplier will actively elicit, review and act upon feedback from stakeholder</w:t>
      </w:r>
      <w:r w:rsidR="0040670D">
        <w:rPr>
          <w:sz w:val="24"/>
          <w:szCs w:val="24"/>
        </w:rPr>
        <w:t>s</w:t>
      </w:r>
      <w:r w:rsidRPr="00090094">
        <w:rPr>
          <w:sz w:val="24"/>
          <w:szCs w:val="24"/>
        </w:rPr>
        <w:t xml:space="preserve"> and </w:t>
      </w:r>
      <w:r w:rsidR="00BE38FD">
        <w:rPr>
          <w:sz w:val="24"/>
          <w:szCs w:val="24"/>
        </w:rPr>
        <w:t>End U</w:t>
      </w:r>
      <w:r w:rsidRPr="00090094">
        <w:rPr>
          <w:sz w:val="24"/>
          <w:szCs w:val="24"/>
        </w:rPr>
        <w:t xml:space="preserve">sers of the platform throughout the development process. </w:t>
      </w:r>
    </w:p>
    <w:p w14:paraId="64BC573E" w14:textId="1C62C062" w:rsidR="00090094" w:rsidRPr="00090094" w:rsidRDefault="00090094" w:rsidP="00090094">
      <w:pPr>
        <w:pStyle w:val="Heading2"/>
        <w:spacing w:after="120"/>
        <w:ind w:left="709" w:hanging="709"/>
        <w:rPr>
          <w:sz w:val="24"/>
          <w:szCs w:val="24"/>
        </w:rPr>
      </w:pPr>
      <w:r w:rsidRPr="00090094">
        <w:rPr>
          <w:sz w:val="24"/>
          <w:szCs w:val="24"/>
        </w:rPr>
        <w:t>Changes to the way in which the Services are to be delivered must be brought to the Customer’s attention and agreed prior to any changes being implemented.</w:t>
      </w:r>
    </w:p>
    <w:p w14:paraId="1114BE17" w14:textId="3474E8B8" w:rsidR="00FE18AC" w:rsidRPr="001A45DF" w:rsidRDefault="00FE18AC" w:rsidP="00090094">
      <w:pPr>
        <w:pStyle w:val="Heading1"/>
        <w:rPr>
          <w:rFonts w:cs="Arial"/>
          <w:sz w:val="32"/>
          <w:szCs w:val="32"/>
        </w:rPr>
      </w:pPr>
      <w:bookmarkStart w:id="30" w:name="_Toc69240416"/>
      <w:r w:rsidRPr="001A45DF">
        <w:rPr>
          <w:rFonts w:cs="Arial"/>
          <w:sz w:val="32"/>
          <w:szCs w:val="32"/>
        </w:rPr>
        <w:t>quality</w:t>
      </w:r>
      <w:bookmarkEnd w:id="29"/>
      <w:bookmarkEnd w:id="30"/>
    </w:p>
    <w:p w14:paraId="47FE6E88" w14:textId="04C5943E" w:rsidR="00863BDA" w:rsidRPr="00863BDA" w:rsidRDefault="00863BDA" w:rsidP="00863BDA">
      <w:pPr>
        <w:pStyle w:val="Heading2"/>
        <w:spacing w:after="120"/>
        <w:ind w:left="709" w:hanging="709"/>
        <w:rPr>
          <w:sz w:val="24"/>
          <w:szCs w:val="24"/>
        </w:rPr>
      </w:pPr>
      <w:r w:rsidRPr="00863BDA">
        <w:rPr>
          <w:sz w:val="24"/>
          <w:szCs w:val="24"/>
        </w:rPr>
        <w:t>Accreditations</w:t>
      </w:r>
    </w:p>
    <w:p w14:paraId="06E33A9D" w14:textId="16EFC65C" w:rsidR="00863BDA" w:rsidRPr="00863BDA" w:rsidRDefault="00863BDA" w:rsidP="00863BDA">
      <w:pPr>
        <w:pStyle w:val="Heading3"/>
        <w:rPr>
          <w:sz w:val="24"/>
          <w:szCs w:val="24"/>
        </w:rPr>
      </w:pPr>
      <w:r w:rsidRPr="00863BDA">
        <w:rPr>
          <w:sz w:val="24"/>
          <w:szCs w:val="24"/>
        </w:rPr>
        <w:t>The Supplier will deliver the NUAR platform and related transformation and ingestion activities in accordance with GDS Service Standards unless agreed otherwise by the Customer (</w:t>
      </w:r>
      <w:hyperlink r:id="rId10" w:history="1">
        <w:r w:rsidRPr="00863BDA">
          <w:rPr>
            <w:sz w:val="24"/>
            <w:szCs w:val="24"/>
          </w:rPr>
          <w:t>https://www.gov.uk/service-manual/service-standard</w:t>
        </w:r>
      </w:hyperlink>
      <w:r w:rsidRPr="00863BDA">
        <w:rPr>
          <w:sz w:val="24"/>
          <w:szCs w:val="24"/>
        </w:rPr>
        <w:t>)</w:t>
      </w:r>
      <w:r w:rsidR="00577182">
        <w:rPr>
          <w:sz w:val="24"/>
          <w:szCs w:val="24"/>
        </w:rPr>
        <w:t>.</w:t>
      </w:r>
    </w:p>
    <w:p w14:paraId="564C5F64" w14:textId="473DA920" w:rsidR="00863BDA" w:rsidRPr="00863BDA" w:rsidRDefault="00863BDA" w:rsidP="00863BDA">
      <w:pPr>
        <w:pStyle w:val="Heading3"/>
        <w:rPr>
          <w:sz w:val="24"/>
          <w:szCs w:val="24"/>
        </w:rPr>
      </w:pPr>
      <w:r w:rsidRPr="00863BDA">
        <w:rPr>
          <w:sz w:val="24"/>
          <w:szCs w:val="24"/>
        </w:rPr>
        <w:t>The Supplier will carry out work in accordance with the UK Government Service Design Manual (</w:t>
      </w:r>
      <w:hyperlink r:id="rId11" w:history="1">
        <w:r w:rsidRPr="00863BDA">
          <w:rPr>
            <w:sz w:val="24"/>
            <w:szCs w:val="24"/>
          </w:rPr>
          <w:t>https://www.gov.uk/service-manual</w:t>
        </w:r>
      </w:hyperlink>
      <w:r w:rsidRPr="00863BDA">
        <w:rPr>
          <w:sz w:val="24"/>
          <w:szCs w:val="24"/>
        </w:rPr>
        <w:t>)</w:t>
      </w:r>
      <w:r w:rsidR="00841111">
        <w:rPr>
          <w:sz w:val="24"/>
          <w:szCs w:val="24"/>
        </w:rPr>
        <w:t xml:space="preserve">, </w:t>
      </w:r>
      <w:r w:rsidR="00841111" w:rsidRPr="00841111">
        <w:rPr>
          <w:rFonts w:cs="Arial"/>
          <w:color w:val="000000"/>
          <w:sz w:val="24"/>
          <w:szCs w:val="22"/>
        </w:rPr>
        <w:t>including the use of moderated usability testing (</w:t>
      </w:r>
      <w:hyperlink r:id="rId12" w:history="1">
        <w:r w:rsidR="00841111" w:rsidRPr="00841111">
          <w:rPr>
            <w:rStyle w:val="Hyperlink"/>
            <w:rFonts w:cs="Arial"/>
            <w:color w:val="1155CC"/>
            <w:sz w:val="24"/>
            <w:szCs w:val="22"/>
          </w:rPr>
          <w:t>https://www.gov.uk/service-manual/user-research/using-moderated-usability-testing</w:t>
        </w:r>
      </w:hyperlink>
      <w:r w:rsidR="00841111" w:rsidRPr="00841111">
        <w:rPr>
          <w:rFonts w:cs="Arial"/>
          <w:color w:val="000000"/>
          <w:sz w:val="24"/>
          <w:szCs w:val="22"/>
        </w:rPr>
        <w:t>)</w:t>
      </w:r>
      <w:r w:rsidR="00577182">
        <w:rPr>
          <w:sz w:val="24"/>
          <w:szCs w:val="24"/>
        </w:rPr>
        <w:t>.</w:t>
      </w:r>
    </w:p>
    <w:p w14:paraId="4AF46EAC" w14:textId="6F4F373A" w:rsidR="00863BDA" w:rsidRPr="00863BDA" w:rsidRDefault="00863BDA" w:rsidP="00863BDA">
      <w:pPr>
        <w:pStyle w:val="Heading3"/>
        <w:rPr>
          <w:sz w:val="24"/>
          <w:szCs w:val="24"/>
        </w:rPr>
      </w:pPr>
      <w:r w:rsidRPr="00863BDA">
        <w:rPr>
          <w:sz w:val="24"/>
          <w:szCs w:val="24"/>
        </w:rPr>
        <w:t>The Supplier will follow Agile Delivery Principles in delivering the NUAR platform and related transformation and ingestion activities (</w:t>
      </w:r>
      <w:hyperlink r:id="rId13" w:history="1">
        <w:r w:rsidRPr="00863BDA">
          <w:rPr>
            <w:sz w:val="24"/>
            <w:szCs w:val="24"/>
          </w:rPr>
          <w:t>https://www.gov.uk/service-manual/agile-delivery</w:t>
        </w:r>
      </w:hyperlink>
      <w:r w:rsidRPr="00863BDA">
        <w:rPr>
          <w:sz w:val="24"/>
          <w:szCs w:val="24"/>
        </w:rPr>
        <w:t>)</w:t>
      </w:r>
      <w:r w:rsidR="00577182">
        <w:rPr>
          <w:sz w:val="24"/>
          <w:szCs w:val="24"/>
        </w:rPr>
        <w:t>.</w:t>
      </w:r>
    </w:p>
    <w:p w14:paraId="1E46932E" w14:textId="484D3BF2" w:rsidR="00863BDA" w:rsidRDefault="00863BDA" w:rsidP="00863BDA">
      <w:pPr>
        <w:pStyle w:val="Heading3"/>
        <w:rPr>
          <w:sz w:val="24"/>
          <w:szCs w:val="24"/>
        </w:rPr>
      </w:pPr>
      <w:r w:rsidRPr="00863BDA">
        <w:rPr>
          <w:sz w:val="24"/>
          <w:szCs w:val="24"/>
        </w:rPr>
        <w:lastRenderedPageBreak/>
        <w:t>The user interface design will conform to the WCAG 2.1 AA Accessibility Standards (</w:t>
      </w:r>
      <w:hyperlink r:id="rId14" w:history="1">
        <w:r w:rsidRPr="00863BDA">
          <w:rPr>
            <w:sz w:val="24"/>
            <w:szCs w:val="24"/>
          </w:rPr>
          <w:t>https://www.w3.org/TR/WCAG21/</w:t>
        </w:r>
      </w:hyperlink>
      <w:r w:rsidRPr="00863BDA">
        <w:rPr>
          <w:sz w:val="24"/>
          <w:szCs w:val="24"/>
        </w:rPr>
        <w:t>) as defined in UK government guidance on accessibility  (</w:t>
      </w:r>
      <w:hyperlink r:id="rId15" w:anchor="meeting-government-accessibility-requirements" w:history="1">
        <w:r w:rsidRPr="00863BDA">
          <w:rPr>
            <w:sz w:val="24"/>
            <w:szCs w:val="24"/>
          </w:rPr>
          <w:t>https://www.gov.uk/service-manual/helping-people-to-use-your-service/making-your-service-accessible-an-introduction#meeting-government-accessibility-requirements</w:t>
        </w:r>
      </w:hyperlink>
      <w:r w:rsidRPr="00863BDA">
        <w:rPr>
          <w:sz w:val="24"/>
          <w:szCs w:val="24"/>
        </w:rPr>
        <w:t>)</w:t>
      </w:r>
      <w:r w:rsidR="00577182">
        <w:rPr>
          <w:sz w:val="24"/>
          <w:szCs w:val="24"/>
        </w:rPr>
        <w:t>.</w:t>
      </w:r>
    </w:p>
    <w:p w14:paraId="56017BF8" w14:textId="2FFD1C3D" w:rsidR="00A00DD1" w:rsidRPr="00650071" w:rsidRDefault="00A00DD1" w:rsidP="00863BDA">
      <w:pPr>
        <w:pStyle w:val="Heading3"/>
        <w:rPr>
          <w:sz w:val="28"/>
          <w:szCs w:val="24"/>
        </w:rPr>
      </w:pPr>
      <w:r w:rsidRPr="00A00DD1">
        <w:rPr>
          <w:rFonts w:cs="Arial"/>
          <w:color w:val="000000"/>
          <w:sz w:val="24"/>
          <w:szCs w:val="22"/>
        </w:rPr>
        <w:t xml:space="preserve">The </w:t>
      </w:r>
      <w:r w:rsidR="00650071">
        <w:rPr>
          <w:rFonts w:cs="Arial"/>
          <w:color w:val="000000"/>
          <w:sz w:val="24"/>
          <w:szCs w:val="22"/>
        </w:rPr>
        <w:t>Supplier will design the system</w:t>
      </w:r>
      <w:r w:rsidRPr="00A00DD1">
        <w:rPr>
          <w:rFonts w:cs="Arial"/>
          <w:color w:val="000000"/>
          <w:sz w:val="24"/>
          <w:szCs w:val="22"/>
        </w:rPr>
        <w:t xml:space="preserve"> to </w:t>
      </w:r>
      <w:r w:rsidR="00650071">
        <w:rPr>
          <w:rFonts w:cs="Arial"/>
          <w:color w:val="000000"/>
          <w:sz w:val="24"/>
          <w:szCs w:val="22"/>
        </w:rPr>
        <w:t xml:space="preserve">be </w:t>
      </w:r>
      <w:r w:rsidRPr="00A00DD1">
        <w:rPr>
          <w:rFonts w:cs="Arial"/>
          <w:color w:val="000000"/>
          <w:sz w:val="24"/>
          <w:szCs w:val="22"/>
        </w:rPr>
        <w:t>fully compl</w:t>
      </w:r>
      <w:r w:rsidR="00650071">
        <w:rPr>
          <w:rFonts w:cs="Arial"/>
          <w:color w:val="000000"/>
          <w:sz w:val="24"/>
          <w:szCs w:val="22"/>
        </w:rPr>
        <w:t>iant</w:t>
      </w:r>
      <w:r w:rsidRPr="00A00DD1">
        <w:rPr>
          <w:rFonts w:cs="Arial"/>
          <w:color w:val="000000"/>
          <w:sz w:val="24"/>
          <w:szCs w:val="22"/>
        </w:rPr>
        <w:t xml:space="preserve"> with The Privacy and Electronic Communications (EC Directive) Regulations 2003</w:t>
      </w:r>
      <w:r>
        <w:rPr>
          <w:rStyle w:val="FootnoteReference"/>
          <w:szCs w:val="22"/>
        </w:rPr>
        <w:footnoteReference w:id="18"/>
      </w:r>
      <w:r w:rsidR="00650071">
        <w:rPr>
          <w:rFonts w:cs="Arial"/>
          <w:color w:val="000000"/>
          <w:sz w:val="24"/>
          <w:szCs w:val="22"/>
        </w:rPr>
        <w:t>.</w:t>
      </w:r>
    </w:p>
    <w:p w14:paraId="1A423CE9" w14:textId="5E14235E" w:rsidR="00650071" w:rsidRPr="00650071" w:rsidRDefault="00650071" w:rsidP="00863BDA">
      <w:pPr>
        <w:pStyle w:val="Heading3"/>
        <w:rPr>
          <w:sz w:val="32"/>
          <w:szCs w:val="24"/>
        </w:rPr>
      </w:pPr>
      <w:r w:rsidRPr="00650071">
        <w:rPr>
          <w:rFonts w:cs="Arial"/>
          <w:color w:val="000000"/>
          <w:sz w:val="24"/>
          <w:szCs w:val="22"/>
        </w:rPr>
        <w:t>The Supplier will engage with government information assurance governance processes related to matters such as security architecture, information security risk assessments</w:t>
      </w:r>
      <w:r w:rsidR="00770192">
        <w:rPr>
          <w:rFonts w:cs="Arial"/>
          <w:color w:val="000000"/>
          <w:sz w:val="24"/>
          <w:szCs w:val="22"/>
        </w:rPr>
        <w:t>,</w:t>
      </w:r>
      <w:r w:rsidRPr="00650071">
        <w:rPr>
          <w:rFonts w:cs="Arial"/>
          <w:color w:val="000000"/>
          <w:sz w:val="24"/>
          <w:szCs w:val="22"/>
        </w:rPr>
        <w:t xml:space="preserve"> etc</w:t>
      </w:r>
      <w:r>
        <w:rPr>
          <w:rFonts w:cs="Arial"/>
          <w:color w:val="000000"/>
          <w:sz w:val="24"/>
          <w:szCs w:val="22"/>
        </w:rPr>
        <w:t>.</w:t>
      </w:r>
    </w:p>
    <w:p w14:paraId="38719937" w14:textId="6CF21E08" w:rsidR="00863BDA" w:rsidRPr="00863BDA" w:rsidRDefault="00863BDA" w:rsidP="00863BDA">
      <w:pPr>
        <w:pStyle w:val="Heading2"/>
        <w:spacing w:after="120"/>
        <w:ind w:left="709" w:hanging="709"/>
        <w:rPr>
          <w:sz w:val="24"/>
          <w:szCs w:val="24"/>
        </w:rPr>
      </w:pPr>
      <w:r w:rsidRPr="00863BDA">
        <w:rPr>
          <w:sz w:val="24"/>
          <w:szCs w:val="24"/>
        </w:rPr>
        <w:t>Quality Requirements/Standards</w:t>
      </w:r>
    </w:p>
    <w:p w14:paraId="790FAD31" w14:textId="23930F6D" w:rsidR="00863BDA" w:rsidRPr="00863BDA" w:rsidRDefault="00863BDA" w:rsidP="00863BDA">
      <w:pPr>
        <w:pStyle w:val="Heading3"/>
        <w:rPr>
          <w:sz w:val="24"/>
          <w:szCs w:val="24"/>
        </w:rPr>
      </w:pPr>
      <w:r w:rsidRPr="00863BDA">
        <w:rPr>
          <w:sz w:val="24"/>
          <w:szCs w:val="24"/>
        </w:rPr>
        <w:t>The Supplier will be able to demonstrate robust, documented software QA processes, supported by suitable infrastructure environments (Development/QA/UAT/Staging/Production)</w:t>
      </w:r>
      <w:r w:rsidR="00577182">
        <w:rPr>
          <w:sz w:val="24"/>
          <w:szCs w:val="24"/>
        </w:rPr>
        <w:t>.</w:t>
      </w:r>
    </w:p>
    <w:p w14:paraId="69742550" w14:textId="4A325DE0" w:rsidR="00863BDA" w:rsidRPr="00863BDA" w:rsidRDefault="00863BDA" w:rsidP="00863BDA">
      <w:pPr>
        <w:pStyle w:val="Heading3"/>
        <w:rPr>
          <w:sz w:val="24"/>
          <w:szCs w:val="24"/>
        </w:rPr>
      </w:pPr>
      <w:r w:rsidRPr="00863BDA">
        <w:rPr>
          <w:sz w:val="24"/>
          <w:szCs w:val="24"/>
        </w:rPr>
        <w:t>All development and related deliverables will be subject to review and sign-off by the Customer appoin</w:t>
      </w:r>
      <w:r w:rsidR="00D723CF">
        <w:rPr>
          <w:sz w:val="24"/>
          <w:szCs w:val="24"/>
        </w:rPr>
        <w:t>ted Product Owner according to Acceptance C</w:t>
      </w:r>
      <w:r w:rsidRPr="00863BDA">
        <w:rPr>
          <w:sz w:val="24"/>
          <w:szCs w:val="24"/>
        </w:rPr>
        <w:t>riteria defined and agreed during Sprint planning.</w:t>
      </w:r>
    </w:p>
    <w:p w14:paraId="27C85949" w14:textId="255BDF85" w:rsidR="00863BDA" w:rsidRPr="00863BDA" w:rsidRDefault="00863BDA" w:rsidP="00863BDA">
      <w:pPr>
        <w:pStyle w:val="Heading3"/>
        <w:rPr>
          <w:sz w:val="24"/>
          <w:szCs w:val="24"/>
        </w:rPr>
      </w:pPr>
      <w:r w:rsidRPr="00863BDA">
        <w:rPr>
          <w:sz w:val="24"/>
          <w:szCs w:val="24"/>
        </w:rPr>
        <w:t>The Supplier, together with the Customer, will undergo regular Service Assessments by Government Digital Service and/or the Cabinet Office’s CDIO Directorate (</w:t>
      </w:r>
      <w:hyperlink r:id="rId16" w:history="1">
        <w:r w:rsidRPr="00863BDA">
          <w:rPr>
            <w:sz w:val="24"/>
            <w:szCs w:val="24"/>
          </w:rPr>
          <w:t>https://www.gov.uk/service-manual/service-assessments/how-service-assessments-work</w:t>
        </w:r>
      </w:hyperlink>
      <w:r w:rsidRPr="00863BDA">
        <w:rPr>
          <w:sz w:val="24"/>
          <w:szCs w:val="24"/>
        </w:rPr>
        <w:t>). </w:t>
      </w:r>
    </w:p>
    <w:p w14:paraId="533C7A5A" w14:textId="7777777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31" w:name="_Toc368573037"/>
      <w:bookmarkStart w:id="32" w:name="_Toc69240417"/>
      <w:r w:rsidRPr="001A45DF">
        <w:rPr>
          <w:rFonts w:cs="Arial"/>
          <w:sz w:val="32"/>
          <w:szCs w:val="32"/>
        </w:rPr>
        <w:t>PRICE</w:t>
      </w:r>
      <w:bookmarkEnd w:id="31"/>
      <w:bookmarkEnd w:id="32"/>
    </w:p>
    <w:p w14:paraId="645D51EC" w14:textId="0124EF42" w:rsidR="00671798" w:rsidRPr="001A45DF" w:rsidRDefault="00FE18AC">
      <w:pPr>
        <w:pStyle w:val="Heading2"/>
        <w:tabs>
          <w:tab w:val="clear" w:pos="720"/>
          <w:tab w:val="num" w:pos="709"/>
        </w:tabs>
        <w:spacing w:after="120"/>
        <w:ind w:left="709" w:hanging="709"/>
        <w:rPr>
          <w:sz w:val="24"/>
          <w:szCs w:val="24"/>
        </w:rPr>
      </w:pPr>
      <w:r w:rsidRPr="001A45DF">
        <w:rPr>
          <w:sz w:val="24"/>
          <w:szCs w:val="24"/>
        </w:rPr>
        <w:t xml:space="preserve">Prices are to be submitted via the </w:t>
      </w:r>
      <w:r w:rsidRPr="009106C8">
        <w:rPr>
          <w:sz w:val="24"/>
          <w:szCs w:val="24"/>
        </w:rPr>
        <w:t>e</w:t>
      </w:r>
      <w:r w:rsidR="00F44D62" w:rsidRPr="009106C8">
        <w:rPr>
          <w:sz w:val="24"/>
          <w:szCs w:val="24"/>
        </w:rPr>
        <w:t>-</w:t>
      </w:r>
      <w:r w:rsidRPr="009106C8">
        <w:rPr>
          <w:sz w:val="24"/>
          <w:szCs w:val="24"/>
        </w:rPr>
        <w:t>Sourcing Suite</w:t>
      </w:r>
      <w:r w:rsidR="00CB0AFA">
        <w:rPr>
          <w:sz w:val="24"/>
          <w:szCs w:val="24"/>
        </w:rPr>
        <w:t xml:space="preserve"> </w:t>
      </w:r>
      <w:r w:rsidR="004A3BE6" w:rsidRPr="009106C8">
        <w:rPr>
          <w:sz w:val="24"/>
          <w:szCs w:val="24"/>
        </w:rPr>
        <w:t>Attachment 4</w:t>
      </w:r>
      <w:r w:rsidR="001A45DF" w:rsidRPr="009106C8">
        <w:rPr>
          <w:sz w:val="24"/>
          <w:szCs w:val="24"/>
        </w:rPr>
        <w:t xml:space="preserve"> – Price Schedule</w:t>
      </w:r>
      <w:r w:rsidRPr="001A45DF">
        <w:rPr>
          <w:sz w:val="24"/>
          <w:szCs w:val="24"/>
        </w:rPr>
        <w:t xml:space="preserve"> excluding VAT</w:t>
      </w:r>
      <w:r w:rsidR="008E77CC" w:rsidRPr="001A45DF">
        <w:rPr>
          <w:sz w:val="24"/>
          <w:szCs w:val="24"/>
        </w:rPr>
        <w:t xml:space="preserve"> and including all other expenses relating to Contract delivery</w:t>
      </w:r>
      <w:r w:rsidR="00AE3C65" w:rsidRPr="001A45DF">
        <w:rPr>
          <w:sz w:val="24"/>
          <w:szCs w:val="24"/>
        </w:rPr>
        <w:t>.</w:t>
      </w:r>
    </w:p>
    <w:p w14:paraId="6B1CA851" w14:textId="7777777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33" w:name="_Toc368573038"/>
      <w:bookmarkStart w:id="34" w:name="_Toc69240418"/>
      <w:r w:rsidRPr="001A45DF">
        <w:rPr>
          <w:rFonts w:cs="Arial"/>
          <w:sz w:val="32"/>
          <w:szCs w:val="32"/>
        </w:rPr>
        <w:t>STAFF AND CUSTOMER SERVICE</w:t>
      </w:r>
      <w:bookmarkEnd w:id="33"/>
      <w:bookmarkEnd w:id="34"/>
    </w:p>
    <w:p w14:paraId="12A615A4" w14:textId="36CD2B08" w:rsidR="00224D76" w:rsidRPr="00224D76" w:rsidRDefault="00224D76" w:rsidP="00224D76">
      <w:pPr>
        <w:pStyle w:val="Heading2"/>
        <w:rPr>
          <w:sz w:val="24"/>
          <w:szCs w:val="24"/>
        </w:rPr>
      </w:pPr>
      <w:r w:rsidRPr="00224D76">
        <w:rPr>
          <w:sz w:val="24"/>
          <w:szCs w:val="24"/>
        </w:rPr>
        <w:t xml:space="preserve">The Supplier </w:t>
      </w:r>
      <w:r w:rsidR="00FE35F5">
        <w:rPr>
          <w:sz w:val="24"/>
          <w:szCs w:val="24"/>
        </w:rPr>
        <w:t>will</w:t>
      </w:r>
      <w:r w:rsidRPr="00224D76">
        <w:rPr>
          <w:sz w:val="24"/>
          <w:szCs w:val="24"/>
        </w:rPr>
        <w:t xml:space="preserve"> provide a sufficient level of resource throughout the duration of the Contract</w:t>
      </w:r>
      <w:r>
        <w:rPr>
          <w:sz w:val="24"/>
          <w:szCs w:val="24"/>
        </w:rPr>
        <w:t>,</w:t>
      </w:r>
      <w:r w:rsidRPr="00224D76">
        <w:rPr>
          <w:sz w:val="24"/>
          <w:szCs w:val="24"/>
        </w:rPr>
        <w:t xml:space="preserve"> in order to deliver </w:t>
      </w:r>
      <w:r w:rsidR="00961EE4">
        <w:rPr>
          <w:sz w:val="24"/>
          <w:szCs w:val="24"/>
        </w:rPr>
        <w:t xml:space="preserve">consistently </w:t>
      </w:r>
      <w:r w:rsidRPr="00224D76">
        <w:rPr>
          <w:sz w:val="24"/>
          <w:szCs w:val="24"/>
        </w:rPr>
        <w:t>a quality service</w:t>
      </w:r>
      <w:r w:rsidR="00AE3100">
        <w:rPr>
          <w:sz w:val="24"/>
          <w:szCs w:val="24"/>
        </w:rPr>
        <w:t xml:space="preserve">, </w:t>
      </w:r>
      <w:r w:rsidR="00D723CF">
        <w:rPr>
          <w:sz w:val="24"/>
          <w:szCs w:val="24"/>
        </w:rPr>
        <w:t xml:space="preserve">as defined by the </w:t>
      </w:r>
      <w:r w:rsidR="00E45FF5">
        <w:rPr>
          <w:sz w:val="24"/>
          <w:szCs w:val="24"/>
        </w:rPr>
        <w:t>deliverables</w:t>
      </w:r>
      <w:r w:rsidR="00D723CF">
        <w:rPr>
          <w:sz w:val="24"/>
          <w:szCs w:val="24"/>
        </w:rPr>
        <w:t xml:space="preserve"> and the Acceptance C</w:t>
      </w:r>
      <w:r w:rsidR="00AE3100">
        <w:rPr>
          <w:sz w:val="24"/>
          <w:szCs w:val="24"/>
        </w:rPr>
        <w:t>riteria</w:t>
      </w:r>
      <w:r w:rsidRPr="00224D76">
        <w:rPr>
          <w:sz w:val="24"/>
          <w:szCs w:val="24"/>
        </w:rPr>
        <w:t>.</w:t>
      </w:r>
    </w:p>
    <w:p w14:paraId="6BD4C0B9" w14:textId="2BBE02BD" w:rsidR="00224D76" w:rsidRPr="00224D76" w:rsidRDefault="00224D76" w:rsidP="00224D76">
      <w:pPr>
        <w:pStyle w:val="Heading2"/>
        <w:rPr>
          <w:sz w:val="24"/>
          <w:szCs w:val="24"/>
        </w:rPr>
      </w:pPr>
      <w:r w:rsidRPr="00224D76">
        <w:rPr>
          <w:sz w:val="24"/>
          <w:szCs w:val="24"/>
        </w:rPr>
        <w:t xml:space="preserve">The Supplier’s staff assigned to the Contract </w:t>
      </w:r>
      <w:r w:rsidR="00FE35F5">
        <w:rPr>
          <w:sz w:val="24"/>
          <w:szCs w:val="24"/>
        </w:rPr>
        <w:t>will</w:t>
      </w:r>
      <w:r w:rsidRPr="00224D76">
        <w:rPr>
          <w:sz w:val="24"/>
          <w:szCs w:val="24"/>
        </w:rPr>
        <w:t xml:space="preserve"> have the relevant qualifications and experience to deliver the Contract to the required standard. </w:t>
      </w:r>
    </w:p>
    <w:p w14:paraId="7DCCDE0C" w14:textId="1245390E" w:rsidR="00224D76" w:rsidRPr="00224D76" w:rsidRDefault="00224D76" w:rsidP="00224D76">
      <w:pPr>
        <w:pStyle w:val="Heading2"/>
        <w:rPr>
          <w:sz w:val="24"/>
          <w:szCs w:val="24"/>
        </w:rPr>
      </w:pPr>
      <w:r w:rsidRPr="00224D76">
        <w:rPr>
          <w:sz w:val="24"/>
          <w:szCs w:val="24"/>
        </w:rPr>
        <w:lastRenderedPageBreak/>
        <w:t xml:space="preserve">The Supplier </w:t>
      </w:r>
      <w:r w:rsidR="00FB2A8D">
        <w:rPr>
          <w:sz w:val="24"/>
          <w:szCs w:val="24"/>
        </w:rPr>
        <w:t>will</w:t>
      </w:r>
      <w:r w:rsidRPr="00224D76">
        <w:rPr>
          <w:sz w:val="24"/>
          <w:szCs w:val="24"/>
        </w:rPr>
        <w:t xml:space="preserve"> ensure that staff understand the Customer’s vision and objectives and will provide excellent customer service to the Customer throughout the duration of the Contract.  </w:t>
      </w:r>
    </w:p>
    <w:p w14:paraId="47FB41F6" w14:textId="52DEBD60" w:rsidR="00224D76" w:rsidRPr="00224D76" w:rsidRDefault="00224D76" w:rsidP="00224D76">
      <w:pPr>
        <w:pStyle w:val="Heading2"/>
        <w:rPr>
          <w:sz w:val="24"/>
          <w:szCs w:val="24"/>
        </w:rPr>
      </w:pPr>
      <w:r w:rsidRPr="00224D76">
        <w:rPr>
          <w:sz w:val="24"/>
          <w:szCs w:val="24"/>
        </w:rPr>
        <w:t xml:space="preserve">The Supplier will note that the workstreams will require different skill and experience level and resource needs may change as the programme progresses. </w:t>
      </w:r>
      <w:r w:rsidR="00FF5614">
        <w:rPr>
          <w:sz w:val="24"/>
          <w:szCs w:val="24"/>
        </w:rPr>
        <w:t>The Supplier will make r</w:t>
      </w:r>
      <w:r w:rsidRPr="00224D76">
        <w:rPr>
          <w:sz w:val="24"/>
          <w:szCs w:val="24"/>
        </w:rPr>
        <w:t xml:space="preserve">esources available accordingly. </w:t>
      </w:r>
    </w:p>
    <w:p w14:paraId="5F1B6C3A" w14:textId="23FAC895" w:rsidR="00224D76" w:rsidRPr="00224D76" w:rsidRDefault="00205DE4" w:rsidP="00224D76">
      <w:pPr>
        <w:pStyle w:val="Heading2"/>
        <w:rPr>
          <w:sz w:val="24"/>
          <w:szCs w:val="24"/>
        </w:rPr>
      </w:pPr>
      <w:r>
        <w:rPr>
          <w:sz w:val="24"/>
          <w:szCs w:val="24"/>
        </w:rPr>
        <w:t>The Supplier s</w:t>
      </w:r>
      <w:r w:rsidR="00224D76" w:rsidRPr="00224D76">
        <w:rPr>
          <w:sz w:val="24"/>
          <w:szCs w:val="24"/>
        </w:rPr>
        <w:t>taff will:</w:t>
      </w:r>
    </w:p>
    <w:p w14:paraId="3A13D5F8" w14:textId="77777777" w:rsidR="00224D76" w:rsidRPr="00224D76" w:rsidRDefault="00224D76" w:rsidP="00224D76">
      <w:pPr>
        <w:pStyle w:val="Heading3"/>
        <w:rPr>
          <w:sz w:val="24"/>
        </w:rPr>
      </w:pPr>
      <w:r w:rsidRPr="00224D76">
        <w:rPr>
          <w:sz w:val="24"/>
        </w:rPr>
        <w:t>Fulfil all reasonable requests of the Customer;</w:t>
      </w:r>
    </w:p>
    <w:p w14:paraId="26047053" w14:textId="77777777" w:rsidR="00224D76" w:rsidRPr="00224D76" w:rsidRDefault="00224D76" w:rsidP="00224D76">
      <w:pPr>
        <w:pStyle w:val="Heading3"/>
        <w:rPr>
          <w:sz w:val="24"/>
        </w:rPr>
      </w:pPr>
      <w:r w:rsidRPr="00224D76">
        <w:rPr>
          <w:sz w:val="24"/>
        </w:rPr>
        <w:t>Apply all due skill, care and diligence to the provisions of the Requirement;</w:t>
      </w:r>
    </w:p>
    <w:p w14:paraId="1355E2D7" w14:textId="77777777" w:rsidR="00224D76" w:rsidRPr="00224D76" w:rsidRDefault="00224D76" w:rsidP="00224D76">
      <w:pPr>
        <w:pStyle w:val="Heading3"/>
        <w:rPr>
          <w:sz w:val="24"/>
        </w:rPr>
      </w:pPr>
      <w:r w:rsidRPr="00224D76">
        <w:rPr>
          <w:sz w:val="24"/>
        </w:rPr>
        <w:t>Be appropriately experienced, qualified and trained to supply the Requirement;</w:t>
      </w:r>
    </w:p>
    <w:p w14:paraId="60EC1EE8" w14:textId="77777777" w:rsidR="00224D76" w:rsidRPr="00224D76" w:rsidRDefault="00224D76" w:rsidP="00224D76">
      <w:pPr>
        <w:pStyle w:val="Heading3"/>
        <w:rPr>
          <w:sz w:val="24"/>
        </w:rPr>
      </w:pPr>
      <w:r w:rsidRPr="00224D76">
        <w:rPr>
          <w:sz w:val="24"/>
        </w:rPr>
        <w:t>Respond to any enquiries about the Requirement as soon as reasonably possible;</w:t>
      </w:r>
    </w:p>
    <w:p w14:paraId="5D6A8B16" w14:textId="77777777" w:rsidR="00224D76" w:rsidRPr="00224D76" w:rsidRDefault="00224D76" w:rsidP="00224D76">
      <w:pPr>
        <w:pStyle w:val="Heading3"/>
        <w:rPr>
          <w:sz w:val="24"/>
        </w:rPr>
      </w:pPr>
      <w:r w:rsidRPr="00224D76">
        <w:rPr>
          <w:sz w:val="24"/>
        </w:rPr>
        <w:t xml:space="preserve">Complete any necessary vetting procedures specified by the Customer; and </w:t>
      </w:r>
    </w:p>
    <w:p w14:paraId="076726C9" w14:textId="0D7DC352" w:rsidR="00224D76" w:rsidRPr="00224D76" w:rsidRDefault="00224D76" w:rsidP="00224D76">
      <w:pPr>
        <w:pStyle w:val="Heading3"/>
        <w:rPr>
          <w:sz w:val="24"/>
        </w:rPr>
      </w:pPr>
      <w:r w:rsidRPr="00224D76">
        <w:rPr>
          <w:sz w:val="24"/>
        </w:rPr>
        <w:t>Comply with the provisions of the Official Secrets Act 1911 to 1989 and Section 182 of the Finance Act 1989</w:t>
      </w:r>
    </w:p>
    <w:p w14:paraId="267D52F5" w14:textId="5E3DF9E2" w:rsidR="00224D76" w:rsidRPr="00224D76" w:rsidRDefault="00224D76" w:rsidP="00224D76">
      <w:pPr>
        <w:pStyle w:val="Heading2"/>
        <w:rPr>
          <w:sz w:val="24"/>
          <w:szCs w:val="24"/>
        </w:rPr>
      </w:pPr>
      <w:r w:rsidRPr="00224D76">
        <w:rPr>
          <w:sz w:val="24"/>
          <w:szCs w:val="24"/>
        </w:rPr>
        <w:t xml:space="preserve">Technical roles fulfilled by the Supplier </w:t>
      </w:r>
      <w:r w:rsidR="00FF5614">
        <w:rPr>
          <w:sz w:val="24"/>
          <w:szCs w:val="24"/>
        </w:rPr>
        <w:t>are expected to</w:t>
      </w:r>
      <w:r w:rsidRPr="00224D76">
        <w:rPr>
          <w:sz w:val="24"/>
          <w:szCs w:val="24"/>
        </w:rPr>
        <w:t xml:space="preserve"> include, but are not limited to:</w:t>
      </w:r>
    </w:p>
    <w:p w14:paraId="30E43FCC" w14:textId="77777777" w:rsidR="00224D76" w:rsidRPr="00224D76" w:rsidRDefault="00224D76" w:rsidP="00463F70">
      <w:pPr>
        <w:pStyle w:val="Heading3"/>
        <w:rPr>
          <w:sz w:val="24"/>
        </w:rPr>
      </w:pPr>
      <w:r w:rsidRPr="00224D76">
        <w:rPr>
          <w:sz w:val="24"/>
        </w:rPr>
        <w:t>Technical Architect</w:t>
      </w:r>
    </w:p>
    <w:p w14:paraId="3F7030D4" w14:textId="77777777" w:rsidR="00224D76" w:rsidRPr="00224D76" w:rsidRDefault="00224D76" w:rsidP="00463F70">
      <w:pPr>
        <w:pStyle w:val="Heading3"/>
        <w:rPr>
          <w:sz w:val="24"/>
        </w:rPr>
      </w:pPr>
      <w:r w:rsidRPr="00224D76">
        <w:rPr>
          <w:sz w:val="24"/>
        </w:rPr>
        <w:t>Data Architect</w:t>
      </w:r>
    </w:p>
    <w:p w14:paraId="4E0E05F0" w14:textId="77777777" w:rsidR="00224D76" w:rsidRPr="00224D76" w:rsidRDefault="00224D76" w:rsidP="00463F70">
      <w:pPr>
        <w:pStyle w:val="Heading3"/>
        <w:rPr>
          <w:sz w:val="24"/>
        </w:rPr>
      </w:pPr>
      <w:r w:rsidRPr="00224D76">
        <w:rPr>
          <w:sz w:val="24"/>
        </w:rPr>
        <w:t>Data Modeller</w:t>
      </w:r>
    </w:p>
    <w:p w14:paraId="0B06A8A0" w14:textId="77777777" w:rsidR="00224D76" w:rsidRPr="00224D76" w:rsidRDefault="00224D76" w:rsidP="00463F70">
      <w:pPr>
        <w:pStyle w:val="Heading3"/>
        <w:rPr>
          <w:sz w:val="24"/>
        </w:rPr>
      </w:pPr>
      <w:r w:rsidRPr="00224D76">
        <w:rPr>
          <w:sz w:val="24"/>
        </w:rPr>
        <w:t>Data Transformation Specialist</w:t>
      </w:r>
    </w:p>
    <w:p w14:paraId="197FACD6" w14:textId="77777777" w:rsidR="00224D76" w:rsidRPr="00224D76" w:rsidRDefault="00224D76" w:rsidP="00463F70">
      <w:pPr>
        <w:pStyle w:val="Heading3"/>
        <w:rPr>
          <w:sz w:val="24"/>
        </w:rPr>
      </w:pPr>
      <w:r w:rsidRPr="00224D76">
        <w:rPr>
          <w:sz w:val="24"/>
        </w:rPr>
        <w:t>Business Analyst</w:t>
      </w:r>
    </w:p>
    <w:p w14:paraId="521655BF" w14:textId="77777777" w:rsidR="00224D76" w:rsidRPr="00224D76" w:rsidRDefault="00224D76" w:rsidP="00463F70">
      <w:pPr>
        <w:pStyle w:val="Heading3"/>
        <w:rPr>
          <w:sz w:val="24"/>
        </w:rPr>
      </w:pPr>
      <w:r w:rsidRPr="00224D76">
        <w:rPr>
          <w:sz w:val="24"/>
        </w:rPr>
        <w:t>Project Manager</w:t>
      </w:r>
    </w:p>
    <w:p w14:paraId="7F996FE1" w14:textId="77777777" w:rsidR="00224D76" w:rsidRPr="00224D76" w:rsidRDefault="00224D76" w:rsidP="00463F70">
      <w:pPr>
        <w:pStyle w:val="Heading3"/>
        <w:rPr>
          <w:sz w:val="24"/>
        </w:rPr>
      </w:pPr>
      <w:r w:rsidRPr="00224D76">
        <w:rPr>
          <w:sz w:val="24"/>
        </w:rPr>
        <w:t>Security Specialist</w:t>
      </w:r>
    </w:p>
    <w:p w14:paraId="3C661941" w14:textId="77777777" w:rsidR="00224D76" w:rsidRPr="00224D76" w:rsidRDefault="00224D76" w:rsidP="00463F70">
      <w:pPr>
        <w:pStyle w:val="Heading3"/>
        <w:rPr>
          <w:sz w:val="24"/>
        </w:rPr>
      </w:pPr>
      <w:r w:rsidRPr="00224D76">
        <w:rPr>
          <w:sz w:val="24"/>
        </w:rPr>
        <w:t>User Research Engineer</w:t>
      </w:r>
    </w:p>
    <w:p w14:paraId="33E398AC" w14:textId="77777777" w:rsidR="00224D76" w:rsidRPr="00224D76" w:rsidRDefault="00224D76" w:rsidP="00463F70">
      <w:pPr>
        <w:pStyle w:val="Heading3"/>
        <w:rPr>
          <w:sz w:val="24"/>
        </w:rPr>
      </w:pPr>
      <w:r w:rsidRPr="00224D76">
        <w:rPr>
          <w:sz w:val="24"/>
        </w:rPr>
        <w:t>UX/UI Designer</w:t>
      </w:r>
    </w:p>
    <w:p w14:paraId="3D64D1F4" w14:textId="77777777" w:rsidR="00224D76" w:rsidRPr="00224D76" w:rsidRDefault="00224D76" w:rsidP="00463F70">
      <w:pPr>
        <w:pStyle w:val="Heading3"/>
        <w:rPr>
          <w:sz w:val="24"/>
        </w:rPr>
      </w:pPr>
      <w:r w:rsidRPr="00224D76">
        <w:rPr>
          <w:sz w:val="24"/>
        </w:rPr>
        <w:t>Software Development Lead</w:t>
      </w:r>
    </w:p>
    <w:p w14:paraId="5FD764D1" w14:textId="77777777" w:rsidR="00224D76" w:rsidRPr="00224D76" w:rsidRDefault="00224D76" w:rsidP="00463F70">
      <w:pPr>
        <w:pStyle w:val="Heading3"/>
        <w:rPr>
          <w:sz w:val="24"/>
        </w:rPr>
      </w:pPr>
      <w:r w:rsidRPr="00224D76">
        <w:rPr>
          <w:sz w:val="24"/>
        </w:rPr>
        <w:lastRenderedPageBreak/>
        <w:t>Software Engineer (front end)</w:t>
      </w:r>
    </w:p>
    <w:p w14:paraId="65438455" w14:textId="77777777" w:rsidR="00224D76" w:rsidRPr="00224D76" w:rsidRDefault="00224D76" w:rsidP="00463F70">
      <w:pPr>
        <w:pStyle w:val="Heading3"/>
        <w:rPr>
          <w:sz w:val="24"/>
        </w:rPr>
      </w:pPr>
      <w:r w:rsidRPr="00224D76">
        <w:rPr>
          <w:sz w:val="24"/>
        </w:rPr>
        <w:t>Software Engineer (back end/full stack)</w:t>
      </w:r>
    </w:p>
    <w:p w14:paraId="6A38ABFC" w14:textId="77777777" w:rsidR="00224D76" w:rsidRPr="00224D76" w:rsidRDefault="00224D76" w:rsidP="00463F70">
      <w:pPr>
        <w:pStyle w:val="Heading3"/>
        <w:rPr>
          <w:sz w:val="24"/>
        </w:rPr>
      </w:pPr>
      <w:r w:rsidRPr="00224D76">
        <w:rPr>
          <w:sz w:val="24"/>
        </w:rPr>
        <w:t>Testing Engineer</w:t>
      </w:r>
    </w:p>
    <w:p w14:paraId="6E596FB2" w14:textId="1A2E6D4C" w:rsidR="00F01498" w:rsidRDefault="00B71688" w:rsidP="00F01498">
      <w:pPr>
        <w:pStyle w:val="Heading2"/>
        <w:spacing w:before="240"/>
        <w:rPr>
          <w:sz w:val="24"/>
          <w:szCs w:val="24"/>
        </w:rPr>
      </w:pPr>
      <w:r>
        <w:rPr>
          <w:sz w:val="24"/>
          <w:szCs w:val="24"/>
        </w:rPr>
        <w:t>The Supplier will ensure that m</w:t>
      </w:r>
      <w:r w:rsidR="00224D76" w:rsidRPr="00224D76">
        <w:rPr>
          <w:sz w:val="24"/>
          <w:szCs w:val="24"/>
        </w:rPr>
        <w:t xml:space="preserve">ultiple resources for each role </w:t>
      </w:r>
      <w:r>
        <w:rPr>
          <w:sz w:val="24"/>
          <w:szCs w:val="24"/>
        </w:rPr>
        <w:t>are</w:t>
      </w:r>
      <w:r w:rsidR="00224D76" w:rsidRPr="00224D76">
        <w:rPr>
          <w:sz w:val="24"/>
          <w:szCs w:val="24"/>
        </w:rPr>
        <w:t xml:space="preserve"> fulfilled as required at different stages of the project, and different levels of seniority (Junior/Senior/Lead </w:t>
      </w:r>
      <w:r w:rsidR="00E72F35" w:rsidRPr="00224D76">
        <w:rPr>
          <w:sz w:val="24"/>
          <w:szCs w:val="24"/>
        </w:rPr>
        <w:t>etc.</w:t>
      </w:r>
      <w:r w:rsidR="00224D76" w:rsidRPr="00224D76">
        <w:rPr>
          <w:sz w:val="24"/>
          <w:szCs w:val="24"/>
        </w:rPr>
        <w:t xml:space="preserve">) </w:t>
      </w:r>
      <w:r>
        <w:rPr>
          <w:sz w:val="24"/>
          <w:szCs w:val="24"/>
        </w:rPr>
        <w:t>are</w:t>
      </w:r>
      <w:r w:rsidR="00224D76" w:rsidRPr="00224D76">
        <w:rPr>
          <w:sz w:val="24"/>
          <w:szCs w:val="24"/>
        </w:rPr>
        <w:t xml:space="preserve"> assigned for each role.</w:t>
      </w:r>
      <w:r w:rsidR="00BF3CCB">
        <w:rPr>
          <w:sz w:val="24"/>
          <w:szCs w:val="24"/>
        </w:rPr>
        <w:t xml:space="preserve"> </w:t>
      </w:r>
      <w:r w:rsidR="00224D76" w:rsidRPr="00BF3CCB">
        <w:rPr>
          <w:sz w:val="24"/>
          <w:szCs w:val="24"/>
        </w:rPr>
        <w:t>All staff should have appropriate qualifications and experience for the role and level of seniority to which they are assigned.</w:t>
      </w:r>
    </w:p>
    <w:p w14:paraId="0F683E74" w14:textId="618E5336" w:rsidR="00F01498" w:rsidRPr="00F01498" w:rsidRDefault="00F01498" w:rsidP="00F01498">
      <w:pPr>
        <w:pStyle w:val="Heading2"/>
        <w:spacing w:before="240"/>
        <w:rPr>
          <w:sz w:val="28"/>
          <w:szCs w:val="24"/>
        </w:rPr>
      </w:pPr>
      <w:r w:rsidRPr="00F01498">
        <w:rPr>
          <w:rFonts w:eastAsia="Times New Roman" w:cs="Arial"/>
          <w:color w:val="000000"/>
          <w:sz w:val="24"/>
          <w:szCs w:val="22"/>
          <w:lang w:eastAsia="en-GB"/>
        </w:rPr>
        <w:t xml:space="preserve">The Supplier will work as an integral part of the ‘One Team’ delivery unit as set out in </w:t>
      </w:r>
      <w:r>
        <w:rPr>
          <w:rFonts w:eastAsia="Times New Roman" w:cs="Arial"/>
          <w:color w:val="000000"/>
          <w:sz w:val="24"/>
          <w:szCs w:val="22"/>
          <w:lang w:eastAsia="en-GB"/>
        </w:rPr>
        <w:t xml:space="preserve">Contract Management, </w:t>
      </w:r>
      <w:r w:rsidRPr="00F01498">
        <w:rPr>
          <w:rFonts w:eastAsia="Times New Roman" w:cs="Arial"/>
          <w:sz w:val="24"/>
          <w:szCs w:val="22"/>
          <w:lang w:eastAsia="en-GB"/>
        </w:rPr>
        <w:t>S</w:t>
      </w:r>
      <w:r>
        <w:rPr>
          <w:rFonts w:eastAsia="Times New Roman" w:cs="Arial"/>
          <w:sz w:val="24"/>
          <w:szCs w:val="22"/>
          <w:lang w:eastAsia="en-GB"/>
        </w:rPr>
        <w:t>ection 17</w:t>
      </w:r>
      <w:r w:rsidRPr="00F01498">
        <w:rPr>
          <w:rFonts w:eastAsia="Times New Roman" w:cs="Arial"/>
          <w:sz w:val="24"/>
          <w:szCs w:val="22"/>
          <w:lang w:eastAsia="en-GB"/>
        </w:rPr>
        <w:t xml:space="preserve">. </w:t>
      </w:r>
      <w:r w:rsidRPr="00F01498">
        <w:rPr>
          <w:rFonts w:eastAsia="Times New Roman" w:cs="Arial"/>
          <w:color w:val="000000"/>
          <w:sz w:val="24"/>
          <w:szCs w:val="22"/>
          <w:lang w:eastAsia="en-GB"/>
        </w:rPr>
        <w:t>The Customer will appoint a skilled member of staff to lead each workstream</w:t>
      </w:r>
      <w:r>
        <w:rPr>
          <w:rFonts w:eastAsia="Times New Roman" w:cs="Arial"/>
          <w:color w:val="000000"/>
          <w:sz w:val="24"/>
          <w:szCs w:val="22"/>
          <w:lang w:eastAsia="en-GB"/>
        </w:rPr>
        <w:t>,</w:t>
      </w:r>
      <w:r w:rsidRPr="00F01498">
        <w:rPr>
          <w:rFonts w:eastAsia="Times New Roman" w:cs="Arial"/>
          <w:color w:val="000000"/>
          <w:sz w:val="24"/>
          <w:szCs w:val="22"/>
          <w:lang w:eastAsia="en-GB"/>
        </w:rPr>
        <w:t xml:space="preserve"> who will be responsible for:</w:t>
      </w:r>
    </w:p>
    <w:p w14:paraId="2D309CAB" w14:textId="7E834215" w:rsidR="00F01498" w:rsidRPr="00F01498" w:rsidRDefault="00F01498" w:rsidP="00463F70">
      <w:pPr>
        <w:pStyle w:val="Heading3"/>
        <w:rPr>
          <w:sz w:val="24"/>
        </w:rPr>
      </w:pPr>
      <w:r w:rsidRPr="00F01498">
        <w:rPr>
          <w:sz w:val="24"/>
        </w:rPr>
        <w:t>Providing overall strategic direction</w:t>
      </w:r>
      <w:r w:rsidR="00205DE4">
        <w:rPr>
          <w:sz w:val="24"/>
        </w:rPr>
        <w:t>;</w:t>
      </w:r>
      <w:r w:rsidRPr="00F01498">
        <w:rPr>
          <w:sz w:val="24"/>
        </w:rPr>
        <w:t> </w:t>
      </w:r>
    </w:p>
    <w:p w14:paraId="3CF70C43" w14:textId="7B9A73BD" w:rsidR="00F01498" w:rsidRPr="00F01498" w:rsidRDefault="00F01498" w:rsidP="00463F70">
      <w:pPr>
        <w:pStyle w:val="Heading3"/>
        <w:rPr>
          <w:sz w:val="24"/>
        </w:rPr>
      </w:pPr>
      <w:r w:rsidRPr="00F01498">
        <w:rPr>
          <w:sz w:val="24"/>
        </w:rPr>
        <w:t>Agreeing the delivery approach for the assigned workstream</w:t>
      </w:r>
      <w:r w:rsidR="00205DE4">
        <w:rPr>
          <w:sz w:val="24"/>
        </w:rPr>
        <w:t>;</w:t>
      </w:r>
    </w:p>
    <w:p w14:paraId="6C9E2C65" w14:textId="42E944DB" w:rsidR="00F01498" w:rsidRPr="00F01498" w:rsidRDefault="00F01498" w:rsidP="00463F70">
      <w:pPr>
        <w:pStyle w:val="Heading3"/>
        <w:rPr>
          <w:sz w:val="24"/>
        </w:rPr>
      </w:pPr>
      <w:r w:rsidRPr="00F01498">
        <w:rPr>
          <w:sz w:val="24"/>
        </w:rPr>
        <w:t>Agreeing the timeline of activity</w:t>
      </w:r>
      <w:r w:rsidR="00205DE4">
        <w:rPr>
          <w:sz w:val="24"/>
        </w:rPr>
        <w:t>;</w:t>
      </w:r>
    </w:p>
    <w:p w14:paraId="0B1A1887" w14:textId="6FA2B094" w:rsidR="00F01498" w:rsidRPr="00F01498" w:rsidRDefault="00F01498" w:rsidP="00463F70">
      <w:pPr>
        <w:pStyle w:val="Heading3"/>
        <w:rPr>
          <w:sz w:val="24"/>
        </w:rPr>
      </w:pPr>
      <w:r w:rsidRPr="00F01498">
        <w:rPr>
          <w:sz w:val="24"/>
        </w:rPr>
        <w:t>Agreeing any external communications</w:t>
      </w:r>
      <w:r w:rsidR="00205DE4">
        <w:rPr>
          <w:sz w:val="24"/>
        </w:rPr>
        <w:t>;</w:t>
      </w:r>
    </w:p>
    <w:p w14:paraId="032BB403" w14:textId="5A7AB2EA" w:rsidR="00F01498" w:rsidRPr="00F01498" w:rsidRDefault="00F01498" w:rsidP="00463F70">
      <w:pPr>
        <w:pStyle w:val="Heading3"/>
        <w:rPr>
          <w:sz w:val="24"/>
        </w:rPr>
      </w:pPr>
      <w:r w:rsidRPr="00F01498">
        <w:rPr>
          <w:sz w:val="24"/>
        </w:rPr>
        <w:t>Acting as first point of contact for escalation</w:t>
      </w:r>
      <w:r w:rsidR="00205DE4">
        <w:rPr>
          <w:sz w:val="24"/>
        </w:rPr>
        <w:t>;</w:t>
      </w:r>
      <w:r w:rsidRPr="00F01498">
        <w:rPr>
          <w:sz w:val="24"/>
        </w:rPr>
        <w:t> </w:t>
      </w:r>
    </w:p>
    <w:p w14:paraId="6CC7F09E" w14:textId="26FCD33D" w:rsidR="00F01498" w:rsidRPr="001B637D" w:rsidRDefault="00F01498" w:rsidP="00463F70">
      <w:pPr>
        <w:pStyle w:val="Heading3"/>
        <w:rPr>
          <w:sz w:val="24"/>
        </w:rPr>
      </w:pPr>
      <w:r w:rsidRPr="00F01498">
        <w:rPr>
          <w:sz w:val="24"/>
        </w:rPr>
        <w:t>Ensuring effective communication and</w:t>
      </w:r>
      <w:r w:rsidR="00205DE4">
        <w:rPr>
          <w:sz w:val="24"/>
        </w:rPr>
        <w:t xml:space="preserve"> working between the Supplier, Local G</w:t>
      </w:r>
      <w:r w:rsidRPr="00F01498">
        <w:rPr>
          <w:sz w:val="24"/>
        </w:rPr>
        <w:t xml:space="preserve">overnment representatives and other </w:t>
      </w:r>
      <w:r w:rsidR="00205DE4">
        <w:rPr>
          <w:sz w:val="24"/>
        </w:rPr>
        <w:t>subject m</w:t>
      </w:r>
      <w:r w:rsidRPr="00F01498">
        <w:rPr>
          <w:sz w:val="24"/>
        </w:rPr>
        <w:t xml:space="preserve">atter </w:t>
      </w:r>
      <w:r w:rsidR="00205DE4">
        <w:rPr>
          <w:sz w:val="24"/>
        </w:rPr>
        <w:t>e</w:t>
      </w:r>
      <w:r w:rsidRPr="00F01498">
        <w:rPr>
          <w:sz w:val="24"/>
        </w:rPr>
        <w:t>xperts. </w:t>
      </w:r>
    </w:p>
    <w:p w14:paraId="60A065D6" w14:textId="1DDF3362" w:rsidR="00BF3CCB" w:rsidRPr="00F01498" w:rsidRDefault="00291E3F" w:rsidP="00F01498">
      <w:pPr>
        <w:pStyle w:val="Heading2"/>
        <w:spacing w:before="240"/>
        <w:rPr>
          <w:rFonts w:eastAsia="Times New Roman" w:cs="Arial"/>
          <w:color w:val="000000"/>
          <w:sz w:val="24"/>
          <w:szCs w:val="22"/>
          <w:lang w:eastAsia="en-GB"/>
        </w:rPr>
      </w:pPr>
      <w:r>
        <w:rPr>
          <w:rFonts w:eastAsia="Times New Roman" w:cs="Arial"/>
          <w:color w:val="000000"/>
          <w:sz w:val="24"/>
          <w:szCs w:val="22"/>
          <w:lang w:eastAsia="en-GB"/>
        </w:rPr>
        <w:t>The Customer may also assign a contract manager to e</w:t>
      </w:r>
      <w:r w:rsidR="00F01498" w:rsidRPr="00F01498">
        <w:rPr>
          <w:rFonts w:eastAsia="Times New Roman" w:cs="Arial"/>
          <w:color w:val="000000"/>
          <w:sz w:val="24"/>
          <w:szCs w:val="22"/>
          <w:lang w:eastAsia="en-GB"/>
        </w:rPr>
        <w:t>ach workstream, who will monitor the Supplier’s progress against the agreed outcomes, timeline and costs. This officer will act as the first point of contact for contractual matters.</w:t>
      </w:r>
    </w:p>
    <w:p w14:paraId="629F567D" w14:textId="7777777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35" w:name="_Toc368573039"/>
      <w:bookmarkStart w:id="36" w:name="_Toc69240419"/>
      <w:r w:rsidRPr="001A45DF">
        <w:rPr>
          <w:rFonts w:cs="Arial"/>
          <w:sz w:val="32"/>
          <w:szCs w:val="32"/>
        </w:rPr>
        <w:t>service levels and performance</w:t>
      </w:r>
      <w:bookmarkEnd w:id="35"/>
      <w:bookmarkEnd w:id="36"/>
    </w:p>
    <w:p w14:paraId="65E93A82" w14:textId="5AD26BC6" w:rsidR="00671798" w:rsidRPr="0012258A" w:rsidRDefault="00FE18AC" w:rsidP="0012258A">
      <w:pPr>
        <w:pStyle w:val="Heading2"/>
        <w:tabs>
          <w:tab w:val="clear" w:pos="720"/>
          <w:tab w:val="num" w:pos="132"/>
          <w:tab w:val="num" w:pos="862"/>
        </w:tabs>
        <w:overflowPunct w:val="0"/>
        <w:autoSpaceDE w:val="0"/>
        <w:autoSpaceDN w:val="0"/>
        <w:spacing w:after="120"/>
        <w:ind w:left="709" w:hanging="709"/>
        <w:textAlignment w:val="baseline"/>
        <w:rPr>
          <w:sz w:val="24"/>
          <w:szCs w:val="24"/>
        </w:rPr>
      </w:pPr>
      <w:r w:rsidRPr="001A45DF">
        <w:rPr>
          <w:sz w:val="24"/>
          <w:szCs w:val="24"/>
        </w:rPr>
        <w:t xml:space="preserve">The </w:t>
      </w:r>
      <w:r w:rsidR="009D3D90">
        <w:rPr>
          <w:sz w:val="24"/>
          <w:szCs w:val="24"/>
        </w:rPr>
        <w:t>Customer</w:t>
      </w:r>
      <w:r w:rsidRPr="001A45DF">
        <w:rPr>
          <w:sz w:val="24"/>
          <w:szCs w:val="24"/>
        </w:rPr>
        <w:t xml:space="preserve"> will measure the quali</w:t>
      </w:r>
      <w:r w:rsidR="009D3D90">
        <w:rPr>
          <w:sz w:val="24"/>
          <w:szCs w:val="24"/>
        </w:rPr>
        <w:t>ty of the Supplier’s delivery as described in Key Milestones and Deliverables, Section 7.</w:t>
      </w:r>
    </w:p>
    <w:p w14:paraId="4F04077B" w14:textId="0D53FF05" w:rsidR="009D3D90" w:rsidRPr="009D3D90" w:rsidRDefault="009D3D90" w:rsidP="009D3D90">
      <w:pPr>
        <w:pStyle w:val="Heading2"/>
        <w:rPr>
          <w:sz w:val="24"/>
          <w:szCs w:val="24"/>
        </w:rPr>
      </w:pPr>
      <w:bookmarkStart w:id="37" w:name="_Toc368573040"/>
      <w:r w:rsidRPr="009D3D90">
        <w:rPr>
          <w:sz w:val="24"/>
          <w:szCs w:val="24"/>
        </w:rPr>
        <w:t xml:space="preserve">The Supplier will produce an exit strategy for sign off by the Customer </w:t>
      </w:r>
      <w:r w:rsidR="00124466">
        <w:rPr>
          <w:sz w:val="24"/>
          <w:szCs w:val="24"/>
        </w:rPr>
        <w:t>as described in Key Milestones and Deliverables, Section 7</w:t>
      </w:r>
      <w:r w:rsidRPr="009D3D90">
        <w:rPr>
          <w:sz w:val="24"/>
          <w:szCs w:val="24"/>
        </w:rPr>
        <w:t>. The exit strategy will include the Supplier’s obligations in relation to:</w:t>
      </w:r>
    </w:p>
    <w:p w14:paraId="689FDF22" w14:textId="1895E903" w:rsidR="009D3D90" w:rsidRPr="009D3D90" w:rsidRDefault="009D3D90" w:rsidP="009D3D90">
      <w:pPr>
        <w:pStyle w:val="Heading3"/>
        <w:rPr>
          <w:sz w:val="24"/>
        </w:rPr>
      </w:pPr>
      <w:r w:rsidRPr="009D3D90">
        <w:rPr>
          <w:sz w:val="24"/>
        </w:rPr>
        <w:t>Information to be made available to inform a future tender</w:t>
      </w:r>
      <w:r w:rsidR="00124466">
        <w:rPr>
          <w:sz w:val="24"/>
        </w:rPr>
        <w:t>;</w:t>
      </w:r>
    </w:p>
    <w:p w14:paraId="5840194E" w14:textId="3849B66A" w:rsidR="009D3D90" w:rsidRPr="009D3D90" w:rsidRDefault="009D3D90" w:rsidP="009D3D90">
      <w:pPr>
        <w:pStyle w:val="Heading3"/>
        <w:rPr>
          <w:sz w:val="24"/>
        </w:rPr>
      </w:pPr>
      <w:r w:rsidRPr="009D3D90">
        <w:rPr>
          <w:sz w:val="24"/>
        </w:rPr>
        <w:t>Knowledge transfer</w:t>
      </w:r>
      <w:r w:rsidR="00124466">
        <w:rPr>
          <w:sz w:val="24"/>
        </w:rPr>
        <w:t>;</w:t>
      </w:r>
      <w:r w:rsidRPr="009D3D90">
        <w:rPr>
          <w:sz w:val="24"/>
        </w:rPr>
        <w:t xml:space="preserve"> </w:t>
      </w:r>
    </w:p>
    <w:p w14:paraId="2E17AC24" w14:textId="06CF7D3E" w:rsidR="009D3D90" w:rsidRPr="009D3D90" w:rsidRDefault="009D3D90" w:rsidP="009D3D90">
      <w:pPr>
        <w:pStyle w:val="Heading3"/>
        <w:rPr>
          <w:sz w:val="24"/>
        </w:rPr>
      </w:pPr>
      <w:r w:rsidRPr="009D3D90">
        <w:rPr>
          <w:sz w:val="24"/>
        </w:rPr>
        <w:t>Data transformation (including transformation of relevant project data, such as the product backlog</w:t>
      </w:r>
      <w:r w:rsidR="001F48A7">
        <w:rPr>
          <w:sz w:val="24"/>
        </w:rPr>
        <w:t>, knowledge hub, etc</w:t>
      </w:r>
      <w:r w:rsidRPr="009D3D90">
        <w:rPr>
          <w:sz w:val="24"/>
        </w:rPr>
        <w:t>)</w:t>
      </w:r>
      <w:r w:rsidR="00124466">
        <w:rPr>
          <w:sz w:val="24"/>
        </w:rPr>
        <w:t>;</w:t>
      </w:r>
    </w:p>
    <w:p w14:paraId="5D339CA5" w14:textId="75542A5B" w:rsidR="009D3D90" w:rsidRPr="009D3D90" w:rsidRDefault="009D3D90" w:rsidP="009D3D90">
      <w:pPr>
        <w:pStyle w:val="Heading3"/>
        <w:rPr>
          <w:sz w:val="24"/>
        </w:rPr>
      </w:pPr>
      <w:r w:rsidRPr="009D3D90">
        <w:rPr>
          <w:sz w:val="24"/>
        </w:rPr>
        <w:lastRenderedPageBreak/>
        <w:t>Follow-up support</w:t>
      </w:r>
      <w:r w:rsidR="00124466">
        <w:rPr>
          <w:sz w:val="24"/>
        </w:rPr>
        <w:t>;</w:t>
      </w:r>
      <w:r w:rsidRPr="009D3D90">
        <w:rPr>
          <w:sz w:val="24"/>
        </w:rPr>
        <w:t xml:space="preserve"> </w:t>
      </w:r>
    </w:p>
    <w:p w14:paraId="200D4F4B" w14:textId="662A29C4" w:rsidR="009D3D90" w:rsidRPr="009D3D90" w:rsidRDefault="00124466" w:rsidP="009D3D90">
      <w:pPr>
        <w:pStyle w:val="Heading3"/>
        <w:rPr>
          <w:sz w:val="24"/>
        </w:rPr>
      </w:pPr>
      <w:r>
        <w:rPr>
          <w:sz w:val="24"/>
        </w:rPr>
        <w:t>Information relevant to</w:t>
      </w:r>
      <w:r w:rsidR="009D3D90" w:rsidRPr="009D3D90">
        <w:rPr>
          <w:sz w:val="24"/>
        </w:rPr>
        <w:t xml:space="preserve"> cost recovery structures</w:t>
      </w:r>
      <w:r>
        <w:rPr>
          <w:sz w:val="24"/>
        </w:rPr>
        <w:t>;</w:t>
      </w:r>
      <w:r w:rsidR="009D3D90" w:rsidRPr="009D3D90">
        <w:rPr>
          <w:sz w:val="24"/>
        </w:rPr>
        <w:t xml:space="preserve"> </w:t>
      </w:r>
    </w:p>
    <w:p w14:paraId="21A1F775" w14:textId="30176834" w:rsidR="009D3D90" w:rsidRPr="009D3D90" w:rsidRDefault="009D3D90" w:rsidP="009D3D90">
      <w:pPr>
        <w:pStyle w:val="Heading3"/>
        <w:rPr>
          <w:sz w:val="24"/>
        </w:rPr>
      </w:pPr>
      <w:r w:rsidRPr="009D3D90">
        <w:rPr>
          <w:sz w:val="24"/>
        </w:rPr>
        <w:t>Evidence of data deletion on expiration date of this contract</w:t>
      </w:r>
      <w:r w:rsidR="00124466">
        <w:rPr>
          <w:sz w:val="24"/>
        </w:rPr>
        <w:t>;</w:t>
      </w:r>
    </w:p>
    <w:p w14:paraId="70CD76F6" w14:textId="4580D3C3" w:rsidR="009D3D90" w:rsidRDefault="009D3D90" w:rsidP="009D3D90">
      <w:pPr>
        <w:pStyle w:val="Heading3"/>
        <w:rPr>
          <w:sz w:val="24"/>
        </w:rPr>
      </w:pPr>
      <w:r w:rsidRPr="009D3D90">
        <w:rPr>
          <w:sz w:val="24"/>
        </w:rPr>
        <w:t>Evidence of the Supplier’s users access removal on expiration date of this contract</w:t>
      </w:r>
      <w:r w:rsidR="00124466">
        <w:rPr>
          <w:sz w:val="24"/>
        </w:rPr>
        <w:t>;</w:t>
      </w:r>
    </w:p>
    <w:p w14:paraId="7A48CAC2" w14:textId="4309205A" w:rsidR="00124466" w:rsidRPr="009D3D90" w:rsidRDefault="00124466" w:rsidP="009D3D90">
      <w:pPr>
        <w:pStyle w:val="Heading3"/>
        <w:rPr>
          <w:sz w:val="24"/>
        </w:rPr>
      </w:pPr>
      <w:r>
        <w:rPr>
          <w:sz w:val="24"/>
        </w:rPr>
        <w:t>Complete handover of the outcomes and outputs under this contract; and</w:t>
      </w:r>
    </w:p>
    <w:p w14:paraId="25BFF1B4" w14:textId="2A4D4CD2" w:rsidR="009D3D90" w:rsidRPr="00463F70" w:rsidRDefault="009D3D90" w:rsidP="00463F70">
      <w:pPr>
        <w:pStyle w:val="Heading3"/>
        <w:rPr>
          <w:sz w:val="24"/>
        </w:rPr>
      </w:pPr>
      <w:r w:rsidRPr="009D3D90">
        <w:rPr>
          <w:sz w:val="24"/>
        </w:rPr>
        <w:t>Any consideration for TUPE arrangements, if required.</w:t>
      </w:r>
    </w:p>
    <w:p w14:paraId="3F767EF8" w14:textId="19C77641" w:rsidR="00671798" w:rsidRPr="00F13C51" w:rsidRDefault="00FE18AC">
      <w:pPr>
        <w:pStyle w:val="Heading1"/>
        <w:spacing w:after="120"/>
        <w:rPr>
          <w:sz w:val="32"/>
          <w:szCs w:val="32"/>
        </w:rPr>
      </w:pPr>
      <w:bookmarkStart w:id="38" w:name="_Toc69240420"/>
      <w:r w:rsidRPr="00F13C51">
        <w:rPr>
          <w:sz w:val="32"/>
          <w:szCs w:val="32"/>
        </w:rPr>
        <w:t xml:space="preserve">Security </w:t>
      </w:r>
      <w:r w:rsidR="00252FFC" w:rsidRPr="00F13C51">
        <w:rPr>
          <w:sz w:val="32"/>
          <w:szCs w:val="32"/>
        </w:rPr>
        <w:t>and CONFIDENTIA</w:t>
      </w:r>
      <w:r w:rsidR="00C52C2C" w:rsidRPr="00F13C51">
        <w:rPr>
          <w:sz w:val="32"/>
          <w:szCs w:val="32"/>
        </w:rPr>
        <w:t xml:space="preserve">LITY </w:t>
      </w:r>
      <w:r w:rsidRPr="00F13C51">
        <w:rPr>
          <w:sz w:val="32"/>
          <w:szCs w:val="32"/>
        </w:rPr>
        <w:t>requirements</w:t>
      </w:r>
      <w:bookmarkEnd w:id="37"/>
      <w:bookmarkEnd w:id="38"/>
    </w:p>
    <w:p w14:paraId="6CC02CA2" w14:textId="14BECEA4" w:rsidR="005E7B1C" w:rsidRPr="00F13C51" w:rsidRDefault="005E7B1C">
      <w:pPr>
        <w:pStyle w:val="Heading2"/>
        <w:tabs>
          <w:tab w:val="clear" w:pos="720"/>
          <w:tab w:val="num" w:pos="709"/>
        </w:tabs>
        <w:spacing w:after="120"/>
        <w:ind w:left="709" w:hanging="709"/>
        <w:rPr>
          <w:sz w:val="24"/>
          <w:szCs w:val="24"/>
        </w:rPr>
      </w:pPr>
      <w:r w:rsidRPr="00F13C51">
        <w:rPr>
          <w:sz w:val="24"/>
          <w:szCs w:val="24"/>
        </w:rPr>
        <w:t>Personnel Security Requirements – The Supplier will:</w:t>
      </w:r>
    </w:p>
    <w:p w14:paraId="0CC863A8" w14:textId="39D42497" w:rsidR="005E7B1C" w:rsidRPr="00E91BCE" w:rsidRDefault="005E7B1C" w:rsidP="005E7B1C">
      <w:pPr>
        <w:pStyle w:val="Heading3"/>
        <w:rPr>
          <w:sz w:val="24"/>
        </w:rPr>
      </w:pPr>
      <w:r w:rsidRPr="00E91BCE">
        <w:rPr>
          <w:sz w:val="24"/>
        </w:rPr>
        <w:t xml:space="preserve">Ensure that all staff involved in the technical development and ongoing running or maintenance of the NUAR platform have </w:t>
      </w:r>
      <w:r w:rsidR="00577182">
        <w:rPr>
          <w:sz w:val="24"/>
        </w:rPr>
        <w:t xml:space="preserve">at a minimum </w:t>
      </w:r>
      <w:r w:rsidRPr="00E91BCE">
        <w:rPr>
          <w:sz w:val="24"/>
        </w:rPr>
        <w:t xml:space="preserve">CTC (Counter Terrorism Check) clearance, including but not limited to Developers, Quality Assurance personnel, Database Administrators, Architects, Project Management, Support personnel.  Any staff not already cleared at the time of contract award must start the process of gaining clearance within </w:t>
      </w:r>
      <w:r w:rsidR="00AE3100">
        <w:rPr>
          <w:sz w:val="24"/>
        </w:rPr>
        <w:t>4</w:t>
      </w:r>
      <w:r w:rsidR="00AE3100" w:rsidRPr="00E91BCE">
        <w:rPr>
          <w:sz w:val="24"/>
        </w:rPr>
        <w:t xml:space="preserve"> </w:t>
      </w:r>
      <w:r w:rsidRPr="00E91BCE">
        <w:rPr>
          <w:sz w:val="24"/>
        </w:rPr>
        <w:t>weeks of contract award.</w:t>
      </w:r>
      <w:r w:rsidR="00AE3100">
        <w:rPr>
          <w:sz w:val="24"/>
        </w:rPr>
        <w:t xml:space="preserve"> The Supplier will e</w:t>
      </w:r>
      <w:r w:rsidR="00E72F35">
        <w:rPr>
          <w:sz w:val="24"/>
        </w:rPr>
        <w:t>n</w:t>
      </w:r>
      <w:r w:rsidR="00AE3100">
        <w:rPr>
          <w:sz w:val="24"/>
        </w:rPr>
        <w:t xml:space="preserve">sure that data is </w:t>
      </w:r>
      <w:r w:rsidR="00E72F35">
        <w:rPr>
          <w:sz w:val="24"/>
        </w:rPr>
        <w:t xml:space="preserve">not </w:t>
      </w:r>
      <w:r w:rsidR="00AE3100">
        <w:rPr>
          <w:sz w:val="24"/>
        </w:rPr>
        <w:t xml:space="preserve">shared with staff that </w:t>
      </w:r>
      <w:r w:rsidR="00E72F35">
        <w:rPr>
          <w:sz w:val="24"/>
        </w:rPr>
        <w:t>are</w:t>
      </w:r>
      <w:r w:rsidR="00AE3100">
        <w:rPr>
          <w:sz w:val="24"/>
        </w:rPr>
        <w:t xml:space="preserve"> not vetted.</w:t>
      </w:r>
    </w:p>
    <w:p w14:paraId="7EA3EC09" w14:textId="5C3F5ACB" w:rsidR="005E7B1C" w:rsidRPr="00E91BCE" w:rsidRDefault="005E7B1C" w:rsidP="005E7B1C">
      <w:pPr>
        <w:pStyle w:val="Heading3"/>
        <w:rPr>
          <w:sz w:val="24"/>
        </w:rPr>
      </w:pPr>
      <w:r w:rsidRPr="00E91BCE">
        <w:rPr>
          <w:sz w:val="24"/>
        </w:rPr>
        <w:t>Ensure that all staff involved in the non-platform related d</w:t>
      </w:r>
      <w:r w:rsidR="00B068A0">
        <w:rPr>
          <w:sz w:val="24"/>
        </w:rPr>
        <w:t>elivery of the NUAR programme (</w:t>
      </w:r>
      <w:r w:rsidR="008B0201">
        <w:rPr>
          <w:sz w:val="24"/>
        </w:rPr>
        <w:t xml:space="preserve">Asset Owner </w:t>
      </w:r>
      <w:r w:rsidR="000E67DD">
        <w:rPr>
          <w:sz w:val="24"/>
        </w:rPr>
        <w:t>E</w:t>
      </w:r>
      <w:r w:rsidR="00B068A0">
        <w:rPr>
          <w:sz w:val="24"/>
        </w:rPr>
        <w:t>ngagement</w:t>
      </w:r>
      <w:r w:rsidRPr="00E91BCE">
        <w:rPr>
          <w:sz w:val="24"/>
        </w:rPr>
        <w:t xml:space="preserve"> etc) have </w:t>
      </w:r>
      <w:r w:rsidR="00A02679">
        <w:rPr>
          <w:sz w:val="24"/>
        </w:rPr>
        <w:t xml:space="preserve">as a minimum </w:t>
      </w:r>
      <w:r w:rsidRPr="00E91BCE">
        <w:rPr>
          <w:sz w:val="24"/>
        </w:rPr>
        <w:t xml:space="preserve">BPSS (Baseline Personnel Security Standard) clearance.  Any staff not already cleared at the time of contract award must start the process of gaining clearance within </w:t>
      </w:r>
      <w:r w:rsidR="00970831">
        <w:rPr>
          <w:sz w:val="24"/>
        </w:rPr>
        <w:t>4</w:t>
      </w:r>
      <w:r w:rsidRPr="00E91BCE">
        <w:rPr>
          <w:sz w:val="24"/>
        </w:rPr>
        <w:t xml:space="preserve"> weeks of contract award.</w:t>
      </w:r>
    </w:p>
    <w:p w14:paraId="71A30476" w14:textId="420E0879" w:rsidR="005E7B1C" w:rsidRPr="00C70780" w:rsidRDefault="005E7B1C" w:rsidP="005E7B1C">
      <w:pPr>
        <w:pStyle w:val="Heading3"/>
        <w:rPr>
          <w:sz w:val="24"/>
        </w:rPr>
      </w:pPr>
      <w:r w:rsidRPr="00E91BCE">
        <w:rPr>
          <w:sz w:val="24"/>
        </w:rPr>
        <w:t xml:space="preserve">Ensure that </w:t>
      </w:r>
      <w:r w:rsidR="002D72D0">
        <w:rPr>
          <w:sz w:val="24"/>
        </w:rPr>
        <w:t xml:space="preserve">the Supplier provides </w:t>
      </w:r>
      <w:r w:rsidRPr="00E91BCE">
        <w:rPr>
          <w:sz w:val="24"/>
        </w:rPr>
        <w:t>access to certain privileged roles within the platform</w:t>
      </w:r>
      <w:r w:rsidR="00A4287E">
        <w:rPr>
          <w:sz w:val="24"/>
        </w:rPr>
        <w:t>, as defined by the Customer,</w:t>
      </w:r>
      <w:r w:rsidRPr="00E91BCE">
        <w:rPr>
          <w:sz w:val="24"/>
        </w:rPr>
        <w:t xml:space="preserve"> only to </w:t>
      </w:r>
      <w:r w:rsidR="00A02679">
        <w:rPr>
          <w:sz w:val="24"/>
        </w:rPr>
        <w:t>End U</w:t>
      </w:r>
      <w:r w:rsidRPr="00E91BCE">
        <w:rPr>
          <w:sz w:val="24"/>
        </w:rPr>
        <w:t>sers with the required security level</w:t>
      </w:r>
      <w:r w:rsidR="00C70780">
        <w:rPr>
          <w:sz w:val="24"/>
        </w:rPr>
        <w:t>,</w:t>
      </w:r>
      <w:r w:rsidR="00C70780" w:rsidRPr="00C70780">
        <w:rPr>
          <w:rFonts w:ascii="Calibri" w:eastAsia="SimSun" w:hAnsi="Calibri" w:cs="Calibri"/>
          <w:b/>
          <w:bCs/>
          <w:color w:val="000000"/>
          <w:szCs w:val="24"/>
        </w:rPr>
        <w:t xml:space="preserve"> </w:t>
      </w:r>
      <w:r w:rsidR="00C70780" w:rsidRPr="00C70780">
        <w:rPr>
          <w:bCs/>
          <w:sz w:val="24"/>
        </w:rPr>
        <w:t>also as defined by the Customer. The Supplier will implement proportional privileged access management processes to ensure that privileged access is secure, audited and role- and time-limited</w:t>
      </w:r>
      <w:r w:rsidRPr="00C70780">
        <w:rPr>
          <w:sz w:val="24"/>
        </w:rPr>
        <w:t>.</w:t>
      </w:r>
    </w:p>
    <w:p w14:paraId="0BBEDC2B" w14:textId="7532AA1F" w:rsidR="00164F36" w:rsidRDefault="00164F36" w:rsidP="00164F36">
      <w:pPr>
        <w:pStyle w:val="Heading3"/>
        <w:rPr>
          <w:sz w:val="24"/>
        </w:rPr>
      </w:pPr>
      <w:r>
        <w:rPr>
          <w:sz w:val="24"/>
        </w:rPr>
        <w:t>Consult with</w:t>
      </w:r>
      <w:r w:rsidRPr="00164F36">
        <w:rPr>
          <w:sz w:val="24"/>
        </w:rPr>
        <w:t xml:space="preserve"> the UK Government approach to background checks and security vetting</w:t>
      </w:r>
      <w:r>
        <w:rPr>
          <w:rStyle w:val="FootnoteReference"/>
        </w:rPr>
        <w:footnoteReference w:id="19"/>
      </w:r>
      <w:r w:rsidR="00BA4337">
        <w:rPr>
          <w:sz w:val="24"/>
        </w:rPr>
        <w:t>,</w:t>
      </w:r>
      <w:r>
        <w:rPr>
          <w:sz w:val="24"/>
        </w:rPr>
        <w:t xml:space="preserve"> and </w:t>
      </w:r>
      <w:r w:rsidRPr="00164F36">
        <w:rPr>
          <w:sz w:val="24"/>
        </w:rPr>
        <w:t>CPNI</w:t>
      </w:r>
      <w:r>
        <w:rPr>
          <w:sz w:val="24"/>
        </w:rPr>
        <w:t>’s</w:t>
      </w:r>
      <w:r w:rsidRPr="00164F36">
        <w:rPr>
          <w:sz w:val="24"/>
        </w:rPr>
        <w:t xml:space="preserve"> guidance on employment screening</w:t>
      </w:r>
      <w:r>
        <w:rPr>
          <w:rStyle w:val="FootnoteReference"/>
        </w:rPr>
        <w:footnoteReference w:id="20"/>
      </w:r>
      <w:r>
        <w:rPr>
          <w:sz w:val="24"/>
        </w:rPr>
        <w:t>.</w:t>
      </w:r>
      <w:r w:rsidRPr="00164F36">
        <w:rPr>
          <w:sz w:val="24"/>
        </w:rPr>
        <w:t xml:space="preserve"> </w:t>
      </w:r>
    </w:p>
    <w:p w14:paraId="1A847F8D" w14:textId="4AB7A11A" w:rsidR="00A4287E" w:rsidRPr="00A4287E" w:rsidRDefault="00A4287E" w:rsidP="00164F36">
      <w:pPr>
        <w:pStyle w:val="Heading3"/>
        <w:rPr>
          <w:sz w:val="28"/>
        </w:rPr>
      </w:pPr>
      <w:r>
        <w:rPr>
          <w:rFonts w:cs="Arial"/>
          <w:color w:val="000000"/>
          <w:sz w:val="24"/>
          <w:szCs w:val="22"/>
        </w:rPr>
        <w:lastRenderedPageBreak/>
        <w:t>D</w:t>
      </w:r>
      <w:r w:rsidRPr="00A4287E">
        <w:rPr>
          <w:rFonts w:cs="Arial"/>
          <w:color w:val="000000"/>
          <w:sz w:val="24"/>
          <w:szCs w:val="22"/>
        </w:rPr>
        <w:t xml:space="preserve">evelop a security awareness package to be used in the </w:t>
      </w:r>
      <w:r w:rsidR="007D2FAE">
        <w:rPr>
          <w:rFonts w:cs="Arial"/>
          <w:color w:val="000000"/>
          <w:sz w:val="24"/>
          <w:szCs w:val="22"/>
        </w:rPr>
        <w:t>engagement</w:t>
      </w:r>
      <w:r w:rsidR="007D2FAE" w:rsidRPr="00A4287E">
        <w:rPr>
          <w:rFonts w:cs="Arial"/>
          <w:color w:val="000000"/>
          <w:sz w:val="24"/>
          <w:szCs w:val="22"/>
        </w:rPr>
        <w:t xml:space="preserve"> </w:t>
      </w:r>
      <w:r w:rsidR="007D2FAE">
        <w:rPr>
          <w:rFonts w:cs="Arial"/>
          <w:color w:val="000000"/>
          <w:sz w:val="24"/>
          <w:szCs w:val="22"/>
        </w:rPr>
        <w:t>with</w:t>
      </w:r>
      <w:r w:rsidR="007D2FAE" w:rsidRPr="00A4287E">
        <w:rPr>
          <w:rFonts w:cs="Arial"/>
          <w:color w:val="000000"/>
          <w:sz w:val="24"/>
          <w:szCs w:val="22"/>
        </w:rPr>
        <w:t xml:space="preserve"> </w:t>
      </w:r>
      <w:r w:rsidRPr="00A4287E">
        <w:rPr>
          <w:rFonts w:cs="Arial"/>
          <w:color w:val="000000"/>
          <w:sz w:val="24"/>
          <w:szCs w:val="22"/>
        </w:rPr>
        <w:t xml:space="preserve">all Supplier personnel </w:t>
      </w:r>
      <w:r>
        <w:rPr>
          <w:rFonts w:cs="Arial"/>
          <w:color w:val="000000"/>
          <w:sz w:val="24"/>
          <w:szCs w:val="22"/>
        </w:rPr>
        <w:t>on this contract</w:t>
      </w:r>
      <w:r w:rsidRPr="00A4287E">
        <w:rPr>
          <w:rFonts w:cs="Arial"/>
          <w:color w:val="000000"/>
          <w:sz w:val="24"/>
          <w:szCs w:val="22"/>
        </w:rPr>
        <w:t xml:space="preserve"> and made available for use by NUAR </w:t>
      </w:r>
      <w:r w:rsidR="00E72F35">
        <w:rPr>
          <w:rFonts w:cs="Arial"/>
          <w:color w:val="000000"/>
          <w:sz w:val="24"/>
          <w:szCs w:val="22"/>
        </w:rPr>
        <w:t>E</w:t>
      </w:r>
      <w:r w:rsidRPr="00A4287E">
        <w:rPr>
          <w:rFonts w:cs="Arial"/>
          <w:color w:val="000000"/>
          <w:sz w:val="24"/>
          <w:szCs w:val="22"/>
        </w:rPr>
        <w:t xml:space="preserve">nd </w:t>
      </w:r>
      <w:r w:rsidR="00E72F35">
        <w:rPr>
          <w:rFonts w:cs="Arial"/>
          <w:color w:val="000000"/>
          <w:sz w:val="24"/>
          <w:szCs w:val="22"/>
        </w:rPr>
        <w:t>U</w:t>
      </w:r>
      <w:r w:rsidR="00E72F35" w:rsidRPr="00A4287E">
        <w:rPr>
          <w:rFonts w:cs="Arial"/>
          <w:color w:val="000000"/>
          <w:sz w:val="24"/>
          <w:szCs w:val="22"/>
        </w:rPr>
        <w:t>sers</w:t>
      </w:r>
      <w:r w:rsidRPr="00A4287E">
        <w:rPr>
          <w:rFonts w:cs="Arial"/>
          <w:color w:val="000000"/>
          <w:sz w:val="24"/>
          <w:szCs w:val="22"/>
        </w:rPr>
        <w:t>. The security awareness package will explain the need to protect NUAR data and highlight good security practices in respect of the use of the system</w:t>
      </w:r>
      <w:r>
        <w:rPr>
          <w:rFonts w:cs="Arial"/>
          <w:color w:val="000000"/>
          <w:sz w:val="24"/>
          <w:szCs w:val="22"/>
        </w:rPr>
        <w:t>.</w:t>
      </w:r>
    </w:p>
    <w:p w14:paraId="7E78E6D1" w14:textId="46DD75E6" w:rsidR="008C0827" w:rsidRDefault="008C0827" w:rsidP="008C0827">
      <w:pPr>
        <w:pStyle w:val="Heading3"/>
        <w:rPr>
          <w:sz w:val="24"/>
        </w:rPr>
      </w:pPr>
      <w:r>
        <w:rPr>
          <w:sz w:val="24"/>
        </w:rPr>
        <w:t>Ensure that the</w:t>
      </w:r>
      <w:r w:rsidR="00970831">
        <w:rPr>
          <w:sz w:val="24"/>
        </w:rPr>
        <w:t xml:space="preserve"> Supplier</w:t>
      </w:r>
      <w:r>
        <w:rPr>
          <w:sz w:val="24"/>
        </w:rPr>
        <w:t xml:space="preserve">, </w:t>
      </w:r>
      <w:r w:rsidRPr="008C0827">
        <w:rPr>
          <w:sz w:val="24"/>
        </w:rPr>
        <w:t xml:space="preserve">and any subcontractors with access to the </w:t>
      </w:r>
      <w:r w:rsidR="00970831">
        <w:rPr>
          <w:sz w:val="24"/>
        </w:rPr>
        <w:t>C</w:t>
      </w:r>
      <w:r w:rsidRPr="008C0827">
        <w:rPr>
          <w:sz w:val="24"/>
        </w:rPr>
        <w:t>ustomer</w:t>
      </w:r>
      <w:r w:rsidR="00970831">
        <w:rPr>
          <w:sz w:val="24"/>
        </w:rPr>
        <w:t>’s and Asset Owners’</w:t>
      </w:r>
      <w:r w:rsidRPr="008C0827">
        <w:rPr>
          <w:sz w:val="24"/>
        </w:rPr>
        <w:t xml:space="preserve"> data, hold</w:t>
      </w:r>
      <w:r w:rsidR="00ED5C46">
        <w:rPr>
          <w:sz w:val="24"/>
        </w:rPr>
        <w:t xml:space="preserve"> and maintain</w:t>
      </w:r>
      <w:r w:rsidRPr="008C0827">
        <w:rPr>
          <w:sz w:val="24"/>
        </w:rPr>
        <w:t xml:space="preserve"> ISO 27001:2013 and Cyber Essentials plus certification</w:t>
      </w:r>
      <w:r w:rsidR="00ED5C46">
        <w:rPr>
          <w:sz w:val="24"/>
        </w:rPr>
        <w:t xml:space="preserve"> for the duration of the contract</w:t>
      </w:r>
      <w:r w:rsidRPr="008C0827">
        <w:rPr>
          <w:sz w:val="24"/>
        </w:rPr>
        <w:t>.</w:t>
      </w:r>
    </w:p>
    <w:p w14:paraId="7911BAD8" w14:textId="5F85FC7E" w:rsidR="008C0827" w:rsidRDefault="008C0827" w:rsidP="008C0827">
      <w:pPr>
        <w:pStyle w:val="Heading3"/>
        <w:rPr>
          <w:sz w:val="24"/>
        </w:rPr>
      </w:pPr>
      <w:r>
        <w:rPr>
          <w:sz w:val="24"/>
        </w:rPr>
        <w:t>Employ a</w:t>
      </w:r>
      <w:r w:rsidRPr="008C0827">
        <w:rPr>
          <w:sz w:val="24"/>
        </w:rPr>
        <w:t xml:space="preserve"> CHECK approved provider </w:t>
      </w:r>
      <w:r>
        <w:rPr>
          <w:sz w:val="24"/>
        </w:rPr>
        <w:t>at the Supplier’s</w:t>
      </w:r>
      <w:r w:rsidRPr="008C0827">
        <w:rPr>
          <w:sz w:val="24"/>
        </w:rPr>
        <w:t xml:space="preserve"> cost and expense at least annually, or when significant changes are made to the solution</w:t>
      </w:r>
      <w:r w:rsidR="00ED5C46">
        <w:rPr>
          <w:sz w:val="24"/>
        </w:rPr>
        <w:t xml:space="preserve"> </w:t>
      </w:r>
      <w:r w:rsidR="00ED5C46" w:rsidRPr="00ED5C46">
        <w:rPr>
          <w:bCs/>
          <w:sz w:val="24"/>
        </w:rPr>
        <w:t>(e.g. significant architectural changes, changes to the threat landscape)</w:t>
      </w:r>
      <w:r w:rsidRPr="00ED5C46">
        <w:rPr>
          <w:sz w:val="24"/>
        </w:rPr>
        <w:t>,</w:t>
      </w:r>
      <w:r w:rsidRPr="008C0827">
        <w:rPr>
          <w:sz w:val="24"/>
        </w:rPr>
        <w:t xml:space="preserve"> to undertake full penetration testing of the solution</w:t>
      </w:r>
      <w:r w:rsidR="00ED5C46">
        <w:rPr>
          <w:sz w:val="24"/>
        </w:rPr>
        <w:t>, and security architecture review,</w:t>
      </w:r>
      <w:r w:rsidRPr="008C0827">
        <w:rPr>
          <w:sz w:val="24"/>
        </w:rPr>
        <w:t xml:space="preserve"> with the scope of the testing agreed in advance by the Customer.</w:t>
      </w:r>
    </w:p>
    <w:p w14:paraId="1C3C9D1A" w14:textId="2151C54B" w:rsidR="00027E6E" w:rsidRDefault="00027E6E" w:rsidP="008C0827">
      <w:pPr>
        <w:pStyle w:val="Heading3"/>
        <w:rPr>
          <w:sz w:val="24"/>
        </w:rPr>
      </w:pPr>
      <w:r>
        <w:rPr>
          <w:sz w:val="24"/>
        </w:rPr>
        <w:t>Ensure that data storage and access will be from the UK only.</w:t>
      </w:r>
    </w:p>
    <w:p w14:paraId="590AA1B7" w14:textId="1246A161" w:rsidR="00ED5C46" w:rsidRDefault="00ED5C46" w:rsidP="008C0827">
      <w:pPr>
        <w:pStyle w:val="Heading3"/>
        <w:rPr>
          <w:sz w:val="24"/>
        </w:rPr>
      </w:pPr>
      <w:r w:rsidRPr="00ED5C46">
        <w:rPr>
          <w:sz w:val="24"/>
        </w:rPr>
        <w:t>Ensure the certified, secure destruction of all NUAR data from all systems of the Supplier and their supply chain within a reasonable time following termination of the contract.</w:t>
      </w:r>
    </w:p>
    <w:p w14:paraId="27998F68" w14:textId="62441320" w:rsidR="00E91BCE" w:rsidRDefault="00E91BCE" w:rsidP="00E91BCE">
      <w:pPr>
        <w:pStyle w:val="Heading2"/>
        <w:rPr>
          <w:sz w:val="24"/>
        </w:rPr>
      </w:pPr>
      <w:r w:rsidRPr="00E91BCE">
        <w:rPr>
          <w:sz w:val="24"/>
        </w:rPr>
        <w:t>System Security Requirements</w:t>
      </w:r>
    </w:p>
    <w:p w14:paraId="28C3AC9F" w14:textId="5CE252C1" w:rsidR="00E91BCE" w:rsidRPr="00E91BCE" w:rsidRDefault="00E91BCE" w:rsidP="00E91BCE">
      <w:pPr>
        <w:pStyle w:val="Heading3"/>
        <w:rPr>
          <w:sz w:val="24"/>
        </w:rPr>
      </w:pPr>
      <w:r>
        <w:rPr>
          <w:sz w:val="24"/>
        </w:rPr>
        <w:t>The S</w:t>
      </w:r>
      <w:r w:rsidRPr="00E91BCE">
        <w:rPr>
          <w:sz w:val="24"/>
        </w:rPr>
        <w:t xml:space="preserve">upplier will conduct a security </w:t>
      </w:r>
      <w:r w:rsidR="00EC21AD">
        <w:rPr>
          <w:sz w:val="24"/>
        </w:rPr>
        <w:t>risk assessment</w:t>
      </w:r>
      <w:r w:rsidRPr="00E91BCE">
        <w:rPr>
          <w:sz w:val="24"/>
        </w:rPr>
        <w:t xml:space="preserve"> to identify all potential threats to NUAR and effective countermeasures, in addition to demonstrating a clear understanding of the difference between commercial security concerns and other security concerns and how each will be managed</w:t>
      </w:r>
      <w:r>
        <w:rPr>
          <w:sz w:val="24"/>
        </w:rPr>
        <w:t xml:space="preserve"> by the Supplier. The S</w:t>
      </w:r>
      <w:r w:rsidRPr="00E91BCE">
        <w:rPr>
          <w:sz w:val="24"/>
        </w:rPr>
        <w:t xml:space="preserve">upplier will produce a security controls document </w:t>
      </w:r>
      <w:r w:rsidR="00E00930">
        <w:rPr>
          <w:sz w:val="24"/>
        </w:rPr>
        <w:t>using</w:t>
      </w:r>
      <w:r w:rsidRPr="00E91BCE">
        <w:rPr>
          <w:sz w:val="24"/>
        </w:rPr>
        <w:t xml:space="preserve"> </w:t>
      </w:r>
      <w:r w:rsidR="00A9356D">
        <w:rPr>
          <w:sz w:val="24"/>
        </w:rPr>
        <w:t xml:space="preserve">Appendix </w:t>
      </w:r>
      <w:r w:rsidR="007025FB">
        <w:rPr>
          <w:sz w:val="24"/>
        </w:rPr>
        <w:t>N</w:t>
      </w:r>
      <w:r w:rsidR="00E00930">
        <w:rPr>
          <w:sz w:val="24"/>
        </w:rPr>
        <w:t xml:space="preserve"> as reference</w:t>
      </w:r>
      <w:r w:rsidRPr="00EB2E59">
        <w:rPr>
          <w:sz w:val="24"/>
        </w:rPr>
        <w:t>.</w:t>
      </w:r>
    </w:p>
    <w:p w14:paraId="75C20AA7" w14:textId="062D998C" w:rsidR="00E91BCE" w:rsidRPr="00E91BCE" w:rsidRDefault="00E91BCE" w:rsidP="00E91BCE">
      <w:pPr>
        <w:pStyle w:val="Heading3"/>
        <w:rPr>
          <w:sz w:val="24"/>
        </w:rPr>
      </w:pPr>
      <w:r w:rsidRPr="00E91BCE">
        <w:rPr>
          <w:sz w:val="24"/>
        </w:rPr>
        <w:t>Concerning data, access, management, maintenance and development of the system</w:t>
      </w:r>
      <w:r w:rsidR="00EB4C32">
        <w:rPr>
          <w:sz w:val="24"/>
        </w:rPr>
        <w:t>,</w:t>
      </w:r>
      <w:r w:rsidRPr="00E91BCE">
        <w:rPr>
          <w:sz w:val="24"/>
        </w:rPr>
        <w:t xml:space="preserve"> the Supplier will:</w:t>
      </w:r>
    </w:p>
    <w:p w14:paraId="301FA008" w14:textId="2CF432E7" w:rsidR="00E91BCE" w:rsidRDefault="00E91BCE" w:rsidP="00E91BCE">
      <w:pPr>
        <w:pStyle w:val="Heading4"/>
        <w:rPr>
          <w:sz w:val="24"/>
        </w:rPr>
      </w:pPr>
      <w:r w:rsidRPr="00E91BCE">
        <w:rPr>
          <w:sz w:val="24"/>
        </w:rPr>
        <w:t>Ensure that data confidentiality is maintained, in addition to the integrity of that data, including any data that is temporarily stored</w:t>
      </w:r>
      <w:r w:rsidR="00BD258C">
        <w:rPr>
          <w:sz w:val="24"/>
        </w:rPr>
        <w:t>,</w:t>
      </w:r>
      <w:r w:rsidRPr="00E91BCE">
        <w:rPr>
          <w:sz w:val="24"/>
        </w:rPr>
        <w:t xml:space="preserve"> whilst ensuring personally identifiable data will be protected, in line with GDPR, from unauthorised use.</w:t>
      </w:r>
    </w:p>
    <w:p w14:paraId="2F518549" w14:textId="2965F7B9" w:rsidR="008F79EC" w:rsidRPr="00E91BCE" w:rsidRDefault="008F79EC" w:rsidP="00E91BCE">
      <w:pPr>
        <w:pStyle w:val="Heading4"/>
        <w:rPr>
          <w:sz w:val="24"/>
        </w:rPr>
      </w:pPr>
      <w:r>
        <w:rPr>
          <w:sz w:val="24"/>
        </w:rPr>
        <w:t>Ensure that minimum availability requirements are achieved, as specified in the n</w:t>
      </w:r>
      <w:r w:rsidRPr="00DF272D">
        <w:rPr>
          <w:sz w:val="24"/>
        </w:rPr>
        <w:t xml:space="preserve">on-functional requirements listed in Appendix </w:t>
      </w:r>
      <w:r w:rsidR="00FF6039">
        <w:rPr>
          <w:sz w:val="24"/>
        </w:rPr>
        <w:t>H</w:t>
      </w:r>
      <w:r w:rsidR="007025FB">
        <w:rPr>
          <w:sz w:val="24"/>
        </w:rPr>
        <w:t>.</w:t>
      </w:r>
    </w:p>
    <w:p w14:paraId="484B1405" w14:textId="77777777" w:rsidR="00E91BCE" w:rsidRPr="00E91BCE" w:rsidRDefault="00E91BCE" w:rsidP="00E91BCE">
      <w:pPr>
        <w:pStyle w:val="Heading4"/>
        <w:rPr>
          <w:sz w:val="24"/>
        </w:rPr>
      </w:pPr>
      <w:r w:rsidRPr="00E91BCE">
        <w:rPr>
          <w:sz w:val="24"/>
        </w:rPr>
        <w:lastRenderedPageBreak/>
        <w:t>Ensure all environments that contain data are as secure as the production system, including environments where data transformation occurs, and explain how any unexpected loss of data can be mitigated to ensure restoration of the live service is prompt.</w:t>
      </w:r>
    </w:p>
    <w:p w14:paraId="034BD7BD" w14:textId="23393D82" w:rsidR="00E91BCE" w:rsidRPr="00E91BCE" w:rsidRDefault="00E91BCE" w:rsidP="00E91BCE">
      <w:pPr>
        <w:pStyle w:val="Heading4"/>
        <w:rPr>
          <w:sz w:val="24"/>
        </w:rPr>
      </w:pPr>
      <w:r w:rsidRPr="00E91BCE">
        <w:rPr>
          <w:sz w:val="24"/>
        </w:rPr>
        <w:t>Define how access to dat</w:t>
      </w:r>
      <w:r w:rsidR="00CE7D3D">
        <w:rPr>
          <w:sz w:val="24"/>
        </w:rPr>
        <w:t xml:space="preserve">a in the system will be logged, </w:t>
      </w:r>
      <w:r w:rsidRPr="00E91BCE">
        <w:rPr>
          <w:sz w:val="24"/>
        </w:rPr>
        <w:t>monitored and reported</w:t>
      </w:r>
      <w:r w:rsidR="006652EF">
        <w:rPr>
          <w:sz w:val="24"/>
        </w:rPr>
        <w:t xml:space="preserve">, </w:t>
      </w:r>
      <w:r w:rsidR="006652EF" w:rsidRPr="006652EF">
        <w:rPr>
          <w:bCs/>
          <w:sz w:val="24"/>
        </w:rPr>
        <w:t>with centralisation of logs to allow more proficient monitoring</w:t>
      </w:r>
      <w:r w:rsidRPr="006652EF">
        <w:rPr>
          <w:sz w:val="24"/>
        </w:rPr>
        <w:t>.</w:t>
      </w:r>
      <w:r w:rsidRPr="00E91BCE">
        <w:rPr>
          <w:sz w:val="24"/>
        </w:rPr>
        <w:t xml:space="preserve"> </w:t>
      </w:r>
    </w:p>
    <w:p w14:paraId="0FA031EC" w14:textId="646894CE" w:rsidR="00E91BCE" w:rsidRPr="00E91BCE" w:rsidRDefault="00E91BCE" w:rsidP="00E91BCE">
      <w:pPr>
        <w:pStyle w:val="Heading4"/>
        <w:rPr>
          <w:rFonts w:cs="Arial"/>
          <w:sz w:val="24"/>
        </w:rPr>
      </w:pPr>
      <w:r w:rsidRPr="00E91BCE">
        <w:rPr>
          <w:rFonts w:cs="Arial"/>
          <w:sz w:val="24"/>
        </w:rPr>
        <w:t xml:space="preserve">Ensure that robust data validation and security controls are applied to data entering the system from </w:t>
      </w:r>
      <w:r w:rsidR="00426932">
        <w:rPr>
          <w:rFonts w:cs="Arial"/>
          <w:sz w:val="24"/>
        </w:rPr>
        <w:t>Asset Owners</w:t>
      </w:r>
      <w:r w:rsidRPr="00E91BCE">
        <w:rPr>
          <w:rFonts w:cs="Arial"/>
          <w:sz w:val="24"/>
        </w:rPr>
        <w:t xml:space="preserve"> and from </w:t>
      </w:r>
      <w:r w:rsidR="00A02679">
        <w:rPr>
          <w:rFonts w:cs="Arial"/>
          <w:sz w:val="24"/>
        </w:rPr>
        <w:t>End U</w:t>
      </w:r>
      <w:r w:rsidRPr="00E91BCE">
        <w:rPr>
          <w:rFonts w:cs="Arial"/>
          <w:sz w:val="24"/>
        </w:rPr>
        <w:t>sers, in line with NCSC guidance on safely importing data</w:t>
      </w:r>
      <w:r w:rsidRPr="00E91BCE">
        <w:rPr>
          <w:rStyle w:val="FootnoteReference"/>
          <w:rFonts w:ascii="Arial" w:hAnsi="Arial" w:cs="Arial"/>
          <w:sz w:val="24"/>
        </w:rPr>
        <w:footnoteReference w:id="21"/>
      </w:r>
      <w:r w:rsidRPr="00E91BCE">
        <w:rPr>
          <w:rFonts w:cs="Arial"/>
          <w:sz w:val="24"/>
        </w:rPr>
        <w:t>.</w:t>
      </w:r>
    </w:p>
    <w:p w14:paraId="0FA7F06C" w14:textId="40E7F210" w:rsidR="00E91BCE" w:rsidRDefault="00E91BCE" w:rsidP="00E91BCE">
      <w:pPr>
        <w:pStyle w:val="Heading4"/>
        <w:rPr>
          <w:rFonts w:cs="Arial"/>
          <w:sz w:val="24"/>
        </w:rPr>
      </w:pPr>
      <w:r w:rsidRPr="00E91BCE">
        <w:rPr>
          <w:rFonts w:cs="Arial"/>
          <w:sz w:val="24"/>
        </w:rPr>
        <w:t>Ensure that appropriate levels of access are only granted to authorised people, within authorised organisations, in line with the principle of least privilege and that robust controls prevent those not entitled to access from accessing the system</w:t>
      </w:r>
      <w:r w:rsidRPr="00E91BCE">
        <w:rPr>
          <w:rStyle w:val="FootnoteReference"/>
          <w:rFonts w:ascii="Arial" w:hAnsi="Arial" w:cs="Arial"/>
          <w:sz w:val="24"/>
        </w:rPr>
        <w:footnoteReference w:id="22"/>
      </w:r>
      <w:r w:rsidRPr="00E91BCE">
        <w:rPr>
          <w:rFonts w:cs="Arial"/>
          <w:sz w:val="24"/>
        </w:rPr>
        <w:t xml:space="preserve">.  This must include measures for the detection and prevention of </w:t>
      </w:r>
      <w:r w:rsidR="00A02679">
        <w:rPr>
          <w:rFonts w:cs="Arial"/>
          <w:sz w:val="24"/>
        </w:rPr>
        <w:t>End U</w:t>
      </w:r>
      <w:r w:rsidRPr="00E91BCE">
        <w:rPr>
          <w:rFonts w:cs="Arial"/>
          <w:sz w:val="24"/>
        </w:rPr>
        <w:t>sers abusing the system</w:t>
      </w:r>
      <w:r w:rsidR="006652EF">
        <w:rPr>
          <w:rFonts w:cs="Arial"/>
          <w:sz w:val="24"/>
        </w:rPr>
        <w:t xml:space="preserve">, </w:t>
      </w:r>
      <w:r w:rsidR="006652EF" w:rsidRPr="006652EF">
        <w:rPr>
          <w:rFonts w:cs="Arial"/>
          <w:bCs/>
          <w:sz w:val="24"/>
        </w:rPr>
        <w:t>and proportional privileged access management processes</w:t>
      </w:r>
      <w:r w:rsidRPr="00E91BCE">
        <w:rPr>
          <w:rFonts w:cs="Arial"/>
          <w:sz w:val="24"/>
        </w:rPr>
        <w:t>.</w:t>
      </w:r>
    </w:p>
    <w:p w14:paraId="0B3D1B67" w14:textId="60EBD94C" w:rsidR="00617AA9" w:rsidRPr="00E91BCE" w:rsidRDefault="00617AA9" w:rsidP="00617AA9">
      <w:pPr>
        <w:pStyle w:val="Heading4"/>
        <w:rPr>
          <w:rFonts w:cs="Arial"/>
          <w:sz w:val="24"/>
        </w:rPr>
      </w:pPr>
      <w:r w:rsidRPr="00617AA9">
        <w:rPr>
          <w:rFonts w:cs="Arial"/>
          <w:sz w:val="24"/>
        </w:rPr>
        <w:t>Ensure that all user access and activity is stored in a detailed audit record with an agreed period of data retention, and accessible to analytical tools to allow the monitoring of system use at the user and organisation levels.</w:t>
      </w:r>
    </w:p>
    <w:p w14:paraId="38BF26DE" w14:textId="77777777" w:rsidR="00E91BCE" w:rsidRPr="00E91BCE" w:rsidRDefault="00E91BCE" w:rsidP="00E91BCE">
      <w:pPr>
        <w:pStyle w:val="Heading4"/>
        <w:rPr>
          <w:rFonts w:cs="Arial"/>
          <w:sz w:val="24"/>
        </w:rPr>
      </w:pPr>
      <w:r w:rsidRPr="00E91BCE">
        <w:rPr>
          <w:rFonts w:cs="Arial"/>
          <w:sz w:val="24"/>
        </w:rPr>
        <w:t>Ensure continuity of secure access in the event of service provider failure (cloud host, telecommunications etc). A robust audit process must be defined and implemented.</w:t>
      </w:r>
    </w:p>
    <w:p w14:paraId="1842DF01" w14:textId="1F542A14" w:rsidR="00E91BCE" w:rsidRDefault="00E91BCE" w:rsidP="00E91BCE">
      <w:pPr>
        <w:pStyle w:val="Heading4"/>
        <w:rPr>
          <w:rFonts w:cs="Arial"/>
          <w:sz w:val="24"/>
        </w:rPr>
      </w:pPr>
      <w:r w:rsidRPr="00E91BCE">
        <w:rPr>
          <w:rFonts w:cs="Arial"/>
          <w:sz w:val="24"/>
        </w:rPr>
        <w:t>Ensure system components will be maintained and protected indefinitely, in addition to the system's ability to cope with a wide range of issues e.g. graceful degradation in the face of DDoS attack in line with NCSC guidance on denial of service</w:t>
      </w:r>
      <w:r w:rsidRPr="00E91BCE">
        <w:rPr>
          <w:rStyle w:val="FootnoteReference"/>
          <w:rFonts w:ascii="Arial" w:hAnsi="Arial" w:cs="Arial"/>
          <w:sz w:val="24"/>
        </w:rPr>
        <w:footnoteReference w:id="23"/>
      </w:r>
      <w:r w:rsidRPr="00E91BCE">
        <w:rPr>
          <w:rFonts w:cs="Arial"/>
          <w:sz w:val="24"/>
        </w:rPr>
        <w:t xml:space="preserve"> and protection against attacks in line with NCSC guidance on malware and ransomware</w:t>
      </w:r>
      <w:r w:rsidRPr="00E91BCE">
        <w:rPr>
          <w:rStyle w:val="FootnoteReference"/>
          <w:rFonts w:ascii="Arial" w:hAnsi="Arial" w:cs="Arial"/>
          <w:sz w:val="24"/>
        </w:rPr>
        <w:footnoteReference w:id="24"/>
      </w:r>
      <w:r w:rsidRPr="00E91BCE">
        <w:rPr>
          <w:rFonts w:cs="Arial"/>
          <w:sz w:val="24"/>
        </w:rPr>
        <w:t>.</w:t>
      </w:r>
    </w:p>
    <w:p w14:paraId="7ADF0A05" w14:textId="38716FAB" w:rsidR="007234D5" w:rsidRPr="00E91BCE" w:rsidRDefault="007234D5" w:rsidP="00E91BCE">
      <w:pPr>
        <w:pStyle w:val="Heading4"/>
        <w:rPr>
          <w:rFonts w:cs="Arial"/>
          <w:sz w:val="24"/>
        </w:rPr>
      </w:pPr>
      <w:r w:rsidRPr="007234D5">
        <w:rPr>
          <w:rFonts w:cs="Arial"/>
          <w:sz w:val="24"/>
        </w:rPr>
        <w:lastRenderedPageBreak/>
        <w:t>Ensure suitable segregation of system components and tiers, such that a compromise to one element of the system can be contained, with no opportunities to compromise other, more sensitive elements of the system.</w:t>
      </w:r>
    </w:p>
    <w:p w14:paraId="5871E05C" w14:textId="7B6F750C" w:rsidR="00E91BCE" w:rsidRDefault="00E91BCE" w:rsidP="00E91BCE">
      <w:pPr>
        <w:pStyle w:val="Heading4"/>
        <w:rPr>
          <w:rFonts w:cs="Arial"/>
          <w:sz w:val="24"/>
        </w:rPr>
      </w:pPr>
      <w:r w:rsidRPr="00E91BCE">
        <w:rPr>
          <w:rFonts w:cs="Arial"/>
          <w:sz w:val="24"/>
        </w:rPr>
        <w:t>Ensure NUAR will be developed in a secure environment and incorporates a security minded approach in line with NCSC guidance on secure by default</w:t>
      </w:r>
      <w:r w:rsidRPr="00E91BCE">
        <w:rPr>
          <w:rStyle w:val="FootnoteReference"/>
          <w:rFonts w:ascii="Arial" w:hAnsi="Arial" w:cs="Arial"/>
          <w:sz w:val="24"/>
        </w:rPr>
        <w:footnoteReference w:id="25"/>
      </w:r>
      <w:r w:rsidRPr="00E91BCE">
        <w:rPr>
          <w:rFonts w:cs="Arial"/>
          <w:sz w:val="24"/>
        </w:rPr>
        <w:t>, as a priority, throughout every iteration of development.</w:t>
      </w:r>
    </w:p>
    <w:p w14:paraId="7DEA3DE6" w14:textId="6D8E8B47" w:rsidR="00D20E6F" w:rsidRPr="007234D5" w:rsidRDefault="00D20E6F" w:rsidP="00D20E6F">
      <w:pPr>
        <w:pStyle w:val="Heading4"/>
        <w:rPr>
          <w:rFonts w:cs="Arial"/>
          <w:sz w:val="24"/>
        </w:rPr>
      </w:pPr>
      <w:r w:rsidRPr="00D20E6F">
        <w:rPr>
          <w:rFonts w:cs="Arial"/>
          <w:sz w:val="24"/>
        </w:rPr>
        <w:t>Ensure that the application, its data, and all related processing and storage shall be hosted in a secure UK data centre that complies with good practice guidance available from NCSC and CPNI regarding physical, personnel and cyber security</w:t>
      </w:r>
      <w:r>
        <w:rPr>
          <w:rFonts w:cs="Arial"/>
          <w:sz w:val="24"/>
        </w:rPr>
        <w:t>.</w:t>
      </w:r>
      <w:r w:rsidR="007234D5">
        <w:rPr>
          <w:rFonts w:cs="Arial"/>
          <w:sz w:val="24"/>
        </w:rPr>
        <w:t xml:space="preserve"> </w:t>
      </w:r>
      <w:r w:rsidR="007234D5" w:rsidRPr="007234D5">
        <w:rPr>
          <w:rFonts w:cs="Arial"/>
          <w:bCs/>
          <w:sz w:val="24"/>
        </w:rPr>
        <w:t>The selection of suitable data centres will be subject to review by the Customer</w:t>
      </w:r>
      <w:r w:rsidR="007234D5">
        <w:rPr>
          <w:rFonts w:cs="Arial"/>
          <w:bCs/>
          <w:sz w:val="24"/>
        </w:rPr>
        <w:t>.</w:t>
      </w:r>
    </w:p>
    <w:p w14:paraId="36954108" w14:textId="10738627" w:rsidR="008C0827" w:rsidRPr="008C0827" w:rsidRDefault="008C0827" w:rsidP="008C0827">
      <w:pPr>
        <w:pStyle w:val="Heading4"/>
        <w:rPr>
          <w:sz w:val="24"/>
          <w:szCs w:val="24"/>
        </w:rPr>
      </w:pPr>
      <w:r w:rsidRPr="008C0827">
        <w:rPr>
          <w:sz w:val="24"/>
          <w:szCs w:val="24"/>
        </w:rPr>
        <w:t>Be required to undertake an Information Security Risk Assessment of the proposed solution to include all components of the system where the Asset Ow</w:t>
      </w:r>
      <w:r w:rsidR="00AB5B42">
        <w:rPr>
          <w:sz w:val="24"/>
          <w:szCs w:val="24"/>
        </w:rPr>
        <w:t>n</w:t>
      </w:r>
      <w:r w:rsidRPr="008C0827">
        <w:rPr>
          <w:sz w:val="24"/>
          <w:szCs w:val="24"/>
        </w:rPr>
        <w:t>ers’ data will be stored and processed. The risk assessment and associated control measures will be documented in a Security Management Plan, which is approved by the Customer. The Security Management Plan will be updated on an annual basis or when significant changes to the system are planned or implemented. </w:t>
      </w:r>
    </w:p>
    <w:p w14:paraId="181E9AB7" w14:textId="1AB545EB" w:rsidR="008C0827" w:rsidRDefault="008C0827" w:rsidP="008C0827">
      <w:pPr>
        <w:pStyle w:val="Heading3"/>
        <w:numPr>
          <w:ilvl w:val="2"/>
          <w:numId w:val="27"/>
        </w:numPr>
        <w:rPr>
          <w:sz w:val="24"/>
        </w:rPr>
      </w:pPr>
      <w:r w:rsidRPr="008C0827">
        <w:rPr>
          <w:sz w:val="24"/>
        </w:rPr>
        <w:t xml:space="preserve">The security controls employed will be required as a minimum to include those listed in </w:t>
      </w:r>
      <w:r w:rsidR="007025FB">
        <w:rPr>
          <w:sz w:val="24"/>
        </w:rPr>
        <w:t>Appendix N</w:t>
      </w:r>
      <w:r w:rsidR="00FF6039">
        <w:rPr>
          <w:sz w:val="24"/>
        </w:rPr>
        <w:t xml:space="preserve"> – Security Controls</w:t>
      </w:r>
      <w:r>
        <w:rPr>
          <w:sz w:val="24"/>
        </w:rPr>
        <w:t>.</w:t>
      </w:r>
    </w:p>
    <w:p w14:paraId="37480B0F" w14:textId="7E49B859" w:rsidR="0052612A" w:rsidRPr="008C0827" w:rsidRDefault="0052612A" w:rsidP="008C0827">
      <w:pPr>
        <w:pStyle w:val="Heading3"/>
        <w:numPr>
          <w:ilvl w:val="2"/>
          <w:numId w:val="27"/>
        </w:numPr>
        <w:rPr>
          <w:sz w:val="24"/>
        </w:rPr>
      </w:pPr>
      <w:r w:rsidRPr="0052612A">
        <w:rPr>
          <w:sz w:val="24"/>
        </w:rPr>
        <w:t>The Supplier will be required to accept the revised security schedule (</w:t>
      </w:r>
      <w:r w:rsidR="0042051B">
        <w:rPr>
          <w:sz w:val="24"/>
        </w:rPr>
        <w:t>Call Off Schedule 7</w:t>
      </w:r>
      <w:r w:rsidRPr="0052612A">
        <w:rPr>
          <w:sz w:val="24"/>
        </w:rPr>
        <w:t>)</w:t>
      </w:r>
      <w:r w:rsidR="0042051B">
        <w:rPr>
          <w:sz w:val="24"/>
        </w:rPr>
        <w:t>,</w:t>
      </w:r>
      <w:r w:rsidRPr="0052612A">
        <w:rPr>
          <w:sz w:val="24"/>
        </w:rPr>
        <w:t xml:space="preserve"> which shall be incorporated into the Call Off Terms and substitute the standard M</w:t>
      </w:r>
      <w:r w:rsidR="0042051B">
        <w:rPr>
          <w:sz w:val="24"/>
        </w:rPr>
        <w:t xml:space="preserve">anagement </w:t>
      </w:r>
      <w:r w:rsidRPr="0052612A">
        <w:rPr>
          <w:sz w:val="24"/>
        </w:rPr>
        <w:t>C</w:t>
      </w:r>
      <w:r w:rsidR="0042051B">
        <w:rPr>
          <w:sz w:val="24"/>
        </w:rPr>
        <w:t xml:space="preserve">onsultancy </w:t>
      </w:r>
      <w:r w:rsidRPr="0052612A">
        <w:rPr>
          <w:sz w:val="24"/>
        </w:rPr>
        <w:t>F</w:t>
      </w:r>
      <w:r w:rsidR="0042051B">
        <w:rPr>
          <w:sz w:val="24"/>
        </w:rPr>
        <w:t xml:space="preserve">ramework </w:t>
      </w:r>
      <w:r w:rsidRPr="0052612A">
        <w:rPr>
          <w:sz w:val="24"/>
        </w:rPr>
        <w:t>2 Call Off Terms schedule 7 in its entiret</w:t>
      </w:r>
      <w:r>
        <w:rPr>
          <w:sz w:val="24"/>
        </w:rPr>
        <w:t>y</w:t>
      </w:r>
      <w:r w:rsidR="0042051B">
        <w:rPr>
          <w:sz w:val="24"/>
        </w:rPr>
        <w:t>.</w:t>
      </w:r>
    </w:p>
    <w:p w14:paraId="65283656" w14:textId="368C7020" w:rsidR="0081061A" w:rsidRPr="001A45DF" w:rsidRDefault="0081061A"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39" w:name="_Toc69240421"/>
      <w:bookmarkStart w:id="40" w:name="_Toc368573042"/>
      <w:r w:rsidRPr="001A45DF">
        <w:rPr>
          <w:rFonts w:cs="Arial"/>
          <w:sz w:val="32"/>
          <w:szCs w:val="32"/>
        </w:rPr>
        <w:t>payment</w:t>
      </w:r>
      <w:r w:rsidR="00ED2129" w:rsidRPr="001A45DF">
        <w:rPr>
          <w:rFonts w:cs="Arial"/>
          <w:sz w:val="32"/>
          <w:szCs w:val="32"/>
        </w:rPr>
        <w:t xml:space="preserve"> AND INVOICING</w:t>
      </w:r>
      <w:bookmarkEnd w:id="39"/>
      <w:r w:rsidR="00ED2129" w:rsidRPr="001A45DF">
        <w:rPr>
          <w:rFonts w:cs="Arial"/>
          <w:sz w:val="32"/>
          <w:szCs w:val="32"/>
        </w:rPr>
        <w:t xml:space="preserve"> </w:t>
      </w:r>
    </w:p>
    <w:p w14:paraId="042CA45C" w14:textId="77777777" w:rsidR="00331523" w:rsidRPr="001A45DF" w:rsidRDefault="0036555C" w:rsidP="0081061A">
      <w:pPr>
        <w:pStyle w:val="Heading2"/>
        <w:rPr>
          <w:sz w:val="24"/>
          <w:szCs w:val="24"/>
        </w:rPr>
      </w:pPr>
      <w:r w:rsidRPr="001A45DF">
        <w:rPr>
          <w:rFonts w:cs="Arial"/>
          <w:color w:val="000000"/>
          <w:sz w:val="24"/>
          <w:szCs w:val="24"/>
          <w:shd w:val="clear" w:color="auto" w:fill="FFFFFF"/>
        </w:rPr>
        <w:t xml:space="preserve">Payment can only be made following satisfactory delivery of pre-agreed certified products and deliverables. </w:t>
      </w:r>
    </w:p>
    <w:p w14:paraId="28B41D85" w14:textId="3FAA0882" w:rsidR="0036555C" w:rsidRPr="001A45DF" w:rsidRDefault="0036555C" w:rsidP="0081061A">
      <w:pPr>
        <w:pStyle w:val="Heading2"/>
        <w:rPr>
          <w:sz w:val="24"/>
          <w:szCs w:val="24"/>
        </w:rPr>
      </w:pPr>
      <w:r w:rsidRPr="001A45DF">
        <w:rPr>
          <w:rFonts w:cs="Arial"/>
          <w:color w:val="000000"/>
          <w:sz w:val="24"/>
          <w:szCs w:val="24"/>
          <w:shd w:val="clear" w:color="auto" w:fill="FFFFFF"/>
        </w:rPr>
        <w:t xml:space="preserve">Before payment can be considered, each invoice must include a detailed elemental breakdown of work completed and the associated costs. </w:t>
      </w:r>
    </w:p>
    <w:p w14:paraId="73DDA45F" w14:textId="194BF80A" w:rsidR="00ED2129" w:rsidRPr="001A45DF" w:rsidRDefault="00ED2129" w:rsidP="0081061A">
      <w:pPr>
        <w:pStyle w:val="Heading2"/>
        <w:rPr>
          <w:sz w:val="24"/>
          <w:szCs w:val="24"/>
        </w:rPr>
      </w:pPr>
      <w:r w:rsidRPr="001A45DF">
        <w:rPr>
          <w:rFonts w:cs="Arial"/>
          <w:color w:val="000000"/>
          <w:sz w:val="24"/>
          <w:szCs w:val="24"/>
          <w:shd w:val="clear" w:color="auto" w:fill="FFFFFF"/>
        </w:rPr>
        <w:t xml:space="preserve">Invoices should be submitted </w:t>
      </w:r>
      <w:r w:rsidR="00BD258C">
        <w:rPr>
          <w:rFonts w:cs="Arial"/>
          <w:color w:val="000000"/>
          <w:sz w:val="24"/>
          <w:szCs w:val="24"/>
          <w:shd w:val="clear" w:color="auto" w:fill="FFFFFF"/>
        </w:rPr>
        <w:t>to the Customer’s Programme Manager and to</w:t>
      </w:r>
      <w:r w:rsidRPr="001A45DF">
        <w:rPr>
          <w:rFonts w:cs="Arial"/>
          <w:color w:val="000000"/>
          <w:sz w:val="24"/>
          <w:szCs w:val="24"/>
          <w:shd w:val="clear" w:color="auto" w:fill="FFFFFF"/>
        </w:rPr>
        <w:t xml:space="preserve">: </w:t>
      </w:r>
      <w:r w:rsidR="0074703D">
        <w:t>REDACTED TEXT.</w:t>
      </w:r>
    </w:p>
    <w:p w14:paraId="6828E644" w14:textId="77777777" w:rsidR="00E24EE7" w:rsidRPr="001A45DF" w:rsidRDefault="009E3739" w:rsidP="00E24EE7">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41" w:name="_Toc69240422"/>
      <w:bookmarkEnd w:id="40"/>
      <w:r w:rsidRPr="001A45DF">
        <w:rPr>
          <w:rFonts w:cs="Arial"/>
          <w:sz w:val="32"/>
          <w:szCs w:val="32"/>
        </w:rPr>
        <w:lastRenderedPageBreak/>
        <w:t>CONTRACT MANAGEMENT</w:t>
      </w:r>
      <w:bookmarkEnd w:id="41"/>
      <w:r w:rsidR="00FE18AC" w:rsidRPr="001A45DF">
        <w:rPr>
          <w:rFonts w:cs="Arial"/>
          <w:sz w:val="32"/>
          <w:szCs w:val="32"/>
        </w:rPr>
        <w:t xml:space="preserve"> </w:t>
      </w:r>
    </w:p>
    <w:p w14:paraId="63607611" w14:textId="32049791" w:rsidR="000B653E" w:rsidRPr="000B653E" w:rsidRDefault="000B653E" w:rsidP="000B653E">
      <w:pPr>
        <w:pStyle w:val="Heading2"/>
        <w:rPr>
          <w:sz w:val="24"/>
          <w:szCs w:val="24"/>
        </w:rPr>
      </w:pPr>
      <w:r w:rsidRPr="000B653E">
        <w:rPr>
          <w:sz w:val="24"/>
          <w:szCs w:val="24"/>
        </w:rPr>
        <w:t xml:space="preserve">The Customer will assign contract managers as appropriate to monitor the contract entered into with the Supplier. </w:t>
      </w:r>
      <w:r w:rsidR="003764D4">
        <w:rPr>
          <w:sz w:val="24"/>
          <w:szCs w:val="24"/>
        </w:rPr>
        <w:t>The Supplier will produce a list of</w:t>
      </w:r>
      <w:r w:rsidR="003764D4" w:rsidRPr="003764D4">
        <w:rPr>
          <w:sz w:val="24"/>
          <w:szCs w:val="24"/>
        </w:rPr>
        <w:t> key dependencies, assumptions and obligations</w:t>
      </w:r>
      <w:r w:rsidR="003764D4">
        <w:rPr>
          <w:sz w:val="24"/>
          <w:szCs w:val="24"/>
        </w:rPr>
        <w:t>, which will be agreed with the Customer shortly after contract award.</w:t>
      </w:r>
      <w:r w:rsidR="003764D4" w:rsidRPr="003764D4">
        <w:rPr>
          <w:sz w:val="24"/>
          <w:szCs w:val="24"/>
        </w:rPr>
        <w:t xml:space="preserve"> </w:t>
      </w:r>
      <w:r w:rsidRPr="000B653E">
        <w:rPr>
          <w:sz w:val="24"/>
          <w:szCs w:val="24"/>
        </w:rPr>
        <w:t xml:space="preserve">The Supplier will </w:t>
      </w:r>
      <w:r w:rsidR="003764D4">
        <w:rPr>
          <w:sz w:val="24"/>
          <w:szCs w:val="24"/>
        </w:rPr>
        <w:t xml:space="preserve">also </w:t>
      </w:r>
      <w:r w:rsidRPr="000B653E">
        <w:rPr>
          <w:sz w:val="24"/>
          <w:szCs w:val="24"/>
        </w:rPr>
        <w:t>produce and maintain the following documents to be reviewed in a monthly contract review meeting with the Customer:</w:t>
      </w:r>
    </w:p>
    <w:p w14:paraId="069E528E" w14:textId="6E242292" w:rsidR="000B653E" w:rsidRPr="000B653E" w:rsidRDefault="000B653E" w:rsidP="000B653E">
      <w:pPr>
        <w:pStyle w:val="Heading3"/>
        <w:rPr>
          <w:sz w:val="24"/>
        </w:rPr>
      </w:pPr>
      <w:r w:rsidRPr="000B653E">
        <w:rPr>
          <w:sz w:val="24"/>
        </w:rPr>
        <w:t>Risk register, including mitigation</w:t>
      </w:r>
      <w:r w:rsidR="00A02679">
        <w:rPr>
          <w:sz w:val="24"/>
        </w:rPr>
        <w:t>;</w:t>
      </w:r>
    </w:p>
    <w:p w14:paraId="02D1C60A" w14:textId="06A54EFE" w:rsidR="000B653E" w:rsidRPr="000B653E" w:rsidRDefault="000B653E" w:rsidP="000B653E">
      <w:pPr>
        <w:pStyle w:val="Heading3"/>
        <w:rPr>
          <w:sz w:val="24"/>
        </w:rPr>
      </w:pPr>
      <w:r w:rsidRPr="000B653E">
        <w:rPr>
          <w:sz w:val="24"/>
        </w:rPr>
        <w:t>Finance monitoring sheet (showing both actuals and forecasted spend)</w:t>
      </w:r>
      <w:r w:rsidR="00A02679">
        <w:rPr>
          <w:sz w:val="24"/>
        </w:rPr>
        <w:t>;</w:t>
      </w:r>
    </w:p>
    <w:p w14:paraId="47348035" w14:textId="77777777" w:rsidR="00A02679" w:rsidRDefault="000B653E" w:rsidP="000B653E">
      <w:pPr>
        <w:pStyle w:val="Heading3"/>
        <w:rPr>
          <w:sz w:val="24"/>
        </w:rPr>
      </w:pPr>
      <w:r w:rsidRPr="000B653E">
        <w:rPr>
          <w:sz w:val="24"/>
        </w:rPr>
        <w:t>Timeline of works, setting out</w:t>
      </w:r>
      <w:r w:rsidR="00A02679">
        <w:rPr>
          <w:sz w:val="24"/>
        </w:rPr>
        <w:t xml:space="preserve"> progress against key timelines;</w:t>
      </w:r>
    </w:p>
    <w:p w14:paraId="1C79583E" w14:textId="1AEB1C54" w:rsidR="00A02679" w:rsidRDefault="00A02679" w:rsidP="000B653E">
      <w:pPr>
        <w:pStyle w:val="Heading3"/>
        <w:rPr>
          <w:sz w:val="24"/>
        </w:rPr>
      </w:pPr>
      <w:r>
        <w:rPr>
          <w:sz w:val="24"/>
        </w:rPr>
        <w:t>Performance reporting of the system;</w:t>
      </w:r>
    </w:p>
    <w:p w14:paraId="5B887704" w14:textId="6FCA7DCA" w:rsidR="000B653E" w:rsidRPr="000B653E" w:rsidRDefault="00A02679" w:rsidP="000B653E">
      <w:pPr>
        <w:pStyle w:val="Heading3"/>
        <w:rPr>
          <w:sz w:val="24"/>
        </w:rPr>
      </w:pPr>
      <w:r>
        <w:rPr>
          <w:sz w:val="24"/>
        </w:rPr>
        <w:t>Vendor lock-in.</w:t>
      </w:r>
      <w:r w:rsidR="000B653E" w:rsidRPr="000B653E">
        <w:rPr>
          <w:sz w:val="24"/>
        </w:rPr>
        <w:t xml:space="preserve"> </w:t>
      </w:r>
    </w:p>
    <w:p w14:paraId="577D08DA" w14:textId="3590E41D" w:rsidR="000B653E" w:rsidRPr="000B653E" w:rsidRDefault="000B653E" w:rsidP="000B653E">
      <w:pPr>
        <w:pStyle w:val="Heading2"/>
        <w:rPr>
          <w:sz w:val="24"/>
          <w:szCs w:val="24"/>
        </w:rPr>
      </w:pPr>
      <w:r>
        <w:rPr>
          <w:sz w:val="24"/>
          <w:szCs w:val="24"/>
        </w:rPr>
        <w:t>The Customer and the Supplier will agree on a</w:t>
      </w:r>
      <w:r w:rsidRPr="000B653E">
        <w:rPr>
          <w:sz w:val="24"/>
          <w:szCs w:val="24"/>
        </w:rPr>
        <w:t xml:space="preserve">ppropriate contract resolution processes prior to entering into contract. </w:t>
      </w:r>
      <w:r>
        <w:rPr>
          <w:sz w:val="24"/>
          <w:szCs w:val="24"/>
        </w:rPr>
        <w:t>The Customer’s and the Supplier’s Contract Relationship Managers will be the first point of resolution before any escalation steps are taken, and they will aim to resolve differences before they become issues. The Contract Relationship Managers will meet on a weekly basis.</w:t>
      </w:r>
      <w:r w:rsidR="003764D4">
        <w:rPr>
          <w:sz w:val="24"/>
          <w:szCs w:val="24"/>
        </w:rPr>
        <w:t xml:space="preserve"> </w:t>
      </w:r>
    </w:p>
    <w:p w14:paraId="72C98708" w14:textId="1C9D5E98" w:rsidR="000B653E" w:rsidRPr="000B653E" w:rsidRDefault="000B653E" w:rsidP="000B653E">
      <w:pPr>
        <w:pStyle w:val="Heading2"/>
        <w:rPr>
          <w:sz w:val="24"/>
          <w:szCs w:val="24"/>
        </w:rPr>
      </w:pPr>
      <w:r w:rsidRPr="000B653E">
        <w:rPr>
          <w:sz w:val="24"/>
          <w:szCs w:val="24"/>
        </w:rPr>
        <w:t>The Supplier will also provide a</w:t>
      </w:r>
      <w:r w:rsidR="00482F20">
        <w:rPr>
          <w:sz w:val="24"/>
          <w:szCs w:val="24"/>
        </w:rPr>
        <w:t xml:space="preserve"> monthly</w:t>
      </w:r>
      <w:r w:rsidRPr="000B653E">
        <w:rPr>
          <w:sz w:val="24"/>
          <w:szCs w:val="24"/>
        </w:rPr>
        <w:t xml:space="preserve"> update on progress before the NUAR Programme Board.</w:t>
      </w:r>
    </w:p>
    <w:p w14:paraId="0C4C4D63" w14:textId="047BBB09" w:rsidR="000B653E" w:rsidRPr="000B653E" w:rsidRDefault="000B653E" w:rsidP="000B653E">
      <w:pPr>
        <w:pStyle w:val="Heading2"/>
        <w:rPr>
          <w:sz w:val="24"/>
          <w:szCs w:val="24"/>
        </w:rPr>
      </w:pPr>
      <w:r w:rsidRPr="000B653E">
        <w:rPr>
          <w:sz w:val="24"/>
          <w:szCs w:val="24"/>
        </w:rPr>
        <w:t xml:space="preserve">Delivery Unit - The Customer intends to utilise existing relationships, including those with subject matter experts, </w:t>
      </w:r>
      <w:r w:rsidR="00C1083D">
        <w:rPr>
          <w:sz w:val="24"/>
          <w:szCs w:val="24"/>
        </w:rPr>
        <w:t>Local G</w:t>
      </w:r>
      <w:r w:rsidRPr="000B653E">
        <w:rPr>
          <w:sz w:val="24"/>
          <w:szCs w:val="24"/>
        </w:rPr>
        <w:t xml:space="preserve">overnment organisations and </w:t>
      </w:r>
      <w:r w:rsidR="007F5736">
        <w:rPr>
          <w:sz w:val="24"/>
          <w:szCs w:val="24"/>
        </w:rPr>
        <w:t>Asset O</w:t>
      </w:r>
      <w:r w:rsidRPr="000B653E">
        <w:rPr>
          <w:sz w:val="24"/>
          <w:szCs w:val="24"/>
        </w:rPr>
        <w:t xml:space="preserve">wners to deliver the NUAR Programme. The Customer also seeks to avoid common pitfalls to effective </w:t>
      </w:r>
      <w:bookmarkStart w:id="42" w:name="_GoBack"/>
      <w:bookmarkEnd w:id="42"/>
      <w:r w:rsidRPr="000B653E">
        <w:rPr>
          <w:sz w:val="24"/>
          <w:szCs w:val="24"/>
        </w:rPr>
        <w:t xml:space="preserve">delivery such as: </w:t>
      </w:r>
    </w:p>
    <w:p w14:paraId="66418E6D" w14:textId="565984BC" w:rsidR="000B653E" w:rsidRPr="000B653E" w:rsidRDefault="000B653E" w:rsidP="000B653E">
      <w:pPr>
        <w:pStyle w:val="Heading3"/>
        <w:rPr>
          <w:sz w:val="24"/>
        </w:rPr>
      </w:pPr>
      <w:r w:rsidRPr="000B653E">
        <w:rPr>
          <w:sz w:val="24"/>
        </w:rPr>
        <w:t xml:space="preserve">Under-utilising existing resources or relationships; </w:t>
      </w:r>
    </w:p>
    <w:p w14:paraId="7C01E607" w14:textId="54739899" w:rsidR="000B653E" w:rsidRPr="000B653E" w:rsidRDefault="000B653E" w:rsidP="000B653E">
      <w:pPr>
        <w:pStyle w:val="Heading3"/>
        <w:rPr>
          <w:sz w:val="24"/>
        </w:rPr>
      </w:pPr>
      <w:r w:rsidRPr="000B653E">
        <w:rPr>
          <w:sz w:val="24"/>
        </w:rPr>
        <w:t>Siloed / disjointed working within and across workstreams;</w:t>
      </w:r>
    </w:p>
    <w:p w14:paraId="6FE2931A" w14:textId="001348CE" w:rsidR="000B653E" w:rsidRPr="000B653E" w:rsidRDefault="000B653E" w:rsidP="000B653E">
      <w:pPr>
        <w:pStyle w:val="Heading3"/>
        <w:rPr>
          <w:sz w:val="24"/>
        </w:rPr>
      </w:pPr>
      <w:r w:rsidRPr="000B653E">
        <w:rPr>
          <w:sz w:val="24"/>
        </w:rPr>
        <w:t xml:space="preserve">Lack of strategic direction; </w:t>
      </w:r>
    </w:p>
    <w:p w14:paraId="62323053" w14:textId="6339D134" w:rsidR="000B653E" w:rsidRPr="000B653E" w:rsidRDefault="000B653E" w:rsidP="000B653E">
      <w:pPr>
        <w:pStyle w:val="Heading3"/>
        <w:rPr>
          <w:sz w:val="24"/>
        </w:rPr>
      </w:pPr>
      <w:r w:rsidRPr="000B653E">
        <w:rPr>
          <w:sz w:val="24"/>
        </w:rPr>
        <w:t xml:space="preserve">Lack of clear escalation process; </w:t>
      </w:r>
    </w:p>
    <w:p w14:paraId="2BCDCE69" w14:textId="582FBE30" w:rsidR="000B653E" w:rsidRPr="000B653E" w:rsidRDefault="000B653E" w:rsidP="000B653E">
      <w:pPr>
        <w:pStyle w:val="Heading3"/>
        <w:rPr>
          <w:sz w:val="24"/>
        </w:rPr>
      </w:pPr>
      <w:r w:rsidRPr="000B653E">
        <w:rPr>
          <w:sz w:val="24"/>
        </w:rPr>
        <w:t xml:space="preserve">Unclear links to, and monitoring of, outcomes. </w:t>
      </w:r>
    </w:p>
    <w:p w14:paraId="39C9FAF2" w14:textId="600E75F3" w:rsidR="000B653E" w:rsidRPr="000B653E" w:rsidRDefault="000B653E" w:rsidP="000B653E">
      <w:pPr>
        <w:pStyle w:val="Heading2"/>
        <w:rPr>
          <w:sz w:val="24"/>
          <w:szCs w:val="24"/>
        </w:rPr>
      </w:pPr>
      <w:r w:rsidRPr="000B653E">
        <w:rPr>
          <w:sz w:val="24"/>
          <w:szCs w:val="24"/>
        </w:rPr>
        <w:t xml:space="preserve">To achieve the above aims, </w:t>
      </w:r>
      <w:r>
        <w:rPr>
          <w:sz w:val="24"/>
          <w:szCs w:val="24"/>
        </w:rPr>
        <w:t xml:space="preserve">the Customer will establish </w:t>
      </w:r>
      <w:r w:rsidRPr="000B653E">
        <w:rPr>
          <w:sz w:val="24"/>
          <w:szCs w:val="24"/>
        </w:rPr>
        <w:t>a ‘One Team’ delivery unit within the Geospatial Commission. The structure and composition of this team wil</w:t>
      </w:r>
      <w:r>
        <w:rPr>
          <w:sz w:val="24"/>
          <w:szCs w:val="24"/>
        </w:rPr>
        <w:t>l consist of a combination of</w:t>
      </w:r>
      <w:r w:rsidR="00EB3B8B">
        <w:rPr>
          <w:sz w:val="24"/>
          <w:szCs w:val="24"/>
        </w:rPr>
        <w:t xml:space="preserve"> GC staff, Local G</w:t>
      </w:r>
      <w:r w:rsidRPr="000B653E">
        <w:rPr>
          <w:sz w:val="24"/>
          <w:szCs w:val="24"/>
        </w:rPr>
        <w:t xml:space="preserve">overnment leads, subject </w:t>
      </w:r>
      <w:r w:rsidRPr="000B653E">
        <w:rPr>
          <w:sz w:val="24"/>
          <w:szCs w:val="24"/>
        </w:rPr>
        <w:lastRenderedPageBreak/>
        <w:t>matter experts and staff provided by the Supplier. The purpose of the ‘one team’ structure is to ensure:</w:t>
      </w:r>
    </w:p>
    <w:p w14:paraId="14ACDF6C" w14:textId="35818D7B" w:rsidR="000B653E" w:rsidRPr="000B653E" w:rsidRDefault="000B653E" w:rsidP="000B653E">
      <w:pPr>
        <w:pStyle w:val="Heading3"/>
        <w:rPr>
          <w:sz w:val="24"/>
        </w:rPr>
      </w:pPr>
      <w:r w:rsidRPr="000B653E">
        <w:rPr>
          <w:sz w:val="24"/>
        </w:rPr>
        <w:t>Strong strategic leadership and direction at the right level for each stream of work</w:t>
      </w:r>
      <w:r>
        <w:rPr>
          <w:sz w:val="24"/>
        </w:rPr>
        <w:t>;</w:t>
      </w:r>
    </w:p>
    <w:p w14:paraId="4703ECFA" w14:textId="01DFE6D8" w:rsidR="000B653E" w:rsidRPr="000B653E" w:rsidRDefault="000B653E" w:rsidP="000B653E">
      <w:pPr>
        <w:pStyle w:val="Heading3"/>
        <w:rPr>
          <w:sz w:val="24"/>
        </w:rPr>
      </w:pPr>
      <w:r w:rsidRPr="000B653E">
        <w:rPr>
          <w:sz w:val="24"/>
        </w:rPr>
        <w:t>Sufficient access to subject matter expertise / institutional and acquired knowledge</w:t>
      </w:r>
      <w:r>
        <w:rPr>
          <w:sz w:val="24"/>
        </w:rPr>
        <w:t>;</w:t>
      </w:r>
    </w:p>
    <w:p w14:paraId="7CA71C3E" w14:textId="714079CA" w:rsidR="000B653E" w:rsidRPr="000B653E" w:rsidRDefault="000B653E" w:rsidP="000B653E">
      <w:pPr>
        <w:pStyle w:val="Heading3"/>
        <w:rPr>
          <w:sz w:val="24"/>
        </w:rPr>
      </w:pPr>
      <w:r w:rsidRPr="000B653E">
        <w:rPr>
          <w:sz w:val="24"/>
        </w:rPr>
        <w:t>Continuity of relationships (across the sector and within government)</w:t>
      </w:r>
      <w:r>
        <w:rPr>
          <w:sz w:val="24"/>
        </w:rPr>
        <w:t>;</w:t>
      </w:r>
    </w:p>
    <w:p w14:paraId="31F3662B" w14:textId="62FAC8AC" w:rsidR="000B653E" w:rsidRPr="000B653E" w:rsidRDefault="000B653E" w:rsidP="000B653E">
      <w:pPr>
        <w:pStyle w:val="Heading3"/>
        <w:rPr>
          <w:sz w:val="24"/>
        </w:rPr>
      </w:pPr>
      <w:r w:rsidRPr="000B653E">
        <w:rPr>
          <w:sz w:val="24"/>
        </w:rPr>
        <w:t>Robust contract management and assurance</w:t>
      </w:r>
      <w:r>
        <w:rPr>
          <w:sz w:val="24"/>
        </w:rPr>
        <w:t>;</w:t>
      </w:r>
    </w:p>
    <w:p w14:paraId="50A66CD1" w14:textId="1D349B6F" w:rsidR="000B653E" w:rsidRDefault="000B653E" w:rsidP="000B653E">
      <w:pPr>
        <w:pStyle w:val="Heading3"/>
        <w:rPr>
          <w:sz w:val="24"/>
        </w:rPr>
      </w:pPr>
      <w:r w:rsidRPr="000B653E">
        <w:rPr>
          <w:sz w:val="24"/>
        </w:rPr>
        <w:t>Clear escalation process / decision making function by the Customer</w:t>
      </w:r>
      <w:r>
        <w:rPr>
          <w:sz w:val="24"/>
        </w:rPr>
        <w:t>.</w:t>
      </w:r>
      <w:r w:rsidRPr="000B653E">
        <w:rPr>
          <w:sz w:val="24"/>
        </w:rPr>
        <w:t xml:space="preserve"> </w:t>
      </w:r>
    </w:p>
    <w:p w14:paraId="063BA5DA" w14:textId="32C84388" w:rsidR="001031CC" w:rsidRPr="00EB3B8B" w:rsidRDefault="001031CC" w:rsidP="00EB3B8B">
      <w:pPr>
        <w:pStyle w:val="Heading2"/>
        <w:rPr>
          <w:sz w:val="24"/>
          <w:szCs w:val="24"/>
        </w:rPr>
      </w:pPr>
      <w:r>
        <w:rPr>
          <w:rFonts w:cs="Arial"/>
          <w:color w:val="000000"/>
          <w:sz w:val="24"/>
          <w:szCs w:val="24"/>
          <w:shd w:val="clear" w:color="auto" w:fill="FFFFFF"/>
        </w:rPr>
        <w:t xml:space="preserve">The Supplier will note that </w:t>
      </w:r>
      <w:r w:rsidRPr="00EB3B8B">
        <w:rPr>
          <w:rFonts w:cs="Arial"/>
          <w:color w:val="000000"/>
          <w:sz w:val="24"/>
          <w:szCs w:val="24"/>
          <w:shd w:val="clear" w:color="auto" w:fill="FFFFFF"/>
        </w:rPr>
        <w:t>the one team is a support stru</w:t>
      </w:r>
      <w:r w:rsidRPr="001031CC">
        <w:rPr>
          <w:rFonts w:cs="Arial"/>
          <w:color w:val="000000"/>
          <w:sz w:val="24"/>
          <w:szCs w:val="24"/>
          <w:shd w:val="clear" w:color="auto" w:fill="FFFFFF"/>
        </w:rPr>
        <w:t>cture and does not absolve the S</w:t>
      </w:r>
      <w:r w:rsidRPr="00EB3B8B">
        <w:rPr>
          <w:rFonts w:cs="Arial"/>
          <w:color w:val="000000"/>
          <w:sz w:val="24"/>
          <w:szCs w:val="24"/>
          <w:shd w:val="clear" w:color="auto" w:fill="FFFFFF"/>
        </w:rPr>
        <w:t>upplier of its obligations under this requireme</w:t>
      </w:r>
      <w:r>
        <w:rPr>
          <w:rFonts w:cs="Arial"/>
          <w:color w:val="000000"/>
          <w:sz w:val="24"/>
          <w:szCs w:val="24"/>
          <w:shd w:val="clear" w:color="auto" w:fill="FFFFFF"/>
        </w:rPr>
        <w:t>nt.</w:t>
      </w:r>
    </w:p>
    <w:p w14:paraId="4EDBC668" w14:textId="01E3BEFC" w:rsidR="000B653E" w:rsidRPr="000B653E" w:rsidRDefault="000B653E" w:rsidP="000B653E">
      <w:pPr>
        <w:pStyle w:val="Heading2"/>
        <w:rPr>
          <w:sz w:val="24"/>
          <w:szCs w:val="24"/>
        </w:rPr>
      </w:pPr>
      <w:r w:rsidRPr="000B653E">
        <w:rPr>
          <w:sz w:val="24"/>
          <w:szCs w:val="24"/>
        </w:rPr>
        <w:t xml:space="preserve">The Supplier will act as an integral part of the ‘One Team’ structure and will provide staff as required to support each workstream, as set out in this Requirement. Work will not be carried out in silos, including activities associated with development and project planning. </w:t>
      </w:r>
    </w:p>
    <w:p w14:paraId="6057639D" w14:textId="12FCE784" w:rsidR="000B653E" w:rsidRDefault="000B653E" w:rsidP="000B653E">
      <w:pPr>
        <w:pStyle w:val="Heading2"/>
        <w:rPr>
          <w:sz w:val="24"/>
          <w:szCs w:val="24"/>
        </w:rPr>
      </w:pPr>
      <w:r w:rsidRPr="000B653E">
        <w:rPr>
          <w:sz w:val="24"/>
          <w:szCs w:val="24"/>
        </w:rPr>
        <w:t xml:space="preserve">The ‘One Team’ is </w:t>
      </w:r>
      <w:r w:rsidR="00E72F35">
        <w:rPr>
          <w:sz w:val="24"/>
          <w:szCs w:val="24"/>
        </w:rPr>
        <w:t>illustrated</w:t>
      </w:r>
      <w:r w:rsidRPr="000B653E">
        <w:rPr>
          <w:sz w:val="24"/>
          <w:szCs w:val="24"/>
        </w:rPr>
        <w:t xml:space="preserve"> below, though its composition is subject to change:</w:t>
      </w:r>
    </w:p>
    <w:p w14:paraId="4C7D4ECF" w14:textId="1772607D" w:rsidR="005F7780" w:rsidRDefault="0031686D" w:rsidP="00316FB8">
      <w:pPr>
        <w:pStyle w:val="Heading2"/>
        <w:numPr>
          <w:ilvl w:val="0"/>
          <w:numId w:val="0"/>
        </w:numPr>
        <w:ind w:left="142"/>
        <w:rPr>
          <w:sz w:val="24"/>
          <w:szCs w:val="24"/>
        </w:rPr>
      </w:pPr>
      <w:r>
        <w:rPr>
          <w:noProof/>
          <w:sz w:val="24"/>
          <w:szCs w:val="24"/>
          <w:lang w:eastAsia="en-GB"/>
        </w:rPr>
        <w:drawing>
          <wp:inline distT="0" distB="0" distL="0" distR="0" wp14:anchorId="19EC613F" wp14:editId="3179ACC2">
            <wp:extent cx="5573901" cy="3086048"/>
            <wp:effectExtent l="0" t="0" r="825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neTeam.png"/>
                    <pic:cNvPicPr/>
                  </pic:nvPicPr>
                  <pic:blipFill>
                    <a:blip r:embed="rId17">
                      <a:extLst>
                        <a:ext uri="{28A0092B-C50C-407E-A947-70E740481C1C}">
                          <a14:useLocalDpi xmlns:a14="http://schemas.microsoft.com/office/drawing/2010/main" val="0"/>
                        </a:ext>
                      </a:extLst>
                    </a:blip>
                    <a:stretch>
                      <a:fillRect/>
                    </a:stretch>
                  </pic:blipFill>
                  <pic:spPr>
                    <a:xfrm>
                      <a:off x="0" y="0"/>
                      <a:ext cx="5629886" cy="3117045"/>
                    </a:xfrm>
                    <a:prstGeom prst="rect">
                      <a:avLst/>
                    </a:prstGeom>
                  </pic:spPr>
                </pic:pic>
              </a:graphicData>
            </a:graphic>
          </wp:inline>
        </w:drawing>
      </w:r>
    </w:p>
    <w:p w14:paraId="04BBE808" w14:textId="77777777" w:rsidR="00671798" w:rsidRPr="009106C8" w:rsidRDefault="00FE18AC">
      <w:pPr>
        <w:pStyle w:val="Heading1"/>
        <w:spacing w:after="120"/>
        <w:rPr>
          <w:sz w:val="32"/>
          <w:szCs w:val="32"/>
        </w:rPr>
      </w:pPr>
      <w:bookmarkStart w:id="43" w:name="_Toc368573043"/>
      <w:bookmarkStart w:id="44" w:name="_Toc69240423"/>
      <w:bookmarkEnd w:id="22"/>
      <w:r w:rsidRPr="009106C8">
        <w:rPr>
          <w:sz w:val="32"/>
          <w:szCs w:val="32"/>
        </w:rPr>
        <w:lastRenderedPageBreak/>
        <w:t>Location</w:t>
      </w:r>
      <w:bookmarkEnd w:id="43"/>
      <w:bookmarkEnd w:id="44"/>
      <w:r w:rsidRPr="009106C8">
        <w:rPr>
          <w:sz w:val="32"/>
          <w:szCs w:val="32"/>
        </w:rPr>
        <w:t xml:space="preserve"> </w:t>
      </w:r>
    </w:p>
    <w:p w14:paraId="21D8AA27" w14:textId="77777777" w:rsidR="00135B55" w:rsidRDefault="00920CF7" w:rsidP="00135B55">
      <w:pPr>
        <w:pStyle w:val="Heading2"/>
        <w:rPr>
          <w:sz w:val="24"/>
          <w:szCs w:val="24"/>
        </w:rPr>
      </w:pPr>
      <w:r w:rsidRPr="00920CF7">
        <w:rPr>
          <w:sz w:val="24"/>
          <w:szCs w:val="24"/>
        </w:rPr>
        <w:t>The Supplier will make staff available for regular face-to-face meetings (including workshops, sprint planning sessions, retrospectives and stakeholder events) and joint working, including at the Customer’s premise (10 South Colonnade, Canary Wharf, London, E14 4PU)</w:t>
      </w:r>
      <w:r>
        <w:rPr>
          <w:sz w:val="24"/>
          <w:szCs w:val="24"/>
        </w:rPr>
        <w:t xml:space="preserve"> – as permitted by Government guidance related to the pandemic</w:t>
      </w:r>
      <w:r w:rsidRPr="00920CF7">
        <w:rPr>
          <w:sz w:val="24"/>
          <w:szCs w:val="24"/>
        </w:rPr>
        <w:t xml:space="preserve">. Co-locating is recommended subject to government advice on social distancing restrictions. </w:t>
      </w:r>
    </w:p>
    <w:p w14:paraId="01C9AEC4" w14:textId="188A6777" w:rsidR="002F7AA1" w:rsidRPr="00135B55" w:rsidRDefault="00920CF7" w:rsidP="00135B55">
      <w:pPr>
        <w:pStyle w:val="Heading2"/>
        <w:rPr>
          <w:sz w:val="24"/>
          <w:szCs w:val="24"/>
        </w:rPr>
      </w:pPr>
      <w:r w:rsidRPr="00135B55">
        <w:rPr>
          <w:sz w:val="24"/>
          <w:szCs w:val="24"/>
        </w:rPr>
        <w:t xml:space="preserve">As required, the Supplier will also operate across the UK, starting with the three MVP regions in the North East of England, London and Wales. </w:t>
      </w:r>
    </w:p>
    <w:p w14:paraId="31424888" w14:textId="330C779E" w:rsidR="002F7AA1" w:rsidRDefault="005F18CC" w:rsidP="005F18CC">
      <w:pPr>
        <w:pStyle w:val="Heading1"/>
        <w:rPr>
          <w:sz w:val="32"/>
        </w:rPr>
      </w:pPr>
      <w:bookmarkStart w:id="45" w:name="_Toc69240424"/>
      <w:r w:rsidRPr="005F18CC">
        <w:rPr>
          <w:sz w:val="32"/>
        </w:rPr>
        <w:t>appendices</w:t>
      </w:r>
      <w:bookmarkEnd w:id="45"/>
    </w:p>
    <w:tbl>
      <w:tblPr>
        <w:tblStyle w:val="TableGrid"/>
        <w:tblW w:w="0" w:type="auto"/>
        <w:tblLook w:val="04A0" w:firstRow="1" w:lastRow="0" w:firstColumn="1" w:lastColumn="0" w:noHBand="0" w:noVBand="1"/>
      </w:tblPr>
      <w:tblGrid>
        <w:gridCol w:w="2830"/>
        <w:gridCol w:w="6189"/>
      </w:tblGrid>
      <w:tr w:rsidR="00226E69" w:rsidRPr="005F18CC" w14:paraId="7D340F1E" w14:textId="77777777" w:rsidTr="005F18CC">
        <w:tc>
          <w:tcPr>
            <w:tcW w:w="2830" w:type="dxa"/>
          </w:tcPr>
          <w:p w14:paraId="4562F167" w14:textId="3F4E141F" w:rsidR="00226E69" w:rsidRPr="005F18CC" w:rsidRDefault="00226E69" w:rsidP="005F18CC">
            <w:pPr>
              <w:pStyle w:val="Style1"/>
              <w:ind w:left="174"/>
              <w:rPr>
                <w:rStyle w:val="Strong"/>
                <w:b w:val="0"/>
              </w:rPr>
            </w:pPr>
            <w:r>
              <w:rPr>
                <w:rStyle w:val="Strong"/>
                <w:b w:val="0"/>
              </w:rPr>
              <w:t>Appendix A</w:t>
            </w:r>
          </w:p>
        </w:tc>
        <w:tc>
          <w:tcPr>
            <w:tcW w:w="6189" w:type="dxa"/>
          </w:tcPr>
          <w:p w14:paraId="7FD3D8E0" w14:textId="74DA1FDD" w:rsidR="00226E69" w:rsidRDefault="00226E69" w:rsidP="00EB2E59">
            <w:pPr>
              <w:pStyle w:val="Style1"/>
              <w:ind w:left="174"/>
              <w:rPr>
                <w:rStyle w:val="Strong"/>
                <w:b w:val="0"/>
              </w:rPr>
            </w:pPr>
            <w:r>
              <w:rPr>
                <w:rStyle w:val="Strong"/>
                <w:b w:val="0"/>
              </w:rPr>
              <w:t>List of Asset Owners</w:t>
            </w:r>
          </w:p>
        </w:tc>
      </w:tr>
      <w:tr w:rsidR="00226E69" w:rsidRPr="005F18CC" w14:paraId="43DE9003" w14:textId="77777777" w:rsidTr="005F18CC">
        <w:tc>
          <w:tcPr>
            <w:tcW w:w="2830" w:type="dxa"/>
          </w:tcPr>
          <w:p w14:paraId="2DF40D2B" w14:textId="12F10B5C" w:rsidR="00226E69" w:rsidRPr="005F18CC" w:rsidRDefault="00226E69" w:rsidP="005F18CC">
            <w:pPr>
              <w:pStyle w:val="Style1"/>
              <w:ind w:left="174"/>
              <w:rPr>
                <w:rStyle w:val="Strong"/>
                <w:b w:val="0"/>
              </w:rPr>
            </w:pPr>
            <w:r>
              <w:rPr>
                <w:rStyle w:val="Strong"/>
                <w:b w:val="0"/>
              </w:rPr>
              <w:t xml:space="preserve">Appendix </w:t>
            </w:r>
            <w:r w:rsidR="00771751">
              <w:rPr>
                <w:rStyle w:val="Strong"/>
                <w:b w:val="0"/>
              </w:rPr>
              <w:t>B</w:t>
            </w:r>
          </w:p>
        </w:tc>
        <w:tc>
          <w:tcPr>
            <w:tcW w:w="6189" w:type="dxa"/>
          </w:tcPr>
          <w:p w14:paraId="06AA0716" w14:textId="2FD2EB49" w:rsidR="00226E69" w:rsidRDefault="00226E69" w:rsidP="00EB2E59">
            <w:pPr>
              <w:pStyle w:val="Style1"/>
              <w:ind w:left="174"/>
              <w:rPr>
                <w:rStyle w:val="Strong"/>
                <w:b w:val="0"/>
              </w:rPr>
            </w:pPr>
            <w:r>
              <w:rPr>
                <w:rStyle w:val="Strong"/>
                <w:b w:val="0"/>
              </w:rPr>
              <w:t>Data Exploration Agreements</w:t>
            </w:r>
          </w:p>
        </w:tc>
      </w:tr>
      <w:tr w:rsidR="005F18CC" w:rsidRPr="005F18CC" w14:paraId="04F9D6A2" w14:textId="77777777" w:rsidTr="005F18CC">
        <w:tc>
          <w:tcPr>
            <w:tcW w:w="2830" w:type="dxa"/>
          </w:tcPr>
          <w:p w14:paraId="63B7EA70" w14:textId="66F01241" w:rsidR="005F18CC" w:rsidRPr="005F18CC" w:rsidRDefault="005F18CC" w:rsidP="005F18CC">
            <w:pPr>
              <w:pStyle w:val="Style1"/>
              <w:ind w:left="174"/>
              <w:rPr>
                <w:sz w:val="24"/>
                <w:szCs w:val="24"/>
              </w:rPr>
            </w:pPr>
            <w:r w:rsidRPr="005F18CC">
              <w:rPr>
                <w:rStyle w:val="Strong"/>
                <w:b w:val="0"/>
              </w:rPr>
              <w:t xml:space="preserve">Appendix </w:t>
            </w:r>
            <w:r w:rsidR="00771751">
              <w:rPr>
                <w:rStyle w:val="Strong"/>
                <w:b w:val="0"/>
              </w:rPr>
              <w:t>C</w:t>
            </w:r>
          </w:p>
        </w:tc>
        <w:tc>
          <w:tcPr>
            <w:tcW w:w="6189" w:type="dxa"/>
          </w:tcPr>
          <w:p w14:paraId="21A9AA60" w14:textId="042B2D99" w:rsidR="005F18CC" w:rsidRPr="00EB2E59" w:rsidRDefault="00EB2E59" w:rsidP="00EB2E59">
            <w:pPr>
              <w:pStyle w:val="Style1"/>
              <w:ind w:left="174"/>
              <w:rPr>
                <w:rStyle w:val="Strong"/>
                <w:b w:val="0"/>
              </w:rPr>
            </w:pPr>
            <w:r w:rsidRPr="00EB2E59">
              <w:rPr>
                <w:rStyle w:val="Strong"/>
                <w:b w:val="0"/>
              </w:rPr>
              <w:t>End User Terms</w:t>
            </w:r>
          </w:p>
        </w:tc>
      </w:tr>
      <w:tr w:rsidR="005F18CC" w:rsidRPr="005F18CC" w14:paraId="5E6790D8" w14:textId="77777777" w:rsidTr="005F18CC">
        <w:tc>
          <w:tcPr>
            <w:tcW w:w="2830" w:type="dxa"/>
          </w:tcPr>
          <w:p w14:paraId="7FABA957" w14:textId="1E66D7C1" w:rsidR="005F18CC" w:rsidRPr="005F18CC" w:rsidRDefault="005F18CC" w:rsidP="005F18CC">
            <w:pPr>
              <w:pStyle w:val="Style1"/>
              <w:ind w:left="174"/>
              <w:rPr>
                <w:rStyle w:val="Strong"/>
              </w:rPr>
            </w:pPr>
            <w:r w:rsidRPr="005F18CC">
              <w:rPr>
                <w:rStyle w:val="Strong"/>
                <w:b w:val="0"/>
              </w:rPr>
              <w:t xml:space="preserve">Appendix </w:t>
            </w:r>
            <w:r w:rsidR="00771751">
              <w:rPr>
                <w:rStyle w:val="Strong"/>
                <w:b w:val="0"/>
              </w:rPr>
              <w:t>D</w:t>
            </w:r>
          </w:p>
        </w:tc>
        <w:tc>
          <w:tcPr>
            <w:tcW w:w="6189" w:type="dxa"/>
          </w:tcPr>
          <w:p w14:paraId="778C5A0D" w14:textId="7AEDB709" w:rsidR="005F18CC" w:rsidRPr="00EB2E59" w:rsidRDefault="00EB2E59" w:rsidP="00EB2E59">
            <w:pPr>
              <w:pStyle w:val="Style1"/>
              <w:ind w:left="174"/>
              <w:rPr>
                <w:rStyle w:val="Strong"/>
                <w:b w:val="0"/>
              </w:rPr>
            </w:pPr>
            <w:r w:rsidRPr="00EB2E59">
              <w:rPr>
                <w:rStyle w:val="Strong"/>
                <w:b w:val="0"/>
              </w:rPr>
              <w:t>Business-As-Usual Processes (Maps and report)</w:t>
            </w:r>
          </w:p>
        </w:tc>
      </w:tr>
      <w:tr w:rsidR="005F18CC" w:rsidRPr="005F18CC" w14:paraId="2CC60FC8" w14:textId="77777777" w:rsidTr="005F18CC">
        <w:tc>
          <w:tcPr>
            <w:tcW w:w="2830" w:type="dxa"/>
          </w:tcPr>
          <w:p w14:paraId="462C8C81" w14:textId="437A8ABA" w:rsidR="005F18CC" w:rsidRPr="005F18CC" w:rsidRDefault="005F18CC" w:rsidP="005F18CC">
            <w:pPr>
              <w:pStyle w:val="Style1"/>
              <w:ind w:left="174"/>
              <w:rPr>
                <w:rStyle w:val="Strong"/>
              </w:rPr>
            </w:pPr>
            <w:r w:rsidRPr="005F18CC">
              <w:rPr>
                <w:rStyle w:val="Strong"/>
                <w:b w:val="0"/>
              </w:rPr>
              <w:t xml:space="preserve">Appendix </w:t>
            </w:r>
            <w:r w:rsidR="00771751">
              <w:rPr>
                <w:rStyle w:val="Strong"/>
                <w:b w:val="0"/>
              </w:rPr>
              <w:t>E</w:t>
            </w:r>
          </w:p>
        </w:tc>
        <w:tc>
          <w:tcPr>
            <w:tcW w:w="6189" w:type="dxa"/>
          </w:tcPr>
          <w:p w14:paraId="36170921" w14:textId="1D9C6813" w:rsidR="005F18CC" w:rsidRPr="00EB2E59" w:rsidRDefault="00EB2E59" w:rsidP="00EB2E59">
            <w:pPr>
              <w:pStyle w:val="Style1"/>
              <w:ind w:left="174"/>
              <w:rPr>
                <w:rStyle w:val="Strong"/>
                <w:b w:val="0"/>
              </w:rPr>
            </w:pPr>
            <w:r w:rsidRPr="00EB2E59">
              <w:rPr>
                <w:rStyle w:val="Strong"/>
                <w:b w:val="0"/>
              </w:rPr>
              <w:t>Example Data Mappings</w:t>
            </w:r>
          </w:p>
        </w:tc>
      </w:tr>
      <w:tr w:rsidR="00EB3B8B" w:rsidRPr="005F18CC" w14:paraId="13C0CCE8" w14:textId="77777777" w:rsidTr="005F18CC">
        <w:tc>
          <w:tcPr>
            <w:tcW w:w="2830" w:type="dxa"/>
          </w:tcPr>
          <w:p w14:paraId="4558287F" w14:textId="5DD4B337" w:rsidR="00EB3B8B" w:rsidRPr="005F18CC" w:rsidRDefault="00EB3B8B" w:rsidP="005F18CC">
            <w:pPr>
              <w:pStyle w:val="Style1"/>
              <w:ind w:left="174"/>
              <w:rPr>
                <w:rStyle w:val="Strong"/>
              </w:rPr>
            </w:pPr>
            <w:r w:rsidRPr="005F18CC">
              <w:rPr>
                <w:rStyle w:val="Strong"/>
                <w:b w:val="0"/>
              </w:rPr>
              <w:t xml:space="preserve">Appendix </w:t>
            </w:r>
            <w:r w:rsidR="00771751">
              <w:rPr>
                <w:rStyle w:val="Strong"/>
                <w:b w:val="0"/>
              </w:rPr>
              <w:t>F</w:t>
            </w:r>
          </w:p>
        </w:tc>
        <w:tc>
          <w:tcPr>
            <w:tcW w:w="6189" w:type="dxa"/>
          </w:tcPr>
          <w:p w14:paraId="62167CDB" w14:textId="7710EFB2" w:rsidR="00EB3B8B" w:rsidRPr="00EB2E59" w:rsidRDefault="00EB3B8B" w:rsidP="00EB2E59">
            <w:pPr>
              <w:pStyle w:val="Style1"/>
              <w:ind w:left="174"/>
              <w:rPr>
                <w:rStyle w:val="Strong"/>
                <w:b w:val="0"/>
              </w:rPr>
            </w:pPr>
            <w:r w:rsidRPr="00EB2E59">
              <w:rPr>
                <w:rStyle w:val="Strong"/>
                <w:b w:val="0"/>
              </w:rPr>
              <w:t>Architecture Blueprint</w:t>
            </w:r>
          </w:p>
        </w:tc>
      </w:tr>
      <w:tr w:rsidR="00EB3B8B" w:rsidRPr="005F18CC" w14:paraId="5A94833D" w14:textId="77777777" w:rsidTr="005F18CC">
        <w:tc>
          <w:tcPr>
            <w:tcW w:w="2830" w:type="dxa"/>
          </w:tcPr>
          <w:p w14:paraId="0875090C" w14:textId="59181C55" w:rsidR="00EB3B8B" w:rsidRPr="005F18CC" w:rsidRDefault="00EB3B8B" w:rsidP="005F18CC">
            <w:pPr>
              <w:pStyle w:val="Style1"/>
              <w:ind w:left="174"/>
              <w:rPr>
                <w:rStyle w:val="Strong"/>
                <w:b w:val="0"/>
              </w:rPr>
            </w:pPr>
            <w:r>
              <w:rPr>
                <w:rStyle w:val="Strong"/>
                <w:b w:val="0"/>
              </w:rPr>
              <w:t xml:space="preserve">Appendix </w:t>
            </w:r>
            <w:r w:rsidR="00771751">
              <w:rPr>
                <w:rStyle w:val="Strong"/>
                <w:b w:val="0"/>
              </w:rPr>
              <w:t>G</w:t>
            </w:r>
          </w:p>
        </w:tc>
        <w:tc>
          <w:tcPr>
            <w:tcW w:w="6189" w:type="dxa"/>
          </w:tcPr>
          <w:p w14:paraId="0CE8D087" w14:textId="261B44A5" w:rsidR="00EB3B8B" w:rsidRPr="00EB2E59" w:rsidRDefault="00EB3B8B" w:rsidP="00EB2E59">
            <w:pPr>
              <w:pStyle w:val="Style1"/>
              <w:ind w:left="174"/>
              <w:rPr>
                <w:rStyle w:val="Strong"/>
                <w:b w:val="0"/>
              </w:rPr>
            </w:pPr>
            <w:r w:rsidRPr="00EB2E59">
              <w:rPr>
                <w:rStyle w:val="Strong"/>
                <w:b w:val="0"/>
              </w:rPr>
              <w:t>Product Backlog/User Stories</w:t>
            </w:r>
          </w:p>
        </w:tc>
      </w:tr>
      <w:tr w:rsidR="00EB3B8B" w:rsidRPr="005F18CC" w14:paraId="6BD86AC9" w14:textId="77777777" w:rsidTr="005F18CC">
        <w:tc>
          <w:tcPr>
            <w:tcW w:w="2830" w:type="dxa"/>
          </w:tcPr>
          <w:p w14:paraId="6681909C" w14:textId="53DABB1A" w:rsidR="00EB3B8B" w:rsidRPr="005F18CC" w:rsidRDefault="00EB3B8B" w:rsidP="005F18CC">
            <w:pPr>
              <w:pStyle w:val="Style1"/>
              <w:ind w:left="174"/>
              <w:rPr>
                <w:rStyle w:val="Strong"/>
              </w:rPr>
            </w:pPr>
            <w:r w:rsidRPr="005F18CC">
              <w:rPr>
                <w:rStyle w:val="Strong"/>
                <w:b w:val="0"/>
              </w:rPr>
              <w:t xml:space="preserve">Appendix </w:t>
            </w:r>
            <w:r w:rsidR="00771751">
              <w:rPr>
                <w:rStyle w:val="Strong"/>
                <w:b w:val="0"/>
              </w:rPr>
              <w:t>H</w:t>
            </w:r>
          </w:p>
        </w:tc>
        <w:tc>
          <w:tcPr>
            <w:tcW w:w="6189" w:type="dxa"/>
          </w:tcPr>
          <w:p w14:paraId="13959095" w14:textId="541A3702" w:rsidR="00EB3B8B" w:rsidRPr="00EB2E59" w:rsidRDefault="00EB3B8B" w:rsidP="00EB2E59">
            <w:pPr>
              <w:pStyle w:val="Style1"/>
              <w:ind w:left="174"/>
              <w:rPr>
                <w:rStyle w:val="Strong"/>
                <w:b w:val="0"/>
              </w:rPr>
            </w:pPr>
            <w:r w:rsidRPr="00EB2E59">
              <w:rPr>
                <w:rStyle w:val="Strong"/>
                <w:b w:val="0"/>
              </w:rPr>
              <w:t>Non-Functional Requirements</w:t>
            </w:r>
          </w:p>
        </w:tc>
      </w:tr>
      <w:tr w:rsidR="00EB3B8B" w:rsidRPr="005F18CC" w14:paraId="6D11222E" w14:textId="77777777" w:rsidTr="005F18CC">
        <w:tc>
          <w:tcPr>
            <w:tcW w:w="2830" w:type="dxa"/>
          </w:tcPr>
          <w:p w14:paraId="235C54F5" w14:textId="574D63E1" w:rsidR="00EB3B8B" w:rsidRPr="005F18CC" w:rsidRDefault="00EB3B8B" w:rsidP="00EB2E59">
            <w:pPr>
              <w:pStyle w:val="Style1"/>
              <w:ind w:left="174"/>
              <w:rPr>
                <w:rStyle w:val="Strong"/>
                <w:b w:val="0"/>
              </w:rPr>
            </w:pPr>
            <w:r w:rsidRPr="005F18CC">
              <w:rPr>
                <w:rStyle w:val="Strong"/>
                <w:b w:val="0"/>
              </w:rPr>
              <w:t xml:space="preserve">Appendix </w:t>
            </w:r>
            <w:r w:rsidR="00771751">
              <w:rPr>
                <w:rStyle w:val="Strong"/>
                <w:b w:val="0"/>
              </w:rPr>
              <w:t>I</w:t>
            </w:r>
          </w:p>
        </w:tc>
        <w:tc>
          <w:tcPr>
            <w:tcW w:w="6189" w:type="dxa"/>
          </w:tcPr>
          <w:p w14:paraId="2833FA2C" w14:textId="50F6AFBE" w:rsidR="00EB3B8B" w:rsidRPr="00EB2E59" w:rsidRDefault="00EB3B8B" w:rsidP="00EB2E59">
            <w:pPr>
              <w:pStyle w:val="Style1"/>
              <w:ind w:left="174"/>
              <w:rPr>
                <w:rStyle w:val="Strong"/>
                <w:b w:val="0"/>
              </w:rPr>
            </w:pPr>
            <w:r>
              <w:rPr>
                <w:rStyle w:val="Strong"/>
                <w:b w:val="0"/>
              </w:rPr>
              <w:t>Inbound API Architecture Recommendations</w:t>
            </w:r>
          </w:p>
        </w:tc>
      </w:tr>
      <w:tr w:rsidR="00EB3B8B" w:rsidRPr="005F18CC" w14:paraId="76939B8C" w14:textId="77777777" w:rsidTr="005F18CC">
        <w:tc>
          <w:tcPr>
            <w:tcW w:w="2830" w:type="dxa"/>
          </w:tcPr>
          <w:p w14:paraId="45592164" w14:textId="5AF240E9" w:rsidR="00EB3B8B" w:rsidRPr="005F18CC" w:rsidRDefault="00EB3B8B" w:rsidP="00EB2E59">
            <w:pPr>
              <w:pStyle w:val="Style1"/>
              <w:ind w:left="174"/>
              <w:rPr>
                <w:rStyle w:val="Strong"/>
                <w:b w:val="0"/>
              </w:rPr>
            </w:pPr>
            <w:r w:rsidRPr="005F18CC">
              <w:rPr>
                <w:rStyle w:val="Strong"/>
                <w:b w:val="0"/>
              </w:rPr>
              <w:t xml:space="preserve">Appendix </w:t>
            </w:r>
            <w:r w:rsidR="00771751">
              <w:rPr>
                <w:rStyle w:val="Strong"/>
                <w:b w:val="0"/>
              </w:rPr>
              <w:t>J</w:t>
            </w:r>
          </w:p>
        </w:tc>
        <w:tc>
          <w:tcPr>
            <w:tcW w:w="6189" w:type="dxa"/>
          </w:tcPr>
          <w:p w14:paraId="0762DBB6" w14:textId="5D796BD7" w:rsidR="00EB3B8B" w:rsidRPr="00EB2E59" w:rsidRDefault="00EB3B8B" w:rsidP="00EB2E59">
            <w:pPr>
              <w:pStyle w:val="Style1"/>
              <w:ind w:left="174"/>
              <w:rPr>
                <w:rStyle w:val="Strong"/>
                <w:b w:val="0"/>
              </w:rPr>
            </w:pPr>
            <w:r w:rsidRPr="00EB2E59">
              <w:rPr>
                <w:rStyle w:val="Strong"/>
                <w:b w:val="0"/>
              </w:rPr>
              <w:t>Data Model Principles</w:t>
            </w:r>
          </w:p>
        </w:tc>
      </w:tr>
      <w:tr w:rsidR="00EB3B8B" w:rsidRPr="005F18CC" w14:paraId="617BC9BD" w14:textId="77777777" w:rsidTr="005F18CC">
        <w:tc>
          <w:tcPr>
            <w:tcW w:w="2830" w:type="dxa"/>
          </w:tcPr>
          <w:p w14:paraId="17C3402D" w14:textId="11C9880B" w:rsidR="00EB3B8B" w:rsidRPr="005F18CC" w:rsidRDefault="00EB3B8B" w:rsidP="002B6A34">
            <w:pPr>
              <w:pStyle w:val="Style1"/>
              <w:ind w:left="174"/>
              <w:rPr>
                <w:rStyle w:val="Strong"/>
                <w:b w:val="0"/>
              </w:rPr>
            </w:pPr>
            <w:r w:rsidRPr="005F18CC">
              <w:rPr>
                <w:rStyle w:val="Strong"/>
                <w:b w:val="0"/>
              </w:rPr>
              <w:t xml:space="preserve">Appendix </w:t>
            </w:r>
            <w:r w:rsidR="00771751">
              <w:rPr>
                <w:rStyle w:val="Strong"/>
                <w:b w:val="0"/>
              </w:rPr>
              <w:t>K</w:t>
            </w:r>
          </w:p>
        </w:tc>
        <w:tc>
          <w:tcPr>
            <w:tcW w:w="6189" w:type="dxa"/>
          </w:tcPr>
          <w:p w14:paraId="3881AAA2" w14:textId="08984385" w:rsidR="00EB3B8B" w:rsidRPr="00EB2E59" w:rsidRDefault="00EB3B8B" w:rsidP="002B6A34">
            <w:pPr>
              <w:pStyle w:val="Style1"/>
              <w:ind w:left="174"/>
              <w:rPr>
                <w:rStyle w:val="Strong"/>
                <w:b w:val="0"/>
              </w:rPr>
            </w:pPr>
            <w:r w:rsidRPr="00EB2E59">
              <w:rPr>
                <w:rStyle w:val="Strong"/>
                <w:b w:val="0"/>
              </w:rPr>
              <w:t>Data Model</w:t>
            </w:r>
            <w:r>
              <w:rPr>
                <w:rStyle w:val="Strong"/>
                <w:b w:val="0"/>
              </w:rPr>
              <w:t xml:space="preserve"> Description</w:t>
            </w:r>
          </w:p>
        </w:tc>
      </w:tr>
      <w:tr w:rsidR="00EB3B8B" w:rsidRPr="005F18CC" w14:paraId="7F5971FC" w14:textId="77777777" w:rsidTr="005F18CC">
        <w:tc>
          <w:tcPr>
            <w:tcW w:w="2830" w:type="dxa"/>
          </w:tcPr>
          <w:p w14:paraId="36157267" w14:textId="28F13F95" w:rsidR="00EB3B8B" w:rsidRPr="005F18CC" w:rsidRDefault="00EB3B8B" w:rsidP="002B6A34">
            <w:pPr>
              <w:pStyle w:val="Style1"/>
              <w:ind w:left="174"/>
              <w:rPr>
                <w:rStyle w:val="Strong"/>
                <w:b w:val="0"/>
              </w:rPr>
            </w:pPr>
            <w:r w:rsidRPr="005F18CC">
              <w:rPr>
                <w:rStyle w:val="Strong"/>
                <w:b w:val="0"/>
              </w:rPr>
              <w:t xml:space="preserve">Appendix </w:t>
            </w:r>
            <w:r w:rsidR="00DD438A">
              <w:rPr>
                <w:rStyle w:val="Strong"/>
                <w:b w:val="0"/>
              </w:rPr>
              <w:t>L</w:t>
            </w:r>
          </w:p>
        </w:tc>
        <w:tc>
          <w:tcPr>
            <w:tcW w:w="6189" w:type="dxa"/>
          </w:tcPr>
          <w:p w14:paraId="6FD2A6E4" w14:textId="28EEEBA0" w:rsidR="00EB3B8B" w:rsidRPr="00EB2E59" w:rsidRDefault="00EB3B8B" w:rsidP="002B6A34">
            <w:pPr>
              <w:pStyle w:val="Style1"/>
              <w:ind w:left="174"/>
              <w:rPr>
                <w:rStyle w:val="Strong"/>
                <w:b w:val="0"/>
              </w:rPr>
            </w:pPr>
            <w:r w:rsidRPr="00EB2E59">
              <w:rPr>
                <w:rStyle w:val="Strong"/>
                <w:b w:val="0"/>
              </w:rPr>
              <w:t>Data Model Backlog</w:t>
            </w:r>
          </w:p>
        </w:tc>
      </w:tr>
      <w:tr w:rsidR="00EB3B8B" w:rsidRPr="005F18CC" w14:paraId="1356AF76" w14:textId="77777777" w:rsidTr="005F18CC">
        <w:tc>
          <w:tcPr>
            <w:tcW w:w="2830" w:type="dxa"/>
          </w:tcPr>
          <w:p w14:paraId="2576C5D0" w14:textId="24E3797E" w:rsidR="00EB3B8B" w:rsidRPr="005F18CC" w:rsidRDefault="00EB3B8B" w:rsidP="00EB3B8B">
            <w:pPr>
              <w:pStyle w:val="Style1"/>
              <w:ind w:left="174"/>
              <w:rPr>
                <w:rStyle w:val="Strong"/>
                <w:b w:val="0"/>
              </w:rPr>
            </w:pPr>
            <w:r w:rsidRPr="005F18CC">
              <w:rPr>
                <w:rStyle w:val="Strong"/>
                <w:b w:val="0"/>
              </w:rPr>
              <w:t xml:space="preserve">Appendix </w:t>
            </w:r>
            <w:r w:rsidR="00DD438A">
              <w:rPr>
                <w:rStyle w:val="Strong"/>
                <w:b w:val="0"/>
              </w:rPr>
              <w:t>M</w:t>
            </w:r>
          </w:p>
        </w:tc>
        <w:tc>
          <w:tcPr>
            <w:tcW w:w="6189" w:type="dxa"/>
          </w:tcPr>
          <w:p w14:paraId="588F7A61" w14:textId="60131950" w:rsidR="00EB3B8B" w:rsidRPr="00EB2E59" w:rsidRDefault="00EB3B8B" w:rsidP="00EB3B8B">
            <w:pPr>
              <w:pStyle w:val="Style1"/>
              <w:ind w:left="174"/>
              <w:rPr>
                <w:rStyle w:val="Strong"/>
                <w:b w:val="0"/>
              </w:rPr>
            </w:pPr>
            <w:r w:rsidRPr="00EB2E59">
              <w:rPr>
                <w:rStyle w:val="Strong"/>
                <w:b w:val="0"/>
              </w:rPr>
              <w:t>Data Specification Outline</w:t>
            </w:r>
          </w:p>
        </w:tc>
      </w:tr>
      <w:tr w:rsidR="00EB3B8B" w:rsidRPr="005F18CC" w14:paraId="2C76E5EF" w14:textId="77777777" w:rsidTr="005F18CC">
        <w:tc>
          <w:tcPr>
            <w:tcW w:w="2830" w:type="dxa"/>
          </w:tcPr>
          <w:p w14:paraId="7F95FBA2" w14:textId="5D1E858C" w:rsidR="00EB3B8B" w:rsidRPr="005F18CC" w:rsidRDefault="00EB3B8B" w:rsidP="00EB3B8B">
            <w:pPr>
              <w:pStyle w:val="Style1"/>
              <w:ind w:left="174"/>
              <w:rPr>
                <w:rStyle w:val="Strong"/>
                <w:b w:val="0"/>
              </w:rPr>
            </w:pPr>
            <w:r w:rsidRPr="005F18CC">
              <w:rPr>
                <w:rStyle w:val="Strong"/>
                <w:b w:val="0"/>
              </w:rPr>
              <w:t xml:space="preserve">Appendix </w:t>
            </w:r>
            <w:r w:rsidR="00DD438A">
              <w:rPr>
                <w:rStyle w:val="Strong"/>
                <w:b w:val="0"/>
              </w:rPr>
              <w:t>N</w:t>
            </w:r>
          </w:p>
        </w:tc>
        <w:tc>
          <w:tcPr>
            <w:tcW w:w="6189" w:type="dxa"/>
          </w:tcPr>
          <w:p w14:paraId="37E377C7" w14:textId="07642EBD" w:rsidR="00EB3B8B" w:rsidRPr="00EB2E59" w:rsidRDefault="00EB3B8B" w:rsidP="00EB3B8B">
            <w:pPr>
              <w:pStyle w:val="Style1"/>
              <w:ind w:left="174"/>
              <w:rPr>
                <w:rStyle w:val="Strong"/>
                <w:b w:val="0"/>
              </w:rPr>
            </w:pPr>
            <w:r>
              <w:rPr>
                <w:rStyle w:val="Strong"/>
                <w:b w:val="0"/>
              </w:rPr>
              <w:t>Security Controls</w:t>
            </w:r>
          </w:p>
        </w:tc>
      </w:tr>
    </w:tbl>
    <w:p w14:paraId="0055AE03" w14:textId="77777777" w:rsidR="005F18CC" w:rsidRPr="005F18CC" w:rsidRDefault="005F18CC" w:rsidP="005F18CC">
      <w:pPr>
        <w:pStyle w:val="Heading1"/>
        <w:numPr>
          <w:ilvl w:val="0"/>
          <w:numId w:val="0"/>
        </w:numPr>
        <w:rPr>
          <w:sz w:val="32"/>
        </w:rPr>
      </w:pPr>
    </w:p>
    <w:p w14:paraId="56E54D25" w14:textId="77777777" w:rsidR="002F7AA1" w:rsidRPr="002F4D97" w:rsidRDefault="002F7AA1" w:rsidP="002F7AA1">
      <w:pPr>
        <w:pStyle w:val="Heading2"/>
        <w:numPr>
          <w:ilvl w:val="0"/>
          <w:numId w:val="0"/>
        </w:numPr>
        <w:spacing w:after="120"/>
      </w:pPr>
    </w:p>
    <w:p w14:paraId="21846EE4" w14:textId="77777777" w:rsidR="002F7AA1" w:rsidRDefault="002F7AA1" w:rsidP="007D431E">
      <w:pPr>
        <w:pStyle w:val="Heading1"/>
        <w:numPr>
          <w:ilvl w:val="0"/>
          <w:numId w:val="0"/>
        </w:numPr>
        <w:ind w:left="720" w:hanging="720"/>
      </w:pPr>
    </w:p>
    <w:p w14:paraId="0E531ACC" w14:textId="77777777" w:rsidR="00926958" w:rsidRPr="00A74FE3" w:rsidRDefault="00926958" w:rsidP="00AF2BB0">
      <w:pPr>
        <w:tabs>
          <w:tab w:val="left" w:pos="1392"/>
        </w:tabs>
        <w:rPr>
          <w:rFonts w:eastAsia="STZhongsong"/>
          <w:szCs w:val="20"/>
        </w:rPr>
      </w:pPr>
    </w:p>
    <w:sectPr w:rsidR="00926958" w:rsidRPr="00A74FE3" w:rsidSect="00703BFD">
      <w:headerReference w:type="default" r:id="rId18"/>
      <w:footerReference w:type="default" r:id="rId19"/>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A8AB3" w14:textId="77777777" w:rsidR="003F4DE4" w:rsidRDefault="003F4DE4">
      <w:pPr>
        <w:spacing w:line="20" w:lineRule="exact"/>
      </w:pPr>
    </w:p>
  </w:endnote>
  <w:endnote w:type="continuationSeparator" w:id="0">
    <w:p w14:paraId="5D7BD140" w14:textId="77777777" w:rsidR="003F4DE4" w:rsidRDefault="003F4DE4">
      <w:pPr>
        <w:spacing w:line="20" w:lineRule="exact"/>
      </w:pPr>
      <w:r>
        <w:t xml:space="preserve"> </w:t>
      </w:r>
    </w:p>
  </w:endnote>
  <w:endnote w:type="continuationNotice" w:id="1">
    <w:p w14:paraId="06E8D0DE" w14:textId="77777777" w:rsidR="003F4DE4" w:rsidRDefault="003F4DE4">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713824"/>
      <w:docPartObj>
        <w:docPartGallery w:val="Page Numbers (Bottom of Page)"/>
        <w:docPartUnique/>
      </w:docPartObj>
    </w:sdtPr>
    <w:sdtEndPr>
      <w:rPr>
        <w:noProof/>
      </w:rPr>
    </w:sdtEndPr>
    <w:sdtContent>
      <w:p w14:paraId="5E3BDC75" w14:textId="030527A3" w:rsidR="006447A5" w:rsidRDefault="006447A5" w:rsidP="00985B4D">
        <w:pPr>
          <w:pStyle w:val="Footer"/>
          <w:jc w:val="center"/>
        </w:pPr>
        <w:r>
          <w:rPr>
            <w:noProof/>
            <w:lang w:eastAsia="en-GB"/>
          </w:rPr>
          <mc:AlternateContent>
            <mc:Choice Requires="wps">
              <w:drawing>
                <wp:anchor distT="0" distB="0" distL="114300" distR="114300" simplePos="0" relativeHeight="251658240" behindDoc="0" locked="0" layoutInCell="1" allowOverlap="1" wp14:anchorId="77CE4AA3" wp14:editId="0678E03F">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CDB84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mc:Fallback>
          </mc:AlternateContent>
        </w:r>
      </w:p>
      <w:p w14:paraId="6318F05F" w14:textId="39855BD5" w:rsidR="006447A5" w:rsidRPr="00985B4D" w:rsidRDefault="006447A5" w:rsidP="00985B4D">
        <w:pPr>
          <w:pStyle w:val="Footer"/>
          <w:jc w:val="center"/>
          <w:rPr>
            <w:sz w:val="20"/>
            <w:szCs w:val="20"/>
          </w:rPr>
        </w:pPr>
        <w:r w:rsidRPr="00985B4D">
          <w:rPr>
            <w:sz w:val="20"/>
            <w:szCs w:val="20"/>
          </w:rPr>
          <w:t>OFFICIAL</w:t>
        </w:r>
      </w:p>
      <w:p w14:paraId="7F67DA18" w14:textId="0BDE73F0" w:rsidR="006447A5" w:rsidRPr="00222537" w:rsidRDefault="006447A5">
        <w:pPr>
          <w:pStyle w:val="Footer"/>
          <w:rPr>
            <w:sz w:val="20"/>
            <w:szCs w:val="20"/>
          </w:rPr>
        </w:pPr>
        <w:r w:rsidRPr="00222537">
          <w:rPr>
            <w:sz w:val="20"/>
            <w:szCs w:val="20"/>
          </w:rPr>
          <w:t>A</w:t>
        </w:r>
        <w:r w:rsidR="007371D7">
          <w:rPr>
            <w:sz w:val="20"/>
            <w:szCs w:val="20"/>
          </w:rPr>
          <w:t>nnex 2</w:t>
        </w:r>
        <w:r w:rsidRPr="00222537">
          <w:rPr>
            <w:sz w:val="20"/>
            <w:szCs w:val="20"/>
          </w:rPr>
          <w:t xml:space="preserve"> – Statement of Requirements</w:t>
        </w:r>
      </w:p>
      <w:p w14:paraId="5D89FCCB" w14:textId="3A7D7F8D" w:rsidR="006447A5" w:rsidRDefault="006447A5">
        <w:pPr>
          <w:pStyle w:val="Footer"/>
          <w:rPr>
            <w:sz w:val="20"/>
            <w:szCs w:val="20"/>
          </w:rPr>
        </w:pPr>
        <w:r w:rsidRPr="00222537">
          <w:rPr>
            <w:sz w:val="20"/>
            <w:szCs w:val="20"/>
          </w:rPr>
          <w:t>Jack Lewis</w:t>
        </w:r>
      </w:p>
      <w:p w14:paraId="1CB7D5DC" w14:textId="19129C8E" w:rsidR="006447A5" w:rsidRPr="001A45DF" w:rsidRDefault="006447A5">
        <w:pPr>
          <w:pStyle w:val="Footer"/>
          <w:rPr>
            <w:sz w:val="20"/>
            <w:szCs w:val="20"/>
          </w:rPr>
        </w:pPr>
        <w:r w:rsidRPr="001A45DF">
          <w:rPr>
            <w:rFonts w:cs="Arial"/>
            <w:color w:val="222222"/>
            <w:sz w:val="20"/>
            <w:szCs w:val="20"/>
            <w:shd w:val="clear" w:color="auto" w:fill="FFFFFF"/>
          </w:rPr>
          <w:t>© Crown copyright 2018</w:t>
        </w:r>
      </w:p>
      <w:p w14:paraId="42D6E6E6" w14:textId="20ED627C" w:rsidR="006447A5" w:rsidRPr="00985B4D" w:rsidRDefault="006447A5" w:rsidP="00985B4D">
        <w:pPr>
          <w:pStyle w:val="Footer"/>
          <w:jc w:val="right"/>
          <w:rPr>
            <w:sz w:val="20"/>
            <w:szCs w:val="20"/>
          </w:rPr>
        </w:pPr>
        <w:r>
          <w:rPr>
            <w:sz w:val="20"/>
            <w:szCs w:val="20"/>
          </w:rPr>
          <w:t>V1.0</w:t>
        </w:r>
        <w:r w:rsidR="00463F70">
          <w:rPr>
            <w:sz w:val="20"/>
            <w:szCs w:val="20"/>
          </w:rPr>
          <w:t xml:space="preserve"> 07</w:t>
        </w:r>
        <w:r>
          <w:rPr>
            <w:sz w:val="20"/>
            <w:szCs w:val="20"/>
          </w:rPr>
          <w:t>/05</w:t>
        </w:r>
        <w:r w:rsidRPr="00222537">
          <w:rPr>
            <w:sz w:val="20"/>
            <w:szCs w:val="20"/>
          </w:rPr>
          <w:t>/2021</w:t>
        </w:r>
      </w:p>
      <w:p w14:paraId="5214230D" w14:textId="79CD3CBF" w:rsidR="006447A5" w:rsidRDefault="006447A5"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2C4DC7">
          <w:rPr>
            <w:noProof/>
            <w:sz w:val="20"/>
            <w:szCs w:val="20"/>
          </w:rPr>
          <w:t>46</w:t>
        </w:r>
        <w:r w:rsidRPr="00985B4D">
          <w:rPr>
            <w:noProof/>
            <w:sz w:val="20"/>
            <w:szCs w:val="20"/>
          </w:rPr>
          <w:fldChar w:fldCharType="end"/>
        </w:r>
      </w:p>
    </w:sdtContent>
  </w:sdt>
  <w:p w14:paraId="6CEF1DBF" w14:textId="77777777" w:rsidR="006447A5" w:rsidRPr="002933F8" w:rsidRDefault="006447A5" w:rsidP="00293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3B83C" w14:textId="77777777" w:rsidR="003F4DE4" w:rsidRDefault="003F4DE4">
      <w:r>
        <w:separator/>
      </w:r>
    </w:p>
  </w:footnote>
  <w:footnote w:type="continuationSeparator" w:id="0">
    <w:p w14:paraId="60DD3AD0" w14:textId="77777777" w:rsidR="003F4DE4" w:rsidRDefault="003F4DE4">
      <w:r>
        <w:continuationSeparator/>
      </w:r>
    </w:p>
  </w:footnote>
  <w:footnote w:type="continuationNotice" w:id="1">
    <w:p w14:paraId="2D229C26" w14:textId="77777777" w:rsidR="003F4DE4" w:rsidRDefault="003F4DE4"/>
  </w:footnote>
  <w:footnote w:id="2">
    <w:p w14:paraId="7DE1BB7D" w14:textId="6E9C6AB6" w:rsidR="006447A5" w:rsidRDefault="006447A5" w:rsidP="008D6A97">
      <w:pPr>
        <w:pStyle w:val="FootnoteText"/>
        <w:ind w:left="0" w:firstLine="0"/>
        <w:jc w:val="left"/>
      </w:pPr>
      <w:r>
        <w:rPr>
          <w:rStyle w:val="FootnoteReference"/>
        </w:rPr>
        <w:footnoteRef/>
      </w:r>
      <w:r>
        <w:t xml:space="preserve"> </w:t>
      </w:r>
      <w:r w:rsidRPr="008D6A97">
        <w:rPr>
          <w:rFonts w:ascii="Helvetica" w:hAnsi="Helvetica"/>
          <w:color w:val="3C4043"/>
          <w:spacing w:val="3"/>
          <w:szCs w:val="16"/>
          <w:shd w:val="clear" w:color="auto" w:fill="FFFFFF"/>
        </w:rPr>
        <w:t>Cabinet Office. 2018. An Initial Analysis of the Potential</w:t>
      </w:r>
      <w:r w:rsidRPr="008D6A97">
        <w:rPr>
          <w:rFonts w:ascii="Helvetica" w:hAnsi="Helvetica"/>
          <w:color w:val="3C4043"/>
          <w:spacing w:val="3"/>
          <w:szCs w:val="16"/>
        </w:rPr>
        <w:t xml:space="preserve"> </w:t>
      </w:r>
      <w:r w:rsidRPr="008D6A97">
        <w:rPr>
          <w:rFonts w:ascii="Helvetica" w:hAnsi="Helvetica"/>
          <w:color w:val="3C4043"/>
          <w:spacing w:val="3"/>
          <w:szCs w:val="16"/>
          <w:shd w:val="clear" w:color="auto" w:fill="FFFFFF"/>
        </w:rPr>
        <w:t>Geospatial Economic Opportunity. Available online.</w:t>
      </w:r>
    </w:p>
  </w:footnote>
  <w:footnote w:id="3">
    <w:p w14:paraId="5275F500" w14:textId="6EEBA106" w:rsidR="006447A5" w:rsidRPr="008D6A97" w:rsidRDefault="006447A5" w:rsidP="008D6A97">
      <w:pPr>
        <w:pStyle w:val="FootnoteText"/>
        <w:ind w:left="0" w:firstLine="0"/>
        <w:rPr>
          <w:szCs w:val="16"/>
        </w:rPr>
      </w:pPr>
      <w:r>
        <w:rPr>
          <w:rStyle w:val="FootnoteReference"/>
        </w:rPr>
        <w:footnoteRef/>
      </w:r>
      <w:r>
        <w:t xml:space="preserve"> </w:t>
      </w:r>
      <w:r w:rsidRPr="008D6A97">
        <w:rPr>
          <w:rFonts w:ascii="Helvetica" w:hAnsi="Helvetica"/>
          <w:color w:val="3C4043"/>
          <w:spacing w:val="3"/>
          <w:szCs w:val="16"/>
          <w:shd w:val="clear" w:color="auto" w:fill="FFFFFF"/>
        </w:rPr>
        <w:t>Cabinet Office. 2019. Call for Evidence - Submitted Responses. Available online.</w:t>
      </w:r>
    </w:p>
  </w:footnote>
  <w:footnote w:id="4">
    <w:p w14:paraId="20AAE410" w14:textId="1AAADF29" w:rsidR="006447A5" w:rsidRPr="00CA4F74" w:rsidRDefault="006447A5" w:rsidP="00CA4F74">
      <w:pPr>
        <w:pStyle w:val="FootnoteText"/>
        <w:ind w:left="0" w:firstLine="0"/>
        <w:rPr>
          <w:szCs w:val="16"/>
        </w:rPr>
      </w:pPr>
      <w:r>
        <w:rPr>
          <w:rStyle w:val="FootnoteReference"/>
        </w:rPr>
        <w:footnoteRef/>
      </w:r>
      <w:r>
        <w:t xml:space="preserve"> </w:t>
      </w:r>
      <w:r w:rsidRPr="00CA4F74">
        <w:rPr>
          <w:rFonts w:ascii="Helvetica" w:hAnsi="Helvetica"/>
          <w:color w:val="3C4043"/>
          <w:spacing w:val="3"/>
          <w:szCs w:val="16"/>
          <w:shd w:val="clear" w:color="auto" w:fill="FFFFFF"/>
        </w:rPr>
        <w:t>Likhari, Rimaljit et al. 2017 Mapping underground assets in the UK: Project Iceberg. Work Package 1, market research into current state of play and global case studies. British Geological Survey, 72pp. (OR/17/052)</w:t>
      </w:r>
    </w:p>
  </w:footnote>
  <w:footnote w:id="5">
    <w:p w14:paraId="6257FA73" w14:textId="47071130" w:rsidR="006447A5" w:rsidRDefault="006447A5">
      <w:pPr>
        <w:pStyle w:val="FootnoteText"/>
      </w:pPr>
      <w:r>
        <w:rPr>
          <w:rStyle w:val="FootnoteReference"/>
        </w:rPr>
        <w:footnoteRef/>
      </w:r>
      <w:r>
        <w:t xml:space="preserve"> </w:t>
      </w:r>
      <w:r w:rsidRPr="006635E7">
        <w:rPr>
          <w:rFonts w:ascii="Helvetica" w:hAnsi="Helvetica"/>
          <w:color w:val="3C4043"/>
          <w:spacing w:val="3"/>
          <w:szCs w:val="16"/>
          <w:shd w:val="clear" w:color="auto" w:fill="FFFFFF"/>
        </w:rPr>
        <w:t>Cabinet Office, 2020. Unlocking the power of location:</w:t>
      </w:r>
      <w:r>
        <w:rPr>
          <w:rFonts w:ascii="Helvetica" w:hAnsi="Helvetica"/>
          <w:color w:val="3C4043"/>
          <w:spacing w:val="3"/>
          <w:szCs w:val="16"/>
          <w:shd w:val="clear" w:color="auto" w:fill="FFFFFF"/>
        </w:rPr>
        <w:t xml:space="preserve"> </w:t>
      </w:r>
      <w:r w:rsidRPr="006635E7">
        <w:rPr>
          <w:rFonts w:ascii="Helvetica" w:hAnsi="Helvetica"/>
          <w:color w:val="3C4043"/>
          <w:spacing w:val="3"/>
          <w:szCs w:val="16"/>
          <w:shd w:val="clear" w:color="auto" w:fill="FFFFFF"/>
        </w:rPr>
        <w:t>The UK’s geospatial strategy. Available online.</w:t>
      </w:r>
    </w:p>
  </w:footnote>
  <w:footnote w:id="6">
    <w:p w14:paraId="51D1D46A" w14:textId="56FFD903" w:rsidR="006447A5" w:rsidRDefault="006447A5">
      <w:pPr>
        <w:pStyle w:val="FootnoteText"/>
      </w:pPr>
      <w:r>
        <w:rPr>
          <w:rStyle w:val="FootnoteReference"/>
        </w:rPr>
        <w:footnoteRef/>
      </w:r>
      <w:r>
        <w:t xml:space="preserve"> HM Treasury, 2020. National Infrastructure Strategy. Available online</w:t>
      </w:r>
    </w:p>
  </w:footnote>
  <w:footnote w:id="7">
    <w:p w14:paraId="06331C13" w14:textId="1CEA22E3" w:rsidR="006447A5" w:rsidRDefault="006447A5">
      <w:pPr>
        <w:pStyle w:val="FootnoteText"/>
      </w:pPr>
      <w:r>
        <w:rPr>
          <w:rStyle w:val="FootnoteReference"/>
        </w:rPr>
        <w:footnoteRef/>
      </w:r>
      <w:r>
        <w:t xml:space="preserve"> The Customer will source base map data</w:t>
      </w:r>
    </w:p>
  </w:footnote>
  <w:footnote w:id="8">
    <w:p w14:paraId="382950B0" w14:textId="04968F3D" w:rsidR="006447A5" w:rsidRDefault="006447A5">
      <w:pPr>
        <w:pStyle w:val="FootnoteText"/>
      </w:pPr>
      <w:r>
        <w:rPr>
          <w:rStyle w:val="FootnoteReference"/>
        </w:rPr>
        <w:footnoteRef/>
      </w:r>
      <w:r>
        <w:t xml:space="preserve"> Scotland is currently using the VAULT system so it is out of scope for this requirement</w:t>
      </w:r>
    </w:p>
  </w:footnote>
  <w:footnote w:id="9">
    <w:p w14:paraId="09053051" w14:textId="4A624989" w:rsidR="006447A5" w:rsidRDefault="006447A5">
      <w:pPr>
        <w:pStyle w:val="FootnoteText"/>
      </w:pPr>
      <w:r>
        <w:rPr>
          <w:rStyle w:val="FootnoteReference"/>
        </w:rPr>
        <w:footnoteRef/>
      </w:r>
      <w:r>
        <w:t xml:space="preserve"> </w:t>
      </w:r>
      <w:hyperlink r:id="rId1" w:history="1">
        <w:r>
          <w:rPr>
            <w:rStyle w:val="Hyperlink"/>
          </w:rPr>
          <w:t>https://geoportal.statistics.gov.uk/datasets/nuts-level-1-january-2018-names-and-codes-in-the-united-kingdom/data</w:t>
        </w:r>
      </w:hyperlink>
    </w:p>
  </w:footnote>
  <w:footnote w:id="10">
    <w:p w14:paraId="2271E121" w14:textId="110AF8AB" w:rsidR="006447A5" w:rsidRDefault="006447A5">
      <w:pPr>
        <w:pStyle w:val="FootnoteText"/>
      </w:pPr>
      <w:r>
        <w:rPr>
          <w:rStyle w:val="FootnoteReference"/>
        </w:rPr>
        <w:footnoteRef/>
      </w:r>
      <w:r>
        <w:t xml:space="preserve"> </w:t>
      </w:r>
      <w:hyperlink r:id="rId2" w:history="1">
        <w:r>
          <w:rPr>
            <w:rStyle w:val="Hyperlink"/>
            <w:rFonts w:cs="Arial"/>
            <w:color w:val="1155CC"/>
            <w:sz w:val="20"/>
          </w:rPr>
          <w:t>https://www.ncsc.gov.uk/collection/saas-security/saas-security-principles</w:t>
        </w:r>
      </w:hyperlink>
    </w:p>
  </w:footnote>
  <w:footnote w:id="11">
    <w:p w14:paraId="7A89909A" w14:textId="1FD10B23" w:rsidR="006447A5" w:rsidRDefault="006447A5">
      <w:pPr>
        <w:pStyle w:val="FootnoteText"/>
      </w:pPr>
      <w:r>
        <w:rPr>
          <w:rStyle w:val="FootnoteReference"/>
        </w:rPr>
        <w:footnoteRef/>
      </w:r>
      <w:r>
        <w:t xml:space="preserve"> </w:t>
      </w:r>
      <w:hyperlink r:id="rId3" w:history="1">
        <w:r>
          <w:rPr>
            <w:rStyle w:val="Hyperlink"/>
            <w:rFonts w:cs="Arial"/>
            <w:color w:val="1155CC"/>
            <w:sz w:val="20"/>
          </w:rPr>
          <w:t>http://portal.opengeospatial.org/files/?artifact_id=39967</w:t>
        </w:r>
      </w:hyperlink>
    </w:p>
  </w:footnote>
  <w:footnote w:id="12">
    <w:p w14:paraId="245FB5CA" w14:textId="39253909" w:rsidR="006447A5" w:rsidRDefault="006447A5">
      <w:pPr>
        <w:pStyle w:val="FootnoteText"/>
      </w:pPr>
      <w:r>
        <w:rPr>
          <w:rStyle w:val="FootnoteReference"/>
        </w:rPr>
        <w:footnoteRef/>
      </w:r>
      <w:r>
        <w:t xml:space="preserve"> </w:t>
      </w:r>
      <w:hyperlink r:id="rId4" w:history="1">
        <w:r>
          <w:rPr>
            <w:rStyle w:val="Hyperlink"/>
            <w:rFonts w:cs="Arial"/>
            <w:color w:val="1155CC"/>
            <w:sz w:val="20"/>
          </w:rPr>
          <w:t>http://portal.opengeospatial.org/files/?artifact_id=14416</w:t>
        </w:r>
      </w:hyperlink>
    </w:p>
  </w:footnote>
  <w:footnote w:id="13">
    <w:p w14:paraId="20E7AD05" w14:textId="62049FDD" w:rsidR="006447A5" w:rsidRDefault="006447A5">
      <w:pPr>
        <w:pStyle w:val="FootnoteText"/>
      </w:pPr>
      <w:r>
        <w:rPr>
          <w:rStyle w:val="FootnoteReference"/>
        </w:rPr>
        <w:footnoteRef/>
      </w:r>
      <w:r>
        <w:t xml:space="preserve"> </w:t>
      </w:r>
      <w:hyperlink r:id="rId5" w:history="1">
        <w:r>
          <w:rPr>
            <w:rStyle w:val="Hyperlink"/>
            <w:rFonts w:cs="Arial"/>
            <w:color w:val="1155CC"/>
            <w:sz w:val="20"/>
          </w:rPr>
          <w:t>http://portal.opengeospatial.org/files/?artifact_id=35326</w:t>
        </w:r>
      </w:hyperlink>
    </w:p>
  </w:footnote>
  <w:footnote w:id="14">
    <w:p w14:paraId="26905835" w14:textId="636CE23F" w:rsidR="006447A5" w:rsidRDefault="006447A5">
      <w:pPr>
        <w:pStyle w:val="FootnoteText"/>
      </w:pPr>
      <w:r>
        <w:rPr>
          <w:rStyle w:val="FootnoteReference"/>
        </w:rPr>
        <w:footnoteRef/>
      </w:r>
      <w:r>
        <w:t xml:space="preserve"> </w:t>
      </w:r>
      <w:hyperlink r:id="rId6" w:history="1">
        <w:r>
          <w:rPr>
            <w:rStyle w:val="Hyperlink"/>
            <w:rFonts w:cs="Arial"/>
            <w:color w:val="1155CC"/>
            <w:sz w:val="20"/>
          </w:rPr>
          <w:t>http://docs.opengeospatial.org/is/17-069r3/17-069r3.html</w:t>
        </w:r>
      </w:hyperlink>
    </w:p>
  </w:footnote>
  <w:footnote w:id="15">
    <w:p w14:paraId="1800C3DE" w14:textId="24E4EF19" w:rsidR="006447A5" w:rsidRDefault="006447A5">
      <w:pPr>
        <w:pStyle w:val="FootnoteText"/>
      </w:pPr>
      <w:r>
        <w:rPr>
          <w:rStyle w:val="FootnoteReference"/>
        </w:rPr>
        <w:footnoteRef/>
      </w:r>
      <w:r>
        <w:t xml:space="preserve"> </w:t>
      </w:r>
      <w:r>
        <w:rPr>
          <w:rFonts w:cs="Arial"/>
          <w:color w:val="000000"/>
          <w:sz w:val="20"/>
        </w:rPr>
        <w:t> </w:t>
      </w:r>
      <w:hyperlink r:id="rId7" w:history="1">
        <w:r w:rsidRPr="002C5C08">
          <w:rPr>
            <w:rStyle w:val="Hyperlink"/>
            <w:rFonts w:cs="Arial"/>
            <w:color w:val="1155CC"/>
            <w:sz w:val="20"/>
            <w:szCs w:val="22"/>
          </w:rPr>
          <w:t>https://www.gov.uk/guidance/gds-api-technical-and-data-standards</w:t>
        </w:r>
      </w:hyperlink>
    </w:p>
  </w:footnote>
  <w:footnote w:id="16">
    <w:p w14:paraId="7109A8B8" w14:textId="326633D6" w:rsidR="006447A5" w:rsidRDefault="006447A5">
      <w:pPr>
        <w:pStyle w:val="FootnoteText"/>
      </w:pPr>
      <w:r>
        <w:rPr>
          <w:rStyle w:val="FootnoteReference"/>
        </w:rPr>
        <w:footnoteRef/>
      </w:r>
      <w:r>
        <w:t xml:space="preserve"> </w:t>
      </w:r>
      <w:hyperlink r:id="rId8" w:history="1">
        <w:r>
          <w:rPr>
            <w:rStyle w:val="Hyperlink"/>
            <w:rFonts w:cs="Arial"/>
            <w:color w:val="1155CC"/>
            <w:sz w:val="20"/>
          </w:rPr>
          <w:t>https://docs.ogc.org/per/17-090r1.html</w:t>
        </w:r>
      </w:hyperlink>
    </w:p>
  </w:footnote>
  <w:footnote w:id="17">
    <w:p w14:paraId="7556324D" w14:textId="77777777" w:rsidR="006447A5" w:rsidRDefault="006447A5" w:rsidP="00FB5DAA">
      <w:pPr>
        <w:pStyle w:val="FootnoteText"/>
      </w:pPr>
      <w:r>
        <w:rPr>
          <w:rStyle w:val="FootnoteReference"/>
        </w:rPr>
        <w:footnoteRef/>
      </w:r>
      <w:r w:rsidRPr="002C5C08">
        <w:rPr>
          <w:sz w:val="20"/>
        </w:rPr>
        <w:t xml:space="preserve"> </w:t>
      </w:r>
      <w:hyperlink r:id="rId9" w:history="1">
        <w:r w:rsidRPr="002C5C08">
          <w:rPr>
            <w:rStyle w:val="Hyperlink"/>
            <w:sz w:val="20"/>
          </w:rPr>
          <w:t>https://www.gov.uk/service-manual/technology/designing-for-different-browsers-and-devices</w:t>
        </w:r>
      </w:hyperlink>
    </w:p>
  </w:footnote>
  <w:footnote w:id="18">
    <w:p w14:paraId="162D8F16" w14:textId="5772410D" w:rsidR="006447A5" w:rsidRDefault="006447A5">
      <w:pPr>
        <w:pStyle w:val="FootnoteText"/>
      </w:pPr>
      <w:r>
        <w:rPr>
          <w:rStyle w:val="FootnoteReference"/>
        </w:rPr>
        <w:footnoteRef/>
      </w:r>
      <w:r>
        <w:t xml:space="preserve"> </w:t>
      </w:r>
      <w:hyperlink r:id="rId10" w:history="1">
        <w:r w:rsidRPr="00A00DD1">
          <w:rPr>
            <w:rStyle w:val="Hyperlink"/>
            <w:rFonts w:cs="Arial"/>
            <w:color w:val="1155CC"/>
            <w:sz w:val="20"/>
            <w:szCs w:val="22"/>
          </w:rPr>
          <w:t>https://www.legislation.gov.uk/uksi/2003/2426</w:t>
        </w:r>
      </w:hyperlink>
    </w:p>
  </w:footnote>
  <w:footnote w:id="19">
    <w:p w14:paraId="03C8117A" w14:textId="70A749AB" w:rsidR="006447A5" w:rsidRDefault="006447A5">
      <w:pPr>
        <w:pStyle w:val="FootnoteText"/>
      </w:pPr>
      <w:r>
        <w:rPr>
          <w:rStyle w:val="FootnoteReference"/>
        </w:rPr>
        <w:footnoteRef/>
      </w:r>
      <w:r>
        <w:t xml:space="preserve"> </w:t>
      </w:r>
      <w:hyperlink r:id="rId11" w:history="1">
        <w:r w:rsidRPr="00164F36">
          <w:rPr>
            <w:rStyle w:val="Hyperlink"/>
            <w:sz w:val="18"/>
          </w:rPr>
          <w:t>https://www.gov.uk/government/publications/united-kingdom-security-vetting-clearance-levels</w:t>
        </w:r>
      </w:hyperlink>
    </w:p>
  </w:footnote>
  <w:footnote w:id="20">
    <w:p w14:paraId="0CE9C3A9" w14:textId="13994BBC" w:rsidR="006447A5" w:rsidRDefault="006447A5">
      <w:pPr>
        <w:pStyle w:val="FootnoteText"/>
      </w:pPr>
      <w:r>
        <w:rPr>
          <w:rStyle w:val="FootnoteReference"/>
        </w:rPr>
        <w:footnoteRef/>
      </w:r>
      <w:r w:rsidRPr="00164F36">
        <w:rPr>
          <w:sz w:val="12"/>
        </w:rPr>
        <w:t xml:space="preserve"> </w:t>
      </w:r>
      <w:hyperlink r:id="rId12" w:history="1">
        <w:r w:rsidRPr="00164F36">
          <w:rPr>
            <w:rStyle w:val="Hyperlink"/>
            <w:sz w:val="20"/>
          </w:rPr>
          <w:t>https://www.cpni.gov.uk/employment-screening</w:t>
        </w:r>
      </w:hyperlink>
    </w:p>
  </w:footnote>
  <w:footnote w:id="21">
    <w:p w14:paraId="5E1B32CD" w14:textId="1785F5F0" w:rsidR="006447A5" w:rsidRDefault="006447A5">
      <w:pPr>
        <w:pStyle w:val="FootnoteText"/>
      </w:pPr>
      <w:r>
        <w:rPr>
          <w:rStyle w:val="FootnoteReference"/>
        </w:rPr>
        <w:footnoteRef/>
      </w:r>
      <w:r>
        <w:t xml:space="preserve"> </w:t>
      </w:r>
      <w:r>
        <w:rPr>
          <w:rFonts w:cs="Arial"/>
          <w:color w:val="000000"/>
          <w:sz w:val="20"/>
        </w:rPr>
        <w:t> </w:t>
      </w:r>
      <w:hyperlink r:id="rId13" w:history="1">
        <w:r>
          <w:rPr>
            <w:rStyle w:val="Hyperlink"/>
            <w:rFonts w:cs="Arial"/>
            <w:color w:val="1155CC"/>
            <w:sz w:val="20"/>
          </w:rPr>
          <w:t>https://www.ncsc.gov.uk/guidance/pattern-safely-importing-data</w:t>
        </w:r>
      </w:hyperlink>
    </w:p>
  </w:footnote>
  <w:footnote w:id="22">
    <w:p w14:paraId="3DD012E0" w14:textId="577F2697" w:rsidR="006447A5" w:rsidRDefault="006447A5" w:rsidP="00E91BCE">
      <w:pPr>
        <w:pStyle w:val="FootnoteText"/>
        <w:ind w:left="284" w:hanging="284"/>
      </w:pPr>
      <w:r>
        <w:rPr>
          <w:rStyle w:val="FootnoteReference"/>
        </w:rPr>
        <w:footnoteRef/>
      </w:r>
      <w:r>
        <w:t xml:space="preserve"> </w:t>
      </w:r>
      <w:hyperlink r:id="rId14" w:history="1">
        <w:r>
          <w:rPr>
            <w:rStyle w:val="Hyperlink"/>
            <w:rFonts w:cs="Arial"/>
            <w:color w:val="1155CC"/>
            <w:sz w:val="20"/>
          </w:rPr>
          <w:t>https://www.ncsc.gov.uk/collection/secure-system-administration/risk-manage-administration-using-tiers</w:t>
        </w:r>
      </w:hyperlink>
    </w:p>
  </w:footnote>
  <w:footnote w:id="23">
    <w:p w14:paraId="386E385C" w14:textId="75E0A4AB" w:rsidR="006447A5" w:rsidRDefault="006447A5" w:rsidP="00E91BCE">
      <w:pPr>
        <w:pStyle w:val="FootnoteText"/>
        <w:ind w:left="284" w:hanging="284"/>
      </w:pPr>
      <w:r>
        <w:rPr>
          <w:rStyle w:val="FootnoteReference"/>
        </w:rPr>
        <w:footnoteRef/>
      </w:r>
      <w:r>
        <w:t xml:space="preserve"> </w:t>
      </w:r>
      <w:hyperlink r:id="rId15" w:history="1">
        <w:r>
          <w:rPr>
            <w:rStyle w:val="Hyperlink"/>
            <w:rFonts w:cs="Arial"/>
            <w:color w:val="1155CC"/>
            <w:sz w:val="20"/>
          </w:rPr>
          <w:t>https://www.ncsc.gov.uk/collection/denial-service-dos-guidance-collection/preparing-denial-service-dos-attacks1</w:t>
        </w:r>
      </w:hyperlink>
    </w:p>
  </w:footnote>
  <w:footnote w:id="24">
    <w:p w14:paraId="7287113A" w14:textId="362B6203" w:rsidR="006447A5" w:rsidRDefault="006447A5">
      <w:pPr>
        <w:pStyle w:val="FootnoteText"/>
      </w:pPr>
      <w:r>
        <w:rPr>
          <w:rStyle w:val="FootnoteReference"/>
        </w:rPr>
        <w:footnoteRef/>
      </w:r>
      <w:r>
        <w:t xml:space="preserve"> </w:t>
      </w:r>
      <w:hyperlink r:id="rId16" w:history="1">
        <w:r>
          <w:rPr>
            <w:rStyle w:val="Hyperlink"/>
            <w:rFonts w:cs="Arial"/>
            <w:color w:val="1155CC"/>
            <w:sz w:val="20"/>
          </w:rPr>
          <w:t>https://www.ncsc.gov.uk/guidance/mitigating-malware-and-ransomware-attacks</w:t>
        </w:r>
      </w:hyperlink>
    </w:p>
  </w:footnote>
  <w:footnote w:id="25">
    <w:p w14:paraId="480F6811" w14:textId="3F345F4D" w:rsidR="006447A5" w:rsidRDefault="006447A5">
      <w:pPr>
        <w:pStyle w:val="FootnoteText"/>
      </w:pPr>
      <w:r>
        <w:rPr>
          <w:rStyle w:val="FootnoteReference"/>
        </w:rPr>
        <w:footnoteRef/>
      </w:r>
      <w:r>
        <w:t xml:space="preserve"> </w:t>
      </w:r>
      <w:hyperlink r:id="rId17" w:history="1">
        <w:r>
          <w:rPr>
            <w:rStyle w:val="Hyperlink"/>
            <w:rFonts w:cs="Arial"/>
            <w:color w:val="1155CC"/>
            <w:sz w:val="20"/>
          </w:rPr>
          <w:t>https://www.ncsc.gov.uk/information/secure-default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B3446" w14:textId="1C5596A0" w:rsidR="006447A5" w:rsidRPr="009D0EAE" w:rsidRDefault="006447A5" w:rsidP="00F946AC">
    <w:pPr>
      <w:pStyle w:val="Header"/>
      <w:jc w:val="center"/>
      <w:rPr>
        <w:rFonts w:cs="Arial"/>
        <w:sz w:val="20"/>
        <w:szCs w:val="20"/>
        <w:highlight w:val="yellow"/>
      </w:rPr>
    </w:pPr>
  </w:p>
  <w:p w14:paraId="6F1572B1" w14:textId="4D54AA85" w:rsidR="006447A5" w:rsidRPr="00074357" w:rsidRDefault="006447A5" w:rsidP="000743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29D4814"/>
    <w:multiLevelType w:val="multilevel"/>
    <w:tmpl w:val="B78C0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FF7771A"/>
    <w:multiLevelType w:val="hybridMultilevel"/>
    <w:tmpl w:val="0000436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3"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4"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5"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6"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7" w15:restartNumberingAfterBreak="0">
    <w:nsid w:val="2F58729E"/>
    <w:multiLevelType w:val="multilevel"/>
    <w:tmpl w:val="B1A6B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9"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0"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B6C2C5C"/>
    <w:multiLevelType w:val="multilevel"/>
    <w:tmpl w:val="1332CCD4"/>
    <w:name w:val="Plato Schedule Numbering List"/>
    <w:numStyleLink w:val="111111"/>
  </w:abstractNum>
  <w:abstractNum w:abstractNumId="23" w15:restartNumberingAfterBreak="0">
    <w:nsid w:val="50965CCA"/>
    <w:multiLevelType w:val="multilevel"/>
    <w:tmpl w:val="1332CCD4"/>
    <w:name w:val="Appendicies Heading List"/>
    <w:numStyleLink w:val="111111"/>
  </w:abstractNum>
  <w:abstractNum w:abstractNumId="24" w15:restartNumberingAfterBreak="0">
    <w:nsid w:val="51200365"/>
    <w:multiLevelType w:val="multilevel"/>
    <w:tmpl w:val="09A0ABD4"/>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ascii="Arial" w:hAnsi="Arial" w:cs="Arial" w:hint="default"/>
        <w:caps w:val="0"/>
        <w:sz w:val="24"/>
        <w:szCs w:val="24"/>
        <w:effect w:val="none"/>
      </w:rPr>
    </w:lvl>
    <w:lvl w:ilvl="2">
      <w:start w:val="1"/>
      <w:numFmt w:val="decimal"/>
      <w:pStyle w:val="Heading3"/>
      <w:lvlText w:val="%1.%2.%3"/>
      <w:lvlJc w:val="left"/>
      <w:pPr>
        <w:tabs>
          <w:tab w:val="num" w:pos="1931"/>
        </w:tabs>
        <w:ind w:left="1931" w:hanging="1080"/>
      </w:pPr>
      <w:rPr>
        <w:rFonts w:ascii="Arial" w:hAnsi="Arial" w:cs="Arial" w:hint="default"/>
        <w:b w:val="0"/>
        <w:caps w:val="0"/>
        <w:sz w:val="24"/>
        <w:szCs w:val="22"/>
        <w:effect w:val="none"/>
      </w:rPr>
    </w:lvl>
    <w:lvl w:ilvl="3">
      <w:start w:val="1"/>
      <w:numFmt w:val="decimal"/>
      <w:pStyle w:val="Heading4"/>
      <w:lvlText w:val="%1.%2.%3.%4"/>
      <w:lvlJc w:val="left"/>
      <w:pPr>
        <w:tabs>
          <w:tab w:val="num" w:pos="2880"/>
        </w:tabs>
        <w:ind w:left="2880" w:hanging="1080"/>
      </w:pPr>
      <w:rPr>
        <w:rFonts w:hint="default"/>
        <w:caps w:val="0"/>
        <w:sz w:val="24"/>
        <w:szCs w:val="24"/>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5"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6"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7"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4F1022F"/>
    <w:multiLevelType w:val="multilevel"/>
    <w:tmpl w:val="C6D0B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6D070B"/>
    <w:multiLevelType w:val="multilevel"/>
    <w:tmpl w:val="E39EB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1"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6"/>
  </w:num>
  <w:num w:numId="2">
    <w:abstractNumId w:val="24"/>
  </w:num>
  <w:num w:numId="3">
    <w:abstractNumId w:val="15"/>
  </w:num>
  <w:num w:numId="4">
    <w:abstractNumId w:val="16"/>
  </w:num>
  <w:num w:numId="5">
    <w:abstractNumId w:val="5"/>
  </w:num>
  <w:num w:numId="6">
    <w:abstractNumId w:val="21"/>
  </w:num>
  <w:num w:numId="7">
    <w:abstractNumId w:val="19"/>
  </w:num>
  <w:num w:numId="8">
    <w:abstractNumId w:val="14"/>
  </w:num>
  <w:num w:numId="9">
    <w:abstractNumId w:val="4"/>
  </w:num>
  <w:num w:numId="10">
    <w:abstractNumId w:val="3"/>
  </w:num>
  <w:num w:numId="11">
    <w:abstractNumId w:val="2"/>
  </w:num>
  <w:num w:numId="12">
    <w:abstractNumId w:val="1"/>
  </w:num>
  <w:num w:numId="13">
    <w:abstractNumId w:val="0"/>
  </w:num>
  <w:num w:numId="14">
    <w:abstractNumId w:val="30"/>
  </w:num>
  <w:num w:numId="15">
    <w:abstractNumId w:val="9"/>
  </w:num>
  <w:num w:numId="16">
    <w:abstractNumId w:val="27"/>
  </w:num>
  <w:num w:numId="17">
    <w:abstractNumId w:val="8"/>
  </w:num>
  <w:num w:numId="18">
    <w:abstractNumId w:val="20"/>
  </w:num>
  <w:num w:numId="19">
    <w:abstractNumId w:val="18"/>
  </w:num>
  <w:num w:numId="20">
    <w:abstractNumId w:val="25"/>
  </w:num>
  <w:num w:numId="21">
    <w:abstractNumId w:val="13"/>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29"/>
  </w:num>
  <w:num w:numId="25">
    <w:abstractNumId w:val="10"/>
  </w:num>
  <w:num w:numId="26">
    <w:abstractNumId w:val="7"/>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17"/>
  </w:num>
  <w:num w:numId="31">
    <w:abstractNumId w:val="28"/>
  </w:num>
  <w:num w:numId="32">
    <w:abstractNumId w:val="24"/>
  </w:num>
  <w:num w:numId="33">
    <w:abstractNumId w:val="24"/>
  </w:num>
  <w:num w:numId="34">
    <w:abstractNumId w:val="24"/>
  </w:num>
  <w:num w:numId="35">
    <w:abstractNumId w:val="24"/>
  </w:num>
  <w:num w:numId="36">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436"/>
    <w:rsid w:val="000000C2"/>
    <w:rsid w:val="00000F92"/>
    <w:rsid w:val="00001043"/>
    <w:rsid w:val="000014F8"/>
    <w:rsid w:val="00001B74"/>
    <w:rsid w:val="00002A5E"/>
    <w:rsid w:val="00002B20"/>
    <w:rsid w:val="000033CA"/>
    <w:rsid w:val="00003D95"/>
    <w:rsid w:val="00004DDC"/>
    <w:rsid w:val="0000639C"/>
    <w:rsid w:val="000067FA"/>
    <w:rsid w:val="00007A30"/>
    <w:rsid w:val="00010E78"/>
    <w:rsid w:val="00010FA3"/>
    <w:rsid w:val="000110CC"/>
    <w:rsid w:val="0001134F"/>
    <w:rsid w:val="00011988"/>
    <w:rsid w:val="00012987"/>
    <w:rsid w:val="00012FE8"/>
    <w:rsid w:val="0001386E"/>
    <w:rsid w:val="00013B7A"/>
    <w:rsid w:val="0001408F"/>
    <w:rsid w:val="00014A44"/>
    <w:rsid w:val="00014CDC"/>
    <w:rsid w:val="00020611"/>
    <w:rsid w:val="000209FA"/>
    <w:rsid w:val="0002117B"/>
    <w:rsid w:val="000213ED"/>
    <w:rsid w:val="00022304"/>
    <w:rsid w:val="0002302C"/>
    <w:rsid w:val="00023EF0"/>
    <w:rsid w:val="0002409B"/>
    <w:rsid w:val="00024AE7"/>
    <w:rsid w:val="00024B2F"/>
    <w:rsid w:val="000265DA"/>
    <w:rsid w:val="00026C8B"/>
    <w:rsid w:val="00026CBD"/>
    <w:rsid w:val="00026E28"/>
    <w:rsid w:val="00027C05"/>
    <w:rsid w:val="00027E6E"/>
    <w:rsid w:val="000314E5"/>
    <w:rsid w:val="000318CA"/>
    <w:rsid w:val="0003289F"/>
    <w:rsid w:val="00033742"/>
    <w:rsid w:val="00034C6A"/>
    <w:rsid w:val="00035668"/>
    <w:rsid w:val="00035A45"/>
    <w:rsid w:val="00037BA1"/>
    <w:rsid w:val="00037CB6"/>
    <w:rsid w:val="00040033"/>
    <w:rsid w:val="00040A60"/>
    <w:rsid w:val="00042EAB"/>
    <w:rsid w:val="000459DD"/>
    <w:rsid w:val="00046958"/>
    <w:rsid w:val="00051303"/>
    <w:rsid w:val="00052A65"/>
    <w:rsid w:val="00053A7B"/>
    <w:rsid w:val="00053DF7"/>
    <w:rsid w:val="0005414E"/>
    <w:rsid w:val="00054708"/>
    <w:rsid w:val="000552A8"/>
    <w:rsid w:val="00056DCF"/>
    <w:rsid w:val="00056F7F"/>
    <w:rsid w:val="00057111"/>
    <w:rsid w:val="00060631"/>
    <w:rsid w:val="000608F5"/>
    <w:rsid w:val="00060AC5"/>
    <w:rsid w:val="00060D0E"/>
    <w:rsid w:val="000645CC"/>
    <w:rsid w:val="00066D70"/>
    <w:rsid w:val="0007040F"/>
    <w:rsid w:val="000717BE"/>
    <w:rsid w:val="00071833"/>
    <w:rsid w:val="0007280F"/>
    <w:rsid w:val="00072D38"/>
    <w:rsid w:val="00074357"/>
    <w:rsid w:val="00074D97"/>
    <w:rsid w:val="00074DC0"/>
    <w:rsid w:val="000763EA"/>
    <w:rsid w:val="00076448"/>
    <w:rsid w:val="000778C4"/>
    <w:rsid w:val="000812AE"/>
    <w:rsid w:val="00082C1B"/>
    <w:rsid w:val="0008330B"/>
    <w:rsid w:val="00087356"/>
    <w:rsid w:val="00090094"/>
    <w:rsid w:val="00090D6B"/>
    <w:rsid w:val="000910A7"/>
    <w:rsid w:val="00092145"/>
    <w:rsid w:val="00092C56"/>
    <w:rsid w:val="00093FC4"/>
    <w:rsid w:val="00094E2D"/>
    <w:rsid w:val="00095BEC"/>
    <w:rsid w:val="00096F76"/>
    <w:rsid w:val="00097EBA"/>
    <w:rsid w:val="000A0303"/>
    <w:rsid w:val="000A077E"/>
    <w:rsid w:val="000A0BB0"/>
    <w:rsid w:val="000A0C5F"/>
    <w:rsid w:val="000A0D22"/>
    <w:rsid w:val="000A1031"/>
    <w:rsid w:val="000A29FE"/>
    <w:rsid w:val="000A462F"/>
    <w:rsid w:val="000A5E95"/>
    <w:rsid w:val="000A65E5"/>
    <w:rsid w:val="000A72F8"/>
    <w:rsid w:val="000B12A9"/>
    <w:rsid w:val="000B1529"/>
    <w:rsid w:val="000B1C66"/>
    <w:rsid w:val="000B29B2"/>
    <w:rsid w:val="000B3192"/>
    <w:rsid w:val="000B3D5A"/>
    <w:rsid w:val="000B4297"/>
    <w:rsid w:val="000B4955"/>
    <w:rsid w:val="000B56AF"/>
    <w:rsid w:val="000B5A10"/>
    <w:rsid w:val="000B5C9F"/>
    <w:rsid w:val="000B653E"/>
    <w:rsid w:val="000B6C0D"/>
    <w:rsid w:val="000B7E75"/>
    <w:rsid w:val="000B7FF8"/>
    <w:rsid w:val="000C1D0A"/>
    <w:rsid w:val="000C2484"/>
    <w:rsid w:val="000C2E05"/>
    <w:rsid w:val="000C68BF"/>
    <w:rsid w:val="000C6BD6"/>
    <w:rsid w:val="000C75C4"/>
    <w:rsid w:val="000C7C2B"/>
    <w:rsid w:val="000D0D58"/>
    <w:rsid w:val="000D1F54"/>
    <w:rsid w:val="000D3719"/>
    <w:rsid w:val="000D3995"/>
    <w:rsid w:val="000D4605"/>
    <w:rsid w:val="000D7AFA"/>
    <w:rsid w:val="000E031B"/>
    <w:rsid w:val="000E4C53"/>
    <w:rsid w:val="000E551C"/>
    <w:rsid w:val="000E5A1D"/>
    <w:rsid w:val="000E6052"/>
    <w:rsid w:val="000E67DD"/>
    <w:rsid w:val="000F232D"/>
    <w:rsid w:val="000F3348"/>
    <w:rsid w:val="000F3500"/>
    <w:rsid w:val="000F3E1D"/>
    <w:rsid w:val="000F3EE0"/>
    <w:rsid w:val="000F52E6"/>
    <w:rsid w:val="000F55B0"/>
    <w:rsid w:val="000F7717"/>
    <w:rsid w:val="00100B77"/>
    <w:rsid w:val="0010214C"/>
    <w:rsid w:val="00102EFD"/>
    <w:rsid w:val="0010318E"/>
    <w:rsid w:val="001031CC"/>
    <w:rsid w:val="00103827"/>
    <w:rsid w:val="001040CE"/>
    <w:rsid w:val="0010453E"/>
    <w:rsid w:val="0010577C"/>
    <w:rsid w:val="00105FBC"/>
    <w:rsid w:val="00106F24"/>
    <w:rsid w:val="00110F67"/>
    <w:rsid w:val="00113459"/>
    <w:rsid w:val="00113CF2"/>
    <w:rsid w:val="0011437A"/>
    <w:rsid w:val="0011633E"/>
    <w:rsid w:val="00116B4D"/>
    <w:rsid w:val="001173D2"/>
    <w:rsid w:val="001223EC"/>
    <w:rsid w:val="0012258A"/>
    <w:rsid w:val="00122891"/>
    <w:rsid w:val="00123FAD"/>
    <w:rsid w:val="00124466"/>
    <w:rsid w:val="001245F5"/>
    <w:rsid w:val="001256D9"/>
    <w:rsid w:val="0012683D"/>
    <w:rsid w:val="001300E7"/>
    <w:rsid w:val="001313AB"/>
    <w:rsid w:val="00131AF8"/>
    <w:rsid w:val="001321F1"/>
    <w:rsid w:val="00132882"/>
    <w:rsid w:val="00133ADF"/>
    <w:rsid w:val="00133FC1"/>
    <w:rsid w:val="00134247"/>
    <w:rsid w:val="001345B2"/>
    <w:rsid w:val="00134C60"/>
    <w:rsid w:val="00135690"/>
    <w:rsid w:val="00135B55"/>
    <w:rsid w:val="001360AB"/>
    <w:rsid w:val="001368D7"/>
    <w:rsid w:val="00136BDD"/>
    <w:rsid w:val="00136D23"/>
    <w:rsid w:val="0013718C"/>
    <w:rsid w:val="0013771E"/>
    <w:rsid w:val="00140B03"/>
    <w:rsid w:val="00141017"/>
    <w:rsid w:val="0014322F"/>
    <w:rsid w:val="00144867"/>
    <w:rsid w:val="00144F3B"/>
    <w:rsid w:val="00145725"/>
    <w:rsid w:val="00147DA6"/>
    <w:rsid w:val="00152D63"/>
    <w:rsid w:val="001548AC"/>
    <w:rsid w:val="00156231"/>
    <w:rsid w:val="0015696A"/>
    <w:rsid w:val="00156E2F"/>
    <w:rsid w:val="00157D99"/>
    <w:rsid w:val="00161A2F"/>
    <w:rsid w:val="001621D0"/>
    <w:rsid w:val="0016322B"/>
    <w:rsid w:val="0016383C"/>
    <w:rsid w:val="00164552"/>
    <w:rsid w:val="00164F36"/>
    <w:rsid w:val="00164F66"/>
    <w:rsid w:val="00166299"/>
    <w:rsid w:val="00167466"/>
    <w:rsid w:val="0017017C"/>
    <w:rsid w:val="0017225B"/>
    <w:rsid w:val="001731F8"/>
    <w:rsid w:val="00173352"/>
    <w:rsid w:val="0017368C"/>
    <w:rsid w:val="00175FE2"/>
    <w:rsid w:val="00176CBE"/>
    <w:rsid w:val="00176DF8"/>
    <w:rsid w:val="0018020B"/>
    <w:rsid w:val="001802DD"/>
    <w:rsid w:val="0018064C"/>
    <w:rsid w:val="00180BBE"/>
    <w:rsid w:val="00181D58"/>
    <w:rsid w:val="00181E75"/>
    <w:rsid w:val="00182323"/>
    <w:rsid w:val="001838F8"/>
    <w:rsid w:val="00183DAF"/>
    <w:rsid w:val="00183EB0"/>
    <w:rsid w:val="00184017"/>
    <w:rsid w:val="001842F4"/>
    <w:rsid w:val="00184673"/>
    <w:rsid w:val="0018598A"/>
    <w:rsid w:val="001863E6"/>
    <w:rsid w:val="001866C8"/>
    <w:rsid w:val="001867AB"/>
    <w:rsid w:val="0018756A"/>
    <w:rsid w:val="00190525"/>
    <w:rsid w:val="00191369"/>
    <w:rsid w:val="00193FB5"/>
    <w:rsid w:val="001962E6"/>
    <w:rsid w:val="00197811"/>
    <w:rsid w:val="001A0DFA"/>
    <w:rsid w:val="001A1780"/>
    <w:rsid w:val="001A2A07"/>
    <w:rsid w:val="001A3C4D"/>
    <w:rsid w:val="001A45DF"/>
    <w:rsid w:val="001A7AB1"/>
    <w:rsid w:val="001B0587"/>
    <w:rsid w:val="001B2EA8"/>
    <w:rsid w:val="001B3C1C"/>
    <w:rsid w:val="001B3E70"/>
    <w:rsid w:val="001B485F"/>
    <w:rsid w:val="001B4B79"/>
    <w:rsid w:val="001B52D8"/>
    <w:rsid w:val="001B62DA"/>
    <w:rsid w:val="001B637D"/>
    <w:rsid w:val="001B641B"/>
    <w:rsid w:val="001B7109"/>
    <w:rsid w:val="001B7657"/>
    <w:rsid w:val="001B7D2F"/>
    <w:rsid w:val="001C210F"/>
    <w:rsid w:val="001C2D04"/>
    <w:rsid w:val="001C42FF"/>
    <w:rsid w:val="001C4CDC"/>
    <w:rsid w:val="001C50FD"/>
    <w:rsid w:val="001C5352"/>
    <w:rsid w:val="001C609B"/>
    <w:rsid w:val="001C63F8"/>
    <w:rsid w:val="001D0473"/>
    <w:rsid w:val="001D0D12"/>
    <w:rsid w:val="001D1ADF"/>
    <w:rsid w:val="001D1C5A"/>
    <w:rsid w:val="001D3018"/>
    <w:rsid w:val="001D54F2"/>
    <w:rsid w:val="001D5C65"/>
    <w:rsid w:val="001D6212"/>
    <w:rsid w:val="001D77CF"/>
    <w:rsid w:val="001D7A76"/>
    <w:rsid w:val="001E0A32"/>
    <w:rsid w:val="001E13B3"/>
    <w:rsid w:val="001E378F"/>
    <w:rsid w:val="001E3BC9"/>
    <w:rsid w:val="001E49D6"/>
    <w:rsid w:val="001F0B69"/>
    <w:rsid w:val="001F13E1"/>
    <w:rsid w:val="001F1C2E"/>
    <w:rsid w:val="001F2926"/>
    <w:rsid w:val="001F2F1C"/>
    <w:rsid w:val="001F300D"/>
    <w:rsid w:val="001F3B05"/>
    <w:rsid w:val="001F48A7"/>
    <w:rsid w:val="001F4B65"/>
    <w:rsid w:val="002014DC"/>
    <w:rsid w:val="00202978"/>
    <w:rsid w:val="00202DAB"/>
    <w:rsid w:val="002041F7"/>
    <w:rsid w:val="00204498"/>
    <w:rsid w:val="0020517E"/>
    <w:rsid w:val="00205CD6"/>
    <w:rsid w:val="00205DE4"/>
    <w:rsid w:val="00206015"/>
    <w:rsid w:val="00207D5A"/>
    <w:rsid w:val="00210661"/>
    <w:rsid w:val="00212061"/>
    <w:rsid w:val="002136EC"/>
    <w:rsid w:val="00213AC2"/>
    <w:rsid w:val="00214E98"/>
    <w:rsid w:val="00215015"/>
    <w:rsid w:val="002162D8"/>
    <w:rsid w:val="00217533"/>
    <w:rsid w:val="0022047E"/>
    <w:rsid w:val="00220ACA"/>
    <w:rsid w:val="002222F1"/>
    <w:rsid w:val="00222537"/>
    <w:rsid w:val="002229A8"/>
    <w:rsid w:val="002234DE"/>
    <w:rsid w:val="002235BF"/>
    <w:rsid w:val="00224D76"/>
    <w:rsid w:val="00224FFC"/>
    <w:rsid w:val="0022513D"/>
    <w:rsid w:val="00225865"/>
    <w:rsid w:val="0022592F"/>
    <w:rsid w:val="00225BC9"/>
    <w:rsid w:val="002262A5"/>
    <w:rsid w:val="002268D4"/>
    <w:rsid w:val="00226CB6"/>
    <w:rsid w:val="00226E69"/>
    <w:rsid w:val="0022721A"/>
    <w:rsid w:val="00231DE0"/>
    <w:rsid w:val="00232AD5"/>
    <w:rsid w:val="00233206"/>
    <w:rsid w:val="00234955"/>
    <w:rsid w:val="002349F0"/>
    <w:rsid w:val="00235462"/>
    <w:rsid w:val="00236839"/>
    <w:rsid w:val="00241853"/>
    <w:rsid w:val="00243547"/>
    <w:rsid w:val="00244579"/>
    <w:rsid w:val="00244862"/>
    <w:rsid w:val="00245B30"/>
    <w:rsid w:val="00246795"/>
    <w:rsid w:val="00250047"/>
    <w:rsid w:val="00250446"/>
    <w:rsid w:val="00251900"/>
    <w:rsid w:val="00252FFC"/>
    <w:rsid w:val="00255F6A"/>
    <w:rsid w:val="00256C57"/>
    <w:rsid w:val="00257039"/>
    <w:rsid w:val="002573FE"/>
    <w:rsid w:val="00257F38"/>
    <w:rsid w:val="002600C6"/>
    <w:rsid w:val="00260212"/>
    <w:rsid w:val="00260634"/>
    <w:rsid w:val="002608F4"/>
    <w:rsid w:val="00260EF5"/>
    <w:rsid w:val="0026119D"/>
    <w:rsid w:val="002630FA"/>
    <w:rsid w:val="002634FE"/>
    <w:rsid w:val="00264964"/>
    <w:rsid w:val="002649FC"/>
    <w:rsid w:val="002653FD"/>
    <w:rsid w:val="002660EA"/>
    <w:rsid w:val="0026726A"/>
    <w:rsid w:val="0027062E"/>
    <w:rsid w:val="002723EE"/>
    <w:rsid w:val="00273490"/>
    <w:rsid w:val="00273E03"/>
    <w:rsid w:val="00274391"/>
    <w:rsid w:val="00274416"/>
    <w:rsid w:val="00277524"/>
    <w:rsid w:val="0028066F"/>
    <w:rsid w:val="00280B5B"/>
    <w:rsid w:val="002826D7"/>
    <w:rsid w:val="002848C1"/>
    <w:rsid w:val="0028697F"/>
    <w:rsid w:val="00286F62"/>
    <w:rsid w:val="002876FE"/>
    <w:rsid w:val="00287C83"/>
    <w:rsid w:val="00291584"/>
    <w:rsid w:val="00291E3F"/>
    <w:rsid w:val="002933F8"/>
    <w:rsid w:val="0029758B"/>
    <w:rsid w:val="00297D77"/>
    <w:rsid w:val="002A08BF"/>
    <w:rsid w:val="002A5258"/>
    <w:rsid w:val="002A7260"/>
    <w:rsid w:val="002A7D10"/>
    <w:rsid w:val="002A7DA6"/>
    <w:rsid w:val="002B1E1B"/>
    <w:rsid w:val="002B1FDC"/>
    <w:rsid w:val="002B335C"/>
    <w:rsid w:val="002B407C"/>
    <w:rsid w:val="002B42E9"/>
    <w:rsid w:val="002B43BE"/>
    <w:rsid w:val="002B45F4"/>
    <w:rsid w:val="002B4FD0"/>
    <w:rsid w:val="002B55ED"/>
    <w:rsid w:val="002B5AEB"/>
    <w:rsid w:val="002B5C29"/>
    <w:rsid w:val="002B6278"/>
    <w:rsid w:val="002B6A34"/>
    <w:rsid w:val="002B6FD7"/>
    <w:rsid w:val="002B744B"/>
    <w:rsid w:val="002C0A45"/>
    <w:rsid w:val="002C1565"/>
    <w:rsid w:val="002C181B"/>
    <w:rsid w:val="002C1AF6"/>
    <w:rsid w:val="002C1DE8"/>
    <w:rsid w:val="002C2D54"/>
    <w:rsid w:val="002C2F4F"/>
    <w:rsid w:val="002C3316"/>
    <w:rsid w:val="002C3F4D"/>
    <w:rsid w:val="002C4729"/>
    <w:rsid w:val="002C4DC7"/>
    <w:rsid w:val="002C519F"/>
    <w:rsid w:val="002C538F"/>
    <w:rsid w:val="002C5C08"/>
    <w:rsid w:val="002C671C"/>
    <w:rsid w:val="002C70D7"/>
    <w:rsid w:val="002D1E1B"/>
    <w:rsid w:val="002D268A"/>
    <w:rsid w:val="002D2841"/>
    <w:rsid w:val="002D28AC"/>
    <w:rsid w:val="002D3A27"/>
    <w:rsid w:val="002D6750"/>
    <w:rsid w:val="002D72D0"/>
    <w:rsid w:val="002D7AC9"/>
    <w:rsid w:val="002E05A6"/>
    <w:rsid w:val="002E076F"/>
    <w:rsid w:val="002E25C0"/>
    <w:rsid w:val="002E5436"/>
    <w:rsid w:val="002E57A7"/>
    <w:rsid w:val="002E6400"/>
    <w:rsid w:val="002E69B2"/>
    <w:rsid w:val="002F13FD"/>
    <w:rsid w:val="002F1432"/>
    <w:rsid w:val="002F1F7F"/>
    <w:rsid w:val="002F2FF1"/>
    <w:rsid w:val="002F3129"/>
    <w:rsid w:val="002F312C"/>
    <w:rsid w:val="002F42F4"/>
    <w:rsid w:val="002F56E7"/>
    <w:rsid w:val="002F7AA1"/>
    <w:rsid w:val="002F7FC9"/>
    <w:rsid w:val="0030038A"/>
    <w:rsid w:val="00300D31"/>
    <w:rsid w:val="0030185A"/>
    <w:rsid w:val="0030285B"/>
    <w:rsid w:val="0030439A"/>
    <w:rsid w:val="003047E0"/>
    <w:rsid w:val="003057D9"/>
    <w:rsid w:val="0030606A"/>
    <w:rsid w:val="00315091"/>
    <w:rsid w:val="00315C76"/>
    <w:rsid w:val="0031686D"/>
    <w:rsid w:val="00316FB8"/>
    <w:rsid w:val="0032065B"/>
    <w:rsid w:val="00320A70"/>
    <w:rsid w:val="003213D7"/>
    <w:rsid w:val="00321CD2"/>
    <w:rsid w:val="00322865"/>
    <w:rsid w:val="00323541"/>
    <w:rsid w:val="00323EAA"/>
    <w:rsid w:val="00330C5C"/>
    <w:rsid w:val="00331523"/>
    <w:rsid w:val="003316AA"/>
    <w:rsid w:val="00333D28"/>
    <w:rsid w:val="00333E94"/>
    <w:rsid w:val="003341DC"/>
    <w:rsid w:val="003355BE"/>
    <w:rsid w:val="00336059"/>
    <w:rsid w:val="00341001"/>
    <w:rsid w:val="0034369B"/>
    <w:rsid w:val="003438D3"/>
    <w:rsid w:val="00343C78"/>
    <w:rsid w:val="00346A23"/>
    <w:rsid w:val="003471E0"/>
    <w:rsid w:val="00347685"/>
    <w:rsid w:val="00347DB3"/>
    <w:rsid w:val="00350C18"/>
    <w:rsid w:val="00351854"/>
    <w:rsid w:val="00352261"/>
    <w:rsid w:val="00353191"/>
    <w:rsid w:val="00353EC0"/>
    <w:rsid w:val="003550DB"/>
    <w:rsid w:val="00357E6F"/>
    <w:rsid w:val="00360668"/>
    <w:rsid w:val="003620E7"/>
    <w:rsid w:val="003627B1"/>
    <w:rsid w:val="00362A29"/>
    <w:rsid w:val="00362E9E"/>
    <w:rsid w:val="003631FE"/>
    <w:rsid w:val="00363D74"/>
    <w:rsid w:val="00364FCA"/>
    <w:rsid w:val="0036555C"/>
    <w:rsid w:val="0036574F"/>
    <w:rsid w:val="00365815"/>
    <w:rsid w:val="003660F6"/>
    <w:rsid w:val="00366F85"/>
    <w:rsid w:val="003729F0"/>
    <w:rsid w:val="00373767"/>
    <w:rsid w:val="0037496E"/>
    <w:rsid w:val="0037526E"/>
    <w:rsid w:val="00375AE9"/>
    <w:rsid w:val="00376094"/>
    <w:rsid w:val="003764D4"/>
    <w:rsid w:val="00376922"/>
    <w:rsid w:val="00376FF7"/>
    <w:rsid w:val="003770F8"/>
    <w:rsid w:val="00380012"/>
    <w:rsid w:val="0038049D"/>
    <w:rsid w:val="003833FD"/>
    <w:rsid w:val="003839E8"/>
    <w:rsid w:val="00386338"/>
    <w:rsid w:val="00386706"/>
    <w:rsid w:val="00386C25"/>
    <w:rsid w:val="003873D7"/>
    <w:rsid w:val="003874BD"/>
    <w:rsid w:val="003874EB"/>
    <w:rsid w:val="003908EB"/>
    <w:rsid w:val="00390BC3"/>
    <w:rsid w:val="0039193D"/>
    <w:rsid w:val="00392004"/>
    <w:rsid w:val="00396B62"/>
    <w:rsid w:val="003A0CDA"/>
    <w:rsid w:val="003A199A"/>
    <w:rsid w:val="003A21C8"/>
    <w:rsid w:val="003A2C48"/>
    <w:rsid w:val="003A33F8"/>
    <w:rsid w:val="003A4DD7"/>
    <w:rsid w:val="003B0599"/>
    <w:rsid w:val="003B23FF"/>
    <w:rsid w:val="003B4727"/>
    <w:rsid w:val="003B4B25"/>
    <w:rsid w:val="003B74BC"/>
    <w:rsid w:val="003B7B5E"/>
    <w:rsid w:val="003C1CB5"/>
    <w:rsid w:val="003C4135"/>
    <w:rsid w:val="003C54C9"/>
    <w:rsid w:val="003C5F24"/>
    <w:rsid w:val="003C7811"/>
    <w:rsid w:val="003D0625"/>
    <w:rsid w:val="003D0A36"/>
    <w:rsid w:val="003D1E1C"/>
    <w:rsid w:val="003D2039"/>
    <w:rsid w:val="003D2902"/>
    <w:rsid w:val="003D2F60"/>
    <w:rsid w:val="003D4366"/>
    <w:rsid w:val="003D4F07"/>
    <w:rsid w:val="003D52B7"/>
    <w:rsid w:val="003D6D0B"/>
    <w:rsid w:val="003E3E8C"/>
    <w:rsid w:val="003E4EB4"/>
    <w:rsid w:val="003E4FA3"/>
    <w:rsid w:val="003E7509"/>
    <w:rsid w:val="003E7742"/>
    <w:rsid w:val="003F06FF"/>
    <w:rsid w:val="003F19CE"/>
    <w:rsid w:val="003F1C5D"/>
    <w:rsid w:val="003F2CF9"/>
    <w:rsid w:val="003F44B5"/>
    <w:rsid w:val="003F48BC"/>
    <w:rsid w:val="003F4DE4"/>
    <w:rsid w:val="003F626A"/>
    <w:rsid w:val="003F7A67"/>
    <w:rsid w:val="00400F7C"/>
    <w:rsid w:val="00401C86"/>
    <w:rsid w:val="00402F0D"/>
    <w:rsid w:val="00404F9C"/>
    <w:rsid w:val="0040508D"/>
    <w:rsid w:val="00405128"/>
    <w:rsid w:val="00405A77"/>
    <w:rsid w:val="0040670D"/>
    <w:rsid w:val="00406EC2"/>
    <w:rsid w:val="00406F38"/>
    <w:rsid w:val="00407DCD"/>
    <w:rsid w:val="00410A0F"/>
    <w:rsid w:val="004126C0"/>
    <w:rsid w:val="004128DA"/>
    <w:rsid w:val="00413A43"/>
    <w:rsid w:val="004147A7"/>
    <w:rsid w:val="00415016"/>
    <w:rsid w:val="0041573D"/>
    <w:rsid w:val="0041576D"/>
    <w:rsid w:val="00416045"/>
    <w:rsid w:val="004161B5"/>
    <w:rsid w:val="00416A9A"/>
    <w:rsid w:val="00416E62"/>
    <w:rsid w:val="004201CE"/>
    <w:rsid w:val="0042051B"/>
    <w:rsid w:val="00422823"/>
    <w:rsid w:val="0042602C"/>
    <w:rsid w:val="00426932"/>
    <w:rsid w:val="00426AB4"/>
    <w:rsid w:val="00427A64"/>
    <w:rsid w:val="00430054"/>
    <w:rsid w:val="004300D8"/>
    <w:rsid w:val="0043067F"/>
    <w:rsid w:val="00432369"/>
    <w:rsid w:val="004324B4"/>
    <w:rsid w:val="0043325D"/>
    <w:rsid w:val="00433761"/>
    <w:rsid w:val="004401D5"/>
    <w:rsid w:val="00442EDE"/>
    <w:rsid w:val="00446A93"/>
    <w:rsid w:val="00447F11"/>
    <w:rsid w:val="004516D6"/>
    <w:rsid w:val="004523D7"/>
    <w:rsid w:val="0045279B"/>
    <w:rsid w:val="00453B46"/>
    <w:rsid w:val="00453EE6"/>
    <w:rsid w:val="0045425C"/>
    <w:rsid w:val="00455C47"/>
    <w:rsid w:val="00456D72"/>
    <w:rsid w:val="004614E2"/>
    <w:rsid w:val="00461688"/>
    <w:rsid w:val="00462365"/>
    <w:rsid w:val="00462989"/>
    <w:rsid w:val="00462E6A"/>
    <w:rsid w:val="00463F70"/>
    <w:rsid w:val="00470A2A"/>
    <w:rsid w:val="004722DA"/>
    <w:rsid w:val="00472D16"/>
    <w:rsid w:val="0047413D"/>
    <w:rsid w:val="00476F39"/>
    <w:rsid w:val="004771C4"/>
    <w:rsid w:val="00477C7D"/>
    <w:rsid w:val="00477DA3"/>
    <w:rsid w:val="00480506"/>
    <w:rsid w:val="00480E50"/>
    <w:rsid w:val="00482F20"/>
    <w:rsid w:val="004900A1"/>
    <w:rsid w:val="004909B0"/>
    <w:rsid w:val="0049625F"/>
    <w:rsid w:val="0049796D"/>
    <w:rsid w:val="00497D0E"/>
    <w:rsid w:val="004A225E"/>
    <w:rsid w:val="004A2D0B"/>
    <w:rsid w:val="004A2E7B"/>
    <w:rsid w:val="004A31F5"/>
    <w:rsid w:val="004A3BE6"/>
    <w:rsid w:val="004A4371"/>
    <w:rsid w:val="004A48ED"/>
    <w:rsid w:val="004A52B0"/>
    <w:rsid w:val="004A6F70"/>
    <w:rsid w:val="004B1C0E"/>
    <w:rsid w:val="004B3F55"/>
    <w:rsid w:val="004B4D0F"/>
    <w:rsid w:val="004B4E34"/>
    <w:rsid w:val="004B6951"/>
    <w:rsid w:val="004B6D96"/>
    <w:rsid w:val="004B6E0C"/>
    <w:rsid w:val="004B7B71"/>
    <w:rsid w:val="004C0196"/>
    <w:rsid w:val="004C0636"/>
    <w:rsid w:val="004C1460"/>
    <w:rsid w:val="004C50CD"/>
    <w:rsid w:val="004C5A51"/>
    <w:rsid w:val="004C5C6B"/>
    <w:rsid w:val="004C62BB"/>
    <w:rsid w:val="004D0392"/>
    <w:rsid w:val="004D0520"/>
    <w:rsid w:val="004D0A59"/>
    <w:rsid w:val="004D1EED"/>
    <w:rsid w:val="004D22DF"/>
    <w:rsid w:val="004D267E"/>
    <w:rsid w:val="004D2D01"/>
    <w:rsid w:val="004D34B9"/>
    <w:rsid w:val="004D4D43"/>
    <w:rsid w:val="004D4E92"/>
    <w:rsid w:val="004D544A"/>
    <w:rsid w:val="004D5500"/>
    <w:rsid w:val="004E1F9F"/>
    <w:rsid w:val="004E3B26"/>
    <w:rsid w:val="004E445C"/>
    <w:rsid w:val="004E5619"/>
    <w:rsid w:val="004E6FB0"/>
    <w:rsid w:val="004E70A8"/>
    <w:rsid w:val="004E78BC"/>
    <w:rsid w:val="004F2229"/>
    <w:rsid w:val="004F2D68"/>
    <w:rsid w:val="004F4E7F"/>
    <w:rsid w:val="004F6B43"/>
    <w:rsid w:val="004F6EE0"/>
    <w:rsid w:val="004F7CCD"/>
    <w:rsid w:val="0050062B"/>
    <w:rsid w:val="005009A0"/>
    <w:rsid w:val="0050116C"/>
    <w:rsid w:val="00502279"/>
    <w:rsid w:val="00502C9E"/>
    <w:rsid w:val="00502DB6"/>
    <w:rsid w:val="00504DE5"/>
    <w:rsid w:val="0050537E"/>
    <w:rsid w:val="00505473"/>
    <w:rsid w:val="005054EC"/>
    <w:rsid w:val="005063FC"/>
    <w:rsid w:val="005138BA"/>
    <w:rsid w:val="005147FE"/>
    <w:rsid w:val="00515D51"/>
    <w:rsid w:val="0051629F"/>
    <w:rsid w:val="00517904"/>
    <w:rsid w:val="0052086C"/>
    <w:rsid w:val="00522A8A"/>
    <w:rsid w:val="00522AAC"/>
    <w:rsid w:val="0052365A"/>
    <w:rsid w:val="00523699"/>
    <w:rsid w:val="0052487A"/>
    <w:rsid w:val="0052612A"/>
    <w:rsid w:val="00527040"/>
    <w:rsid w:val="005304C2"/>
    <w:rsid w:val="005304EE"/>
    <w:rsid w:val="00531417"/>
    <w:rsid w:val="00531A67"/>
    <w:rsid w:val="0053220D"/>
    <w:rsid w:val="0053251A"/>
    <w:rsid w:val="005334EA"/>
    <w:rsid w:val="00533F76"/>
    <w:rsid w:val="00534DED"/>
    <w:rsid w:val="00535B45"/>
    <w:rsid w:val="005364E3"/>
    <w:rsid w:val="00536561"/>
    <w:rsid w:val="00536BDE"/>
    <w:rsid w:val="00537F36"/>
    <w:rsid w:val="005462D9"/>
    <w:rsid w:val="0054714B"/>
    <w:rsid w:val="0055006C"/>
    <w:rsid w:val="00550A63"/>
    <w:rsid w:val="00551203"/>
    <w:rsid w:val="00551397"/>
    <w:rsid w:val="00552A0D"/>
    <w:rsid w:val="005571B2"/>
    <w:rsid w:val="00561AE0"/>
    <w:rsid w:val="00561BB6"/>
    <w:rsid w:val="00563F76"/>
    <w:rsid w:val="00564CCA"/>
    <w:rsid w:val="00565644"/>
    <w:rsid w:val="0056660C"/>
    <w:rsid w:val="0056739F"/>
    <w:rsid w:val="005728DA"/>
    <w:rsid w:val="005750D7"/>
    <w:rsid w:val="005750F5"/>
    <w:rsid w:val="005759DD"/>
    <w:rsid w:val="00576C34"/>
    <w:rsid w:val="00577182"/>
    <w:rsid w:val="00581887"/>
    <w:rsid w:val="005821EF"/>
    <w:rsid w:val="0058297A"/>
    <w:rsid w:val="0058409F"/>
    <w:rsid w:val="00586640"/>
    <w:rsid w:val="00586CC2"/>
    <w:rsid w:val="00590FFC"/>
    <w:rsid w:val="00591757"/>
    <w:rsid w:val="005924FF"/>
    <w:rsid w:val="00593CFF"/>
    <w:rsid w:val="005953E3"/>
    <w:rsid w:val="00596ED9"/>
    <w:rsid w:val="00597B02"/>
    <w:rsid w:val="005A0395"/>
    <w:rsid w:val="005A137B"/>
    <w:rsid w:val="005A1F60"/>
    <w:rsid w:val="005A2127"/>
    <w:rsid w:val="005A49EA"/>
    <w:rsid w:val="005B228D"/>
    <w:rsid w:val="005B28B1"/>
    <w:rsid w:val="005B2BA5"/>
    <w:rsid w:val="005B466A"/>
    <w:rsid w:val="005B4A89"/>
    <w:rsid w:val="005B72E4"/>
    <w:rsid w:val="005C0826"/>
    <w:rsid w:val="005C20BF"/>
    <w:rsid w:val="005C2951"/>
    <w:rsid w:val="005C2A84"/>
    <w:rsid w:val="005C3B95"/>
    <w:rsid w:val="005C6291"/>
    <w:rsid w:val="005C6503"/>
    <w:rsid w:val="005C65EE"/>
    <w:rsid w:val="005D1196"/>
    <w:rsid w:val="005D2362"/>
    <w:rsid w:val="005D3762"/>
    <w:rsid w:val="005D43DA"/>
    <w:rsid w:val="005E00DA"/>
    <w:rsid w:val="005E2029"/>
    <w:rsid w:val="005E29A1"/>
    <w:rsid w:val="005E4205"/>
    <w:rsid w:val="005E4793"/>
    <w:rsid w:val="005E4B73"/>
    <w:rsid w:val="005E4CEA"/>
    <w:rsid w:val="005E4F6C"/>
    <w:rsid w:val="005E5DD9"/>
    <w:rsid w:val="005E77ED"/>
    <w:rsid w:val="005E7B1C"/>
    <w:rsid w:val="005E7C19"/>
    <w:rsid w:val="005F03AB"/>
    <w:rsid w:val="005F11AF"/>
    <w:rsid w:val="005F162D"/>
    <w:rsid w:val="005F18CC"/>
    <w:rsid w:val="005F1B29"/>
    <w:rsid w:val="005F2A14"/>
    <w:rsid w:val="005F2F66"/>
    <w:rsid w:val="005F3867"/>
    <w:rsid w:val="005F3E1B"/>
    <w:rsid w:val="005F48FF"/>
    <w:rsid w:val="005F52F5"/>
    <w:rsid w:val="005F5E43"/>
    <w:rsid w:val="005F6E6D"/>
    <w:rsid w:val="005F7780"/>
    <w:rsid w:val="005F79C0"/>
    <w:rsid w:val="00600D97"/>
    <w:rsid w:val="00600DC0"/>
    <w:rsid w:val="00600EA9"/>
    <w:rsid w:val="0060374B"/>
    <w:rsid w:val="00604AB1"/>
    <w:rsid w:val="00605194"/>
    <w:rsid w:val="006054F0"/>
    <w:rsid w:val="006060C3"/>
    <w:rsid w:val="006061D3"/>
    <w:rsid w:val="006072D7"/>
    <w:rsid w:val="00610600"/>
    <w:rsid w:val="00610D55"/>
    <w:rsid w:val="00610F0E"/>
    <w:rsid w:val="0061104D"/>
    <w:rsid w:val="006121F2"/>
    <w:rsid w:val="00612C9E"/>
    <w:rsid w:val="00613C61"/>
    <w:rsid w:val="00616BD2"/>
    <w:rsid w:val="00616C09"/>
    <w:rsid w:val="00617027"/>
    <w:rsid w:val="00617AA9"/>
    <w:rsid w:val="00622940"/>
    <w:rsid w:val="006231D2"/>
    <w:rsid w:val="00624966"/>
    <w:rsid w:val="006256C1"/>
    <w:rsid w:val="00627B4B"/>
    <w:rsid w:val="00627D1B"/>
    <w:rsid w:val="0063134B"/>
    <w:rsid w:val="00631AE2"/>
    <w:rsid w:val="0063259F"/>
    <w:rsid w:val="00632838"/>
    <w:rsid w:val="006338C4"/>
    <w:rsid w:val="00634BA4"/>
    <w:rsid w:val="00635B31"/>
    <w:rsid w:val="00636209"/>
    <w:rsid w:val="0063652F"/>
    <w:rsid w:val="00636E2D"/>
    <w:rsid w:val="006373DB"/>
    <w:rsid w:val="00641ACD"/>
    <w:rsid w:val="0064354C"/>
    <w:rsid w:val="00644149"/>
    <w:rsid w:val="006447A5"/>
    <w:rsid w:val="006455A0"/>
    <w:rsid w:val="0064629E"/>
    <w:rsid w:val="00646588"/>
    <w:rsid w:val="00646B4C"/>
    <w:rsid w:val="00647C80"/>
    <w:rsid w:val="00647F2F"/>
    <w:rsid w:val="00650071"/>
    <w:rsid w:val="006502CE"/>
    <w:rsid w:val="00650B3E"/>
    <w:rsid w:val="00653D40"/>
    <w:rsid w:val="00654173"/>
    <w:rsid w:val="006549BE"/>
    <w:rsid w:val="00657ACC"/>
    <w:rsid w:val="00657DE2"/>
    <w:rsid w:val="006600A8"/>
    <w:rsid w:val="00660E0B"/>
    <w:rsid w:val="00661D89"/>
    <w:rsid w:val="006635E7"/>
    <w:rsid w:val="006641E1"/>
    <w:rsid w:val="006645BF"/>
    <w:rsid w:val="006652EF"/>
    <w:rsid w:val="00666024"/>
    <w:rsid w:val="00671229"/>
    <w:rsid w:val="006716BE"/>
    <w:rsid w:val="00671798"/>
    <w:rsid w:val="00671C2E"/>
    <w:rsid w:val="00673437"/>
    <w:rsid w:val="006754B9"/>
    <w:rsid w:val="00675E70"/>
    <w:rsid w:val="006772C0"/>
    <w:rsid w:val="00677DFC"/>
    <w:rsid w:val="00680C72"/>
    <w:rsid w:val="00682677"/>
    <w:rsid w:val="00683380"/>
    <w:rsid w:val="00684416"/>
    <w:rsid w:val="006849F7"/>
    <w:rsid w:val="00684ABE"/>
    <w:rsid w:val="00684CF6"/>
    <w:rsid w:val="00684FF6"/>
    <w:rsid w:val="0068585D"/>
    <w:rsid w:val="00685D7A"/>
    <w:rsid w:val="00685E8D"/>
    <w:rsid w:val="0068678A"/>
    <w:rsid w:val="0069053C"/>
    <w:rsid w:val="0069239F"/>
    <w:rsid w:val="00693308"/>
    <w:rsid w:val="00693C69"/>
    <w:rsid w:val="006940AD"/>
    <w:rsid w:val="0069520A"/>
    <w:rsid w:val="006968E6"/>
    <w:rsid w:val="006A01BC"/>
    <w:rsid w:val="006A0E9A"/>
    <w:rsid w:val="006A385C"/>
    <w:rsid w:val="006A3DBC"/>
    <w:rsid w:val="006A3F51"/>
    <w:rsid w:val="006A4316"/>
    <w:rsid w:val="006A4943"/>
    <w:rsid w:val="006A6798"/>
    <w:rsid w:val="006B1F15"/>
    <w:rsid w:val="006B32CD"/>
    <w:rsid w:val="006B3676"/>
    <w:rsid w:val="006B4121"/>
    <w:rsid w:val="006B4D35"/>
    <w:rsid w:val="006B4F77"/>
    <w:rsid w:val="006B556B"/>
    <w:rsid w:val="006B5A7E"/>
    <w:rsid w:val="006B62D2"/>
    <w:rsid w:val="006C0828"/>
    <w:rsid w:val="006C2069"/>
    <w:rsid w:val="006C3BF0"/>
    <w:rsid w:val="006C3FE6"/>
    <w:rsid w:val="006C4075"/>
    <w:rsid w:val="006C466F"/>
    <w:rsid w:val="006C7377"/>
    <w:rsid w:val="006D0B91"/>
    <w:rsid w:val="006D2324"/>
    <w:rsid w:val="006D2EA6"/>
    <w:rsid w:val="006D3910"/>
    <w:rsid w:val="006D50D6"/>
    <w:rsid w:val="006D57BC"/>
    <w:rsid w:val="006D5BAD"/>
    <w:rsid w:val="006D6196"/>
    <w:rsid w:val="006D64A7"/>
    <w:rsid w:val="006D66F5"/>
    <w:rsid w:val="006D7362"/>
    <w:rsid w:val="006E13AE"/>
    <w:rsid w:val="006E28A2"/>
    <w:rsid w:val="006E3A6C"/>
    <w:rsid w:val="006E3C74"/>
    <w:rsid w:val="006E4490"/>
    <w:rsid w:val="006E5B51"/>
    <w:rsid w:val="006E5FFB"/>
    <w:rsid w:val="006F098A"/>
    <w:rsid w:val="006F0C06"/>
    <w:rsid w:val="006F2511"/>
    <w:rsid w:val="006F299C"/>
    <w:rsid w:val="006F46DC"/>
    <w:rsid w:val="006F490F"/>
    <w:rsid w:val="006F49C7"/>
    <w:rsid w:val="006F5CE9"/>
    <w:rsid w:val="006F6878"/>
    <w:rsid w:val="006F6CB6"/>
    <w:rsid w:val="006F6F85"/>
    <w:rsid w:val="007003CC"/>
    <w:rsid w:val="007025FB"/>
    <w:rsid w:val="00702C1F"/>
    <w:rsid w:val="00703BFD"/>
    <w:rsid w:val="00704A4D"/>
    <w:rsid w:val="00706FCC"/>
    <w:rsid w:val="007110A9"/>
    <w:rsid w:val="007116AE"/>
    <w:rsid w:val="00712884"/>
    <w:rsid w:val="00713868"/>
    <w:rsid w:val="00714481"/>
    <w:rsid w:val="007145F1"/>
    <w:rsid w:val="00715CA8"/>
    <w:rsid w:val="0072081F"/>
    <w:rsid w:val="007217F8"/>
    <w:rsid w:val="00721F72"/>
    <w:rsid w:val="007234D5"/>
    <w:rsid w:val="00724885"/>
    <w:rsid w:val="007320A4"/>
    <w:rsid w:val="00733ACF"/>
    <w:rsid w:val="00733CBE"/>
    <w:rsid w:val="0073540C"/>
    <w:rsid w:val="00735596"/>
    <w:rsid w:val="00735D7F"/>
    <w:rsid w:val="007371D7"/>
    <w:rsid w:val="0073750C"/>
    <w:rsid w:val="00740B2E"/>
    <w:rsid w:val="007411D4"/>
    <w:rsid w:val="007435B9"/>
    <w:rsid w:val="00743726"/>
    <w:rsid w:val="00744D62"/>
    <w:rsid w:val="00745FE8"/>
    <w:rsid w:val="007460CA"/>
    <w:rsid w:val="0074703D"/>
    <w:rsid w:val="00747C91"/>
    <w:rsid w:val="0075008F"/>
    <w:rsid w:val="0075037F"/>
    <w:rsid w:val="00753744"/>
    <w:rsid w:val="00753ABE"/>
    <w:rsid w:val="0075444C"/>
    <w:rsid w:val="00755A73"/>
    <w:rsid w:val="00756064"/>
    <w:rsid w:val="007569B8"/>
    <w:rsid w:val="007603EE"/>
    <w:rsid w:val="00760E17"/>
    <w:rsid w:val="00760F07"/>
    <w:rsid w:val="00762980"/>
    <w:rsid w:val="0076305B"/>
    <w:rsid w:val="00764019"/>
    <w:rsid w:val="0076417D"/>
    <w:rsid w:val="007667BD"/>
    <w:rsid w:val="00770089"/>
    <w:rsid w:val="00770192"/>
    <w:rsid w:val="0077082E"/>
    <w:rsid w:val="00770F75"/>
    <w:rsid w:val="0077138F"/>
    <w:rsid w:val="00771751"/>
    <w:rsid w:val="00772062"/>
    <w:rsid w:val="007723BF"/>
    <w:rsid w:val="007734F9"/>
    <w:rsid w:val="00773785"/>
    <w:rsid w:val="00773C5A"/>
    <w:rsid w:val="007742BD"/>
    <w:rsid w:val="00776BC3"/>
    <w:rsid w:val="0078132F"/>
    <w:rsid w:val="00781B53"/>
    <w:rsid w:val="00781F72"/>
    <w:rsid w:val="00782256"/>
    <w:rsid w:val="007830DC"/>
    <w:rsid w:val="007838E0"/>
    <w:rsid w:val="007839ED"/>
    <w:rsid w:val="00784548"/>
    <w:rsid w:val="007902CE"/>
    <w:rsid w:val="00791568"/>
    <w:rsid w:val="007916F9"/>
    <w:rsid w:val="00791F7F"/>
    <w:rsid w:val="00792660"/>
    <w:rsid w:val="00792A76"/>
    <w:rsid w:val="00792F41"/>
    <w:rsid w:val="00793CFE"/>
    <w:rsid w:val="007953A8"/>
    <w:rsid w:val="007957E7"/>
    <w:rsid w:val="00797375"/>
    <w:rsid w:val="007A12D7"/>
    <w:rsid w:val="007A1EDB"/>
    <w:rsid w:val="007A37F2"/>
    <w:rsid w:val="007A4212"/>
    <w:rsid w:val="007A5C92"/>
    <w:rsid w:val="007A6776"/>
    <w:rsid w:val="007A7E53"/>
    <w:rsid w:val="007B0CB8"/>
    <w:rsid w:val="007B1592"/>
    <w:rsid w:val="007B22E8"/>
    <w:rsid w:val="007B3FCD"/>
    <w:rsid w:val="007B5019"/>
    <w:rsid w:val="007B52CD"/>
    <w:rsid w:val="007B7B17"/>
    <w:rsid w:val="007C33F9"/>
    <w:rsid w:val="007C389F"/>
    <w:rsid w:val="007C47E1"/>
    <w:rsid w:val="007C59BE"/>
    <w:rsid w:val="007C69BD"/>
    <w:rsid w:val="007C74F0"/>
    <w:rsid w:val="007C79FC"/>
    <w:rsid w:val="007D04CE"/>
    <w:rsid w:val="007D10B9"/>
    <w:rsid w:val="007D1C75"/>
    <w:rsid w:val="007D2FAE"/>
    <w:rsid w:val="007D4124"/>
    <w:rsid w:val="007D431E"/>
    <w:rsid w:val="007D4AF7"/>
    <w:rsid w:val="007D5356"/>
    <w:rsid w:val="007D5C41"/>
    <w:rsid w:val="007D6207"/>
    <w:rsid w:val="007D7EEC"/>
    <w:rsid w:val="007E1C0F"/>
    <w:rsid w:val="007E285C"/>
    <w:rsid w:val="007E3510"/>
    <w:rsid w:val="007E3BEA"/>
    <w:rsid w:val="007E4D19"/>
    <w:rsid w:val="007E581E"/>
    <w:rsid w:val="007E5B50"/>
    <w:rsid w:val="007E5ED3"/>
    <w:rsid w:val="007E69D2"/>
    <w:rsid w:val="007F0233"/>
    <w:rsid w:val="007F062B"/>
    <w:rsid w:val="007F255C"/>
    <w:rsid w:val="007F3990"/>
    <w:rsid w:val="007F48F8"/>
    <w:rsid w:val="007F521C"/>
    <w:rsid w:val="007F5736"/>
    <w:rsid w:val="007F7119"/>
    <w:rsid w:val="007F78F3"/>
    <w:rsid w:val="007F7976"/>
    <w:rsid w:val="00800097"/>
    <w:rsid w:val="008007F1"/>
    <w:rsid w:val="0080204D"/>
    <w:rsid w:val="00802735"/>
    <w:rsid w:val="00802BFE"/>
    <w:rsid w:val="00803909"/>
    <w:rsid w:val="00804229"/>
    <w:rsid w:val="008042A5"/>
    <w:rsid w:val="00805407"/>
    <w:rsid w:val="0080626B"/>
    <w:rsid w:val="00806963"/>
    <w:rsid w:val="00806CB2"/>
    <w:rsid w:val="00806DC0"/>
    <w:rsid w:val="008073BC"/>
    <w:rsid w:val="00810203"/>
    <w:rsid w:val="0081061A"/>
    <w:rsid w:val="0081181D"/>
    <w:rsid w:val="00811C30"/>
    <w:rsid w:val="0081457C"/>
    <w:rsid w:val="008174FC"/>
    <w:rsid w:val="00820204"/>
    <w:rsid w:val="00821734"/>
    <w:rsid w:val="00822196"/>
    <w:rsid w:val="0082236E"/>
    <w:rsid w:val="008227FE"/>
    <w:rsid w:val="0082305E"/>
    <w:rsid w:val="0082468F"/>
    <w:rsid w:val="00824925"/>
    <w:rsid w:val="00825DD7"/>
    <w:rsid w:val="0082702F"/>
    <w:rsid w:val="00827E8F"/>
    <w:rsid w:val="00830A77"/>
    <w:rsid w:val="00830EA9"/>
    <w:rsid w:val="008311F8"/>
    <w:rsid w:val="0083352A"/>
    <w:rsid w:val="0083566B"/>
    <w:rsid w:val="008367F3"/>
    <w:rsid w:val="00841111"/>
    <w:rsid w:val="00842735"/>
    <w:rsid w:val="00843256"/>
    <w:rsid w:val="008433A5"/>
    <w:rsid w:val="00843CA8"/>
    <w:rsid w:val="00843FCC"/>
    <w:rsid w:val="0084421A"/>
    <w:rsid w:val="00845270"/>
    <w:rsid w:val="00845280"/>
    <w:rsid w:val="00845DE9"/>
    <w:rsid w:val="00846256"/>
    <w:rsid w:val="0084638B"/>
    <w:rsid w:val="008465F9"/>
    <w:rsid w:val="008519A1"/>
    <w:rsid w:val="0085331D"/>
    <w:rsid w:val="00854513"/>
    <w:rsid w:val="008556F2"/>
    <w:rsid w:val="008571E6"/>
    <w:rsid w:val="008604BA"/>
    <w:rsid w:val="00861D08"/>
    <w:rsid w:val="00862C72"/>
    <w:rsid w:val="00862E1D"/>
    <w:rsid w:val="00863075"/>
    <w:rsid w:val="008633FF"/>
    <w:rsid w:val="00863BDA"/>
    <w:rsid w:val="00867F30"/>
    <w:rsid w:val="00871033"/>
    <w:rsid w:val="00873E83"/>
    <w:rsid w:val="00874062"/>
    <w:rsid w:val="0087463E"/>
    <w:rsid w:val="00874B74"/>
    <w:rsid w:val="00874ED6"/>
    <w:rsid w:val="00877AA1"/>
    <w:rsid w:val="00880C0D"/>
    <w:rsid w:val="00881157"/>
    <w:rsid w:val="0088161D"/>
    <w:rsid w:val="00882465"/>
    <w:rsid w:val="00887E3F"/>
    <w:rsid w:val="0089033F"/>
    <w:rsid w:val="00890886"/>
    <w:rsid w:val="008916A4"/>
    <w:rsid w:val="00891FDA"/>
    <w:rsid w:val="00897DB5"/>
    <w:rsid w:val="008A004A"/>
    <w:rsid w:val="008A17B5"/>
    <w:rsid w:val="008A20B1"/>
    <w:rsid w:val="008A3F1A"/>
    <w:rsid w:val="008A3FCF"/>
    <w:rsid w:val="008A41ED"/>
    <w:rsid w:val="008A5EAC"/>
    <w:rsid w:val="008A74AE"/>
    <w:rsid w:val="008A7C5C"/>
    <w:rsid w:val="008A7E65"/>
    <w:rsid w:val="008B0201"/>
    <w:rsid w:val="008B2760"/>
    <w:rsid w:val="008B3AC9"/>
    <w:rsid w:val="008B3DC8"/>
    <w:rsid w:val="008B4EC5"/>
    <w:rsid w:val="008B4F39"/>
    <w:rsid w:val="008B5210"/>
    <w:rsid w:val="008B62CA"/>
    <w:rsid w:val="008B7859"/>
    <w:rsid w:val="008C05F1"/>
    <w:rsid w:val="008C0827"/>
    <w:rsid w:val="008C116C"/>
    <w:rsid w:val="008C218B"/>
    <w:rsid w:val="008C59EE"/>
    <w:rsid w:val="008C59FE"/>
    <w:rsid w:val="008C6917"/>
    <w:rsid w:val="008C6DD8"/>
    <w:rsid w:val="008C764B"/>
    <w:rsid w:val="008D01FD"/>
    <w:rsid w:val="008D0383"/>
    <w:rsid w:val="008D17C0"/>
    <w:rsid w:val="008D1AFC"/>
    <w:rsid w:val="008D1F53"/>
    <w:rsid w:val="008D28A6"/>
    <w:rsid w:val="008D4441"/>
    <w:rsid w:val="008D4944"/>
    <w:rsid w:val="008D66D4"/>
    <w:rsid w:val="008D6A97"/>
    <w:rsid w:val="008D6FCF"/>
    <w:rsid w:val="008D752C"/>
    <w:rsid w:val="008D7794"/>
    <w:rsid w:val="008E0B8A"/>
    <w:rsid w:val="008E5B1C"/>
    <w:rsid w:val="008E5D54"/>
    <w:rsid w:val="008E6BCB"/>
    <w:rsid w:val="008E6D8C"/>
    <w:rsid w:val="008E7734"/>
    <w:rsid w:val="008E77CC"/>
    <w:rsid w:val="008E7D6B"/>
    <w:rsid w:val="008F0B3A"/>
    <w:rsid w:val="008F0B5B"/>
    <w:rsid w:val="008F0F5B"/>
    <w:rsid w:val="008F1736"/>
    <w:rsid w:val="008F1755"/>
    <w:rsid w:val="008F2DE5"/>
    <w:rsid w:val="008F3470"/>
    <w:rsid w:val="008F48B8"/>
    <w:rsid w:val="008F4F1E"/>
    <w:rsid w:val="008F5670"/>
    <w:rsid w:val="008F7550"/>
    <w:rsid w:val="008F7730"/>
    <w:rsid w:val="008F79EC"/>
    <w:rsid w:val="009006C0"/>
    <w:rsid w:val="00900BFA"/>
    <w:rsid w:val="00900E71"/>
    <w:rsid w:val="009021F5"/>
    <w:rsid w:val="0090234D"/>
    <w:rsid w:val="0090423C"/>
    <w:rsid w:val="0090447A"/>
    <w:rsid w:val="009049D6"/>
    <w:rsid w:val="00905BFB"/>
    <w:rsid w:val="009064EA"/>
    <w:rsid w:val="009066E0"/>
    <w:rsid w:val="00906F80"/>
    <w:rsid w:val="00907CEA"/>
    <w:rsid w:val="009106C8"/>
    <w:rsid w:val="00910C56"/>
    <w:rsid w:val="00911C93"/>
    <w:rsid w:val="00912B1E"/>
    <w:rsid w:val="00912C42"/>
    <w:rsid w:val="009141BA"/>
    <w:rsid w:val="0091531E"/>
    <w:rsid w:val="00915583"/>
    <w:rsid w:val="009163CB"/>
    <w:rsid w:val="009175F3"/>
    <w:rsid w:val="00920CF7"/>
    <w:rsid w:val="00922A4C"/>
    <w:rsid w:val="00923A8C"/>
    <w:rsid w:val="00923ACC"/>
    <w:rsid w:val="00926958"/>
    <w:rsid w:val="00926AFD"/>
    <w:rsid w:val="009317B0"/>
    <w:rsid w:val="00931F79"/>
    <w:rsid w:val="00932346"/>
    <w:rsid w:val="0093247C"/>
    <w:rsid w:val="00932D6C"/>
    <w:rsid w:val="00934359"/>
    <w:rsid w:val="00934BD3"/>
    <w:rsid w:val="00936773"/>
    <w:rsid w:val="009372EF"/>
    <w:rsid w:val="00941E59"/>
    <w:rsid w:val="00942F9A"/>
    <w:rsid w:val="00943815"/>
    <w:rsid w:val="009448C5"/>
    <w:rsid w:val="0094512F"/>
    <w:rsid w:val="009462F3"/>
    <w:rsid w:val="009509D8"/>
    <w:rsid w:val="00951437"/>
    <w:rsid w:val="0095144E"/>
    <w:rsid w:val="00951FEC"/>
    <w:rsid w:val="00953FE8"/>
    <w:rsid w:val="009572E2"/>
    <w:rsid w:val="00961107"/>
    <w:rsid w:val="00961EE4"/>
    <w:rsid w:val="00962809"/>
    <w:rsid w:val="0096392E"/>
    <w:rsid w:val="00963C94"/>
    <w:rsid w:val="00964906"/>
    <w:rsid w:val="00965F55"/>
    <w:rsid w:val="00970831"/>
    <w:rsid w:val="00970943"/>
    <w:rsid w:val="00970C86"/>
    <w:rsid w:val="00971A11"/>
    <w:rsid w:val="009724C0"/>
    <w:rsid w:val="009738CD"/>
    <w:rsid w:val="0097525F"/>
    <w:rsid w:val="0097705B"/>
    <w:rsid w:val="0098237E"/>
    <w:rsid w:val="00983723"/>
    <w:rsid w:val="00983AEF"/>
    <w:rsid w:val="00985750"/>
    <w:rsid w:val="00985B4D"/>
    <w:rsid w:val="009861F3"/>
    <w:rsid w:val="00986DDB"/>
    <w:rsid w:val="009902E7"/>
    <w:rsid w:val="00990D46"/>
    <w:rsid w:val="00990E3F"/>
    <w:rsid w:val="00993750"/>
    <w:rsid w:val="00995562"/>
    <w:rsid w:val="00995864"/>
    <w:rsid w:val="00996944"/>
    <w:rsid w:val="00996C60"/>
    <w:rsid w:val="009979AD"/>
    <w:rsid w:val="00997A9A"/>
    <w:rsid w:val="009A041A"/>
    <w:rsid w:val="009A0513"/>
    <w:rsid w:val="009A067E"/>
    <w:rsid w:val="009A0A57"/>
    <w:rsid w:val="009A0DA6"/>
    <w:rsid w:val="009A28B5"/>
    <w:rsid w:val="009A37CD"/>
    <w:rsid w:val="009A561A"/>
    <w:rsid w:val="009A6793"/>
    <w:rsid w:val="009B0374"/>
    <w:rsid w:val="009B059A"/>
    <w:rsid w:val="009B0A14"/>
    <w:rsid w:val="009B0A8A"/>
    <w:rsid w:val="009B0DA3"/>
    <w:rsid w:val="009B0E63"/>
    <w:rsid w:val="009B227B"/>
    <w:rsid w:val="009B2F24"/>
    <w:rsid w:val="009B6783"/>
    <w:rsid w:val="009C1684"/>
    <w:rsid w:val="009C2B62"/>
    <w:rsid w:val="009C3578"/>
    <w:rsid w:val="009C3DAF"/>
    <w:rsid w:val="009C3E01"/>
    <w:rsid w:val="009C426E"/>
    <w:rsid w:val="009C5092"/>
    <w:rsid w:val="009D0663"/>
    <w:rsid w:val="009D08E6"/>
    <w:rsid w:val="009D0E6F"/>
    <w:rsid w:val="009D12CD"/>
    <w:rsid w:val="009D3D90"/>
    <w:rsid w:val="009D4394"/>
    <w:rsid w:val="009D71C7"/>
    <w:rsid w:val="009D737E"/>
    <w:rsid w:val="009D7523"/>
    <w:rsid w:val="009D7801"/>
    <w:rsid w:val="009E1BA0"/>
    <w:rsid w:val="009E2289"/>
    <w:rsid w:val="009E22EF"/>
    <w:rsid w:val="009E2B2D"/>
    <w:rsid w:val="009E3102"/>
    <w:rsid w:val="009E3739"/>
    <w:rsid w:val="009E38B3"/>
    <w:rsid w:val="009E459E"/>
    <w:rsid w:val="009E46E8"/>
    <w:rsid w:val="009E5215"/>
    <w:rsid w:val="009E6E50"/>
    <w:rsid w:val="009E7CA6"/>
    <w:rsid w:val="009F0B88"/>
    <w:rsid w:val="009F0C3F"/>
    <w:rsid w:val="009F0C62"/>
    <w:rsid w:val="009F0DAB"/>
    <w:rsid w:val="009F44CA"/>
    <w:rsid w:val="009F5BD2"/>
    <w:rsid w:val="009F65A3"/>
    <w:rsid w:val="009F78B8"/>
    <w:rsid w:val="00A000C3"/>
    <w:rsid w:val="00A00DD1"/>
    <w:rsid w:val="00A01A8D"/>
    <w:rsid w:val="00A0235A"/>
    <w:rsid w:val="00A02679"/>
    <w:rsid w:val="00A04242"/>
    <w:rsid w:val="00A04C88"/>
    <w:rsid w:val="00A055F2"/>
    <w:rsid w:val="00A061A4"/>
    <w:rsid w:val="00A06EEA"/>
    <w:rsid w:val="00A07797"/>
    <w:rsid w:val="00A07BA2"/>
    <w:rsid w:val="00A11943"/>
    <w:rsid w:val="00A120C0"/>
    <w:rsid w:val="00A126CF"/>
    <w:rsid w:val="00A12926"/>
    <w:rsid w:val="00A13177"/>
    <w:rsid w:val="00A1372A"/>
    <w:rsid w:val="00A13DD5"/>
    <w:rsid w:val="00A150ED"/>
    <w:rsid w:val="00A163C2"/>
    <w:rsid w:val="00A203DA"/>
    <w:rsid w:val="00A212C9"/>
    <w:rsid w:val="00A21552"/>
    <w:rsid w:val="00A2170A"/>
    <w:rsid w:val="00A22D0A"/>
    <w:rsid w:val="00A23674"/>
    <w:rsid w:val="00A2522F"/>
    <w:rsid w:val="00A26DB5"/>
    <w:rsid w:val="00A27080"/>
    <w:rsid w:val="00A27147"/>
    <w:rsid w:val="00A27606"/>
    <w:rsid w:val="00A27A35"/>
    <w:rsid w:val="00A3180D"/>
    <w:rsid w:val="00A326AA"/>
    <w:rsid w:val="00A32EAE"/>
    <w:rsid w:val="00A33F0B"/>
    <w:rsid w:val="00A3630D"/>
    <w:rsid w:val="00A363DA"/>
    <w:rsid w:val="00A37384"/>
    <w:rsid w:val="00A4055F"/>
    <w:rsid w:val="00A40AD0"/>
    <w:rsid w:val="00A41957"/>
    <w:rsid w:val="00A41A41"/>
    <w:rsid w:val="00A425FC"/>
    <w:rsid w:val="00A4287E"/>
    <w:rsid w:val="00A44193"/>
    <w:rsid w:val="00A46AE8"/>
    <w:rsid w:val="00A47EA5"/>
    <w:rsid w:val="00A520BB"/>
    <w:rsid w:val="00A53C90"/>
    <w:rsid w:val="00A544DF"/>
    <w:rsid w:val="00A54C8F"/>
    <w:rsid w:val="00A5594A"/>
    <w:rsid w:val="00A55D22"/>
    <w:rsid w:val="00A57890"/>
    <w:rsid w:val="00A57B4E"/>
    <w:rsid w:val="00A60DEE"/>
    <w:rsid w:val="00A61283"/>
    <w:rsid w:val="00A6219D"/>
    <w:rsid w:val="00A63F3F"/>
    <w:rsid w:val="00A646DE"/>
    <w:rsid w:val="00A700A2"/>
    <w:rsid w:val="00A70DE7"/>
    <w:rsid w:val="00A72352"/>
    <w:rsid w:val="00A72AE0"/>
    <w:rsid w:val="00A73E58"/>
    <w:rsid w:val="00A749E9"/>
    <w:rsid w:val="00A74FE3"/>
    <w:rsid w:val="00A77D01"/>
    <w:rsid w:val="00A81243"/>
    <w:rsid w:val="00A83CC1"/>
    <w:rsid w:val="00A845EC"/>
    <w:rsid w:val="00A852B4"/>
    <w:rsid w:val="00A85B7F"/>
    <w:rsid w:val="00A85CF3"/>
    <w:rsid w:val="00A87547"/>
    <w:rsid w:val="00A90772"/>
    <w:rsid w:val="00A913D3"/>
    <w:rsid w:val="00A91BED"/>
    <w:rsid w:val="00A9356D"/>
    <w:rsid w:val="00A93E74"/>
    <w:rsid w:val="00A949A8"/>
    <w:rsid w:val="00A952FD"/>
    <w:rsid w:val="00A959B8"/>
    <w:rsid w:val="00A9628B"/>
    <w:rsid w:val="00A96390"/>
    <w:rsid w:val="00A97BB0"/>
    <w:rsid w:val="00AA03D7"/>
    <w:rsid w:val="00AA1382"/>
    <w:rsid w:val="00AA196D"/>
    <w:rsid w:val="00AA1F7D"/>
    <w:rsid w:val="00AA220C"/>
    <w:rsid w:val="00AA31FA"/>
    <w:rsid w:val="00AA341B"/>
    <w:rsid w:val="00AA4F8E"/>
    <w:rsid w:val="00AA58FB"/>
    <w:rsid w:val="00AA6BEC"/>
    <w:rsid w:val="00AA7115"/>
    <w:rsid w:val="00AB0220"/>
    <w:rsid w:val="00AB1D5F"/>
    <w:rsid w:val="00AB1D74"/>
    <w:rsid w:val="00AB262A"/>
    <w:rsid w:val="00AB2C25"/>
    <w:rsid w:val="00AB4B48"/>
    <w:rsid w:val="00AB4FFF"/>
    <w:rsid w:val="00AB55DE"/>
    <w:rsid w:val="00AB5B42"/>
    <w:rsid w:val="00AB656C"/>
    <w:rsid w:val="00AB65D2"/>
    <w:rsid w:val="00AB66B3"/>
    <w:rsid w:val="00AB6CFB"/>
    <w:rsid w:val="00AC0CBA"/>
    <w:rsid w:val="00AC136B"/>
    <w:rsid w:val="00AC28DE"/>
    <w:rsid w:val="00AC4A36"/>
    <w:rsid w:val="00AC5219"/>
    <w:rsid w:val="00AC6A1B"/>
    <w:rsid w:val="00AC6CBD"/>
    <w:rsid w:val="00AD047E"/>
    <w:rsid w:val="00AD3355"/>
    <w:rsid w:val="00AD376A"/>
    <w:rsid w:val="00AD54FB"/>
    <w:rsid w:val="00AD565F"/>
    <w:rsid w:val="00AD5F2B"/>
    <w:rsid w:val="00AD6003"/>
    <w:rsid w:val="00AD6C7F"/>
    <w:rsid w:val="00AD7C20"/>
    <w:rsid w:val="00AE0361"/>
    <w:rsid w:val="00AE169A"/>
    <w:rsid w:val="00AE1C64"/>
    <w:rsid w:val="00AE2742"/>
    <w:rsid w:val="00AE2E10"/>
    <w:rsid w:val="00AE3100"/>
    <w:rsid w:val="00AE3547"/>
    <w:rsid w:val="00AE36E5"/>
    <w:rsid w:val="00AE3C65"/>
    <w:rsid w:val="00AF0BC0"/>
    <w:rsid w:val="00AF10DF"/>
    <w:rsid w:val="00AF21E6"/>
    <w:rsid w:val="00AF2BB0"/>
    <w:rsid w:val="00AF5288"/>
    <w:rsid w:val="00AF5D31"/>
    <w:rsid w:val="00AF655B"/>
    <w:rsid w:val="00AF75E2"/>
    <w:rsid w:val="00AF7B04"/>
    <w:rsid w:val="00B008C0"/>
    <w:rsid w:val="00B0302C"/>
    <w:rsid w:val="00B06365"/>
    <w:rsid w:val="00B068A0"/>
    <w:rsid w:val="00B1155E"/>
    <w:rsid w:val="00B1289A"/>
    <w:rsid w:val="00B12987"/>
    <w:rsid w:val="00B13340"/>
    <w:rsid w:val="00B13763"/>
    <w:rsid w:val="00B17464"/>
    <w:rsid w:val="00B224F7"/>
    <w:rsid w:val="00B23633"/>
    <w:rsid w:val="00B238B0"/>
    <w:rsid w:val="00B240CE"/>
    <w:rsid w:val="00B25132"/>
    <w:rsid w:val="00B2520D"/>
    <w:rsid w:val="00B25BB6"/>
    <w:rsid w:val="00B262F8"/>
    <w:rsid w:val="00B27A67"/>
    <w:rsid w:val="00B27D70"/>
    <w:rsid w:val="00B316A1"/>
    <w:rsid w:val="00B319BF"/>
    <w:rsid w:val="00B31F8B"/>
    <w:rsid w:val="00B35BFC"/>
    <w:rsid w:val="00B36341"/>
    <w:rsid w:val="00B366A1"/>
    <w:rsid w:val="00B36C30"/>
    <w:rsid w:val="00B37052"/>
    <w:rsid w:val="00B40CCC"/>
    <w:rsid w:val="00B42707"/>
    <w:rsid w:val="00B432A0"/>
    <w:rsid w:val="00B46D5E"/>
    <w:rsid w:val="00B4720A"/>
    <w:rsid w:val="00B50716"/>
    <w:rsid w:val="00B50FC5"/>
    <w:rsid w:val="00B53690"/>
    <w:rsid w:val="00B539C5"/>
    <w:rsid w:val="00B55F78"/>
    <w:rsid w:val="00B561E8"/>
    <w:rsid w:val="00B57549"/>
    <w:rsid w:val="00B60A7D"/>
    <w:rsid w:val="00B64C19"/>
    <w:rsid w:val="00B67970"/>
    <w:rsid w:val="00B67996"/>
    <w:rsid w:val="00B71688"/>
    <w:rsid w:val="00B720D3"/>
    <w:rsid w:val="00B72118"/>
    <w:rsid w:val="00B7286F"/>
    <w:rsid w:val="00B72C7B"/>
    <w:rsid w:val="00B7431E"/>
    <w:rsid w:val="00B74E47"/>
    <w:rsid w:val="00B75D26"/>
    <w:rsid w:val="00B768E2"/>
    <w:rsid w:val="00B769AD"/>
    <w:rsid w:val="00B80285"/>
    <w:rsid w:val="00B81025"/>
    <w:rsid w:val="00B81D11"/>
    <w:rsid w:val="00B82F46"/>
    <w:rsid w:val="00B83D3B"/>
    <w:rsid w:val="00B905EC"/>
    <w:rsid w:val="00B90C10"/>
    <w:rsid w:val="00B919C4"/>
    <w:rsid w:val="00B9252C"/>
    <w:rsid w:val="00B92A35"/>
    <w:rsid w:val="00B93928"/>
    <w:rsid w:val="00B93E5D"/>
    <w:rsid w:val="00B9498B"/>
    <w:rsid w:val="00B951B1"/>
    <w:rsid w:val="00B95617"/>
    <w:rsid w:val="00B96277"/>
    <w:rsid w:val="00B979BD"/>
    <w:rsid w:val="00B97A23"/>
    <w:rsid w:val="00BA2537"/>
    <w:rsid w:val="00BA4337"/>
    <w:rsid w:val="00BA4549"/>
    <w:rsid w:val="00BA4A84"/>
    <w:rsid w:val="00BA4C9A"/>
    <w:rsid w:val="00BA53B5"/>
    <w:rsid w:val="00BA68DB"/>
    <w:rsid w:val="00BA77F8"/>
    <w:rsid w:val="00BA7ABE"/>
    <w:rsid w:val="00BB0A71"/>
    <w:rsid w:val="00BB201E"/>
    <w:rsid w:val="00BB3E2D"/>
    <w:rsid w:val="00BB3E77"/>
    <w:rsid w:val="00BB4CA4"/>
    <w:rsid w:val="00BB5C1E"/>
    <w:rsid w:val="00BB6DF6"/>
    <w:rsid w:val="00BB7AA8"/>
    <w:rsid w:val="00BC034A"/>
    <w:rsid w:val="00BC0359"/>
    <w:rsid w:val="00BC1EBF"/>
    <w:rsid w:val="00BC259A"/>
    <w:rsid w:val="00BC2E68"/>
    <w:rsid w:val="00BC44B6"/>
    <w:rsid w:val="00BC4660"/>
    <w:rsid w:val="00BC4B13"/>
    <w:rsid w:val="00BC79C0"/>
    <w:rsid w:val="00BD0539"/>
    <w:rsid w:val="00BD1D37"/>
    <w:rsid w:val="00BD212B"/>
    <w:rsid w:val="00BD258C"/>
    <w:rsid w:val="00BD42DB"/>
    <w:rsid w:val="00BD6245"/>
    <w:rsid w:val="00BD645D"/>
    <w:rsid w:val="00BD7228"/>
    <w:rsid w:val="00BE0B2D"/>
    <w:rsid w:val="00BE1049"/>
    <w:rsid w:val="00BE152E"/>
    <w:rsid w:val="00BE17A9"/>
    <w:rsid w:val="00BE231E"/>
    <w:rsid w:val="00BE2918"/>
    <w:rsid w:val="00BE3468"/>
    <w:rsid w:val="00BE38FD"/>
    <w:rsid w:val="00BE407A"/>
    <w:rsid w:val="00BE595A"/>
    <w:rsid w:val="00BE5FEF"/>
    <w:rsid w:val="00BE6077"/>
    <w:rsid w:val="00BE6E38"/>
    <w:rsid w:val="00BE7866"/>
    <w:rsid w:val="00BF1413"/>
    <w:rsid w:val="00BF19C4"/>
    <w:rsid w:val="00BF31CE"/>
    <w:rsid w:val="00BF3BAD"/>
    <w:rsid w:val="00BF3CBD"/>
    <w:rsid w:val="00BF3CCB"/>
    <w:rsid w:val="00BF411A"/>
    <w:rsid w:val="00BF423A"/>
    <w:rsid w:val="00BF4C2E"/>
    <w:rsid w:val="00C00B5F"/>
    <w:rsid w:val="00C00D58"/>
    <w:rsid w:val="00C0201C"/>
    <w:rsid w:val="00C020DA"/>
    <w:rsid w:val="00C027FC"/>
    <w:rsid w:val="00C02A15"/>
    <w:rsid w:val="00C02C4F"/>
    <w:rsid w:val="00C0327F"/>
    <w:rsid w:val="00C03379"/>
    <w:rsid w:val="00C0387E"/>
    <w:rsid w:val="00C0691A"/>
    <w:rsid w:val="00C075C4"/>
    <w:rsid w:val="00C076EA"/>
    <w:rsid w:val="00C1083D"/>
    <w:rsid w:val="00C11957"/>
    <w:rsid w:val="00C15908"/>
    <w:rsid w:val="00C1747F"/>
    <w:rsid w:val="00C20E79"/>
    <w:rsid w:val="00C226E8"/>
    <w:rsid w:val="00C233B8"/>
    <w:rsid w:val="00C25BEE"/>
    <w:rsid w:val="00C26F1C"/>
    <w:rsid w:val="00C27191"/>
    <w:rsid w:val="00C325E4"/>
    <w:rsid w:val="00C3280C"/>
    <w:rsid w:val="00C34899"/>
    <w:rsid w:val="00C356C1"/>
    <w:rsid w:val="00C35E26"/>
    <w:rsid w:val="00C36C28"/>
    <w:rsid w:val="00C3701E"/>
    <w:rsid w:val="00C370F2"/>
    <w:rsid w:val="00C41118"/>
    <w:rsid w:val="00C4233A"/>
    <w:rsid w:val="00C446A8"/>
    <w:rsid w:val="00C44DC2"/>
    <w:rsid w:val="00C50014"/>
    <w:rsid w:val="00C50018"/>
    <w:rsid w:val="00C50E68"/>
    <w:rsid w:val="00C510DE"/>
    <w:rsid w:val="00C52C2C"/>
    <w:rsid w:val="00C5443A"/>
    <w:rsid w:val="00C54C6E"/>
    <w:rsid w:val="00C569A3"/>
    <w:rsid w:val="00C60FF1"/>
    <w:rsid w:val="00C613B7"/>
    <w:rsid w:val="00C61512"/>
    <w:rsid w:val="00C61ED0"/>
    <w:rsid w:val="00C644A6"/>
    <w:rsid w:val="00C64CE8"/>
    <w:rsid w:val="00C65E9D"/>
    <w:rsid w:val="00C669BE"/>
    <w:rsid w:val="00C67B82"/>
    <w:rsid w:val="00C67D1A"/>
    <w:rsid w:val="00C67FE1"/>
    <w:rsid w:val="00C704B7"/>
    <w:rsid w:val="00C70780"/>
    <w:rsid w:val="00C70F44"/>
    <w:rsid w:val="00C71D94"/>
    <w:rsid w:val="00C73155"/>
    <w:rsid w:val="00C742DC"/>
    <w:rsid w:val="00C7447E"/>
    <w:rsid w:val="00C74C5F"/>
    <w:rsid w:val="00C75B3B"/>
    <w:rsid w:val="00C76852"/>
    <w:rsid w:val="00C7767B"/>
    <w:rsid w:val="00C77D9C"/>
    <w:rsid w:val="00C81D27"/>
    <w:rsid w:val="00C81EC7"/>
    <w:rsid w:val="00C83562"/>
    <w:rsid w:val="00C847AF"/>
    <w:rsid w:val="00C860DD"/>
    <w:rsid w:val="00C8699E"/>
    <w:rsid w:val="00C8752E"/>
    <w:rsid w:val="00C8754B"/>
    <w:rsid w:val="00C901B4"/>
    <w:rsid w:val="00C92F49"/>
    <w:rsid w:val="00C944BE"/>
    <w:rsid w:val="00C959C7"/>
    <w:rsid w:val="00C979A5"/>
    <w:rsid w:val="00CA07AB"/>
    <w:rsid w:val="00CA2595"/>
    <w:rsid w:val="00CA3052"/>
    <w:rsid w:val="00CA3130"/>
    <w:rsid w:val="00CA3806"/>
    <w:rsid w:val="00CA4F74"/>
    <w:rsid w:val="00CA518A"/>
    <w:rsid w:val="00CA5899"/>
    <w:rsid w:val="00CA5A6F"/>
    <w:rsid w:val="00CA5C5C"/>
    <w:rsid w:val="00CA69F1"/>
    <w:rsid w:val="00CB0AFA"/>
    <w:rsid w:val="00CB0B3E"/>
    <w:rsid w:val="00CB0F17"/>
    <w:rsid w:val="00CB1461"/>
    <w:rsid w:val="00CB14F9"/>
    <w:rsid w:val="00CB1680"/>
    <w:rsid w:val="00CB3318"/>
    <w:rsid w:val="00CB3839"/>
    <w:rsid w:val="00CB465A"/>
    <w:rsid w:val="00CB6C6D"/>
    <w:rsid w:val="00CB73FC"/>
    <w:rsid w:val="00CB77CE"/>
    <w:rsid w:val="00CC05D0"/>
    <w:rsid w:val="00CC198C"/>
    <w:rsid w:val="00CC2078"/>
    <w:rsid w:val="00CC5CB2"/>
    <w:rsid w:val="00CD10B1"/>
    <w:rsid w:val="00CD118D"/>
    <w:rsid w:val="00CD13CF"/>
    <w:rsid w:val="00CD38F0"/>
    <w:rsid w:val="00CD3EE5"/>
    <w:rsid w:val="00CD4D5D"/>
    <w:rsid w:val="00CD5018"/>
    <w:rsid w:val="00CD7168"/>
    <w:rsid w:val="00CE0116"/>
    <w:rsid w:val="00CE0AE1"/>
    <w:rsid w:val="00CE0E02"/>
    <w:rsid w:val="00CE13A5"/>
    <w:rsid w:val="00CE267D"/>
    <w:rsid w:val="00CE285C"/>
    <w:rsid w:val="00CE2942"/>
    <w:rsid w:val="00CE43E0"/>
    <w:rsid w:val="00CE44DA"/>
    <w:rsid w:val="00CE5D7B"/>
    <w:rsid w:val="00CE620E"/>
    <w:rsid w:val="00CE78C5"/>
    <w:rsid w:val="00CE7D3D"/>
    <w:rsid w:val="00CF09E4"/>
    <w:rsid w:val="00CF0F7A"/>
    <w:rsid w:val="00CF175E"/>
    <w:rsid w:val="00CF199D"/>
    <w:rsid w:val="00CF4835"/>
    <w:rsid w:val="00CF53F5"/>
    <w:rsid w:val="00CF5885"/>
    <w:rsid w:val="00CF598D"/>
    <w:rsid w:val="00CF7A5C"/>
    <w:rsid w:val="00CF7B6A"/>
    <w:rsid w:val="00CF7DAD"/>
    <w:rsid w:val="00D01126"/>
    <w:rsid w:val="00D012D3"/>
    <w:rsid w:val="00D01B8A"/>
    <w:rsid w:val="00D02587"/>
    <w:rsid w:val="00D03382"/>
    <w:rsid w:val="00D038AC"/>
    <w:rsid w:val="00D04A67"/>
    <w:rsid w:val="00D056A2"/>
    <w:rsid w:val="00D07B47"/>
    <w:rsid w:val="00D10BD3"/>
    <w:rsid w:val="00D11B9B"/>
    <w:rsid w:val="00D12A9F"/>
    <w:rsid w:val="00D14BF6"/>
    <w:rsid w:val="00D16593"/>
    <w:rsid w:val="00D17764"/>
    <w:rsid w:val="00D178E0"/>
    <w:rsid w:val="00D204A8"/>
    <w:rsid w:val="00D20C5C"/>
    <w:rsid w:val="00D20E6F"/>
    <w:rsid w:val="00D21E06"/>
    <w:rsid w:val="00D23214"/>
    <w:rsid w:val="00D25E4D"/>
    <w:rsid w:val="00D26A0C"/>
    <w:rsid w:val="00D2700C"/>
    <w:rsid w:val="00D307ED"/>
    <w:rsid w:val="00D3260A"/>
    <w:rsid w:val="00D32B32"/>
    <w:rsid w:val="00D336B8"/>
    <w:rsid w:val="00D336FC"/>
    <w:rsid w:val="00D34819"/>
    <w:rsid w:val="00D353B7"/>
    <w:rsid w:val="00D37365"/>
    <w:rsid w:val="00D3778B"/>
    <w:rsid w:val="00D37F0C"/>
    <w:rsid w:val="00D4133C"/>
    <w:rsid w:val="00D41F4D"/>
    <w:rsid w:val="00D42A06"/>
    <w:rsid w:val="00D440C9"/>
    <w:rsid w:val="00D44A45"/>
    <w:rsid w:val="00D44B4F"/>
    <w:rsid w:val="00D463E2"/>
    <w:rsid w:val="00D47B67"/>
    <w:rsid w:val="00D5114F"/>
    <w:rsid w:val="00D53F84"/>
    <w:rsid w:val="00D54F99"/>
    <w:rsid w:val="00D551DF"/>
    <w:rsid w:val="00D56944"/>
    <w:rsid w:val="00D56954"/>
    <w:rsid w:val="00D56DBB"/>
    <w:rsid w:val="00D61408"/>
    <w:rsid w:val="00D62E47"/>
    <w:rsid w:val="00D6457D"/>
    <w:rsid w:val="00D70A58"/>
    <w:rsid w:val="00D7211C"/>
    <w:rsid w:val="00D72235"/>
    <w:rsid w:val="00D723CF"/>
    <w:rsid w:val="00D72E33"/>
    <w:rsid w:val="00D73229"/>
    <w:rsid w:val="00D74BF3"/>
    <w:rsid w:val="00D74C4C"/>
    <w:rsid w:val="00D75C1C"/>
    <w:rsid w:val="00D80252"/>
    <w:rsid w:val="00D819B7"/>
    <w:rsid w:val="00D8201D"/>
    <w:rsid w:val="00D8230A"/>
    <w:rsid w:val="00D8251C"/>
    <w:rsid w:val="00D82A24"/>
    <w:rsid w:val="00D82CEC"/>
    <w:rsid w:val="00D82DB4"/>
    <w:rsid w:val="00D83B95"/>
    <w:rsid w:val="00D846CA"/>
    <w:rsid w:val="00D84A3C"/>
    <w:rsid w:val="00D92179"/>
    <w:rsid w:val="00D94567"/>
    <w:rsid w:val="00D9647E"/>
    <w:rsid w:val="00DA50E1"/>
    <w:rsid w:val="00DA5C32"/>
    <w:rsid w:val="00DA5E71"/>
    <w:rsid w:val="00DA6D7B"/>
    <w:rsid w:val="00DA770E"/>
    <w:rsid w:val="00DB0BF5"/>
    <w:rsid w:val="00DB0CEC"/>
    <w:rsid w:val="00DB1185"/>
    <w:rsid w:val="00DB14A1"/>
    <w:rsid w:val="00DB15DF"/>
    <w:rsid w:val="00DB3C6E"/>
    <w:rsid w:val="00DB3D51"/>
    <w:rsid w:val="00DB4281"/>
    <w:rsid w:val="00DB7133"/>
    <w:rsid w:val="00DC0208"/>
    <w:rsid w:val="00DC200D"/>
    <w:rsid w:val="00DC465C"/>
    <w:rsid w:val="00DC4F6F"/>
    <w:rsid w:val="00DC6E1E"/>
    <w:rsid w:val="00DD3415"/>
    <w:rsid w:val="00DD4374"/>
    <w:rsid w:val="00DD438A"/>
    <w:rsid w:val="00DD6502"/>
    <w:rsid w:val="00DD6E07"/>
    <w:rsid w:val="00DD6EFD"/>
    <w:rsid w:val="00DD714C"/>
    <w:rsid w:val="00DE0AD3"/>
    <w:rsid w:val="00DE0CDD"/>
    <w:rsid w:val="00DE1254"/>
    <w:rsid w:val="00DE29D7"/>
    <w:rsid w:val="00DE3681"/>
    <w:rsid w:val="00DE3784"/>
    <w:rsid w:val="00DE4B4B"/>
    <w:rsid w:val="00DE4B85"/>
    <w:rsid w:val="00DE5C23"/>
    <w:rsid w:val="00DE7542"/>
    <w:rsid w:val="00DF272D"/>
    <w:rsid w:val="00DF33DB"/>
    <w:rsid w:val="00DF55DF"/>
    <w:rsid w:val="00DF5A32"/>
    <w:rsid w:val="00DF6052"/>
    <w:rsid w:val="00DF61D8"/>
    <w:rsid w:val="00E0083E"/>
    <w:rsid w:val="00E00930"/>
    <w:rsid w:val="00E024D2"/>
    <w:rsid w:val="00E030C9"/>
    <w:rsid w:val="00E04649"/>
    <w:rsid w:val="00E05439"/>
    <w:rsid w:val="00E05F1D"/>
    <w:rsid w:val="00E10534"/>
    <w:rsid w:val="00E10E43"/>
    <w:rsid w:val="00E10E97"/>
    <w:rsid w:val="00E11C67"/>
    <w:rsid w:val="00E13846"/>
    <w:rsid w:val="00E13CFC"/>
    <w:rsid w:val="00E14310"/>
    <w:rsid w:val="00E20689"/>
    <w:rsid w:val="00E20D35"/>
    <w:rsid w:val="00E22084"/>
    <w:rsid w:val="00E22767"/>
    <w:rsid w:val="00E22AD4"/>
    <w:rsid w:val="00E245A6"/>
    <w:rsid w:val="00E24EE7"/>
    <w:rsid w:val="00E25B06"/>
    <w:rsid w:val="00E25C2D"/>
    <w:rsid w:val="00E2791D"/>
    <w:rsid w:val="00E304DD"/>
    <w:rsid w:val="00E32A1D"/>
    <w:rsid w:val="00E32DFF"/>
    <w:rsid w:val="00E33788"/>
    <w:rsid w:val="00E3410E"/>
    <w:rsid w:val="00E35415"/>
    <w:rsid w:val="00E37525"/>
    <w:rsid w:val="00E376AE"/>
    <w:rsid w:val="00E4045B"/>
    <w:rsid w:val="00E41D60"/>
    <w:rsid w:val="00E420B0"/>
    <w:rsid w:val="00E42A3E"/>
    <w:rsid w:val="00E450B0"/>
    <w:rsid w:val="00E45FF5"/>
    <w:rsid w:val="00E5019D"/>
    <w:rsid w:val="00E50B0C"/>
    <w:rsid w:val="00E53E5F"/>
    <w:rsid w:val="00E54339"/>
    <w:rsid w:val="00E5450D"/>
    <w:rsid w:val="00E57A45"/>
    <w:rsid w:val="00E57D7F"/>
    <w:rsid w:val="00E613F6"/>
    <w:rsid w:val="00E62A00"/>
    <w:rsid w:val="00E62B57"/>
    <w:rsid w:val="00E63261"/>
    <w:rsid w:val="00E63383"/>
    <w:rsid w:val="00E63412"/>
    <w:rsid w:val="00E6347A"/>
    <w:rsid w:val="00E63E21"/>
    <w:rsid w:val="00E66849"/>
    <w:rsid w:val="00E67A03"/>
    <w:rsid w:val="00E7010B"/>
    <w:rsid w:val="00E70BA3"/>
    <w:rsid w:val="00E7139A"/>
    <w:rsid w:val="00E7148B"/>
    <w:rsid w:val="00E71513"/>
    <w:rsid w:val="00E72A9F"/>
    <w:rsid w:val="00E72F35"/>
    <w:rsid w:val="00E8003D"/>
    <w:rsid w:val="00E83567"/>
    <w:rsid w:val="00E8394E"/>
    <w:rsid w:val="00E84081"/>
    <w:rsid w:val="00E84FBC"/>
    <w:rsid w:val="00E8578F"/>
    <w:rsid w:val="00E875C4"/>
    <w:rsid w:val="00E876BF"/>
    <w:rsid w:val="00E87AA9"/>
    <w:rsid w:val="00E87B4C"/>
    <w:rsid w:val="00E90397"/>
    <w:rsid w:val="00E908A5"/>
    <w:rsid w:val="00E90BDB"/>
    <w:rsid w:val="00E9160D"/>
    <w:rsid w:val="00E91B23"/>
    <w:rsid w:val="00E91BCE"/>
    <w:rsid w:val="00E92407"/>
    <w:rsid w:val="00E9262A"/>
    <w:rsid w:val="00E927E9"/>
    <w:rsid w:val="00E92B66"/>
    <w:rsid w:val="00E95A27"/>
    <w:rsid w:val="00E975B6"/>
    <w:rsid w:val="00E9781B"/>
    <w:rsid w:val="00EA0A6E"/>
    <w:rsid w:val="00EA2C54"/>
    <w:rsid w:val="00EA2EC5"/>
    <w:rsid w:val="00EA3CBF"/>
    <w:rsid w:val="00EA5586"/>
    <w:rsid w:val="00EA6A93"/>
    <w:rsid w:val="00EA77C5"/>
    <w:rsid w:val="00EA7B8F"/>
    <w:rsid w:val="00EB1275"/>
    <w:rsid w:val="00EB2E59"/>
    <w:rsid w:val="00EB39F9"/>
    <w:rsid w:val="00EB3B8B"/>
    <w:rsid w:val="00EB3DA4"/>
    <w:rsid w:val="00EB4C32"/>
    <w:rsid w:val="00EB512C"/>
    <w:rsid w:val="00EB5CE0"/>
    <w:rsid w:val="00EB6DB1"/>
    <w:rsid w:val="00EB7914"/>
    <w:rsid w:val="00EC0E82"/>
    <w:rsid w:val="00EC1B98"/>
    <w:rsid w:val="00EC212C"/>
    <w:rsid w:val="00EC21AD"/>
    <w:rsid w:val="00EC3A14"/>
    <w:rsid w:val="00EC6507"/>
    <w:rsid w:val="00ED08E0"/>
    <w:rsid w:val="00ED0A35"/>
    <w:rsid w:val="00ED0E52"/>
    <w:rsid w:val="00ED208B"/>
    <w:rsid w:val="00ED2129"/>
    <w:rsid w:val="00ED3242"/>
    <w:rsid w:val="00ED3ECF"/>
    <w:rsid w:val="00ED5C46"/>
    <w:rsid w:val="00ED619C"/>
    <w:rsid w:val="00ED627A"/>
    <w:rsid w:val="00ED6D4F"/>
    <w:rsid w:val="00EE1AF9"/>
    <w:rsid w:val="00EE2602"/>
    <w:rsid w:val="00EE2DA4"/>
    <w:rsid w:val="00EE3490"/>
    <w:rsid w:val="00EE3CAE"/>
    <w:rsid w:val="00EE4132"/>
    <w:rsid w:val="00EE42E5"/>
    <w:rsid w:val="00EE669C"/>
    <w:rsid w:val="00EE6DC8"/>
    <w:rsid w:val="00EE7827"/>
    <w:rsid w:val="00EF0368"/>
    <w:rsid w:val="00EF1231"/>
    <w:rsid w:val="00EF14C7"/>
    <w:rsid w:val="00EF469E"/>
    <w:rsid w:val="00EF5B11"/>
    <w:rsid w:val="00F00060"/>
    <w:rsid w:val="00F000D3"/>
    <w:rsid w:val="00F00DEC"/>
    <w:rsid w:val="00F01498"/>
    <w:rsid w:val="00F015C6"/>
    <w:rsid w:val="00F029E6"/>
    <w:rsid w:val="00F0311A"/>
    <w:rsid w:val="00F04CB3"/>
    <w:rsid w:val="00F05BBE"/>
    <w:rsid w:val="00F072DE"/>
    <w:rsid w:val="00F07323"/>
    <w:rsid w:val="00F0772F"/>
    <w:rsid w:val="00F10B2A"/>
    <w:rsid w:val="00F10E1E"/>
    <w:rsid w:val="00F1110B"/>
    <w:rsid w:val="00F1392B"/>
    <w:rsid w:val="00F13C51"/>
    <w:rsid w:val="00F15160"/>
    <w:rsid w:val="00F16205"/>
    <w:rsid w:val="00F1633B"/>
    <w:rsid w:val="00F172D8"/>
    <w:rsid w:val="00F17428"/>
    <w:rsid w:val="00F17D6E"/>
    <w:rsid w:val="00F2043B"/>
    <w:rsid w:val="00F209B2"/>
    <w:rsid w:val="00F21DC2"/>
    <w:rsid w:val="00F242C1"/>
    <w:rsid w:val="00F26236"/>
    <w:rsid w:val="00F26367"/>
    <w:rsid w:val="00F267CA"/>
    <w:rsid w:val="00F2711A"/>
    <w:rsid w:val="00F2778E"/>
    <w:rsid w:val="00F30696"/>
    <w:rsid w:val="00F34D03"/>
    <w:rsid w:val="00F35480"/>
    <w:rsid w:val="00F3576A"/>
    <w:rsid w:val="00F35B2B"/>
    <w:rsid w:val="00F37B26"/>
    <w:rsid w:val="00F37D3A"/>
    <w:rsid w:val="00F40B47"/>
    <w:rsid w:val="00F439AD"/>
    <w:rsid w:val="00F44D62"/>
    <w:rsid w:val="00F451C5"/>
    <w:rsid w:val="00F457E5"/>
    <w:rsid w:val="00F45A2A"/>
    <w:rsid w:val="00F4664B"/>
    <w:rsid w:val="00F468FE"/>
    <w:rsid w:val="00F47521"/>
    <w:rsid w:val="00F476A1"/>
    <w:rsid w:val="00F533A3"/>
    <w:rsid w:val="00F5764C"/>
    <w:rsid w:val="00F576F1"/>
    <w:rsid w:val="00F62DC9"/>
    <w:rsid w:val="00F6463B"/>
    <w:rsid w:val="00F656D5"/>
    <w:rsid w:val="00F65C1B"/>
    <w:rsid w:val="00F718BA"/>
    <w:rsid w:val="00F71D56"/>
    <w:rsid w:val="00F7207D"/>
    <w:rsid w:val="00F722CD"/>
    <w:rsid w:val="00F7526B"/>
    <w:rsid w:val="00F80355"/>
    <w:rsid w:val="00F8366A"/>
    <w:rsid w:val="00F8387B"/>
    <w:rsid w:val="00F85C06"/>
    <w:rsid w:val="00F87597"/>
    <w:rsid w:val="00F92160"/>
    <w:rsid w:val="00F937C4"/>
    <w:rsid w:val="00F946AC"/>
    <w:rsid w:val="00F950A3"/>
    <w:rsid w:val="00F967BC"/>
    <w:rsid w:val="00F9760E"/>
    <w:rsid w:val="00FA0C0A"/>
    <w:rsid w:val="00FA0E10"/>
    <w:rsid w:val="00FA11A4"/>
    <w:rsid w:val="00FA27DB"/>
    <w:rsid w:val="00FA27DF"/>
    <w:rsid w:val="00FA43B4"/>
    <w:rsid w:val="00FA5C55"/>
    <w:rsid w:val="00FA79DC"/>
    <w:rsid w:val="00FB11DA"/>
    <w:rsid w:val="00FB12AF"/>
    <w:rsid w:val="00FB1A3D"/>
    <w:rsid w:val="00FB1E81"/>
    <w:rsid w:val="00FB2431"/>
    <w:rsid w:val="00FB2A8D"/>
    <w:rsid w:val="00FB4D8F"/>
    <w:rsid w:val="00FB52C4"/>
    <w:rsid w:val="00FB52F2"/>
    <w:rsid w:val="00FB5DAA"/>
    <w:rsid w:val="00FB5F6C"/>
    <w:rsid w:val="00FC0100"/>
    <w:rsid w:val="00FC0D7C"/>
    <w:rsid w:val="00FC1A5A"/>
    <w:rsid w:val="00FC38BB"/>
    <w:rsid w:val="00FC3A1F"/>
    <w:rsid w:val="00FC4C68"/>
    <w:rsid w:val="00FC5381"/>
    <w:rsid w:val="00FC671C"/>
    <w:rsid w:val="00FC73DC"/>
    <w:rsid w:val="00FC7CF2"/>
    <w:rsid w:val="00FD0FBD"/>
    <w:rsid w:val="00FD330F"/>
    <w:rsid w:val="00FD4289"/>
    <w:rsid w:val="00FD4669"/>
    <w:rsid w:val="00FD5489"/>
    <w:rsid w:val="00FD67FF"/>
    <w:rsid w:val="00FD6F08"/>
    <w:rsid w:val="00FE008E"/>
    <w:rsid w:val="00FE038C"/>
    <w:rsid w:val="00FE0D7E"/>
    <w:rsid w:val="00FE18AC"/>
    <w:rsid w:val="00FE2F95"/>
    <w:rsid w:val="00FE35F5"/>
    <w:rsid w:val="00FE3F2B"/>
    <w:rsid w:val="00FE591B"/>
    <w:rsid w:val="00FE6138"/>
    <w:rsid w:val="00FE7B9A"/>
    <w:rsid w:val="00FE7D76"/>
    <w:rsid w:val="00FF0DC7"/>
    <w:rsid w:val="00FF14B7"/>
    <w:rsid w:val="00FF4D9A"/>
    <w:rsid w:val="00FF5614"/>
    <w:rsid w:val="00FF6039"/>
    <w:rsid w:val="00FF645B"/>
    <w:rsid w:val="00FF64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3F89B7"/>
  <w15:docId w15:val="{D5E1E1BD-FAFD-4252-9C42-5908C3603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9" w:qFormat="1"/>
    <w:lsdException w:name="heading 2" w:qFormat="1"/>
    <w:lsdException w:name="heading 3"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C0827"/>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93086">
      <w:bodyDiv w:val="1"/>
      <w:marLeft w:val="0"/>
      <w:marRight w:val="0"/>
      <w:marTop w:val="0"/>
      <w:marBottom w:val="0"/>
      <w:divBdr>
        <w:top w:val="none" w:sz="0" w:space="0" w:color="auto"/>
        <w:left w:val="none" w:sz="0" w:space="0" w:color="auto"/>
        <w:bottom w:val="none" w:sz="0" w:space="0" w:color="auto"/>
        <w:right w:val="none" w:sz="0" w:space="0" w:color="auto"/>
      </w:divBdr>
    </w:div>
    <w:div w:id="149560068">
      <w:bodyDiv w:val="1"/>
      <w:marLeft w:val="0"/>
      <w:marRight w:val="0"/>
      <w:marTop w:val="0"/>
      <w:marBottom w:val="0"/>
      <w:divBdr>
        <w:top w:val="none" w:sz="0" w:space="0" w:color="auto"/>
        <w:left w:val="none" w:sz="0" w:space="0" w:color="auto"/>
        <w:bottom w:val="none" w:sz="0" w:space="0" w:color="auto"/>
        <w:right w:val="none" w:sz="0" w:space="0" w:color="auto"/>
      </w:divBdr>
    </w:div>
    <w:div w:id="154034109">
      <w:bodyDiv w:val="1"/>
      <w:marLeft w:val="0"/>
      <w:marRight w:val="0"/>
      <w:marTop w:val="0"/>
      <w:marBottom w:val="0"/>
      <w:divBdr>
        <w:top w:val="none" w:sz="0" w:space="0" w:color="auto"/>
        <w:left w:val="none" w:sz="0" w:space="0" w:color="auto"/>
        <w:bottom w:val="none" w:sz="0" w:space="0" w:color="auto"/>
        <w:right w:val="none" w:sz="0" w:space="0" w:color="auto"/>
      </w:divBdr>
      <w:divsChild>
        <w:div w:id="1167090539">
          <w:marLeft w:val="0"/>
          <w:marRight w:val="0"/>
          <w:marTop w:val="0"/>
          <w:marBottom w:val="0"/>
          <w:divBdr>
            <w:top w:val="none" w:sz="0" w:space="0" w:color="auto"/>
            <w:left w:val="none" w:sz="0" w:space="0" w:color="auto"/>
            <w:bottom w:val="none" w:sz="0" w:space="0" w:color="auto"/>
            <w:right w:val="none" w:sz="0" w:space="0" w:color="auto"/>
          </w:divBdr>
        </w:div>
        <w:div w:id="795099591">
          <w:marLeft w:val="0"/>
          <w:marRight w:val="0"/>
          <w:marTop w:val="0"/>
          <w:marBottom w:val="0"/>
          <w:divBdr>
            <w:top w:val="none" w:sz="0" w:space="0" w:color="auto"/>
            <w:left w:val="none" w:sz="0" w:space="0" w:color="auto"/>
            <w:bottom w:val="none" w:sz="0" w:space="0" w:color="auto"/>
            <w:right w:val="none" w:sz="0" w:space="0" w:color="auto"/>
          </w:divBdr>
        </w:div>
      </w:divsChild>
    </w:div>
    <w:div w:id="156774625">
      <w:bodyDiv w:val="1"/>
      <w:marLeft w:val="0"/>
      <w:marRight w:val="0"/>
      <w:marTop w:val="0"/>
      <w:marBottom w:val="0"/>
      <w:divBdr>
        <w:top w:val="none" w:sz="0" w:space="0" w:color="auto"/>
        <w:left w:val="none" w:sz="0" w:space="0" w:color="auto"/>
        <w:bottom w:val="none" w:sz="0" w:space="0" w:color="auto"/>
        <w:right w:val="none" w:sz="0" w:space="0" w:color="auto"/>
      </w:divBdr>
    </w:div>
    <w:div w:id="165872394">
      <w:bodyDiv w:val="1"/>
      <w:marLeft w:val="0"/>
      <w:marRight w:val="0"/>
      <w:marTop w:val="0"/>
      <w:marBottom w:val="0"/>
      <w:divBdr>
        <w:top w:val="none" w:sz="0" w:space="0" w:color="auto"/>
        <w:left w:val="none" w:sz="0" w:space="0" w:color="auto"/>
        <w:bottom w:val="none" w:sz="0" w:space="0" w:color="auto"/>
        <w:right w:val="none" w:sz="0" w:space="0" w:color="auto"/>
      </w:divBdr>
      <w:divsChild>
        <w:div w:id="1413702921">
          <w:marLeft w:val="0"/>
          <w:marRight w:val="0"/>
          <w:marTop w:val="0"/>
          <w:marBottom w:val="0"/>
          <w:divBdr>
            <w:top w:val="none" w:sz="0" w:space="0" w:color="auto"/>
            <w:left w:val="none" w:sz="0" w:space="0" w:color="auto"/>
            <w:bottom w:val="none" w:sz="0" w:space="0" w:color="auto"/>
            <w:right w:val="none" w:sz="0" w:space="0" w:color="auto"/>
          </w:divBdr>
        </w:div>
      </w:divsChild>
    </w:div>
    <w:div w:id="233315895">
      <w:bodyDiv w:val="1"/>
      <w:marLeft w:val="0"/>
      <w:marRight w:val="0"/>
      <w:marTop w:val="0"/>
      <w:marBottom w:val="0"/>
      <w:divBdr>
        <w:top w:val="none" w:sz="0" w:space="0" w:color="auto"/>
        <w:left w:val="none" w:sz="0" w:space="0" w:color="auto"/>
        <w:bottom w:val="none" w:sz="0" w:space="0" w:color="auto"/>
        <w:right w:val="none" w:sz="0" w:space="0" w:color="auto"/>
      </w:divBdr>
    </w:div>
    <w:div w:id="306205514">
      <w:bodyDiv w:val="1"/>
      <w:marLeft w:val="0"/>
      <w:marRight w:val="0"/>
      <w:marTop w:val="0"/>
      <w:marBottom w:val="0"/>
      <w:divBdr>
        <w:top w:val="none" w:sz="0" w:space="0" w:color="auto"/>
        <w:left w:val="none" w:sz="0" w:space="0" w:color="auto"/>
        <w:bottom w:val="none" w:sz="0" w:space="0" w:color="auto"/>
        <w:right w:val="none" w:sz="0" w:space="0" w:color="auto"/>
      </w:divBdr>
    </w:div>
    <w:div w:id="339237525">
      <w:bodyDiv w:val="1"/>
      <w:marLeft w:val="0"/>
      <w:marRight w:val="0"/>
      <w:marTop w:val="0"/>
      <w:marBottom w:val="0"/>
      <w:divBdr>
        <w:top w:val="none" w:sz="0" w:space="0" w:color="auto"/>
        <w:left w:val="none" w:sz="0" w:space="0" w:color="auto"/>
        <w:bottom w:val="none" w:sz="0" w:space="0" w:color="auto"/>
        <w:right w:val="none" w:sz="0" w:space="0" w:color="auto"/>
      </w:divBdr>
    </w:div>
    <w:div w:id="413745309">
      <w:bodyDiv w:val="1"/>
      <w:marLeft w:val="0"/>
      <w:marRight w:val="0"/>
      <w:marTop w:val="0"/>
      <w:marBottom w:val="0"/>
      <w:divBdr>
        <w:top w:val="none" w:sz="0" w:space="0" w:color="auto"/>
        <w:left w:val="none" w:sz="0" w:space="0" w:color="auto"/>
        <w:bottom w:val="none" w:sz="0" w:space="0" w:color="auto"/>
        <w:right w:val="none" w:sz="0" w:space="0" w:color="auto"/>
      </w:divBdr>
    </w:div>
    <w:div w:id="452753377">
      <w:bodyDiv w:val="1"/>
      <w:marLeft w:val="0"/>
      <w:marRight w:val="0"/>
      <w:marTop w:val="0"/>
      <w:marBottom w:val="0"/>
      <w:divBdr>
        <w:top w:val="none" w:sz="0" w:space="0" w:color="auto"/>
        <w:left w:val="none" w:sz="0" w:space="0" w:color="auto"/>
        <w:bottom w:val="none" w:sz="0" w:space="0" w:color="auto"/>
        <w:right w:val="none" w:sz="0" w:space="0" w:color="auto"/>
      </w:divBdr>
    </w:div>
    <w:div w:id="469591704">
      <w:bodyDiv w:val="1"/>
      <w:marLeft w:val="0"/>
      <w:marRight w:val="0"/>
      <w:marTop w:val="0"/>
      <w:marBottom w:val="0"/>
      <w:divBdr>
        <w:top w:val="none" w:sz="0" w:space="0" w:color="auto"/>
        <w:left w:val="none" w:sz="0" w:space="0" w:color="auto"/>
        <w:bottom w:val="none" w:sz="0" w:space="0" w:color="auto"/>
        <w:right w:val="none" w:sz="0" w:space="0" w:color="auto"/>
      </w:divBdr>
    </w:div>
    <w:div w:id="530268486">
      <w:bodyDiv w:val="1"/>
      <w:marLeft w:val="0"/>
      <w:marRight w:val="0"/>
      <w:marTop w:val="0"/>
      <w:marBottom w:val="0"/>
      <w:divBdr>
        <w:top w:val="none" w:sz="0" w:space="0" w:color="auto"/>
        <w:left w:val="none" w:sz="0" w:space="0" w:color="auto"/>
        <w:bottom w:val="none" w:sz="0" w:space="0" w:color="auto"/>
        <w:right w:val="none" w:sz="0" w:space="0" w:color="auto"/>
      </w:divBdr>
    </w:div>
    <w:div w:id="560099230">
      <w:bodyDiv w:val="1"/>
      <w:marLeft w:val="0"/>
      <w:marRight w:val="0"/>
      <w:marTop w:val="0"/>
      <w:marBottom w:val="0"/>
      <w:divBdr>
        <w:top w:val="none" w:sz="0" w:space="0" w:color="auto"/>
        <w:left w:val="none" w:sz="0" w:space="0" w:color="auto"/>
        <w:bottom w:val="none" w:sz="0" w:space="0" w:color="auto"/>
        <w:right w:val="none" w:sz="0" w:space="0" w:color="auto"/>
      </w:divBdr>
    </w:div>
    <w:div w:id="584194408">
      <w:bodyDiv w:val="1"/>
      <w:marLeft w:val="0"/>
      <w:marRight w:val="0"/>
      <w:marTop w:val="0"/>
      <w:marBottom w:val="0"/>
      <w:divBdr>
        <w:top w:val="none" w:sz="0" w:space="0" w:color="auto"/>
        <w:left w:val="none" w:sz="0" w:space="0" w:color="auto"/>
        <w:bottom w:val="none" w:sz="0" w:space="0" w:color="auto"/>
        <w:right w:val="none" w:sz="0" w:space="0" w:color="auto"/>
      </w:divBdr>
    </w:div>
    <w:div w:id="714622752">
      <w:bodyDiv w:val="1"/>
      <w:marLeft w:val="0"/>
      <w:marRight w:val="0"/>
      <w:marTop w:val="0"/>
      <w:marBottom w:val="0"/>
      <w:divBdr>
        <w:top w:val="none" w:sz="0" w:space="0" w:color="auto"/>
        <w:left w:val="none" w:sz="0" w:space="0" w:color="auto"/>
        <w:bottom w:val="none" w:sz="0" w:space="0" w:color="auto"/>
        <w:right w:val="none" w:sz="0" w:space="0" w:color="auto"/>
      </w:divBdr>
    </w:div>
    <w:div w:id="733434164">
      <w:bodyDiv w:val="1"/>
      <w:marLeft w:val="0"/>
      <w:marRight w:val="0"/>
      <w:marTop w:val="0"/>
      <w:marBottom w:val="0"/>
      <w:divBdr>
        <w:top w:val="none" w:sz="0" w:space="0" w:color="auto"/>
        <w:left w:val="none" w:sz="0" w:space="0" w:color="auto"/>
        <w:bottom w:val="none" w:sz="0" w:space="0" w:color="auto"/>
        <w:right w:val="none" w:sz="0" w:space="0" w:color="auto"/>
      </w:divBdr>
    </w:div>
    <w:div w:id="786196143">
      <w:bodyDiv w:val="1"/>
      <w:marLeft w:val="0"/>
      <w:marRight w:val="0"/>
      <w:marTop w:val="0"/>
      <w:marBottom w:val="0"/>
      <w:divBdr>
        <w:top w:val="none" w:sz="0" w:space="0" w:color="auto"/>
        <w:left w:val="none" w:sz="0" w:space="0" w:color="auto"/>
        <w:bottom w:val="none" w:sz="0" w:space="0" w:color="auto"/>
        <w:right w:val="none" w:sz="0" w:space="0" w:color="auto"/>
      </w:divBdr>
    </w:div>
    <w:div w:id="987897178">
      <w:bodyDiv w:val="1"/>
      <w:marLeft w:val="0"/>
      <w:marRight w:val="0"/>
      <w:marTop w:val="0"/>
      <w:marBottom w:val="0"/>
      <w:divBdr>
        <w:top w:val="none" w:sz="0" w:space="0" w:color="auto"/>
        <w:left w:val="none" w:sz="0" w:space="0" w:color="auto"/>
        <w:bottom w:val="none" w:sz="0" w:space="0" w:color="auto"/>
        <w:right w:val="none" w:sz="0" w:space="0" w:color="auto"/>
      </w:divBdr>
    </w:div>
    <w:div w:id="996805120">
      <w:bodyDiv w:val="1"/>
      <w:marLeft w:val="0"/>
      <w:marRight w:val="0"/>
      <w:marTop w:val="0"/>
      <w:marBottom w:val="0"/>
      <w:divBdr>
        <w:top w:val="none" w:sz="0" w:space="0" w:color="auto"/>
        <w:left w:val="none" w:sz="0" w:space="0" w:color="auto"/>
        <w:bottom w:val="none" w:sz="0" w:space="0" w:color="auto"/>
        <w:right w:val="none" w:sz="0" w:space="0" w:color="auto"/>
      </w:divBdr>
    </w:div>
    <w:div w:id="1169638642">
      <w:bodyDiv w:val="1"/>
      <w:marLeft w:val="0"/>
      <w:marRight w:val="0"/>
      <w:marTop w:val="0"/>
      <w:marBottom w:val="0"/>
      <w:divBdr>
        <w:top w:val="none" w:sz="0" w:space="0" w:color="auto"/>
        <w:left w:val="none" w:sz="0" w:space="0" w:color="auto"/>
        <w:bottom w:val="none" w:sz="0" w:space="0" w:color="auto"/>
        <w:right w:val="none" w:sz="0" w:space="0" w:color="auto"/>
      </w:divBdr>
      <w:divsChild>
        <w:div w:id="1223101055">
          <w:marLeft w:val="32"/>
          <w:marRight w:val="0"/>
          <w:marTop w:val="0"/>
          <w:marBottom w:val="0"/>
          <w:divBdr>
            <w:top w:val="none" w:sz="0" w:space="0" w:color="auto"/>
            <w:left w:val="none" w:sz="0" w:space="0" w:color="auto"/>
            <w:bottom w:val="none" w:sz="0" w:space="0" w:color="auto"/>
            <w:right w:val="none" w:sz="0" w:space="0" w:color="auto"/>
          </w:divBdr>
        </w:div>
      </w:divsChild>
    </w:div>
    <w:div w:id="1217011993">
      <w:bodyDiv w:val="1"/>
      <w:marLeft w:val="0"/>
      <w:marRight w:val="0"/>
      <w:marTop w:val="0"/>
      <w:marBottom w:val="0"/>
      <w:divBdr>
        <w:top w:val="none" w:sz="0" w:space="0" w:color="auto"/>
        <w:left w:val="none" w:sz="0" w:space="0" w:color="auto"/>
        <w:bottom w:val="none" w:sz="0" w:space="0" w:color="auto"/>
        <w:right w:val="none" w:sz="0" w:space="0" w:color="auto"/>
      </w:divBdr>
    </w:div>
    <w:div w:id="1244492435">
      <w:bodyDiv w:val="1"/>
      <w:marLeft w:val="0"/>
      <w:marRight w:val="0"/>
      <w:marTop w:val="0"/>
      <w:marBottom w:val="0"/>
      <w:divBdr>
        <w:top w:val="none" w:sz="0" w:space="0" w:color="auto"/>
        <w:left w:val="none" w:sz="0" w:space="0" w:color="auto"/>
        <w:bottom w:val="none" w:sz="0" w:space="0" w:color="auto"/>
        <w:right w:val="none" w:sz="0" w:space="0" w:color="auto"/>
      </w:divBdr>
    </w:div>
    <w:div w:id="1359090358">
      <w:bodyDiv w:val="1"/>
      <w:marLeft w:val="0"/>
      <w:marRight w:val="0"/>
      <w:marTop w:val="0"/>
      <w:marBottom w:val="0"/>
      <w:divBdr>
        <w:top w:val="none" w:sz="0" w:space="0" w:color="auto"/>
        <w:left w:val="none" w:sz="0" w:space="0" w:color="auto"/>
        <w:bottom w:val="none" w:sz="0" w:space="0" w:color="auto"/>
        <w:right w:val="none" w:sz="0" w:space="0" w:color="auto"/>
      </w:divBdr>
    </w:div>
    <w:div w:id="1365671180">
      <w:bodyDiv w:val="1"/>
      <w:marLeft w:val="0"/>
      <w:marRight w:val="0"/>
      <w:marTop w:val="0"/>
      <w:marBottom w:val="0"/>
      <w:divBdr>
        <w:top w:val="none" w:sz="0" w:space="0" w:color="auto"/>
        <w:left w:val="none" w:sz="0" w:space="0" w:color="auto"/>
        <w:bottom w:val="none" w:sz="0" w:space="0" w:color="auto"/>
        <w:right w:val="none" w:sz="0" w:space="0" w:color="auto"/>
      </w:divBdr>
    </w:div>
    <w:div w:id="1426533228">
      <w:bodyDiv w:val="1"/>
      <w:marLeft w:val="0"/>
      <w:marRight w:val="0"/>
      <w:marTop w:val="0"/>
      <w:marBottom w:val="0"/>
      <w:divBdr>
        <w:top w:val="none" w:sz="0" w:space="0" w:color="auto"/>
        <w:left w:val="none" w:sz="0" w:space="0" w:color="auto"/>
        <w:bottom w:val="none" w:sz="0" w:space="0" w:color="auto"/>
        <w:right w:val="none" w:sz="0" w:space="0" w:color="auto"/>
      </w:divBdr>
    </w:div>
    <w:div w:id="1428581311">
      <w:bodyDiv w:val="1"/>
      <w:marLeft w:val="0"/>
      <w:marRight w:val="0"/>
      <w:marTop w:val="0"/>
      <w:marBottom w:val="0"/>
      <w:divBdr>
        <w:top w:val="none" w:sz="0" w:space="0" w:color="auto"/>
        <w:left w:val="none" w:sz="0" w:space="0" w:color="auto"/>
        <w:bottom w:val="none" w:sz="0" w:space="0" w:color="auto"/>
        <w:right w:val="none" w:sz="0" w:space="0" w:color="auto"/>
      </w:divBdr>
    </w:div>
    <w:div w:id="1437208618">
      <w:bodyDiv w:val="1"/>
      <w:marLeft w:val="0"/>
      <w:marRight w:val="0"/>
      <w:marTop w:val="0"/>
      <w:marBottom w:val="0"/>
      <w:divBdr>
        <w:top w:val="none" w:sz="0" w:space="0" w:color="auto"/>
        <w:left w:val="none" w:sz="0" w:space="0" w:color="auto"/>
        <w:bottom w:val="none" w:sz="0" w:space="0" w:color="auto"/>
        <w:right w:val="none" w:sz="0" w:space="0" w:color="auto"/>
      </w:divBdr>
    </w:div>
    <w:div w:id="1668482760">
      <w:bodyDiv w:val="1"/>
      <w:marLeft w:val="0"/>
      <w:marRight w:val="0"/>
      <w:marTop w:val="0"/>
      <w:marBottom w:val="0"/>
      <w:divBdr>
        <w:top w:val="none" w:sz="0" w:space="0" w:color="auto"/>
        <w:left w:val="none" w:sz="0" w:space="0" w:color="auto"/>
        <w:bottom w:val="none" w:sz="0" w:space="0" w:color="auto"/>
        <w:right w:val="none" w:sz="0" w:space="0" w:color="auto"/>
      </w:divBdr>
      <w:divsChild>
        <w:div w:id="518396255">
          <w:marLeft w:val="0"/>
          <w:marRight w:val="0"/>
          <w:marTop w:val="0"/>
          <w:marBottom w:val="0"/>
          <w:divBdr>
            <w:top w:val="none" w:sz="0" w:space="0" w:color="auto"/>
            <w:left w:val="none" w:sz="0" w:space="0" w:color="auto"/>
            <w:bottom w:val="none" w:sz="0" w:space="0" w:color="auto"/>
            <w:right w:val="none" w:sz="0" w:space="0" w:color="auto"/>
          </w:divBdr>
        </w:div>
        <w:div w:id="1589003278">
          <w:marLeft w:val="0"/>
          <w:marRight w:val="0"/>
          <w:marTop w:val="0"/>
          <w:marBottom w:val="0"/>
          <w:divBdr>
            <w:top w:val="none" w:sz="0" w:space="0" w:color="auto"/>
            <w:left w:val="none" w:sz="0" w:space="0" w:color="auto"/>
            <w:bottom w:val="none" w:sz="0" w:space="0" w:color="auto"/>
            <w:right w:val="none" w:sz="0" w:space="0" w:color="auto"/>
          </w:divBdr>
        </w:div>
      </w:divsChild>
    </w:div>
    <w:div w:id="1676834618">
      <w:bodyDiv w:val="1"/>
      <w:marLeft w:val="0"/>
      <w:marRight w:val="0"/>
      <w:marTop w:val="0"/>
      <w:marBottom w:val="0"/>
      <w:divBdr>
        <w:top w:val="none" w:sz="0" w:space="0" w:color="auto"/>
        <w:left w:val="none" w:sz="0" w:space="0" w:color="auto"/>
        <w:bottom w:val="none" w:sz="0" w:space="0" w:color="auto"/>
        <w:right w:val="none" w:sz="0" w:space="0" w:color="auto"/>
      </w:divBdr>
    </w:div>
    <w:div w:id="1691642374">
      <w:bodyDiv w:val="1"/>
      <w:marLeft w:val="0"/>
      <w:marRight w:val="0"/>
      <w:marTop w:val="0"/>
      <w:marBottom w:val="0"/>
      <w:divBdr>
        <w:top w:val="none" w:sz="0" w:space="0" w:color="auto"/>
        <w:left w:val="none" w:sz="0" w:space="0" w:color="auto"/>
        <w:bottom w:val="none" w:sz="0" w:space="0" w:color="auto"/>
        <w:right w:val="none" w:sz="0" w:space="0" w:color="auto"/>
      </w:divBdr>
    </w:div>
    <w:div w:id="1745644217">
      <w:bodyDiv w:val="1"/>
      <w:marLeft w:val="0"/>
      <w:marRight w:val="0"/>
      <w:marTop w:val="0"/>
      <w:marBottom w:val="0"/>
      <w:divBdr>
        <w:top w:val="none" w:sz="0" w:space="0" w:color="auto"/>
        <w:left w:val="none" w:sz="0" w:space="0" w:color="auto"/>
        <w:bottom w:val="none" w:sz="0" w:space="0" w:color="auto"/>
        <w:right w:val="none" w:sz="0" w:space="0" w:color="auto"/>
      </w:divBdr>
    </w:div>
    <w:div w:id="1748573650">
      <w:bodyDiv w:val="1"/>
      <w:marLeft w:val="0"/>
      <w:marRight w:val="0"/>
      <w:marTop w:val="0"/>
      <w:marBottom w:val="0"/>
      <w:divBdr>
        <w:top w:val="none" w:sz="0" w:space="0" w:color="auto"/>
        <w:left w:val="none" w:sz="0" w:space="0" w:color="auto"/>
        <w:bottom w:val="none" w:sz="0" w:space="0" w:color="auto"/>
        <w:right w:val="none" w:sz="0" w:space="0" w:color="auto"/>
      </w:divBdr>
      <w:divsChild>
        <w:div w:id="107939021">
          <w:marLeft w:val="0"/>
          <w:marRight w:val="0"/>
          <w:marTop w:val="0"/>
          <w:marBottom w:val="0"/>
          <w:divBdr>
            <w:top w:val="none" w:sz="0" w:space="0" w:color="auto"/>
            <w:left w:val="none" w:sz="0" w:space="0" w:color="auto"/>
            <w:bottom w:val="none" w:sz="0" w:space="0" w:color="auto"/>
            <w:right w:val="none" w:sz="0" w:space="0" w:color="auto"/>
          </w:divBdr>
        </w:div>
      </w:divsChild>
    </w:div>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1939480688">
      <w:bodyDiv w:val="1"/>
      <w:marLeft w:val="0"/>
      <w:marRight w:val="0"/>
      <w:marTop w:val="0"/>
      <w:marBottom w:val="0"/>
      <w:divBdr>
        <w:top w:val="none" w:sz="0" w:space="0" w:color="auto"/>
        <w:left w:val="none" w:sz="0" w:space="0" w:color="auto"/>
        <w:bottom w:val="none" w:sz="0" w:space="0" w:color="auto"/>
        <w:right w:val="none" w:sz="0" w:space="0" w:color="auto"/>
      </w:divBdr>
    </w:div>
    <w:div w:id="2008051974">
      <w:bodyDiv w:val="1"/>
      <w:marLeft w:val="0"/>
      <w:marRight w:val="0"/>
      <w:marTop w:val="0"/>
      <w:marBottom w:val="0"/>
      <w:divBdr>
        <w:top w:val="none" w:sz="0" w:space="0" w:color="auto"/>
        <w:left w:val="none" w:sz="0" w:space="0" w:color="auto"/>
        <w:bottom w:val="none" w:sz="0" w:space="0" w:color="auto"/>
        <w:right w:val="none" w:sz="0" w:space="0" w:color="auto"/>
      </w:divBdr>
    </w:div>
    <w:div w:id="2013793855">
      <w:bodyDiv w:val="1"/>
      <w:marLeft w:val="0"/>
      <w:marRight w:val="0"/>
      <w:marTop w:val="0"/>
      <w:marBottom w:val="0"/>
      <w:divBdr>
        <w:top w:val="none" w:sz="0" w:space="0" w:color="auto"/>
        <w:left w:val="none" w:sz="0" w:space="0" w:color="auto"/>
        <w:bottom w:val="none" w:sz="0" w:space="0" w:color="auto"/>
        <w:right w:val="none" w:sz="0" w:space="0" w:color="auto"/>
      </w:divBdr>
      <w:divsChild>
        <w:div w:id="588388657">
          <w:marLeft w:val="32"/>
          <w:marRight w:val="0"/>
          <w:marTop w:val="0"/>
          <w:marBottom w:val="0"/>
          <w:divBdr>
            <w:top w:val="none" w:sz="0" w:space="0" w:color="auto"/>
            <w:left w:val="none" w:sz="0" w:space="0" w:color="auto"/>
            <w:bottom w:val="none" w:sz="0" w:space="0" w:color="auto"/>
            <w:right w:val="none" w:sz="0" w:space="0" w:color="auto"/>
          </w:divBdr>
        </w:div>
      </w:divsChild>
    </w:div>
    <w:div w:id="2017032489">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service-manual/agile-delivery"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service-manual/user-research/using-moderated-usability-testing"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www.gov.uk/service-manual/service-assessments/how-service-assessments-wor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service-manual" TargetMode="External"/><Relationship Id="rId5" Type="http://schemas.openxmlformats.org/officeDocument/2006/relationships/webSettings" Target="webSettings.xml"/><Relationship Id="rId15" Type="http://schemas.openxmlformats.org/officeDocument/2006/relationships/hyperlink" Target="https://www.gov.uk/service-manual/helping-people-to-use-your-service/making-your-service-accessible-an-introduction" TargetMode="External"/><Relationship Id="rId10" Type="http://schemas.openxmlformats.org/officeDocument/2006/relationships/hyperlink" Target="https://www.gov.uk/service-manual/service-standard"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3.org/TR/WCAG21/"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ocs.ogc.org/per/17-090r1.html" TargetMode="External"/><Relationship Id="rId13" Type="http://schemas.openxmlformats.org/officeDocument/2006/relationships/hyperlink" Target="https://www.ncsc.gov.uk/guidance/pattern-safely-importing-data" TargetMode="External"/><Relationship Id="rId3" Type="http://schemas.openxmlformats.org/officeDocument/2006/relationships/hyperlink" Target="http://portal.opengeospatial.org/files/?artifact_id=39967" TargetMode="External"/><Relationship Id="rId7" Type="http://schemas.openxmlformats.org/officeDocument/2006/relationships/hyperlink" Target="https://www.gov.uk/guidance/gds-api-technical-and-data-standards" TargetMode="External"/><Relationship Id="rId12" Type="http://schemas.openxmlformats.org/officeDocument/2006/relationships/hyperlink" Target="https://www.cpni.gov.uk/employment-screening" TargetMode="External"/><Relationship Id="rId17" Type="http://schemas.openxmlformats.org/officeDocument/2006/relationships/hyperlink" Target="https://www.ncsc.gov.uk/information/secure-default" TargetMode="External"/><Relationship Id="rId2" Type="http://schemas.openxmlformats.org/officeDocument/2006/relationships/hyperlink" Target="https://www.ncsc.gov.uk/collection/saas-security/saas-security-principles" TargetMode="External"/><Relationship Id="rId16" Type="http://schemas.openxmlformats.org/officeDocument/2006/relationships/hyperlink" Target="https://www.ncsc.gov.uk/guidance/mitigating-malware-and-ransomware-attacks" TargetMode="External"/><Relationship Id="rId1" Type="http://schemas.openxmlformats.org/officeDocument/2006/relationships/hyperlink" Target="https://geoportal.statistics.gov.uk/datasets/nuts-level-1-january-2018-names-and-codes-in-the-united-kingdom/data" TargetMode="External"/><Relationship Id="rId6" Type="http://schemas.openxmlformats.org/officeDocument/2006/relationships/hyperlink" Target="http://docs.opengeospatial.org/is/17-069r3/17-069r3.html" TargetMode="External"/><Relationship Id="rId11" Type="http://schemas.openxmlformats.org/officeDocument/2006/relationships/hyperlink" Target="https://www.gov.uk/government/publications/united-kingdom-security-vetting-clearance-levels" TargetMode="External"/><Relationship Id="rId5" Type="http://schemas.openxmlformats.org/officeDocument/2006/relationships/hyperlink" Target="http://portal.opengeospatial.org/files/?artifact_id=35326" TargetMode="External"/><Relationship Id="rId15" Type="http://schemas.openxmlformats.org/officeDocument/2006/relationships/hyperlink" Target="https://www.ncsc.gov.uk/collection/denial-service-dos-guidance-collection/preparing-denial-service-dos-attacks1" TargetMode="External"/><Relationship Id="rId10" Type="http://schemas.openxmlformats.org/officeDocument/2006/relationships/hyperlink" Target="https://www.legislation.gov.uk/uksi/2003/2426" TargetMode="External"/><Relationship Id="rId4" Type="http://schemas.openxmlformats.org/officeDocument/2006/relationships/hyperlink" Target="http://portal.opengeospatial.org/files/?artifact_id=14416" TargetMode="External"/><Relationship Id="rId9" Type="http://schemas.openxmlformats.org/officeDocument/2006/relationships/hyperlink" Target="https://www.gov.uk/service-manual/technology/designing-for-different-browsers-and-devices" TargetMode="External"/><Relationship Id="rId14" Type="http://schemas.openxmlformats.org/officeDocument/2006/relationships/hyperlink" Target="https://www.ncsc.gov.uk/collection/secure-system-administration/risk-manage-administration-using-ti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749C5-F052-4DFE-A3EB-0FD6EC98E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12374</Words>
  <Characters>70534</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82743</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Bergin</dc:creator>
  <cp:keywords/>
  <cp:lastModifiedBy>Jack Lewis</cp:lastModifiedBy>
  <cp:revision>2</cp:revision>
  <dcterms:created xsi:type="dcterms:W3CDTF">2021-09-09T09:15:00Z</dcterms:created>
  <dcterms:modified xsi:type="dcterms:W3CDTF">2021-09-09T09:15:00Z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