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54" w:rsidRPr="00FF0D96" w:rsidRDefault="00FD6C54" w:rsidP="00FD6C54">
      <w:pPr>
        <w:pStyle w:val="Heading2"/>
        <w:rPr>
          <w:i w:val="0"/>
        </w:rPr>
      </w:pPr>
      <w:r w:rsidRPr="00FF0D96">
        <w:rPr>
          <w:i w:val="0"/>
        </w:rPr>
        <w:t xml:space="preserve">APMG International PPC Foundation &amp; Practitioner Training </w:t>
      </w:r>
      <w:r>
        <w:rPr>
          <w:i w:val="0"/>
        </w:rPr>
        <w:t xml:space="preserve">Course </w:t>
      </w:r>
      <w:r w:rsidRPr="00FF0D96">
        <w:rPr>
          <w:i w:val="0"/>
        </w:rPr>
        <w:t>Statement of Requirement</w:t>
      </w:r>
    </w:p>
    <w:tbl>
      <w:tblPr>
        <w:tblW w:w="10952" w:type="dxa"/>
        <w:jc w:val="center"/>
        <w:tblLayout w:type="fixed"/>
        <w:tblLook w:val="0000" w:firstRow="0" w:lastRow="0" w:firstColumn="0" w:lastColumn="0" w:noHBand="0" w:noVBand="0"/>
      </w:tblPr>
      <w:tblGrid>
        <w:gridCol w:w="709"/>
        <w:gridCol w:w="2625"/>
        <w:gridCol w:w="6555"/>
        <w:gridCol w:w="1063"/>
      </w:tblGrid>
      <w:tr w:rsidR="00FD6C54" w:rsidRPr="00CB6F55" w:rsidTr="008522A0">
        <w:tblPrEx>
          <w:tblCellMar>
            <w:top w:w="0" w:type="dxa"/>
            <w:bottom w:w="0" w:type="dxa"/>
          </w:tblCellMar>
        </w:tblPrEx>
        <w:trPr>
          <w:trHeight w:val="80"/>
          <w:jc w:val="center"/>
          <w:hidden/>
        </w:trPr>
        <w:tc>
          <w:tcPr>
            <w:tcW w:w="10952" w:type="dxa"/>
            <w:gridSpan w:val="4"/>
            <w:shd w:val="clear" w:color="auto" w:fill="auto"/>
          </w:tcPr>
          <w:p w:rsidR="00FD6C54" w:rsidRPr="00CB6F55" w:rsidRDefault="00FD6C54" w:rsidP="008522A0">
            <w:pPr>
              <w:jc w:val="both"/>
              <w:rPr>
                <w:rFonts w:cs="Arial"/>
                <w:vanish/>
                <w:color w:val="FFFFFF"/>
                <w:sz w:val="13"/>
                <w:szCs w:val="13"/>
              </w:rPr>
            </w:pPr>
            <w:r w:rsidRPr="00CB6F55">
              <w:rPr>
                <w:rFonts w:cs="Arial"/>
                <w:vanish/>
                <w:color w:val="FFFFFF"/>
                <w:sz w:val="13"/>
                <w:szCs w:val="13"/>
              </w:rPr>
              <w:t xml:space="preserve">    </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8522A0">
            <w:pPr>
              <w:widowControl w:val="0"/>
              <w:autoSpaceDE w:val="0"/>
              <w:autoSpaceDN w:val="0"/>
              <w:adjustRightInd w:val="0"/>
              <w:rPr>
                <w:rFonts w:cs="Arial"/>
                <w:b/>
                <w:szCs w:val="22"/>
              </w:rPr>
            </w:pPr>
            <w:r w:rsidRPr="00E140BC">
              <w:rPr>
                <w:rFonts w:cs="Arial"/>
                <w:b/>
                <w:szCs w:val="22"/>
              </w:rPr>
              <w:t>Title</w:t>
            </w:r>
          </w:p>
        </w:tc>
        <w:tc>
          <w:tcPr>
            <w:tcW w:w="6555" w:type="dxa"/>
            <w:shd w:val="clear" w:color="auto" w:fill="auto"/>
          </w:tcPr>
          <w:p w:rsidR="00FD6C54" w:rsidRPr="00E140BC" w:rsidRDefault="00FD6C54" w:rsidP="008522A0">
            <w:pPr>
              <w:widowControl w:val="0"/>
              <w:autoSpaceDE w:val="0"/>
              <w:autoSpaceDN w:val="0"/>
              <w:adjustRightInd w:val="0"/>
              <w:rPr>
                <w:rFonts w:cs="Arial"/>
                <w:color w:val="C0C0C0"/>
                <w:szCs w:val="22"/>
              </w:rPr>
            </w:pPr>
            <w:r w:rsidRPr="00E140BC">
              <w:rPr>
                <w:rFonts w:cs="Arial"/>
                <w:szCs w:val="22"/>
              </w:rPr>
              <w:t>Provision of APMG International Project, Planning &amp; Control (PPC) Foundation and Practitioner training course</w:t>
            </w:r>
          </w:p>
        </w:tc>
      </w:tr>
      <w:tr w:rsidR="00FD6C54" w:rsidRPr="00E140BC" w:rsidTr="009E796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Height w:val="314"/>
        </w:trPr>
        <w:tc>
          <w:tcPr>
            <w:tcW w:w="9180" w:type="dxa"/>
            <w:gridSpan w:val="2"/>
            <w:shd w:val="clear" w:color="auto" w:fill="BFBFBF" w:themeFill="background1" w:themeFillShade="BF"/>
          </w:tcPr>
          <w:p w:rsidR="00FD6C54" w:rsidRPr="00E140BC" w:rsidRDefault="00FD6C54" w:rsidP="008522A0">
            <w:pPr>
              <w:widowControl w:val="0"/>
              <w:autoSpaceDE w:val="0"/>
              <w:autoSpaceDN w:val="0"/>
              <w:adjustRightInd w:val="0"/>
              <w:rPr>
                <w:rFonts w:cs="Arial"/>
                <w:color w:val="C0C0C0"/>
                <w:szCs w:val="22"/>
              </w:rPr>
            </w:pP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25"/>
              <w:rPr>
                <w:rFonts w:cs="Arial"/>
                <w:b/>
                <w:szCs w:val="22"/>
              </w:rPr>
            </w:pPr>
            <w:r w:rsidRPr="00E140BC">
              <w:rPr>
                <w:rFonts w:cs="Arial"/>
                <w:b/>
                <w:szCs w:val="22"/>
              </w:rPr>
              <w:t>Objectives</w:t>
            </w:r>
          </w:p>
        </w:tc>
        <w:tc>
          <w:tcPr>
            <w:tcW w:w="6555" w:type="dxa"/>
            <w:shd w:val="clear" w:color="auto" w:fill="auto"/>
          </w:tcPr>
          <w:p w:rsidR="00FD6C54" w:rsidRPr="00E140BC" w:rsidRDefault="00FD6C54" w:rsidP="008522A0">
            <w:pPr>
              <w:widowControl w:val="0"/>
              <w:autoSpaceDE w:val="0"/>
              <w:autoSpaceDN w:val="0"/>
              <w:adjustRightInd w:val="0"/>
              <w:rPr>
                <w:rFonts w:cs="Arial"/>
                <w:b/>
                <w:szCs w:val="22"/>
              </w:rPr>
            </w:pPr>
            <w:r w:rsidRPr="00E140BC">
              <w:rPr>
                <w:rFonts w:cs="Arial"/>
                <w:szCs w:val="22"/>
              </w:rPr>
              <w:t>1.1 Provision of APMG PPC Foundation and Practitioner training to allow students to pass examinations.</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25"/>
              <w:rPr>
                <w:rFonts w:cs="Arial"/>
                <w:b/>
                <w:szCs w:val="22"/>
              </w:rPr>
            </w:pPr>
            <w:r w:rsidRPr="00E140BC">
              <w:rPr>
                <w:rFonts w:cs="Arial"/>
                <w:b/>
                <w:szCs w:val="22"/>
              </w:rPr>
              <w:t>Background</w:t>
            </w: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lang w:eastAsia="en-GB"/>
              </w:rPr>
              <w:t>2.1 Following DE&amp;S Transformation and the standing up of the Project Controls (PC) function, it has been recognised that there is a need for a training and qualification route more aligned to the specific needs of the PC function.</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25"/>
              <w:rPr>
                <w:rFonts w:cs="Arial"/>
                <w:b/>
                <w:szCs w:val="22"/>
              </w:rPr>
            </w:pPr>
            <w:r w:rsidRPr="00E140BC">
              <w:rPr>
                <w:rFonts w:cs="Arial"/>
                <w:b/>
                <w:szCs w:val="22"/>
              </w:rPr>
              <w:t>Scope of Requirement</w:t>
            </w: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rPr>
              <w:t>3.1 Provision and delivery of the</w:t>
            </w:r>
            <w:bookmarkStart w:id="0" w:name="_GoBack"/>
            <w:bookmarkEnd w:id="0"/>
            <w:r w:rsidRPr="00E140BC">
              <w:rPr>
                <w:rFonts w:cs="Arial"/>
                <w:szCs w:val="22"/>
              </w:rPr>
              <w:t xml:space="preserve"> APMG International PPC Foundation &amp; Practitioner courses.  To include, course delivery, examinations, marking and if required, provision of training venue.</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25"/>
              <w:rPr>
                <w:rFonts w:cs="Arial"/>
                <w:b/>
                <w:szCs w:val="22"/>
              </w:rPr>
            </w:pPr>
            <w:r w:rsidRPr="00E140BC">
              <w:rPr>
                <w:rFonts w:cs="Arial"/>
                <w:b/>
                <w:szCs w:val="22"/>
              </w:rPr>
              <w:t>Scope of Training</w:t>
            </w: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rPr>
              <w:t xml:space="preserve">4.1 The contractor shall deliver a maximum of 10 classroom based training events per financial year (01 April through to 31 March) </w:t>
            </w:r>
            <w:r>
              <w:rPr>
                <w:rFonts w:cs="Arial"/>
                <w:szCs w:val="22"/>
              </w:rPr>
              <w:t xml:space="preserve">in FY17/18 and FY 18/19 </w:t>
            </w:r>
            <w:r w:rsidRPr="00E140BC">
              <w:rPr>
                <w:rFonts w:cs="Arial"/>
                <w:szCs w:val="22"/>
              </w:rPr>
              <w:t>with specific dates to be agreed by the authority – this may be at short notice.</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4.2 The contractor shall make provision for up to 18 students per class.</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 xml:space="preserve">4.3 The contractor shall deliver both the Foundation and Practitioner training courses together over 5 working days (including exams) in accordance with the APMG International PPC course structures and curriculums. </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 xml:space="preserve">4.4 The Authority shall provide a classroom environment at either: </w:t>
            </w:r>
          </w:p>
          <w:p w:rsidR="00FD6C54" w:rsidRPr="00E140BC" w:rsidRDefault="00FD6C54" w:rsidP="008522A0">
            <w:pPr>
              <w:widowControl w:val="0"/>
              <w:autoSpaceDE w:val="0"/>
              <w:autoSpaceDN w:val="0"/>
              <w:adjustRightInd w:val="0"/>
              <w:rPr>
                <w:rFonts w:cs="Arial"/>
                <w:szCs w:val="22"/>
              </w:rPr>
            </w:pPr>
          </w:p>
          <w:p w:rsidR="00FD6C54" w:rsidRPr="00E140BC" w:rsidRDefault="00FD6C54" w:rsidP="00FD6C54">
            <w:pPr>
              <w:widowControl w:val="0"/>
              <w:numPr>
                <w:ilvl w:val="0"/>
                <w:numId w:val="2"/>
              </w:numPr>
              <w:autoSpaceDE w:val="0"/>
              <w:autoSpaceDN w:val="0"/>
              <w:adjustRightInd w:val="0"/>
              <w:rPr>
                <w:rFonts w:cs="Arial"/>
                <w:szCs w:val="22"/>
              </w:rPr>
            </w:pPr>
            <w:r w:rsidRPr="00E140BC">
              <w:rPr>
                <w:rFonts w:cs="Arial"/>
                <w:szCs w:val="22"/>
              </w:rPr>
              <w:t xml:space="preserve">MOD Abbey Wood, Filton, Bristol, BS34 8JH, United Kingdom or, </w:t>
            </w:r>
          </w:p>
          <w:p w:rsidR="00FD6C54" w:rsidRPr="00E140BC" w:rsidRDefault="00FD6C54" w:rsidP="00FD6C54">
            <w:pPr>
              <w:widowControl w:val="0"/>
              <w:numPr>
                <w:ilvl w:val="0"/>
                <w:numId w:val="2"/>
              </w:numPr>
              <w:autoSpaceDE w:val="0"/>
              <w:autoSpaceDN w:val="0"/>
              <w:adjustRightInd w:val="0"/>
              <w:rPr>
                <w:rFonts w:cs="Arial"/>
                <w:szCs w:val="22"/>
              </w:rPr>
            </w:pPr>
            <w:r w:rsidRPr="00E140BC">
              <w:rPr>
                <w:rFonts w:cs="Arial"/>
                <w:szCs w:val="22"/>
              </w:rPr>
              <w:t>A location within a 5 mile radius of the same address,</w:t>
            </w:r>
          </w:p>
          <w:p w:rsidR="00FD6C54" w:rsidRPr="00E140BC" w:rsidRDefault="00FD6C54" w:rsidP="008522A0">
            <w:pPr>
              <w:widowControl w:val="0"/>
              <w:autoSpaceDE w:val="0"/>
              <w:autoSpaceDN w:val="0"/>
              <w:adjustRightInd w:val="0"/>
              <w:ind w:left="72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for the delivery of the training course. However, the provider may be asked to source a venue within 5 miles of MOD Abbey Wood, Filton, Bristol, BS34 8JH, United Kingdom, should facilities be unavailable.  The venue should be accessible to all and provide a suitable classroom training environment. The Authority shall inform the provider whether or not provision of venue is required on a course by course basis.</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It may be necessary to carry out courses at other United Kingdom locations although this will be rare and subject to demand; the majority will be Bristol based.</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4.5 The contractor shall issue all learning materials in accordance with the APMG International PPC curriculum(s) during the courses. In addition, the provider shall issue any pre-course reading that forms part of the specified curriculum(s) directly to each delegate by no later than 10 working days prior to course start date.</w:t>
            </w:r>
          </w:p>
          <w:p w:rsidR="00FD6C54" w:rsidRPr="00E140BC" w:rsidRDefault="00FD6C54" w:rsidP="008522A0">
            <w:pPr>
              <w:spacing w:before="100" w:beforeAutospacing="1" w:after="100" w:afterAutospacing="1"/>
              <w:rPr>
                <w:rFonts w:ascii="Times New Roman" w:hAnsi="Times New Roman"/>
                <w:sz w:val="24"/>
                <w:lang w:eastAsia="en-GB"/>
              </w:rPr>
            </w:pPr>
            <w:r w:rsidRPr="00E140BC">
              <w:rPr>
                <w:rFonts w:cs="Arial"/>
                <w:szCs w:val="22"/>
                <w:lang w:eastAsia="en-GB"/>
              </w:rPr>
              <w:lastRenderedPageBreak/>
              <w:t>4.6 The contractor shall be responsible for all liaison with APMG International to manage the examination entry of individuals, paper marking and exam results.</w:t>
            </w:r>
            <w:r w:rsidRPr="00E140BC">
              <w:rPr>
                <w:rFonts w:ascii="Times New Roman" w:hAnsi="Times New Roman"/>
                <w:sz w:val="24"/>
                <w:lang w:eastAsia="en-GB"/>
              </w:rPr>
              <w:t xml:space="preserve"> </w:t>
            </w:r>
          </w:p>
          <w:p w:rsidR="00FD6C54" w:rsidRPr="00E140BC" w:rsidRDefault="00FD6C54" w:rsidP="008522A0">
            <w:pPr>
              <w:spacing w:before="100" w:beforeAutospacing="1" w:after="100" w:afterAutospacing="1"/>
              <w:rPr>
                <w:rFonts w:cs="Arial"/>
                <w:szCs w:val="22"/>
                <w:lang w:eastAsia="en-GB"/>
              </w:rPr>
            </w:pPr>
            <w:r w:rsidRPr="00E140BC">
              <w:rPr>
                <w:rFonts w:cs="Arial"/>
                <w:szCs w:val="22"/>
                <w:lang w:eastAsia="en-GB"/>
              </w:rPr>
              <w:t>For the Foundation examination, the provider is responsible for all liaison with APMG International to manage the entry of individuals for the exam.  They shall provide facilitation of the examination and provision of paper making and distribution of examination results to individuals within 5 working days of release.  A copy of examination results shall be provided to a nominated point of contact within the PC Learning and Development team within 10 working days of release.</w:t>
            </w:r>
          </w:p>
          <w:p w:rsidR="00FD6C54" w:rsidRPr="00E140BC" w:rsidRDefault="00FD6C54" w:rsidP="008522A0">
            <w:pPr>
              <w:spacing w:before="100" w:beforeAutospacing="1" w:after="100" w:afterAutospacing="1"/>
              <w:rPr>
                <w:rFonts w:cs="Arial"/>
                <w:szCs w:val="22"/>
                <w:lang w:eastAsia="en-GB"/>
              </w:rPr>
            </w:pPr>
            <w:r w:rsidRPr="00E140BC">
              <w:rPr>
                <w:rFonts w:cs="Arial"/>
                <w:szCs w:val="22"/>
                <w:lang w:eastAsia="en-GB"/>
              </w:rPr>
              <w:t>For the Practitioner examination, the provider is responsible for all liaison with APMG International to manage the entry of individuals for the exam.  They shall provide facilitation of the examination and manage the collection and submission to APMG International for paper marking.  On receipt of the examination results, the provider shall manage the distribution of examination results to individuals and provide them to delegates within 5 working days of release.  A copy of examination results shall be provided to a nominated point of contact within PC Learning and Development team within 10 working days of release.</w:t>
            </w:r>
          </w:p>
          <w:p w:rsidR="00FD6C54" w:rsidRPr="00E140BC" w:rsidRDefault="00FD6C54" w:rsidP="008522A0">
            <w:pPr>
              <w:widowControl w:val="0"/>
              <w:tabs>
                <w:tab w:val="left" w:pos="795"/>
              </w:tabs>
              <w:autoSpaceDE w:val="0"/>
              <w:autoSpaceDN w:val="0"/>
              <w:adjustRightInd w:val="0"/>
              <w:rPr>
                <w:rFonts w:cs="Arial"/>
                <w:szCs w:val="22"/>
              </w:rPr>
            </w:pPr>
            <w:r w:rsidRPr="00E140BC">
              <w:rPr>
                <w:rFonts w:cs="Arial"/>
                <w:szCs w:val="22"/>
              </w:rPr>
              <w:t>4.7 The contractor shall work with the Authority’s PC Learning &amp; Development team to collate delegate lists in order carry out course administration.</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59"/>
              <w:rPr>
                <w:rFonts w:cs="Arial"/>
                <w:b/>
                <w:szCs w:val="22"/>
              </w:rPr>
            </w:pPr>
            <w:r w:rsidRPr="00E140BC">
              <w:rPr>
                <w:rFonts w:cs="Arial"/>
                <w:b/>
                <w:szCs w:val="22"/>
              </w:rPr>
              <w:lastRenderedPageBreak/>
              <w:t>Deliverables</w:t>
            </w: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rPr>
              <w:t>5.1 The contractor shall deliver both the APMG International PPC Foundation and Practitioner courses to all students in accordance with the course curriculum.</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5.2 The contractor shall deliver a maximum of 10 classroom based training events per financial year (April through to March) in accordance with a schedule to be determined by the Authority.</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5.3 The contractor shall deliver all pre course reading in accordance with the APMG International PPC curriculum(s), directly to delegates by no later than 10 working days prior to course start date.</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5.4 The contractor shall deliver all course learning materials in accordance with the APMG International PPC curriculum(s) for each course.</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 xml:space="preserve">5.5 The contractor shall give each student examination feedback in accordance with the release of examination results by no later than 5 working days following their release by APMG International. </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 xml:space="preserve">5.6 The contractor shall issue a nominated point of contact within the PC Learning &amp; Development team with a copy of the examination results and success rate metrics within 10 working days of the course end date/receipt of exam results.  </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b/>
                <w:szCs w:val="22"/>
              </w:rPr>
            </w:pPr>
            <w:r w:rsidRPr="00E140BC">
              <w:rPr>
                <w:rFonts w:cs="Arial"/>
                <w:szCs w:val="22"/>
              </w:rPr>
              <w:t xml:space="preserve">5.7 The contractor shall ensure that 80% of delegates obtain at least a pass for each course (this applies to both the Foundation &amp; Practitioner exams) as defined by APMG International </w:t>
            </w:r>
            <w:r w:rsidRPr="00E140BC">
              <w:rPr>
                <w:rFonts w:cs="Arial"/>
                <w:szCs w:val="22"/>
              </w:rPr>
              <w:lastRenderedPageBreak/>
              <w:t xml:space="preserve">examination scoring.  If the pass rate is not maintained, the Authority shall hold a review with the contractor and if deemed necessary, shall terminate if performance does not improve on the following course. </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59"/>
              <w:rPr>
                <w:rFonts w:cs="Arial"/>
                <w:b/>
                <w:szCs w:val="22"/>
              </w:rPr>
            </w:pPr>
            <w:r w:rsidRPr="00E140BC">
              <w:rPr>
                <w:rFonts w:cs="Arial"/>
                <w:b/>
                <w:szCs w:val="22"/>
              </w:rPr>
              <w:lastRenderedPageBreak/>
              <w:t xml:space="preserve">Contractors Personnel </w:t>
            </w: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rPr>
              <w:t>6.1 Trainers should be willing to be Baseline Cleared or Security Cleared.</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szCs w:val="22"/>
              </w:rPr>
            </w:pPr>
            <w:r w:rsidRPr="00E140BC">
              <w:rPr>
                <w:rFonts w:cs="Arial"/>
                <w:szCs w:val="22"/>
              </w:rPr>
              <w:t>6.2 Contractor shall provide suitably qualified and experienced (SQEP) staff.  They should demonstrate knowledge and experience in project planning and control – CV’s to be provided.</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59"/>
              <w:rPr>
                <w:rFonts w:cs="Arial"/>
                <w:b/>
                <w:szCs w:val="22"/>
              </w:rPr>
            </w:pPr>
            <w:r w:rsidRPr="00E140BC">
              <w:rPr>
                <w:rFonts w:cs="Arial"/>
                <w:b/>
                <w:szCs w:val="22"/>
              </w:rPr>
              <w:t xml:space="preserve">Health and Safety </w:t>
            </w:r>
          </w:p>
          <w:p w:rsidR="00FD6C54" w:rsidRPr="00E140BC" w:rsidRDefault="00FD6C54" w:rsidP="008522A0">
            <w:pPr>
              <w:widowControl w:val="0"/>
              <w:autoSpaceDE w:val="0"/>
              <w:autoSpaceDN w:val="0"/>
              <w:adjustRightInd w:val="0"/>
              <w:ind w:left="459" w:hanging="459"/>
              <w:rPr>
                <w:rFonts w:cs="Arial"/>
                <w:b/>
                <w:szCs w:val="22"/>
              </w:rPr>
            </w:pP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rPr>
              <w:t>7.1 The contractor shall ensure H&amp;S requirements are met at all times ensuring it is applied through the delivery of training and in venue provision.</w:t>
            </w:r>
          </w:p>
        </w:tc>
      </w:tr>
      <w:tr w:rsidR="00FD6C54" w:rsidRPr="00E140BC" w:rsidTr="00296A2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gridAfter w:val="1"/>
          <w:wBefore w:w="709" w:type="dxa"/>
          <w:wAfter w:w="1063" w:type="dxa"/>
          <w:trHeight w:val="1389"/>
        </w:trPr>
        <w:tc>
          <w:tcPr>
            <w:tcW w:w="2625" w:type="dxa"/>
            <w:shd w:val="clear" w:color="auto" w:fill="auto"/>
          </w:tcPr>
          <w:p w:rsidR="00FD6C54" w:rsidRPr="00E140BC" w:rsidRDefault="00FD6C54" w:rsidP="00FD6C54">
            <w:pPr>
              <w:widowControl w:val="0"/>
              <w:numPr>
                <w:ilvl w:val="0"/>
                <w:numId w:val="1"/>
              </w:numPr>
              <w:autoSpaceDE w:val="0"/>
              <w:autoSpaceDN w:val="0"/>
              <w:adjustRightInd w:val="0"/>
              <w:ind w:left="459" w:hanging="459"/>
              <w:rPr>
                <w:rFonts w:cs="Arial"/>
                <w:b/>
                <w:szCs w:val="22"/>
              </w:rPr>
            </w:pPr>
            <w:r w:rsidRPr="00E140BC">
              <w:rPr>
                <w:rFonts w:cs="Arial"/>
                <w:b/>
                <w:szCs w:val="22"/>
              </w:rPr>
              <w:t>Quality Assurance/Affiliation Requirements</w:t>
            </w:r>
          </w:p>
        </w:tc>
        <w:tc>
          <w:tcPr>
            <w:tcW w:w="6555" w:type="dxa"/>
            <w:shd w:val="clear" w:color="auto" w:fill="auto"/>
          </w:tcPr>
          <w:p w:rsidR="00FD6C54" w:rsidRPr="00E140BC" w:rsidRDefault="00FD6C54" w:rsidP="008522A0">
            <w:pPr>
              <w:widowControl w:val="0"/>
              <w:autoSpaceDE w:val="0"/>
              <w:autoSpaceDN w:val="0"/>
              <w:adjustRightInd w:val="0"/>
              <w:rPr>
                <w:rFonts w:cs="Arial"/>
                <w:szCs w:val="22"/>
              </w:rPr>
            </w:pPr>
            <w:r w:rsidRPr="00E140BC">
              <w:rPr>
                <w:rFonts w:cs="Arial"/>
                <w:szCs w:val="22"/>
              </w:rPr>
              <w:t>8.1 The contractor must be an Accredited Training Organisation (ATO) (or an affiliate of) for APMG International in order to provide courses and exams in APMG International qualification schemes.</w:t>
            </w:r>
          </w:p>
          <w:p w:rsidR="00FD6C54" w:rsidRPr="00E140BC" w:rsidRDefault="00FD6C54" w:rsidP="008522A0">
            <w:pPr>
              <w:widowControl w:val="0"/>
              <w:autoSpaceDE w:val="0"/>
              <w:autoSpaceDN w:val="0"/>
              <w:adjustRightInd w:val="0"/>
              <w:rPr>
                <w:rFonts w:cs="Arial"/>
                <w:szCs w:val="22"/>
              </w:rPr>
            </w:pPr>
          </w:p>
          <w:p w:rsidR="00FD6C54" w:rsidRPr="00E140BC" w:rsidRDefault="00FD6C54" w:rsidP="008522A0">
            <w:pPr>
              <w:widowControl w:val="0"/>
              <w:autoSpaceDE w:val="0"/>
              <w:autoSpaceDN w:val="0"/>
              <w:adjustRightInd w:val="0"/>
              <w:rPr>
                <w:rFonts w:cs="Arial"/>
                <w:color w:val="000000"/>
                <w:szCs w:val="22"/>
              </w:rPr>
            </w:pPr>
            <w:r w:rsidRPr="00E140BC">
              <w:rPr>
                <w:rFonts w:cs="Arial"/>
                <w:color w:val="000000"/>
                <w:szCs w:val="22"/>
              </w:rPr>
              <w:t xml:space="preserve">8.2 QA Standards are not applicable in this instance. </w:t>
            </w:r>
          </w:p>
        </w:tc>
      </w:tr>
    </w:tbl>
    <w:p w:rsidR="00FD6C54" w:rsidRDefault="00FD6C54" w:rsidP="00FD6C54"/>
    <w:p w:rsidR="00FD6C54" w:rsidRDefault="00FD6C54" w:rsidP="00FD6C54"/>
    <w:p w:rsidR="00FD6C54" w:rsidRPr="00FF0D96" w:rsidRDefault="00FD6C54" w:rsidP="00FD6C54">
      <w:pPr>
        <w:sectPr w:rsidR="00FD6C54" w:rsidRPr="00FF0D96" w:rsidSect="003A0DB0">
          <w:pgSz w:w="11907" w:h="16840"/>
          <w:pgMar w:top="851" w:right="1134" w:bottom="851" w:left="1134" w:header="0" w:footer="567" w:gutter="0"/>
          <w:cols w:space="720"/>
          <w:noEndnote/>
        </w:sectPr>
      </w:pPr>
    </w:p>
    <w:p w:rsidR="008E4CA0" w:rsidRDefault="009E796D"/>
    <w:sectPr w:rsidR="008E4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045C5"/>
    <w:multiLevelType w:val="hybridMultilevel"/>
    <w:tmpl w:val="CE98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C5894"/>
    <w:multiLevelType w:val="multilevel"/>
    <w:tmpl w:val="89286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54"/>
    <w:rsid w:val="00296A2F"/>
    <w:rsid w:val="0051338E"/>
    <w:rsid w:val="005432AB"/>
    <w:rsid w:val="00921A3A"/>
    <w:rsid w:val="009E796D"/>
    <w:rsid w:val="00A4757C"/>
    <w:rsid w:val="00FD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F0937-3057-4331-A04E-3E0034A3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54"/>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FD6C54"/>
    <w:pPr>
      <w:keepNext/>
      <w:overflowPunct w:val="0"/>
      <w:autoSpaceDE w:val="0"/>
      <w:autoSpaceDN w:val="0"/>
      <w:adjustRightInd w:val="0"/>
      <w:spacing w:before="240" w:after="60"/>
      <w:textAlignment w:val="baseline"/>
      <w:outlineLvl w:val="1"/>
    </w:pPr>
    <w:rPr>
      <w:b/>
      <w:i/>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6C54"/>
    <w:rPr>
      <w:rFonts w:ascii="Arial" w:eastAsia="Times New Roman" w:hAnsi="Arial" w:cs="Times New Roman"/>
      <w:b/>
      <w:i/>
      <w:kern w:val="2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Jack Mr</dc:creator>
  <cp:keywords/>
  <dc:description/>
  <cp:lastModifiedBy>Daniels, Jack Mr</cp:lastModifiedBy>
  <cp:revision>4</cp:revision>
  <dcterms:created xsi:type="dcterms:W3CDTF">2017-08-14T09:57:00Z</dcterms:created>
  <dcterms:modified xsi:type="dcterms:W3CDTF">2017-08-14T10:13:00Z</dcterms:modified>
</cp:coreProperties>
</file>