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9"/>
        <w:tblW w:w="10710" w:type="dxa"/>
        <w:tblCellMar>
          <w:left w:w="0" w:type="dxa"/>
          <w:right w:w="0" w:type="dxa"/>
        </w:tblCellMar>
        <w:tblLook w:val="04A0" w:firstRow="1" w:lastRow="0" w:firstColumn="1" w:lastColumn="0" w:noHBand="0" w:noVBand="1"/>
      </w:tblPr>
      <w:tblGrid>
        <w:gridCol w:w="2008"/>
        <w:gridCol w:w="2161"/>
        <w:gridCol w:w="928"/>
        <w:gridCol w:w="2130"/>
        <w:gridCol w:w="1567"/>
        <w:gridCol w:w="1932"/>
      </w:tblGrid>
      <w:tr w:rsidR="003816DB" w:rsidTr="00BB64BD">
        <w:trPr>
          <w:trHeight w:val="510"/>
        </w:trPr>
        <w:tc>
          <w:tcPr>
            <w:tcW w:w="10710" w:type="dxa"/>
            <w:gridSpan w:val="6"/>
            <w:vMerge w:val="restart"/>
            <w:tcBorders>
              <w:top w:val="nil"/>
              <w:left w:val="nil"/>
              <w:bottom w:val="single" w:sz="8" w:space="0" w:color="000000"/>
              <w:right w:val="single" w:sz="8" w:space="0" w:color="000000"/>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55C403E4" wp14:editId="5BD62A5A">
                  <wp:simplePos x="0" y="0"/>
                  <wp:positionH relativeFrom="column">
                    <wp:posOffset>5448300</wp:posOffset>
                  </wp:positionH>
                  <wp:positionV relativeFrom="paragraph">
                    <wp:posOffset>104775</wp:posOffset>
                  </wp:positionV>
                  <wp:extent cx="1143000" cy="495300"/>
                  <wp:effectExtent l="0" t="0" r="0" b="635"/>
                  <wp:wrapNone/>
                  <wp:docPr id="2" name="Picture 142"/>
                  <wp:cNvGraphicFramePr/>
                  <a:graphic xmlns:a="http://schemas.openxmlformats.org/drawingml/2006/main">
                    <a:graphicData uri="http://schemas.openxmlformats.org/drawingml/2006/picture">
                      <pic:pic xmlns:pic="http://schemas.openxmlformats.org/drawingml/2006/picture">
                        <pic:nvPicPr>
                          <pic:cNvPr id="58585230" name="Picture 142"/>
                          <pic:cNvPicPr>
                            <a:picLocks noChangeAspect="1" noChangeArrowheads="1"/>
                          </pic:cNvPicPr>
                        </pic:nvPicPr>
                        <pic:blipFill>
                          <a:blip r:embed="rId9" cstate="print"/>
                          <a:srcRect/>
                          <a:stretch>
                            <a:fillRect/>
                          </a:stretch>
                        </pic:blipFill>
                        <pic:spPr bwMode="auto">
                          <a:xfrm>
                            <a:off x="0" y="0"/>
                            <a:ext cx="1133475" cy="48577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680"/>
            </w:tblGrid>
            <w:tr w:rsidR="003816DB">
              <w:trPr>
                <w:trHeight w:val="540"/>
                <w:tblCellSpacing w:w="0" w:type="dxa"/>
              </w:trPr>
              <w:tc>
                <w:tcPr>
                  <w:tcW w:w="10640" w:type="dxa"/>
                  <w:vMerge w:val="restart"/>
                  <w:tcBorders>
                    <w:top w:val="single" w:sz="8" w:space="0" w:color="auto"/>
                    <w:left w:val="single" w:sz="8" w:space="0" w:color="auto"/>
                    <w:bottom w:val="single" w:sz="8" w:space="0" w:color="000000"/>
                    <w:right w:val="single" w:sz="8" w:space="0" w:color="000000"/>
                  </w:tcBorders>
                  <w:shd w:val="clear" w:color="000000" w:fill="000080"/>
                  <w:noWrap/>
                  <w:vAlign w:val="center"/>
                  <w:hideMark/>
                </w:tcPr>
                <w:p w:rsidR="003816DB" w:rsidRDefault="00A51D15" w:rsidP="00612164">
                  <w:pPr>
                    <w:framePr w:hSpace="180" w:wrap="around" w:hAnchor="margin" w:xAlign="center" w:y="-529"/>
                    <w:rPr>
                      <w:rFonts w:ascii="Arial" w:hAnsi="Arial" w:cs="Arial"/>
                      <w:b/>
                      <w:bCs/>
                      <w:color w:val="FFFFFF"/>
                      <w:sz w:val="24"/>
                      <w:szCs w:val="24"/>
                    </w:rPr>
                  </w:pPr>
                  <w:bookmarkStart w:id="0" w:name="RANGE!A4:G27"/>
                  <w:r>
                    <w:rPr>
                      <w:rFonts w:ascii="Arial" w:hAnsi="Arial" w:cs="Arial"/>
                      <w:b/>
                      <w:bCs/>
                      <w:color w:val="FFFFFF"/>
                    </w:rPr>
                    <w:t>Highways England</w:t>
                  </w:r>
                  <w:r w:rsidR="003816DB">
                    <w:rPr>
                      <w:rFonts w:ascii="Arial" w:hAnsi="Arial" w:cs="Arial"/>
                      <w:b/>
                      <w:bCs/>
                      <w:color w:val="FFFFFF"/>
                    </w:rPr>
                    <w:t xml:space="preserve"> Confirmation of Task Order</w:t>
                  </w:r>
                  <w:bookmarkEnd w:id="0"/>
                </w:p>
              </w:tc>
            </w:tr>
            <w:tr w:rsidR="003816DB">
              <w:trPr>
                <w:trHeight w:val="540"/>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3816DB" w:rsidRDefault="003816DB" w:rsidP="00612164">
                  <w:pPr>
                    <w:framePr w:hSpace="180" w:wrap="around" w:hAnchor="margin" w:xAlign="center" w:y="-529"/>
                    <w:rPr>
                      <w:rFonts w:ascii="Arial" w:hAnsi="Arial" w:cs="Arial"/>
                      <w:b/>
                      <w:bCs/>
                      <w:color w:val="FFFFFF"/>
                      <w:sz w:val="24"/>
                      <w:szCs w:val="24"/>
                    </w:rPr>
                  </w:pPr>
                </w:p>
              </w:tc>
            </w:tr>
          </w:tbl>
          <w:p w:rsidR="003816DB" w:rsidRDefault="003816DB" w:rsidP="00BB64BD">
            <w:pPr>
              <w:rPr>
                <w:rFonts w:ascii="Arial" w:hAnsi="Arial" w:cs="Arial"/>
                <w:sz w:val="20"/>
                <w:szCs w:val="20"/>
              </w:rPr>
            </w:pPr>
          </w:p>
        </w:tc>
      </w:tr>
      <w:tr w:rsidR="003816DB" w:rsidTr="00BB64BD">
        <w:trPr>
          <w:trHeight w:val="468"/>
        </w:trPr>
        <w:tc>
          <w:tcPr>
            <w:tcW w:w="0" w:type="auto"/>
            <w:gridSpan w:val="6"/>
            <w:vMerge/>
            <w:tcBorders>
              <w:top w:val="nil"/>
              <w:left w:val="nil"/>
              <w:bottom w:val="single" w:sz="8" w:space="0" w:color="000000"/>
              <w:right w:val="single" w:sz="8" w:space="0" w:color="000000"/>
            </w:tcBorders>
            <w:vAlign w:val="center"/>
            <w:hideMark/>
          </w:tcPr>
          <w:p w:rsidR="003816DB" w:rsidRDefault="003816DB" w:rsidP="00BB64BD">
            <w:pPr>
              <w:rPr>
                <w:rFonts w:ascii="Arial" w:hAnsi="Arial" w:cs="Arial"/>
                <w:sz w:val="20"/>
                <w:szCs w:val="20"/>
              </w:rPr>
            </w:pPr>
          </w:p>
        </w:tc>
      </w:tr>
      <w:tr w:rsidR="003816DB" w:rsidTr="00BB64BD">
        <w:trPr>
          <w:trHeight w:val="468"/>
        </w:trPr>
        <w:tc>
          <w:tcPr>
            <w:tcW w:w="0" w:type="auto"/>
            <w:gridSpan w:val="6"/>
            <w:vMerge/>
            <w:tcBorders>
              <w:top w:val="nil"/>
              <w:left w:val="nil"/>
              <w:bottom w:val="single" w:sz="8" w:space="0" w:color="000000"/>
              <w:right w:val="single" w:sz="8" w:space="0" w:color="000000"/>
            </w:tcBorders>
            <w:vAlign w:val="center"/>
            <w:hideMark/>
          </w:tcPr>
          <w:p w:rsidR="003816DB" w:rsidRDefault="003816DB" w:rsidP="00BB64BD">
            <w:pPr>
              <w:rPr>
                <w:rFonts w:ascii="Arial" w:hAnsi="Arial" w:cs="Arial"/>
                <w:sz w:val="20"/>
                <w:szCs w:val="20"/>
              </w:rPr>
            </w:pPr>
          </w:p>
        </w:tc>
      </w:tr>
      <w:tr w:rsidR="003816DB" w:rsidTr="00BB64BD">
        <w:trPr>
          <w:trHeight w:val="120"/>
        </w:trPr>
        <w:tc>
          <w:tcPr>
            <w:tcW w:w="0" w:type="auto"/>
            <w:gridSpan w:val="6"/>
            <w:tcBorders>
              <w:top w:val="nil"/>
              <w:left w:val="nil"/>
              <w:bottom w:val="single" w:sz="8" w:space="0" w:color="auto"/>
              <w:right w:val="nil"/>
            </w:tcBorders>
            <w:shd w:val="clear" w:color="auto" w:fill="auto"/>
            <w:noWrap/>
            <w:vAlign w:val="center"/>
            <w:hideMark/>
          </w:tcPr>
          <w:p w:rsidR="003816DB" w:rsidRDefault="003816DB" w:rsidP="00BB64BD">
            <w:pPr>
              <w:jc w:val="center"/>
              <w:rPr>
                <w:rFonts w:ascii="Arial" w:hAnsi="Arial" w:cs="Arial"/>
                <w:b/>
                <w:bCs/>
                <w:color w:val="FFFFFF"/>
                <w:sz w:val="28"/>
                <w:szCs w:val="28"/>
              </w:rPr>
            </w:pPr>
            <w:r>
              <w:rPr>
                <w:rFonts w:ascii="Arial" w:hAnsi="Arial" w:cs="Arial"/>
                <w:b/>
                <w:bCs/>
                <w:color w:val="FFFFFF"/>
                <w:sz w:val="28"/>
                <w:szCs w:val="28"/>
              </w:rPr>
              <w:t> </w:t>
            </w:r>
          </w:p>
        </w:tc>
      </w:tr>
      <w:tr w:rsidR="003816DB" w:rsidTr="00BB64BD">
        <w:trPr>
          <w:trHeight w:val="360"/>
        </w:trPr>
        <w:tc>
          <w:tcPr>
            <w:tcW w:w="1971" w:type="dxa"/>
            <w:tcBorders>
              <w:top w:val="nil"/>
              <w:left w:val="single" w:sz="8" w:space="0" w:color="auto"/>
              <w:bottom w:val="single" w:sz="4" w:space="0" w:color="auto"/>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Supplier:</w:t>
            </w:r>
          </w:p>
        </w:tc>
        <w:tc>
          <w:tcPr>
            <w:tcW w:w="0" w:type="auto"/>
            <w:tcBorders>
              <w:top w:val="nil"/>
              <w:left w:val="nil"/>
              <w:bottom w:val="single" w:sz="4" w:space="0" w:color="auto"/>
              <w:right w:val="nil"/>
            </w:tcBorders>
            <w:shd w:val="clear" w:color="auto" w:fill="auto"/>
            <w:noWrap/>
            <w:vAlign w:val="center"/>
            <w:hideMark/>
          </w:tcPr>
          <w:p w:rsidR="003816DB" w:rsidRDefault="003816DB" w:rsidP="00BB64BD">
            <w:pPr>
              <w:rPr>
                <w:rFonts w:ascii="Arial" w:hAnsi="Arial" w:cs="Arial"/>
                <w:sz w:val="20"/>
                <w:szCs w:val="20"/>
              </w:rPr>
            </w:pPr>
            <w:bookmarkStart w:id="1" w:name="RANGE!B8"/>
            <w:r>
              <w:rPr>
                <w:rFonts w:ascii="Arial" w:hAnsi="Arial" w:cs="Arial"/>
                <w:sz w:val="20"/>
                <w:szCs w:val="20"/>
              </w:rPr>
              <w:t>JMP</w:t>
            </w:r>
            <w:bookmarkEnd w:id="1"/>
          </w:p>
        </w:tc>
        <w:tc>
          <w:tcPr>
            <w:tcW w:w="0" w:type="auto"/>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3816DB" w:rsidRDefault="003816DB" w:rsidP="00BB64BD">
            <w:pPr>
              <w:rPr>
                <w:rFonts w:ascii="Arial" w:hAnsi="Arial" w:cs="Arial"/>
                <w:b/>
                <w:bCs/>
                <w:sz w:val="20"/>
                <w:szCs w:val="20"/>
              </w:rPr>
            </w:pPr>
            <w:r>
              <w:rPr>
                <w:rFonts w:ascii="Arial" w:hAnsi="Arial" w:cs="Arial"/>
                <w:b/>
                <w:bCs/>
                <w:sz w:val="20"/>
                <w:szCs w:val="20"/>
              </w:rPr>
              <w:t>Fee Request for this CTO</w:t>
            </w:r>
          </w:p>
        </w:tc>
        <w:tc>
          <w:tcPr>
            <w:tcW w:w="0" w:type="auto"/>
            <w:tcBorders>
              <w:top w:val="nil"/>
              <w:left w:val="nil"/>
              <w:bottom w:val="single" w:sz="4" w:space="0" w:color="auto"/>
              <w:right w:val="nil"/>
            </w:tcBorders>
            <w:shd w:val="clear" w:color="auto" w:fill="auto"/>
            <w:noWrap/>
            <w:vAlign w:val="center"/>
            <w:hideMark/>
          </w:tcPr>
          <w:p w:rsidR="003816DB" w:rsidRDefault="003816DB" w:rsidP="00BB64BD">
            <w:pPr>
              <w:rPr>
                <w:rFonts w:ascii="Arial" w:hAnsi="Arial" w:cs="Arial"/>
                <w:sz w:val="20"/>
                <w:szCs w:val="20"/>
              </w:rPr>
            </w:pPr>
            <w:bookmarkStart w:id="2" w:name="RANGE!F8"/>
            <w:r>
              <w:rPr>
                <w:rFonts w:ascii="Arial" w:hAnsi="Arial" w:cs="Arial"/>
                <w:sz w:val="20"/>
                <w:szCs w:val="20"/>
              </w:rPr>
              <w:t>£12,033.36</w:t>
            </w:r>
            <w:bookmarkEnd w:id="2"/>
          </w:p>
        </w:tc>
        <w:tc>
          <w:tcPr>
            <w:tcW w:w="0" w:type="auto"/>
            <w:tcBorders>
              <w:top w:val="nil"/>
              <w:left w:val="nil"/>
              <w:bottom w:val="single" w:sz="4" w:space="0" w:color="auto"/>
              <w:right w:val="single" w:sz="8" w:space="0" w:color="auto"/>
            </w:tcBorders>
            <w:shd w:val="clear" w:color="auto" w:fill="auto"/>
            <w:noWrap/>
            <w:vAlign w:val="center"/>
            <w:hideMark/>
          </w:tcPr>
          <w:p w:rsidR="003816DB" w:rsidRDefault="003816DB" w:rsidP="00BB64BD">
            <w:pPr>
              <w:rPr>
                <w:rFonts w:ascii="Arial" w:hAnsi="Arial" w:cs="Arial"/>
                <w:sz w:val="20"/>
                <w:szCs w:val="20"/>
              </w:rPr>
            </w:pPr>
            <w:r>
              <w:rPr>
                <w:rFonts w:ascii="Arial" w:hAnsi="Arial" w:cs="Arial"/>
                <w:sz w:val="20"/>
                <w:szCs w:val="20"/>
              </w:rPr>
              <w:t> </w:t>
            </w:r>
          </w:p>
        </w:tc>
      </w:tr>
      <w:tr w:rsidR="003816DB" w:rsidTr="00BB64BD">
        <w:trPr>
          <w:trHeight w:val="360"/>
        </w:trPr>
        <w:tc>
          <w:tcPr>
            <w:tcW w:w="1971" w:type="dxa"/>
            <w:tcBorders>
              <w:top w:val="nil"/>
              <w:left w:val="single" w:sz="8" w:space="0" w:color="auto"/>
              <w:bottom w:val="single" w:sz="4" w:space="0" w:color="auto"/>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Project Title:</w:t>
            </w:r>
          </w:p>
        </w:tc>
        <w:tc>
          <w:tcPr>
            <w:tcW w:w="8739" w:type="dxa"/>
            <w:gridSpan w:val="5"/>
            <w:tcBorders>
              <w:top w:val="nil"/>
              <w:left w:val="nil"/>
              <w:bottom w:val="single" w:sz="4" w:space="0" w:color="auto"/>
              <w:right w:val="single" w:sz="8" w:space="0" w:color="000000"/>
            </w:tcBorders>
            <w:shd w:val="clear" w:color="auto" w:fill="auto"/>
            <w:vAlign w:val="center"/>
            <w:hideMark/>
          </w:tcPr>
          <w:p w:rsidR="003816DB" w:rsidRDefault="003816DB" w:rsidP="00BB64BD">
            <w:pPr>
              <w:rPr>
                <w:rFonts w:ascii="Arial" w:hAnsi="Arial" w:cs="Arial"/>
                <w:sz w:val="20"/>
                <w:szCs w:val="20"/>
              </w:rPr>
            </w:pPr>
            <w:bookmarkStart w:id="3" w:name="RANGE!B9"/>
            <w:r>
              <w:rPr>
                <w:rFonts w:ascii="Arial" w:hAnsi="Arial" w:cs="Arial"/>
                <w:sz w:val="20"/>
                <w:szCs w:val="20"/>
              </w:rPr>
              <w:t>Wyre Local Plan – SRN evidence base development (additional/refined scope)</w:t>
            </w:r>
            <w:bookmarkEnd w:id="3"/>
          </w:p>
        </w:tc>
      </w:tr>
      <w:tr w:rsidR="003816DB" w:rsidTr="00BB64BD">
        <w:trPr>
          <w:trHeight w:val="360"/>
        </w:trPr>
        <w:tc>
          <w:tcPr>
            <w:tcW w:w="1971" w:type="dxa"/>
            <w:tcBorders>
              <w:top w:val="nil"/>
              <w:left w:val="single" w:sz="8" w:space="0" w:color="auto"/>
              <w:bottom w:val="single" w:sz="4" w:space="0" w:color="auto"/>
              <w:right w:val="single" w:sz="4" w:space="0" w:color="auto"/>
            </w:tcBorders>
            <w:shd w:val="clear" w:color="auto" w:fill="auto"/>
            <w:vAlign w:val="bottom"/>
            <w:hideMark/>
          </w:tcPr>
          <w:p w:rsidR="003816DB" w:rsidRDefault="003816DB" w:rsidP="00BB64BD">
            <w:pPr>
              <w:rPr>
                <w:rFonts w:ascii="Arial" w:hAnsi="Arial" w:cs="Arial"/>
                <w:b/>
                <w:bCs/>
                <w:sz w:val="20"/>
                <w:szCs w:val="20"/>
              </w:rPr>
            </w:pPr>
            <w:r>
              <w:rPr>
                <w:rFonts w:ascii="Arial" w:hAnsi="Arial" w:cs="Arial"/>
                <w:b/>
                <w:bCs/>
                <w:sz w:val="20"/>
                <w:szCs w:val="20"/>
              </w:rPr>
              <w:t>Contract Ref.</w:t>
            </w:r>
          </w:p>
        </w:tc>
        <w:tc>
          <w:tcPr>
            <w:tcW w:w="0" w:type="auto"/>
            <w:tcBorders>
              <w:top w:val="nil"/>
              <w:left w:val="nil"/>
              <w:bottom w:val="single" w:sz="4" w:space="0" w:color="auto"/>
              <w:right w:val="single" w:sz="4" w:space="0" w:color="auto"/>
            </w:tcBorders>
            <w:shd w:val="clear" w:color="auto" w:fill="auto"/>
            <w:noWrap/>
            <w:vAlign w:val="bottom"/>
            <w:hideMark/>
          </w:tcPr>
          <w:p w:rsidR="003816DB" w:rsidRDefault="003816DB" w:rsidP="00BB64BD">
            <w:pPr>
              <w:rPr>
                <w:rFonts w:ascii="Arial" w:hAnsi="Arial" w:cs="Arial"/>
                <w:sz w:val="20"/>
                <w:szCs w:val="20"/>
              </w:rPr>
            </w:pPr>
            <w:bookmarkStart w:id="4" w:name="RANGE!B10"/>
            <w:r>
              <w:rPr>
                <w:rFonts w:ascii="Arial" w:hAnsi="Arial" w:cs="Arial"/>
                <w:sz w:val="20"/>
                <w:szCs w:val="20"/>
              </w:rPr>
              <w:t>114/2/1391/4</w:t>
            </w:r>
            <w:bookmarkEnd w:id="4"/>
          </w:p>
        </w:tc>
        <w:tc>
          <w:tcPr>
            <w:tcW w:w="1052" w:type="dxa"/>
            <w:tcBorders>
              <w:top w:val="nil"/>
              <w:left w:val="nil"/>
              <w:bottom w:val="single" w:sz="4" w:space="0" w:color="auto"/>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CPA No.:</w:t>
            </w:r>
          </w:p>
        </w:tc>
        <w:tc>
          <w:tcPr>
            <w:tcW w:w="2277" w:type="dxa"/>
            <w:tcBorders>
              <w:top w:val="single" w:sz="4" w:space="0" w:color="auto"/>
              <w:left w:val="nil"/>
              <w:bottom w:val="single" w:sz="4" w:space="0" w:color="auto"/>
              <w:right w:val="single" w:sz="4" w:space="0" w:color="000000"/>
            </w:tcBorders>
            <w:shd w:val="clear" w:color="auto" w:fill="auto"/>
            <w:vAlign w:val="center"/>
            <w:hideMark/>
          </w:tcPr>
          <w:p w:rsidR="003816DB" w:rsidRDefault="00612164" w:rsidP="00BB64BD">
            <w:pPr>
              <w:rPr>
                <w:rFonts w:ascii="Arial" w:hAnsi="Arial" w:cs="Arial"/>
                <w:sz w:val="20"/>
                <w:szCs w:val="20"/>
              </w:rPr>
            </w:pPr>
            <w:r w:rsidRPr="00612164">
              <w:rPr>
                <w:rFonts w:ascii="Arial" w:hAnsi="Arial" w:cs="Arial"/>
                <w:color w:val="FF0000"/>
                <w:sz w:val="20"/>
                <w:szCs w:val="20"/>
              </w:rPr>
              <w:t>Redacted</w:t>
            </w:r>
          </w:p>
        </w:tc>
        <w:tc>
          <w:tcPr>
            <w:tcW w:w="1503" w:type="dxa"/>
            <w:tcBorders>
              <w:top w:val="nil"/>
              <w:left w:val="nil"/>
              <w:bottom w:val="single" w:sz="4" w:space="0" w:color="auto"/>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BPA No.:</w:t>
            </w:r>
          </w:p>
        </w:tc>
        <w:tc>
          <w:tcPr>
            <w:tcW w:w="0" w:type="auto"/>
            <w:tcBorders>
              <w:top w:val="nil"/>
              <w:left w:val="nil"/>
              <w:bottom w:val="single" w:sz="4" w:space="0" w:color="auto"/>
              <w:right w:val="single" w:sz="8" w:space="0" w:color="auto"/>
            </w:tcBorders>
            <w:shd w:val="clear" w:color="auto" w:fill="auto"/>
            <w:noWrap/>
            <w:vAlign w:val="center"/>
            <w:hideMark/>
          </w:tcPr>
          <w:p w:rsidR="003816DB" w:rsidRDefault="00612164" w:rsidP="00BB64BD">
            <w:pPr>
              <w:rPr>
                <w:rFonts w:ascii="Arial" w:hAnsi="Arial" w:cs="Arial"/>
                <w:sz w:val="20"/>
                <w:szCs w:val="20"/>
              </w:rPr>
            </w:pPr>
            <w:r w:rsidRPr="00612164">
              <w:rPr>
                <w:rFonts w:ascii="Arial" w:hAnsi="Arial" w:cs="Arial"/>
                <w:color w:val="FF0000"/>
                <w:sz w:val="20"/>
                <w:szCs w:val="20"/>
              </w:rPr>
              <w:t>Redacted</w:t>
            </w:r>
            <w:r>
              <w:rPr>
                <w:rFonts w:ascii="Arial" w:hAnsi="Arial" w:cs="Arial"/>
                <w:sz w:val="20"/>
                <w:szCs w:val="20"/>
              </w:rPr>
              <w:t xml:space="preserve"> </w:t>
            </w:r>
          </w:p>
        </w:tc>
      </w:tr>
      <w:tr w:rsidR="003816DB" w:rsidTr="00BB64BD">
        <w:trPr>
          <w:trHeight w:val="360"/>
        </w:trPr>
        <w:tc>
          <w:tcPr>
            <w:tcW w:w="1971" w:type="dxa"/>
            <w:tcBorders>
              <w:top w:val="nil"/>
              <w:left w:val="single" w:sz="8" w:space="0" w:color="auto"/>
              <w:bottom w:val="single" w:sz="4" w:space="0" w:color="auto"/>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PIN Description:</w:t>
            </w:r>
          </w:p>
        </w:tc>
        <w:tc>
          <w:tcPr>
            <w:tcW w:w="2281" w:type="dxa"/>
            <w:tcBorders>
              <w:top w:val="nil"/>
              <w:left w:val="nil"/>
              <w:bottom w:val="single" w:sz="4" w:space="0" w:color="auto"/>
              <w:right w:val="single" w:sz="4" w:space="0" w:color="auto"/>
            </w:tcBorders>
            <w:shd w:val="clear" w:color="auto" w:fill="auto"/>
            <w:vAlign w:val="bottom"/>
            <w:hideMark/>
          </w:tcPr>
          <w:p w:rsidR="003816DB" w:rsidRDefault="003816DB" w:rsidP="00BB64BD">
            <w:pPr>
              <w:rPr>
                <w:rFonts w:ascii="Arial" w:hAnsi="Arial" w:cs="Arial"/>
                <w:sz w:val="20"/>
                <w:szCs w:val="20"/>
              </w:rPr>
            </w:pPr>
            <w:bookmarkStart w:id="5" w:name="RANGE!B11"/>
            <w:r>
              <w:rPr>
                <w:rFonts w:ascii="Arial" w:hAnsi="Arial" w:cs="Arial"/>
                <w:sz w:val="20"/>
                <w:szCs w:val="20"/>
              </w:rPr>
              <w:t>Spatial Planning</w:t>
            </w:r>
            <w:bookmarkEnd w:id="5"/>
          </w:p>
        </w:tc>
        <w:tc>
          <w:tcPr>
            <w:tcW w:w="1052" w:type="dxa"/>
            <w:tcBorders>
              <w:top w:val="nil"/>
              <w:left w:val="nil"/>
              <w:bottom w:val="nil"/>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Sub Pin:</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6DB" w:rsidRDefault="00612164" w:rsidP="00BB64BD">
            <w:pPr>
              <w:rPr>
                <w:rFonts w:ascii="Arial" w:hAnsi="Arial" w:cs="Arial"/>
                <w:sz w:val="20"/>
                <w:szCs w:val="20"/>
              </w:rPr>
            </w:pPr>
            <w:r w:rsidRPr="00612164">
              <w:rPr>
                <w:rFonts w:ascii="Arial" w:hAnsi="Arial" w:cs="Arial"/>
                <w:color w:val="FF0000"/>
                <w:sz w:val="20"/>
                <w:szCs w:val="20"/>
              </w:rPr>
              <w:t>Redacted</w:t>
            </w:r>
          </w:p>
        </w:tc>
        <w:tc>
          <w:tcPr>
            <w:tcW w:w="1503" w:type="dxa"/>
            <w:tcBorders>
              <w:top w:val="nil"/>
              <w:left w:val="nil"/>
              <w:bottom w:val="single" w:sz="4" w:space="0" w:color="auto"/>
              <w:right w:val="single" w:sz="4"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PIN No.:</w:t>
            </w:r>
          </w:p>
        </w:tc>
        <w:tc>
          <w:tcPr>
            <w:tcW w:w="0" w:type="auto"/>
            <w:tcBorders>
              <w:top w:val="nil"/>
              <w:left w:val="nil"/>
              <w:bottom w:val="single" w:sz="4" w:space="0" w:color="auto"/>
              <w:right w:val="single" w:sz="8" w:space="0" w:color="auto"/>
            </w:tcBorders>
            <w:shd w:val="clear" w:color="auto" w:fill="auto"/>
            <w:noWrap/>
            <w:vAlign w:val="center"/>
            <w:hideMark/>
          </w:tcPr>
          <w:p w:rsidR="003816DB" w:rsidRDefault="00612164" w:rsidP="00BB64BD">
            <w:pPr>
              <w:rPr>
                <w:rFonts w:ascii="Arial" w:hAnsi="Arial" w:cs="Arial"/>
                <w:sz w:val="20"/>
                <w:szCs w:val="20"/>
              </w:rPr>
            </w:pPr>
            <w:r w:rsidRPr="00612164">
              <w:rPr>
                <w:rFonts w:ascii="Arial" w:hAnsi="Arial" w:cs="Arial"/>
                <w:color w:val="FF0000"/>
                <w:sz w:val="20"/>
                <w:szCs w:val="20"/>
              </w:rPr>
              <w:t>Redacted</w:t>
            </w:r>
          </w:p>
        </w:tc>
      </w:tr>
      <w:tr w:rsidR="003816DB" w:rsidTr="00BB64BD">
        <w:trPr>
          <w:trHeight w:val="375"/>
        </w:trPr>
        <w:tc>
          <w:tcPr>
            <w:tcW w:w="1971" w:type="dxa"/>
            <w:tcBorders>
              <w:top w:val="nil"/>
              <w:left w:val="single" w:sz="8" w:space="0" w:color="auto"/>
              <w:bottom w:val="single" w:sz="8" w:space="0" w:color="auto"/>
              <w:right w:val="nil"/>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HA Reference:</w:t>
            </w:r>
          </w:p>
        </w:tc>
        <w:tc>
          <w:tcPr>
            <w:tcW w:w="2281" w:type="dxa"/>
            <w:tcBorders>
              <w:top w:val="nil"/>
              <w:left w:val="single" w:sz="4" w:space="0" w:color="auto"/>
              <w:bottom w:val="single" w:sz="8" w:space="0" w:color="auto"/>
              <w:right w:val="nil"/>
            </w:tcBorders>
            <w:shd w:val="clear" w:color="auto" w:fill="auto"/>
            <w:vAlign w:val="center"/>
            <w:hideMark/>
          </w:tcPr>
          <w:p w:rsidR="003816DB" w:rsidRDefault="003816DB" w:rsidP="00BB64BD">
            <w:pPr>
              <w:rPr>
                <w:rFonts w:ascii="Arial" w:hAnsi="Arial" w:cs="Arial"/>
                <w:sz w:val="20"/>
                <w:szCs w:val="20"/>
              </w:rPr>
            </w:pPr>
            <w:bookmarkStart w:id="6" w:name="RANGE!B12"/>
            <w:r>
              <w:rPr>
                <w:rFonts w:ascii="Arial" w:hAnsi="Arial" w:cs="Arial"/>
                <w:sz w:val="20"/>
                <w:szCs w:val="20"/>
              </w:rPr>
              <w:t>NW 147 15/16JMP</w:t>
            </w:r>
            <w:bookmarkEnd w:id="6"/>
          </w:p>
        </w:tc>
        <w:tc>
          <w:tcPr>
            <w:tcW w:w="0" w:type="auto"/>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3816DB" w:rsidRDefault="003816DB" w:rsidP="00BB64BD">
            <w:pPr>
              <w:rPr>
                <w:rFonts w:ascii="Arial" w:hAnsi="Arial" w:cs="Arial"/>
                <w:b/>
                <w:bCs/>
                <w:sz w:val="20"/>
                <w:szCs w:val="20"/>
              </w:rPr>
            </w:pPr>
            <w:r>
              <w:rPr>
                <w:rFonts w:ascii="Arial" w:hAnsi="Arial" w:cs="Arial"/>
                <w:b/>
                <w:bCs/>
                <w:sz w:val="20"/>
                <w:szCs w:val="20"/>
              </w:rPr>
              <w:t>Start and End Date :</w:t>
            </w:r>
          </w:p>
        </w:tc>
        <w:tc>
          <w:tcPr>
            <w:tcW w:w="0" w:type="auto"/>
            <w:gridSpan w:val="2"/>
            <w:tcBorders>
              <w:top w:val="single" w:sz="4" w:space="0" w:color="auto"/>
              <w:left w:val="nil"/>
              <w:bottom w:val="single" w:sz="8" w:space="0" w:color="auto"/>
              <w:right w:val="single" w:sz="8" w:space="0" w:color="000000"/>
            </w:tcBorders>
            <w:shd w:val="clear" w:color="auto" w:fill="auto"/>
            <w:noWrap/>
            <w:vAlign w:val="center"/>
            <w:hideMark/>
          </w:tcPr>
          <w:p w:rsidR="003816DB" w:rsidRDefault="003816DB" w:rsidP="00BB64BD">
            <w:pPr>
              <w:rPr>
                <w:rFonts w:ascii="Arial" w:hAnsi="Arial" w:cs="Arial"/>
                <w:sz w:val="20"/>
                <w:szCs w:val="20"/>
              </w:rPr>
            </w:pPr>
            <w:bookmarkStart w:id="7" w:name="RANGE!F12"/>
            <w:r>
              <w:rPr>
                <w:rFonts w:ascii="Arial" w:hAnsi="Arial" w:cs="Arial"/>
                <w:sz w:val="20"/>
                <w:szCs w:val="20"/>
              </w:rPr>
              <w:t>31/03/2016 - 18/04/2016</w:t>
            </w:r>
            <w:bookmarkEnd w:id="7"/>
          </w:p>
        </w:tc>
      </w:tr>
      <w:tr w:rsidR="003816DB" w:rsidTr="00BB64BD">
        <w:trPr>
          <w:trHeight w:val="360"/>
        </w:trPr>
        <w:tc>
          <w:tcPr>
            <w:tcW w:w="10710" w:type="dxa"/>
            <w:gridSpan w:val="6"/>
            <w:tcBorders>
              <w:top w:val="nil"/>
              <w:left w:val="single" w:sz="8" w:space="0" w:color="auto"/>
              <w:bottom w:val="nil"/>
              <w:right w:val="single" w:sz="8" w:space="0" w:color="000000"/>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Task Overview and Expected Outcomes</w:t>
            </w:r>
          </w:p>
        </w:tc>
      </w:tr>
      <w:tr w:rsidR="003816DB" w:rsidTr="00BB64BD">
        <w:trPr>
          <w:trHeight w:val="2370"/>
        </w:trPr>
        <w:tc>
          <w:tcPr>
            <w:tcW w:w="10710" w:type="dxa"/>
            <w:gridSpan w:val="6"/>
            <w:vMerge w:val="restart"/>
            <w:tcBorders>
              <w:top w:val="nil"/>
              <w:left w:val="single" w:sz="8" w:space="0" w:color="auto"/>
              <w:bottom w:val="single" w:sz="4" w:space="0" w:color="000000"/>
              <w:right w:val="single" w:sz="8" w:space="0" w:color="000000"/>
            </w:tcBorders>
            <w:shd w:val="clear" w:color="auto" w:fill="auto"/>
            <w:hideMark/>
          </w:tcPr>
          <w:p w:rsidR="003816DB" w:rsidRDefault="003816DB" w:rsidP="00BB64BD">
            <w:pPr>
              <w:pStyle w:val="NoSpacing"/>
              <w:rPr>
                <w:rFonts w:ascii="Arial" w:hAnsi="Arial" w:cs="Arial"/>
                <w:sz w:val="20"/>
                <w:szCs w:val="20"/>
              </w:rPr>
            </w:pPr>
            <w:r w:rsidRPr="001F2F93">
              <w:rPr>
                <w:rFonts w:ascii="Arial" w:hAnsi="Arial" w:cs="Arial"/>
                <w:sz w:val="20"/>
                <w:szCs w:val="20"/>
              </w:rPr>
              <w:t>This task forms additional/refined scope to the study (as part of task W632004) seeking to provide a level of assessment that can provide a suitable evidence base in determining the influence of the scale of development being sought by Wyre Borough Council within their Local Plan, the influence of this on the A585 elements of the SRN and (if required) an identification of the scale of additional infrastructure required to support the Local Plan.</w:t>
            </w:r>
            <w:r w:rsidRPr="001F2F93">
              <w:rPr>
                <w:rFonts w:ascii="Arial" w:hAnsi="Arial" w:cs="Arial"/>
                <w:sz w:val="20"/>
                <w:szCs w:val="20"/>
              </w:rPr>
              <w:br/>
            </w:r>
            <w:r w:rsidRPr="001F2F93">
              <w:rPr>
                <w:rFonts w:ascii="Arial" w:hAnsi="Arial" w:cs="Arial"/>
                <w:sz w:val="20"/>
                <w:szCs w:val="20"/>
              </w:rPr>
              <w:br/>
              <w:t>This method statement seeks to set out the additional/refined scope to the study (set of tasks, study processes and delivery timescales) taking into account the work completed to date; the discussions that have taken place and the outcomes of the exercise undertaken to understand  the data and models available for the study.</w:t>
            </w:r>
            <w:r w:rsidRPr="001F2F93">
              <w:rPr>
                <w:rFonts w:ascii="Arial" w:hAnsi="Arial" w:cs="Arial"/>
                <w:sz w:val="20"/>
                <w:szCs w:val="20"/>
              </w:rPr>
              <w:br/>
            </w:r>
            <w:r w:rsidRPr="001F2F93">
              <w:rPr>
                <w:rFonts w:ascii="Arial" w:hAnsi="Arial" w:cs="Arial"/>
                <w:sz w:val="20"/>
                <w:szCs w:val="20"/>
              </w:rPr>
              <w:br/>
              <w:t>The commission is presented with the same milestone format (to enable the additional/refined scope to be identified), as follows:</w:t>
            </w:r>
            <w:r w:rsidRPr="001F2F93">
              <w:rPr>
                <w:rFonts w:ascii="Arial" w:hAnsi="Arial" w:cs="Arial"/>
                <w:sz w:val="20"/>
                <w:szCs w:val="20"/>
              </w:rPr>
              <w:br/>
            </w:r>
            <w:r w:rsidRPr="001F2F93">
              <w:rPr>
                <w:rFonts w:ascii="Arial" w:hAnsi="Arial" w:cs="Arial"/>
                <w:sz w:val="20"/>
                <w:szCs w:val="20"/>
              </w:rPr>
              <w:br/>
              <w:t>• Milestone 1: Method Statement</w:t>
            </w:r>
            <w:r w:rsidRPr="001F2F93">
              <w:rPr>
                <w:rFonts w:ascii="Arial" w:hAnsi="Arial" w:cs="Arial"/>
                <w:sz w:val="20"/>
                <w:szCs w:val="20"/>
              </w:rPr>
              <w:br/>
              <w:t>• Milestone 2: Spatial planning - representation of trips on the network</w:t>
            </w:r>
            <w:r w:rsidRPr="001F2F93">
              <w:rPr>
                <w:rFonts w:ascii="Arial" w:hAnsi="Arial" w:cs="Arial"/>
                <w:sz w:val="20"/>
                <w:szCs w:val="20"/>
              </w:rPr>
              <w:br/>
              <w:t>• Milestone 3: Establish assessment platforms</w:t>
            </w:r>
            <w:r w:rsidRPr="001F2F93">
              <w:rPr>
                <w:rFonts w:ascii="Arial" w:hAnsi="Arial" w:cs="Arial"/>
                <w:sz w:val="20"/>
                <w:szCs w:val="20"/>
              </w:rPr>
              <w:br/>
              <w:t>• Milestone 4: Operational assessment</w:t>
            </w:r>
            <w:r w:rsidRPr="001F2F93">
              <w:rPr>
                <w:rFonts w:ascii="Arial" w:hAnsi="Arial" w:cs="Arial"/>
                <w:sz w:val="20"/>
                <w:szCs w:val="20"/>
              </w:rPr>
              <w:br/>
              <w:t xml:space="preserve">• Milestone 5: </w:t>
            </w:r>
            <w:r w:rsidR="003A3E57">
              <w:rPr>
                <w:rFonts w:ascii="Arial" w:hAnsi="Arial" w:cs="Arial"/>
                <w:sz w:val="20"/>
                <w:szCs w:val="20"/>
              </w:rPr>
              <w:t>Fylde &amp; Wyre considerations</w:t>
            </w:r>
          </w:p>
          <w:p w:rsidR="003A3E57" w:rsidRPr="001F2F93" w:rsidRDefault="003A3E57" w:rsidP="003A3E57">
            <w:pPr>
              <w:pStyle w:val="NoSpacing"/>
              <w:rPr>
                <w:rFonts w:ascii="Arial" w:hAnsi="Arial" w:cs="Arial"/>
                <w:sz w:val="20"/>
                <w:szCs w:val="20"/>
              </w:rPr>
            </w:pPr>
            <w:r w:rsidRPr="001F2F93">
              <w:rPr>
                <w:rFonts w:ascii="Arial" w:hAnsi="Arial" w:cs="Arial"/>
                <w:sz w:val="20"/>
                <w:szCs w:val="20"/>
              </w:rPr>
              <w:t>•</w:t>
            </w:r>
            <w:r>
              <w:rPr>
                <w:rFonts w:ascii="Arial" w:hAnsi="Arial" w:cs="Arial"/>
                <w:sz w:val="20"/>
                <w:szCs w:val="20"/>
              </w:rPr>
              <w:t xml:space="preserve"> Milestone 6: Outputs</w:t>
            </w:r>
          </w:p>
        </w:tc>
      </w:tr>
      <w:tr w:rsidR="003816DB" w:rsidTr="00BB64BD">
        <w:trPr>
          <w:trHeight w:val="1575"/>
        </w:trPr>
        <w:tc>
          <w:tcPr>
            <w:tcW w:w="0" w:type="auto"/>
            <w:gridSpan w:val="6"/>
            <w:vMerge/>
            <w:tcBorders>
              <w:top w:val="nil"/>
              <w:left w:val="single" w:sz="8" w:space="0" w:color="auto"/>
              <w:bottom w:val="single" w:sz="4" w:space="0" w:color="000000"/>
              <w:right w:val="single" w:sz="8" w:space="0" w:color="000000"/>
            </w:tcBorders>
            <w:vAlign w:val="center"/>
            <w:hideMark/>
          </w:tcPr>
          <w:p w:rsidR="003816DB" w:rsidRDefault="003816DB" w:rsidP="00BB64BD">
            <w:pPr>
              <w:rPr>
                <w:rFonts w:ascii="aria" w:hAnsi="aria" w:cs="Arial"/>
                <w:sz w:val="20"/>
                <w:szCs w:val="20"/>
              </w:rPr>
            </w:pPr>
          </w:p>
        </w:tc>
      </w:tr>
      <w:tr w:rsidR="003816DB" w:rsidTr="001F2F93">
        <w:trPr>
          <w:trHeight w:val="358"/>
        </w:trPr>
        <w:tc>
          <w:tcPr>
            <w:tcW w:w="10710" w:type="dxa"/>
            <w:gridSpan w:val="6"/>
            <w:tcBorders>
              <w:top w:val="single" w:sz="4" w:space="0" w:color="auto"/>
              <w:left w:val="single" w:sz="8" w:space="0" w:color="auto"/>
              <w:bottom w:val="nil"/>
              <w:right w:val="single" w:sz="8" w:space="0" w:color="000000"/>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Task Objectives and Milestones</w:t>
            </w:r>
          </w:p>
        </w:tc>
      </w:tr>
      <w:tr w:rsidR="003816DB" w:rsidTr="00BB64BD">
        <w:trPr>
          <w:trHeight w:val="2235"/>
        </w:trPr>
        <w:tc>
          <w:tcPr>
            <w:tcW w:w="10710" w:type="dxa"/>
            <w:gridSpan w:val="6"/>
            <w:vMerge w:val="restart"/>
            <w:tcBorders>
              <w:top w:val="nil"/>
              <w:left w:val="single" w:sz="8" w:space="0" w:color="auto"/>
              <w:bottom w:val="single" w:sz="4" w:space="0" w:color="000000"/>
              <w:right w:val="single" w:sz="8" w:space="0" w:color="000000"/>
            </w:tcBorders>
            <w:shd w:val="clear" w:color="auto" w:fill="auto"/>
            <w:hideMark/>
          </w:tcPr>
          <w:p w:rsidR="001F2F93" w:rsidRPr="001F2F93" w:rsidRDefault="001F2F93" w:rsidP="001F2F93">
            <w:pPr>
              <w:spacing w:before="120" w:after="120"/>
              <w:rPr>
                <w:rFonts w:ascii="Arial" w:hAnsi="Arial" w:cs="Arial"/>
                <w:b/>
                <w:i/>
                <w:sz w:val="20"/>
                <w:szCs w:val="20"/>
              </w:rPr>
            </w:pPr>
            <w:bookmarkStart w:id="8" w:name="bm_W632006MethodStatementdocx"/>
            <w:r w:rsidRPr="001F2F93">
              <w:rPr>
                <w:rFonts w:ascii="Arial" w:hAnsi="Arial" w:cs="Arial"/>
                <w:b/>
                <w:i/>
                <w:sz w:val="20"/>
                <w:szCs w:val="20"/>
              </w:rPr>
              <w:t>Milestone 1 (Method statement)</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A method statement (this document) will be prepared that sets out the key elements of the task and will be submitted (electronically) to Highways England for agreement prior to the task being entered into TAPE.</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This method statement also retrospectively details tasks included within the preceding method statement (W632004), explaining their progress/outcomes and their role in establishing the additional/refined task process detailed within this method statement. In many cases, the original data source or methodology intended was not deemed suitable for use upon receipt of this data, hence alternative and more intensive processes have had to be employed.</w:t>
            </w:r>
          </w:p>
          <w:p w:rsidR="001F2F93" w:rsidRPr="001F2F93" w:rsidRDefault="001F2F93" w:rsidP="001F2F93">
            <w:pPr>
              <w:spacing w:before="120" w:after="120"/>
              <w:rPr>
                <w:rFonts w:ascii="Arial" w:hAnsi="Arial" w:cs="Arial"/>
                <w:b/>
                <w:i/>
                <w:sz w:val="20"/>
                <w:szCs w:val="20"/>
              </w:rPr>
            </w:pPr>
            <w:r w:rsidRPr="001F2F93">
              <w:rPr>
                <w:rFonts w:ascii="Arial" w:hAnsi="Arial" w:cs="Arial"/>
                <w:b/>
                <w:i/>
                <w:sz w:val="20"/>
                <w:szCs w:val="20"/>
              </w:rPr>
              <w:t>Milestone 2 (Spatial planning – representation of trips on the network)</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Milestone 2 of the preceding method statement contained a series of actions relating to the extraction of development trip data from existing modelled sources, namely SATURN (developed by Jacobs).</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 xml:space="preserve">Upon receipt of the SATURN model however, investigations determined that the SATURN model did not cover the entirety of the A585 study area in a level of detail required for this study. Further, the A585 from the M55 to Windy Harbour was ‘on the edge’ of the study area for which the SATURN model was developed and as such, Jacobs </w:t>
            </w:r>
            <w:r w:rsidRPr="001F2F93">
              <w:rPr>
                <w:rFonts w:ascii="Arial" w:hAnsi="Arial" w:cs="Arial"/>
                <w:i/>
                <w:sz w:val="20"/>
                <w:szCs w:val="20"/>
              </w:rPr>
              <w:lastRenderedPageBreak/>
              <w:t>acknowledged that the region had not been scrutini</w:t>
            </w:r>
            <w:bookmarkStart w:id="9" w:name="_GoBack"/>
            <w:bookmarkEnd w:id="9"/>
            <w:r w:rsidRPr="001F2F93">
              <w:rPr>
                <w:rFonts w:ascii="Arial" w:hAnsi="Arial" w:cs="Arial"/>
                <w:i/>
                <w:sz w:val="20"/>
                <w:szCs w:val="20"/>
              </w:rPr>
              <w:t>sed in detail when validating the model. CH2M did uncover some illogical trip assignment routing in this region and therefore determined the SATURN model not to be suitable for the original purpose intended.</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 xml:space="preserve">As a result, the CH2M held Wyre </w:t>
            </w:r>
            <w:proofErr w:type="spellStart"/>
            <w:r w:rsidRPr="001F2F93">
              <w:rPr>
                <w:rFonts w:ascii="Arial" w:hAnsi="Arial" w:cs="Arial"/>
                <w:i/>
                <w:sz w:val="20"/>
                <w:szCs w:val="20"/>
              </w:rPr>
              <w:t>GraHAm</w:t>
            </w:r>
            <w:proofErr w:type="spellEnd"/>
            <w:r w:rsidRPr="001F2F93">
              <w:rPr>
                <w:rFonts w:ascii="Arial" w:hAnsi="Arial" w:cs="Arial"/>
                <w:i/>
                <w:sz w:val="20"/>
                <w:szCs w:val="20"/>
              </w:rPr>
              <w:t xml:space="preserve"> tool was utilised in order to determine the number, distribution and assignment of Wyre development trips through the study area. This GIS based process, while sound in method, was a more resource intensive methodology that the original SATURN methodology intended. As an aside benefit of this methodology however, development trip movement information is held in a format which is easily adaptable to suit the various assessment methods utilised within this study. This includes the ability to share a versatile spreadsheet based assessment tool which can be used by both Wyre and Highways England in order to ascertain and understand the scale of impact on study junctions by development trips generated through a variety of different development aspiration ‘mixes’. This facility will facilitate and ease the ‘next steps’ of the process in relation to the Local Plan. </w:t>
            </w:r>
          </w:p>
          <w:p w:rsidR="001F2F93" w:rsidRPr="001F2F93" w:rsidRDefault="001F2F93" w:rsidP="001F2F93">
            <w:pPr>
              <w:spacing w:before="120" w:after="120"/>
              <w:rPr>
                <w:rFonts w:ascii="Arial" w:hAnsi="Arial" w:cs="Arial"/>
                <w:b/>
                <w:i/>
                <w:sz w:val="20"/>
                <w:szCs w:val="20"/>
              </w:rPr>
            </w:pPr>
            <w:r w:rsidRPr="001F2F93">
              <w:rPr>
                <w:rFonts w:ascii="Arial" w:hAnsi="Arial" w:cs="Arial"/>
                <w:b/>
                <w:i/>
                <w:sz w:val="20"/>
                <w:szCs w:val="20"/>
              </w:rPr>
              <w:t>Milestone 3 (Establish assessment platforms)</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As detailed within the preceding method statement, investigations needed to be completed in order to identify the most suitable and time efficient modelling package for the study area.</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Liaison with several 3</w:t>
            </w:r>
            <w:r w:rsidRPr="001F2F93">
              <w:rPr>
                <w:rFonts w:ascii="Arial" w:hAnsi="Arial" w:cs="Arial"/>
                <w:i/>
                <w:sz w:val="20"/>
                <w:szCs w:val="20"/>
                <w:vertAlign w:val="superscript"/>
              </w:rPr>
              <w:t>rd</w:t>
            </w:r>
            <w:r w:rsidRPr="001F2F93">
              <w:rPr>
                <w:rFonts w:ascii="Arial" w:hAnsi="Arial" w:cs="Arial"/>
                <w:i/>
                <w:sz w:val="20"/>
                <w:szCs w:val="20"/>
              </w:rPr>
              <w:t xml:space="preserve"> parties offered a number of modelling package options. These included:</w:t>
            </w:r>
          </w:p>
          <w:p w:rsidR="001F2F93" w:rsidRPr="001F2F93" w:rsidRDefault="001F2F93" w:rsidP="001F2F93">
            <w:pPr>
              <w:pStyle w:val="ListParagraph"/>
              <w:numPr>
                <w:ilvl w:val="0"/>
                <w:numId w:val="1"/>
              </w:numPr>
              <w:spacing w:before="120" w:after="120"/>
              <w:ind w:left="769"/>
              <w:rPr>
                <w:i/>
                <w:sz w:val="20"/>
                <w:szCs w:val="20"/>
              </w:rPr>
            </w:pPr>
            <w:r w:rsidRPr="001F2F93">
              <w:rPr>
                <w:b/>
                <w:i/>
                <w:sz w:val="20"/>
                <w:szCs w:val="20"/>
              </w:rPr>
              <w:t xml:space="preserve">CH2M A585 </w:t>
            </w:r>
            <w:proofErr w:type="spellStart"/>
            <w:r w:rsidRPr="001F2F93">
              <w:rPr>
                <w:b/>
                <w:i/>
                <w:sz w:val="20"/>
                <w:szCs w:val="20"/>
              </w:rPr>
              <w:t>Thistleton</w:t>
            </w:r>
            <w:proofErr w:type="spellEnd"/>
            <w:r w:rsidRPr="001F2F93">
              <w:rPr>
                <w:b/>
                <w:i/>
                <w:sz w:val="20"/>
                <w:szCs w:val="20"/>
              </w:rPr>
              <w:t xml:space="preserve"> PICADY</w:t>
            </w:r>
            <w:r w:rsidRPr="001F2F93">
              <w:rPr>
                <w:i/>
                <w:sz w:val="20"/>
                <w:szCs w:val="20"/>
              </w:rPr>
              <w:t xml:space="preserve"> – a bespoke PICADY model was developed by CH2M in order to model the A585 </w:t>
            </w:r>
            <w:proofErr w:type="spellStart"/>
            <w:r w:rsidRPr="001F2F93">
              <w:rPr>
                <w:i/>
                <w:sz w:val="20"/>
                <w:szCs w:val="20"/>
              </w:rPr>
              <w:t>Thistleton</w:t>
            </w:r>
            <w:proofErr w:type="spellEnd"/>
            <w:r w:rsidRPr="001F2F93">
              <w:rPr>
                <w:i/>
                <w:sz w:val="20"/>
                <w:szCs w:val="20"/>
              </w:rPr>
              <w:t xml:space="preserve"> junction. However, the output results indicated that the PICADY package was not able to realistically model the staggered priority and filter lane junction layout which is currently in place.</w:t>
            </w:r>
          </w:p>
          <w:p w:rsidR="001F2F93" w:rsidRPr="001F2F93" w:rsidRDefault="001F2F93" w:rsidP="001F2F93">
            <w:pPr>
              <w:pStyle w:val="ListParagraph"/>
              <w:numPr>
                <w:ilvl w:val="0"/>
                <w:numId w:val="1"/>
              </w:numPr>
              <w:spacing w:before="120" w:after="120"/>
              <w:ind w:left="769"/>
              <w:rPr>
                <w:i/>
                <w:sz w:val="20"/>
                <w:szCs w:val="20"/>
              </w:rPr>
            </w:pPr>
            <w:r w:rsidRPr="001F2F93">
              <w:rPr>
                <w:b/>
                <w:i/>
                <w:sz w:val="20"/>
                <w:szCs w:val="20"/>
              </w:rPr>
              <w:t>Jacobs SATURN</w:t>
            </w:r>
            <w:r w:rsidRPr="001F2F93">
              <w:rPr>
                <w:i/>
                <w:sz w:val="20"/>
                <w:szCs w:val="20"/>
              </w:rPr>
              <w:t xml:space="preserve"> – used for the assessment of the Preston Western Distributor scheme (including M55 J2) and </w:t>
            </w:r>
            <w:proofErr w:type="spellStart"/>
            <w:r w:rsidRPr="001F2F93">
              <w:rPr>
                <w:i/>
                <w:sz w:val="20"/>
                <w:szCs w:val="20"/>
              </w:rPr>
              <w:t>Ribble</w:t>
            </w:r>
            <w:proofErr w:type="spellEnd"/>
            <w:r w:rsidRPr="001F2F93">
              <w:rPr>
                <w:i/>
                <w:sz w:val="20"/>
                <w:szCs w:val="20"/>
              </w:rPr>
              <w:t xml:space="preserve"> Link. Determined as not suitable for development flow data extraction and </w:t>
            </w:r>
            <w:proofErr w:type="spellStart"/>
            <w:r w:rsidRPr="001F2F93">
              <w:rPr>
                <w:i/>
                <w:sz w:val="20"/>
                <w:szCs w:val="20"/>
              </w:rPr>
              <w:t>GraHAm</w:t>
            </w:r>
            <w:proofErr w:type="spellEnd"/>
            <w:r w:rsidRPr="001F2F93">
              <w:rPr>
                <w:i/>
                <w:sz w:val="20"/>
                <w:szCs w:val="20"/>
              </w:rPr>
              <w:t xml:space="preserve"> used instead as per Milestone 2. Further liaison with Jacobs saw the provision of SATURN traffic flows on a network without the provision of the committed M55 J2. This allowed base flow traffic movement shifts at M55 J2 to be calculated, which were subsequently used for the future year assessment of M55 J3. A number of iterations of gathering information from this model were required in order to get the correct information and in a format suitable to the study.</w:t>
            </w:r>
          </w:p>
          <w:p w:rsidR="001F2F93" w:rsidRPr="001F2F93" w:rsidRDefault="001F2F93" w:rsidP="001F2F93">
            <w:pPr>
              <w:pStyle w:val="ListParagraph"/>
              <w:numPr>
                <w:ilvl w:val="0"/>
                <w:numId w:val="1"/>
              </w:numPr>
              <w:spacing w:before="120" w:after="120"/>
              <w:ind w:left="742"/>
              <w:rPr>
                <w:i/>
                <w:sz w:val="20"/>
                <w:szCs w:val="20"/>
              </w:rPr>
            </w:pPr>
            <w:proofErr w:type="spellStart"/>
            <w:r w:rsidRPr="001F2F93">
              <w:rPr>
                <w:b/>
                <w:i/>
                <w:sz w:val="20"/>
                <w:szCs w:val="20"/>
              </w:rPr>
              <w:t>Mouchel</w:t>
            </w:r>
            <w:proofErr w:type="spellEnd"/>
            <w:r w:rsidRPr="001F2F93">
              <w:rPr>
                <w:b/>
                <w:i/>
                <w:sz w:val="20"/>
                <w:szCs w:val="20"/>
              </w:rPr>
              <w:t xml:space="preserve"> </w:t>
            </w:r>
            <w:proofErr w:type="spellStart"/>
            <w:r w:rsidRPr="001F2F93">
              <w:rPr>
                <w:b/>
                <w:i/>
                <w:sz w:val="20"/>
                <w:szCs w:val="20"/>
              </w:rPr>
              <w:t>Paramics</w:t>
            </w:r>
            <w:proofErr w:type="spellEnd"/>
            <w:r w:rsidRPr="001F2F93">
              <w:rPr>
                <w:b/>
                <w:i/>
                <w:sz w:val="20"/>
                <w:szCs w:val="20"/>
              </w:rPr>
              <w:t xml:space="preserve"> A585</w:t>
            </w:r>
            <w:r w:rsidRPr="001F2F93">
              <w:rPr>
                <w:i/>
                <w:sz w:val="20"/>
                <w:szCs w:val="20"/>
              </w:rPr>
              <w:t xml:space="preserve"> – model held from previous Highways England studies by CH2M. Covers the entirety of the Wyre region however run times are prohibitive for use within this study’s timescales and a number of network edits are required from the last time the model was used to reflect the current layout. A section of this model has been extracted and used for the base and future year assessment of the A585 </w:t>
            </w:r>
            <w:proofErr w:type="spellStart"/>
            <w:r w:rsidRPr="001F2F93">
              <w:rPr>
                <w:i/>
                <w:sz w:val="20"/>
                <w:szCs w:val="20"/>
              </w:rPr>
              <w:t>Thistleton</w:t>
            </w:r>
            <w:proofErr w:type="spellEnd"/>
            <w:r w:rsidRPr="001F2F93">
              <w:rPr>
                <w:i/>
                <w:sz w:val="20"/>
                <w:szCs w:val="20"/>
              </w:rPr>
              <w:t xml:space="preserve"> junction and M55 J3 base year assessment.</w:t>
            </w:r>
          </w:p>
          <w:p w:rsidR="001F2F93" w:rsidRPr="001F2F93" w:rsidRDefault="001F2F93" w:rsidP="001F2F93">
            <w:pPr>
              <w:pStyle w:val="ListParagraph"/>
              <w:numPr>
                <w:ilvl w:val="0"/>
                <w:numId w:val="1"/>
              </w:numPr>
              <w:spacing w:before="120" w:after="120"/>
              <w:ind w:left="742"/>
              <w:rPr>
                <w:i/>
                <w:sz w:val="20"/>
                <w:szCs w:val="20"/>
              </w:rPr>
            </w:pPr>
            <w:proofErr w:type="spellStart"/>
            <w:r w:rsidRPr="001F2F93">
              <w:rPr>
                <w:b/>
                <w:i/>
                <w:sz w:val="20"/>
                <w:szCs w:val="20"/>
              </w:rPr>
              <w:t>Mouchel</w:t>
            </w:r>
            <w:proofErr w:type="spellEnd"/>
            <w:r w:rsidRPr="001F2F93">
              <w:rPr>
                <w:b/>
                <w:i/>
                <w:sz w:val="20"/>
                <w:szCs w:val="20"/>
              </w:rPr>
              <w:t xml:space="preserve"> </w:t>
            </w:r>
            <w:proofErr w:type="spellStart"/>
            <w:r w:rsidRPr="001F2F93">
              <w:rPr>
                <w:b/>
                <w:i/>
                <w:sz w:val="20"/>
                <w:szCs w:val="20"/>
              </w:rPr>
              <w:t>Paramics</w:t>
            </w:r>
            <w:proofErr w:type="spellEnd"/>
            <w:r w:rsidRPr="001F2F93">
              <w:rPr>
                <w:b/>
                <w:i/>
                <w:sz w:val="20"/>
                <w:szCs w:val="20"/>
              </w:rPr>
              <w:t xml:space="preserve"> M55 J3</w:t>
            </w:r>
            <w:r w:rsidRPr="001F2F93">
              <w:rPr>
                <w:i/>
                <w:sz w:val="20"/>
                <w:szCs w:val="20"/>
              </w:rPr>
              <w:t xml:space="preserve"> – used for the assessment of the future signalisation and lane marking scheme at M55 J3. Model used for the future year assessment of M55 J3.</w:t>
            </w:r>
          </w:p>
          <w:p w:rsidR="001F2F93" w:rsidRPr="001F2F93" w:rsidRDefault="001F2F93" w:rsidP="001F2F93">
            <w:pPr>
              <w:pStyle w:val="ListParagraph"/>
              <w:numPr>
                <w:ilvl w:val="0"/>
                <w:numId w:val="1"/>
              </w:numPr>
              <w:spacing w:before="120" w:after="120"/>
              <w:ind w:left="742"/>
              <w:rPr>
                <w:i/>
                <w:sz w:val="20"/>
                <w:szCs w:val="20"/>
              </w:rPr>
            </w:pPr>
            <w:proofErr w:type="spellStart"/>
            <w:r w:rsidRPr="001F2F93">
              <w:rPr>
                <w:b/>
                <w:i/>
                <w:sz w:val="20"/>
                <w:szCs w:val="20"/>
              </w:rPr>
              <w:t>Arcadis</w:t>
            </w:r>
            <w:proofErr w:type="spellEnd"/>
            <w:r w:rsidRPr="001F2F93">
              <w:rPr>
                <w:b/>
                <w:i/>
                <w:sz w:val="20"/>
                <w:szCs w:val="20"/>
              </w:rPr>
              <w:t xml:space="preserve"> </w:t>
            </w:r>
            <w:proofErr w:type="spellStart"/>
            <w:r w:rsidRPr="001F2F93">
              <w:rPr>
                <w:b/>
                <w:i/>
                <w:sz w:val="20"/>
                <w:szCs w:val="20"/>
              </w:rPr>
              <w:t>Paramics</w:t>
            </w:r>
            <w:proofErr w:type="spellEnd"/>
            <w:r w:rsidRPr="001F2F93">
              <w:rPr>
                <w:b/>
                <w:i/>
                <w:sz w:val="20"/>
                <w:szCs w:val="20"/>
              </w:rPr>
              <w:t xml:space="preserve"> A585</w:t>
            </w:r>
            <w:r w:rsidRPr="001F2F93">
              <w:rPr>
                <w:i/>
                <w:sz w:val="20"/>
                <w:szCs w:val="20"/>
              </w:rPr>
              <w:t xml:space="preserve"> – model developed to assess the Windy Harbour – </w:t>
            </w:r>
            <w:proofErr w:type="spellStart"/>
            <w:r w:rsidRPr="001F2F93">
              <w:rPr>
                <w:i/>
                <w:sz w:val="20"/>
                <w:szCs w:val="20"/>
              </w:rPr>
              <w:t>Skippool</w:t>
            </w:r>
            <w:proofErr w:type="spellEnd"/>
            <w:r w:rsidRPr="001F2F93">
              <w:rPr>
                <w:i/>
                <w:sz w:val="20"/>
                <w:szCs w:val="20"/>
              </w:rPr>
              <w:t xml:space="preserve"> major improvement scheme. At meetings with </w:t>
            </w:r>
            <w:proofErr w:type="spellStart"/>
            <w:r w:rsidRPr="001F2F93">
              <w:rPr>
                <w:i/>
                <w:sz w:val="20"/>
                <w:szCs w:val="20"/>
              </w:rPr>
              <w:t>Arcadis</w:t>
            </w:r>
            <w:proofErr w:type="spellEnd"/>
            <w:r w:rsidRPr="001F2F93">
              <w:rPr>
                <w:i/>
                <w:sz w:val="20"/>
                <w:szCs w:val="20"/>
              </w:rPr>
              <w:t xml:space="preserve">, CH2M were advised this covered the length of the A585 and so CH2M held off further modelling for a number of weeks so to make use of this potential ‘catch all’ model. However upon receipt of the model, only the A585 up to </w:t>
            </w:r>
            <w:proofErr w:type="spellStart"/>
            <w:r w:rsidRPr="001F2F93">
              <w:rPr>
                <w:i/>
                <w:sz w:val="20"/>
                <w:szCs w:val="20"/>
              </w:rPr>
              <w:t>Skippool</w:t>
            </w:r>
            <w:proofErr w:type="spellEnd"/>
            <w:r w:rsidRPr="001F2F93">
              <w:rPr>
                <w:i/>
                <w:sz w:val="20"/>
                <w:szCs w:val="20"/>
              </w:rPr>
              <w:t xml:space="preserve"> was included. There is limited use therefore which can be made of this model and so focus shifted back to the CH2M </w:t>
            </w:r>
            <w:proofErr w:type="spellStart"/>
            <w:r w:rsidRPr="001F2F93">
              <w:rPr>
                <w:i/>
                <w:sz w:val="20"/>
                <w:szCs w:val="20"/>
              </w:rPr>
              <w:t>Paramics</w:t>
            </w:r>
            <w:proofErr w:type="spellEnd"/>
            <w:r w:rsidRPr="001F2F93">
              <w:rPr>
                <w:i/>
                <w:sz w:val="20"/>
                <w:szCs w:val="20"/>
              </w:rPr>
              <w:t xml:space="preserve"> model of the corridor which was already held.</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Due to the above and time constraints (and reporting requirements), the study was split into two key assessment stages.</w:t>
            </w:r>
          </w:p>
          <w:p w:rsidR="001F2F93" w:rsidRPr="001F2F93" w:rsidRDefault="001F2F93" w:rsidP="001F2F93">
            <w:pPr>
              <w:pStyle w:val="ListParagraph"/>
              <w:numPr>
                <w:ilvl w:val="0"/>
                <w:numId w:val="1"/>
              </w:numPr>
              <w:spacing w:before="120" w:after="120"/>
              <w:ind w:left="742"/>
              <w:rPr>
                <w:i/>
                <w:sz w:val="20"/>
                <w:szCs w:val="20"/>
              </w:rPr>
            </w:pPr>
            <w:r w:rsidRPr="001F2F93">
              <w:rPr>
                <w:b/>
                <w:i/>
                <w:sz w:val="20"/>
                <w:szCs w:val="20"/>
              </w:rPr>
              <w:t>Stage 1</w:t>
            </w:r>
            <w:r w:rsidRPr="001F2F93">
              <w:rPr>
                <w:i/>
                <w:sz w:val="20"/>
                <w:szCs w:val="20"/>
              </w:rPr>
              <w:t xml:space="preserve"> covered the assessment of M55 J3 and A585 </w:t>
            </w:r>
            <w:proofErr w:type="spellStart"/>
            <w:r w:rsidRPr="001F2F93">
              <w:rPr>
                <w:i/>
                <w:sz w:val="20"/>
                <w:szCs w:val="20"/>
              </w:rPr>
              <w:t>Thistleton</w:t>
            </w:r>
            <w:proofErr w:type="spellEnd"/>
            <w:r w:rsidRPr="001F2F93">
              <w:rPr>
                <w:i/>
                <w:sz w:val="20"/>
                <w:szCs w:val="20"/>
              </w:rPr>
              <w:t xml:space="preserve"> junction using an extract from the readily available CH2M </w:t>
            </w:r>
            <w:proofErr w:type="spellStart"/>
            <w:r w:rsidRPr="001F2F93">
              <w:rPr>
                <w:i/>
                <w:sz w:val="20"/>
                <w:szCs w:val="20"/>
              </w:rPr>
              <w:t>Paramics</w:t>
            </w:r>
            <w:proofErr w:type="spellEnd"/>
            <w:r w:rsidRPr="001F2F93">
              <w:rPr>
                <w:i/>
                <w:sz w:val="20"/>
                <w:szCs w:val="20"/>
              </w:rPr>
              <w:t xml:space="preserve"> model and </w:t>
            </w:r>
            <w:proofErr w:type="spellStart"/>
            <w:r w:rsidRPr="001F2F93">
              <w:rPr>
                <w:i/>
                <w:sz w:val="20"/>
                <w:szCs w:val="20"/>
              </w:rPr>
              <w:t>Mouchel</w:t>
            </w:r>
            <w:proofErr w:type="spellEnd"/>
            <w:r w:rsidRPr="001F2F93">
              <w:rPr>
                <w:i/>
                <w:sz w:val="20"/>
                <w:szCs w:val="20"/>
              </w:rPr>
              <w:t xml:space="preserve"> </w:t>
            </w:r>
            <w:proofErr w:type="spellStart"/>
            <w:r w:rsidRPr="001F2F93">
              <w:rPr>
                <w:i/>
                <w:sz w:val="20"/>
                <w:szCs w:val="20"/>
              </w:rPr>
              <w:t>Paramics</w:t>
            </w:r>
            <w:proofErr w:type="spellEnd"/>
            <w:r w:rsidRPr="001F2F93">
              <w:rPr>
                <w:i/>
                <w:sz w:val="20"/>
                <w:szCs w:val="20"/>
              </w:rPr>
              <w:t xml:space="preserve"> model of the M55 J3. These assessments have been completed.</w:t>
            </w:r>
          </w:p>
          <w:p w:rsidR="001F2F93" w:rsidRPr="001F2F93" w:rsidRDefault="001F2F93" w:rsidP="001F2F93">
            <w:pPr>
              <w:pStyle w:val="ListParagraph"/>
              <w:numPr>
                <w:ilvl w:val="0"/>
                <w:numId w:val="1"/>
              </w:numPr>
              <w:spacing w:before="120" w:after="120"/>
              <w:ind w:left="742"/>
              <w:rPr>
                <w:i/>
                <w:sz w:val="20"/>
                <w:szCs w:val="20"/>
              </w:rPr>
            </w:pPr>
            <w:r w:rsidRPr="001F2F93">
              <w:rPr>
                <w:b/>
                <w:i/>
                <w:sz w:val="20"/>
                <w:szCs w:val="20"/>
              </w:rPr>
              <w:t>Stage 2</w:t>
            </w:r>
            <w:r w:rsidRPr="001F2F93">
              <w:rPr>
                <w:i/>
                <w:sz w:val="20"/>
                <w:szCs w:val="20"/>
              </w:rPr>
              <w:t xml:space="preserve"> covers the assessment of the A585 from Fleetwood Road south to Bourne Way using the CH2M </w:t>
            </w:r>
            <w:proofErr w:type="spellStart"/>
            <w:r w:rsidRPr="001F2F93">
              <w:rPr>
                <w:i/>
                <w:sz w:val="20"/>
                <w:szCs w:val="20"/>
              </w:rPr>
              <w:t>Paramics</w:t>
            </w:r>
            <w:proofErr w:type="spellEnd"/>
            <w:r w:rsidRPr="001F2F93">
              <w:rPr>
                <w:i/>
                <w:sz w:val="20"/>
                <w:szCs w:val="20"/>
              </w:rPr>
              <w:t xml:space="preserve"> model.</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 xml:space="preserve">This has led to some </w:t>
            </w:r>
            <w:proofErr w:type="gramStart"/>
            <w:r w:rsidRPr="001F2F93">
              <w:rPr>
                <w:rFonts w:ascii="Arial" w:hAnsi="Arial" w:cs="Arial"/>
                <w:i/>
                <w:sz w:val="20"/>
                <w:szCs w:val="20"/>
              </w:rPr>
              <w:t>inefficiencies</w:t>
            </w:r>
            <w:proofErr w:type="gramEnd"/>
            <w:r w:rsidRPr="001F2F93">
              <w:rPr>
                <w:rFonts w:ascii="Arial" w:hAnsi="Arial" w:cs="Arial"/>
                <w:i/>
                <w:sz w:val="20"/>
                <w:szCs w:val="20"/>
              </w:rPr>
              <w:t xml:space="preserve"> in (i) determining the best method to adopt on the basis of available information and (ii) a staggered approach of information becoming available and outcomes being required.</w:t>
            </w:r>
          </w:p>
          <w:p w:rsidR="001F2F93" w:rsidRPr="001F2F93" w:rsidRDefault="001F2F93" w:rsidP="001F2F93">
            <w:pPr>
              <w:spacing w:before="120" w:after="120"/>
              <w:rPr>
                <w:rFonts w:ascii="Arial" w:hAnsi="Arial" w:cs="Arial"/>
                <w:b/>
                <w:i/>
                <w:sz w:val="20"/>
                <w:szCs w:val="20"/>
              </w:rPr>
            </w:pPr>
            <w:r w:rsidRPr="001F2F93">
              <w:rPr>
                <w:rFonts w:ascii="Arial" w:hAnsi="Arial" w:cs="Arial"/>
                <w:b/>
                <w:i/>
                <w:sz w:val="20"/>
                <w:szCs w:val="20"/>
              </w:rPr>
              <w:t>Milestone 4 (Operational assessment)</w:t>
            </w:r>
          </w:p>
          <w:p w:rsidR="001F2F93" w:rsidRPr="001F2F93" w:rsidRDefault="001F2F93" w:rsidP="001F2F93">
            <w:pPr>
              <w:spacing w:before="120" w:after="120"/>
              <w:rPr>
                <w:rFonts w:ascii="Arial" w:hAnsi="Arial" w:cs="Arial"/>
                <w:sz w:val="20"/>
                <w:szCs w:val="20"/>
              </w:rPr>
            </w:pPr>
            <w:r w:rsidRPr="001F2F93">
              <w:rPr>
                <w:rFonts w:ascii="Arial" w:hAnsi="Arial" w:cs="Arial"/>
                <w:sz w:val="20"/>
                <w:szCs w:val="20"/>
              </w:rPr>
              <w:t xml:space="preserve">Stage 1 of the operational assessments covers M55 J3 and the A585 </w:t>
            </w:r>
            <w:proofErr w:type="spellStart"/>
            <w:r w:rsidRPr="001F2F93">
              <w:rPr>
                <w:rFonts w:ascii="Arial" w:hAnsi="Arial" w:cs="Arial"/>
                <w:sz w:val="20"/>
                <w:szCs w:val="20"/>
              </w:rPr>
              <w:t>Thistleton</w:t>
            </w:r>
            <w:proofErr w:type="spellEnd"/>
            <w:r w:rsidRPr="001F2F93">
              <w:rPr>
                <w:rFonts w:ascii="Arial" w:hAnsi="Arial" w:cs="Arial"/>
                <w:sz w:val="20"/>
                <w:szCs w:val="20"/>
              </w:rPr>
              <w:t xml:space="preserve"> junction. These assessments have been completed.</w:t>
            </w:r>
          </w:p>
          <w:p w:rsidR="001F2F93" w:rsidRPr="001F2F93" w:rsidRDefault="001F2F93" w:rsidP="001F2F93">
            <w:pPr>
              <w:pStyle w:val="ListParagraph"/>
              <w:numPr>
                <w:ilvl w:val="0"/>
                <w:numId w:val="1"/>
              </w:numPr>
              <w:spacing w:before="120" w:after="120"/>
              <w:ind w:left="742"/>
              <w:rPr>
                <w:i/>
                <w:sz w:val="20"/>
                <w:szCs w:val="20"/>
              </w:rPr>
            </w:pPr>
            <w:r w:rsidRPr="001F2F93">
              <w:rPr>
                <w:b/>
                <w:i/>
                <w:sz w:val="20"/>
                <w:szCs w:val="20"/>
              </w:rPr>
              <w:t>M65 J3</w:t>
            </w:r>
            <w:r w:rsidRPr="001F2F93">
              <w:rPr>
                <w:i/>
                <w:sz w:val="20"/>
                <w:szCs w:val="20"/>
              </w:rPr>
              <w:t xml:space="preserve"> – The assessment of M55 J3 in the base year was completed using the </w:t>
            </w:r>
            <w:proofErr w:type="spellStart"/>
            <w:r w:rsidRPr="001F2F93">
              <w:rPr>
                <w:i/>
                <w:sz w:val="20"/>
                <w:szCs w:val="20"/>
              </w:rPr>
              <w:t>Paramics</w:t>
            </w:r>
            <w:proofErr w:type="spellEnd"/>
            <w:r w:rsidRPr="001F2F93">
              <w:rPr>
                <w:i/>
                <w:sz w:val="20"/>
                <w:szCs w:val="20"/>
              </w:rPr>
              <w:t xml:space="preserve"> model held by CH2M. Base flows have been extracted from the validated CH2M </w:t>
            </w:r>
            <w:proofErr w:type="spellStart"/>
            <w:r w:rsidRPr="001F2F93">
              <w:rPr>
                <w:i/>
                <w:sz w:val="20"/>
                <w:szCs w:val="20"/>
              </w:rPr>
              <w:t>Paramics</w:t>
            </w:r>
            <w:proofErr w:type="spellEnd"/>
            <w:r w:rsidRPr="001F2F93">
              <w:rPr>
                <w:i/>
                <w:sz w:val="20"/>
                <w:szCs w:val="20"/>
              </w:rPr>
              <w:t xml:space="preserve"> model initially, followed by the application of </w:t>
            </w:r>
            <w:r w:rsidRPr="001F2F93">
              <w:rPr>
                <w:i/>
                <w:sz w:val="20"/>
                <w:szCs w:val="20"/>
              </w:rPr>
              <w:lastRenderedPageBreak/>
              <w:t xml:space="preserve">SATURN flows with and without M55 J2 in order to provide a representation of future year base flows, Future development flows have been derived from the </w:t>
            </w:r>
            <w:proofErr w:type="spellStart"/>
            <w:r w:rsidRPr="001F2F93">
              <w:rPr>
                <w:i/>
                <w:sz w:val="20"/>
                <w:szCs w:val="20"/>
              </w:rPr>
              <w:t>GraHAm</w:t>
            </w:r>
            <w:proofErr w:type="spellEnd"/>
            <w:r w:rsidRPr="001F2F93">
              <w:rPr>
                <w:i/>
                <w:sz w:val="20"/>
                <w:szCs w:val="20"/>
              </w:rPr>
              <w:t xml:space="preserve"> tool.</w:t>
            </w:r>
          </w:p>
          <w:p w:rsidR="001F2F93" w:rsidRPr="001F2F93" w:rsidRDefault="001F2F93" w:rsidP="001F2F93">
            <w:pPr>
              <w:pStyle w:val="ListParagraph"/>
              <w:spacing w:before="120" w:after="120"/>
              <w:ind w:left="742"/>
              <w:rPr>
                <w:i/>
                <w:sz w:val="20"/>
                <w:szCs w:val="20"/>
              </w:rPr>
            </w:pPr>
          </w:p>
          <w:p w:rsidR="001F2F93" w:rsidRPr="001F2F93" w:rsidRDefault="001F2F93" w:rsidP="001F2F93">
            <w:pPr>
              <w:pStyle w:val="ListParagraph"/>
              <w:numPr>
                <w:ilvl w:val="0"/>
                <w:numId w:val="1"/>
              </w:numPr>
              <w:spacing w:before="120" w:after="120"/>
              <w:ind w:left="742"/>
              <w:rPr>
                <w:i/>
                <w:sz w:val="20"/>
                <w:szCs w:val="20"/>
              </w:rPr>
            </w:pPr>
            <w:r w:rsidRPr="001F2F93">
              <w:rPr>
                <w:b/>
                <w:i/>
                <w:sz w:val="20"/>
                <w:szCs w:val="20"/>
              </w:rPr>
              <w:t xml:space="preserve">A585 </w:t>
            </w:r>
            <w:proofErr w:type="spellStart"/>
            <w:r w:rsidRPr="001F2F93">
              <w:rPr>
                <w:b/>
                <w:i/>
                <w:sz w:val="20"/>
                <w:szCs w:val="20"/>
              </w:rPr>
              <w:t>Thistleton</w:t>
            </w:r>
            <w:proofErr w:type="spellEnd"/>
            <w:r w:rsidRPr="001F2F93">
              <w:rPr>
                <w:i/>
                <w:sz w:val="20"/>
                <w:szCs w:val="20"/>
              </w:rPr>
              <w:t xml:space="preserve"> –. </w:t>
            </w:r>
            <w:proofErr w:type="spellStart"/>
            <w:r w:rsidRPr="001F2F93">
              <w:rPr>
                <w:i/>
                <w:sz w:val="20"/>
                <w:szCs w:val="20"/>
              </w:rPr>
              <w:t>Paramics</w:t>
            </w:r>
            <w:proofErr w:type="spellEnd"/>
            <w:r w:rsidRPr="001F2F93">
              <w:rPr>
                <w:i/>
                <w:sz w:val="20"/>
                <w:szCs w:val="20"/>
              </w:rPr>
              <w:t xml:space="preserve"> assessment of the junction in both the base and future year was undertaken using the model held by CH2M as part of Stage 1. Base flows have been extracted from the validated CH2M </w:t>
            </w:r>
            <w:proofErr w:type="spellStart"/>
            <w:r w:rsidRPr="001F2F93">
              <w:rPr>
                <w:i/>
                <w:sz w:val="20"/>
                <w:szCs w:val="20"/>
              </w:rPr>
              <w:t>Paramics</w:t>
            </w:r>
            <w:proofErr w:type="spellEnd"/>
            <w:r w:rsidRPr="001F2F93">
              <w:rPr>
                <w:i/>
                <w:sz w:val="20"/>
                <w:szCs w:val="20"/>
              </w:rPr>
              <w:t xml:space="preserve"> model, with future development flows derived from the Graham tool.</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 xml:space="preserve">The preceding method statement planned to include the assessment of the A585 from Windy Harbour to </w:t>
            </w:r>
            <w:proofErr w:type="spellStart"/>
            <w:r w:rsidRPr="001F2F93">
              <w:rPr>
                <w:rFonts w:ascii="Arial" w:hAnsi="Arial" w:cs="Arial"/>
                <w:i/>
                <w:sz w:val="20"/>
                <w:szCs w:val="20"/>
              </w:rPr>
              <w:t>Skippool</w:t>
            </w:r>
            <w:proofErr w:type="spellEnd"/>
            <w:r w:rsidRPr="001F2F93">
              <w:rPr>
                <w:rFonts w:ascii="Arial" w:hAnsi="Arial" w:cs="Arial"/>
                <w:i/>
                <w:sz w:val="20"/>
                <w:szCs w:val="20"/>
              </w:rPr>
              <w:t xml:space="preserve">. As the detail of the scheme (or its associated modelling) was not anticipated to be ready within the timescales of this assessment a proxy (backward engineer of growth) was planned with a view to determining the scale of development that this link may support. However, a review of the forecast report developed by </w:t>
            </w:r>
            <w:proofErr w:type="spellStart"/>
            <w:r w:rsidRPr="001F2F93">
              <w:rPr>
                <w:rFonts w:ascii="Arial" w:hAnsi="Arial" w:cs="Arial"/>
                <w:i/>
                <w:sz w:val="20"/>
                <w:szCs w:val="20"/>
              </w:rPr>
              <w:t>Arcadis</w:t>
            </w:r>
            <w:proofErr w:type="spellEnd"/>
            <w:r w:rsidRPr="001F2F93">
              <w:rPr>
                <w:rFonts w:ascii="Arial" w:hAnsi="Arial" w:cs="Arial"/>
                <w:i/>
                <w:sz w:val="20"/>
                <w:szCs w:val="20"/>
              </w:rPr>
              <w:t xml:space="preserve"> (who are completing the assessment of this link) uncovered some concerns associated with background traffic growth forecast within the major scheme modelled. This has been raised by CH2M to Highways England and it is understood this element will be revisited by </w:t>
            </w:r>
            <w:proofErr w:type="spellStart"/>
            <w:r w:rsidRPr="001F2F93">
              <w:rPr>
                <w:rFonts w:ascii="Arial" w:hAnsi="Arial" w:cs="Arial"/>
                <w:i/>
                <w:sz w:val="20"/>
                <w:szCs w:val="20"/>
              </w:rPr>
              <w:t>Arcadis</w:t>
            </w:r>
            <w:proofErr w:type="spellEnd"/>
            <w:r w:rsidRPr="001F2F93">
              <w:rPr>
                <w:rFonts w:ascii="Arial" w:hAnsi="Arial" w:cs="Arial"/>
                <w:i/>
                <w:sz w:val="20"/>
                <w:szCs w:val="20"/>
              </w:rPr>
              <w:t xml:space="preserve"> as part of future stages of the assessment. To that end, the original plan to ‘backward engineer’ traffic growth from the </w:t>
            </w:r>
            <w:proofErr w:type="spellStart"/>
            <w:r w:rsidRPr="001F2F93">
              <w:rPr>
                <w:rFonts w:ascii="Arial" w:hAnsi="Arial" w:cs="Arial"/>
                <w:i/>
                <w:sz w:val="20"/>
                <w:szCs w:val="20"/>
              </w:rPr>
              <w:t>Arcadis</w:t>
            </w:r>
            <w:proofErr w:type="spellEnd"/>
            <w:r w:rsidRPr="001F2F93">
              <w:rPr>
                <w:rFonts w:ascii="Arial" w:hAnsi="Arial" w:cs="Arial"/>
                <w:i/>
                <w:sz w:val="20"/>
                <w:szCs w:val="20"/>
              </w:rPr>
              <w:t xml:space="preserve"> </w:t>
            </w:r>
            <w:proofErr w:type="spellStart"/>
            <w:r w:rsidRPr="001F2F93">
              <w:rPr>
                <w:rFonts w:ascii="Arial" w:hAnsi="Arial" w:cs="Arial"/>
                <w:i/>
                <w:sz w:val="20"/>
                <w:szCs w:val="20"/>
              </w:rPr>
              <w:t>Paramics</w:t>
            </w:r>
            <w:proofErr w:type="spellEnd"/>
            <w:r w:rsidRPr="001F2F93">
              <w:rPr>
                <w:rFonts w:ascii="Arial" w:hAnsi="Arial" w:cs="Arial"/>
                <w:i/>
                <w:sz w:val="20"/>
                <w:szCs w:val="20"/>
              </w:rPr>
              <w:t xml:space="preserve"> model is not deemed sound. As the timescales associated with the ongoing </w:t>
            </w:r>
            <w:proofErr w:type="spellStart"/>
            <w:r w:rsidRPr="001F2F93">
              <w:rPr>
                <w:rFonts w:ascii="Arial" w:hAnsi="Arial" w:cs="Arial"/>
                <w:i/>
                <w:sz w:val="20"/>
                <w:szCs w:val="20"/>
              </w:rPr>
              <w:t>Arcadis</w:t>
            </w:r>
            <w:proofErr w:type="spellEnd"/>
            <w:r w:rsidRPr="001F2F93">
              <w:rPr>
                <w:rFonts w:ascii="Arial" w:hAnsi="Arial" w:cs="Arial"/>
                <w:i/>
                <w:sz w:val="20"/>
                <w:szCs w:val="20"/>
              </w:rPr>
              <w:t xml:space="preserve"> work do not correlate with the CH2M study, the junctions between </w:t>
            </w:r>
            <w:proofErr w:type="spellStart"/>
            <w:r w:rsidRPr="001F2F93">
              <w:rPr>
                <w:rFonts w:ascii="Arial" w:hAnsi="Arial" w:cs="Arial"/>
                <w:i/>
                <w:sz w:val="20"/>
                <w:szCs w:val="20"/>
              </w:rPr>
              <w:t>Skippool</w:t>
            </w:r>
            <w:proofErr w:type="spellEnd"/>
            <w:r w:rsidRPr="001F2F93">
              <w:rPr>
                <w:rFonts w:ascii="Arial" w:hAnsi="Arial" w:cs="Arial"/>
                <w:i/>
                <w:sz w:val="20"/>
                <w:szCs w:val="20"/>
              </w:rPr>
              <w:t xml:space="preserve"> and Windy Harbour are not to be considered within the CH2M study but will be the subject of carefully formed wording. This has involved wider discussions than previously envisaged. </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 xml:space="preserve">Stage 2 of </w:t>
            </w:r>
            <w:proofErr w:type="gramStart"/>
            <w:r w:rsidRPr="001F2F93">
              <w:rPr>
                <w:rFonts w:ascii="Arial" w:hAnsi="Arial" w:cs="Arial"/>
                <w:i/>
                <w:sz w:val="20"/>
                <w:szCs w:val="20"/>
              </w:rPr>
              <w:t>this operational assessments</w:t>
            </w:r>
            <w:proofErr w:type="gramEnd"/>
            <w:r w:rsidRPr="001F2F93">
              <w:rPr>
                <w:rFonts w:ascii="Arial" w:hAnsi="Arial" w:cs="Arial"/>
                <w:i/>
                <w:sz w:val="20"/>
                <w:szCs w:val="20"/>
              </w:rPr>
              <w:t xml:space="preserve"> therefore will cover the assessment of the A585 from Fleetwood Road south to Bourne Way.</w:t>
            </w:r>
            <w:r w:rsidRPr="001F2F93">
              <w:rPr>
                <w:rFonts w:ascii="Arial" w:hAnsi="Arial" w:cs="Arial"/>
              </w:rPr>
              <w:t xml:space="preserve"> </w:t>
            </w:r>
            <w:r w:rsidRPr="001F2F93">
              <w:rPr>
                <w:rFonts w:ascii="Arial" w:hAnsi="Arial" w:cs="Arial"/>
                <w:i/>
                <w:sz w:val="20"/>
                <w:szCs w:val="20"/>
              </w:rPr>
              <w:t xml:space="preserve">Base flows have been extracted from the validated </w:t>
            </w:r>
            <w:proofErr w:type="spellStart"/>
            <w:r w:rsidRPr="001F2F93">
              <w:rPr>
                <w:rFonts w:ascii="Arial" w:hAnsi="Arial" w:cs="Arial"/>
                <w:i/>
                <w:sz w:val="20"/>
                <w:szCs w:val="20"/>
              </w:rPr>
              <w:t>Mouchel</w:t>
            </w:r>
            <w:proofErr w:type="spellEnd"/>
            <w:r w:rsidRPr="001F2F93">
              <w:rPr>
                <w:rFonts w:ascii="Arial" w:hAnsi="Arial" w:cs="Arial"/>
                <w:i/>
                <w:sz w:val="20"/>
                <w:szCs w:val="20"/>
              </w:rPr>
              <w:t xml:space="preserve"> </w:t>
            </w:r>
            <w:proofErr w:type="spellStart"/>
            <w:r w:rsidRPr="001F2F93">
              <w:rPr>
                <w:rFonts w:ascii="Arial" w:hAnsi="Arial" w:cs="Arial"/>
                <w:i/>
                <w:sz w:val="20"/>
                <w:szCs w:val="20"/>
              </w:rPr>
              <w:t>Paramics</w:t>
            </w:r>
            <w:proofErr w:type="spellEnd"/>
            <w:r w:rsidRPr="001F2F93">
              <w:rPr>
                <w:rFonts w:ascii="Arial" w:hAnsi="Arial" w:cs="Arial"/>
                <w:i/>
                <w:sz w:val="20"/>
                <w:szCs w:val="20"/>
              </w:rPr>
              <w:t xml:space="preserve"> model, with future development flows derived from the Graham tool. This will involve extensive manipulation and cordoning of the existing A585 </w:t>
            </w:r>
            <w:proofErr w:type="spellStart"/>
            <w:r w:rsidRPr="001F2F93">
              <w:rPr>
                <w:rFonts w:ascii="Arial" w:hAnsi="Arial" w:cs="Arial"/>
                <w:i/>
                <w:sz w:val="20"/>
                <w:szCs w:val="20"/>
              </w:rPr>
              <w:t>Paramics</w:t>
            </w:r>
            <w:proofErr w:type="spellEnd"/>
            <w:r w:rsidRPr="001F2F93">
              <w:rPr>
                <w:rFonts w:ascii="Arial" w:hAnsi="Arial" w:cs="Arial"/>
                <w:i/>
                <w:sz w:val="20"/>
                <w:szCs w:val="20"/>
              </w:rPr>
              <w:t xml:space="preserve"> corridor model (as it is too large to run within the study timescales) into a form suitable for the section of the A585 required to be considered. This was not originally envisaged to be required. In addition, bespoke OD matrices are required to be developed for the study area from the </w:t>
            </w:r>
            <w:proofErr w:type="spellStart"/>
            <w:r w:rsidRPr="001F2F93">
              <w:rPr>
                <w:rFonts w:ascii="Arial" w:hAnsi="Arial" w:cs="Arial"/>
                <w:i/>
                <w:sz w:val="20"/>
                <w:szCs w:val="20"/>
              </w:rPr>
              <w:t>GraHAm</w:t>
            </w:r>
            <w:proofErr w:type="spellEnd"/>
            <w:r w:rsidRPr="001F2F93">
              <w:rPr>
                <w:rFonts w:ascii="Arial" w:hAnsi="Arial" w:cs="Arial"/>
                <w:i/>
                <w:sz w:val="20"/>
                <w:szCs w:val="20"/>
              </w:rPr>
              <w:t xml:space="preserve"> outputs.</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 xml:space="preserve">As per the influence of the forthcoming M55 J2 on M55 J3 flows, CH2M will look to establish if the proposed Windy Harbour – </w:t>
            </w:r>
            <w:proofErr w:type="spellStart"/>
            <w:r w:rsidRPr="001F2F93">
              <w:rPr>
                <w:rFonts w:ascii="Arial" w:hAnsi="Arial" w:cs="Arial"/>
                <w:i/>
                <w:sz w:val="20"/>
                <w:szCs w:val="20"/>
              </w:rPr>
              <w:t>Skippool</w:t>
            </w:r>
            <w:proofErr w:type="spellEnd"/>
            <w:r w:rsidRPr="001F2F93">
              <w:rPr>
                <w:rFonts w:ascii="Arial" w:hAnsi="Arial" w:cs="Arial"/>
                <w:i/>
                <w:sz w:val="20"/>
                <w:szCs w:val="20"/>
              </w:rPr>
              <w:t xml:space="preserve"> major improvement scheme will influence traffic flows with the Stage 2 assessment section of the A585 corridor.</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Depending on the outcomes of the Stage 1 and 2 junction model assessments, further operational analysis will be undertaking to consider the benefits offered by feasible improvement measures.</w:t>
            </w:r>
          </w:p>
          <w:p w:rsidR="00CA6D24" w:rsidRPr="001F2F93" w:rsidRDefault="00CA6D24" w:rsidP="00CA6D24">
            <w:pPr>
              <w:spacing w:before="120" w:after="120"/>
              <w:rPr>
                <w:rFonts w:ascii="Arial" w:hAnsi="Arial" w:cs="Arial"/>
                <w:b/>
                <w:i/>
                <w:sz w:val="20"/>
                <w:szCs w:val="20"/>
              </w:rPr>
            </w:pPr>
            <w:r w:rsidRPr="001F2F93">
              <w:rPr>
                <w:rFonts w:ascii="Arial" w:hAnsi="Arial" w:cs="Arial"/>
                <w:b/>
                <w:i/>
                <w:sz w:val="20"/>
                <w:szCs w:val="20"/>
              </w:rPr>
              <w:t xml:space="preserve">Milestone </w:t>
            </w:r>
            <w:r>
              <w:rPr>
                <w:rFonts w:ascii="Arial" w:hAnsi="Arial" w:cs="Arial"/>
                <w:b/>
                <w:i/>
                <w:sz w:val="20"/>
                <w:szCs w:val="20"/>
              </w:rPr>
              <w:t>5</w:t>
            </w:r>
            <w:r w:rsidRPr="001F2F93">
              <w:rPr>
                <w:rFonts w:ascii="Arial" w:hAnsi="Arial" w:cs="Arial"/>
                <w:b/>
                <w:i/>
                <w:sz w:val="20"/>
                <w:szCs w:val="20"/>
              </w:rPr>
              <w:t xml:space="preserve"> (</w:t>
            </w:r>
            <w:bookmarkStart w:id="10" w:name="bm_NW147TransparencyConfirmatio"/>
            <w:r w:rsidRPr="001F2F93">
              <w:rPr>
                <w:rFonts w:ascii="Arial" w:hAnsi="Arial" w:cs="Arial"/>
                <w:b/>
                <w:i/>
                <w:sz w:val="20"/>
                <w:szCs w:val="20"/>
              </w:rPr>
              <w:t>Fylde / Wyre considerations)</w:t>
            </w:r>
            <w:bookmarkEnd w:id="10"/>
          </w:p>
          <w:p w:rsidR="00CA6D24" w:rsidRDefault="00CA6D24" w:rsidP="00CA6D24">
            <w:pPr>
              <w:spacing w:after="240"/>
              <w:rPr>
                <w:rFonts w:ascii="Arial" w:hAnsi="Arial" w:cs="Arial"/>
                <w:i/>
                <w:sz w:val="20"/>
                <w:szCs w:val="20"/>
              </w:rPr>
            </w:pPr>
            <w:r w:rsidRPr="001F2F93">
              <w:rPr>
                <w:rFonts w:ascii="Arial" w:hAnsi="Arial" w:cs="Arial"/>
                <w:i/>
                <w:sz w:val="20"/>
                <w:szCs w:val="20"/>
              </w:rPr>
              <w:t>With a view to considering the joint impacts of the Fylde developments and the Wyre developments, an analysis will be undertaken of M55 J3 using the model available to consider the influences of both sets of development on M55 J3. This will be summarised in a separate technical note.</w:t>
            </w:r>
          </w:p>
          <w:p w:rsidR="001F2F93" w:rsidRPr="001F2F93" w:rsidRDefault="001F2F93" w:rsidP="001F2F93">
            <w:pPr>
              <w:spacing w:before="120" w:after="120"/>
              <w:rPr>
                <w:rFonts w:ascii="Arial" w:hAnsi="Arial" w:cs="Arial"/>
                <w:b/>
                <w:i/>
                <w:sz w:val="20"/>
                <w:szCs w:val="20"/>
              </w:rPr>
            </w:pPr>
            <w:r w:rsidRPr="001F2F93">
              <w:rPr>
                <w:rFonts w:ascii="Arial" w:hAnsi="Arial" w:cs="Arial"/>
                <w:b/>
                <w:i/>
                <w:sz w:val="20"/>
                <w:szCs w:val="20"/>
              </w:rPr>
              <w:t xml:space="preserve">Milestone </w:t>
            </w:r>
            <w:r w:rsidR="00CA6D24">
              <w:rPr>
                <w:rFonts w:ascii="Arial" w:hAnsi="Arial" w:cs="Arial"/>
                <w:b/>
                <w:i/>
                <w:sz w:val="20"/>
                <w:szCs w:val="20"/>
              </w:rPr>
              <w:t xml:space="preserve">6 </w:t>
            </w:r>
            <w:r w:rsidRPr="001F2F93">
              <w:rPr>
                <w:rFonts w:ascii="Arial" w:hAnsi="Arial" w:cs="Arial"/>
                <w:b/>
                <w:i/>
                <w:sz w:val="20"/>
                <w:szCs w:val="20"/>
              </w:rPr>
              <w:t>(Outputs)</w:t>
            </w:r>
          </w:p>
          <w:p w:rsidR="001F2F93" w:rsidRPr="001F2F93" w:rsidRDefault="005D0EEC" w:rsidP="001F2F93">
            <w:pPr>
              <w:spacing w:before="120" w:after="120"/>
              <w:rPr>
                <w:rFonts w:ascii="Arial" w:hAnsi="Arial" w:cs="Arial"/>
                <w:i/>
                <w:sz w:val="20"/>
                <w:szCs w:val="20"/>
              </w:rPr>
            </w:pPr>
            <w:r w:rsidRPr="005D0EEC">
              <w:rPr>
                <w:rFonts w:ascii="Arial" w:hAnsi="Arial" w:cs="Arial"/>
                <w:i/>
                <w:sz w:val="20"/>
                <w:szCs w:val="20"/>
              </w:rPr>
              <w:t>On the basis of the analysis undertaken, a study report will be produced that identifies the likely issues and considers the potential ‘scale’ of additional infrastructure</w:t>
            </w:r>
            <w:r>
              <w:rPr>
                <w:rFonts w:ascii="Arial" w:hAnsi="Arial" w:cs="Arial"/>
                <w:i/>
                <w:sz w:val="20"/>
                <w:szCs w:val="20"/>
              </w:rPr>
              <w:t xml:space="preserve"> </w:t>
            </w:r>
            <w:r w:rsidR="001F2F93" w:rsidRPr="001F2F93">
              <w:rPr>
                <w:rFonts w:ascii="Arial" w:hAnsi="Arial" w:cs="Arial"/>
                <w:i/>
                <w:sz w:val="20"/>
                <w:szCs w:val="20"/>
              </w:rPr>
              <w:t>that is required to overcome these issues and summarise these with reference to the Local Plan.</w:t>
            </w:r>
          </w:p>
          <w:p w:rsidR="001F2F93" w:rsidRPr="001F2F93" w:rsidRDefault="005D0EEC" w:rsidP="001F2F93">
            <w:pPr>
              <w:spacing w:before="120" w:after="120"/>
              <w:rPr>
                <w:rFonts w:ascii="Arial" w:hAnsi="Arial" w:cs="Arial"/>
                <w:i/>
                <w:sz w:val="20"/>
                <w:szCs w:val="20"/>
              </w:rPr>
            </w:pPr>
            <w:r w:rsidRPr="005D0EEC">
              <w:rPr>
                <w:rFonts w:ascii="Arial" w:hAnsi="Arial" w:cs="Arial"/>
                <w:i/>
                <w:sz w:val="20"/>
                <w:szCs w:val="20"/>
              </w:rPr>
              <w:t>As noted above, a versatile spreadsheet-based tool will be produced that can be used by both Wyre and Highways England</w:t>
            </w:r>
            <w:r>
              <w:rPr>
                <w:rFonts w:ascii="Arial" w:hAnsi="Arial" w:cs="Arial"/>
                <w:i/>
                <w:sz w:val="20"/>
                <w:szCs w:val="20"/>
              </w:rPr>
              <w:t xml:space="preserve"> </w:t>
            </w:r>
            <w:r w:rsidR="001F2F93" w:rsidRPr="001F2F93">
              <w:rPr>
                <w:rFonts w:ascii="Arial" w:hAnsi="Arial" w:cs="Arial"/>
                <w:i/>
                <w:sz w:val="20"/>
                <w:szCs w:val="20"/>
              </w:rPr>
              <w:t>in order to ascertain and understand the scale of impact on study junctions by development trips generated through a variety of different development aspiration ‘mixes’. This should ease further consideration.</w:t>
            </w:r>
          </w:p>
          <w:p w:rsidR="001F2F93" w:rsidRPr="001F2F93" w:rsidRDefault="001F2F93" w:rsidP="001F2F93">
            <w:pPr>
              <w:spacing w:before="120" w:after="120"/>
              <w:rPr>
                <w:rFonts w:ascii="Arial" w:hAnsi="Arial" w:cs="Arial"/>
                <w:i/>
                <w:sz w:val="20"/>
                <w:szCs w:val="20"/>
              </w:rPr>
            </w:pPr>
            <w:r w:rsidRPr="001F2F93">
              <w:rPr>
                <w:rFonts w:ascii="Arial" w:hAnsi="Arial" w:cs="Arial"/>
                <w:i/>
                <w:sz w:val="20"/>
                <w:szCs w:val="20"/>
              </w:rPr>
              <w:t>As discussed at the previous meeting with Wyre, CH2M will also reflect the outcomes of this study in a non-technical “evidence document” that the planners can sue to inform the Local Plan progression.</w:t>
            </w:r>
          </w:p>
          <w:bookmarkEnd w:id="8"/>
          <w:p w:rsidR="00CA6D24" w:rsidRDefault="007E0E3A" w:rsidP="007E0E3A">
            <w:pPr>
              <w:spacing w:before="120" w:after="120"/>
              <w:rPr>
                <w:rFonts w:ascii="Arial" w:hAnsi="Arial" w:cs="Arial"/>
                <w:sz w:val="20"/>
                <w:szCs w:val="20"/>
              </w:rPr>
            </w:pPr>
            <w:r w:rsidRPr="007E0E3A">
              <w:rPr>
                <w:rFonts w:ascii="Arial" w:hAnsi="Arial" w:cs="Arial"/>
                <w:i/>
                <w:sz w:val="20"/>
                <w:szCs w:val="20"/>
              </w:rPr>
              <w:t>An output document containing the results of the assessment of both proposed Fylde Local Plan and Wyre Local Plan traffic impacts upon M55 Junction 3 will be contained in a separate study document for use by Fylde Borough Council</w:t>
            </w:r>
            <w:r>
              <w:rPr>
                <w:rFonts w:ascii="Arial" w:hAnsi="Arial" w:cs="Arial"/>
                <w:i/>
                <w:sz w:val="20"/>
                <w:szCs w:val="20"/>
              </w:rPr>
              <w:t>.</w:t>
            </w:r>
          </w:p>
        </w:tc>
      </w:tr>
      <w:tr w:rsidR="003816DB" w:rsidTr="00BB64BD">
        <w:trPr>
          <w:trHeight w:val="1260"/>
        </w:trPr>
        <w:tc>
          <w:tcPr>
            <w:tcW w:w="0" w:type="auto"/>
            <w:gridSpan w:val="6"/>
            <w:vMerge/>
            <w:tcBorders>
              <w:top w:val="nil"/>
              <w:left w:val="single" w:sz="8" w:space="0" w:color="auto"/>
              <w:bottom w:val="single" w:sz="4" w:space="0" w:color="000000"/>
              <w:right w:val="single" w:sz="8" w:space="0" w:color="000000"/>
            </w:tcBorders>
            <w:vAlign w:val="center"/>
            <w:hideMark/>
          </w:tcPr>
          <w:p w:rsidR="003816DB" w:rsidRDefault="003816DB" w:rsidP="00BB64BD">
            <w:pPr>
              <w:rPr>
                <w:rFonts w:ascii="Arial" w:hAnsi="Arial" w:cs="Arial"/>
                <w:sz w:val="20"/>
                <w:szCs w:val="20"/>
              </w:rPr>
            </w:pPr>
          </w:p>
        </w:tc>
      </w:tr>
      <w:tr w:rsidR="003816DB" w:rsidTr="00BB64BD">
        <w:trPr>
          <w:trHeight w:val="360"/>
        </w:trPr>
        <w:tc>
          <w:tcPr>
            <w:tcW w:w="10710" w:type="dxa"/>
            <w:gridSpan w:val="6"/>
            <w:tcBorders>
              <w:top w:val="single" w:sz="4" w:space="0" w:color="auto"/>
              <w:left w:val="single" w:sz="8" w:space="0" w:color="auto"/>
              <w:bottom w:val="nil"/>
              <w:right w:val="single" w:sz="8" w:space="0" w:color="000000"/>
            </w:tcBorders>
            <w:shd w:val="clear" w:color="auto" w:fill="auto"/>
            <w:hideMark/>
          </w:tcPr>
          <w:p w:rsidR="003816DB" w:rsidRDefault="003816DB" w:rsidP="00BB64BD">
            <w:pPr>
              <w:rPr>
                <w:rFonts w:ascii="aria" w:hAnsi="aria" w:cs="Arial"/>
                <w:b/>
                <w:bCs/>
                <w:sz w:val="20"/>
                <w:szCs w:val="20"/>
              </w:rPr>
            </w:pPr>
            <w:r>
              <w:rPr>
                <w:rFonts w:ascii="aria" w:hAnsi="aria" w:cs="Arial"/>
                <w:b/>
                <w:bCs/>
                <w:sz w:val="20"/>
                <w:szCs w:val="20"/>
              </w:rPr>
              <w:lastRenderedPageBreak/>
              <w:t>Expected Project Outcomes</w:t>
            </w:r>
          </w:p>
        </w:tc>
      </w:tr>
      <w:tr w:rsidR="003816DB" w:rsidTr="00BB64BD">
        <w:trPr>
          <w:trHeight w:val="1545"/>
        </w:trPr>
        <w:tc>
          <w:tcPr>
            <w:tcW w:w="10710" w:type="dxa"/>
            <w:gridSpan w:val="6"/>
            <w:vMerge w:val="restart"/>
            <w:tcBorders>
              <w:top w:val="nil"/>
              <w:left w:val="single" w:sz="8" w:space="0" w:color="auto"/>
              <w:bottom w:val="single" w:sz="4" w:space="0" w:color="000000"/>
              <w:right w:val="single" w:sz="8" w:space="0" w:color="000000"/>
            </w:tcBorders>
            <w:shd w:val="clear" w:color="auto" w:fill="auto"/>
            <w:hideMark/>
          </w:tcPr>
          <w:p w:rsidR="003816DB" w:rsidRDefault="001F2F93" w:rsidP="00BB64BD">
            <w:pPr>
              <w:rPr>
                <w:rFonts w:ascii="aria" w:hAnsi="aria" w:cs="Arial"/>
                <w:sz w:val="20"/>
                <w:szCs w:val="20"/>
              </w:rPr>
            </w:pPr>
            <w:r w:rsidRPr="005C71B8">
              <w:rPr>
                <w:i/>
                <w:sz w:val="20"/>
                <w:szCs w:val="20"/>
              </w:rPr>
              <w:lastRenderedPageBreak/>
              <w:t>The project outcome</w:t>
            </w:r>
            <w:r w:rsidRPr="006266D8">
              <w:rPr>
                <w:i/>
                <w:sz w:val="20"/>
                <w:szCs w:val="20"/>
              </w:rPr>
              <w:t>s will be a study report</w:t>
            </w:r>
            <w:r w:rsidRPr="005C71B8">
              <w:rPr>
                <w:i/>
                <w:sz w:val="20"/>
                <w:szCs w:val="20"/>
              </w:rPr>
              <w:t xml:space="preserve"> outlining the approach to the assessment and the findings of the analysis</w:t>
            </w:r>
            <w:r w:rsidRPr="008E32D4">
              <w:rPr>
                <w:i/>
                <w:sz w:val="20"/>
                <w:szCs w:val="20"/>
              </w:rPr>
              <w:t xml:space="preserve"> and a</w:t>
            </w:r>
            <w:r>
              <w:rPr>
                <w:i/>
                <w:sz w:val="20"/>
                <w:szCs w:val="20"/>
              </w:rPr>
              <w:t>n</w:t>
            </w:r>
            <w:r w:rsidRPr="008E32D4">
              <w:rPr>
                <w:i/>
                <w:sz w:val="20"/>
                <w:szCs w:val="20"/>
              </w:rPr>
              <w:t xml:space="preserve"> evidence document / supporting tool</w:t>
            </w:r>
            <w:r w:rsidRPr="005C71B8">
              <w:rPr>
                <w:i/>
                <w:sz w:val="20"/>
                <w:szCs w:val="20"/>
              </w:rPr>
              <w:t>.</w:t>
            </w:r>
          </w:p>
        </w:tc>
      </w:tr>
      <w:tr w:rsidR="003816DB" w:rsidTr="00BB64BD">
        <w:trPr>
          <w:trHeight w:val="1065"/>
        </w:trPr>
        <w:tc>
          <w:tcPr>
            <w:tcW w:w="0" w:type="auto"/>
            <w:gridSpan w:val="6"/>
            <w:vMerge/>
            <w:tcBorders>
              <w:top w:val="nil"/>
              <w:left w:val="single" w:sz="8" w:space="0" w:color="auto"/>
              <w:bottom w:val="single" w:sz="4" w:space="0" w:color="000000"/>
              <w:right w:val="single" w:sz="8" w:space="0" w:color="000000"/>
            </w:tcBorders>
            <w:vAlign w:val="center"/>
            <w:hideMark/>
          </w:tcPr>
          <w:p w:rsidR="003816DB" w:rsidRDefault="003816DB" w:rsidP="00BB64BD">
            <w:pPr>
              <w:rPr>
                <w:rFonts w:ascii="aria" w:hAnsi="aria" w:cs="Arial"/>
                <w:sz w:val="20"/>
                <w:szCs w:val="20"/>
              </w:rPr>
            </w:pPr>
          </w:p>
        </w:tc>
      </w:tr>
      <w:tr w:rsidR="003816DB" w:rsidTr="00BB64BD">
        <w:trPr>
          <w:trHeight w:val="360"/>
        </w:trPr>
        <w:tc>
          <w:tcPr>
            <w:tcW w:w="10710" w:type="dxa"/>
            <w:gridSpan w:val="6"/>
            <w:tcBorders>
              <w:top w:val="single" w:sz="4" w:space="0" w:color="auto"/>
              <w:left w:val="single" w:sz="8" w:space="0" w:color="auto"/>
              <w:bottom w:val="nil"/>
              <w:right w:val="single" w:sz="8" w:space="0" w:color="000000"/>
            </w:tcBorders>
            <w:shd w:val="clear" w:color="auto" w:fill="auto"/>
            <w:hideMark/>
          </w:tcPr>
          <w:p w:rsidR="003816DB" w:rsidRDefault="003816DB" w:rsidP="00BB64BD">
            <w:pPr>
              <w:rPr>
                <w:rFonts w:ascii="aria" w:hAnsi="aria" w:cs="Arial"/>
                <w:b/>
                <w:bCs/>
                <w:sz w:val="20"/>
                <w:szCs w:val="20"/>
              </w:rPr>
            </w:pPr>
            <w:r>
              <w:rPr>
                <w:rFonts w:ascii="aria" w:hAnsi="aria" w:cs="Arial"/>
                <w:b/>
                <w:bCs/>
                <w:sz w:val="20"/>
                <w:szCs w:val="20"/>
              </w:rPr>
              <w:t>Project Risk and Management</w:t>
            </w:r>
          </w:p>
        </w:tc>
      </w:tr>
      <w:tr w:rsidR="003816DB" w:rsidTr="00BB64BD">
        <w:trPr>
          <w:trHeight w:val="1665"/>
        </w:trPr>
        <w:tc>
          <w:tcPr>
            <w:tcW w:w="10710" w:type="dxa"/>
            <w:gridSpan w:val="6"/>
            <w:vMerge w:val="restart"/>
            <w:tcBorders>
              <w:top w:val="nil"/>
              <w:left w:val="single" w:sz="8" w:space="0" w:color="auto"/>
              <w:bottom w:val="single" w:sz="8" w:space="0" w:color="000000"/>
              <w:right w:val="single" w:sz="8" w:space="0" w:color="000000"/>
            </w:tcBorders>
            <w:shd w:val="clear" w:color="auto" w:fill="auto"/>
            <w:hideMark/>
          </w:tcPr>
          <w:p w:rsidR="003816DB" w:rsidRPr="001F2F93" w:rsidRDefault="003816DB" w:rsidP="00BB64BD">
            <w:pPr>
              <w:spacing w:after="240"/>
              <w:rPr>
                <w:rFonts w:ascii="Arial" w:hAnsi="Arial" w:cs="Arial"/>
                <w:sz w:val="20"/>
                <w:szCs w:val="20"/>
              </w:rPr>
            </w:pPr>
            <w:r w:rsidRPr="001F2F93">
              <w:rPr>
                <w:rFonts w:ascii="Arial" w:hAnsi="Arial" w:cs="Arial"/>
                <w:sz w:val="20"/>
                <w:szCs w:val="20"/>
              </w:rPr>
              <w:t>Risks (and associated mitigation in brackets) identified below</w:t>
            </w:r>
            <w:proofErr w:type="gramStart"/>
            <w:r w:rsidRPr="001F2F93">
              <w:rPr>
                <w:rFonts w:ascii="Arial" w:hAnsi="Arial" w:cs="Arial"/>
                <w:sz w:val="20"/>
                <w:szCs w:val="20"/>
              </w:rPr>
              <w:t>:</w:t>
            </w:r>
            <w:proofErr w:type="gramEnd"/>
            <w:r w:rsidRPr="001F2F93">
              <w:rPr>
                <w:rFonts w:ascii="Arial" w:hAnsi="Arial" w:cs="Arial"/>
                <w:sz w:val="20"/>
                <w:szCs w:val="20"/>
              </w:rPr>
              <w:br/>
            </w:r>
            <w:r w:rsidRPr="001F2F93">
              <w:rPr>
                <w:rFonts w:ascii="Arial" w:hAnsi="Arial" w:cs="Arial"/>
                <w:sz w:val="20"/>
                <w:szCs w:val="20"/>
              </w:rPr>
              <w:br/>
              <w:t>- Delay in CTO approval (None available)</w:t>
            </w:r>
            <w:r w:rsidRPr="001F2F93">
              <w:rPr>
                <w:rFonts w:ascii="Arial" w:hAnsi="Arial" w:cs="Arial"/>
                <w:sz w:val="20"/>
                <w:szCs w:val="20"/>
              </w:rPr>
              <w:br/>
            </w:r>
            <w:r w:rsidRPr="001F2F93">
              <w:rPr>
                <w:rFonts w:ascii="Arial" w:hAnsi="Arial" w:cs="Arial"/>
                <w:sz w:val="20"/>
                <w:szCs w:val="20"/>
              </w:rPr>
              <w:br/>
              <w:t>- Task allows for testing of a base and future year assessment ‘do-minimum’ scenarios. In addition, this task also allows for the testing of a future year ‘do-something’ scenario following the identification and implementation of suitable mitigation measures.</w:t>
            </w:r>
          </w:p>
        </w:tc>
      </w:tr>
      <w:tr w:rsidR="003816DB" w:rsidTr="00BB64BD">
        <w:trPr>
          <w:trHeight w:val="1530"/>
        </w:trPr>
        <w:tc>
          <w:tcPr>
            <w:tcW w:w="0" w:type="auto"/>
            <w:gridSpan w:val="6"/>
            <w:vMerge/>
            <w:tcBorders>
              <w:top w:val="nil"/>
              <w:left w:val="single" w:sz="8" w:space="0" w:color="auto"/>
              <w:bottom w:val="single" w:sz="8" w:space="0" w:color="000000"/>
              <w:right w:val="single" w:sz="8" w:space="0" w:color="000000"/>
            </w:tcBorders>
            <w:vAlign w:val="center"/>
            <w:hideMark/>
          </w:tcPr>
          <w:p w:rsidR="003816DB" w:rsidRDefault="003816DB" w:rsidP="00BB64BD">
            <w:pPr>
              <w:rPr>
                <w:rFonts w:ascii="aria" w:hAnsi="aria" w:cs="Arial"/>
                <w:sz w:val="20"/>
                <w:szCs w:val="20"/>
              </w:rPr>
            </w:pPr>
          </w:p>
        </w:tc>
      </w:tr>
      <w:tr w:rsidR="003816DB" w:rsidTr="00BB64BD">
        <w:trPr>
          <w:trHeight w:val="525"/>
        </w:trPr>
        <w:tc>
          <w:tcPr>
            <w:tcW w:w="1971" w:type="dxa"/>
            <w:tcBorders>
              <w:top w:val="nil"/>
              <w:left w:val="single" w:sz="8" w:space="0" w:color="auto"/>
              <w:bottom w:val="single" w:sz="8" w:space="0" w:color="auto"/>
              <w:right w:val="single" w:sz="8"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HA Project Sponsor</w:t>
            </w:r>
          </w:p>
        </w:tc>
        <w:tc>
          <w:tcPr>
            <w:tcW w:w="0" w:type="auto"/>
            <w:tcBorders>
              <w:top w:val="nil"/>
              <w:left w:val="nil"/>
              <w:bottom w:val="single" w:sz="8" w:space="0" w:color="auto"/>
              <w:right w:val="nil"/>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Sign:</w:t>
            </w:r>
          </w:p>
        </w:tc>
        <w:tc>
          <w:tcPr>
            <w:tcW w:w="0" w:type="auto"/>
            <w:tcBorders>
              <w:top w:val="nil"/>
              <w:left w:val="nil"/>
              <w:bottom w:val="single" w:sz="8" w:space="0" w:color="auto"/>
              <w:right w:val="single" w:sz="8" w:space="0" w:color="auto"/>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sz w:val="20"/>
                <w:szCs w:val="20"/>
              </w:rPr>
              <w:t> </w:t>
            </w:r>
          </w:p>
        </w:tc>
        <w:tc>
          <w:tcPr>
            <w:tcW w:w="0" w:type="auto"/>
            <w:tcBorders>
              <w:top w:val="single" w:sz="8" w:space="0" w:color="auto"/>
              <w:left w:val="single" w:sz="8" w:space="0" w:color="auto"/>
              <w:bottom w:val="single" w:sz="8" w:space="0" w:color="auto"/>
              <w:right w:val="nil"/>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Print Name:</w:t>
            </w:r>
          </w:p>
        </w:tc>
        <w:tc>
          <w:tcPr>
            <w:tcW w:w="0" w:type="auto"/>
            <w:tcBorders>
              <w:top w:val="nil"/>
              <w:left w:val="nil"/>
              <w:bottom w:val="single" w:sz="8" w:space="0" w:color="auto"/>
              <w:right w:val="nil"/>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Date:</w:t>
            </w:r>
            <w:r w:rsidR="00A51D15">
              <w:rPr>
                <w:rFonts w:ascii="Arial" w:hAnsi="Arial" w:cs="Arial"/>
                <w:b/>
                <w:bCs/>
                <w:sz w:val="20"/>
                <w:szCs w:val="20"/>
              </w:rPr>
              <w:t xml:space="preserve"> 31/3/2016</w:t>
            </w:r>
          </w:p>
        </w:tc>
      </w:tr>
      <w:tr w:rsidR="003816DB" w:rsidTr="00BB64BD">
        <w:trPr>
          <w:trHeight w:val="525"/>
        </w:trPr>
        <w:tc>
          <w:tcPr>
            <w:tcW w:w="1971" w:type="dxa"/>
            <w:tcBorders>
              <w:top w:val="nil"/>
              <w:left w:val="single" w:sz="8" w:space="0" w:color="auto"/>
              <w:bottom w:val="single" w:sz="8" w:space="0" w:color="auto"/>
              <w:right w:val="single" w:sz="8"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Management Approver:</w:t>
            </w:r>
          </w:p>
        </w:tc>
        <w:tc>
          <w:tcPr>
            <w:tcW w:w="0" w:type="auto"/>
            <w:tcBorders>
              <w:top w:val="nil"/>
              <w:left w:val="nil"/>
              <w:bottom w:val="single" w:sz="8" w:space="0" w:color="auto"/>
              <w:right w:val="nil"/>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Sign:</w:t>
            </w:r>
          </w:p>
        </w:tc>
        <w:tc>
          <w:tcPr>
            <w:tcW w:w="0" w:type="auto"/>
            <w:tcBorders>
              <w:top w:val="nil"/>
              <w:left w:val="nil"/>
              <w:bottom w:val="single" w:sz="8" w:space="0" w:color="auto"/>
              <w:right w:val="single" w:sz="8" w:space="0" w:color="auto"/>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sz w:val="20"/>
                <w:szCs w:val="20"/>
              </w:rPr>
              <w:t> </w:t>
            </w:r>
          </w:p>
        </w:tc>
        <w:tc>
          <w:tcPr>
            <w:tcW w:w="0" w:type="auto"/>
            <w:tcBorders>
              <w:top w:val="single" w:sz="8" w:space="0" w:color="auto"/>
              <w:left w:val="single" w:sz="8" w:space="0" w:color="auto"/>
              <w:bottom w:val="single" w:sz="8" w:space="0" w:color="auto"/>
              <w:right w:val="nil"/>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Print Name:</w:t>
            </w:r>
          </w:p>
        </w:tc>
        <w:tc>
          <w:tcPr>
            <w:tcW w:w="0" w:type="auto"/>
            <w:tcBorders>
              <w:top w:val="nil"/>
              <w:left w:val="nil"/>
              <w:bottom w:val="single" w:sz="8" w:space="0" w:color="auto"/>
              <w:right w:val="nil"/>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Date:</w:t>
            </w:r>
            <w:r w:rsidR="00A51D15">
              <w:rPr>
                <w:rFonts w:ascii="Arial" w:hAnsi="Arial" w:cs="Arial"/>
                <w:b/>
                <w:bCs/>
                <w:sz w:val="20"/>
                <w:szCs w:val="20"/>
              </w:rPr>
              <w:t xml:space="preserve"> 31/3/2-16</w:t>
            </w:r>
          </w:p>
        </w:tc>
      </w:tr>
      <w:tr w:rsidR="003816DB" w:rsidTr="00BB64BD">
        <w:trPr>
          <w:trHeight w:val="525"/>
        </w:trPr>
        <w:tc>
          <w:tcPr>
            <w:tcW w:w="1971" w:type="dxa"/>
            <w:tcBorders>
              <w:top w:val="nil"/>
              <w:left w:val="single" w:sz="8" w:space="0" w:color="auto"/>
              <w:bottom w:val="single" w:sz="8" w:space="0" w:color="auto"/>
              <w:right w:val="single" w:sz="8" w:space="0" w:color="auto"/>
            </w:tcBorders>
            <w:shd w:val="clear" w:color="auto" w:fill="auto"/>
            <w:vAlign w:val="center"/>
            <w:hideMark/>
          </w:tcPr>
          <w:p w:rsidR="003816DB" w:rsidRDefault="003816DB" w:rsidP="00BB64BD">
            <w:pPr>
              <w:rPr>
                <w:rFonts w:ascii="Arial" w:hAnsi="Arial" w:cs="Arial"/>
                <w:b/>
                <w:bCs/>
                <w:sz w:val="20"/>
                <w:szCs w:val="20"/>
              </w:rPr>
            </w:pPr>
            <w:r>
              <w:rPr>
                <w:rFonts w:ascii="Arial" w:hAnsi="Arial" w:cs="Arial"/>
                <w:b/>
                <w:bCs/>
                <w:sz w:val="20"/>
                <w:szCs w:val="20"/>
              </w:rPr>
              <w:t>Contractual Approval:</w:t>
            </w:r>
          </w:p>
        </w:tc>
        <w:tc>
          <w:tcPr>
            <w:tcW w:w="0" w:type="auto"/>
            <w:tcBorders>
              <w:top w:val="nil"/>
              <w:left w:val="nil"/>
              <w:bottom w:val="single" w:sz="8" w:space="0" w:color="auto"/>
              <w:right w:val="nil"/>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Sign:</w:t>
            </w:r>
          </w:p>
        </w:tc>
        <w:tc>
          <w:tcPr>
            <w:tcW w:w="0" w:type="auto"/>
            <w:tcBorders>
              <w:top w:val="nil"/>
              <w:left w:val="nil"/>
              <w:bottom w:val="single" w:sz="8" w:space="0" w:color="auto"/>
              <w:right w:val="single" w:sz="8" w:space="0" w:color="auto"/>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sz w:val="20"/>
                <w:szCs w:val="20"/>
              </w:rPr>
              <w:t> </w:t>
            </w:r>
          </w:p>
        </w:tc>
        <w:tc>
          <w:tcPr>
            <w:tcW w:w="0" w:type="auto"/>
            <w:tcBorders>
              <w:top w:val="single" w:sz="8" w:space="0" w:color="auto"/>
              <w:left w:val="single" w:sz="8" w:space="0" w:color="auto"/>
              <w:bottom w:val="single" w:sz="8" w:space="0" w:color="auto"/>
              <w:right w:val="nil"/>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Print Name:</w:t>
            </w:r>
          </w:p>
        </w:tc>
        <w:tc>
          <w:tcPr>
            <w:tcW w:w="0" w:type="auto"/>
            <w:tcBorders>
              <w:top w:val="nil"/>
              <w:left w:val="nil"/>
              <w:bottom w:val="single" w:sz="8" w:space="0" w:color="auto"/>
              <w:right w:val="nil"/>
            </w:tcBorders>
            <w:shd w:val="clear" w:color="auto" w:fill="auto"/>
            <w:noWrap/>
            <w:vAlign w:val="bottom"/>
            <w:hideMark/>
          </w:tcPr>
          <w:p w:rsidR="003816DB" w:rsidRDefault="003816DB" w:rsidP="00BB64BD">
            <w:pPr>
              <w:rPr>
                <w:rFonts w:ascii="Arial" w:hAnsi="Arial" w:cs="Arial"/>
                <w:sz w:val="20"/>
                <w:szCs w:val="20"/>
              </w:rPr>
            </w:pPr>
            <w:r>
              <w:rPr>
                <w:rFonts w:ascii="Arial" w:hAnsi="Arial" w:cs="Arial"/>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hideMark/>
          </w:tcPr>
          <w:p w:rsidR="003816DB" w:rsidRDefault="003816DB" w:rsidP="00BB64BD">
            <w:pPr>
              <w:rPr>
                <w:rFonts w:ascii="Arial" w:hAnsi="Arial" w:cs="Arial"/>
                <w:b/>
                <w:bCs/>
                <w:sz w:val="20"/>
                <w:szCs w:val="20"/>
              </w:rPr>
            </w:pPr>
            <w:r>
              <w:rPr>
                <w:rFonts w:ascii="Arial" w:hAnsi="Arial" w:cs="Arial"/>
                <w:b/>
                <w:bCs/>
                <w:sz w:val="20"/>
                <w:szCs w:val="20"/>
              </w:rPr>
              <w:t>Date:</w:t>
            </w:r>
            <w:r w:rsidR="00A51D15">
              <w:rPr>
                <w:rFonts w:ascii="Arial" w:hAnsi="Arial" w:cs="Arial"/>
                <w:b/>
                <w:bCs/>
                <w:sz w:val="20"/>
                <w:szCs w:val="20"/>
              </w:rPr>
              <w:t xml:space="preserve"> 31/3/2016</w:t>
            </w:r>
          </w:p>
        </w:tc>
      </w:tr>
    </w:tbl>
    <w:p w:rsidR="003816DB" w:rsidRDefault="003816DB"/>
    <w:sectPr w:rsidR="003816DB" w:rsidSect="00430A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18" w:rsidRDefault="00CD6918" w:rsidP="00612164">
      <w:pPr>
        <w:spacing w:after="0" w:line="240" w:lineRule="auto"/>
      </w:pPr>
      <w:r>
        <w:separator/>
      </w:r>
    </w:p>
  </w:endnote>
  <w:endnote w:type="continuationSeparator" w:id="0">
    <w:p w:rsidR="00CD6918" w:rsidRDefault="00CD6918" w:rsidP="0061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50" w:rsidRDefault="00B95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50" w:rsidRDefault="00B95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50" w:rsidRDefault="00B95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18" w:rsidRDefault="00CD6918" w:rsidP="00612164">
      <w:pPr>
        <w:spacing w:after="0" w:line="240" w:lineRule="auto"/>
      </w:pPr>
      <w:r>
        <w:separator/>
      </w:r>
    </w:p>
  </w:footnote>
  <w:footnote w:type="continuationSeparator" w:id="0">
    <w:p w:rsidR="00CD6918" w:rsidRDefault="00CD6918" w:rsidP="00612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50" w:rsidRDefault="00B95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50" w:rsidRDefault="00B95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50" w:rsidRDefault="00B95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125AF"/>
    <w:multiLevelType w:val="hybridMultilevel"/>
    <w:tmpl w:val="EB90B798"/>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DB"/>
    <w:rsid w:val="001F2F93"/>
    <w:rsid w:val="00281A4A"/>
    <w:rsid w:val="002D4921"/>
    <w:rsid w:val="003816DB"/>
    <w:rsid w:val="003A3E57"/>
    <w:rsid w:val="00430AA5"/>
    <w:rsid w:val="00550093"/>
    <w:rsid w:val="005D0EEC"/>
    <w:rsid w:val="00612164"/>
    <w:rsid w:val="0073403D"/>
    <w:rsid w:val="007B1A59"/>
    <w:rsid w:val="007E0E3A"/>
    <w:rsid w:val="008962D3"/>
    <w:rsid w:val="00A0489A"/>
    <w:rsid w:val="00A51D15"/>
    <w:rsid w:val="00A8126E"/>
    <w:rsid w:val="00B95850"/>
    <w:rsid w:val="00BB64BD"/>
    <w:rsid w:val="00BC72B3"/>
    <w:rsid w:val="00CA6D24"/>
    <w:rsid w:val="00CD6918"/>
    <w:rsid w:val="00D126DF"/>
    <w:rsid w:val="00E36A20"/>
    <w:rsid w:val="00E8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4BD"/>
    <w:pPr>
      <w:spacing w:after="0" w:line="240" w:lineRule="auto"/>
    </w:pPr>
  </w:style>
  <w:style w:type="paragraph" w:styleId="ListParagraph">
    <w:name w:val="List Paragraph"/>
    <w:basedOn w:val="Normal"/>
    <w:uiPriority w:val="34"/>
    <w:qFormat/>
    <w:rsid w:val="001F2F93"/>
    <w:pPr>
      <w:spacing w:after="0" w:line="240" w:lineRule="auto"/>
      <w:ind w:left="720"/>
      <w:contextualSpacing/>
    </w:pPr>
    <w:rPr>
      <w:rFonts w:ascii="Arial" w:eastAsia="Times New Roman" w:hAnsi="Arial" w:cs="Arial"/>
      <w:szCs w:val="24"/>
    </w:rPr>
  </w:style>
  <w:style w:type="paragraph" w:styleId="BalloonText">
    <w:name w:val="Balloon Text"/>
    <w:basedOn w:val="Normal"/>
    <w:link w:val="BalloonTextChar"/>
    <w:uiPriority w:val="99"/>
    <w:semiHidden/>
    <w:unhideWhenUsed/>
    <w:rsid w:val="00CA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24"/>
    <w:rPr>
      <w:rFonts w:ascii="Tahoma" w:hAnsi="Tahoma" w:cs="Tahoma"/>
      <w:sz w:val="16"/>
      <w:szCs w:val="16"/>
    </w:rPr>
  </w:style>
  <w:style w:type="paragraph" w:styleId="Header">
    <w:name w:val="header"/>
    <w:basedOn w:val="Normal"/>
    <w:link w:val="HeaderChar"/>
    <w:uiPriority w:val="99"/>
    <w:unhideWhenUsed/>
    <w:rsid w:val="00612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164"/>
  </w:style>
  <w:style w:type="paragraph" w:styleId="Footer">
    <w:name w:val="footer"/>
    <w:basedOn w:val="Normal"/>
    <w:link w:val="FooterChar"/>
    <w:uiPriority w:val="99"/>
    <w:unhideWhenUsed/>
    <w:rsid w:val="00612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4BD"/>
    <w:pPr>
      <w:spacing w:after="0" w:line="240" w:lineRule="auto"/>
    </w:pPr>
  </w:style>
  <w:style w:type="paragraph" w:styleId="ListParagraph">
    <w:name w:val="List Paragraph"/>
    <w:basedOn w:val="Normal"/>
    <w:uiPriority w:val="34"/>
    <w:qFormat/>
    <w:rsid w:val="001F2F93"/>
    <w:pPr>
      <w:spacing w:after="0" w:line="240" w:lineRule="auto"/>
      <w:ind w:left="720"/>
      <w:contextualSpacing/>
    </w:pPr>
    <w:rPr>
      <w:rFonts w:ascii="Arial" w:eastAsia="Times New Roman" w:hAnsi="Arial" w:cs="Arial"/>
      <w:szCs w:val="24"/>
    </w:rPr>
  </w:style>
  <w:style w:type="paragraph" w:styleId="BalloonText">
    <w:name w:val="Balloon Text"/>
    <w:basedOn w:val="Normal"/>
    <w:link w:val="BalloonTextChar"/>
    <w:uiPriority w:val="99"/>
    <w:semiHidden/>
    <w:unhideWhenUsed/>
    <w:rsid w:val="00CA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24"/>
    <w:rPr>
      <w:rFonts w:ascii="Tahoma" w:hAnsi="Tahoma" w:cs="Tahoma"/>
      <w:sz w:val="16"/>
      <w:szCs w:val="16"/>
    </w:rPr>
  </w:style>
  <w:style w:type="paragraph" w:styleId="Header">
    <w:name w:val="header"/>
    <w:basedOn w:val="Normal"/>
    <w:link w:val="HeaderChar"/>
    <w:uiPriority w:val="99"/>
    <w:unhideWhenUsed/>
    <w:rsid w:val="00612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164"/>
  </w:style>
  <w:style w:type="paragraph" w:styleId="Footer">
    <w:name w:val="footer"/>
    <w:basedOn w:val="Normal"/>
    <w:link w:val="FooterChar"/>
    <w:uiPriority w:val="99"/>
    <w:unhideWhenUsed/>
    <w:rsid w:val="00612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5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7757E-5036-4DA0-99A5-2F8E047B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C4EBE22A.DOTM</Template>
  <TotalTime>0</TotalTime>
  <Pages>4</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2016-04-07T08:16:00Z</dcterms:created>
  <dcterms:modified xsi:type="dcterms:W3CDTF">2016-04-07T08:16:00Z</dcterms:modified>
</cp:coreProperties>
</file>