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5676" w14:textId="11FA4AFD" w:rsidR="00F95E8F" w:rsidRPr="006D7C7F" w:rsidRDefault="00F95E8F">
      <w:pPr>
        <w:rPr>
          <w:b/>
          <w:bCs/>
        </w:rPr>
      </w:pPr>
      <w:r w:rsidRPr="006D7C7F">
        <w:rPr>
          <w:b/>
          <w:bCs/>
        </w:rPr>
        <w:t xml:space="preserve">Invitation </w:t>
      </w:r>
      <w:r w:rsidR="006D7C7F">
        <w:rPr>
          <w:b/>
          <w:bCs/>
        </w:rPr>
        <w:t>t</w:t>
      </w:r>
      <w:r w:rsidR="002A573C" w:rsidRPr="006D7C7F">
        <w:rPr>
          <w:b/>
          <w:bCs/>
        </w:rPr>
        <w:t xml:space="preserve">o Tender for Supply and Installation </w:t>
      </w:r>
      <w:r w:rsidR="006D7C7F">
        <w:rPr>
          <w:b/>
          <w:bCs/>
        </w:rPr>
        <w:t>o</w:t>
      </w:r>
      <w:r w:rsidR="002A573C" w:rsidRPr="006D7C7F">
        <w:rPr>
          <w:b/>
          <w:bCs/>
        </w:rPr>
        <w:t>f Solar Lighting Scheme.</w:t>
      </w:r>
    </w:p>
    <w:p w14:paraId="17D2D7D4" w14:textId="3E761445" w:rsidR="00F95E8F" w:rsidRDefault="00117DFF">
      <w:r>
        <w:t xml:space="preserve">Newport Town Council is currently looking to replace </w:t>
      </w:r>
      <w:r w:rsidR="4EA7C792">
        <w:t>the</w:t>
      </w:r>
      <w:r>
        <w:t xml:space="preserve"> existing lights</w:t>
      </w:r>
      <w:r w:rsidR="0099062C">
        <w:t xml:space="preserve"> and install </w:t>
      </w:r>
      <w:r w:rsidR="00036B25">
        <w:t xml:space="preserve">new sustainable </w:t>
      </w:r>
      <w:r w:rsidR="0043701C">
        <w:t xml:space="preserve">lighting in Victoria Park in Newport on the path leading from the Newport Swimming Baths towards the Victoria </w:t>
      </w:r>
      <w:r w:rsidR="00826048">
        <w:t>Park car park.</w:t>
      </w:r>
    </w:p>
    <w:p w14:paraId="3D535475" w14:textId="7D02711A" w:rsidR="00824B27" w:rsidRDefault="00824B27">
      <w:r>
        <w:t>Newport is a</w:t>
      </w:r>
      <w:r w:rsidR="00604E10">
        <w:t xml:space="preserve"> small</w:t>
      </w:r>
      <w:r>
        <w:t xml:space="preserve"> </w:t>
      </w:r>
      <w:r w:rsidR="00814B9F">
        <w:t>Marke</w:t>
      </w:r>
      <w:r w:rsidR="00A70C60">
        <w:t>t Town</w:t>
      </w:r>
      <w:r w:rsidR="00604E10">
        <w:t xml:space="preserve"> rich </w:t>
      </w:r>
      <w:r w:rsidR="00384A25">
        <w:t xml:space="preserve">in </w:t>
      </w:r>
      <w:r w:rsidR="00A1605D">
        <w:t>heritage.</w:t>
      </w:r>
      <w:r w:rsidR="00384A25">
        <w:t xml:space="preserve"> </w:t>
      </w:r>
      <w:r w:rsidR="00A1605D">
        <w:t xml:space="preserve">Victoria </w:t>
      </w:r>
      <w:r w:rsidR="00384A25">
        <w:t>P</w:t>
      </w:r>
      <w:r w:rsidR="00A1605D">
        <w:t xml:space="preserve">ark </w:t>
      </w:r>
      <w:r w:rsidR="00384A25">
        <w:t xml:space="preserve">is located </w:t>
      </w:r>
      <w:r w:rsidR="00FF5B04">
        <w:t xml:space="preserve">adjacent </w:t>
      </w:r>
      <w:r w:rsidR="00B13072">
        <w:t>to</w:t>
      </w:r>
      <w:r w:rsidR="00384A25">
        <w:t xml:space="preserve"> the </w:t>
      </w:r>
      <w:r w:rsidR="0084065F">
        <w:t xml:space="preserve">Shrewsbury and Newport </w:t>
      </w:r>
      <w:r w:rsidR="00384A25">
        <w:t>canal</w:t>
      </w:r>
      <w:r w:rsidR="0039147A">
        <w:t xml:space="preserve"> which</w:t>
      </w:r>
      <w:r w:rsidR="00FF5B04">
        <w:t xml:space="preserve"> is a </w:t>
      </w:r>
      <w:r w:rsidR="00FF5B04" w:rsidRPr="00FF5B04">
        <w:t>Site of Special Scientific Interes</w:t>
      </w:r>
      <w:r w:rsidR="005E05D3">
        <w:t>t</w:t>
      </w:r>
      <w:r w:rsidR="009A69BE">
        <w:t xml:space="preserve"> </w:t>
      </w:r>
      <w:r w:rsidR="008F285A">
        <w:t>which</w:t>
      </w:r>
      <w:r w:rsidR="009A69BE">
        <w:t xml:space="preserve"> </w:t>
      </w:r>
      <w:r w:rsidR="00B13072">
        <w:t xml:space="preserve">has </w:t>
      </w:r>
      <w:r w:rsidR="00DC3461">
        <w:t xml:space="preserve">a </w:t>
      </w:r>
      <w:r w:rsidR="00581EDD">
        <w:t xml:space="preserve">Scheduled Ancient Monument. We would like the </w:t>
      </w:r>
      <w:r w:rsidR="00301DCC">
        <w:t>new lighting to reflect this in its design</w:t>
      </w:r>
      <w:r w:rsidR="000B7489">
        <w:t xml:space="preserve"> and be </w:t>
      </w:r>
      <w:r w:rsidR="007D24A2">
        <w:t>in keeping with the town</w:t>
      </w:r>
      <w:r w:rsidR="00881A15">
        <w:t>’s conservation area.</w:t>
      </w:r>
    </w:p>
    <w:p w14:paraId="324B413B" w14:textId="1B3B361E" w:rsidR="00826048" w:rsidRDefault="00826048">
      <w:r>
        <w:t xml:space="preserve">This tender is </w:t>
      </w:r>
      <w:r w:rsidR="00B663B0">
        <w:t>primarily</w:t>
      </w:r>
      <w:r>
        <w:t xml:space="preserve"> direct</w:t>
      </w:r>
      <w:r w:rsidR="33595264">
        <w:t>ed</w:t>
      </w:r>
      <w:r>
        <w:t xml:space="preserve"> to solar lighting installers for the purchase and </w:t>
      </w:r>
      <w:r w:rsidR="00336130">
        <w:t xml:space="preserve">installation of solar lighting. If you are planning to use a </w:t>
      </w:r>
      <w:r w:rsidR="00B663B0">
        <w:t>third</w:t>
      </w:r>
      <w:r w:rsidR="00336130">
        <w:t xml:space="preserve"> party </w:t>
      </w:r>
      <w:r w:rsidR="00292C8C">
        <w:t>as the installers, please can you indicate this in your proposal</w:t>
      </w:r>
      <w:r w:rsidR="3C26F35B">
        <w:t>?</w:t>
      </w:r>
    </w:p>
    <w:p w14:paraId="442B9A46" w14:textId="44DD0352" w:rsidR="00292C8C" w:rsidRDefault="6C57E4B7">
      <w:r>
        <w:t xml:space="preserve">The contract will require </w:t>
      </w:r>
      <w:r w:rsidR="00292C8C">
        <w:t>disconnect</w:t>
      </w:r>
      <w:r w:rsidR="7B437D5C">
        <w:t>ion of the current lights</w:t>
      </w:r>
      <w:r w:rsidR="00292C8C">
        <w:t xml:space="preserve"> </w:t>
      </w:r>
      <w:r w:rsidR="00B663B0">
        <w:t>from</w:t>
      </w:r>
      <w:r w:rsidR="00AF17DD">
        <w:t xml:space="preserve"> the existing power supply and </w:t>
      </w:r>
      <w:r w:rsidR="6B97A131">
        <w:t xml:space="preserve">the columns to be correctly </w:t>
      </w:r>
      <w:r w:rsidR="00AF17DD">
        <w:t>disposed of.</w:t>
      </w:r>
      <w:r w:rsidR="4661C9A4">
        <w:t xml:space="preserve">  </w:t>
      </w:r>
      <w:r w:rsidR="00AF17DD">
        <w:t xml:space="preserve"> </w:t>
      </w:r>
    </w:p>
    <w:p w14:paraId="68F6EA59" w14:textId="49EB0242" w:rsidR="00AF17DD" w:rsidRPr="00A50716" w:rsidRDefault="00AF17DD">
      <w:pPr>
        <w:rPr>
          <w:b/>
          <w:bCs/>
        </w:rPr>
      </w:pPr>
      <w:r w:rsidRPr="00A50716">
        <w:rPr>
          <w:b/>
          <w:bCs/>
        </w:rPr>
        <w:t>A map of the location is attached</w:t>
      </w:r>
      <w:r w:rsidR="002D6E25" w:rsidRPr="00A50716">
        <w:rPr>
          <w:b/>
          <w:bCs/>
        </w:rPr>
        <w:t xml:space="preserve">. </w:t>
      </w:r>
    </w:p>
    <w:p w14:paraId="584AD7D1" w14:textId="5D942C54" w:rsidR="002D6E25" w:rsidRDefault="002D6E25">
      <w:r>
        <w:t xml:space="preserve">Please register your intention to submit a tender by sending </w:t>
      </w:r>
      <w:r w:rsidR="301EEAA5">
        <w:t xml:space="preserve">an </w:t>
      </w:r>
      <w:r>
        <w:t xml:space="preserve">email to </w:t>
      </w:r>
      <w:hyperlink r:id="rId8" w:history="1">
        <w:r w:rsidR="00C957F5" w:rsidRPr="0063732B">
          <w:rPr>
            <w:rStyle w:val="Hyperlink"/>
          </w:rPr>
          <w:t>enquiries@newportshropshire-tc.gov.uk</w:t>
        </w:r>
      </w:hyperlink>
      <w:r w:rsidR="00C957F5">
        <w:t xml:space="preserve"> </w:t>
      </w:r>
      <w:r w:rsidR="76014653">
        <w:t>and</w:t>
      </w:r>
      <w:r w:rsidR="00347234">
        <w:t xml:space="preserve"> include all contact details. This </w:t>
      </w:r>
      <w:r w:rsidR="00B663B0">
        <w:t>will</w:t>
      </w:r>
      <w:r w:rsidR="00347234">
        <w:t xml:space="preserve"> enable us to inform you of </w:t>
      </w:r>
      <w:r w:rsidR="00B663B0">
        <w:t>any</w:t>
      </w:r>
      <w:r w:rsidR="00347234">
        <w:t xml:space="preserve"> alterations or additions to the specification</w:t>
      </w:r>
      <w:r w:rsidR="00B663B0">
        <w:t xml:space="preserve">. </w:t>
      </w:r>
    </w:p>
    <w:p w14:paraId="15A80699" w14:textId="77777777" w:rsidR="00A63A44" w:rsidRDefault="00B663B0">
      <w:r>
        <w:t>All interested companies will be required to complete the Tenderer Que</w:t>
      </w:r>
      <w:r w:rsidR="00A63A44">
        <w:t>s</w:t>
      </w:r>
      <w:r>
        <w:t>tion</w:t>
      </w:r>
      <w:r w:rsidR="00A63A44">
        <w:t>n</w:t>
      </w:r>
      <w:r>
        <w:t>aire</w:t>
      </w:r>
      <w:r w:rsidR="00A63A44">
        <w:t xml:space="preserve">. Failure to complete all necessary paperwork will result in your tender being excluded from the process. </w:t>
      </w:r>
    </w:p>
    <w:p w14:paraId="289803F7" w14:textId="77777777" w:rsidR="008B63CB" w:rsidRDefault="008B63CB">
      <w:r>
        <w:t>The objectives of this scheme are to:</w:t>
      </w:r>
    </w:p>
    <w:p w14:paraId="30FB4AEC" w14:textId="5141F64B" w:rsidR="008B63CB" w:rsidRDefault="008B63CB" w:rsidP="1DB8E27D">
      <w:pPr>
        <w:pStyle w:val="NoSpacing"/>
        <w:numPr>
          <w:ilvl w:val="0"/>
          <w:numId w:val="4"/>
        </w:numPr>
      </w:pPr>
      <w:r>
        <w:t>Improve sustainability</w:t>
      </w:r>
    </w:p>
    <w:p w14:paraId="0BA10DC5" w14:textId="77777777" w:rsidR="008B63CB" w:rsidRDefault="008B63CB" w:rsidP="1DB8E27D">
      <w:pPr>
        <w:pStyle w:val="NoSpacing"/>
        <w:numPr>
          <w:ilvl w:val="0"/>
          <w:numId w:val="4"/>
        </w:numPr>
      </w:pPr>
      <w:r>
        <w:t>Improve lighting levels</w:t>
      </w:r>
    </w:p>
    <w:p w14:paraId="2C980E36" w14:textId="77777777" w:rsidR="008B63CB" w:rsidRDefault="008B63CB" w:rsidP="1DB8E27D">
      <w:pPr>
        <w:pStyle w:val="NoSpacing"/>
        <w:numPr>
          <w:ilvl w:val="0"/>
          <w:numId w:val="4"/>
        </w:numPr>
      </w:pPr>
      <w:r>
        <w:t>Improve public safety</w:t>
      </w:r>
    </w:p>
    <w:p w14:paraId="4E368BC1" w14:textId="77777777" w:rsidR="00B422C8" w:rsidRDefault="00B422C8" w:rsidP="00B422C8">
      <w:pPr>
        <w:pStyle w:val="NoSpacing"/>
      </w:pPr>
    </w:p>
    <w:p w14:paraId="0CFA4E3E" w14:textId="3F9388C0" w:rsidR="00B422C8" w:rsidRDefault="00B422C8" w:rsidP="00B422C8">
      <w:r>
        <w:t>Full details of the contract are outlined below:</w:t>
      </w:r>
    </w:p>
    <w:p w14:paraId="773F04D3" w14:textId="511FFC42" w:rsidR="00B422C8" w:rsidRPr="00803591" w:rsidRDefault="00B422C8" w:rsidP="00803591">
      <w:pPr>
        <w:pStyle w:val="NoSpacing"/>
        <w:rPr>
          <w:b/>
          <w:bCs/>
        </w:rPr>
      </w:pPr>
      <w:r w:rsidRPr="1DB8E27D">
        <w:rPr>
          <w:b/>
          <w:bCs/>
        </w:rPr>
        <w:t>General Scope of Contract</w:t>
      </w:r>
      <w:r>
        <w:br/>
      </w:r>
    </w:p>
    <w:p w14:paraId="40483706" w14:textId="665577B2" w:rsidR="00B422C8" w:rsidRDefault="00625D07" w:rsidP="1DB8E27D">
      <w:pPr>
        <w:pStyle w:val="NoSpacing"/>
        <w:numPr>
          <w:ilvl w:val="0"/>
          <w:numId w:val="3"/>
        </w:numPr>
      </w:pPr>
      <w:r>
        <w:t xml:space="preserve">Disconnection, removal and disposal of existing lights </w:t>
      </w:r>
    </w:p>
    <w:p w14:paraId="3CE3DDAB" w14:textId="77777777" w:rsidR="00625D07" w:rsidRDefault="00625D07" w:rsidP="1DB8E27D">
      <w:pPr>
        <w:pStyle w:val="NoSpacing"/>
        <w:numPr>
          <w:ilvl w:val="0"/>
          <w:numId w:val="3"/>
        </w:numPr>
      </w:pPr>
      <w:r>
        <w:t xml:space="preserve">Supply and installation of solar lanterns. </w:t>
      </w:r>
    </w:p>
    <w:p w14:paraId="41046A53" w14:textId="7DEE7A8E" w:rsidR="00152B9E" w:rsidRDefault="008949C7" w:rsidP="1DB8E27D">
      <w:pPr>
        <w:pStyle w:val="NoSpacing"/>
        <w:numPr>
          <w:ilvl w:val="0"/>
          <w:numId w:val="3"/>
        </w:numPr>
      </w:pPr>
      <w:r>
        <w:t xml:space="preserve">Lanterns to be in keeping with the </w:t>
      </w:r>
      <w:r w:rsidR="00196199">
        <w:t xml:space="preserve">conservation area. Heritage style lanterns preferred. </w:t>
      </w:r>
    </w:p>
    <w:p w14:paraId="5177DA43" w14:textId="399E56F6" w:rsidR="00D45568" w:rsidRDefault="03286298" w:rsidP="1DB8E27D">
      <w:pPr>
        <w:pStyle w:val="NoSpacing"/>
        <w:numPr>
          <w:ilvl w:val="0"/>
          <w:numId w:val="3"/>
        </w:numPr>
      </w:pPr>
      <w:r>
        <w:t>A</w:t>
      </w:r>
      <w:r w:rsidR="00D01D8B">
        <w:t xml:space="preserve"> passive level of lighting to </w:t>
      </w:r>
      <w:r w:rsidR="00884383">
        <w:t>provide walker assurance on personal safety and visibility of the path</w:t>
      </w:r>
      <w:r w:rsidR="009A2BA0">
        <w:t>.</w:t>
      </w:r>
    </w:p>
    <w:p w14:paraId="67E77ABE" w14:textId="013BD448" w:rsidR="009A2BA0" w:rsidRDefault="15D7F3A2" w:rsidP="1DB8E27D">
      <w:pPr>
        <w:pStyle w:val="NoSpacing"/>
        <w:numPr>
          <w:ilvl w:val="0"/>
          <w:numId w:val="3"/>
        </w:numPr>
      </w:pPr>
      <w:r>
        <w:t>I</w:t>
      </w:r>
      <w:r w:rsidR="009A2BA0">
        <w:t>nnovative designs to ensure optimum solar capture.</w:t>
      </w:r>
      <w:r w:rsidR="00256347">
        <w:t xml:space="preserve"> </w:t>
      </w:r>
    </w:p>
    <w:p w14:paraId="4DAEC16B" w14:textId="3426985B" w:rsidR="009A2BA0" w:rsidRDefault="007246E5" w:rsidP="1DB8E27D">
      <w:pPr>
        <w:pStyle w:val="NoSpacing"/>
        <w:numPr>
          <w:ilvl w:val="0"/>
          <w:numId w:val="3"/>
        </w:numPr>
      </w:pPr>
      <w:r>
        <w:t xml:space="preserve">Sensors to limit the ambient lighting when </w:t>
      </w:r>
      <w:r w:rsidR="00EB1108">
        <w:t xml:space="preserve">no </w:t>
      </w:r>
      <w:r w:rsidR="000648C1">
        <w:t>foot traffic</w:t>
      </w:r>
      <w:r w:rsidR="00EB1108">
        <w:t xml:space="preserve"> is in the area</w:t>
      </w:r>
      <w:r w:rsidR="00D65C49">
        <w:t xml:space="preserve">, </w:t>
      </w:r>
    </w:p>
    <w:p w14:paraId="300EBE64" w14:textId="5608669D" w:rsidR="009A2BA0" w:rsidRDefault="2D68B508" w:rsidP="1DB8E27D">
      <w:pPr>
        <w:pStyle w:val="NoSpacing"/>
        <w:numPr>
          <w:ilvl w:val="0"/>
          <w:numId w:val="3"/>
        </w:numPr>
      </w:pPr>
      <w:r>
        <w:t>T</w:t>
      </w:r>
      <w:r w:rsidR="00D65C49">
        <w:t xml:space="preserve">he use of Dusk till Dawn photocells. </w:t>
      </w:r>
    </w:p>
    <w:p w14:paraId="72F084D5" w14:textId="5A1C005A" w:rsidR="00D65C49" w:rsidRDefault="00D65C49" w:rsidP="1DB8E27D">
      <w:pPr>
        <w:pStyle w:val="NoSpacing"/>
        <w:numPr>
          <w:ilvl w:val="0"/>
          <w:numId w:val="3"/>
        </w:numPr>
      </w:pPr>
      <w:r>
        <w:t xml:space="preserve">Timers to be set </w:t>
      </w:r>
      <w:r w:rsidR="00986F9B">
        <w:t xml:space="preserve">at an agreed timescale to enable pedestrians to walk from one light source to </w:t>
      </w:r>
      <w:r w:rsidR="00F03B39">
        <w:t>the next without having to walk in darkness</w:t>
      </w:r>
    </w:p>
    <w:p w14:paraId="3C36F01E" w14:textId="2AB29BF3" w:rsidR="00C27CF1" w:rsidRDefault="27021EA4" w:rsidP="1DB8E27D">
      <w:pPr>
        <w:pStyle w:val="NoSpacing"/>
        <w:numPr>
          <w:ilvl w:val="0"/>
          <w:numId w:val="3"/>
        </w:numPr>
      </w:pPr>
      <w:r>
        <w:t>L</w:t>
      </w:r>
      <w:r w:rsidR="00F03B39">
        <w:t>ow maintenance solutions</w:t>
      </w:r>
      <w:r w:rsidR="0015720D">
        <w:t xml:space="preserve"> with affordable </w:t>
      </w:r>
      <w:r w:rsidR="000648C1">
        <w:t>replacement</w:t>
      </w:r>
      <w:r w:rsidR="0015720D">
        <w:t xml:space="preserve"> options for battery packs and heads</w:t>
      </w:r>
      <w:r w:rsidR="00C27CF1">
        <w:t>.</w:t>
      </w:r>
    </w:p>
    <w:p w14:paraId="5A64D714" w14:textId="21273A93" w:rsidR="1DB8E27D" w:rsidRPr="004774C4" w:rsidRDefault="00C27CF1" w:rsidP="1DB8E27D">
      <w:pPr>
        <w:pStyle w:val="NoSpacing"/>
        <w:numPr>
          <w:ilvl w:val="0"/>
          <w:numId w:val="3"/>
        </w:numPr>
      </w:pPr>
      <w:r>
        <w:t xml:space="preserve">Universal fitting to ensure future proofing. </w:t>
      </w:r>
    </w:p>
    <w:p w14:paraId="75EC09C3" w14:textId="3201E148" w:rsidR="00CB08EA" w:rsidRPr="00803591" w:rsidRDefault="0049099C" w:rsidP="00803591">
      <w:pPr>
        <w:pStyle w:val="NoSpacing"/>
        <w:rPr>
          <w:b/>
          <w:bCs/>
        </w:rPr>
      </w:pPr>
      <w:r w:rsidRPr="1DB8E27D">
        <w:rPr>
          <w:b/>
          <w:bCs/>
        </w:rPr>
        <w:lastRenderedPageBreak/>
        <w:t>Health and Safety</w:t>
      </w:r>
      <w:r w:rsidR="000648C1" w:rsidRPr="1DB8E27D">
        <w:rPr>
          <w:b/>
          <w:bCs/>
        </w:rPr>
        <w:t xml:space="preserve"> Requirements</w:t>
      </w:r>
      <w:r w:rsidR="00F03B39" w:rsidRPr="1DB8E27D">
        <w:rPr>
          <w:b/>
          <w:bCs/>
        </w:rPr>
        <w:t xml:space="preserve"> </w:t>
      </w:r>
      <w:r>
        <w:br/>
      </w:r>
    </w:p>
    <w:p w14:paraId="4A0B3CE8" w14:textId="77777777" w:rsidR="00803591" w:rsidRDefault="00CB08EA" w:rsidP="00803591">
      <w:pPr>
        <w:pStyle w:val="NoSpacing"/>
      </w:pPr>
      <w:r>
        <w:t xml:space="preserve">Staff employed on this contract must be formally accredited with G39 Category 1 </w:t>
      </w:r>
    </w:p>
    <w:p w14:paraId="409C45AA" w14:textId="77777777" w:rsidR="00803591" w:rsidRDefault="00803591" w:rsidP="00803591">
      <w:pPr>
        <w:pStyle w:val="NoSpacing"/>
      </w:pPr>
    </w:p>
    <w:p w14:paraId="38D1B3C3" w14:textId="77777777" w:rsidR="00803591" w:rsidRDefault="00803591" w:rsidP="00803591">
      <w:pPr>
        <w:pStyle w:val="NoSpacing"/>
      </w:pPr>
    </w:p>
    <w:p w14:paraId="344E58F1" w14:textId="1A693240" w:rsidR="00FD1C04" w:rsidRDefault="00CB08EA" w:rsidP="1DB8E27D">
      <w:pPr>
        <w:pStyle w:val="NoSpacing"/>
        <w:rPr>
          <w:b/>
          <w:bCs/>
        </w:rPr>
      </w:pPr>
      <w:r w:rsidRPr="1DB8E27D">
        <w:rPr>
          <w:b/>
          <w:bCs/>
        </w:rPr>
        <w:t>Qualifications</w:t>
      </w:r>
    </w:p>
    <w:p w14:paraId="4D278406" w14:textId="632A0097" w:rsidR="00FD1C04" w:rsidRDefault="00FD1C04" w:rsidP="00A92E37">
      <w:pPr>
        <w:pStyle w:val="NoSpacing"/>
      </w:pPr>
    </w:p>
    <w:p w14:paraId="320D10C3" w14:textId="2BABD9FF" w:rsidR="00FD1C04" w:rsidRDefault="23BF7D6F" w:rsidP="1DB8E27D">
      <w:pPr>
        <w:pStyle w:val="NoSpacing"/>
        <w:numPr>
          <w:ilvl w:val="0"/>
          <w:numId w:val="2"/>
        </w:numPr>
      </w:pPr>
      <w:r>
        <w:t>Employees must have</w:t>
      </w:r>
      <w:r w:rsidR="00FD1C04">
        <w:t xml:space="preserve"> IPAF training for MEWP highways working. </w:t>
      </w:r>
    </w:p>
    <w:p w14:paraId="4AA531A2" w14:textId="0D81FABA" w:rsidR="00FD1C04" w:rsidRDefault="00A92E37" w:rsidP="1DB8E27D">
      <w:pPr>
        <w:pStyle w:val="NoSpacing"/>
        <w:numPr>
          <w:ilvl w:val="0"/>
          <w:numId w:val="2"/>
        </w:numPr>
      </w:pPr>
      <w:r>
        <w:t>A copy of the public liability certificate must be submitted with your tender</w:t>
      </w:r>
      <w:r w:rsidR="00234E8C">
        <w:t xml:space="preserve">. </w:t>
      </w:r>
    </w:p>
    <w:p w14:paraId="16A77EBD" w14:textId="7D60D92F" w:rsidR="00234E8C" w:rsidRDefault="00234E8C" w:rsidP="1DB8E27D">
      <w:pPr>
        <w:pStyle w:val="NoSpacing"/>
        <w:numPr>
          <w:ilvl w:val="0"/>
          <w:numId w:val="2"/>
        </w:numPr>
      </w:pPr>
      <w:r>
        <w:t>Your company must be NICEIC accredited or equivalent</w:t>
      </w:r>
      <w:r w:rsidR="00C7552F">
        <w:t xml:space="preserve"> (please provide evidence of such accreditation including levels of accreditation </w:t>
      </w:r>
      <w:r w:rsidR="008D498E">
        <w:t>with your tender)</w:t>
      </w:r>
    </w:p>
    <w:p w14:paraId="432866AD" w14:textId="264CF717" w:rsidR="008D498E" w:rsidRDefault="008D498E" w:rsidP="1DB8E27D">
      <w:pPr>
        <w:pStyle w:val="NoSpacing"/>
        <w:numPr>
          <w:ilvl w:val="0"/>
          <w:numId w:val="2"/>
        </w:numPr>
      </w:pPr>
      <w:r>
        <w:t xml:space="preserve">A copy of your company’s Health and Safety policy must be submitted </w:t>
      </w:r>
      <w:r w:rsidR="00B87859">
        <w:t xml:space="preserve">with your tender. </w:t>
      </w:r>
    </w:p>
    <w:p w14:paraId="312DB54B" w14:textId="163DF001" w:rsidR="00F4166A" w:rsidRDefault="00B87859" w:rsidP="1DB8E27D">
      <w:pPr>
        <w:pStyle w:val="NoSpacing"/>
        <w:numPr>
          <w:ilvl w:val="0"/>
          <w:numId w:val="2"/>
        </w:numPr>
      </w:pPr>
      <w:r>
        <w:t xml:space="preserve">A project coordinator or single point of contact must be nominated by the successful tenderer </w:t>
      </w:r>
      <w:r w:rsidR="005F2D33">
        <w:t>who should be readily contactable to deal with any queries and problems that may arise</w:t>
      </w:r>
      <w:r w:rsidR="00D06B46">
        <w:t xml:space="preserve">. This point of contact must be available from the date that contract is awarded until satisfactory </w:t>
      </w:r>
      <w:r w:rsidR="00770B5A">
        <w:t>completion</w:t>
      </w:r>
      <w:r w:rsidR="00D06B46">
        <w:t xml:space="preserve"> of the project</w:t>
      </w:r>
      <w:r w:rsidR="00F4166A">
        <w:t xml:space="preserve">. </w:t>
      </w:r>
    </w:p>
    <w:p w14:paraId="081A2D09" w14:textId="19169DEE" w:rsidR="1DB8E27D" w:rsidRDefault="1DB8E27D" w:rsidP="1DB8E27D">
      <w:pPr>
        <w:pStyle w:val="NoSpacing"/>
      </w:pPr>
    </w:p>
    <w:p w14:paraId="6A03576F" w14:textId="7B0B71E2" w:rsidR="00F4166A" w:rsidRPr="002A573C" w:rsidRDefault="00F4166A" w:rsidP="00A92E37">
      <w:pPr>
        <w:pStyle w:val="NoSpacing"/>
        <w:rPr>
          <w:b/>
          <w:bCs/>
        </w:rPr>
      </w:pPr>
      <w:r w:rsidRPr="1DB8E27D">
        <w:rPr>
          <w:b/>
          <w:bCs/>
        </w:rPr>
        <w:t>Timescale for installation</w:t>
      </w:r>
    </w:p>
    <w:p w14:paraId="7E8EAA53" w14:textId="2D4C8CA0" w:rsidR="1DB8E27D" w:rsidRDefault="1DB8E27D" w:rsidP="1DB8E27D">
      <w:pPr>
        <w:pStyle w:val="NoSpacing"/>
        <w:rPr>
          <w:b/>
          <w:bCs/>
        </w:rPr>
      </w:pPr>
    </w:p>
    <w:p w14:paraId="692F8F63" w14:textId="76B57E0D" w:rsidR="00667704" w:rsidRDefault="00F4166A" w:rsidP="00A92E37">
      <w:pPr>
        <w:pStyle w:val="NoSpacing"/>
      </w:pPr>
      <w:r>
        <w:t xml:space="preserve">This is to be agreed between the preferred </w:t>
      </w:r>
      <w:r w:rsidR="00770B5A">
        <w:t>contractor</w:t>
      </w:r>
      <w:r>
        <w:t xml:space="preserve"> and the Town Council. </w:t>
      </w:r>
      <w:r w:rsidR="00D965C3">
        <w:t xml:space="preserve">Within your submission, please provide your outline timescale for </w:t>
      </w:r>
      <w:r w:rsidR="00770B5A">
        <w:t>this project</w:t>
      </w:r>
      <w:r w:rsidR="00D965C3">
        <w:t xml:space="preserve">. </w:t>
      </w:r>
    </w:p>
    <w:p w14:paraId="77ADC182" w14:textId="77777777" w:rsidR="00667704" w:rsidRDefault="00667704" w:rsidP="00A92E37">
      <w:pPr>
        <w:pStyle w:val="NoSpacing"/>
      </w:pPr>
    </w:p>
    <w:p w14:paraId="38704320" w14:textId="77777777" w:rsidR="00667704" w:rsidRPr="002A573C" w:rsidRDefault="00667704" w:rsidP="00A92E37">
      <w:pPr>
        <w:pStyle w:val="NoSpacing"/>
        <w:rPr>
          <w:b/>
          <w:bCs/>
        </w:rPr>
      </w:pPr>
      <w:r w:rsidRPr="1DB8E27D">
        <w:rPr>
          <w:b/>
          <w:bCs/>
        </w:rPr>
        <w:t>Payment</w:t>
      </w:r>
    </w:p>
    <w:p w14:paraId="04645DCB" w14:textId="1509446F" w:rsidR="1DB8E27D" w:rsidRDefault="1DB8E27D" w:rsidP="1DB8E27D">
      <w:pPr>
        <w:pStyle w:val="NoSpacing"/>
        <w:rPr>
          <w:b/>
          <w:bCs/>
        </w:rPr>
      </w:pPr>
    </w:p>
    <w:p w14:paraId="47E871D7" w14:textId="07E3E4BD" w:rsidR="00F07ED6" w:rsidRDefault="00667704" w:rsidP="00A92E37">
      <w:pPr>
        <w:pStyle w:val="NoSpacing"/>
      </w:pPr>
      <w:r>
        <w:t xml:space="preserve">Payment to be made at the completion of the </w:t>
      </w:r>
      <w:r w:rsidR="00F07ED6">
        <w:t>project or at agreed stages of the contract</w:t>
      </w:r>
      <w:r w:rsidR="054B23E1">
        <w:t>.</w:t>
      </w:r>
    </w:p>
    <w:p w14:paraId="09940C25" w14:textId="77777777" w:rsidR="00F07ED6" w:rsidRDefault="00F07ED6" w:rsidP="00A92E37">
      <w:pPr>
        <w:pStyle w:val="NoSpacing"/>
      </w:pPr>
    </w:p>
    <w:p w14:paraId="6CEBBCF1" w14:textId="15C27EF0" w:rsidR="00F07ED6" w:rsidRDefault="00F07ED6" w:rsidP="00A92E37">
      <w:pPr>
        <w:pStyle w:val="NoSpacing"/>
      </w:pPr>
      <w:r w:rsidRPr="1DB8E27D">
        <w:rPr>
          <w:b/>
          <w:bCs/>
        </w:rPr>
        <w:t>Evaluation and awarding of the contract</w:t>
      </w:r>
    </w:p>
    <w:p w14:paraId="0D25407C" w14:textId="4D0F5F8C" w:rsidR="1DB8E27D" w:rsidRDefault="1DB8E27D" w:rsidP="1DB8E27D">
      <w:pPr>
        <w:pStyle w:val="NoSpacing"/>
        <w:rPr>
          <w:b/>
          <w:bCs/>
        </w:rPr>
      </w:pPr>
    </w:p>
    <w:p w14:paraId="08B1DE79" w14:textId="71DC805A" w:rsidR="008A5D72" w:rsidRDefault="00EF6AA0" w:rsidP="00A92E37">
      <w:pPr>
        <w:pStyle w:val="NoSpacing"/>
      </w:pPr>
      <w:r>
        <w:t>The contract will be awarded to the company that complies with all written requirements, has satisfactory references and offers the best value for money</w:t>
      </w:r>
      <w:r w:rsidR="00461B4C">
        <w:t>.</w:t>
      </w:r>
    </w:p>
    <w:p w14:paraId="4FAA828C" w14:textId="18673928" w:rsidR="008A5D72" w:rsidRDefault="008A5D72" w:rsidP="00A92E37">
      <w:pPr>
        <w:pStyle w:val="NoSpacing"/>
      </w:pPr>
    </w:p>
    <w:p w14:paraId="3C533645" w14:textId="5DEDD7D5" w:rsidR="008A5D72" w:rsidRDefault="00461B4C" w:rsidP="00A92E37">
      <w:pPr>
        <w:pStyle w:val="NoSpacing"/>
      </w:pPr>
      <w:r>
        <w:t xml:space="preserve">Guarantees/warrantees and after sale service will </w:t>
      </w:r>
      <w:r w:rsidR="00770B5A">
        <w:t>also</w:t>
      </w:r>
      <w:r>
        <w:t xml:space="preserve"> </w:t>
      </w:r>
      <w:r w:rsidR="00496871">
        <w:t xml:space="preserve">be assessed. We may require further information from tenderers after submission of tenders. </w:t>
      </w:r>
    </w:p>
    <w:p w14:paraId="7BAA1809" w14:textId="77777777" w:rsidR="008A5D72" w:rsidRDefault="008A5D72" w:rsidP="00A92E37">
      <w:pPr>
        <w:pStyle w:val="NoSpacing"/>
      </w:pPr>
    </w:p>
    <w:p w14:paraId="6477A391" w14:textId="3ABBD195" w:rsidR="008A5D72" w:rsidRPr="002A573C" w:rsidRDefault="008A5D72" w:rsidP="00A92E37">
      <w:pPr>
        <w:pStyle w:val="NoSpacing"/>
        <w:rPr>
          <w:b/>
          <w:bCs/>
        </w:rPr>
      </w:pPr>
      <w:r w:rsidRPr="1DB8E27D">
        <w:rPr>
          <w:b/>
          <w:bCs/>
        </w:rPr>
        <w:t xml:space="preserve">Guarantees and </w:t>
      </w:r>
      <w:r w:rsidR="00770B5A" w:rsidRPr="1DB8E27D">
        <w:rPr>
          <w:b/>
          <w:bCs/>
        </w:rPr>
        <w:t>Warranties</w:t>
      </w:r>
    </w:p>
    <w:p w14:paraId="5455D285" w14:textId="61625FE1" w:rsidR="1DB8E27D" w:rsidRDefault="1DB8E27D" w:rsidP="1DB8E27D">
      <w:pPr>
        <w:pStyle w:val="NoSpacing"/>
        <w:rPr>
          <w:b/>
          <w:bCs/>
        </w:rPr>
      </w:pPr>
    </w:p>
    <w:p w14:paraId="2FF1F5CF" w14:textId="7C6391FC" w:rsidR="0036585E" w:rsidRDefault="008A5D72" w:rsidP="00A92E37">
      <w:pPr>
        <w:pStyle w:val="NoSpacing"/>
      </w:pPr>
      <w:r>
        <w:t>Provision of warrantees on all luminaires</w:t>
      </w:r>
      <w:r w:rsidR="004721D8">
        <w:t xml:space="preserve">, drivers, PIR’s and </w:t>
      </w:r>
      <w:r w:rsidR="00770B5A">
        <w:t>lanterns</w:t>
      </w:r>
      <w:r w:rsidR="004721D8">
        <w:t xml:space="preserve"> will form part of the tender evaluation and must be included with </w:t>
      </w:r>
      <w:r w:rsidR="00D12194">
        <w:t xml:space="preserve">the quote. </w:t>
      </w:r>
    </w:p>
    <w:p w14:paraId="6F4A2179" w14:textId="491EA30D" w:rsidR="0036585E" w:rsidRDefault="00D12194" w:rsidP="00A92E37">
      <w:pPr>
        <w:pStyle w:val="NoSpacing"/>
      </w:pPr>
      <w:r>
        <w:t>Please provide details of your own and manufacturer’s guarantees and warranties</w:t>
      </w:r>
      <w:r w:rsidR="0036585E">
        <w:t xml:space="preserve"> on the </w:t>
      </w:r>
      <w:r w:rsidR="1AA2B16E">
        <w:t>column's</w:t>
      </w:r>
      <w:r w:rsidR="0036585E">
        <w:t xml:space="preserve"> installation work. </w:t>
      </w:r>
    </w:p>
    <w:p w14:paraId="19DE2BBD" w14:textId="16A74B79" w:rsidR="1DB8E27D" w:rsidRDefault="1DB8E27D" w:rsidP="1DB8E27D">
      <w:pPr>
        <w:pStyle w:val="NoSpacing"/>
      </w:pPr>
    </w:p>
    <w:p w14:paraId="2A7BC652" w14:textId="77777777" w:rsidR="00CC05FD" w:rsidRDefault="0036585E" w:rsidP="00A92E37">
      <w:pPr>
        <w:pStyle w:val="NoSpacing"/>
      </w:pPr>
      <w:r>
        <w:t xml:space="preserve">If you wish to submit a tender </w:t>
      </w:r>
      <w:r w:rsidR="00016483">
        <w:t xml:space="preserve">for these works please submit your tender in </w:t>
      </w:r>
      <w:r w:rsidR="79F52406">
        <w:t>an</w:t>
      </w:r>
      <w:r w:rsidR="00016483">
        <w:t xml:space="preserve"> envelope bearing no mark of the company marked </w:t>
      </w:r>
      <w:r w:rsidR="00016483" w:rsidRPr="0048419B">
        <w:rPr>
          <w:b/>
          <w:bCs/>
        </w:rPr>
        <w:t>S</w:t>
      </w:r>
      <w:r w:rsidR="0048419B" w:rsidRPr="0048419B">
        <w:rPr>
          <w:b/>
          <w:bCs/>
        </w:rPr>
        <w:t>ol</w:t>
      </w:r>
      <w:r w:rsidR="00016483" w:rsidRPr="0048419B">
        <w:rPr>
          <w:b/>
          <w:bCs/>
        </w:rPr>
        <w:t>ar Lighting</w:t>
      </w:r>
      <w:r w:rsidR="0C085BF1" w:rsidRPr="0048419B">
        <w:rPr>
          <w:b/>
          <w:bCs/>
        </w:rPr>
        <w:t>/VP/22-23</w:t>
      </w:r>
      <w:r w:rsidR="00016483">
        <w:t xml:space="preserve"> and return it to</w:t>
      </w:r>
      <w:r w:rsidR="00CC05FD">
        <w:t>:</w:t>
      </w:r>
      <w:r w:rsidR="00016483">
        <w:t xml:space="preserve"> </w:t>
      </w:r>
    </w:p>
    <w:p w14:paraId="36CC8DBD" w14:textId="77777777" w:rsidR="00CC05FD" w:rsidRDefault="00CC05FD" w:rsidP="00A92E37">
      <w:pPr>
        <w:pStyle w:val="NoSpacing"/>
      </w:pPr>
    </w:p>
    <w:p w14:paraId="5436A6D3" w14:textId="77777777" w:rsidR="00CC05FD" w:rsidRDefault="00CC05FD" w:rsidP="00A92E37">
      <w:pPr>
        <w:pStyle w:val="NoSpacing"/>
      </w:pPr>
    </w:p>
    <w:p w14:paraId="240068BB" w14:textId="60666B7E" w:rsidR="00CC05FD" w:rsidRDefault="00016483" w:rsidP="00A92E37">
      <w:pPr>
        <w:pStyle w:val="NoSpacing"/>
      </w:pPr>
      <w:r>
        <w:lastRenderedPageBreak/>
        <w:t>Newport Town Council</w:t>
      </w:r>
    </w:p>
    <w:p w14:paraId="030D6562" w14:textId="77777777" w:rsidR="00CC05FD" w:rsidRDefault="00CC05FD" w:rsidP="00A92E37">
      <w:pPr>
        <w:pStyle w:val="NoSpacing"/>
      </w:pPr>
      <w:r>
        <w:t xml:space="preserve">The Guildhall </w:t>
      </w:r>
    </w:p>
    <w:p w14:paraId="326592C8" w14:textId="77777777" w:rsidR="00CC05FD" w:rsidRDefault="00CC05FD" w:rsidP="00A92E37">
      <w:pPr>
        <w:pStyle w:val="NoSpacing"/>
      </w:pPr>
      <w:r>
        <w:t>1High Street</w:t>
      </w:r>
    </w:p>
    <w:p w14:paraId="75D42104" w14:textId="77777777" w:rsidR="00CC05FD" w:rsidRDefault="00CC05FD" w:rsidP="00A92E37">
      <w:pPr>
        <w:pStyle w:val="NoSpacing"/>
      </w:pPr>
      <w:r>
        <w:t>Newport</w:t>
      </w:r>
    </w:p>
    <w:p w14:paraId="77A94D00" w14:textId="77777777" w:rsidR="00CC05FD" w:rsidRDefault="00CC05FD" w:rsidP="00A92E37">
      <w:pPr>
        <w:pStyle w:val="NoSpacing"/>
      </w:pPr>
      <w:r>
        <w:t>Shropshire</w:t>
      </w:r>
    </w:p>
    <w:p w14:paraId="7FB5E1A7" w14:textId="77777777" w:rsidR="00CC05FD" w:rsidRDefault="00CC05FD" w:rsidP="00A92E37">
      <w:pPr>
        <w:pStyle w:val="NoSpacing"/>
      </w:pPr>
      <w:r>
        <w:t>TF10 7AR</w:t>
      </w:r>
    </w:p>
    <w:p w14:paraId="0A11E513" w14:textId="77777777" w:rsidR="00CC05FD" w:rsidRDefault="00CC05FD" w:rsidP="00A92E37">
      <w:pPr>
        <w:pStyle w:val="NoSpacing"/>
      </w:pPr>
    </w:p>
    <w:p w14:paraId="01B7F91F" w14:textId="7F9ECC55" w:rsidR="00832410" w:rsidRDefault="00016483" w:rsidP="00A92E37">
      <w:pPr>
        <w:pStyle w:val="NoSpacing"/>
      </w:pPr>
      <w:r>
        <w:t xml:space="preserve"> </w:t>
      </w:r>
      <w:r w:rsidR="00B3104A">
        <w:t xml:space="preserve">no later than </w:t>
      </w:r>
      <w:r w:rsidR="00B3104A" w:rsidRPr="0048419B">
        <w:t xml:space="preserve">1pm on Friday </w:t>
      </w:r>
      <w:r w:rsidR="003137C6" w:rsidRPr="0048419B">
        <w:t>27</w:t>
      </w:r>
      <w:r w:rsidR="00B554B6" w:rsidRPr="0048419B">
        <w:rPr>
          <w:vertAlign w:val="superscript"/>
        </w:rPr>
        <w:t>th</w:t>
      </w:r>
      <w:r w:rsidR="00B554B6" w:rsidRPr="0048419B">
        <w:t xml:space="preserve"> January 2023</w:t>
      </w:r>
      <w:r w:rsidR="00356DF4">
        <w:t>.</w:t>
      </w:r>
    </w:p>
    <w:p w14:paraId="4274FF4C" w14:textId="3365C60A" w:rsidR="1DB8E27D" w:rsidRDefault="1DB8E27D" w:rsidP="1DB8E27D">
      <w:pPr>
        <w:pStyle w:val="NoSpacing"/>
      </w:pPr>
    </w:p>
    <w:p w14:paraId="75F60708" w14:textId="77777777" w:rsidR="00832410" w:rsidRDefault="00832410" w:rsidP="00A92E37">
      <w:pPr>
        <w:pStyle w:val="NoSpacing"/>
      </w:pPr>
    </w:p>
    <w:p w14:paraId="5DFA32B7" w14:textId="1692DE1F" w:rsidR="405A9F35" w:rsidRDefault="405A9F35" w:rsidP="405A9F35">
      <w:pPr>
        <w:pStyle w:val="NoSpacing"/>
        <w:rPr>
          <w:b/>
          <w:bCs/>
        </w:rPr>
      </w:pPr>
    </w:p>
    <w:p w14:paraId="6499F6C0" w14:textId="77777777" w:rsidR="00832410" w:rsidRDefault="00832410" w:rsidP="1DB8E27D">
      <w:pPr>
        <w:pStyle w:val="NoSpacing"/>
        <w:rPr>
          <w:b/>
          <w:bCs/>
        </w:rPr>
      </w:pPr>
      <w:r w:rsidRPr="1DB8E27D">
        <w:rPr>
          <w:b/>
          <w:bCs/>
        </w:rPr>
        <w:t xml:space="preserve">Timetable for tendering </w:t>
      </w:r>
    </w:p>
    <w:p w14:paraId="45491551" w14:textId="19CCD1CC" w:rsidR="1DB8E27D" w:rsidRDefault="1DB8E27D" w:rsidP="1DB8E27D">
      <w:pPr>
        <w:pStyle w:val="NoSpacing"/>
      </w:pPr>
    </w:p>
    <w:p w14:paraId="05E540A8" w14:textId="15BC5363" w:rsidR="00E15165" w:rsidRPr="0048419B" w:rsidRDefault="00832410" w:rsidP="405A9F35">
      <w:pPr>
        <w:pStyle w:val="NoSpacing"/>
      </w:pPr>
      <w:r w:rsidRPr="0048419B">
        <w:t xml:space="preserve">Invitation to tender </w:t>
      </w:r>
      <w:r w:rsidR="0036132E" w:rsidRPr="0048419B">
        <w:t>Monday 5</w:t>
      </w:r>
      <w:r w:rsidR="00E15165" w:rsidRPr="0048419B">
        <w:rPr>
          <w:vertAlign w:val="superscript"/>
        </w:rPr>
        <w:t>th</w:t>
      </w:r>
      <w:r w:rsidR="00E15165" w:rsidRPr="0048419B">
        <w:t xml:space="preserve"> December 2022</w:t>
      </w:r>
    </w:p>
    <w:p w14:paraId="06E6851C" w14:textId="181BC50A" w:rsidR="1DB8E27D" w:rsidRDefault="1DB8E27D" w:rsidP="1DB8E27D">
      <w:pPr>
        <w:pStyle w:val="NoSpacing"/>
      </w:pPr>
    </w:p>
    <w:p w14:paraId="14209F4B" w14:textId="651A65D0" w:rsidR="1DB8E27D" w:rsidRDefault="00E15165" w:rsidP="00BE6C6F">
      <w:pPr>
        <w:pStyle w:val="NoSpacing"/>
      </w:pPr>
      <w:r>
        <w:t>Closing date for tenders</w:t>
      </w:r>
      <w:r w:rsidR="00B00317">
        <w:t xml:space="preserve"> no later than 1pm on</w:t>
      </w:r>
      <w:r>
        <w:t xml:space="preserve"> Friday </w:t>
      </w:r>
      <w:r w:rsidR="003137C6">
        <w:t>27</w:t>
      </w:r>
      <w:r w:rsidRPr="1DB8E27D">
        <w:rPr>
          <w:vertAlign w:val="superscript"/>
        </w:rPr>
        <w:t>th</w:t>
      </w:r>
      <w:r>
        <w:t xml:space="preserve"> January 2023</w:t>
      </w:r>
      <w:r w:rsidR="00D12194">
        <w:t xml:space="preserve"> </w:t>
      </w:r>
    </w:p>
    <w:p w14:paraId="3DAC2D5F" w14:textId="77777777" w:rsidR="00BE6C6F" w:rsidRDefault="00BE6C6F" w:rsidP="00BE6C6F">
      <w:pPr>
        <w:pStyle w:val="NoSpacing"/>
      </w:pPr>
    </w:p>
    <w:p w14:paraId="4004A80C" w14:textId="4EAE84FA" w:rsidR="00A92E37" w:rsidRPr="00CB08EA" w:rsidRDefault="004C4C4C" w:rsidP="1DB8E27D">
      <w:pPr>
        <w:rPr>
          <w:highlight w:val="yellow"/>
        </w:rPr>
      </w:pPr>
      <w:r>
        <w:t xml:space="preserve">Award of Contract </w:t>
      </w:r>
      <w:r w:rsidR="7E903FCE">
        <w:t>Monday 1</w:t>
      </w:r>
      <w:r w:rsidR="00DE26C4">
        <w:t>3</w:t>
      </w:r>
      <w:r w:rsidR="7E903FCE" w:rsidRPr="1DB8E27D">
        <w:rPr>
          <w:vertAlign w:val="superscript"/>
        </w:rPr>
        <w:t>th</w:t>
      </w:r>
      <w:r w:rsidR="7E903FCE">
        <w:t xml:space="preserve"> February 2023</w:t>
      </w:r>
    </w:p>
    <w:p w14:paraId="5DFDDA7B" w14:textId="0245A8CE" w:rsidR="00CB08EA" w:rsidRDefault="00164471" w:rsidP="1DB8E27D">
      <w:r>
        <w:t>If you have any queries</w:t>
      </w:r>
      <w:r w:rsidR="00BE6C6F">
        <w:t>,</w:t>
      </w:r>
      <w:r>
        <w:t xml:space="preserve"> please contact Newport Town Council </w:t>
      </w:r>
      <w:r w:rsidR="009310C2">
        <w:t xml:space="preserve">on 01952 814338 or email </w:t>
      </w:r>
      <w:hyperlink r:id="rId9">
        <w:r w:rsidR="74869BB8" w:rsidRPr="1DB8E27D">
          <w:rPr>
            <w:rStyle w:val="Hyperlink"/>
          </w:rPr>
          <w:t>enquiries@newportshropshire-tc.gov.uk</w:t>
        </w:r>
      </w:hyperlink>
    </w:p>
    <w:p w14:paraId="5C5A3337" w14:textId="77777777" w:rsidR="002A573C" w:rsidRDefault="002A573C" w:rsidP="0049099C"/>
    <w:p w14:paraId="3A1A9713" w14:textId="78D1695B" w:rsidR="002A573C" w:rsidRDefault="002A573C" w:rsidP="00803591">
      <w:pPr>
        <w:pStyle w:val="NoSpacing"/>
      </w:pPr>
      <w:r>
        <w:t>Submit the following:</w:t>
      </w:r>
      <w:r>
        <w:br/>
      </w:r>
    </w:p>
    <w:p w14:paraId="1BA0091E" w14:textId="512C356B" w:rsidR="002A573C" w:rsidRDefault="002A573C" w:rsidP="1DB8E27D">
      <w:pPr>
        <w:pStyle w:val="NoSpacing"/>
        <w:numPr>
          <w:ilvl w:val="0"/>
          <w:numId w:val="1"/>
        </w:numPr>
      </w:pPr>
      <w:r>
        <w:t>Tenderer questionnaire</w:t>
      </w:r>
    </w:p>
    <w:p w14:paraId="2BC043FC" w14:textId="02A6EE7E" w:rsidR="002A573C" w:rsidRDefault="002A573C" w:rsidP="1DB8E27D">
      <w:pPr>
        <w:pStyle w:val="NoSpacing"/>
        <w:numPr>
          <w:ilvl w:val="0"/>
          <w:numId w:val="1"/>
        </w:numPr>
      </w:pPr>
      <w:r>
        <w:t xml:space="preserve">Cost submission Form </w:t>
      </w:r>
    </w:p>
    <w:p w14:paraId="2BC80133" w14:textId="4B0F9E79" w:rsidR="00B663B0" w:rsidRDefault="002A573C" w:rsidP="1DB8E27D">
      <w:pPr>
        <w:pStyle w:val="NoSpacing"/>
        <w:numPr>
          <w:ilvl w:val="0"/>
          <w:numId w:val="1"/>
        </w:numPr>
      </w:pPr>
      <w:r>
        <w:t>Copies of requested forms</w:t>
      </w:r>
    </w:p>
    <w:p w14:paraId="1C126B5A" w14:textId="77777777" w:rsidR="00803591" w:rsidRDefault="00803591" w:rsidP="00803591">
      <w:pPr>
        <w:pStyle w:val="NoSpacing"/>
      </w:pPr>
    </w:p>
    <w:p w14:paraId="57727FCA" w14:textId="77777777" w:rsidR="00803591" w:rsidRDefault="00803591" w:rsidP="00803591">
      <w:pPr>
        <w:pStyle w:val="NoSpacing"/>
      </w:pPr>
    </w:p>
    <w:p w14:paraId="61D9A4F2" w14:textId="77777777" w:rsidR="0048419B" w:rsidRDefault="0048419B" w:rsidP="00803591">
      <w:pPr>
        <w:pStyle w:val="NoSpacing"/>
        <w:rPr>
          <w:b/>
          <w:bCs/>
        </w:rPr>
      </w:pPr>
    </w:p>
    <w:p w14:paraId="24F462E6" w14:textId="77777777" w:rsidR="0048419B" w:rsidRDefault="0048419B" w:rsidP="00803591">
      <w:pPr>
        <w:pStyle w:val="NoSpacing"/>
        <w:rPr>
          <w:b/>
          <w:bCs/>
        </w:rPr>
      </w:pPr>
    </w:p>
    <w:p w14:paraId="0C51789D" w14:textId="77777777" w:rsidR="0048419B" w:rsidRDefault="0048419B" w:rsidP="00803591">
      <w:pPr>
        <w:pStyle w:val="NoSpacing"/>
        <w:rPr>
          <w:b/>
          <w:bCs/>
        </w:rPr>
      </w:pPr>
    </w:p>
    <w:p w14:paraId="3107822D" w14:textId="77777777" w:rsidR="0048419B" w:rsidRDefault="0048419B" w:rsidP="00803591">
      <w:pPr>
        <w:pStyle w:val="NoSpacing"/>
        <w:rPr>
          <w:b/>
          <w:bCs/>
        </w:rPr>
      </w:pPr>
    </w:p>
    <w:p w14:paraId="6208C874" w14:textId="77777777" w:rsidR="0048419B" w:rsidRDefault="0048419B" w:rsidP="00803591">
      <w:pPr>
        <w:pStyle w:val="NoSpacing"/>
        <w:rPr>
          <w:b/>
          <w:bCs/>
        </w:rPr>
      </w:pPr>
    </w:p>
    <w:p w14:paraId="1F2F1DD7" w14:textId="77777777" w:rsidR="0048419B" w:rsidRDefault="0048419B" w:rsidP="00803591">
      <w:pPr>
        <w:pStyle w:val="NoSpacing"/>
        <w:rPr>
          <w:b/>
          <w:bCs/>
        </w:rPr>
      </w:pPr>
    </w:p>
    <w:p w14:paraId="0EA03414" w14:textId="77777777" w:rsidR="0048419B" w:rsidRDefault="0048419B" w:rsidP="00803591">
      <w:pPr>
        <w:pStyle w:val="NoSpacing"/>
        <w:rPr>
          <w:b/>
          <w:bCs/>
        </w:rPr>
      </w:pPr>
    </w:p>
    <w:p w14:paraId="52254C51" w14:textId="77777777" w:rsidR="0048419B" w:rsidRDefault="0048419B" w:rsidP="00803591">
      <w:pPr>
        <w:pStyle w:val="NoSpacing"/>
        <w:rPr>
          <w:b/>
          <w:bCs/>
        </w:rPr>
      </w:pPr>
    </w:p>
    <w:p w14:paraId="6517D7A2" w14:textId="77777777" w:rsidR="0048419B" w:rsidRDefault="0048419B" w:rsidP="00803591">
      <w:pPr>
        <w:pStyle w:val="NoSpacing"/>
        <w:rPr>
          <w:b/>
          <w:bCs/>
        </w:rPr>
      </w:pPr>
    </w:p>
    <w:p w14:paraId="5E01B985" w14:textId="77777777" w:rsidR="0048419B" w:rsidRDefault="0048419B" w:rsidP="00803591">
      <w:pPr>
        <w:pStyle w:val="NoSpacing"/>
        <w:rPr>
          <w:b/>
          <w:bCs/>
        </w:rPr>
      </w:pPr>
    </w:p>
    <w:p w14:paraId="744C4324" w14:textId="77777777" w:rsidR="0048419B" w:rsidRDefault="0048419B" w:rsidP="00803591">
      <w:pPr>
        <w:pStyle w:val="NoSpacing"/>
        <w:rPr>
          <w:b/>
          <w:bCs/>
        </w:rPr>
      </w:pPr>
    </w:p>
    <w:p w14:paraId="469A7924" w14:textId="77777777" w:rsidR="0048419B" w:rsidRDefault="0048419B" w:rsidP="00803591">
      <w:pPr>
        <w:pStyle w:val="NoSpacing"/>
        <w:rPr>
          <w:b/>
          <w:bCs/>
        </w:rPr>
      </w:pPr>
    </w:p>
    <w:p w14:paraId="67C7EE5C" w14:textId="77777777" w:rsidR="0048419B" w:rsidRDefault="0048419B" w:rsidP="00803591">
      <w:pPr>
        <w:pStyle w:val="NoSpacing"/>
        <w:rPr>
          <w:b/>
          <w:bCs/>
        </w:rPr>
      </w:pPr>
    </w:p>
    <w:p w14:paraId="140CE9D4" w14:textId="77777777" w:rsidR="0048419B" w:rsidRDefault="0048419B" w:rsidP="00803591">
      <w:pPr>
        <w:pStyle w:val="NoSpacing"/>
        <w:rPr>
          <w:b/>
          <w:bCs/>
        </w:rPr>
      </w:pPr>
    </w:p>
    <w:p w14:paraId="33C8DF38" w14:textId="77777777" w:rsidR="0048419B" w:rsidRDefault="0048419B" w:rsidP="00803591">
      <w:pPr>
        <w:pStyle w:val="NoSpacing"/>
        <w:rPr>
          <w:b/>
          <w:bCs/>
        </w:rPr>
      </w:pPr>
    </w:p>
    <w:p w14:paraId="6DB00CE2" w14:textId="77777777" w:rsidR="0048419B" w:rsidRDefault="0048419B" w:rsidP="00803591">
      <w:pPr>
        <w:pStyle w:val="NoSpacing"/>
        <w:rPr>
          <w:b/>
          <w:bCs/>
        </w:rPr>
      </w:pPr>
    </w:p>
    <w:p w14:paraId="7B81DB95" w14:textId="77777777" w:rsidR="0048419B" w:rsidRDefault="0048419B" w:rsidP="00803591">
      <w:pPr>
        <w:pStyle w:val="NoSpacing"/>
        <w:rPr>
          <w:b/>
          <w:bCs/>
        </w:rPr>
      </w:pPr>
    </w:p>
    <w:p w14:paraId="6E988D40" w14:textId="77777777" w:rsidR="0048419B" w:rsidRDefault="0048419B" w:rsidP="00803591">
      <w:pPr>
        <w:pStyle w:val="NoSpacing"/>
        <w:rPr>
          <w:b/>
          <w:bCs/>
        </w:rPr>
      </w:pPr>
    </w:p>
    <w:p w14:paraId="756BE628" w14:textId="77777777" w:rsidR="0048419B" w:rsidRDefault="0048419B" w:rsidP="00803591">
      <w:pPr>
        <w:pStyle w:val="NoSpacing"/>
        <w:rPr>
          <w:b/>
          <w:bCs/>
        </w:rPr>
      </w:pPr>
    </w:p>
    <w:p w14:paraId="38514E25" w14:textId="77777777" w:rsidR="0048419B" w:rsidRDefault="0048419B" w:rsidP="00803591">
      <w:pPr>
        <w:pStyle w:val="NoSpacing"/>
        <w:rPr>
          <w:b/>
          <w:bCs/>
        </w:rPr>
      </w:pPr>
    </w:p>
    <w:p w14:paraId="1DD717D2" w14:textId="77777777" w:rsidR="0048419B" w:rsidRDefault="0048419B" w:rsidP="00803591">
      <w:pPr>
        <w:pStyle w:val="NoSpacing"/>
        <w:rPr>
          <w:b/>
          <w:bCs/>
        </w:rPr>
      </w:pPr>
    </w:p>
    <w:p w14:paraId="6C9631D0" w14:textId="77777777" w:rsidR="0048419B" w:rsidRDefault="0048419B" w:rsidP="00803591">
      <w:pPr>
        <w:pStyle w:val="NoSpacing"/>
        <w:rPr>
          <w:b/>
          <w:bCs/>
        </w:rPr>
      </w:pPr>
    </w:p>
    <w:p w14:paraId="36BDA20F" w14:textId="77777777" w:rsidR="0048419B" w:rsidRDefault="0048419B" w:rsidP="00803591">
      <w:pPr>
        <w:pStyle w:val="NoSpacing"/>
        <w:rPr>
          <w:b/>
          <w:bCs/>
        </w:rPr>
      </w:pPr>
    </w:p>
    <w:p w14:paraId="0532E1CB" w14:textId="77777777" w:rsidR="0048419B" w:rsidRDefault="0048419B" w:rsidP="00803591">
      <w:pPr>
        <w:pStyle w:val="NoSpacing"/>
        <w:rPr>
          <w:b/>
          <w:bCs/>
        </w:rPr>
      </w:pPr>
    </w:p>
    <w:p w14:paraId="652F9F74" w14:textId="77777777" w:rsidR="0048419B" w:rsidRDefault="0048419B" w:rsidP="00803591">
      <w:pPr>
        <w:pStyle w:val="NoSpacing"/>
        <w:rPr>
          <w:b/>
          <w:bCs/>
        </w:rPr>
      </w:pPr>
    </w:p>
    <w:p w14:paraId="3106AEB5" w14:textId="77777777" w:rsidR="0048419B" w:rsidRDefault="0048419B" w:rsidP="00803591">
      <w:pPr>
        <w:pStyle w:val="NoSpacing"/>
        <w:rPr>
          <w:b/>
          <w:bCs/>
        </w:rPr>
      </w:pPr>
    </w:p>
    <w:p w14:paraId="224E9A31" w14:textId="77777777" w:rsidR="0048419B" w:rsidRDefault="0048419B" w:rsidP="00803591">
      <w:pPr>
        <w:pStyle w:val="NoSpacing"/>
        <w:rPr>
          <w:b/>
          <w:bCs/>
        </w:rPr>
      </w:pPr>
    </w:p>
    <w:p w14:paraId="4AF9C0FA" w14:textId="77777777" w:rsidR="0048419B" w:rsidRDefault="0048419B" w:rsidP="00803591">
      <w:pPr>
        <w:pStyle w:val="NoSpacing"/>
        <w:rPr>
          <w:b/>
          <w:bCs/>
        </w:rPr>
      </w:pPr>
    </w:p>
    <w:p w14:paraId="77FF1437" w14:textId="77777777" w:rsidR="0048419B" w:rsidRDefault="0048419B" w:rsidP="00803591">
      <w:pPr>
        <w:pStyle w:val="NoSpacing"/>
        <w:rPr>
          <w:b/>
          <w:bCs/>
        </w:rPr>
      </w:pPr>
    </w:p>
    <w:p w14:paraId="558EAD83" w14:textId="6A6D23B0" w:rsidR="00803591" w:rsidRPr="00770B5A" w:rsidRDefault="0036091F" w:rsidP="00803591">
      <w:pPr>
        <w:pStyle w:val="NoSpacing"/>
        <w:rPr>
          <w:b/>
          <w:bCs/>
        </w:rPr>
      </w:pPr>
      <w:r w:rsidRPr="1DB8E27D">
        <w:rPr>
          <w:b/>
          <w:bCs/>
        </w:rPr>
        <w:t>Quotation breakdown</w:t>
      </w:r>
    </w:p>
    <w:p w14:paraId="270CFC80" w14:textId="5FB7AC25" w:rsidR="1DB8E27D" w:rsidRDefault="1DB8E27D" w:rsidP="1DB8E27D">
      <w:pPr>
        <w:pStyle w:val="NoSpacing"/>
        <w:rPr>
          <w:b/>
          <w:bCs/>
        </w:rPr>
      </w:pPr>
    </w:p>
    <w:p w14:paraId="10E02B70" w14:textId="5DFD6F12" w:rsidR="0036091F" w:rsidRDefault="0036091F" w:rsidP="00803591">
      <w:pPr>
        <w:pStyle w:val="NoSpacing"/>
      </w:pPr>
      <w:r>
        <w:t>To be included with your tender</w:t>
      </w:r>
    </w:p>
    <w:p w14:paraId="76BA7AEF" w14:textId="77777777" w:rsidR="0036091F" w:rsidRDefault="0036091F" w:rsidP="008035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091F" w14:paraId="44C8F8A9" w14:textId="77777777" w:rsidTr="0036091F">
        <w:tc>
          <w:tcPr>
            <w:tcW w:w="4508" w:type="dxa"/>
          </w:tcPr>
          <w:p w14:paraId="2A967C2F" w14:textId="77777777" w:rsidR="0036091F" w:rsidRDefault="0036091F" w:rsidP="00803591">
            <w:pPr>
              <w:pStyle w:val="NoSpacing"/>
            </w:pPr>
            <w:r>
              <w:t>Preliminaries</w:t>
            </w:r>
          </w:p>
          <w:p w14:paraId="2D78CB04" w14:textId="374D4680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0E113272" w14:textId="175F9478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0BBC39D2" w14:textId="77777777" w:rsidTr="0036091F">
        <w:tc>
          <w:tcPr>
            <w:tcW w:w="4508" w:type="dxa"/>
          </w:tcPr>
          <w:p w14:paraId="7C5409A7" w14:textId="77777777" w:rsidR="0036091F" w:rsidRDefault="0036091F" w:rsidP="00803591">
            <w:pPr>
              <w:pStyle w:val="NoSpacing"/>
            </w:pPr>
            <w:r>
              <w:t>Cost of Columns</w:t>
            </w:r>
          </w:p>
          <w:p w14:paraId="6CF83C8A" w14:textId="2B873048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0A376F79" w14:textId="48CF9024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15166CD0" w14:textId="77777777" w:rsidTr="0036091F">
        <w:tc>
          <w:tcPr>
            <w:tcW w:w="4508" w:type="dxa"/>
          </w:tcPr>
          <w:p w14:paraId="342A7C90" w14:textId="77777777" w:rsidR="0036091F" w:rsidRDefault="0036091F" w:rsidP="00803591">
            <w:pPr>
              <w:pStyle w:val="NoSpacing"/>
            </w:pPr>
            <w:r>
              <w:t>Cost pf Lighting Head</w:t>
            </w:r>
          </w:p>
          <w:p w14:paraId="4F02DDFE" w14:textId="730C2669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3C0B35A9" w14:textId="5DD99908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32864EEC" w14:textId="77777777" w:rsidTr="0036091F">
        <w:tc>
          <w:tcPr>
            <w:tcW w:w="4508" w:type="dxa"/>
          </w:tcPr>
          <w:p w14:paraId="00C89274" w14:textId="77777777" w:rsidR="0036091F" w:rsidRDefault="0036091F" w:rsidP="00803591">
            <w:pPr>
              <w:pStyle w:val="NoSpacing"/>
            </w:pPr>
            <w:r>
              <w:t>Installation Costs</w:t>
            </w:r>
          </w:p>
          <w:p w14:paraId="185927EE" w14:textId="63063914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2F5D8A10" w14:textId="7FD0AD95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6736492B" w14:textId="77777777" w:rsidTr="0036091F">
        <w:tc>
          <w:tcPr>
            <w:tcW w:w="4508" w:type="dxa"/>
          </w:tcPr>
          <w:p w14:paraId="1C3B2E25" w14:textId="77777777" w:rsidR="0036091F" w:rsidRDefault="0036091F" w:rsidP="00803591">
            <w:pPr>
              <w:pStyle w:val="NoSpacing"/>
            </w:pPr>
            <w:r>
              <w:t xml:space="preserve">Replacement </w:t>
            </w:r>
            <w:r w:rsidR="004432AC">
              <w:t>Batteries</w:t>
            </w:r>
          </w:p>
          <w:p w14:paraId="658E75AB" w14:textId="69E89F7B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25451B55" w14:textId="03A019A1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67C99AF0" w14:textId="77777777" w:rsidTr="0036091F">
        <w:tc>
          <w:tcPr>
            <w:tcW w:w="4508" w:type="dxa"/>
          </w:tcPr>
          <w:p w14:paraId="556673C7" w14:textId="77777777" w:rsidR="0036091F" w:rsidRDefault="004432AC" w:rsidP="00803591">
            <w:pPr>
              <w:pStyle w:val="NoSpacing"/>
            </w:pPr>
            <w:r>
              <w:t>Reinstatement</w:t>
            </w:r>
          </w:p>
          <w:p w14:paraId="28A1E6CA" w14:textId="6C21527D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661FA9FF" w14:textId="3003E991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3D7E7C5E" w14:textId="77777777" w:rsidTr="0036091F">
        <w:tc>
          <w:tcPr>
            <w:tcW w:w="4508" w:type="dxa"/>
          </w:tcPr>
          <w:p w14:paraId="4AA157AC" w14:textId="77777777" w:rsidR="0036091F" w:rsidRDefault="004432AC" w:rsidP="00803591">
            <w:pPr>
              <w:pStyle w:val="NoSpacing"/>
            </w:pPr>
            <w:r>
              <w:t>Contingencies</w:t>
            </w:r>
          </w:p>
          <w:p w14:paraId="3C49DA54" w14:textId="4B9C6A28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7849ACFE" w14:textId="21241C5F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22DBEE64" w14:textId="77777777" w:rsidTr="0036091F">
        <w:tc>
          <w:tcPr>
            <w:tcW w:w="4508" w:type="dxa"/>
          </w:tcPr>
          <w:p w14:paraId="11557B15" w14:textId="77777777" w:rsidR="0036091F" w:rsidRDefault="004432AC" w:rsidP="00803591">
            <w:pPr>
              <w:pStyle w:val="NoSpacing"/>
            </w:pPr>
            <w:r>
              <w:t xml:space="preserve">Project Total </w:t>
            </w:r>
          </w:p>
          <w:p w14:paraId="3875F1CC" w14:textId="0734D82A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1FC9FC2C" w14:textId="016120F0" w:rsidR="0036091F" w:rsidRDefault="004432AC" w:rsidP="00803591">
            <w:pPr>
              <w:pStyle w:val="NoSpacing"/>
            </w:pPr>
            <w:r>
              <w:t>£</w:t>
            </w:r>
          </w:p>
        </w:tc>
      </w:tr>
    </w:tbl>
    <w:p w14:paraId="22859529" w14:textId="77777777" w:rsidR="0036091F" w:rsidRDefault="0036091F" w:rsidP="00803591">
      <w:pPr>
        <w:pStyle w:val="NoSpacing"/>
      </w:pPr>
    </w:p>
    <w:sectPr w:rsidR="00360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B5AD"/>
    <w:multiLevelType w:val="hybridMultilevel"/>
    <w:tmpl w:val="273808AC"/>
    <w:lvl w:ilvl="0" w:tplc="27624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6B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A5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8A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28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2A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C7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387"/>
    <w:multiLevelType w:val="hybridMultilevel"/>
    <w:tmpl w:val="10A4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A397"/>
    <w:multiLevelType w:val="hybridMultilevel"/>
    <w:tmpl w:val="7CC29BB4"/>
    <w:lvl w:ilvl="0" w:tplc="E2F46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2B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4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E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CE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8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81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E8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AB88F"/>
    <w:multiLevelType w:val="hybridMultilevel"/>
    <w:tmpl w:val="80F26CEE"/>
    <w:lvl w:ilvl="0" w:tplc="6038D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6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26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05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A5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E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2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49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148A"/>
    <w:multiLevelType w:val="hybridMultilevel"/>
    <w:tmpl w:val="64F814AE"/>
    <w:lvl w:ilvl="0" w:tplc="E000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2F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6B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8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87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2B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E9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0886">
    <w:abstractNumId w:val="3"/>
  </w:num>
  <w:num w:numId="2" w16cid:durableId="1132361489">
    <w:abstractNumId w:val="4"/>
  </w:num>
  <w:num w:numId="3" w16cid:durableId="905996891">
    <w:abstractNumId w:val="2"/>
  </w:num>
  <w:num w:numId="4" w16cid:durableId="885920256">
    <w:abstractNumId w:val="0"/>
  </w:num>
  <w:num w:numId="5" w16cid:durableId="93397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1F"/>
    <w:rsid w:val="00016483"/>
    <w:rsid w:val="00036B25"/>
    <w:rsid w:val="00046E4C"/>
    <w:rsid w:val="000648C1"/>
    <w:rsid w:val="000B2588"/>
    <w:rsid w:val="000B7489"/>
    <w:rsid w:val="00117DFF"/>
    <w:rsid w:val="00126AF4"/>
    <w:rsid w:val="00152B9E"/>
    <w:rsid w:val="0015720D"/>
    <w:rsid w:val="00164471"/>
    <w:rsid w:val="00196199"/>
    <w:rsid w:val="00234E8C"/>
    <w:rsid w:val="00256347"/>
    <w:rsid w:val="00292C8C"/>
    <w:rsid w:val="002A573C"/>
    <w:rsid w:val="002D3267"/>
    <w:rsid w:val="002D6E25"/>
    <w:rsid w:val="00301DCC"/>
    <w:rsid w:val="003137C6"/>
    <w:rsid w:val="00336130"/>
    <w:rsid w:val="00347234"/>
    <w:rsid w:val="00356DF4"/>
    <w:rsid w:val="0036091F"/>
    <w:rsid w:val="0036132E"/>
    <w:rsid w:val="0036585E"/>
    <w:rsid w:val="00384A25"/>
    <w:rsid w:val="0039147A"/>
    <w:rsid w:val="0043701C"/>
    <w:rsid w:val="004432AC"/>
    <w:rsid w:val="00461B4C"/>
    <w:rsid w:val="004721D8"/>
    <w:rsid w:val="004774C4"/>
    <w:rsid w:val="0048419B"/>
    <w:rsid w:val="0049099C"/>
    <w:rsid w:val="00495C3C"/>
    <w:rsid w:val="00496871"/>
    <w:rsid w:val="004C4C4C"/>
    <w:rsid w:val="00581EDD"/>
    <w:rsid w:val="005E05D3"/>
    <w:rsid w:val="005F2D33"/>
    <w:rsid w:val="00604E10"/>
    <w:rsid w:val="00625D07"/>
    <w:rsid w:val="00667704"/>
    <w:rsid w:val="0069082B"/>
    <w:rsid w:val="006D7C7F"/>
    <w:rsid w:val="007246E5"/>
    <w:rsid w:val="00770B5A"/>
    <w:rsid w:val="007839CB"/>
    <w:rsid w:val="007A4349"/>
    <w:rsid w:val="007D24A2"/>
    <w:rsid w:val="00803591"/>
    <w:rsid w:val="00814B9F"/>
    <w:rsid w:val="00824B27"/>
    <w:rsid w:val="00826048"/>
    <w:rsid w:val="00832410"/>
    <w:rsid w:val="0084065F"/>
    <w:rsid w:val="00881A15"/>
    <w:rsid w:val="00884383"/>
    <w:rsid w:val="008949C7"/>
    <w:rsid w:val="008A5D72"/>
    <w:rsid w:val="008B63CB"/>
    <w:rsid w:val="008D498E"/>
    <w:rsid w:val="008E7670"/>
    <w:rsid w:val="008F285A"/>
    <w:rsid w:val="00910670"/>
    <w:rsid w:val="009310C2"/>
    <w:rsid w:val="00986F9B"/>
    <w:rsid w:val="0099062C"/>
    <w:rsid w:val="009A2BA0"/>
    <w:rsid w:val="009A69BE"/>
    <w:rsid w:val="00A00370"/>
    <w:rsid w:val="00A1605D"/>
    <w:rsid w:val="00A50716"/>
    <w:rsid w:val="00A63A44"/>
    <w:rsid w:val="00A70C60"/>
    <w:rsid w:val="00A76E1F"/>
    <w:rsid w:val="00A92E37"/>
    <w:rsid w:val="00AF17DD"/>
    <w:rsid w:val="00B00317"/>
    <w:rsid w:val="00B13072"/>
    <w:rsid w:val="00B3104A"/>
    <w:rsid w:val="00B422C8"/>
    <w:rsid w:val="00B554B6"/>
    <w:rsid w:val="00B663B0"/>
    <w:rsid w:val="00B87859"/>
    <w:rsid w:val="00BB7FFC"/>
    <w:rsid w:val="00BE6C6F"/>
    <w:rsid w:val="00C27CF1"/>
    <w:rsid w:val="00C7552F"/>
    <w:rsid w:val="00C957F5"/>
    <w:rsid w:val="00CB08EA"/>
    <w:rsid w:val="00CC05FD"/>
    <w:rsid w:val="00D01D8B"/>
    <w:rsid w:val="00D06B46"/>
    <w:rsid w:val="00D12194"/>
    <w:rsid w:val="00D45568"/>
    <w:rsid w:val="00D65C49"/>
    <w:rsid w:val="00D965C3"/>
    <w:rsid w:val="00DC3461"/>
    <w:rsid w:val="00DE26C4"/>
    <w:rsid w:val="00DF6513"/>
    <w:rsid w:val="00E15165"/>
    <w:rsid w:val="00EB1108"/>
    <w:rsid w:val="00EF6AA0"/>
    <w:rsid w:val="00F03B39"/>
    <w:rsid w:val="00F07ED6"/>
    <w:rsid w:val="00F30533"/>
    <w:rsid w:val="00F4166A"/>
    <w:rsid w:val="00F95E8F"/>
    <w:rsid w:val="00FD1C04"/>
    <w:rsid w:val="00FF5B04"/>
    <w:rsid w:val="025460DB"/>
    <w:rsid w:val="03286298"/>
    <w:rsid w:val="03D708DF"/>
    <w:rsid w:val="054B23E1"/>
    <w:rsid w:val="05DE9835"/>
    <w:rsid w:val="09D44B5A"/>
    <w:rsid w:val="0C085BF1"/>
    <w:rsid w:val="0E695153"/>
    <w:rsid w:val="15D7F3A2"/>
    <w:rsid w:val="17245E2C"/>
    <w:rsid w:val="1853FB98"/>
    <w:rsid w:val="1AA2B16E"/>
    <w:rsid w:val="1DB8E27D"/>
    <w:rsid w:val="23BF7D6F"/>
    <w:rsid w:val="25C95137"/>
    <w:rsid w:val="27021EA4"/>
    <w:rsid w:val="2D68B508"/>
    <w:rsid w:val="2EA5E332"/>
    <w:rsid w:val="301EEAA5"/>
    <w:rsid w:val="33595264"/>
    <w:rsid w:val="33602BF8"/>
    <w:rsid w:val="3C26F35B"/>
    <w:rsid w:val="405A9F35"/>
    <w:rsid w:val="412A152E"/>
    <w:rsid w:val="42C5E58F"/>
    <w:rsid w:val="4661C9A4"/>
    <w:rsid w:val="47BB6E05"/>
    <w:rsid w:val="4EA7C792"/>
    <w:rsid w:val="512F6D60"/>
    <w:rsid w:val="5C2277E6"/>
    <w:rsid w:val="5E15DDEE"/>
    <w:rsid w:val="62E91C40"/>
    <w:rsid w:val="63800447"/>
    <w:rsid w:val="64851F72"/>
    <w:rsid w:val="6B97A131"/>
    <w:rsid w:val="6C57E4B7"/>
    <w:rsid w:val="74869BB8"/>
    <w:rsid w:val="76014653"/>
    <w:rsid w:val="79F52406"/>
    <w:rsid w:val="7B437D5C"/>
    <w:rsid w:val="7BE51F56"/>
    <w:rsid w:val="7E9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CFF"/>
  <w15:chartTrackingRefBased/>
  <w15:docId w15:val="{2C95FF3F-D48F-4759-B044-0C887D2A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22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568"/>
    <w:pPr>
      <w:ind w:left="720"/>
      <w:contextualSpacing/>
    </w:pPr>
  </w:style>
  <w:style w:type="table" w:styleId="TableGrid">
    <w:name w:val="Table Grid"/>
    <w:basedOn w:val="TableNormal"/>
    <w:uiPriority w:val="39"/>
    <w:rsid w:val="0036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ewportshropshire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quiries@newportshropshire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1" ma:contentTypeDescription="Create a new document." ma:contentTypeScope="" ma:versionID="b67bceae196762b0c8a07ebad2b8e1b4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a86d597bf908913802fa3c0ca8a59c84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Date xmlns="efb87db5-5af6-4db8-aed1-5284b2ae98ca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DD5E7-9F82-442D-8A95-DA28F8F59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76E81-A6F6-4C83-98B4-761373B8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84658-12C9-43C3-8CEA-4DC66D5A9CB2}">
  <ds:schemaRefs>
    <ds:schemaRef ds:uri="http://schemas.microsoft.com/office/2006/metadata/properties"/>
    <ds:schemaRef ds:uri="http://schemas.microsoft.com/office/infopath/2007/PartnerControls"/>
    <ds:schemaRef ds:uri="9b5bf25e-7ae3-4acf-a60e-229d72e58d3b"/>
    <ds:schemaRef ds:uri="efb87db5-5af6-4db8-aed1-5284b2ae9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775</Words>
  <Characters>4419</Characters>
  <Application>Microsoft Office Word</Application>
  <DocSecurity>2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Zbroszczyk</dc:creator>
  <cp:keywords/>
  <dc:description/>
  <cp:lastModifiedBy>Ola Zbroszczyk</cp:lastModifiedBy>
  <cp:revision>110</cp:revision>
  <dcterms:created xsi:type="dcterms:W3CDTF">2022-12-01T11:22:00Z</dcterms:created>
  <dcterms:modified xsi:type="dcterms:W3CDTF">2022-12-06T11:53:00Z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MediaServiceImageTags">
    <vt:lpwstr/>
  </property>
</Properties>
</file>