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3BEE0E3"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362D92" w:rsidRPr="00362D92">
        <w:t>RSSB2669 - Sustainability Capacity Building</w:t>
      </w:r>
    </w:p>
    <w:p w14:paraId="367CB7EE" w14:textId="73683531" w:rsidR="00E52B87" w:rsidRPr="00E52B87" w:rsidRDefault="00E52B87" w:rsidP="00E52B87">
      <w:pPr>
        <w:pStyle w:val="CoverTitle"/>
      </w:pPr>
    </w:p>
    <w:p w14:paraId="69A8EB25" w14:textId="4EB43DDD" w:rsidR="00E52B87" w:rsidRPr="00E52B87" w:rsidRDefault="00E52B87" w:rsidP="00E52B87">
      <w:pPr>
        <w:pStyle w:val="CoverSubTitle"/>
      </w:pPr>
      <w:r w:rsidRPr="00E52B87">
        <w:t xml:space="preserve">Deadline: </w:t>
      </w:r>
      <w:r w:rsidR="00C24204">
        <w:t>Friday 5</w:t>
      </w:r>
      <w:r w:rsidR="00C24204" w:rsidRPr="00C24204">
        <w:rPr>
          <w:vertAlign w:val="superscript"/>
        </w:rPr>
        <w:t>th</w:t>
      </w:r>
      <w:r w:rsidR="00C24204">
        <w:t xml:space="preserve"> January</w:t>
      </w:r>
      <w:r w:rsidR="00C0296A">
        <w:t xml:space="preserve"> 2018</w:t>
      </w:r>
      <w:r w:rsidRPr="00E52B87">
        <w:t xml:space="preserve"> </w:t>
      </w:r>
    </w:p>
    <w:p w14:paraId="1051D870" w14:textId="4B2204D2" w:rsidR="00E52B87" w:rsidRPr="00E52B87" w:rsidRDefault="00E52B87" w:rsidP="00E52B87">
      <w:pPr>
        <w:pStyle w:val="CoverSubTitle"/>
      </w:pPr>
      <w:r w:rsidRPr="00E52B87">
        <w:t xml:space="preserve">ITT Reference: </w:t>
      </w:r>
      <w:r w:rsidR="0095659E">
        <w:t xml:space="preserve"> </w:t>
      </w:r>
      <w:r w:rsidR="00362D92" w:rsidRPr="00362D92">
        <w:t>RSSB2669 - Sustainability Capacity Building</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B25135" w14:paraId="4016BDB9" w14:textId="77777777" w:rsidTr="00B25135">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0222221F" w14:textId="77777777" w:rsidR="00B25135" w:rsidRDefault="00B25135">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283A9D1" w14:textId="77777777" w:rsidR="00B25135" w:rsidRDefault="00B25135">
            <w:pPr>
              <w:spacing w:before="120" w:after="120"/>
              <w:jc w:val="center"/>
              <w:rPr>
                <w:b/>
                <w:bCs/>
              </w:rPr>
            </w:pPr>
            <w:r>
              <w:rPr>
                <w:b/>
                <w:bCs/>
              </w:rPr>
              <w:t>Start Date</w:t>
            </w:r>
          </w:p>
        </w:tc>
      </w:tr>
      <w:tr w:rsidR="00C0296A" w14:paraId="32902586"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794A48" w14:textId="77777777" w:rsidR="00C0296A" w:rsidRDefault="00C0296A" w:rsidP="00C0296A">
            <w:pPr>
              <w:spacing w:before="120" w:after="120"/>
              <w:jc w:val="both"/>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F239176" w14:textId="766D2C79" w:rsidR="00C0296A" w:rsidRDefault="00C0296A" w:rsidP="00C0296A">
            <w:pPr>
              <w:spacing w:before="120" w:after="120"/>
            </w:pPr>
            <w:r>
              <w:rPr>
                <w:sz w:val="24"/>
                <w:szCs w:val="24"/>
              </w:rPr>
              <w:t>0</w:t>
            </w:r>
            <w:r w:rsidR="008F7921">
              <w:rPr>
                <w:sz w:val="24"/>
                <w:szCs w:val="24"/>
              </w:rPr>
              <w:t>4</w:t>
            </w:r>
            <w:r>
              <w:rPr>
                <w:sz w:val="24"/>
                <w:szCs w:val="24"/>
              </w:rPr>
              <w:t>/12/2017</w:t>
            </w:r>
          </w:p>
        </w:tc>
      </w:tr>
      <w:tr w:rsidR="00C0296A" w14:paraId="74BF0456" w14:textId="77777777" w:rsidTr="00B25135">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EFC4E5C" w14:textId="77777777" w:rsidR="00C0296A" w:rsidRDefault="00C0296A" w:rsidP="00C0296A">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057009B" w14:textId="132C836B" w:rsidR="00C0296A" w:rsidRDefault="00C0296A" w:rsidP="00C0296A">
            <w:pPr>
              <w:spacing w:before="120" w:after="120"/>
            </w:pPr>
            <w:r>
              <w:rPr>
                <w:sz w:val="24"/>
                <w:szCs w:val="24"/>
                <w:lang w:eastAsia="en-GB"/>
              </w:rPr>
              <w:t>15/12/2017 17:00 hours</w:t>
            </w:r>
          </w:p>
        </w:tc>
      </w:tr>
      <w:tr w:rsidR="00C0296A" w14:paraId="1115156F" w14:textId="77777777" w:rsidTr="00B25135">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1642C3" w14:textId="77777777" w:rsidR="00C0296A" w:rsidRDefault="00C0296A" w:rsidP="00C0296A">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40C25DA" w14:textId="691DC0E6" w:rsidR="00C0296A" w:rsidRDefault="00C0296A" w:rsidP="00C0296A">
            <w:pPr>
              <w:spacing w:before="120" w:after="120"/>
              <w:rPr>
                <w:b/>
                <w:bCs/>
                <w:color w:val="FF0000"/>
              </w:rPr>
            </w:pPr>
            <w:r>
              <w:rPr>
                <w:b/>
                <w:bCs/>
                <w:color w:val="FF0000"/>
                <w:sz w:val="24"/>
                <w:szCs w:val="24"/>
                <w:lang w:eastAsia="en-GB"/>
              </w:rPr>
              <w:t>0</w:t>
            </w:r>
            <w:r w:rsidR="00C24204">
              <w:rPr>
                <w:b/>
                <w:bCs/>
                <w:color w:val="FF0000"/>
                <w:sz w:val="24"/>
                <w:szCs w:val="24"/>
                <w:lang w:eastAsia="en-GB"/>
              </w:rPr>
              <w:t>5</w:t>
            </w:r>
            <w:r>
              <w:rPr>
                <w:b/>
                <w:bCs/>
                <w:color w:val="FF0000"/>
                <w:sz w:val="24"/>
                <w:szCs w:val="24"/>
                <w:lang w:eastAsia="en-GB"/>
              </w:rPr>
              <w:t>/01/2018 17:00 hours</w:t>
            </w:r>
          </w:p>
        </w:tc>
      </w:tr>
      <w:tr w:rsidR="00C0296A" w14:paraId="03AC2AAC" w14:textId="77777777" w:rsidTr="00B25135">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0E3F2E7" w14:textId="77777777" w:rsidR="00C0296A" w:rsidRDefault="00C0296A" w:rsidP="00C0296A">
            <w:pPr>
              <w:spacing w:before="120" w:after="120"/>
              <w:jc w:val="both"/>
            </w:pPr>
            <w: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3EA6EDE" w14:textId="6E61ECF2" w:rsidR="00C0296A" w:rsidRDefault="00C0296A" w:rsidP="00C0296A">
            <w:pPr>
              <w:spacing w:before="120" w:after="120"/>
            </w:pPr>
            <w:r>
              <w:rPr>
                <w:sz w:val="24"/>
                <w:szCs w:val="24"/>
              </w:rPr>
              <w:t xml:space="preserve">W/C </w:t>
            </w:r>
            <w:r w:rsidR="00C24204">
              <w:rPr>
                <w:sz w:val="24"/>
                <w:szCs w:val="24"/>
              </w:rPr>
              <w:t>08</w:t>
            </w:r>
            <w:r>
              <w:rPr>
                <w:sz w:val="24"/>
                <w:szCs w:val="24"/>
              </w:rPr>
              <w:t>/01/2018</w:t>
            </w:r>
          </w:p>
        </w:tc>
      </w:tr>
      <w:tr w:rsidR="00C0296A" w14:paraId="5615701A"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EDAADF" w14:textId="77777777" w:rsidR="00C0296A" w:rsidRDefault="00C0296A" w:rsidP="00C0296A">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EC13B86" w14:textId="49EE8018" w:rsidR="00C0296A" w:rsidRDefault="00C0296A" w:rsidP="00C0296A">
            <w:pPr>
              <w:spacing w:before="120" w:after="120"/>
            </w:pPr>
            <w:r>
              <w:rPr>
                <w:sz w:val="24"/>
                <w:szCs w:val="24"/>
                <w:lang w:eastAsia="en-GB"/>
              </w:rPr>
              <w:t>W/C 29/01/2018</w:t>
            </w:r>
          </w:p>
        </w:tc>
      </w:tr>
      <w:tr w:rsidR="00C0296A" w14:paraId="267B1360"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F7A68FE" w14:textId="77777777" w:rsidR="00C0296A" w:rsidRDefault="00C0296A" w:rsidP="00C0296A">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61AA00E" w14:textId="04428D2C" w:rsidR="00C0296A" w:rsidRDefault="00C0296A" w:rsidP="00C0296A">
            <w:pPr>
              <w:spacing w:before="120" w:after="120"/>
            </w:pPr>
            <w:r>
              <w:rPr>
                <w:sz w:val="24"/>
                <w:szCs w:val="24"/>
                <w:lang w:eastAsia="en-GB"/>
              </w:rPr>
              <w:t>W/C 05/02/2018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62E702CD" w14:textId="77777777" w:rsidR="00C24204" w:rsidRDefault="00B24A32" w:rsidP="00B24A32">
      <w:pPr>
        <w:pStyle w:val="Detail"/>
        <w:ind w:left="720" w:hanging="720"/>
        <w:rPr>
          <w:rFonts w:asciiTheme="minorHAnsi" w:hAnsiTheme="minorHAnsi"/>
          <w:color w:val="auto"/>
        </w:rPr>
      </w:pPr>
      <w:r>
        <w:rPr>
          <w:color w:val="auto"/>
        </w:rPr>
        <w:tab/>
      </w:r>
      <w:r w:rsidRPr="00DF7319">
        <w:rPr>
          <w:rFonts w:asciiTheme="minorHAnsi" w:hAnsiTheme="minorHAnsi"/>
          <w:color w:val="auto"/>
        </w:rPr>
        <w:t xml:space="preserve">RSSB confirms that it will keep confidential and will not disclose to any third parties </w:t>
      </w:r>
    </w:p>
    <w:p w14:paraId="796E7CF3" w14:textId="76EC50DC" w:rsidR="00B24A32" w:rsidRPr="00DF7319" w:rsidRDefault="00B24A32" w:rsidP="00B24A32">
      <w:pPr>
        <w:pStyle w:val="Detail"/>
        <w:ind w:left="720" w:hanging="720"/>
        <w:rPr>
          <w:color w:val="auto"/>
        </w:rPr>
      </w:pPr>
      <w:r w:rsidRPr="00DF7319">
        <w:rPr>
          <w:rFonts w:asciiTheme="minorHAnsi" w:hAnsiTheme="minorHAnsi"/>
          <w:color w:val="auto"/>
        </w:rPr>
        <w:t>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273B329B" w:rsidR="00DF7319" w:rsidRDefault="00DF7319" w:rsidP="00B24A32">
      <w:pPr>
        <w:pStyle w:val="Detail"/>
        <w:rPr>
          <w:rFonts w:asciiTheme="minorHAnsi" w:hAnsiTheme="minorHAnsi"/>
          <w:color w:val="auto"/>
        </w:rPr>
      </w:pPr>
      <w:r w:rsidRPr="00DF7319">
        <w:rPr>
          <w:rFonts w:asciiTheme="minorHAnsi" w:hAnsiTheme="minorHAnsi"/>
          <w:color w:val="auto"/>
        </w:rPr>
        <w:tab/>
      </w:r>
    </w:p>
    <w:p w14:paraId="25113D8D" w14:textId="277C2C59" w:rsidR="00C24204" w:rsidRDefault="00C24204" w:rsidP="00C24204">
      <w:pPr>
        <w:pStyle w:val="Body"/>
      </w:pPr>
    </w:p>
    <w:p w14:paraId="61BE24E7" w14:textId="4603E6CF" w:rsidR="00C24204" w:rsidRDefault="00C24204" w:rsidP="00C24204">
      <w:pPr>
        <w:pStyle w:val="Body"/>
      </w:pPr>
    </w:p>
    <w:p w14:paraId="1EBA65E3" w14:textId="77777777" w:rsidR="00C24204" w:rsidRPr="00C24204" w:rsidRDefault="00C24204" w:rsidP="00C24204">
      <w:pPr>
        <w:pStyle w:val="Body"/>
      </w:pPr>
      <w:bookmarkStart w:id="2" w:name="_GoBack"/>
      <w:bookmarkEnd w:id="2"/>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1942452C" w14:textId="24E45AEF" w:rsidR="00362D92" w:rsidRDefault="000140D4" w:rsidP="002339FF">
      <w:pPr>
        <w:pStyle w:val="Heading1"/>
        <w:numPr>
          <w:ilvl w:val="0"/>
          <w:numId w:val="0"/>
        </w:numPr>
      </w:pPr>
      <w:r>
        <w:lastRenderedPageBreak/>
        <w:t xml:space="preserve">7.0 TENDER EVALUATION </w:t>
      </w:r>
      <w:r w:rsidRPr="00E52B87">
        <w:t>(</w:t>
      </w:r>
      <w:r>
        <w:t>SELECTION CRITERIA)</w:t>
      </w:r>
    </w:p>
    <w:tbl>
      <w:tblPr>
        <w:tblStyle w:val="TableGrid"/>
        <w:tblpPr w:leftFromText="180" w:rightFromText="180" w:vertAnchor="text" w:horzAnchor="page" w:tblpX="753" w:tblpY="259"/>
        <w:tblW w:w="15871" w:type="dxa"/>
        <w:tblLook w:val="04A0" w:firstRow="1" w:lastRow="0" w:firstColumn="1" w:lastColumn="0" w:noHBand="0" w:noVBand="1"/>
      </w:tblPr>
      <w:tblGrid>
        <w:gridCol w:w="1647"/>
        <w:gridCol w:w="4651"/>
        <w:gridCol w:w="9573"/>
      </w:tblGrid>
      <w:tr w:rsidR="00362D92" w14:paraId="4C4BB829" w14:textId="77777777" w:rsidTr="002339FF">
        <w:tc>
          <w:tcPr>
            <w:tcW w:w="1129" w:type="dxa"/>
          </w:tcPr>
          <w:p w14:paraId="0DC04975" w14:textId="77777777" w:rsidR="00362D92" w:rsidRDefault="00362D92" w:rsidP="00362D92">
            <w:pPr>
              <w:pStyle w:val="Body"/>
            </w:pPr>
            <w:r w:rsidRPr="005F5E3E">
              <w:rPr>
                <w:b/>
                <w:bCs/>
              </w:rPr>
              <w:t>Heading</w:t>
            </w:r>
          </w:p>
        </w:tc>
        <w:tc>
          <w:tcPr>
            <w:tcW w:w="4820" w:type="dxa"/>
          </w:tcPr>
          <w:p w14:paraId="24CED357" w14:textId="77777777" w:rsidR="00362D92" w:rsidRDefault="00362D92" w:rsidP="00362D92">
            <w:pPr>
              <w:pStyle w:val="Body"/>
            </w:pPr>
            <w:r w:rsidRPr="005F5E3E">
              <w:rPr>
                <w:b/>
                <w:bCs/>
              </w:rPr>
              <w:t>Specific question(s)</w:t>
            </w:r>
          </w:p>
        </w:tc>
        <w:tc>
          <w:tcPr>
            <w:tcW w:w="9922" w:type="dxa"/>
          </w:tcPr>
          <w:p w14:paraId="2D8E6F2C" w14:textId="77777777" w:rsidR="00362D92" w:rsidRDefault="00362D92" w:rsidP="00362D92">
            <w:pPr>
              <w:pStyle w:val="Body"/>
            </w:pPr>
            <w:r w:rsidRPr="005F5E3E">
              <w:rPr>
                <w:b/>
                <w:bCs/>
              </w:rPr>
              <w:t>Evaluation Criteria</w:t>
            </w:r>
          </w:p>
        </w:tc>
      </w:tr>
      <w:tr w:rsidR="00362D92" w14:paraId="5212B699" w14:textId="77777777" w:rsidTr="002339FF">
        <w:trPr>
          <w:trHeight w:val="2668"/>
        </w:trPr>
        <w:tc>
          <w:tcPr>
            <w:tcW w:w="1129" w:type="dxa"/>
          </w:tcPr>
          <w:p w14:paraId="0FE4DA2F" w14:textId="77777777" w:rsidR="00362D92" w:rsidRPr="00A9400A" w:rsidRDefault="00362D92" w:rsidP="00362D92">
            <w:pPr>
              <w:pStyle w:val="Body"/>
              <w:rPr>
                <w:rFonts w:ascii="Arial" w:hAnsi="Arial"/>
              </w:rPr>
            </w:pPr>
            <w:r w:rsidRPr="00A9400A">
              <w:rPr>
                <w:rFonts w:ascii="Arial" w:hAnsi="Arial"/>
              </w:rPr>
              <w:t>S1 Experience of the supplier in building capacity with executive level leaders</w:t>
            </w:r>
          </w:p>
        </w:tc>
        <w:tc>
          <w:tcPr>
            <w:tcW w:w="4820" w:type="dxa"/>
          </w:tcPr>
          <w:p w14:paraId="5992F605" w14:textId="77777777" w:rsidR="00362D92" w:rsidRPr="00A9400A" w:rsidRDefault="00362D92" w:rsidP="00362D92">
            <w:pPr>
              <w:pStyle w:val="Body"/>
              <w:rPr>
                <w:rFonts w:ascii="Arial" w:hAnsi="Arial"/>
              </w:rPr>
            </w:pPr>
            <w:r w:rsidRPr="00A9400A">
              <w:rPr>
                <w:rFonts w:ascii="Arial" w:hAnsi="Arial"/>
              </w:rPr>
              <w:t>Please provide a short description of two projects in which you undertook building capacity with executive level leaders over the last two years. Please provide a short explanation on why they provide experience relevant to this project.</w:t>
            </w:r>
          </w:p>
        </w:tc>
        <w:tc>
          <w:tcPr>
            <w:tcW w:w="9922" w:type="dxa"/>
          </w:tcPr>
          <w:p w14:paraId="322F6F3B" w14:textId="3D43E753" w:rsidR="00362D92" w:rsidRPr="002339FF" w:rsidRDefault="00362D92" w:rsidP="00362D92">
            <w:pPr>
              <w:rPr>
                <w:rFonts w:cs="Arial"/>
                <w:b/>
                <w:bCs/>
              </w:rPr>
            </w:pPr>
            <w:r w:rsidRPr="00A9400A">
              <w:rPr>
                <w:rFonts w:cs="Arial"/>
                <w:b/>
                <w:bCs/>
              </w:rPr>
              <w:t>Pass/Fail</w:t>
            </w:r>
          </w:p>
          <w:p w14:paraId="60CB00AD" w14:textId="77777777" w:rsidR="00362D92" w:rsidRPr="00A9400A" w:rsidRDefault="00362D92" w:rsidP="00362D92">
            <w:pPr>
              <w:rPr>
                <w:rFonts w:cs="Arial"/>
              </w:rPr>
            </w:pPr>
            <w:r w:rsidRPr="00A9400A">
              <w:rPr>
                <w:rFonts w:cs="Arial"/>
                <w:b/>
                <w:bCs/>
              </w:rPr>
              <w:t xml:space="preserve">Pass </w:t>
            </w:r>
            <w:r w:rsidRPr="00A9400A">
              <w:rPr>
                <w:rFonts w:cs="Arial"/>
              </w:rPr>
              <w:t>= The tenderer provides two examples of projects they have undertook in the last two years in building capacity with executive level leaders which both are relevant, in terms of experience, to this project.</w:t>
            </w:r>
          </w:p>
          <w:p w14:paraId="66E5C94F" w14:textId="77777777" w:rsidR="00362D92" w:rsidRPr="00A9400A" w:rsidRDefault="00362D92" w:rsidP="00362D92">
            <w:pPr>
              <w:rPr>
                <w:rFonts w:cs="Arial"/>
              </w:rPr>
            </w:pPr>
          </w:p>
          <w:p w14:paraId="1868BB16" w14:textId="77777777" w:rsidR="00362D92" w:rsidRPr="00A9400A" w:rsidRDefault="00362D92" w:rsidP="00362D92">
            <w:pPr>
              <w:rPr>
                <w:rFonts w:cs="Arial"/>
              </w:rPr>
            </w:pPr>
            <w:r w:rsidRPr="00A9400A">
              <w:rPr>
                <w:rFonts w:cs="Arial"/>
                <w:b/>
                <w:bCs/>
              </w:rPr>
              <w:t>Fail</w:t>
            </w:r>
            <w:r w:rsidRPr="00A9400A">
              <w:rPr>
                <w:rFonts w:cs="Arial"/>
              </w:rPr>
              <w:t xml:space="preserve"> = The tenderer has not provided two examples, or less than two examples, of projects they have undertaken in the last two years in building capacity with executive level leaders or the projects provided are not relevant, in terms of experience, to this project.</w:t>
            </w:r>
          </w:p>
          <w:p w14:paraId="75F4F973" w14:textId="77777777" w:rsidR="00362D92" w:rsidRPr="00A9400A" w:rsidRDefault="00362D92" w:rsidP="00362D92">
            <w:pPr>
              <w:pStyle w:val="Body"/>
              <w:rPr>
                <w:rFonts w:ascii="Arial" w:hAnsi="Arial"/>
              </w:rPr>
            </w:pPr>
          </w:p>
        </w:tc>
      </w:tr>
      <w:tr w:rsidR="00362D92" w14:paraId="436381B2" w14:textId="77777777" w:rsidTr="002339FF">
        <w:tc>
          <w:tcPr>
            <w:tcW w:w="1129" w:type="dxa"/>
          </w:tcPr>
          <w:p w14:paraId="32F3F54F" w14:textId="625B3421" w:rsidR="00362D92" w:rsidRPr="00A9400A" w:rsidRDefault="00362D92" w:rsidP="00362D92">
            <w:pPr>
              <w:pStyle w:val="Body"/>
              <w:rPr>
                <w:rFonts w:ascii="Arial" w:hAnsi="Arial"/>
              </w:rPr>
            </w:pPr>
            <w:r w:rsidRPr="00A9400A">
              <w:rPr>
                <w:rFonts w:ascii="Arial" w:hAnsi="Arial"/>
              </w:rPr>
              <w:t>S2 Experience of the organisation in designing and implementing sustainable development leadership programmes in the rail industry</w:t>
            </w:r>
          </w:p>
        </w:tc>
        <w:tc>
          <w:tcPr>
            <w:tcW w:w="4820" w:type="dxa"/>
          </w:tcPr>
          <w:p w14:paraId="5416967D" w14:textId="4EBE6C3B" w:rsidR="00362D92" w:rsidRPr="00A9400A" w:rsidRDefault="00362D92" w:rsidP="00362D92">
            <w:pPr>
              <w:pStyle w:val="Body"/>
              <w:rPr>
                <w:rFonts w:ascii="Arial" w:hAnsi="Arial"/>
              </w:rPr>
            </w:pPr>
            <w:r w:rsidRPr="00A9400A">
              <w:rPr>
                <w:rFonts w:ascii="Arial" w:hAnsi="Arial"/>
              </w:rPr>
              <w:t>Please provide a short description of two projects you have delivered to clients over the last two years demonstrating how you have designed and implemented projects in the rail industry that have supported sustainable development leadership change.</w:t>
            </w:r>
          </w:p>
        </w:tc>
        <w:tc>
          <w:tcPr>
            <w:tcW w:w="9922" w:type="dxa"/>
          </w:tcPr>
          <w:p w14:paraId="342B875C" w14:textId="77777777" w:rsidR="00362D92" w:rsidRPr="00A9400A" w:rsidRDefault="00362D92" w:rsidP="00362D92">
            <w:pPr>
              <w:rPr>
                <w:rFonts w:cs="Arial"/>
                <w:b/>
                <w:bCs/>
              </w:rPr>
            </w:pPr>
            <w:r w:rsidRPr="00A9400A">
              <w:rPr>
                <w:rFonts w:cs="Arial"/>
                <w:b/>
                <w:bCs/>
              </w:rPr>
              <w:t>Pass/Fail</w:t>
            </w:r>
          </w:p>
          <w:p w14:paraId="36FF7258" w14:textId="24C0D92E" w:rsidR="00362D92" w:rsidRPr="00A9400A" w:rsidRDefault="00362D92" w:rsidP="00362D92">
            <w:pPr>
              <w:rPr>
                <w:rFonts w:cs="Arial"/>
              </w:rPr>
            </w:pPr>
            <w:r w:rsidRPr="00A9400A">
              <w:rPr>
                <w:rFonts w:cs="Arial"/>
                <w:b/>
                <w:bCs/>
              </w:rPr>
              <w:t>Pass</w:t>
            </w:r>
            <w:r w:rsidRPr="00A9400A">
              <w:rPr>
                <w:rFonts w:cs="Arial"/>
              </w:rPr>
              <w:t xml:space="preserve"> = The tenderer provides two or more short descriptions of two projects they have delivered to clients over the last two years demonstrating, to a reasonably degree of quality, how they have designed and implemented projects in the rail industry that have supported sustainable development leadership change.</w:t>
            </w:r>
          </w:p>
          <w:p w14:paraId="01981B7F" w14:textId="164B7786" w:rsidR="00362D92" w:rsidRPr="00A9400A" w:rsidRDefault="00362D92" w:rsidP="00A9400A">
            <w:pPr>
              <w:rPr>
                <w:rFonts w:cs="Arial"/>
              </w:rPr>
            </w:pPr>
            <w:r w:rsidRPr="00A9400A">
              <w:rPr>
                <w:rFonts w:cs="Arial"/>
                <w:b/>
                <w:bCs/>
              </w:rPr>
              <w:t>Fail</w:t>
            </w:r>
            <w:r w:rsidRPr="00A9400A">
              <w:rPr>
                <w:rFonts w:cs="Arial"/>
              </w:rPr>
              <w:t xml:space="preserve"> = The tenderer has not provided two or more short descriptions of two projects they have delivered to clients over the last two years or the tenderer’s examples/descriptions are not of a reasonable degree of quality or the tenderer has not demonstrated how they have designed and implemented projects in the rail industry that have supported sustainable development leadership change addressing within said examples/projects/descriptions.</w:t>
            </w:r>
          </w:p>
        </w:tc>
      </w:tr>
      <w:tr w:rsidR="00B143E8" w14:paraId="6FC94B82" w14:textId="77777777" w:rsidTr="002339FF">
        <w:tc>
          <w:tcPr>
            <w:tcW w:w="1129" w:type="dxa"/>
          </w:tcPr>
          <w:p w14:paraId="23F3EA2D" w14:textId="1BD9D980" w:rsidR="00B143E8" w:rsidRPr="00A9400A" w:rsidRDefault="00B143E8" w:rsidP="00362D92">
            <w:pPr>
              <w:pStyle w:val="Body"/>
              <w:rPr>
                <w:rFonts w:ascii="Arial" w:hAnsi="Arial"/>
              </w:rPr>
            </w:pPr>
            <w:r>
              <w:rPr>
                <w:rFonts w:ascii="Arial" w:hAnsi="Arial"/>
              </w:rPr>
              <w:t xml:space="preserve">S3 </w:t>
            </w:r>
            <w:r w:rsidR="003C1706">
              <w:rPr>
                <w:rFonts w:ascii="Arial" w:hAnsi="Arial"/>
              </w:rPr>
              <w:t>Understanding Required Costs</w:t>
            </w:r>
          </w:p>
        </w:tc>
        <w:tc>
          <w:tcPr>
            <w:tcW w:w="4820" w:type="dxa"/>
          </w:tcPr>
          <w:p w14:paraId="54B04856" w14:textId="77777777" w:rsidR="00B143E8" w:rsidRDefault="002339FF" w:rsidP="00362D92">
            <w:pPr>
              <w:pStyle w:val="Body"/>
              <w:rPr>
                <w:rFonts w:ascii="Arial" w:hAnsi="Arial"/>
              </w:rPr>
            </w:pPr>
            <w:r>
              <w:rPr>
                <w:rFonts w:ascii="Arial" w:hAnsi="Arial"/>
              </w:rPr>
              <w:t xml:space="preserve">Please provide a statement confirming you understand what the required costs are for this procurement exercise. </w:t>
            </w:r>
          </w:p>
          <w:p w14:paraId="5F6B7745" w14:textId="0E1ED697" w:rsidR="002339FF" w:rsidRPr="00A9400A" w:rsidRDefault="002339FF" w:rsidP="00362D92">
            <w:pPr>
              <w:pStyle w:val="Body"/>
              <w:rPr>
                <w:rFonts w:ascii="Arial" w:hAnsi="Arial"/>
              </w:rPr>
            </w:pPr>
          </w:p>
        </w:tc>
        <w:tc>
          <w:tcPr>
            <w:tcW w:w="9922" w:type="dxa"/>
          </w:tcPr>
          <w:p w14:paraId="1316B6E9" w14:textId="61578C74" w:rsidR="00B143E8" w:rsidRDefault="002339FF" w:rsidP="00362D92">
            <w:pPr>
              <w:rPr>
                <w:rFonts w:cs="Arial"/>
                <w:b/>
                <w:bCs/>
              </w:rPr>
            </w:pPr>
            <w:r>
              <w:rPr>
                <w:rFonts w:cs="Arial"/>
                <w:b/>
                <w:bCs/>
              </w:rPr>
              <w:t>Pass/Fail</w:t>
            </w:r>
          </w:p>
          <w:p w14:paraId="76B42E15" w14:textId="26FB7E04" w:rsidR="002339FF" w:rsidRDefault="002339FF" w:rsidP="00362D92">
            <w:pPr>
              <w:rPr>
                <w:rFonts w:cs="Arial"/>
                <w:b/>
                <w:bCs/>
              </w:rPr>
            </w:pPr>
            <w:r>
              <w:rPr>
                <w:rFonts w:cs="Arial"/>
                <w:b/>
                <w:bCs/>
              </w:rPr>
              <w:t xml:space="preserve">Note: </w:t>
            </w:r>
            <w:r w:rsidRPr="002339FF">
              <w:rPr>
                <w:rFonts w:cs="Arial"/>
                <w:bCs/>
              </w:rPr>
              <w:t>Tenderers are to provide their pricing/costs for Package 1</w:t>
            </w:r>
            <w:r>
              <w:rPr>
                <w:rFonts w:cs="Arial"/>
                <w:bCs/>
              </w:rPr>
              <w:t xml:space="preserve"> and </w:t>
            </w:r>
            <w:r w:rsidRPr="002339FF">
              <w:rPr>
                <w:rFonts w:cs="Arial"/>
                <w:bCs/>
              </w:rPr>
              <w:t>Package 2. The pricing/costs for Package 3 are to be “Indicative” costs.</w:t>
            </w:r>
          </w:p>
          <w:p w14:paraId="19D8A02D" w14:textId="71F0608D" w:rsidR="002339FF" w:rsidRPr="002339FF" w:rsidRDefault="002339FF" w:rsidP="00362D92">
            <w:pPr>
              <w:rPr>
                <w:rFonts w:cs="Arial"/>
                <w:bCs/>
              </w:rPr>
            </w:pPr>
            <w:r w:rsidRPr="002339FF">
              <w:rPr>
                <w:rFonts w:cs="Arial"/>
                <w:bCs/>
              </w:rPr>
              <w:lastRenderedPageBreak/>
              <w:t xml:space="preserve">Tenderers are advised that only the pricing/costs submitted by tenders for Package 1 and Package 2 will form the pricing/cost evaluation.  </w:t>
            </w:r>
            <w:r>
              <w:rPr>
                <w:rFonts w:cs="Arial"/>
                <w:bCs/>
              </w:rPr>
              <w:t>Tenderers are still to provide costs/pricing for Package 3 however these are to be “</w:t>
            </w:r>
            <w:r w:rsidR="00361FBD">
              <w:rPr>
                <w:rFonts w:cs="Arial"/>
                <w:bCs/>
              </w:rPr>
              <w:t>Indicative</w:t>
            </w:r>
            <w:r>
              <w:rPr>
                <w:rFonts w:cs="Arial"/>
                <w:bCs/>
              </w:rPr>
              <w:t>” costs and the costs/pricing for Package 3 will not form any part of the pricing/cost evaluation.</w:t>
            </w:r>
          </w:p>
          <w:p w14:paraId="31494172" w14:textId="77777777" w:rsidR="002339FF" w:rsidRDefault="002339FF" w:rsidP="00362D92">
            <w:pPr>
              <w:rPr>
                <w:rFonts w:cs="Arial"/>
                <w:bCs/>
              </w:rPr>
            </w:pPr>
            <w:r w:rsidRPr="00361FBD">
              <w:rPr>
                <w:rFonts w:cs="Arial"/>
                <w:b/>
                <w:bCs/>
              </w:rPr>
              <w:t>Pass =</w:t>
            </w:r>
            <w:r>
              <w:rPr>
                <w:rFonts w:cs="Arial"/>
                <w:b/>
                <w:bCs/>
              </w:rPr>
              <w:t xml:space="preserve"> </w:t>
            </w:r>
            <w:r w:rsidRPr="002339FF">
              <w:rPr>
                <w:rFonts w:cs="Arial"/>
                <w:bCs/>
              </w:rPr>
              <w:t xml:space="preserve">The tenderer provides a statement confirming that the tenderer understands that the </w:t>
            </w:r>
            <w:r>
              <w:rPr>
                <w:rFonts w:cs="Arial"/>
                <w:bCs/>
              </w:rPr>
              <w:t>costs that will form the pricing/cost evaluation will only be the costs for Package 1 and Package 2.</w:t>
            </w:r>
            <w:r w:rsidRPr="002339FF">
              <w:rPr>
                <w:rFonts w:cs="Arial"/>
                <w:bCs/>
              </w:rPr>
              <w:t xml:space="preserve"> </w:t>
            </w:r>
          </w:p>
          <w:p w14:paraId="38CB7160" w14:textId="5B071C29" w:rsidR="00361FBD" w:rsidRPr="002339FF" w:rsidRDefault="00361FBD" w:rsidP="00361FBD">
            <w:pPr>
              <w:rPr>
                <w:rFonts w:cs="Arial"/>
                <w:bCs/>
              </w:rPr>
            </w:pPr>
            <w:r w:rsidRPr="00361FBD">
              <w:rPr>
                <w:rFonts w:cs="Arial"/>
                <w:b/>
                <w:bCs/>
              </w:rPr>
              <w:t>Fail =</w:t>
            </w:r>
            <w:r>
              <w:rPr>
                <w:rFonts w:cs="Arial"/>
                <w:bCs/>
              </w:rPr>
              <w:t xml:space="preserve"> The tenderer does not provide a statement c</w:t>
            </w:r>
            <w:r w:rsidRPr="002339FF">
              <w:rPr>
                <w:rFonts w:cs="Arial"/>
                <w:bCs/>
              </w:rPr>
              <w:t xml:space="preserve">onfirming that the tenderer understands that the </w:t>
            </w:r>
            <w:r>
              <w:rPr>
                <w:rFonts w:cs="Arial"/>
                <w:bCs/>
              </w:rPr>
              <w:t>costs that will form the pricing/cost evaluation will only be the costs for Package 1 and Package 2.</w:t>
            </w:r>
            <w:r w:rsidRPr="002339FF">
              <w:rPr>
                <w:rFonts w:cs="Arial"/>
                <w:bCs/>
              </w:rPr>
              <w:t xml:space="preserve"> </w:t>
            </w:r>
          </w:p>
        </w:tc>
      </w:tr>
    </w:tbl>
    <w:p w14:paraId="5642E3E7" w14:textId="35044C91" w:rsidR="00362D92" w:rsidRDefault="00362D92" w:rsidP="00362D92">
      <w:pPr>
        <w:pStyle w:val="Body"/>
      </w:pPr>
    </w:p>
    <w:p w14:paraId="3DC07836" w14:textId="77777777" w:rsidR="00362D92" w:rsidRDefault="00362D92" w:rsidP="009437FF">
      <w:pPr>
        <w:pStyle w:val="Body"/>
        <w:rPr>
          <w:rFonts w:asciiTheme="minorHAnsi" w:hAnsiTheme="minorHAnsi"/>
        </w:rPr>
        <w:sectPr w:rsidR="00362D92" w:rsidSect="00FD1FB6">
          <w:pgSz w:w="16838" w:h="11906" w:orient="landscape"/>
          <w:pgMar w:top="426"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539A036"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857AA1">
        <w:rPr>
          <w:rFonts w:asciiTheme="minorHAnsi" w:hAnsiTheme="minorHAnsi"/>
          <w:bCs/>
          <w:kern w:val="28"/>
          <w:lang w:eastAsia="en-GB"/>
        </w:rPr>
        <w:t xml:space="preserve">Quality </w:t>
      </w:r>
      <w:r w:rsidR="00C0296A">
        <w:rPr>
          <w:rFonts w:asciiTheme="minorHAnsi" w:hAnsiTheme="minorHAnsi"/>
          <w:bCs/>
          <w:kern w:val="28"/>
          <w:lang w:eastAsia="en-GB"/>
        </w:rPr>
        <w:t>75</w:t>
      </w:r>
      <w:r w:rsidR="00857AA1">
        <w:rPr>
          <w:rFonts w:asciiTheme="minorHAnsi" w:hAnsiTheme="minorHAnsi"/>
          <w:bCs/>
          <w:kern w:val="28"/>
          <w:lang w:eastAsia="en-GB"/>
        </w:rPr>
        <w:t>%: Price 2</w:t>
      </w:r>
      <w:r w:rsidR="00C0296A">
        <w:rPr>
          <w:rFonts w:asciiTheme="minorHAnsi" w:hAnsiTheme="minorHAnsi"/>
          <w:bCs/>
          <w:kern w:val="28"/>
          <w:lang w:eastAsia="en-GB"/>
        </w:rPr>
        <w:t>5</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846"/>
        <w:gridCol w:w="8080"/>
      </w:tblGrid>
      <w:tr w:rsidR="00015775" w:rsidRPr="00E52B87" w14:paraId="2EDC8AE7" w14:textId="77777777" w:rsidTr="001D2B44">
        <w:trPr>
          <w:trHeight w:val="70"/>
        </w:trPr>
        <w:tc>
          <w:tcPr>
            <w:tcW w:w="846"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80"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1D2B44">
        <w:trPr>
          <w:trHeight w:val="862"/>
        </w:trPr>
        <w:tc>
          <w:tcPr>
            <w:tcW w:w="846"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80" w:type="dxa"/>
          </w:tcPr>
          <w:p w14:paraId="3C57C0FF" w14:textId="0D8DA432" w:rsidR="00015775" w:rsidRPr="00E52B87" w:rsidRDefault="00015775" w:rsidP="001D2B44">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0D93DB1E"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1D2B44">
            <w:pPr>
              <w:numPr>
                <w:ilvl w:val="0"/>
                <w:numId w:val="36"/>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1D2B44">
        <w:trPr>
          <w:trHeight w:val="861"/>
        </w:trPr>
        <w:tc>
          <w:tcPr>
            <w:tcW w:w="846"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80" w:type="dxa"/>
          </w:tcPr>
          <w:p w14:paraId="55EF2C7C" w14:textId="77777777" w:rsidR="00015775" w:rsidRPr="001D2B44" w:rsidRDefault="00015775" w:rsidP="001D2B44">
            <w:pPr>
              <w:tabs>
                <w:tab w:val="left" w:pos="709"/>
              </w:tabs>
              <w:spacing w:before="60" w:after="60"/>
              <w:jc w:val="both"/>
              <w:rPr>
                <w:rFonts w:asciiTheme="minorHAnsi" w:hAnsiTheme="minorHAnsi"/>
              </w:rPr>
            </w:pPr>
            <w:r w:rsidRPr="001D2B44">
              <w:rPr>
                <w:rFonts w:asciiTheme="minorHAnsi" w:hAnsiTheme="minorHAnsi"/>
              </w:rPr>
              <w:t>A good Tender Response that (where applicable):</w:t>
            </w: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1D2B44">
        <w:trPr>
          <w:trHeight w:val="862"/>
        </w:trPr>
        <w:tc>
          <w:tcPr>
            <w:tcW w:w="846"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80" w:type="dxa"/>
          </w:tcPr>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57BCE68B"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1D2B44">
            <w:pPr>
              <w:numPr>
                <w:ilvl w:val="0"/>
                <w:numId w:val="28"/>
              </w:numPr>
              <w:tabs>
                <w:tab w:val="clear" w:pos="720"/>
                <w:tab w:val="left" w:pos="709"/>
                <w:tab w:val="num" w:pos="1440"/>
              </w:tabs>
              <w:spacing w:before="60" w:after="60" w:line="240" w:lineRule="auto"/>
              <w:ind w:hanging="403"/>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1D2B44">
        <w:trPr>
          <w:trHeight w:val="862"/>
        </w:trPr>
        <w:tc>
          <w:tcPr>
            <w:tcW w:w="846"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80" w:type="dxa"/>
          </w:tcPr>
          <w:p w14:paraId="33229E9D" w14:textId="23EC2C01"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7511AA31"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lastRenderedPageBreak/>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1D2B44">
            <w:pPr>
              <w:numPr>
                <w:ilvl w:val="0"/>
                <w:numId w:val="29"/>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1D2B44">
        <w:trPr>
          <w:trHeight w:val="862"/>
        </w:trPr>
        <w:tc>
          <w:tcPr>
            <w:tcW w:w="846"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1</w:t>
            </w:r>
          </w:p>
        </w:tc>
        <w:tc>
          <w:tcPr>
            <w:tcW w:w="8080" w:type="dxa"/>
          </w:tcPr>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3F874A50"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1D2B44">
            <w:pPr>
              <w:numPr>
                <w:ilvl w:val="0"/>
                <w:numId w:val="30"/>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1D2B44">
        <w:trPr>
          <w:trHeight w:val="862"/>
        </w:trPr>
        <w:tc>
          <w:tcPr>
            <w:tcW w:w="846"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80" w:type="dxa"/>
          </w:tcPr>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7D65320" w14:textId="77777777" w:rsidR="00015775" w:rsidRPr="00E52B87" w:rsidRDefault="00015775" w:rsidP="001D2B44">
            <w:pPr>
              <w:numPr>
                <w:ilvl w:val="0"/>
                <w:numId w:val="31"/>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1D2B44">
            <w:pPr>
              <w:numPr>
                <w:ilvl w:val="0"/>
                <w:numId w:val="31"/>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1D2B44">
            <w:pPr>
              <w:numPr>
                <w:ilvl w:val="0"/>
                <w:numId w:val="31"/>
              </w:numPr>
              <w:tabs>
                <w:tab w:val="clear" w:pos="720"/>
                <w:tab w:val="left" w:pos="709"/>
                <w:tab w:val="num" w:pos="1440"/>
              </w:tabs>
              <w:spacing w:before="60" w:after="60" w:line="240" w:lineRule="auto"/>
              <w:ind w:hanging="261"/>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19036008" w14:textId="5C9C9E5C" w:rsidR="00E62A97" w:rsidRDefault="00936D92" w:rsidP="008B659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pPr w:leftFromText="180" w:rightFromText="180" w:vertAnchor="text" w:horzAnchor="margin" w:tblpXSpec="center" w:tblpY="1805"/>
        <w:tblW w:w="5822" w:type="pct"/>
        <w:tblCellMar>
          <w:left w:w="0" w:type="dxa"/>
          <w:right w:w="0" w:type="dxa"/>
        </w:tblCellMar>
        <w:tblLook w:val="04A0" w:firstRow="1" w:lastRow="0" w:firstColumn="1" w:lastColumn="0" w:noHBand="0" w:noVBand="1"/>
      </w:tblPr>
      <w:tblGrid>
        <w:gridCol w:w="1638"/>
        <w:gridCol w:w="3799"/>
        <w:gridCol w:w="3905"/>
        <w:gridCol w:w="919"/>
      </w:tblGrid>
      <w:tr w:rsidR="008B6595" w:rsidRPr="001D2B44" w14:paraId="31CE0D5B" w14:textId="77777777" w:rsidTr="001D2B44">
        <w:trPr>
          <w:trHeight w:val="724"/>
        </w:trPr>
        <w:tc>
          <w:tcPr>
            <w:tcW w:w="79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B2D8C9" w14:textId="77777777" w:rsidR="008B6595" w:rsidRPr="001D2B44" w:rsidRDefault="008B6595" w:rsidP="008B6595">
            <w:pPr>
              <w:spacing w:after="120" w:line="300" w:lineRule="exact"/>
              <w:rPr>
                <w:rFonts w:asciiTheme="minorHAnsi" w:hAnsiTheme="minorHAnsi" w:cs="Arial"/>
                <w:b/>
                <w:bCs/>
                <w:lang w:eastAsia="en-GB"/>
              </w:rPr>
            </w:pPr>
            <w:r w:rsidRPr="001D2B44">
              <w:rPr>
                <w:rFonts w:asciiTheme="minorHAnsi" w:hAnsiTheme="minorHAnsi" w:cs="Arial"/>
                <w:b/>
                <w:bCs/>
                <w:lang w:eastAsia="en-GB"/>
              </w:rPr>
              <w:t>Heading</w:t>
            </w:r>
          </w:p>
        </w:tc>
        <w:tc>
          <w:tcPr>
            <w:tcW w:w="1851"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8334C72" w14:textId="77777777" w:rsidR="008B6595" w:rsidRPr="001D2B44" w:rsidRDefault="008B6595" w:rsidP="008B6595">
            <w:pPr>
              <w:spacing w:after="120" w:line="300" w:lineRule="exact"/>
              <w:rPr>
                <w:rFonts w:asciiTheme="minorHAnsi" w:hAnsiTheme="minorHAnsi" w:cs="Arial"/>
                <w:b/>
                <w:bCs/>
                <w:lang w:eastAsia="en-GB"/>
              </w:rPr>
            </w:pPr>
            <w:r w:rsidRPr="001D2B44">
              <w:rPr>
                <w:rFonts w:asciiTheme="minorHAnsi" w:hAnsiTheme="minorHAnsi" w:cs="Arial"/>
                <w:b/>
                <w:bCs/>
                <w:lang w:eastAsia="en-GB"/>
              </w:rPr>
              <w:t>Specific question(s)</w:t>
            </w:r>
          </w:p>
        </w:tc>
        <w:tc>
          <w:tcPr>
            <w:tcW w:w="1903"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3087873" w14:textId="77777777" w:rsidR="008B6595" w:rsidRPr="001D2B44" w:rsidRDefault="008B6595" w:rsidP="008B6595">
            <w:pPr>
              <w:spacing w:after="120" w:line="300" w:lineRule="exact"/>
              <w:rPr>
                <w:rFonts w:asciiTheme="minorHAnsi" w:hAnsiTheme="minorHAnsi" w:cs="Arial"/>
                <w:b/>
                <w:bCs/>
                <w:lang w:eastAsia="en-GB"/>
              </w:rPr>
            </w:pPr>
            <w:r w:rsidRPr="001D2B44">
              <w:rPr>
                <w:rFonts w:asciiTheme="minorHAnsi" w:hAnsiTheme="minorHAnsi" w:cs="Arial"/>
                <w:b/>
                <w:bCs/>
                <w:lang w:eastAsia="en-GB"/>
              </w:rPr>
              <w:t>Evaluation Criteria</w:t>
            </w:r>
          </w:p>
        </w:tc>
        <w:tc>
          <w:tcPr>
            <w:tcW w:w="449"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7018EC0" w14:textId="77777777" w:rsidR="008B6595" w:rsidRPr="001D2B44" w:rsidRDefault="008B6595" w:rsidP="008B6595">
            <w:pPr>
              <w:spacing w:after="120" w:line="300" w:lineRule="exact"/>
              <w:rPr>
                <w:rFonts w:asciiTheme="minorHAnsi" w:hAnsiTheme="minorHAnsi" w:cs="Arial"/>
                <w:b/>
                <w:bCs/>
                <w:lang w:eastAsia="en-GB"/>
              </w:rPr>
            </w:pPr>
            <w:r w:rsidRPr="001D2B44">
              <w:rPr>
                <w:rFonts w:asciiTheme="minorHAnsi" w:hAnsiTheme="minorHAnsi" w:cs="Arial"/>
                <w:b/>
                <w:bCs/>
                <w:lang w:eastAsia="en-GB"/>
              </w:rPr>
              <w:t xml:space="preserve">Weight </w:t>
            </w:r>
          </w:p>
        </w:tc>
      </w:tr>
      <w:tr w:rsidR="008B6595" w:rsidRPr="001D2B44" w14:paraId="0A1CA71F"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8E318FA" w14:textId="17698A66"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A1. Method Statement -ability to meet deliverables</w:t>
            </w:r>
          </w:p>
        </w:tc>
        <w:tc>
          <w:tcPr>
            <w:tcW w:w="1851" w:type="pct"/>
            <w:tcBorders>
              <w:top w:val="nil"/>
              <w:left w:val="nil"/>
              <w:bottom w:val="single" w:sz="8" w:space="0" w:color="808080"/>
              <w:right w:val="single" w:sz="8" w:space="0" w:color="808080"/>
            </w:tcBorders>
            <w:tcMar>
              <w:top w:w="0" w:type="dxa"/>
              <w:left w:w="108" w:type="dxa"/>
              <w:bottom w:w="0" w:type="dxa"/>
              <w:right w:w="108" w:type="dxa"/>
            </w:tcMar>
            <w:hideMark/>
          </w:tcPr>
          <w:p w14:paraId="4B41FC25"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Tenderers should provide a method statement detailing how it is proposed to fulfil RSSB requirements as described in the specification (‘work package objectives’, ‘scope’, and ‘deliverables’).</w:t>
            </w:r>
          </w:p>
          <w:p w14:paraId="3D7302AA"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In particular they should explain how they would meet the critical success factors for this piece of research.</w:t>
            </w:r>
          </w:p>
        </w:tc>
        <w:tc>
          <w:tcPr>
            <w:tcW w:w="1903" w:type="pct"/>
            <w:tcBorders>
              <w:top w:val="nil"/>
              <w:left w:val="nil"/>
              <w:bottom w:val="single" w:sz="8" w:space="0" w:color="808080"/>
              <w:right w:val="single" w:sz="8" w:space="0" w:color="808080"/>
            </w:tcBorders>
            <w:tcMar>
              <w:top w:w="0" w:type="dxa"/>
              <w:left w:w="108" w:type="dxa"/>
              <w:bottom w:w="0" w:type="dxa"/>
              <w:right w:w="108" w:type="dxa"/>
            </w:tcMar>
            <w:hideMark/>
          </w:tcPr>
          <w:p w14:paraId="003A0AD4"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The tenderer’s response (in no more than five pages):</w:t>
            </w:r>
          </w:p>
          <w:p w14:paraId="4DBE1D0A" w14:textId="77777777" w:rsidR="008B6595" w:rsidRPr="001D2B44" w:rsidRDefault="008B6595" w:rsidP="00F0516F">
            <w:pPr>
              <w:pStyle w:val="ListParagraph"/>
              <w:numPr>
                <w:ilvl w:val="0"/>
                <w:numId w:val="45"/>
              </w:numPr>
              <w:spacing w:after="120" w:line="300" w:lineRule="exact"/>
              <w:ind w:left="720"/>
              <w:rPr>
                <w:rFonts w:asciiTheme="minorHAnsi" w:hAnsiTheme="minorHAnsi"/>
                <w:sz w:val="22"/>
                <w:szCs w:val="22"/>
              </w:rPr>
            </w:pPr>
            <w:r w:rsidRPr="001D2B44">
              <w:rPr>
                <w:rFonts w:asciiTheme="minorHAnsi" w:hAnsiTheme="minorHAnsi"/>
                <w:sz w:val="22"/>
                <w:szCs w:val="22"/>
              </w:rPr>
              <w:t>Explains how the tenderer will apply their expertise to meet the specification, including how the study would be conducted;</w:t>
            </w:r>
          </w:p>
          <w:p w14:paraId="50141D86" w14:textId="77777777" w:rsidR="00B143E8" w:rsidRDefault="008B6595" w:rsidP="00F0516F">
            <w:pPr>
              <w:pStyle w:val="ListParagraph"/>
              <w:numPr>
                <w:ilvl w:val="0"/>
                <w:numId w:val="45"/>
              </w:numPr>
              <w:spacing w:after="120" w:line="300" w:lineRule="exact"/>
              <w:ind w:left="720"/>
              <w:rPr>
                <w:rFonts w:asciiTheme="minorHAnsi" w:hAnsiTheme="minorHAnsi"/>
                <w:sz w:val="22"/>
                <w:szCs w:val="22"/>
              </w:rPr>
            </w:pPr>
            <w:r w:rsidRPr="001D2B44">
              <w:rPr>
                <w:rFonts w:asciiTheme="minorHAnsi" w:hAnsiTheme="minorHAnsi"/>
                <w:sz w:val="22"/>
                <w:szCs w:val="22"/>
              </w:rPr>
              <w:t>Demonstrates their understanding of the objectives</w:t>
            </w:r>
            <w:r w:rsidR="00B143E8">
              <w:rPr>
                <w:rFonts w:asciiTheme="minorHAnsi" w:hAnsiTheme="minorHAnsi"/>
                <w:sz w:val="22"/>
                <w:szCs w:val="22"/>
              </w:rPr>
              <w:t>.</w:t>
            </w:r>
          </w:p>
          <w:p w14:paraId="116CE10E" w14:textId="3A4238C9" w:rsidR="008B6595" w:rsidRDefault="00B143E8" w:rsidP="00F0516F">
            <w:pPr>
              <w:pStyle w:val="ListParagraph"/>
              <w:numPr>
                <w:ilvl w:val="0"/>
                <w:numId w:val="45"/>
              </w:numPr>
              <w:spacing w:after="120" w:line="300" w:lineRule="exact"/>
              <w:ind w:left="720"/>
              <w:rPr>
                <w:rFonts w:asciiTheme="minorHAnsi" w:hAnsiTheme="minorHAnsi"/>
                <w:sz w:val="22"/>
                <w:szCs w:val="22"/>
              </w:rPr>
            </w:pPr>
            <w:r>
              <w:rPr>
                <w:rFonts w:asciiTheme="minorHAnsi" w:hAnsiTheme="minorHAnsi"/>
                <w:sz w:val="22"/>
                <w:szCs w:val="22"/>
              </w:rPr>
              <w:t>P</w:t>
            </w:r>
            <w:r w:rsidR="008B6595" w:rsidRPr="001D2B44">
              <w:rPr>
                <w:rFonts w:asciiTheme="minorHAnsi" w:hAnsiTheme="minorHAnsi"/>
                <w:sz w:val="22"/>
                <w:szCs w:val="22"/>
              </w:rPr>
              <w:t>rovides a coherent and systematic approach to meet these objectives.</w:t>
            </w:r>
          </w:p>
          <w:p w14:paraId="19027E7A" w14:textId="77777777" w:rsidR="008B6595" w:rsidRPr="00B143E8" w:rsidRDefault="008B6595" w:rsidP="00B143E8">
            <w:pPr>
              <w:pStyle w:val="ListParagraph"/>
              <w:numPr>
                <w:ilvl w:val="0"/>
                <w:numId w:val="45"/>
              </w:numPr>
              <w:spacing w:after="120" w:line="300" w:lineRule="exact"/>
              <w:ind w:left="720"/>
              <w:rPr>
                <w:rFonts w:asciiTheme="minorHAnsi" w:hAnsiTheme="minorHAnsi"/>
                <w:sz w:val="22"/>
                <w:szCs w:val="22"/>
              </w:rPr>
            </w:pPr>
            <w:r w:rsidRPr="00B143E8">
              <w:rPr>
                <w:rFonts w:asciiTheme="minorHAnsi" w:hAnsiTheme="minorHAnsi"/>
              </w:rPr>
              <w:t>Has identified suitable ways to address the project’s critical success factors;</w:t>
            </w:r>
          </w:p>
        </w:tc>
        <w:tc>
          <w:tcPr>
            <w:tcW w:w="449" w:type="pct"/>
            <w:tcBorders>
              <w:top w:val="nil"/>
              <w:left w:val="nil"/>
              <w:bottom w:val="single" w:sz="8" w:space="0" w:color="808080"/>
              <w:right w:val="single" w:sz="8" w:space="0" w:color="808080"/>
            </w:tcBorders>
            <w:tcMar>
              <w:top w:w="0" w:type="dxa"/>
              <w:left w:w="108" w:type="dxa"/>
              <w:bottom w:w="0" w:type="dxa"/>
              <w:right w:w="108" w:type="dxa"/>
            </w:tcMar>
            <w:hideMark/>
          </w:tcPr>
          <w:p w14:paraId="0FBABE21" w14:textId="7167DAE8"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30%</w:t>
            </w:r>
          </w:p>
        </w:tc>
      </w:tr>
      <w:tr w:rsidR="008B6595" w:rsidRPr="001D2B44" w14:paraId="187715C3"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8440D68" w14:textId="3942F2C9"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A2. Project management: resource, quality, time</w:t>
            </w:r>
          </w:p>
        </w:tc>
        <w:tc>
          <w:tcPr>
            <w:tcW w:w="1851" w:type="pct"/>
            <w:tcBorders>
              <w:top w:val="nil"/>
              <w:left w:val="nil"/>
              <w:bottom w:val="single" w:sz="8" w:space="0" w:color="808080"/>
              <w:right w:val="single" w:sz="8" w:space="0" w:color="808080"/>
            </w:tcBorders>
            <w:tcMar>
              <w:top w:w="0" w:type="dxa"/>
              <w:left w:w="108" w:type="dxa"/>
              <w:bottom w:w="0" w:type="dxa"/>
              <w:right w:w="108" w:type="dxa"/>
            </w:tcMar>
          </w:tcPr>
          <w:p w14:paraId="35C30AA6" w14:textId="77777777" w:rsidR="008B6595" w:rsidRPr="001D2B44" w:rsidRDefault="008B6595" w:rsidP="008B6595">
            <w:pPr>
              <w:spacing w:after="40" w:line="280" w:lineRule="exact"/>
              <w:rPr>
                <w:rFonts w:asciiTheme="minorHAnsi" w:hAnsiTheme="minorHAnsi" w:cs="Arial"/>
                <w:lang w:eastAsia="en-GB"/>
              </w:rPr>
            </w:pPr>
            <w:r w:rsidRPr="001D2B44">
              <w:rPr>
                <w:rFonts w:asciiTheme="minorHAnsi" w:hAnsiTheme="minorHAnsi" w:cs="Arial"/>
                <w:lang w:eastAsia="en-GB"/>
              </w:rPr>
              <w:t>Tenderers should outline (in no more than ten pages) the processes and resources it proposes to use in order to fulfil RSSB requirements.</w:t>
            </w:r>
          </w:p>
          <w:p w14:paraId="167C612B"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Tenderers should:</w:t>
            </w:r>
          </w:p>
          <w:p w14:paraId="3CA86073" w14:textId="77777777" w:rsidR="008B6595" w:rsidRPr="001D2B44" w:rsidRDefault="008B6595" w:rsidP="00F0516F">
            <w:pPr>
              <w:numPr>
                <w:ilvl w:val="0"/>
                <w:numId w:val="46"/>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Clearly identify each team member’s role;</w:t>
            </w:r>
          </w:p>
          <w:p w14:paraId="2288ED9A" w14:textId="77777777" w:rsidR="008B6595" w:rsidRPr="001D2B44" w:rsidRDefault="008B6595" w:rsidP="00F0516F">
            <w:pPr>
              <w:numPr>
                <w:ilvl w:val="0"/>
                <w:numId w:val="46"/>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Provide adequate allocation of appropriate resources against deliverables;</w:t>
            </w:r>
          </w:p>
          <w:p w14:paraId="7A0FEDE8" w14:textId="77777777" w:rsidR="008B6595" w:rsidRPr="001D2B44" w:rsidRDefault="008B6595" w:rsidP="00F0516F">
            <w:pPr>
              <w:numPr>
                <w:ilvl w:val="0"/>
                <w:numId w:val="46"/>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Demonstrate how they would work with RSSB and communicate and engage with relevant industry stakeholders to ensure that the quality and content of the deliverables are fit for purpose;</w:t>
            </w:r>
          </w:p>
          <w:p w14:paraId="5026C9A0" w14:textId="77777777" w:rsidR="008B6595" w:rsidRPr="001D2B44" w:rsidRDefault="008B6595" w:rsidP="00F0516F">
            <w:pPr>
              <w:numPr>
                <w:ilvl w:val="0"/>
                <w:numId w:val="46"/>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Explain how they would meet the critical success factors for this piece of research;</w:t>
            </w:r>
          </w:p>
          <w:p w14:paraId="7B11F223" w14:textId="77777777" w:rsidR="008B6595" w:rsidRPr="001D2B44" w:rsidRDefault="008B6595" w:rsidP="008B6595">
            <w:pPr>
              <w:spacing w:after="120" w:line="300" w:lineRule="exact"/>
              <w:ind w:left="720"/>
              <w:contextualSpacing/>
              <w:rPr>
                <w:rFonts w:asciiTheme="minorHAnsi" w:hAnsiTheme="minorHAnsi" w:cs="Arial"/>
                <w:lang w:eastAsia="en-GB"/>
              </w:rPr>
            </w:pPr>
          </w:p>
        </w:tc>
        <w:tc>
          <w:tcPr>
            <w:tcW w:w="1903" w:type="pct"/>
            <w:tcBorders>
              <w:top w:val="nil"/>
              <w:left w:val="nil"/>
              <w:bottom w:val="single" w:sz="8" w:space="0" w:color="808080"/>
              <w:right w:val="single" w:sz="8" w:space="0" w:color="808080"/>
            </w:tcBorders>
            <w:tcMar>
              <w:top w:w="0" w:type="dxa"/>
              <w:left w:w="108" w:type="dxa"/>
              <w:bottom w:w="0" w:type="dxa"/>
              <w:right w:w="108" w:type="dxa"/>
            </w:tcMar>
          </w:tcPr>
          <w:p w14:paraId="7A8321F2"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 xml:space="preserve">The tenderer’s response shows (in no more than ten pages) </w:t>
            </w:r>
          </w:p>
          <w:p w14:paraId="13BA3D39"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that it:</w:t>
            </w:r>
          </w:p>
          <w:p w14:paraId="6ACB745E" w14:textId="77777777" w:rsidR="008B6595" w:rsidRPr="001D2B44" w:rsidRDefault="008B6595" w:rsidP="00F0516F">
            <w:pPr>
              <w:pStyle w:val="ListParagraph"/>
              <w:numPr>
                <w:ilvl w:val="0"/>
                <w:numId w:val="47"/>
              </w:numPr>
              <w:spacing w:after="120" w:line="300" w:lineRule="exact"/>
              <w:rPr>
                <w:rFonts w:asciiTheme="minorHAnsi" w:hAnsiTheme="minorHAnsi"/>
                <w:sz w:val="22"/>
                <w:szCs w:val="22"/>
              </w:rPr>
            </w:pPr>
            <w:r w:rsidRPr="001D2B44">
              <w:rPr>
                <w:rFonts w:asciiTheme="minorHAnsi" w:hAnsiTheme="minorHAnsi"/>
                <w:sz w:val="22"/>
                <w:szCs w:val="22"/>
              </w:rPr>
              <w:t>Has identified relevant individuals to deliver the work;</w:t>
            </w:r>
          </w:p>
          <w:p w14:paraId="1A3C30FD" w14:textId="77777777" w:rsidR="008B6595" w:rsidRPr="001D2B44" w:rsidRDefault="008B6595" w:rsidP="00F0516F">
            <w:pPr>
              <w:pStyle w:val="ListParagraph"/>
              <w:numPr>
                <w:ilvl w:val="0"/>
                <w:numId w:val="47"/>
              </w:numPr>
              <w:spacing w:after="120" w:line="300" w:lineRule="exact"/>
              <w:rPr>
                <w:rFonts w:asciiTheme="minorHAnsi" w:hAnsiTheme="minorHAnsi"/>
                <w:sz w:val="22"/>
                <w:szCs w:val="22"/>
              </w:rPr>
            </w:pPr>
            <w:r w:rsidRPr="001D2B44">
              <w:rPr>
                <w:rFonts w:asciiTheme="minorHAnsi" w:hAnsiTheme="minorHAnsi"/>
                <w:sz w:val="22"/>
                <w:szCs w:val="22"/>
              </w:rPr>
              <w:t>Has provided a credible plan for delivering successful outcomes to time, quality and cost;</w:t>
            </w:r>
          </w:p>
          <w:p w14:paraId="123010B0" w14:textId="77777777" w:rsidR="008B6595" w:rsidRPr="001D2B44" w:rsidRDefault="008B6595" w:rsidP="00F0516F">
            <w:pPr>
              <w:pStyle w:val="ListParagraph"/>
              <w:numPr>
                <w:ilvl w:val="0"/>
                <w:numId w:val="47"/>
              </w:numPr>
              <w:spacing w:after="120" w:line="300" w:lineRule="exact"/>
              <w:rPr>
                <w:rFonts w:asciiTheme="minorHAnsi" w:hAnsiTheme="minorHAnsi"/>
                <w:sz w:val="22"/>
                <w:szCs w:val="22"/>
              </w:rPr>
            </w:pPr>
            <w:r w:rsidRPr="001D2B44">
              <w:rPr>
                <w:rFonts w:asciiTheme="minorHAnsi" w:hAnsiTheme="minorHAnsi"/>
                <w:sz w:val="22"/>
                <w:szCs w:val="22"/>
              </w:rPr>
              <w:t>Has identified appropriate ways to engage with RSSB and relevant stakeholders;</w:t>
            </w:r>
          </w:p>
          <w:p w14:paraId="58FCDAF2" w14:textId="77777777" w:rsidR="008B6595" w:rsidRPr="001D2B44" w:rsidRDefault="008B6595" w:rsidP="00F0516F">
            <w:pPr>
              <w:numPr>
                <w:ilvl w:val="0"/>
                <w:numId w:val="47"/>
              </w:numPr>
              <w:spacing w:after="120" w:line="300" w:lineRule="exact"/>
              <w:rPr>
                <w:rFonts w:asciiTheme="minorHAnsi" w:hAnsiTheme="minorHAnsi" w:cs="Arial"/>
                <w:lang w:eastAsia="en-GB"/>
              </w:rPr>
            </w:pPr>
            <w:r w:rsidRPr="001D2B44">
              <w:rPr>
                <w:rFonts w:asciiTheme="minorHAnsi" w:hAnsiTheme="minorHAnsi" w:cs="Arial"/>
                <w:lang w:eastAsia="en-GB"/>
              </w:rPr>
              <w:t>Has identified suitable ways to address the project’s critical success factors;</w:t>
            </w:r>
          </w:p>
          <w:p w14:paraId="776859CA" w14:textId="77777777" w:rsidR="008B6595" w:rsidRPr="001D2B44" w:rsidRDefault="008B6595" w:rsidP="008B6595">
            <w:pPr>
              <w:pStyle w:val="ListParagraph"/>
              <w:spacing w:after="120" w:line="300" w:lineRule="exact"/>
              <w:ind w:left="227"/>
              <w:rPr>
                <w:rFonts w:asciiTheme="minorHAnsi" w:hAnsiTheme="minorHAnsi"/>
                <w:sz w:val="22"/>
                <w:szCs w:val="22"/>
              </w:rPr>
            </w:pPr>
          </w:p>
        </w:tc>
        <w:tc>
          <w:tcPr>
            <w:tcW w:w="449" w:type="pct"/>
            <w:tcBorders>
              <w:top w:val="nil"/>
              <w:left w:val="nil"/>
              <w:bottom w:val="single" w:sz="8" w:space="0" w:color="808080"/>
              <w:right w:val="single" w:sz="8" w:space="0" w:color="808080"/>
            </w:tcBorders>
            <w:tcMar>
              <w:top w:w="0" w:type="dxa"/>
              <w:left w:w="108" w:type="dxa"/>
              <w:bottom w:w="0" w:type="dxa"/>
              <w:right w:w="108" w:type="dxa"/>
            </w:tcMar>
            <w:hideMark/>
          </w:tcPr>
          <w:p w14:paraId="79499F74" w14:textId="5CE43FD1"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2</w:t>
            </w:r>
            <w:r w:rsidR="00A85414" w:rsidRPr="001D2B44">
              <w:rPr>
                <w:rFonts w:asciiTheme="minorHAnsi" w:hAnsiTheme="minorHAnsi" w:cs="Arial"/>
                <w:lang w:eastAsia="en-GB"/>
              </w:rPr>
              <w:t>5</w:t>
            </w:r>
            <w:r w:rsidRPr="001D2B44">
              <w:rPr>
                <w:rFonts w:asciiTheme="minorHAnsi" w:hAnsiTheme="minorHAnsi" w:cs="Arial"/>
                <w:lang w:eastAsia="en-GB"/>
              </w:rPr>
              <w:t>%</w:t>
            </w:r>
          </w:p>
        </w:tc>
      </w:tr>
      <w:tr w:rsidR="008B6595" w:rsidRPr="001D2B44" w14:paraId="4718C1E8"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2B8A8D9E" w14:textId="2C198803" w:rsidR="008B6595" w:rsidRPr="001D2B44" w:rsidRDefault="008B6595" w:rsidP="008B6595">
            <w:pPr>
              <w:rPr>
                <w:rFonts w:asciiTheme="minorHAnsi" w:hAnsiTheme="minorHAnsi" w:cs="Arial"/>
                <w:color w:val="000000"/>
                <w:lang w:eastAsia="en-GB"/>
              </w:rPr>
            </w:pPr>
            <w:r w:rsidRPr="001D2B44">
              <w:rPr>
                <w:rFonts w:asciiTheme="minorHAnsi" w:hAnsiTheme="minorHAnsi" w:cs="Arial"/>
                <w:color w:val="000000"/>
                <w:lang w:eastAsia="en-GB"/>
              </w:rPr>
              <w:lastRenderedPageBreak/>
              <w:t>A.3 Risks and Challenges</w:t>
            </w:r>
          </w:p>
          <w:p w14:paraId="7D67AD94" w14:textId="77777777" w:rsidR="008B6595" w:rsidRPr="001D2B44" w:rsidRDefault="008B6595" w:rsidP="008B6595">
            <w:pPr>
              <w:spacing w:after="120" w:line="300" w:lineRule="exact"/>
              <w:rPr>
                <w:rFonts w:asciiTheme="minorHAnsi" w:hAnsiTheme="minorHAnsi" w:cs="Arial"/>
                <w:lang w:eastAsia="en-GB"/>
              </w:rPr>
            </w:pPr>
          </w:p>
        </w:tc>
        <w:tc>
          <w:tcPr>
            <w:tcW w:w="1851" w:type="pct"/>
            <w:tcBorders>
              <w:top w:val="nil"/>
              <w:left w:val="nil"/>
              <w:bottom w:val="single" w:sz="8" w:space="0" w:color="808080"/>
              <w:right w:val="single" w:sz="8" w:space="0" w:color="808080"/>
            </w:tcBorders>
            <w:tcMar>
              <w:top w:w="0" w:type="dxa"/>
              <w:left w:w="108" w:type="dxa"/>
              <w:bottom w:w="0" w:type="dxa"/>
              <w:right w:w="108" w:type="dxa"/>
            </w:tcMar>
          </w:tcPr>
          <w:p w14:paraId="0D7AF60A" w14:textId="77777777" w:rsidR="008B6595" w:rsidRPr="001D2B44" w:rsidRDefault="008B6595" w:rsidP="008B6595">
            <w:pPr>
              <w:rPr>
                <w:rFonts w:asciiTheme="minorHAnsi" w:hAnsiTheme="minorHAnsi" w:cs="Arial"/>
                <w:color w:val="000000"/>
                <w:lang w:eastAsia="en-GB"/>
              </w:rPr>
            </w:pPr>
            <w:r w:rsidRPr="001D2B44">
              <w:rPr>
                <w:rFonts w:asciiTheme="minorHAnsi" w:hAnsiTheme="minorHAnsi" w:cs="Arial"/>
                <w:color w:val="000000"/>
                <w:lang w:eastAsia="en-GB"/>
              </w:rPr>
              <w:t>What risks and challenges do you foresee in this project? What mitigating actions will you take in relations to these risks?</w:t>
            </w:r>
          </w:p>
          <w:p w14:paraId="413D8712" w14:textId="77777777" w:rsidR="008B6595" w:rsidRPr="001D2B44" w:rsidRDefault="008B6595" w:rsidP="008B6595">
            <w:pPr>
              <w:rPr>
                <w:rFonts w:asciiTheme="minorHAnsi" w:hAnsiTheme="minorHAnsi" w:cs="Arial"/>
                <w:color w:val="000000"/>
                <w:lang w:eastAsia="en-GB"/>
              </w:rPr>
            </w:pPr>
          </w:p>
          <w:p w14:paraId="7073822C" w14:textId="77777777" w:rsidR="008B6595" w:rsidRPr="001D2B44" w:rsidRDefault="008B6595" w:rsidP="008B6595">
            <w:pPr>
              <w:spacing w:after="120" w:line="300" w:lineRule="exact"/>
              <w:contextualSpacing/>
              <w:rPr>
                <w:rFonts w:asciiTheme="minorHAnsi" w:hAnsiTheme="minorHAnsi" w:cs="Arial"/>
                <w:color w:val="000000"/>
                <w:lang w:eastAsia="en-GB"/>
              </w:rPr>
            </w:pPr>
            <w:r w:rsidRPr="001D2B44">
              <w:rPr>
                <w:rFonts w:asciiTheme="minorHAnsi" w:hAnsiTheme="minorHAnsi" w:cs="Arial"/>
                <w:color w:val="000000"/>
                <w:lang w:eastAsia="en-GB"/>
              </w:rPr>
              <w:t>Tenderers should provide, in no more than three pages, the risks and challenges that the tenderer foresees for this project as well as the mitigating actions:</w:t>
            </w:r>
          </w:p>
          <w:p w14:paraId="1A55BA83" w14:textId="77777777" w:rsidR="008B6595" w:rsidRPr="001D2B44" w:rsidRDefault="008B6595" w:rsidP="008B6595">
            <w:pPr>
              <w:spacing w:after="120" w:line="300" w:lineRule="exact"/>
              <w:contextualSpacing/>
              <w:rPr>
                <w:rFonts w:asciiTheme="minorHAnsi" w:hAnsiTheme="minorHAnsi" w:cs="Arial"/>
                <w:color w:val="000000"/>
                <w:lang w:eastAsia="en-GB"/>
              </w:rPr>
            </w:pPr>
          </w:p>
          <w:p w14:paraId="65E0F60D"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 detailed and succinct Risk Register.</w:t>
            </w:r>
          </w:p>
          <w:p w14:paraId="024C2EFD" w14:textId="77777777" w:rsidR="008B6595" w:rsidRPr="001D2B44" w:rsidRDefault="008B6595" w:rsidP="008B6595">
            <w:pPr>
              <w:pStyle w:val="ListParagraph"/>
              <w:spacing w:after="120" w:line="300" w:lineRule="exact"/>
              <w:ind w:left="227"/>
              <w:rPr>
                <w:rFonts w:asciiTheme="minorHAnsi" w:hAnsiTheme="minorHAnsi"/>
                <w:color w:val="000000"/>
                <w:sz w:val="22"/>
                <w:szCs w:val="22"/>
              </w:rPr>
            </w:pPr>
          </w:p>
          <w:p w14:paraId="3FB3405B"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identifies appropriate risks for this project.</w:t>
            </w:r>
          </w:p>
          <w:p w14:paraId="5AB8AF7D" w14:textId="77777777" w:rsidR="008B6595" w:rsidRPr="001D2B44" w:rsidRDefault="008B6595" w:rsidP="008B6595">
            <w:pPr>
              <w:rPr>
                <w:rFonts w:asciiTheme="minorHAnsi" w:hAnsiTheme="minorHAnsi" w:cs="Arial"/>
                <w:color w:val="000000"/>
                <w:lang w:eastAsia="en-GB"/>
              </w:rPr>
            </w:pPr>
          </w:p>
          <w:p w14:paraId="7A312360"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identifies appropriate challenges for this project.</w:t>
            </w:r>
          </w:p>
          <w:p w14:paraId="4A271954" w14:textId="77777777" w:rsidR="008B6595" w:rsidRPr="001D2B44" w:rsidRDefault="008B6595" w:rsidP="008B6595">
            <w:pPr>
              <w:rPr>
                <w:rFonts w:asciiTheme="minorHAnsi" w:hAnsiTheme="minorHAnsi" w:cs="Arial"/>
                <w:color w:val="000000"/>
                <w:lang w:eastAsia="en-GB"/>
              </w:rPr>
            </w:pPr>
          </w:p>
          <w:p w14:paraId="5903844E"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an in-depth statement of what mitigating actions will be taken by the tenderer in relation and with specific regard to each risk.</w:t>
            </w:r>
          </w:p>
          <w:p w14:paraId="76F7878A" w14:textId="77777777" w:rsidR="008B6595" w:rsidRPr="001D2B44" w:rsidRDefault="008B6595" w:rsidP="008B6595">
            <w:pPr>
              <w:rPr>
                <w:rFonts w:asciiTheme="minorHAnsi" w:hAnsiTheme="minorHAnsi" w:cs="Arial"/>
                <w:color w:val="000000"/>
                <w:lang w:eastAsia="en-GB"/>
              </w:rPr>
            </w:pPr>
          </w:p>
          <w:p w14:paraId="1117A5DB" w14:textId="77777777" w:rsidR="008B6595" w:rsidRPr="001D2B44" w:rsidRDefault="008B6595" w:rsidP="008B6595">
            <w:pPr>
              <w:numPr>
                <w:ilvl w:val="0"/>
                <w:numId w:val="42"/>
              </w:numPr>
              <w:spacing w:after="240" w:line="240" w:lineRule="auto"/>
              <w:contextualSpacing/>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demonstrates how they will overcome the challenges that have been identified for this project.</w:t>
            </w:r>
          </w:p>
          <w:p w14:paraId="53428B9D" w14:textId="77777777" w:rsidR="008B6595" w:rsidRPr="001D2B44" w:rsidRDefault="008B6595" w:rsidP="008B6595">
            <w:pPr>
              <w:spacing w:after="120" w:line="300" w:lineRule="exact"/>
              <w:contextualSpacing/>
              <w:rPr>
                <w:rFonts w:asciiTheme="minorHAnsi" w:hAnsiTheme="minorHAnsi" w:cs="Arial"/>
                <w:lang w:eastAsia="en-GB"/>
              </w:rPr>
            </w:pPr>
          </w:p>
        </w:tc>
        <w:tc>
          <w:tcPr>
            <w:tcW w:w="1903" w:type="pct"/>
            <w:tcBorders>
              <w:top w:val="nil"/>
              <w:left w:val="nil"/>
              <w:bottom w:val="single" w:sz="8" w:space="0" w:color="808080"/>
              <w:right w:val="single" w:sz="8" w:space="0" w:color="808080"/>
            </w:tcBorders>
            <w:tcMar>
              <w:top w:w="0" w:type="dxa"/>
              <w:left w:w="108" w:type="dxa"/>
              <w:bottom w:w="0" w:type="dxa"/>
              <w:right w:w="108" w:type="dxa"/>
            </w:tcMar>
          </w:tcPr>
          <w:p w14:paraId="3AF2E3B2"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 detailed and succinct Risk Register.</w:t>
            </w:r>
          </w:p>
          <w:p w14:paraId="1315FF74" w14:textId="77777777" w:rsidR="008B6595" w:rsidRPr="001D2B44" w:rsidRDefault="008B6595" w:rsidP="008B6595">
            <w:pPr>
              <w:pStyle w:val="ListParagraph"/>
              <w:spacing w:after="120" w:line="300" w:lineRule="exact"/>
              <w:ind w:left="227"/>
              <w:rPr>
                <w:rFonts w:asciiTheme="minorHAnsi" w:hAnsiTheme="minorHAnsi"/>
                <w:color w:val="000000"/>
                <w:sz w:val="22"/>
                <w:szCs w:val="22"/>
              </w:rPr>
            </w:pPr>
          </w:p>
          <w:p w14:paraId="4DF5CC2C"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identifies appropriate risks for this project.</w:t>
            </w:r>
          </w:p>
          <w:p w14:paraId="69A69550" w14:textId="77777777" w:rsidR="008B6595" w:rsidRPr="001D2B44" w:rsidRDefault="008B6595" w:rsidP="008B6595">
            <w:pPr>
              <w:rPr>
                <w:rFonts w:asciiTheme="minorHAnsi" w:hAnsiTheme="minorHAnsi" w:cs="Arial"/>
                <w:color w:val="000000"/>
                <w:lang w:eastAsia="en-GB"/>
              </w:rPr>
            </w:pPr>
          </w:p>
          <w:p w14:paraId="36BB1C64"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identifies appropriate challenges for this project.</w:t>
            </w:r>
          </w:p>
          <w:p w14:paraId="433D0B9C" w14:textId="77777777" w:rsidR="008B6595" w:rsidRPr="001D2B44" w:rsidRDefault="008B6595" w:rsidP="008B6595">
            <w:pPr>
              <w:rPr>
                <w:rFonts w:asciiTheme="minorHAnsi" w:hAnsiTheme="minorHAnsi" w:cs="Arial"/>
                <w:color w:val="000000"/>
                <w:lang w:eastAsia="en-GB"/>
              </w:rPr>
            </w:pPr>
          </w:p>
          <w:p w14:paraId="17F32D00"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an in-depth statement of what mitigating actions will be taken by the tenderer in relation and with specific regard to each risk.</w:t>
            </w:r>
          </w:p>
          <w:p w14:paraId="67121DDB" w14:textId="77777777" w:rsidR="008B6595" w:rsidRPr="001D2B44" w:rsidRDefault="008B6595" w:rsidP="008B6595">
            <w:pPr>
              <w:rPr>
                <w:rFonts w:asciiTheme="minorHAnsi" w:hAnsiTheme="minorHAnsi" w:cs="Arial"/>
                <w:color w:val="000000"/>
                <w:lang w:eastAsia="en-GB"/>
              </w:rPr>
            </w:pPr>
          </w:p>
          <w:p w14:paraId="3D1057FD" w14:textId="77777777" w:rsidR="008B6595" w:rsidRPr="001D2B44" w:rsidRDefault="008B6595" w:rsidP="008B6595">
            <w:pPr>
              <w:numPr>
                <w:ilvl w:val="0"/>
                <w:numId w:val="42"/>
              </w:numPr>
              <w:spacing w:after="240" w:line="240" w:lineRule="auto"/>
              <w:contextualSpacing/>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demonstrates how they will overcome the challenges that have been identified for this project.</w:t>
            </w:r>
          </w:p>
          <w:p w14:paraId="370C614C" w14:textId="77777777" w:rsidR="008B6595" w:rsidRPr="001D2B44" w:rsidRDefault="008B6595" w:rsidP="008B6595">
            <w:pPr>
              <w:pStyle w:val="ListParagraph"/>
              <w:spacing w:after="120" w:line="300" w:lineRule="exact"/>
              <w:ind w:left="227"/>
              <w:rPr>
                <w:rFonts w:asciiTheme="minorHAnsi" w:hAnsiTheme="minorHAnsi"/>
                <w:sz w:val="22"/>
                <w:szCs w:val="22"/>
              </w:rPr>
            </w:pPr>
          </w:p>
        </w:tc>
        <w:tc>
          <w:tcPr>
            <w:tcW w:w="449" w:type="pct"/>
            <w:tcBorders>
              <w:top w:val="nil"/>
              <w:left w:val="nil"/>
              <w:bottom w:val="single" w:sz="8" w:space="0" w:color="808080"/>
              <w:right w:val="single" w:sz="8" w:space="0" w:color="808080"/>
            </w:tcBorders>
            <w:tcMar>
              <w:top w:w="0" w:type="dxa"/>
              <w:left w:w="108" w:type="dxa"/>
              <w:bottom w:w="0" w:type="dxa"/>
              <w:right w:w="108" w:type="dxa"/>
            </w:tcMar>
            <w:hideMark/>
          </w:tcPr>
          <w:p w14:paraId="70FD7906"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10%</w:t>
            </w:r>
          </w:p>
        </w:tc>
      </w:tr>
      <w:tr w:rsidR="008B6595" w:rsidRPr="001D2B44" w14:paraId="01ECE26C"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BD3BC52" w14:textId="515BB0C1"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color w:val="000000"/>
                <w:lang w:eastAsia="en-GB"/>
              </w:rPr>
              <w:t>A4. Communication</w:t>
            </w:r>
          </w:p>
        </w:tc>
        <w:tc>
          <w:tcPr>
            <w:tcW w:w="1851" w:type="pct"/>
            <w:tcBorders>
              <w:top w:val="nil"/>
              <w:left w:val="nil"/>
              <w:bottom w:val="single" w:sz="8" w:space="0" w:color="808080"/>
              <w:right w:val="single" w:sz="8" w:space="0" w:color="808080"/>
            </w:tcBorders>
            <w:tcMar>
              <w:top w:w="0" w:type="dxa"/>
              <w:left w:w="108" w:type="dxa"/>
              <w:bottom w:w="0" w:type="dxa"/>
              <w:right w:w="108" w:type="dxa"/>
            </w:tcMar>
            <w:hideMark/>
          </w:tcPr>
          <w:p w14:paraId="24EC63DE" w14:textId="77777777" w:rsidR="008B6595" w:rsidRPr="001D2B44" w:rsidRDefault="008B6595" w:rsidP="008B6595">
            <w:pPr>
              <w:spacing w:after="120" w:line="300" w:lineRule="exact"/>
              <w:contextualSpacing/>
              <w:rPr>
                <w:rFonts w:asciiTheme="minorHAnsi" w:hAnsiTheme="minorHAnsi" w:cs="Arial"/>
                <w:lang w:eastAsia="en-GB"/>
              </w:rPr>
            </w:pPr>
            <w:r w:rsidRPr="001D2B44">
              <w:rPr>
                <w:rFonts w:asciiTheme="minorHAnsi" w:hAnsiTheme="minorHAnsi" w:cs="Arial"/>
                <w:color w:val="000000"/>
                <w:lang w:eastAsia="en-GB"/>
              </w:rPr>
              <w:t>How will you ensure effective communication with both yourself &amp; RSSB? Additionally, how do you propose to communicate with key stakeholders</w:t>
            </w:r>
          </w:p>
        </w:tc>
        <w:tc>
          <w:tcPr>
            <w:tcW w:w="1903" w:type="pct"/>
            <w:tcBorders>
              <w:top w:val="nil"/>
              <w:left w:val="nil"/>
              <w:bottom w:val="single" w:sz="8" w:space="0" w:color="808080"/>
              <w:right w:val="single" w:sz="8" w:space="0" w:color="808080"/>
            </w:tcBorders>
            <w:tcMar>
              <w:top w:w="0" w:type="dxa"/>
              <w:left w:w="108" w:type="dxa"/>
              <w:bottom w:w="0" w:type="dxa"/>
              <w:right w:w="108" w:type="dxa"/>
            </w:tcMar>
          </w:tcPr>
          <w:p w14:paraId="1BBFF978"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 well thought out and appropriate communication plan for communication between the tenderer and RSSB.</w:t>
            </w:r>
          </w:p>
          <w:p w14:paraId="2ED21E74" w14:textId="77777777" w:rsidR="008B6595" w:rsidRPr="001D2B44" w:rsidRDefault="008B6595" w:rsidP="008B6595">
            <w:pPr>
              <w:pStyle w:val="ListParagraph"/>
              <w:spacing w:after="120" w:line="300" w:lineRule="exact"/>
              <w:ind w:left="227"/>
              <w:rPr>
                <w:rFonts w:asciiTheme="minorHAnsi" w:hAnsiTheme="minorHAnsi"/>
                <w:color w:val="000000"/>
                <w:sz w:val="22"/>
                <w:szCs w:val="22"/>
              </w:rPr>
            </w:pPr>
          </w:p>
          <w:p w14:paraId="4DE701E9"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communication plan is effective in it’s ability.</w:t>
            </w:r>
          </w:p>
          <w:p w14:paraId="32412335" w14:textId="77777777" w:rsidR="008B6595" w:rsidRPr="001D2B44" w:rsidRDefault="008B6595" w:rsidP="008B6595">
            <w:pPr>
              <w:rPr>
                <w:rFonts w:asciiTheme="minorHAnsi" w:hAnsiTheme="minorHAnsi" w:cs="Arial"/>
                <w:color w:val="000000"/>
                <w:lang w:eastAsia="en-GB"/>
              </w:rPr>
            </w:pPr>
          </w:p>
          <w:p w14:paraId="07F080BF" w14:textId="77777777" w:rsidR="008B6595" w:rsidRPr="001D2B44" w:rsidRDefault="008B6595" w:rsidP="008B6595">
            <w:pPr>
              <w:numPr>
                <w:ilvl w:val="0"/>
                <w:numId w:val="42"/>
              </w:numPr>
              <w:spacing w:after="0" w:line="240" w:lineRule="auto"/>
              <w:rPr>
                <w:rFonts w:asciiTheme="minorHAnsi" w:eastAsia="Times New Roman" w:hAnsiTheme="minorHAnsi" w:cs="Arial"/>
                <w:color w:val="000000"/>
                <w:lang w:eastAsia="en-GB"/>
              </w:rPr>
            </w:pPr>
            <w:r w:rsidRPr="001D2B44">
              <w:rPr>
                <w:rFonts w:asciiTheme="minorHAnsi" w:eastAsia="Times New Roman" w:hAnsiTheme="minorHAnsi" w:cs="Arial"/>
                <w:color w:val="000000"/>
                <w:lang w:eastAsia="en-GB"/>
              </w:rPr>
              <w:t>The tenderer provides a robust statement for communicating with key stakeholders.</w:t>
            </w:r>
          </w:p>
          <w:p w14:paraId="3087E6B8" w14:textId="77777777" w:rsidR="008B6595" w:rsidRPr="001D2B44" w:rsidRDefault="008B6595" w:rsidP="008B6595">
            <w:pPr>
              <w:pStyle w:val="ListParagraph"/>
              <w:spacing w:after="120" w:line="300" w:lineRule="exact"/>
              <w:ind w:left="227"/>
              <w:rPr>
                <w:rFonts w:asciiTheme="minorHAnsi" w:hAnsiTheme="minorHAnsi"/>
                <w:sz w:val="22"/>
                <w:szCs w:val="22"/>
              </w:rPr>
            </w:pPr>
          </w:p>
        </w:tc>
        <w:tc>
          <w:tcPr>
            <w:tcW w:w="449" w:type="pct"/>
            <w:tcBorders>
              <w:top w:val="nil"/>
              <w:left w:val="nil"/>
              <w:bottom w:val="single" w:sz="8" w:space="0" w:color="808080"/>
              <w:right w:val="single" w:sz="8" w:space="0" w:color="808080"/>
            </w:tcBorders>
            <w:tcMar>
              <w:top w:w="0" w:type="dxa"/>
              <w:left w:w="108" w:type="dxa"/>
              <w:bottom w:w="0" w:type="dxa"/>
              <w:right w:w="108" w:type="dxa"/>
            </w:tcMar>
            <w:hideMark/>
          </w:tcPr>
          <w:p w14:paraId="68AAF7AF"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5%</w:t>
            </w:r>
          </w:p>
        </w:tc>
      </w:tr>
      <w:tr w:rsidR="008B6595" w:rsidRPr="001D2B44" w14:paraId="0C71997E"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7B707A6" w14:textId="7701D4A0" w:rsidR="008B6595" w:rsidRPr="001D2B44" w:rsidRDefault="008B6595" w:rsidP="008B6595">
            <w:pPr>
              <w:spacing w:after="120" w:line="300" w:lineRule="exact"/>
              <w:rPr>
                <w:rFonts w:asciiTheme="minorHAnsi" w:hAnsiTheme="minorHAnsi" w:cs="Arial"/>
                <w:color w:val="000000"/>
                <w:lang w:eastAsia="en-GB"/>
              </w:rPr>
            </w:pPr>
            <w:r w:rsidRPr="001D2B44">
              <w:rPr>
                <w:rFonts w:asciiTheme="minorHAnsi" w:hAnsiTheme="minorHAnsi" w:cs="Arial"/>
                <w:lang w:eastAsia="en-GB"/>
              </w:rPr>
              <w:lastRenderedPageBreak/>
              <w:t>A5. Deliverables</w:t>
            </w:r>
          </w:p>
        </w:tc>
        <w:tc>
          <w:tcPr>
            <w:tcW w:w="1851" w:type="pct"/>
            <w:tcBorders>
              <w:top w:val="nil"/>
              <w:left w:val="nil"/>
              <w:bottom w:val="single" w:sz="8" w:space="0" w:color="808080"/>
              <w:right w:val="single" w:sz="8" w:space="0" w:color="808080"/>
            </w:tcBorders>
            <w:tcMar>
              <w:top w:w="0" w:type="dxa"/>
              <w:left w:w="108" w:type="dxa"/>
              <w:bottom w:w="0" w:type="dxa"/>
              <w:right w:w="108" w:type="dxa"/>
            </w:tcMar>
          </w:tcPr>
          <w:p w14:paraId="43AD50E9" w14:textId="77777777" w:rsidR="008B6595" w:rsidRPr="001D2B44" w:rsidRDefault="008B6595" w:rsidP="008B6595">
            <w:pPr>
              <w:spacing w:after="120"/>
              <w:rPr>
                <w:rFonts w:asciiTheme="minorHAnsi" w:hAnsiTheme="minorHAnsi" w:cs="Arial"/>
                <w:lang w:eastAsia="en-GB"/>
              </w:rPr>
            </w:pPr>
            <w:r w:rsidRPr="001D2B44">
              <w:rPr>
                <w:rFonts w:asciiTheme="minorHAnsi" w:hAnsiTheme="minorHAnsi" w:cs="Arial"/>
                <w:lang w:eastAsia="en-GB"/>
              </w:rPr>
              <w:t>The Tenderer must provide detail (in no more than two pages) on the project deliverables and their successful delivery, to include:</w:t>
            </w:r>
          </w:p>
          <w:p w14:paraId="6B05D0E2" w14:textId="77777777" w:rsidR="008B6595" w:rsidRPr="001D2B44" w:rsidRDefault="008B6595" w:rsidP="00F0516F">
            <w:pPr>
              <w:numPr>
                <w:ilvl w:val="0"/>
                <w:numId w:val="48"/>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Clear understanding of and process plan for each deliverable</w:t>
            </w:r>
          </w:p>
          <w:p w14:paraId="592B70ED" w14:textId="77777777" w:rsidR="008B6595" w:rsidRPr="001D2B44" w:rsidRDefault="008B6595" w:rsidP="00F0516F">
            <w:pPr>
              <w:pStyle w:val="ListParagraph"/>
              <w:numPr>
                <w:ilvl w:val="0"/>
                <w:numId w:val="43"/>
              </w:numPr>
              <w:spacing w:after="120" w:line="300" w:lineRule="exact"/>
              <w:ind w:left="227" w:hanging="227"/>
              <w:rPr>
                <w:rFonts w:asciiTheme="minorHAnsi" w:hAnsiTheme="minorHAnsi"/>
                <w:sz w:val="22"/>
                <w:szCs w:val="22"/>
              </w:rPr>
            </w:pPr>
          </w:p>
          <w:p w14:paraId="729813A1" w14:textId="77777777" w:rsidR="008B6595" w:rsidRPr="001D2B44" w:rsidRDefault="008B6595" w:rsidP="008B6595">
            <w:pPr>
              <w:spacing w:after="120" w:line="300" w:lineRule="exact"/>
              <w:contextualSpacing/>
              <w:rPr>
                <w:rFonts w:asciiTheme="minorHAnsi" w:hAnsiTheme="minorHAnsi" w:cs="Arial"/>
                <w:color w:val="000000"/>
                <w:lang w:eastAsia="en-GB"/>
              </w:rPr>
            </w:pPr>
            <w:r w:rsidRPr="001D2B44">
              <w:rPr>
                <w:rFonts w:asciiTheme="minorHAnsi" w:hAnsiTheme="minorHAnsi" w:cs="Arial"/>
                <w:lang w:eastAsia="en-GB"/>
              </w:rPr>
              <w:t>Process for review of deliverables and drafts</w:t>
            </w:r>
          </w:p>
        </w:tc>
        <w:tc>
          <w:tcPr>
            <w:tcW w:w="1903" w:type="pct"/>
            <w:tcBorders>
              <w:top w:val="nil"/>
              <w:left w:val="nil"/>
              <w:bottom w:val="single" w:sz="8" w:space="0" w:color="808080"/>
              <w:right w:val="single" w:sz="8" w:space="0" w:color="808080"/>
            </w:tcBorders>
            <w:tcMar>
              <w:top w:w="0" w:type="dxa"/>
              <w:left w:w="108" w:type="dxa"/>
              <w:bottom w:w="0" w:type="dxa"/>
              <w:right w:w="108" w:type="dxa"/>
            </w:tcMar>
            <w:hideMark/>
          </w:tcPr>
          <w:p w14:paraId="4F35F808"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The Tenderer’s response shows (in no more than 2 pages), that it:</w:t>
            </w:r>
          </w:p>
          <w:p w14:paraId="64791E26" w14:textId="77777777" w:rsidR="008B6595" w:rsidRPr="001D2B44" w:rsidRDefault="008B6595" w:rsidP="00F0516F">
            <w:pPr>
              <w:numPr>
                <w:ilvl w:val="0"/>
                <w:numId w:val="49"/>
              </w:numPr>
              <w:spacing w:after="120" w:line="300" w:lineRule="exact"/>
              <w:rPr>
                <w:rFonts w:asciiTheme="minorHAnsi" w:hAnsiTheme="minorHAnsi" w:cs="Arial"/>
                <w:lang w:eastAsia="en-GB"/>
              </w:rPr>
            </w:pPr>
            <w:r w:rsidRPr="001D2B44">
              <w:rPr>
                <w:rFonts w:asciiTheme="minorHAnsi" w:hAnsiTheme="minorHAnsi" w:cs="Arial"/>
                <w:lang w:eastAsia="en-GB"/>
              </w:rPr>
              <w:t>Has a clear plan for delivery of key deliverables, with process plan, milestones and target due dates.</w:t>
            </w:r>
            <w:r w:rsidRPr="001D2B44">
              <w:rPr>
                <w:rFonts w:asciiTheme="minorHAnsi" w:hAnsiTheme="minorHAnsi" w:cs="Arial"/>
                <w:lang w:eastAsia="en-GB"/>
              </w:rPr>
              <w:br/>
            </w:r>
          </w:p>
          <w:p w14:paraId="15869071" w14:textId="77777777" w:rsidR="008B6595" w:rsidRPr="001D2B44" w:rsidRDefault="008B6595" w:rsidP="00F0516F">
            <w:pPr>
              <w:numPr>
                <w:ilvl w:val="0"/>
                <w:numId w:val="49"/>
              </w:numPr>
              <w:spacing w:after="120" w:line="300" w:lineRule="exact"/>
              <w:rPr>
                <w:rFonts w:asciiTheme="minorHAnsi" w:hAnsiTheme="minorHAnsi" w:cs="Arial"/>
                <w:lang w:eastAsia="en-GB"/>
              </w:rPr>
            </w:pPr>
            <w:r w:rsidRPr="001D2B44">
              <w:rPr>
                <w:rFonts w:asciiTheme="minorHAnsi" w:hAnsiTheme="minorHAnsi" w:cs="Arial"/>
                <w:lang w:eastAsia="en-GB"/>
              </w:rPr>
              <w:t>Has identified a robust review process that allows for iterations</w:t>
            </w:r>
          </w:p>
        </w:tc>
        <w:tc>
          <w:tcPr>
            <w:tcW w:w="449" w:type="pct"/>
            <w:tcBorders>
              <w:top w:val="nil"/>
              <w:left w:val="nil"/>
              <w:bottom w:val="single" w:sz="8" w:space="0" w:color="808080"/>
              <w:right w:val="single" w:sz="8" w:space="0" w:color="808080"/>
            </w:tcBorders>
            <w:tcMar>
              <w:top w:w="0" w:type="dxa"/>
              <w:left w:w="108" w:type="dxa"/>
              <w:bottom w:w="0" w:type="dxa"/>
              <w:right w:w="108" w:type="dxa"/>
            </w:tcMar>
            <w:hideMark/>
          </w:tcPr>
          <w:p w14:paraId="66600375"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5%</w:t>
            </w:r>
          </w:p>
        </w:tc>
      </w:tr>
      <w:tr w:rsidR="008B6595" w:rsidRPr="001D2B44" w14:paraId="63DCE507" w14:textId="77777777" w:rsidTr="001D2B44">
        <w:trPr>
          <w:trHeight w:val="724"/>
        </w:trPr>
        <w:tc>
          <w:tcPr>
            <w:tcW w:w="79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D1A1F28" w14:textId="3AFE4EF1"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A6.</w:t>
            </w:r>
          </w:p>
          <w:p w14:paraId="6E2A3E0F"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Cost of project</w:t>
            </w:r>
          </w:p>
        </w:tc>
        <w:tc>
          <w:tcPr>
            <w:tcW w:w="1851" w:type="pct"/>
            <w:tcBorders>
              <w:top w:val="nil"/>
              <w:left w:val="nil"/>
              <w:bottom w:val="single" w:sz="8" w:space="0" w:color="808080"/>
              <w:right w:val="single" w:sz="8" w:space="0" w:color="808080"/>
            </w:tcBorders>
            <w:tcMar>
              <w:top w:w="0" w:type="dxa"/>
              <w:left w:w="108" w:type="dxa"/>
              <w:bottom w:w="0" w:type="dxa"/>
              <w:right w:w="108" w:type="dxa"/>
            </w:tcMar>
          </w:tcPr>
          <w:p w14:paraId="659BC174" w14:textId="77777777" w:rsidR="008B6595" w:rsidRPr="001D2B44" w:rsidRDefault="008B6595" w:rsidP="008B6595">
            <w:pPr>
              <w:spacing w:after="40" w:line="280" w:lineRule="exact"/>
              <w:rPr>
                <w:rFonts w:asciiTheme="minorHAnsi" w:hAnsiTheme="minorHAnsi" w:cs="Arial"/>
                <w:lang w:eastAsia="en-GB"/>
              </w:rPr>
            </w:pPr>
            <w:r w:rsidRPr="001D2B44">
              <w:rPr>
                <w:rFonts w:asciiTheme="minorHAnsi" w:hAnsiTheme="minorHAnsi" w:cs="Arial"/>
                <w:lang w:eastAsia="en-GB"/>
              </w:rPr>
              <w:t>The tenderer should:</w:t>
            </w:r>
          </w:p>
          <w:p w14:paraId="235970A9" w14:textId="77777777" w:rsidR="008B6595" w:rsidRPr="001D2B44" w:rsidRDefault="008B6595" w:rsidP="00F0516F">
            <w:pPr>
              <w:numPr>
                <w:ilvl w:val="0"/>
                <w:numId w:val="50"/>
              </w:numPr>
              <w:spacing w:after="120" w:line="300" w:lineRule="exact"/>
              <w:contextualSpacing/>
              <w:rPr>
                <w:rFonts w:asciiTheme="minorHAnsi" w:eastAsia="Times New Roman" w:hAnsiTheme="minorHAnsi" w:cs="Arial"/>
                <w:lang w:eastAsia="en-GB"/>
              </w:rPr>
            </w:pPr>
            <w:r w:rsidRPr="001D2B44">
              <w:rPr>
                <w:rFonts w:asciiTheme="minorHAnsi" w:eastAsia="Times New Roman" w:hAnsiTheme="minorHAnsi" w:cs="Arial"/>
                <w:lang w:eastAsia="en-GB"/>
              </w:rPr>
              <w:t>Provide a fixed cost for the project and the associated cost break down. If this is above the budgeted amount of £150k then a detailed explanation is required of why the supplier doesn’t feel that the budget is adequate.</w:t>
            </w:r>
          </w:p>
          <w:p w14:paraId="3943BDFD" w14:textId="77777777" w:rsidR="008B6595" w:rsidRPr="001D2B44" w:rsidRDefault="008B6595" w:rsidP="008B6595">
            <w:pPr>
              <w:spacing w:after="120" w:line="300" w:lineRule="exact"/>
              <w:ind w:left="360"/>
              <w:contextualSpacing/>
              <w:rPr>
                <w:rFonts w:asciiTheme="minorHAnsi" w:hAnsiTheme="minorHAnsi" w:cs="Arial"/>
                <w:lang w:eastAsia="en-GB"/>
              </w:rPr>
            </w:pPr>
          </w:p>
        </w:tc>
        <w:tc>
          <w:tcPr>
            <w:tcW w:w="1903" w:type="pct"/>
            <w:tcBorders>
              <w:top w:val="nil"/>
              <w:left w:val="nil"/>
              <w:bottom w:val="single" w:sz="8" w:space="0" w:color="808080"/>
              <w:right w:val="single" w:sz="8" w:space="0" w:color="808080"/>
            </w:tcBorders>
            <w:tcMar>
              <w:top w:w="0" w:type="dxa"/>
              <w:left w:w="108" w:type="dxa"/>
              <w:bottom w:w="0" w:type="dxa"/>
              <w:right w:w="108" w:type="dxa"/>
            </w:tcMar>
            <w:hideMark/>
          </w:tcPr>
          <w:p w14:paraId="76DC6E65" w14:textId="77777777" w:rsidR="008B6595" w:rsidRPr="001D2B44" w:rsidRDefault="008B6595" w:rsidP="00F0516F">
            <w:pPr>
              <w:pStyle w:val="ListParagraph"/>
              <w:numPr>
                <w:ilvl w:val="0"/>
                <w:numId w:val="51"/>
              </w:numPr>
              <w:spacing w:after="120" w:line="300" w:lineRule="exact"/>
              <w:ind w:left="720"/>
              <w:rPr>
                <w:rFonts w:asciiTheme="minorHAnsi" w:hAnsiTheme="minorHAnsi"/>
                <w:sz w:val="22"/>
                <w:szCs w:val="22"/>
              </w:rPr>
            </w:pPr>
            <w:r w:rsidRPr="001D2B44">
              <w:rPr>
                <w:rFonts w:asciiTheme="minorHAnsi" w:hAnsiTheme="minorHAnsi"/>
                <w:sz w:val="22"/>
                <w:szCs w:val="22"/>
              </w:rPr>
              <w:t>The tender with the lowest total cost will receive 100% of the available weighted score (25%).</w:t>
            </w:r>
          </w:p>
          <w:p w14:paraId="01841095" w14:textId="77777777" w:rsidR="008B6595" w:rsidRPr="001D2B44" w:rsidRDefault="008B6595" w:rsidP="00F0516F">
            <w:pPr>
              <w:pStyle w:val="ListParagraph"/>
              <w:numPr>
                <w:ilvl w:val="0"/>
                <w:numId w:val="51"/>
              </w:numPr>
              <w:spacing w:after="120" w:line="300" w:lineRule="exact"/>
              <w:ind w:left="720"/>
              <w:rPr>
                <w:rFonts w:asciiTheme="minorHAnsi" w:hAnsiTheme="minorHAnsi"/>
                <w:sz w:val="22"/>
                <w:szCs w:val="22"/>
              </w:rPr>
            </w:pPr>
            <w:r w:rsidRPr="001D2B44">
              <w:rPr>
                <w:rFonts w:asciiTheme="minorHAnsi" w:hAnsiTheme="minorHAnsi"/>
                <w:sz w:val="22"/>
                <w:szCs w:val="22"/>
              </w:rPr>
              <w:t>Other tenderer’s tenders will receive a pro-rated relative to the lowest cost according to the following formula:</w:t>
            </w:r>
          </w:p>
          <w:p w14:paraId="427CC938" w14:textId="77777777"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Score of other tender = lowest tender total cost / other tender total cost x 100%.</w:t>
            </w:r>
          </w:p>
        </w:tc>
        <w:tc>
          <w:tcPr>
            <w:tcW w:w="449" w:type="pct"/>
            <w:tcBorders>
              <w:top w:val="nil"/>
              <w:left w:val="nil"/>
              <w:bottom w:val="single" w:sz="8" w:space="0" w:color="808080"/>
              <w:right w:val="single" w:sz="8" w:space="0" w:color="808080"/>
            </w:tcBorders>
            <w:tcMar>
              <w:top w:w="0" w:type="dxa"/>
              <w:left w:w="108" w:type="dxa"/>
              <w:bottom w:w="0" w:type="dxa"/>
              <w:right w:w="108" w:type="dxa"/>
            </w:tcMar>
          </w:tcPr>
          <w:p w14:paraId="48403FD0" w14:textId="5064355B" w:rsidR="008B6595" w:rsidRPr="001D2B44" w:rsidRDefault="008B6595" w:rsidP="008B6595">
            <w:pPr>
              <w:spacing w:after="120" w:line="300" w:lineRule="exact"/>
              <w:rPr>
                <w:rFonts w:asciiTheme="minorHAnsi" w:hAnsiTheme="minorHAnsi" w:cs="Arial"/>
                <w:lang w:eastAsia="en-GB"/>
              </w:rPr>
            </w:pPr>
            <w:r w:rsidRPr="001D2B44">
              <w:rPr>
                <w:rFonts w:asciiTheme="minorHAnsi" w:hAnsiTheme="minorHAnsi" w:cs="Arial"/>
                <w:lang w:eastAsia="en-GB"/>
              </w:rPr>
              <w:t>25%</w:t>
            </w:r>
          </w:p>
        </w:tc>
      </w:tr>
    </w:tbl>
    <w:p w14:paraId="7F740A02" w14:textId="77777777" w:rsidR="008B6595" w:rsidRPr="008B6595" w:rsidRDefault="008B6595" w:rsidP="008B6595">
      <w:pPr>
        <w:pStyle w:val="Body"/>
      </w:pPr>
    </w:p>
    <w:p w14:paraId="7EDC49AC" w14:textId="77777777" w:rsidR="00E62A97" w:rsidRPr="00E62A97" w:rsidRDefault="00E62A97" w:rsidP="00E62A97">
      <w:pPr>
        <w:pStyle w:val="Body"/>
        <w:sectPr w:rsidR="00E62A97" w:rsidRPr="00E62A97" w:rsidSect="008B6595">
          <w:pgSz w:w="11906" w:h="16838"/>
          <w:pgMar w:top="284" w:right="1274"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60C6AE8C" w14:textId="0EFB4AD3" w:rsidR="00E62A97" w:rsidRDefault="00E62A97" w:rsidP="00A85414">
      <w:pPr>
        <w:pStyle w:val="CoverTitle"/>
      </w:pPr>
      <w:r>
        <w:t xml:space="preserve">Specification for </w:t>
      </w:r>
      <w:r w:rsidR="00A85414" w:rsidRPr="00A85414">
        <w:t>Sustainability Capacity Building</w:t>
      </w:r>
    </w:p>
    <w:p w14:paraId="41231557" w14:textId="44DF9F4B" w:rsidR="00E62A97" w:rsidRDefault="00E62A97" w:rsidP="00E62A97">
      <w:pPr>
        <w:pStyle w:val="CoverTitle"/>
      </w:pPr>
    </w:p>
    <w:p w14:paraId="51EEE5B3" w14:textId="468285DF" w:rsidR="00A85414" w:rsidRDefault="00A85414" w:rsidP="00E62A97">
      <w:pPr>
        <w:pStyle w:val="CoverTitle"/>
      </w:pPr>
    </w:p>
    <w:p w14:paraId="18568C6A" w14:textId="0D67D99E" w:rsidR="00A85414" w:rsidRDefault="00A85414" w:rsidP="00E62A97">
      <w:pPr>
        <w:pStyle w:val="CoverTitle"/>
      </w:pPr>
    </w:p>
    <w:p w14:paraId="64143712" w14:textId="4E8CEDC6" w:rsidR="00A85414" w:rsidRDefault="00A85414" w:rsidP="00E62A97">
      <w:pPr>
        <w:pStyle w:val="CoverTitle"/>
      </w:pPr>
    </w:p>
    <w:p w14:paraId="0F8A9DCC" w14:textId="4EFE3799" w:rsidR="00A85414" w:rsidRDefault="00A85414" w:rsidP="00E62A97">
      <w:pPr>
        <w:pStyle w:val="CoverTitle"/>
      </w:pPr>
    </w:p>
    <w:p w14:paraId="09A7D78E" w14:textId="527FF69B" w:rsidR="00A85414" w:rsidRDefault="00A85414" w:rsidP="00E62A97">
      <w:pPr>
        <w:pStyle w:val="CoverTitle"/>
      </w:pPr>
    </w:p>
    <w:p w14:paraId="1224705A" w14:textId="148E8FC2" w:rsidR="00A85414" w:rsidRDefault="00A85414" w:rsidP="00E62A97">
      <w:pPr>
        <w:pStyle w:val="CoverTitle"/>
      </w:pPr>
    </w:p>
    <w:p w14:paraId="3C2DD0A1" w14:textId="2E68CAF3" w:rsidR="00A85414" w:rsidRDefault="00A85414" w:rsidP="00E62A97">
      <w:pPr>
        <w:pStyle w:val="CoverTitle"/>
      </w:pPr>
    </w:p>
    <w:p w14:paraId="116121BC" w14:textId="2FA9902E" w:rsidR="00A85414" w:rsidRDefault="00A85414" w:rsidP="00E62A97">
      <w:pPr>
        <w:pStyle w:val="CoverTitle"/>
      </w:pPr>
    </w:p>
    <w:p w14:paraId="170D027D" w14:textId="41B23298" w:rsidR="00C51D63" w:rsidRDefault="00C51D63" w:rsidP="00E62A97">
      <w:pPr>
        <w:pStyle w:val="CoverTitle"/>
      </w:pPr>
    </w:p>
    <w:p w14:paraId="6C4BC6EF" w14:textId="77777777" w:rsidR="00C51D63" w:rsidRDefault="00C51D63" w:rsidP="00E62A97">
      <w:pPr>
        <w:pStyle w:val="CoverTitle"/>
      </w:pPr>
    </w:p>
    <w:p w14:paraId="39A95166" w14:textId="77777777" w:rsidR="00A85414" w:rsidRDefault="00A85414" w:rsidP="00F0516F">
      <w:pPr>
        <w:pStyle w:val="Heading1"/>
        <w:numPr>
          <w:ilvl w:val="0"/>
          <w:numId w:val="44"/>
        </w:numPr>
      </w:pPr>
      <w:r>
        <w:t>Background</w:t>
      </w:r>
    </w:p>
    <w:p w14:paraId="2FA484E1" w14:textId="77777777" w:rsidR="00A85414" w:rsidRDefault="00A85414" w:rsidP="00A85414">
      <w:pPr>
        <w:pStyle w:val="Body"/>
        <w:spacing w:line="276" w:lineRule="auto"/>
      </w:pPr>
      <w:r>
        <w:t xml:space="preserve">The Rail Industry operates in a context that is undergoing rapid change shaped by external pressures including an increase in extreme weather events, growing demands on infrastructure and a shifting policy environment, such as Brexit. These changes present new risks and opportunities across the industry – especially those areas with a long-term planning cycle such as infrastructure. Locking in resilient infrastructure will protect value, secure Britain’s railways and prepare the organisation for long-term success. It is imperative the rail industry embed sustainable thinking into rail decision making and policy processes. Building sustainable development capacity in the industry’s executive leaders will help contribute to meeting this ambition. </w:t>
      </w:r>
    </w:p>
    <w:p w14:paraId="558A88E0" w14:textId="77777777" w:rsidR="00A85414" w:rsidRDefault="00A85414" w:rsidP="00A85414">
      <w:pPr>
        <w:pStyle w:val="Body"/>
        <w:spacing w:line="276" w:lineRule="auto"/>
      </w:pPr>
      <w:r>
        <w:t xml:space="preserve">First published in 2009, and updates and re-launched in May 2016 the Rail Sustainable Development Principles (accessible </w:t>
      </w:r>
      <w:hyperlink r:id="rId19" w:history="1">
        <w:r w:rsidRPr="00A5553D">
          <w:rPr>
            <w:rStyle w:val="Hyperlink"/>
          </w:rPr>
          <w:t>here</w:t>
        </w:r>
      </w:hyperlink>
      <w:r>
        <w:t xml:space="preserve">) define what sustainable development means for the railway. These principles form an important part of the rail franchising process though there is still much effort needed to embed the principles into everyday business decisions.  </w:t>
      </w:r>
    </w:p>
    <w:p w14:paraId="3EB1CABF" w14:textId="77777777" w:rsidR="00A85414" w:rsidRDefault="00A85414" w:rsidP="00A85414">
      <w:pPr>
        <w:pStyle w:val="Body"/>
        <w:spacing w:line="276" w:lineRule="auto"/>
      </w:pPr>
      <w:r>
        <w:t xml:space="preserve">This programme will support the adoption of these principles and is part of a wider rail sector initiative designed to build awareness amongst key decision makers across the UK rail industry around critical sustainability issues and related risks and opportunities facing the sector. It will also be designed to inspire an ongoing collaboration amongst these key actors to overcome critical barriers to change and respond positively to priority opportunities for action. </w:t>
      </w:r>
    </w:p>
    <w:p w14:paraId="45BBE544" w14:textId="77777777" w:rsidR="00A85414" w:rsidRDefault="00A85414" w:rsidP="00A85414">
      <w:pPr>
        <w:pStyle w:val="Body"/>
        <w:spacing w:line="276" w:lineRule="auto"/>
      </w:pPr>
    </w:p>
    <w:p w14:paraId="54574069" w14:textId="77777777" w:rsidR="00A85414" w:rsidRDefault="00A85414" w:rsidP="00F0516F">
      <w:pPr>
        <w:pStyle w:val="Heading1"/>
        <w:numPr>
          <w:ilvl w:val="0"/>
          <w:numId w:val="44"/>
        </w:numPr>
      </w:pPr>
      <w:r>
        <w:t>Project objectives</w:t>
      </w:r>
    </w:p>
    <w:p w14:paraId="324EECC3" w14:textId="77777777" w:rsidR="00A85414" w:rsidRPr="001D2B44" w:rsidRDefault="00A85414" w:rsidP="00A85414">
      <w:pPr>
        <w:pStyle w:val="Body"/>
        <w:rPr>
          <w:rFonts w:asciiTheme="minorHAnsi" w:hAnsiTheme="minorHAnsi"/>
        </w:rPr>
      </w:pPr>
      <w:r>
        <w:t xml:space="preserve">The </w:t>
      </w:r>
      <w:r w:rsidRPr="001D2B44">
        <w:rPr>
          <w:rFonts w:asciiTheme="minorHAnsi" w:hAnsiTheme="minorHAnsi"/>
        </w:rPr>
        <w:t>principles objectives of this programme are to:</w:t>
      </w:r>
    </w:p>
    <w:p w14:paraId="18DDCEE8"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Build a shared understanding of sustainability development within the rail industry executives and senior managers.</w:t>
      </w:r>
    </w:p>
    <w:p w14:paraId="10575A7F"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Establish points of reference including the scale, urgency and direction of sustainability issues based on robust evidence.</w:t>
      </w:r>
    </w:p>
    <w:p w14:paraId="0237872B"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Demonstrate how other sectors, organisations and leaders are responding to changes in their marketplace.</w:t>
      </w:r>
    </w:p>
    <w:p w14:paraId="2749259C"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Demonstrate what individuals can do within their roles to change their behaviour and influence others.</w:t>
      </w:r>
    </w:p>
    <w:p w14:paraId="3C3492DD"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Provide strategic context and support the leadership development of senior staff.</w:t>
      </w:r>
    </w:p>
    <w:p w14:paraId="47F2F3D0"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Help people understand and have the confidence to demonstrate role model behaviours.</w:t>
      </w:r>
    </w:p>
    <w:p w14:paraId="4E804FFF"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lastRenderedPageBreak/>
        <w:t>Support open and honest conversation of specific barriers to greater sustainability and how these can be addressed.</w:t>
      </w:r>
    </w:p>
    <w:p w14:paraId="2B89D6E2" w14:textId="77777777" w:rsidR="00A85414" w:rsidRPr="001D2B44" w:rsidRDefault="00A85414" w:rsidP="00F0516F">
      <w:pPr>
        <w:pStyle w:val="ListParagraph"/>
        <w:numPr>
          <w:ilvl w:val="0"/>
          <w:numId w:val="55"/>
        </w:numPr>
        <w:spacing w:after="120" w:line="300" w:lineRule="exact"/>
        <w:rPr>
          <w:rFonts w:asciiTheme="minorHAnsi" w:hAnsiTheme="minorHAnsi"/>
          <w:sz w:val="22"/>
          <w:szCs w:val="22"/>
        </w:rPr>
      </w:pPr>
      <w:r w:rsidRPr="001D2B44">
        <w:rPr>
          <w:rFonts w:asciiTheme="minorHAnsi" w:hAnsiTheme="minorHAnsi"/>
          <w:sz w:val="22"/>
          <w:szCs w:val="22"/>
        </w:rPr>
        <w:t>Equip individual learners with knowledge, insights and confidence to reconcile commercial and strategic needs with the changing context and turn these into practical actions.</w:t>
      </w:r>
    </w:p>
    <w:p w14:paraId="62056F7F" w14:textId="77777777" w:rsidR="00A85414" w:rsidRDefault="00A85414" w:rsidP="00A85414">
      <w:pPr>
        <w:pStyle w:val="Body"/>
      </w:pPr>
    </w:p>
    <w:p w14:paraId="05933B59" w14:textId="77777777" w:rsidR="00A85414" w:rsidRDefault="00A85414" w:rsidP="00A85414">
      <w:pPr>
        <w:pStyle w:val="Body"/>
      </w:pPr>
    </w:p>
    <w:p w14:paraId="7C58817F" w14:textId="77777777" w:rsidR="00A85414" w:rsidRDefault="00A85414" w:rsidP="00A85414">
      <w:pPr>
        <w:pStyle w:val="Body"/>
      </w:pPr>
      <w:r>
        <w:t>The programme will be split into three work packages;</w:t>
      </w:r>
    </w:p>
    <w:p w14:paraId="6A6CDFDE" w14:textId="77777777" w:rsidR="00A85414" w:rsidRPr="00820AF5" w:rsidRDefault="00A85414" w:rsidP="00A85414">
      <w:pPr>
        <w:pStyle w:val="Body"/>
        <w:spacing w:after="0"/>
        <w:jc w:val="both"/>
        <w:rPr>
          <w:b/>
        </w:rPr>
      </w:pPr>
      <w:r w:rsidRPr="00820AF5">
        <w:rPr>
          <w:b/>
        </w:rPr>
        <w:t>Package 1: North</w:t>
      </w:r>
      <w:r>
        <w:rPr>
          <w:b/>
        </w:rPr>
        <w:t xml:space="preserve"> of England</w:t>
      </w:r>
    </w:p>
    <w:p w14:paraId="6DD535DE" w14:textId="77777777" w:rsidR="00A85414" w:rsidRDefault="00A85414" w:rsidP="00F0516F">
      <w:pPr>
        <w:pStyle w:val="Body"/>
        <w:numPr>
          <w:ilvl w:val="0"/>
          <w:numId w:val="52"/>
        </w:numPr>
        <w:spacing w:after="0"/>
        <w:jc w:val="both"/>
      </w:pPr>
      <w:r w:rsidRPr="00C27194">
        <w:t>A programme for executive leaders of rail organisations in the north of England to develop sustainable development capacity and engagement.</w:t>
      </w:r>
    </w:p>
    <w:p w14:paraId="278066E8" w14:textId="77777777" w:rsidR="00A85414" w:rsidRDefault="00A85414" w:rsidP="00A85414">
      <w:pPr>
        <w:pStyle w:val="Body"/>
        <w:spacing w:after="0"/>
        <w:ind w:left="1125"/>
        <w:jc w:val="both"/>
      </w:pPr>
    </w:p>
    <w:tbl>
      <w:tblPr>
        <w:tblStyle w:val="TableGrid"/>
        <w:tblW w:w="0" w:type="auto"/>
        <w:tblInd w:w="704" w:type="dxa"/>
        <w:tblLook w:val="04A0" w:firstRow="1" w:lastRow="0" w:firstColumn="1" w:lastColumn="0" w:noHBand="0" w:noVBand="1"/>
      </w:tblPr>
      <w:tblGrid>
        <w:gridCol w:w="7592"/>
      </w:tblGrid>
      <w:tr w:rsidR="00A85414" w:rsidRPr="001D2B44" w14:paraId="6E3E9C64" w14:textId="77777777" w:rsidTr="001D2B44">
        <w:tc>
          <w:tcPr>
            <w:tcW w:w="7592" w:type="dxa"/>
          </w:tcPr>
          <w:p w14:paraId="03F8A36F"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
                <w:bCs/>
              </w:rPr>
              <w:t xml:space="preserve">Proposed delegates </w:t>
            </w:r>
            <w:r w:rsidRPr="001D2B44">
              <w:rPr>
                <w:rFonts w:asciiTheme="minorHAnsi" w:hAnsiTheme="minorHAnsi"/>
                <w:bCs/>
              </w:rPr>
              <w:t xml:space="preserve">20-30 company directors from rail organisations based in the north of England </w:t>
            </w:r>
          </w:p>
          <w:p w14:paraId="74A281EF"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
                <w:bCs/>
              </w:rPr>
              <w:t xml:space="preserve">Length </w:t>
            </w:r>
            <w:r w:rsidRPr="001D2B44">
              <w:rPr>
                <w:rFonts w:asciiTheme="minorHAnsi" w:hAnsiTheme="minorHAnsi"/>
                <w:bCs/>
              </w:rPr>
              <w:t>1 day</w:t>
            </w:r>
          </w:p>
          <w:p w14:paraId="195F98E6"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
                <w:bCs/>
              </w:rPr>
              <w:t xml:space="preserve">Location </w:t>
            </w:r>
            <w:r w:rsidRPr="001D2B44">
              <w:rPr>
                <w:rFonts w:asciiTheme="minorHAnsi" w:hAnsiTheme="minorHAnsi"/>
                <w:bCs/>
              </w:rPr>
              <w:t>Ideally Manchester, Leeds or York</w:t>
            </w:r>
          </w:p>
          <w:p w14:paraId="037978C3" w14:textId="77777777" w:rsidR="00A85414" w:rsidRPr="001D2B44" w:rsidRDefault="00A85414" w:rsidP="00B143E8">
            <w:pPr>
              <w:pStyle w:val="BodyIndent1"/>
              <w:spacing w:after="0"/>
              <w:jc w:val="both"/>
              <w:rPr>
                <w:rFonts w:asciiTheme="minorHAnsi" w:hAnsiTheme="minorHAnsi"/>
                <w:b/>
                <w:bCs/>
              </w:rPr>
            </w:pPr>
            <w:r w:rsidRPr="001D2B44">
              <w:rPr>
                <w:rFonts w:asciiTheme="minorHAnsi" w:hAnsiTheme="minorHAnsi"/>
                <w:b/>
                <w:bCs/>
              </w:rPr>
              <w:t>Background</w:t>
            </w:r>
          </w:p>
          <w:p w14:paraId="661A9612"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t>The North of England accounts for 25% of the national economy, that is £311 billion Gross Value Added per year. Its economy is much larger than Scotland, Wales and Northern Ireland combined. It is bigger than the individual Scandinavian economies of Sweden, Norway and Denmark</w:t>
            </w:r>
            <w:r w:rsidRPr="001D2B44">
              <w:rPr>
                <w:rStyle w:val="FootnoteReference"/>
                <w:rFonts w:asciiTheme="minorHAnsi" w:hAnsiTheme="minorHAnsi"/>
                <w:bCs/>
              </w:rPr>
              <w:footnoteReference w:id="1"/>
            </w:r>
            <w:r w:rsidRPr="001D2B44">
              <w:rPr>
                <w:rFonts w:asciiTheme="minorHAnsi" w:hAnsiTheme="minorHAnsi"/>
                <w:bCs/>
              </w:rPr>
              <w:t>.</w:t>
            </w:r>
          </w:p>
          <w:p w14:paraId="24FC2A73"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t>The Government has said that it wants to re-balance the national economy away from the over-crowded South East and away from an undue reliance on financial services. The Chancellor of the Exchequer has recognised that the North could become a global economic powerhouse. To achieve this, the North’s economy will need to grow at a faster rate than the rest of the country and receive investment in rail.</w:t>
            </w:r>
          </w:p>
          <w:p w14:paraId="78F5458E"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t>The North has a significant rail network. It is served by three north/south inter-city lines, and also by the important cross-country and trans-Pennine corridors. Passenger services are provided by ten different franchises and two open access operators. It is an intersection of key national, regional and local flows. There are over 500 stations in the North, a fifth of the national total. Over half the rail freight on the national network travels to, from or through the North.</w:t>
            </w:r>
          </w:p>
          <w:p w14:paraId="747A593C" w14:textId="77777777" w:rsidR="00A85414" w:rsidRPr="001D2B44" w:rsidRDefault="00A85414" w:rsidP="00B143E8">
            <w:pPr>
              <w:pStyle w:val="BodyIndent1"/>
              <w:spacing w:after="0"/>
              <w:jc w:val="both"/>
              <w:rPr>
                <w:rFonts w:asciiTheme="minorHAnsi" w:hAnsiTheme="minorHAnsi"/>
                <w:b/>
                <w:bCs/>
              </w:rPr>
            </w:pPr>
            <w:r w:rsidRPr="001D2B44">
              <w:rPr>
                <w:rFonts w:asciiTheme="minorHAnsi" w:hAnsiTheme="minorHAnsi"/>
                <w:b/>
                <w:bCs/>
              </w:rPr>
              <w:t>Purpose</w:t>
            </w:r>
          </w:p>
          <w:p w14:paraId="14BE4E5B"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t>The programme will be to bring together the myriad of rail organisations, key stakeholders and major suppliers to better understand how sustainability underpins the vision for the north and how their organisations need to function at a system level to support this change.</w:t>
            </w:r>
          </w:p>
          <w:p w14:paraId="63D0C0C3" w14:textId="77777777" w:rsidR="00A85414" w:rsidRPr="001D2B44" w:rsidRDefault="00A85414" w:rsidP="00B143E8">
            <w:pPr>
              <w:pStyle w:val="BodyIndent1"/>
              <w:spacing w:after="0"/>
              <w:jc w:val="both"/>
              <w:rPr>
                <w:rFonts w:asciiTheme="minorHAnsi" w:hAnsiTheme="minorHAnsi"/>
                <w:b/>
                <w:bCs/>
              </w:rPr>
            </w:pPr>
            <w:r w:rsidRPr="001D2B44">
              <w:rPr>
                <w:rFonts w:asciiTheme="minorHAnsi" w:hAnsiTheme="minorHAnsi"/>
                <w:b/>
                <w:bCs/>
              </w:rPr>
              <w:t>Outcomes</w:t>
            </w:r>
          </w:p>
          <w:p w14:paraId="5A7FF286"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t>In addition to the objectives listed previously, the programme should be designed to give senior executives the knowledge and techniques to address key sustainability challenges in a practical way.</w:t>
            </w:r>
          </w:p>
          <w:p w14:paraId="7987D7EB" w14:textId="77777777" w:rsidR="00A85414" w:rsidRPr="001D2B44" w:rsidRDefault="00A85414" w:rsidP="00B143E8">
            <w:pPr>
              <w:pStyle w:val="BodyIndent1"/>
              <w:spacing w:after="0"/>
              <w:jc w:val="both"/>
              <w:rPr>
                <w:rFonts w:asciiTheme="minorHAnsi" w:hAnsiTheme="minorHAnsi"/>
                <w:bCs/>
              </w:rPr>
            </w:pPr>
            <w:r w:rsidRPr="001D2B44">
              <w:rPr>
                <w:rFonts w:asciiTheme="minorHAnsi" w:hAnsiTheme="minorHAnsi"/>
                <w:bCs/>
              </w:rPr>
              <w:lastRenderedPageBreak/>
              <w:t>Participants should be encouraged to review their current business models and set a vision for what success looks like in the future, leaving the programme with the inspiration, understanding and confidence to define and respond to pressing social, economic and environmental priorities.</w:t>
            </w:r>
          </w:p>
          <w:p w14:paraId="6B733905" w14:textId="77777777" w:rsidR="00A85414" w:rsidRPr="001D2B44" w:rsidRDefault="00A85414" w:rsidP="00B143E8">
            <w:pPr>
              <w:ind w:left="181"/>
              <w:jc w:val="both"/>
              <w:rPr>
                <w:rFonts w:asciiTheme="minorHAnsi" w:hAnsiTheme="minorHAnsi"/>
              </w:rPr>
            </w:pPr>
            <w:r w:rsidRPr="001D2B44">
              <w:rPr>
                <w:rFonts w:asciiTheme="minorHAnsi" w:hAnsiTheme="minorHAnsi"/>
              </w:rPr>
              <w:t>The programme should include pre-engagement with delegates prior to attending the invite and also a planned follow up intervention afterwards to analyse impact.</w:t>
            </w:r>
          </w:p>
          <w:p w14:paraId="3E5F6F53" w14:textId="77777777" w:rsidR="00A85414" w:rsidRPr="001D2B44" w:rsidRDefault="00A85414" w:rsidP="00B143E8">
            <w:pPr>
              <w:pStyle w:val="Body"/>
              <w:spacing w:after="0"/>
              <w:jc w:val="both"/>
              <w:rPr>
                <w:rFonts w:asciiTheme="minorHAnsi" w:hAnsiTheme="minorHAnsi"/>
              </w:rPr>
            </w:pPr>
          </w:p>
        </w:tc>
      </w:tr>
    </w:tbl>
    <w:p w14:paraId="73028EFA" w14:textId="77777777" w:rsidR="00A85414" w:rsidRDefault="00A85414" w:rsidP="00A85414">
      <w:pPr>
        <w:pStyle w:val="Body"/>
        <w:spacing w:after="0"/>
        <w:ind w:left="1125"/>
        <w:jc w:val="both"/>
      </w:pPr>
    </w:p>
    <w:p w14:paraId="44340754" w14:textId="77777777" w:rsidR="00A85414" w:rsidRDefault="00A85414" w:rsidP="00A85414">
      <w:pPr>
        <w:pStyle w:val="Body"/>
        <w:spacing w:after="0"/>
        <w:ind w:left="1125"/>
        <w:jc w:val="both"/>
      </w:pPr>
    </w:p>
    <w:p w14:paraId="1B09FAC2" w14:textId="77777777" w:rsidR="00A85414" w:rsidRPr="00820AF5" w:rsidRDefault="00A85414" w:rsidP="00A85414">
      <w:pPr>
        <w:pStyle w:val="Body"/>
        <w:spacing w:after="0"/>
        <w:rPr>
          <w:b/>
        </w:rPr>
      </w:pPr>
      <w:r w:rsidRPr="00820AF5">
        <w:rPr>
          <w:b/>
        </w:rPr>
        <w:t xml:space="preserve">Package 2: </w:t>
      </w:r>
      <w:r>
        <w:rPr>
          <w:b/>
        </w:rPr>
        <w:t>Sponsors and funders</w:t>
      </w:r>
    </w:p>
    <w:p w14:paraId="68E5A4C3" w14:textId="77777777" w:rsidR="00A85414" w:rsidRDefault="00A85414" w:rsidP="00F0516F">
      <w:pPr>
        <w:pStyle w:val="Body"/>
        <w:numPr>
          <w:ilvl w:val="0"/>
          <w:numId w:val="52"/>
        </w:numPr>
      </w:pPr>
      <w:r w:rsidRPr="00C27194">
        <w:t xml:space="preserve">An programme for </w:t>
      </w:r>
      <w:r>
        <w:t>leaders within the rail sector sponsorship and funding community to</w:t>
      </w:r>
      <w:r w:rsidRPr="00C27194">
        <w:t xml:space="preserve"> develop sustainable development capacity and engagement.</w:t>
      </w:r>
    </w:p>
    <w:tbl>
      <w:tblPr>
        <w:tblStyle w:val="TableGrid"/>
        <w:tblW w:w="0" w:type="auto"/>
        <w:tblInd w:w="704" w:type="dxa"/>
        <w:tblLook w:val="04A0" w:firstRow="1" w:lastRow="0" w:firstColumn="1" w:lastColumn="0" w:noHBand="0" w:noVBand="1"/>
      </w:tblPr>
      <w:tblGrid>
        <w:gridCol w:w="7592"/>
      </w:tblGrid>
      <w:tr w:rsidR="00A85414" w14:paraId="390A7645" w14:textId="77777777" w:rsidTr="001D2B44">
        <w:tc>
          <w:tcPr>
            <w:tcW w:w="7592" w:type="dxa"/>
          </w:tcPr>
          <w:p w14:paraId="4CEEC733" w14:textId="77777777" w:rsidR="00A85414" w:rsidRPr="007209AB" w:rsidRDefault="00A85414" w:rsidP="00B143E8">
            <w:pPr>
              <w:pStyle w:val="BodyIndent1"/>
              <w:spacing w:after="0"/>
              <w:jc w:val="both"/>
              <w:rPr>
                <w:bCs/>
              </w:rPr>
            </w:pPr>
            <w:bookmarkStart w:id="11" w:name="_Hlk497141169"/>
            <w:r>
              <w:rPr>
                <w:b/>
                <w:bCs/>
              </w:rPr>
              <w:t xml:space="preserve">Proposed delegates </w:t>
            </w:r>
            <w:r>
              <w:rPr>
                <w:bCs/>
              </w:rPr>
              <w:t xml:space="preserve">25-30 senior leaders who work in the rail sector for the Department for Transport </w:t>
            </w:r>
          </w:p>
          <w:p w14:paraId="7F5CBAC0" w14:textId="77777777" w:rsidR="00A85414" w:rsidRDefault="00A85414" w:rsidP="00B143E8">
            <w:pPr>
              <w:pStyle w:val="BodyIndent1"/>
              <w:spacing w:after="0"/>
              <w:jc w:val="both"/>
              <w:rPr>
                <w:bCs/>
              </w:rPr>
            </w:pPr>
            <w:r>
              <w:rPr>
                <w:b/>
                <w:bCs/>
              </w:rPr>
              <w:t xml:space="preserve">Length </w:t>
            </w:r>
            <w:r>
              <w:rPr>
                <w:bCs/>
              </w:rPr>
              <w:t>2 days</w:t>
            </w:r>
          </w:p>
          <w:p w14:paraId="2375660A" w14:textId="77777777" w:rsidR="00A85414" w:rsidRPr="006751B3" w:rsidRDefault="00A85414" w:rsidP="00B143E8">
            <w:pPr>
              <w:pStyle w:val="BodyIndent1"/>
              <w:spacing w:after="0"/>
              <w:jc w:val="both"/>
              <w:rPr>
                <w:bCs/>
              </w:rPr>
            </w:pPr>
            <w:r>
              <w:rPr>
                <w:b/>
                <w:bCs/>
              </w:rPr>
              <w:t xml:space="preserve">Location </w:t>
            </w:r>
            <w:r>
              <w:rPr>
                <w:bCs/>
              </w:rPr>
              <w:t>Open to suggestions - to be agreed with RSSB</w:t>
            </w:r>
          </w:p>
          <w:p w14:paraId="69D86512" w14:textId="77777777" w:rsidR="00A85414" w:rsidRDefault="00A85414" w:rsidP="00B143E8">
            <w:pPr>
              <w:pStyle w:val="BodyIndent1"/>
              <w:spacing w:after="0"/>
              <w:jc w:val="both"/>
              <w:rPr>
                <w:b/>
                <w:bCs/>
              </w:rPr>
            </w:pPr>
            <w:r>
              <w:rPr>
                <w:b/>
                <w:bCs/>
              </w:rPr>
              <w:t>Background</w:t>
            </w:r>
          </w:p>
          <w:p w14:paraId="2DAA62C5" w14:textId="77777777" w:rsidR="00A85414" w:rsidRPr="00A674EE" w:rsidRDefault="00A85414" w:rsidP="00B143E8">
            <w:pPr>
              <w:pStyle w:val="BodyIndent1"/>
              <w:jc w:val="both"/>
              <w:rPr>
                <w:bCs/>
              </w:rPr>
            </w:pPr>
            <w:r>
              <w:rPr>
                <w:bCs/>
              </w:rPr>
              <w:t>T</w:t>
            </w:r>
            <w:r w:rsidRPr="00A674EE">
              <w:rPr>
                <w:bCs/>
              </w:rPr>
              <w:t xml:space="preserve">he </w:t>
            </w:r>
            <w:r>
              <w:rPr>
                <w:bCs/>
              </w:rPr>
              <w:t xml:space="preserve">GB </w:t>
            </w:r>
            <w:r w:rsidRPr="00A674EE">
              <w:rPr>
                <w:bCs/>
              </w:rPr>
              <w:t xml:space="preserve">rail industry faces a challenging period of change, as Network Rail and the train operating companies come under increasing pressure to deliver a customer centric service that is affordable and demonstrates greater value for money.  A service that continues to be safe and offers improved levels of reliability and punctuality.  Furthermore, a sustainable mode of transport that has strong green credentials and that provides a competitive alternative to road for both passenger and freight customers. </w:t>
            </w:r>
          </w:p>
          <w:p w14:paraId="7C9BE360" w14:textId="77777777" w:rsidR="00A85414" w:rsidRDefault="00A85414" w:rsidP="00B143E8">
            <w:pPr>
              <w:pStyle w:val="BodyIndent1"/>
              <w:spacing w:after="0"/>
              <w:jc w:val="both"/>
              <w:rPr>
                <w:bCs/>
              </w:rPr>
            </w:pPr>
            <w:r w:rsidRPr="00A674EE">
              <w:rPr>
                <w:bCs/>
              </w:rPr>
              <w:t xml:space="preserve">The delivery of such a system will require much higher levels of collaboration across the industry and a willingness to adapt to change in order to realise the opportunities that will deliver the efficiencies required to satisfy the governments expectations. </w:t>
            </w:r>
            <w:r>
              <w:rPr>
                <w:bCs/>
              </w:rPr>
              <w:t xml:space="preserve"> </w:t>
            </w:r>
          </w:p>
          <w:p w14:paraId="036EC27B" w14:textId="77777777" w:rsidR="00A85414" w:rsidRPr="0033345E" w:rsidRDefault="00A85414" w:rsidP="00B143E8">
            <w:pPr>
              <w:pStyle w:val="BodyIndent1"/>
              <w:spacing w:after="0"/>
              <w:jc w:val="both"/>
              <w:rPr>
                <w:b/>
                <w:bCs/>
              </w:rPr>
            </w:pPr>
            <w:r w:rsidRPr="0033345E">
              <w:rPr>
                <w:b/>
                <w:bCs/>
              </w:rPr>
              <w:t>Purpose</w:t>
            </w:r>
          </w:p>
          <w:p w14:paraId="4B278BAD" w14:textId="77777777" w:rsidR="00A85414" w:rsidRDefault="00A85414" w:rsidP="00B143E8">
            <w:pPr>
              <w:pStyle w:val="BodyIndent1"/>
              <w:spacing w:after="0"/>
              <w:jc w:val="both"/>
              <w:rPr>
                <w:bCs/>
              </w:rPr>
            </w:pPr>
            <w:r>
              <w:rPr>
                <w:bCs/>
              </w:rPr>
              <w:t>The programme will be to bring together the rail leaders and key funders of the public sector to better understand how sustainability underpins the very existence of the rail system and how they act as lead client of the system and pivotal in engineering and embedding sustainable change.</w:t>
            </w:r>
          </w:p>
          <w:p w14:paraId="47263F05" w14:textId="77777777" w:rsidR="00A85414" w:rsidRDefault="00A85414" w:rsidP="00B143E8">
            <w:pPr>
              <w:pStyle w:val="BodyIndent1"/>
              <w:spacing w:after="0"/>
              <w:jc w:val="both"/>
              <w:rPr>
                <w:b/>
                <w:bCs/>
              </w:rPr>
            </w:pPr>
            <w:r>
              <w:rPr>
                <w:b/>
                <w:bCs/>
              </w:rPr>
              <w:t>Outcomes</w:t>
            </w:r>
          </w:p>
          <w:p w14:paraId="214C6E1F" w14:textId="77777777" w:rsidR="00A85414" w:rsidRPr="007209AB" w:rsidRDefault="00A85414" w:rsidP="00B143E8">
            <w:pPr>
              <w:pStyle w:val="BodyIndent1"/>
              <w:spacing w:after="0"/>
              <w:jc w:val="both"/>
              <w:rPr>
                <w:bCs/>
              </w:rPr>
            </w:pPr>
            <w:r>
              <w:rPr>
                <w:bCs/>
              </w:rPr>
              <w:t xml:space="preserve">In addition to the objectives listed previously, </w:t>
            </w:r>
            <w:r w:rsidRPr="007209AB">
              <w:rPr>
                <w:bCs/>
              </w:rPr>
              <w:t xml:space="preserve">the programme </w:t>
            </w:r>
            <w:r>
              <w:rPr>
                <w:bCs/>
              </w:rPr>
              <w:t>should be</w:t>
            </w:r>
            <w:r w:rsidRPr="007209AB">
              <w:rPr>
                <w:bCs/>
              </w:rPr>
              <w:t xml:space="preserve"> designed to give senior </w:t>
            </w:r>
            <w:r>
              <w:rPr>
                <w:bCs/>
              </w:rPr>
              <w:t>leaders</w:t>
            </w:r>
            <w:r w:rsidRPr="007209AB">
              <w:rPr>
                <w:bCs/>
              </w:rPr>
              <w:t xml:space="preserve"> the knowledge and techniques to address key sustainability challenges in a practical way.</w:t>
            </w:r>
          </w:p>
          <w:p w14:paraId="0C2963CC" w14:textId="77777777" w:rsidR="00A85414" w:rsidRPr="007209AB" w:rsidRDefault="00A85414" w:rsidP="00B143E8">
            <w:pPr>
              <w:pStyle w:val="BodyIndent1"/>
              <w:spacing w:after="0"/>
              <w:jc w:val="both"/>
              <w:rPr>
                <w:bCs/>
              </w:rPr>
            </w:pPr>
            <w:r w:rsidRPr="007209AB">
              <w:rPr>
                <w:bCs/>
              </w:rPr>
              <w:t xml:space="preserve">Participants </w:t>
            </w:r>
            <w:r>
              <w:rPr>
                <w:bCs/>
              </w:rPr>
              <w:t>should be</w:t>
            </w:r>
            <w:r w:rsidRPr="007209AB">
              <w:rPr>
                <w:bCs/>
              </w:rPr>
              <w:t xml:space="preserve"> encouraged to review their current business models and set a vision for what success looks like in the future, leaving the </w:t>
            </w:r>
            <w:r>
              <w:rPr>
                <w:bCs/>
              </w:rPr>
              <w:t>programme</w:t>
            </w:r>
            <w:r w:rsidRPr="007209AB">
              <w:rPr>
                <w:bCs/>
              </w:rPr>
              <w:t xml:space="preserve"> with the inspiration, understanding and confidence to define and respond to pressing social, economic and environmental priorities.</w:t>
            </w:r>
          </w:p>
          <w:p w14:paraId="2AE635FE" w14:textId="77777777" w:rsidR="00A85414" w:rsidRPr="001D2B44" w:rsidRDefault="00A85414" w:rsidP="00B143E8">
            <w:pPr>
              <w:ind w:left="181"/>
              <w:jc w:val="both"/>
              <w:rPr>
                <w:rFonts w:asciiTheme="minorHAnsi" w:hAnsiTheme="minorHAnsi"/>
              </w:rPr>
            </w:pPr>
            <w:r w:rsidRPr="001D2B44">
              <w:rPr>
                <w:rFonts w:asciiTheme="minorHAnsi" w:hAnsiTheme="minorHAnsi"/>
              </w:rPr>
              <w:lastRenderedPageBreak/>
              <w:t>The programme should include pre-engagement with delegates prior to attending the invite and also a planned follow up intervention afterwards to analyse impact.</w:t>
            </w:r>
          </w:p>
          <w:p w14:paraId="5CB2238B" w14:textId="77777777" w:rsidR="00A85414" w:rsidRDefault="00A85414" w:rsidP="00B143E8">
            <w:pPr>
              <w:pStyle w:val="Body"/>
              <w:spacing w:after="0"/>
              <w:jc w:val="both"/>
            </w:pPr>
          </w:p>
        </w:tc>
      </w:tr>
      <w:bookmarkEnd w:id="11"/>
    </w:tbl>
    <w:p w14:paraId="2054C574" w14:textId="0CCFF6F5" w:rsidR="00A85414" w:rsidRDefault="00A85414" w:rsidP="00A85414">
      <w:pPr>
        <w:spacing w:after="200" w:line="276" w:lineRule="auto"/>
        <w:rPr>
          <w:rFonts w:asciiTheme="minorHAnsi" w:hAnsiTheme="minorHAnsi"/>
          <w:b/>
        </w:rPr>
      </w:pPr>
    </w:p>
    <w:p w14:paraId="6F27BE37" w14:textId="77777777" w:rsidR="00A85414" w:rsidRPr="00820AF5" w:rsidRDefault="00A85414" w:rsidP="00A85414">
      <w:pPr>
        <w:pStyle w:val="Body"/>
        <w:spacing w:after="0"/>
        <w:rPr>
          <w:b/>
        </w:rPr>
      </w:pPr>
      <w:r w:rsidRPr="00820AF5">
        <w:rPr>
          <w:b/>
        </w:rPr>
        <w:t>Package 3: RSSB Wider leadership team</w:t>
      </w:r>
    </w:p>
    <w:p w14:paraId="62B94455" w14:textId="77777777" w:rsidR="00A85414" w:rsidRDefault="00A85414" w:rsidP="00F0516F">
      <w:pPr>
        <w:pStyle w:val="Body"/>
        <w:numPr>
          <w:ilvl w:val="0"/>
          <w:numId w:val="52"/>
        </w:numPr>
        <w:spacing w:after="0"/>
        <w:jc w:val="both"/>
      </w:pPr>
      <w:r>
        <w:t>A</w:t>
      </w:r>
      <w:r w:rsidRPr="00C27194">
        <w:t xml:space="preserve"> programme for </w:t>
      </w:r>
      <w:r>
        <w:t>senior</w:t>
      </w:r>
      <w:r w:rsidRPr="00C27194">
        <w:t xml:space="preserve"> leaders </w:t>
      </w:r>
      <w:r>
        <w:t xml:space="preserve">within RSSB to </w:t>
      </w:r>
      <w:r w:rsidRPr="00C27194">
        <w:t>develop sustainable development capacity and engagement.</w:t>
      </w:r>
    </w:p>
    <w:p w14:paraId="787F508F" w14:textId="77777777" w:rsidR="00A85414" w:rsidRDefault="00A85414" w:rsidP="00A85414">
      <w:pPr>
        <w:pStyle w:val="Body"/>
        <w:spacing w:after="0"/>
        <w:ind w:left="1125"/>
        <w:jc w:val="both"/>
      </w:pPr>
    </w:p>
    <w:tbl>
      <w:tblPr>
        <w:tblStyle w:val="TableGrid"/>
        <w:tblW w:w="0" w:type="auto"/>
        <w:tblInd w:w="704" w:type="dxa"/>
        <w:tblLook w:val="04A0" w:firstRow="1" w:lastRow="0" w:firstColumn="1" w:lastColumn="0" w:noHBand="0" w:noVBand="1"/>
      </w:tblPr>
      <w:tblGrid>
        <w:gridCol w:w="7592"/>
      </w:tblGrid>
      <w:tr w:rsidR="00A85414" w14:paraId="061275A1" w14:textId="77777777" w:rsidTr="001D2B44">
        <w:tc>
          <w:tcPr>
            <w:tcW w:w="7592" w:type="dxa"/>
          </w:tcPr>
          <w:p w14:paraId="47427C6E" w14:textId="77777777" w:rsidR="00A85414" w:rsidRPr="007209AB" w:rsidRDefault="00A85414" w:rsidP="00B143E8">
            <w:pPr>
              <w:pStyle w:val="BodyIndent1"/>
              <w:spacing w:after="0"/>
              <w:jc w:val="both"/>
              <w:rPr>
                <w:bCs/>
              </w:rPr>
            </w:pPr>
            <w:r>
              <w:rPr>
                <w:b/>
                <w:bCs/>
              </w:rPr>
              <w:t xml:space="preserve">Proposed delegates </w:t>
            </w:r>
            <w:r>
              <w:rPr>
                <w:bCs/>
              </w:rPr>
              <w:t>35-40 senior leaders who work are part of the wider leadership team at RSSB.</w:t>
            </w:r>
          </w:p>
          <w:p w14:paraId="5CAC52D0" w14:textId="77777777" w:rsidR="00A85414" w:rsidRDefault="00A85414" w:rsidP="00B143E8">
            <w:pPr>
              <w:pStyle w:val="BodyIndent1"/>
              <w:spacing w:after="0"/>
              <w:jc w:val="both"/>
              <w:rPr>
                <w:bCs/>
              </w:rPr>
            </w:pPr>
            <w:r>
              <w:rPr>
                <w:b/>
                <w:bCs/>
              </w:rPr>
              <w:t xml:space="preserve">Length </w:t>
            </w:r>
            <w:r>
              <w:rPr>
                <w:bCs/>
              </w:rPr>
              <w:t>1 day</w:t>
            </w:r>
          </w:p>
          <w:p w14:paraId="59F1E102" w14:textId="77777777" w:rsidR="00A85414" w:rsidRPr="006751B3" w:rsidRDefault="00A85414" w:rsidP="00B143E8">
            <w:pPr>
              <w:pStyle w:val="BodyIndent1"/>
              <w:spacing w:after="0"/>
              <w:jc w:val="both"/>
              <w:rPr>
                <w:bCs/>
              </w:rPr>
            </w:pPr>
            <w:r>
              <w:rPr>
                <w:b/>
                <w:bCs/>
              </w:rPr>
              <w:t xml:space="preserve">Location </w:t>
            </w:r>
            <w:r>
              <w:rPr>
                <w:bCs/>
              </w:rPr>
              <w:t>Central London</w:t>
            </w:r>
          </w:p>
          <w:p w14:paraId="2F51F5B3" w14:textId="77777777" w:rsidR="00A85414" w:rsidRDefault="00A85414" w:rsidP="00B143E8">
            <w:pPr>
              <w:pStyle w:val="BodyIndent1"/>
              <w:spacing w:after="0"/>
              <w:jc w:val="both"/>
              <w:rPr>
                <w:b/>
                <w:bCs/>
              </w:rPr>
            </w:pPr>
            <w:r>
              <w:rPr>
                <w:b/>
                <w:bCs/>
              </w:rPr>
              <w:t>Background</w:t>
            </w:r>
          </w:p>
          <w:p w14:paraId="764BA40C" w14:textId="77777777" w:rsidR="00A85414" w:rsidRDefault="00A85414" w:rsidP="00B143E8">
            <w:pPr>
              <w:pStyle w:val="BodyIndent1"/>
              <w:jc w:val="both"/>
              <w:rPr>
                <w:bCs/>
              </w:rPr>
            </w:pPr>
            <w:r w:rsidRPr="00A674EE">
              <w:rPr>
                <w:bCs/>
              </w:rPr>
              <w:t xml:space="preserve">Through research, standards, analysis and insight, RSSB supports </w:t>
            </w:r>
            <w:r>
              <w:rPr>
                <w:bCs/>
              </w:rPr>
              <w:t>it’s</w:t>
            </w:r>
            <w:r w:rsidRPr="00A674EE">
              <w:rPr>
                <w:bCs/>
              </w:rPr>
              <w:t xml:space="preserve"> members and stakeholders in driving improvements in health and wellbeing and delivering a safer, more efficient and sustainable rail system.</w:t>
            </w:r>
            <w:r>
              <w:rPr>
                <w:bCs/>
              </w:rPr>
              <w:t xml:space="preserve"> Until now RSSB and the Sustainable Rail Programme (</w:t>
            </w:r>
            <w:hyperlink r:id="rId20" w:history="1">
              <w:r w:rsidRPr="0048044F">
                <w:rPr>
                  <w:rStyle w:val="Hyperlink"/>
                </w:rPr>
                <w:t>link</w:t>
              </w:r>
            </w:hyperlink>
            <w:r>
              <w:rPr>
                <w:bCs/>
              </w:rPr>
              <w:t xml:space="preserve"> to more information) has placed significant focus and energy  supporting the industry to meet the challenges and opportunities of sustainable development. Now however is the time to focus internally to mirror the sustainable development performance and expectations of the industry.</w:t>
            </w:r>
          </w:p>
          <w:p w14:paraId="4EE16043" w14:textId="77777777" w:rsidR="00A85414" w:rsidRPr="0033345E" w:rsidRDefault="00A85414" w:rsidP="00B143E8">
            <w:pPr>
              <w:pStyle w:val="BodyIndent1"/>
              <w:spacing w:after="0"/>
              <w:jc w:val="both"/>
              <w:rPr>
                <w:b/>
                <w:bCs/>
              </w:rPr>
            </w:pPr>
            <w:r w:rsidRPr="0033345E">
              <w:rPr>
                <w:b/>
                <w:bCs/>
              </w:rPr>
              <w:t>Purpose</w:t>
            </w:r>
          </w:p>
          <w:p w14:paraId="3736C694" w14:textId="77777777" w:rsidR="00A85414" w:rsidRDefault="00A85414" w:rsidP="00B143E8">
            <w:pPr>
              <w:pStyle w:val="BodyIndent1"/>
              <w:spacing w:after="0"/>
              <w:jc w:val="both"/>
              <w:rPr>
                <w:bCs/>
              </w:rPr>
            </w:pPr>
            <w:r>
              <w:rPr>
                <w:bCs/>
              </w:rPr>
              <w:t>The programme will be to bring together the rail wider leadership team within RSSB to better understand how sustainability underpins the very existence of the rail system and how they can act to embed sustainable change and opportunities within their everyday business decisions.</w:t>
            </w:r>
          </w:p>
          <w:p w14:paraId="4B6CE63E" w14:textId="77777777" w:rsidR="00A85414" w:rsidRDefault="00A85414" w:rsidP="00B143E8">
            <w:pPr>
              <w:pStyle w:val="BodyIndent1"/>
              <w:spacing w:after="0"/>
              <w:jc w:val="both"/>
              <w:rPr>
                <w:b/>
                <w:bCs/>
              </w:rPr>
            </w:pPr>
            <w:r>
              <w:rPr>
                <w:b/>
                <w:bCs/>
              </w:rPr>
              <w:t>Outcomes</w:t>
            </w:r>
          </w:p>
          <w:p w14:paraId="2BC9C77E" w14:textId="77777777" w:rsidR="00A85414" w:rsidRPr="007209AB" w:rsidRDefault="00A85414" w:rsidP="00B143E8">
            <w:pPr>
              <w:pStyle w:val="BodyIndent1"/>
              <w:spacing w:after="0"/>
              <w:jc w:val="both"/>
              <w:rPr>
                <w:bCs/>
              </w:rPr>
            </w:pPr>
            <w:r>
              <w:rPr>
                <w:bCs/>
              </w:rPr>
              <w:t xml:space="preserve">In addition to the objectives listed previously, </w:t>
            </w:r>
            <w:r w:rsidRPr="007209AB">
              <w:rPr>
                <w:bCs/>
              </w:rPr>
              <w:t xml:space="preserve">the programme </w:t>
            </w:r>
            <w:r>
              <w:rPr>
                <w:bCs/>
              </w:rPr>
              <w:t>should be</w:t>
            </w:r>
            <w:r w:rsidRPr="007209AB">
              <w:rPr>
                <w:bCs/>
              </w:rPr>
              <w:t xml:space="preserve"> designed to give senior </w:t>
            </w:r>
            <w:r>
              <w:rPr>
                <w:bCs/>
              </w:rPr>
              <w:t>leaders</w:t>
            </w:r>
            <w:r w:rsidRPr="007209AB">
              <w:rPr>
                <w:bCs/>
              </w:rPr>
              <w:t xml:space="preserve"> the knowledge and techniques to address key sustainability challenges in a practical way.</w:t>
            </w:r>
          </w:p>
          <w:p w14:paraId="76F706FC" w14:textId="77777777" w:rsidR="00A85414" w:rsidRPr="001D2B44" w:rsidRDefault="00A85414" w:rsidP="00B143E8">
            <w:pPr>
              <w:pStyle w:val="BodyIndent1"/>
              <w:spacing w:after="0"/>
              <w:jc w:val="both"/>
              <w:rPr>
                <w:rFonts w:asciiTheme="minorHAnsi" w:hAnsiTheme="minorHAnsi"/>
                <w:bCs/>
              </w:rPr>
            </w:pPr>
            <w:r w:rsidRPr="007209AB">
              <w:rPr>
                <w:bCs/>
              </w:rPr>
              <w:t xml:space="preserve">Participants </w:t>
            </w:r>
            <w:r>
              <w:rPr>
                <w:bCs/>
              </w:rPr>
              <w:t>should be encouraged to review the current business model</w:t>
            </w:r>
            <w:r w:rsidRPr="007209AB">
              <w:rPr>
                <w:bCs/>
              </w:rPr>
              <w:t xml:space="preserve"> and set a vision for what success looks like in the future, leaving the </w:t>
            </w:r>
            <w:r>
              <w:rPr>
                <w:bCs/>
              </w:rPr>
              <w:t>programme</w:t>
            </w:r>
            <w:r w:rsidRPr="007209AB">
              <w:rPr>
                <w:bCs/>
              </w:rPr>
              <w:t xml:space="preserve"> with the </w:t>
            </w:r>
            <w:r w:rsidRPr="001D2B44">
              <w:rPr>
                <w:rFonts w:asciiTheme="minorHAnsi" w:hAnsiTheme="minorHAnsi"/>
                <w:bCs/>
              </w:rPr>
              <w:t>inspiration, understanding and confidence to define and respond to pressing social, economic and environmental priorities.</w:t>
            </w:r>
          </w:p>
          <w:p w14:paraId="7DD3E60F" w14:textId="77777777" w:rsidR="00A85414" w:rsidRPr="001D2B44" w:rsidRDefault="00A85414" w:rsidP="00B143E8">
            <w:pPr>
              <w:ind w:left="181"/>
              <w:jc w:val="both"/>
              <w:rPr>
                <w:rFonts w:asciiTheme="minorHAnsi" w:hAnsiTheme="minorHAnsi"/>
              </w:rPr>
            </w:pPr>
            <w:r w:rsidRPr="001D2B44">
              <w:rPr>
                <w:rFonts w:asciiTheme="minorHAnsi" w:hAnsiTheme="minorHAnsi"/>
              </w:rPr>
              <w:t>The programme should include pre-engagement with delegates prior to attending the invite and also a planned follow up intervention afterwards to analyse impact.</w:t>
            </w:r>
          </w:p>
          <w:p w14:paraId="452DB8AC" w14:textId="77777777" w:rsidR="00A85414" w:rsidRDefault="00A85414" w:rsidP="00B143E8">
            <w:pPr>
              <w:pStyle w:val="Body"/>
              <w:spacing w:after="0"/>
              <w:jc w:val="both"/>
            </w:pPr>
          </w:p>
        </w:tc>
      </w:tr>
    </w:tbl>
    <w:p w14:paraId="0D375E7C" w14:textId="77777777" w:rsidR="00A85414" w:rsidRDefault="00A85414" w:rsidP="00A85414">
      <w:pPr>
        <w:pStyle w:val="Body"/>
        <w:spacing w:after="0"/>
      </w:pPr>
    </w:p>
    <w:p w14:paraId="203068FB" w14:textId="77777777" w:rsidR="00A85414" w:rsidRDefault="00A85414" w:rsidP="00A85414">
      <w:pPr>
        <w:pStyle w:val="Body"/>
        <w:spacing w:after="0"/>
      </w:pPr>
    </w:p>
    <w:p w14:paraId="7C3825EB" w14:textId="77777777" w:rsidR="00A85414" w:rsidRPr="00C27194" w:rsidRDefault="00A85414" w:rsidP="00A85414">
      <w:pPr>
        <w:pStyle w:val="Body"/>
        <w:spacing w:after="0"/>
      </w:pPr>
    </w:p>
    <w:p w14:paraId="1113A62E" w14:textId="77777777" w:rsidR="00A85414" w:rsidRDefault="00A85414" w:rsidP="00A85414">
      <w:pPr>
        <w:pStyle w:val="BodyIndent1"/>
      </w:pPr>
      <w:r>
        <w:lastRenderedPageBreak/>
        <w:t>Success at the end of the programmes will be a better engage railway executive who understand the need to act and incorporate sustainable development into industry decision making.</w:t>
      </w:r>
      <w:r w:rsidRPr="00B37C03">
        <w:t xml:space="preserve"> </w:t>
      </w:r>
      <w:r>
        <w:t>After the programme, it is anticipated each participant will:</w:t>
      </w:r>
    </w:p>
    <w:p w14:paraId="39DAE54A" w14:textId="77777777" w:rsidR="00A85414" w:rsidRDefault="00A85414" w:rsidP="00F0516F">
      <w:pPr>
        <w:pStyle w:val="BodyIndent1"/>
        <w:numPr>
          <w:ilvl w:val="0"/>
          <w:numId w:val="57"/>
        </w:numPr>
      </w:pPr>
      <w:r>
        <w:t>understand the changing social, environmental and economic context and need urgency and priority of action;</w:t>
      </w:r>
    </w:p>
    <w:p w14:paraId="1D9B12AA" w14:textId="77777777" w:rsidR="00A85414" w:rsidRDefault="00A85414" w:rsidP="00F0516F">
      <w:pPr>
        <w:pStyle w:val="BodyIndent1"/>
        <w:numPr>
          <w:ilvl w:val="0"/>
          <w:numId w:val="57"/>
        </w:numPr>
      </w:pPr>
      <w:r>
        <w:t>Understand the risks and opportunities for the rail industry from these changes;</w:t>
      </w:r>
    </w:p>
    <w:p w14:paraId="6127C1DF" w14:textId="77777777" w:rsidR="00A85414" w:rsidRDefault="00A85414" w:rsidP="00F0516F">
      <w:pPr>
        <w:pStyle w:val="BodyIndent1"/>
        <w:numPr>
          <w:ilvl w:val="0"/>
          <w:numId w:val="57"/>
        </w:numPr>
      </w:pPr>
      <w:r>
        <w:t>Identify opportunities to embed sustainability into existing processes, to inform future processes to be more sustainable and identify where current practices do not deliver sustainable outcomes;</w:t>
      </w:r>
    </w:p>
    <w:p w14:paraId="4D45781B" w14:textId="77777777" w:rsidR="00A85414" w:rsidRDefault="00A85414" w:rsidP="00F0516F">
      <w:pPr>
        <w:pStyle w:val="BodyIndent1"/>
        <w:numPr>
          <w:ilvl w:val="0"/>
          <w:numId w:val="57"/>
        </w:numPr>
      </w:pPr>
      <w:r>
        <w:t>Have the skills and frames of reference to champion sustainability issues with their team;</w:t>
      </w:r>
    </w:p>
    <w:p w14:paraId="7D1D7374" w14:textId="77777777" w:rsidR="00A85414" w:rsidRDefault="00A85414" w:rsidP="00F0516F">
      <w:pPr>
        <w:pStyle w:val="BodyIndent1"/>
        <w:numPr>
          <w:ilvl w:val="0"/>
          <w:numId w:val="57"/>
        </w:numPr>
      </w:pPr>
      <w:r>
        <w:t>Be clear about what their team or organisation will need to do differently, be able to articulate the speed at which these changes are required and be motivated to lead the change;</w:t>
      </w:r>
    </w:p>
    <w:p w14:paraId="6DE32C90" w14:textId="77777777" w:rsidR="00A85414" w:rsidRDefault="00A85414" w:rsidP="00F0516F">
      <w:pPr>
        <w:pStyle w:val="BodyIndent1"/>
        <w:numPr>
          <w:ilvl w:val="0"/>
          <w:numId w:val="57"/>
        </w:numPr>
      </w:pPr>
      <w:r>
        <w:t>Exhibit leadership behaviours on sustainability; and,</w:t>
      </w:r>
    </w:p>
    <w:p w14:paraId="3F31813B" w14:textId="77777777" w:rsidR="00A85414" w:rsidRDefault="00A85414" w:rsidP="00F0516F">
      <w:pPr>
        <w:pStyle w:val="BodyIndent1"/>
        <w:numPr>
          <w:ilvl w:val="0"/>
          <w:numId w:val="57"/>
        </w:numPr>
      </w:pPr>
      <w:r>
        <w:t>Have developed a personal action plan for what they will need to do to lead more sustainable outcomes.</w:t>
      </w:r>
    </w:p>
    <w:p w14:paraId="69378415" w14:textId="77777777" w:rsidR="00A85414" w:rsidRDefault="00A85414" w:rsidP="00A85414">
      <w:pPr>
        <w:pStyle w:val="BodyIndent1"/>
        <w:ind w:left="0"/>
      </w:pPr>
    </w:p>
    <w:p w14:paraId="11D2F6B1" w14:textId="77777777" w:rsidR="00A85414" w:rsidRDefault="00A85414" w:rsidP="00F0516F">
      <w:pPr>
        <w:pStyle w:val="Heading1"/>
        <w:numPr>
          <w:ilvl w:val="0"/>
          <w:numId w:val="44"/>
        </w:numPr>
      </w:pPr>
      <w:r>
        <w:t>Scope</w:t>
      </w:r>
    </w:p>
    <w:tbl>
      <w:tblPr>
        <w:tblW w:w="0" w:type="auto"/>
        <w:tblInd w:w="227" w:type="dxa"/>
        <w:tblCellMar>
          <w:left w:w="0" w:type="dxa"/>
          <w:right w:w="0" w:type="dxa"/>
        </w:tblCellMar>
        <w:tblLook w:val="04A0" w:firstRow="1" w:lastRow="0" w:firstColumn="1" w:lastColumn="0" w:noHBand="0" w:noVBand="1"/>
      </w:tblPr>
      <w:tblGrid>
        <w:gridCol w:w="4725"/>
        <w:gridCol w:w="3201"/>
      </w:tblGrid>
      <w:tr w:rsidR="00A85414" w14:paraId="573B35A9" w14:textId="77777777" w:rsidTr="00B143E8">
        <w:tc>
          <w:tcPr>
            <w:tcW w:w="4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4EAEB4" w14:textId="77777777" w:rsidR="00A85414" w:rsidRDefault="00A85414" w:rsidP="00B143E8">
            <w:pPr>
              <w:pStyle w:val="BodyIndent1"/>
              <w:ind w:left="0"/>
              <w:rPr>
                <w:b/>
                <w:bCs/>
              </w:rPr>
            </w:pPr>
            <w:r>
              <w:rPr>
                <w:b/>
                <w:bCs/>
              </w:rPr>
              <w:t xml:space="preserve">In scope </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11765" w14:textId="77777777" w:rsidR="00A85414" w:rsidRDefault="00A85414" w:rsidP="00B143E8">
            <w:pPr>
              <w:pStyle w:val="BodyIndent1"/>
              <w:ind w:left="0"/>
              <w:rPr>
                <w:b/>
                <w:bCs/>
              </w:rPr>
            </w:pPr>
            <w:r>
              <w:rPr>
                <w:b/>
                <w:bCs/>
              </w:rPr>
              <w:t>Out of scope</w:t>
            </w:r>
          </w:p>
        </w:tc>
      </w:tr>
      <w:tr w:rsidR="00A85414" w14:paraId="4CC1D664" w14:textId="77777777" w:rsidTr="00B143E8">
        <w:tc>
          <w:tcPr>
            <w:tcW w:w="472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5868889" w14:textId="77777777" w:rsidR="00A85414" w:rsidRPr="00574889" w:rsidRDefault="00A85414" w:rsidP="00A85414">
            <w:pPr>
              <w:pStyle w:val="Body"/>
              <w:numPr>
                <w:ilvl w:val="0"/>
                <w:numId w:val="41"/>
              </w:numPr>
              <w:spacing w:after="0"/>
              <w:ind w:left="227" w:hanging="227"/>
            </w:pPr>
            <w:r w:rsidRPr="00574889">
              <w:t>Design 3 bespoke customised learning programmes for a rail specific audience.</w:t>
            </w:r>
          </w:p>
          <w:p w14:paraId="6530B813" w14:textId="77777777" w:rsidR="00A85414" w:rsidRPr="00574889" w:rsidRDefault="00A85414" w:rsidP="00A85414">
            <w:pPr>
              <w:pStyle w:val="Body"/>
              <w:numPr>
                <w:ilvl w:val="0"/>
                <w:numId w:val="41"/>
              </w:numPr>
              <w:spacing w:after="0"/>
              <w:ind w:left="227" w:hanging="227"/>
            </w:pPr>
            <w:r w:rsidRPr="00574889">
              <w:t>Deliver a customised learning experience</w:t>
            </w:r>
            <w:r>
              <w:t>.</w:t>
            </w:r>
          </w:p>
          <w:p w14:paraId="1912959C" w14:textId="77777777" w:rsidR="00A85414" w:rsidRPr="00574889" w:rsidRDefault="00A85414" w:rsidP="00A85414">
            <w:pPr>
              <w:pStyle w:val="Body"/>
              <w:numPr>
                <w:ilvl w:val="0"/>
                <w:numId w:val="41"/>
              </w:numPr>
              <w:spacing w:after="0"/>
              <w:ind w:left="227" w:hanging="227"/>
            </w:pPr>
            <w:r>
              <w:t>Demonstrable expertise and u</w:t>
            </w:r>
            <w:r w:rsidRPr="00574889">
              <w:t>nderstanding of the operating context of the railway sector.</w:t>
            </w:r>
          </w:p>
          <w:p w14:paraId="790239F1" w14:textId="77777777" w:rsidR="00A85414" w:rsidRPr="00574889" w:rsidRDefault="00A85414" w:rsidP="00A85414">
            <w:pPr>
              <w:pStyle w:val="Body"/>
              <w:numPr>
                <w:ilvl w:val="0"/>
                <w:numId w:val="41"/>
              </w:numPr>
              <w:spacing w:after="0"/>
              <w:ind w:left="227" w:hanging="227"/>
            </w:pPr>
            <w:r>
              <w:t>Experience working with organisations and helping them respond strategically to sustainability challenges.</w:t>
            </w:r>
          </w:p>
          <w:p w14:paraId="6575BC33" w14:textId="77777777" w:rsidR="00A85414" w:rsidRDefault="00A85414" w:rsidP="00A85414">
            <w:pPr>
              <w:pStyle w:val="Body"/>
              <w:numPr>
                <w:ilvl w:val="0"/>
                <w:numId w:val="41"/>
              </w:numPr>
              <w:spacing w:after="0"/>
              <w:ind w:left="227" w:hanging="227"/>
            </w:pPr>
            <w:r>
              <w:t>Delivery of content by s</w:t>
            </w:r>
            <w:r w:rsidRPr="00574889">
              <w:t>ubject matter experts.</w:t>
            </w:r>
          </w:p>
          <w:p w14:paraId="70C1CEDC" w14:textId="77777777" w:rsidR="00A85414" w:rsidRDefault="00A85414" w:rsidP="00A85414">
            <w:pPr>
              <w:pStyle w:val="Body"/>
              <w:numPr>
                <w:ilvl w:val="0"/>
                <w:numId w:val="41"/>
              </w:numPr>
              <w:spacing w:after="0"/>
              <w:ind w:left="227" w:hanging="227"/>
            </w:pPr>
            <w:r>
              <w:t>Building on previous capacity building work that has already taken place.</w:t>
            </w:r>
          </w:p>
          <w:p w14:paraId="5629C20F" w14:textId="77777777" w:rsidR="00A85414" w:rsidRDefault="00A85414" w:rsidP="00A85414">
            <w:pPr>
              <w:pStyle w:val="Body"/>
              <w:numPr>
                <w:ilvl w:val="0"/>
                <w:numId w:val="41"/>
              </w:numPr>
              <w:spacing w:after="0"/>
              <w:ind w:left="227" w:hanging="227"/>
            </w:pPr>
            <w:r>
              <w:t>Presenting information and facts to engender change based on evidence based research.</w:t>
            </w:r>
          </w:p>
          <w:p w14:paraId="1B06A845" w14:textId="77777777" w:rsidR="00A85414" w:rsidRDefault="00A85414" w:rsidP="00A85414">
            <w:pPr>
              <w:pStyle w:val="Body"/>
              <w:numPr>
                <w:ilvl w:val="0"/>
                <w:numId w:val="41"/>
              </w:numPr>
              <w:spacing w:after="0"/>
              <w:ind w:left="227" w:hanging="227"/>
            </w:pPr>
            <w:r>
              <w:t>Support a cultural change in making sustainability part of a whole-system and whole-life-cycle approach in decision making.</w:t>
            </w:r>
          </w:p>
          <w:p w14:paraId="69722B57" w14:textId="77777777" w:rsidR="00A85414" w:rsidRDefault="00A85414" w:rsidP="00A85414">
            <w:pPr>
              <w:pStyle w:val="Body"/>
              <w:numPr>
                <w:ilvl w:val="0"/>
                <w:numId w:val="41"/>
              </w:numPr>
              <w:spacing w:after="0"/>
              <w:ind w:left="227" w:hanging="227"/>
            </w:pPr>
            <w:r w:rsidRPr="00574889">
              <w:t xml:space="preserve">Analyse impact and </w:t>
            </w:r>
            <w:r>
              <w:t>effectiveness of the programmes.</w:t>
            </w:r>
          </w:p>
          <w:p w14:paraId="5BF5A55C" w14:textId="77777777" w:rsidR="00A85414" w:rsidRPr="00574889" w:rsidRDefault="00A85414" w:rsidP="00A85414">
            <w:pPr>
              <w:pStyle w:val="Body"/>
              <w:numPr>
                <w:ilvl w:val="0"/>
                <w:numId w:val="41"/>
              </w:numPr>
              <w:spacing w:after="0"/>
              <w:ind w:left="227" w:hanging="227"/>
            </w:pPr>
            <w:r w:rsidRPr="00574889">
              <w:lastRenderedPageBreak/>
              <w:t>Follow up</w:t>
            </w:r>
            <w:r>
              <w:t xml:space="preserve"> to the event and access after the programme to support and a diverse alumni network.</w:t>
            </w:r>
          </w:p>
        </w:tc>
        <w:tc>
          <w:tcPr>
            <w:tcW w:w="32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D5A4D1" w14:textId="77777777" w:rsidR="00A85414" w:rsidRDefault="00A85414" w:rsidP="00A85414">
            <w:pPr>
              <w:pStyle w:val="Body"/>
              <w:numPr>
                <w:ilvl w:val="0"/>
                <w:numId w:val="41"/>
              </w:numPr>
              <w:ind w:left="227" w:hanging="227"/>
            </w:pPr>
            <w:r>
              <w:lastRenderedPageBreak/>
              <w:t>Web based learning</w:t>
            </w:r>
          </w:p>
          <w:p w14:paraId="1420E36F" w14:textId="77777777" w:rsidR="00A85414" w:rsidRPr="00574889" w:rsidRDefault="00A85414" w:rsidP="00B143E8">
            <w:pPr>
              <w:pStyle w:val="Body"/>
              <w:ind w:left="227"/>
            </w:pPr>
          </w:p>
        </w:tc>
      </w:tr>
    </w:tbl>
    <w:p w14:paraId="6E07AC08" w14:textId="77777777" w:rsidR="00A85414" w:rsidRDefault="00A85414" w:rsidP="00A85414">
      <w:pPr>
        <w:rPr>
          <w:lang w:eastAsia="en-GB"/>
        </w:rPr>
      </w:pPr>
    </w:p>
    <w:p w14:paraId="375FB361" w14:textId="77777777" w:rsidR="00A85414" w:rsidRDefault="00A85414" w:rsidP="00F0516F">
      <w:pPr>
        <w:pStyle w:val="Heading1"/>
        <w:numPr>
          <w:ilvl w:val="0"/>
          <w:numId w:val="44"/>
        </w:numPr>
      </w:pPr>
      <w:r>
        <w:t>Deliverables</w:t>
      </w:r>
    </w:p>
    <w:p w14:paraId="6D716F78" w14:textId="77777777" w:rsidR="00A85414" w:rsidRDefault="00A85414" w:rsidP="00A85414">
      <w:pPr>
        <w:pStyle w:val="Body"/>
      </w:pPr>
    </w:p>
    <w:tbl>
      <w:tblPr>
        <w:tblW w:w="10320" w:type="dxa"/>
        <w:tblCellMar>
          <w:left w:w="0" w:type="dxa"/>
          <w:right w:w="0" w:type="dxa"/>
        </w:tblCellMar>
        <w:tblLook w:val="04A0" w:firstRow="1" w:lastRow="0" w:firstColumn="1" w:lastColumn="0" w:noHBand="0" w:noVBand="1"/>
      </w:tblPr>
      <w:tblGrid>
        <w:gridCol w:w="329"/>
        <w:gridCol w:w="9991"/>
      </w:tblGrid>
      <w:tr w:rsidR="00A85414" w14:paraId="591DB183" w14:textId="77777777" w:rsidTr="00B143E8">
        <w:tc>
          <w:tcPr>
            <w:tcW w:w="250" w:type="dxa"/>
            <w:tcMar>
              <w:top w:w="0" w:type="dxa"/>
              <w:left w:w="108" w:type="dxa"/>
              <w:bottom w:w="0" w:type="dxa"/>
              <w:right w:w="108" w:type="dxa"/>
            </w:tcMar>
          </w:tcPr>
          <w:p w14:paraId="33CE49A1" w14:textId="77777777" w:rsidR="00A85414" w:rsidRDefault="00A85414" w:rsidP="00B143E8">
            <w:pPr>
              <w:pStyle w:val="TableText0"/>
            </w:pPr>
            <w:r>
              <w:rPr>
                <w:rFonts w:ascii="Calibri" w:hAnsi="Calibri" w:cs="Calibri"/>
              </w:rPr>
              <w:br w:type="page"/>
            </w:r>
          </w:p>
        </w:tc>
        <w:tc>
          <w:tcPr>
            <w:tcW w:w="10070" w:type="dxa"/>
            <w:tcMar>
              <w:top w:w="0" w:type="dxa"/>
              <w:left w:w="108" w:type="dxa"/>
              <w:bottom w:w="0" w:type="dxa"/>
              <w:right w:w="108" w:type="dxa"/>
            </w:tcMar>
          </w:tcPr>
          <w:tbl>
            <w:tblPr>
              <w:tblW w:w="9050" w:type="dxa"/>
              <w:tblCellMar>
                <w:left w:w="0" w:type="dxa"/>
                <w:right w:w="0" w:type="dxa"/>
              </w:tblCellMar>
              <w:tblLook w:val="04A0" w:firstRow="1" w:lastRow="0" w:firstColumn="1" w:lastColumn="0" w:noHBand="0" w:noVBand="1"/>
            </w:tblPr>
            <w:tblGrid>
              <w:gridCol w:w="5303"/>
              <w:gridCol w:w="3747"/>
            </w:tblGrid>
            <w:tr w:rsidR="00A85414" w:rsidRPr="001D2B44" w14:paraId="01E35B61" w14:textId="77777777" w:rsidTr="00C51D63">
              <w:trPr>
                <w:cantSplit/>
              </w:trPr>
              <w:tc>
                <w:tcPr>
                  <w:tcW w:w="5303" w:type="dxa"/>
                  <w:tcBorders>
                    <w:top w:val="single" w:sz="8" w:space="0" w:color="auto"/>
                    <w:left w:val="single" w:sz="8" w:space="0" w:color="auto"/>
                    <w:bottom w:val="single" w:sz="8" w:space="0" w:color="auto"/>
                    <w:right w:val="single" w:sz="8" w:space="0" w:color="auto"/>
                  </w:tcBorders>
                  <w:shd w:val="clear" w:color="auto" w:fill="99CC00"/>
                  <w:tcMar>
                    <w:top w:w="0" w:type="dxa"/>
                    <w:left w:w="108" w:type="dxa"/>
                    <w:bottom w:w="0" w:type="dxa"/>
                    <w:right w:w="108" w:type="dxa"/>
                  </w:tcMar>
                  <w:hideMark/>
                </w:tcPr>
                <w:p w14:paraId="0BEB62DC"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Deliverable Name</w:t>
                  </w:r>
                </w:p>
              </w:tc>
              <w:tc>
                <w:tcPr>
                  <w:tcW w:w="3747"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hideMark/>
                </w:tcPr>
                <w:p w14:paraId="603C3C54"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Type</w:t>
                  </w:r>
                </w:p>
              </w:tc>
            </w:tr>
            <w:tr w:rsidR="00A85414" w:rsidRPr="001D2B44" w14:paraId="3F2F4C51" w14:textId="77777777" w:rsidTr="00C51D63">
              <w:trPr>
                <w:cantSplit/>
                <w:tblHeader/>
              </w:trPr>
              <w:tc>
                <w:tcPr>
                  <w:tcW w:w="5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354B31" w14:textId="77777777" w:rsidR="00A85414" w:rsidRPr="001D2B44" w:rsidRDefault="00A85414" w:rsidP="00B143E8">
                  <w:pPr>
                    <w:pStyle w:val="Body"/>
                    <w:spacing w:after="0"/>
                    <w:jc w:val="both"/>
                    <w:rPr>
                      <w:rFonts w:asciiTheme="minorHAnsi" w:hAnsiTheme="minorHAnsi"/>
                    </w:rPr>
                  </w:pPr>
                  <w:r w:rsidRPr="001D2B44">
                    <w:rPr>
                      <w:rFonts w:asciiTheme="minorHAnsi" w:hAnsiTheme="minorHAnsi"/>
                    </w:rPr>
                    <w:t>Package 1: North of England focus</w:t>
                  </w:r>
                </w:p>
              </w:tc>
              <w:tc>
                <w:tcPr>
                  <w:tcW w:w="3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25E10" w14:textId="77777777" w:rsidR="00A85414" w:rsidRPr="001D2B44" w:rsidRDefault="00A85414" w:rsidP="00B143E8">
                  <w:pPr>
                    <w:pStyle w:val="BodyIndent1"/>
                    <w:rPr>
                      <w:rFonts w:asciiTheme="minorHAnsi" w:hAnsiTheme="minorHAnsi"/>
                    </w:rPr>
                  </w:pPr>
                  <w:r w:rsidRPr="001D2B44">
                    <w:rPr>
                      <w:rFonts w:asciiTheme="minorHAnsi" w:hAnsiTheme="minorHAnsi"/>
                    </w:rPr>
                    <w:t>Seminar</w:t>
                  </w:r>
                </w:p>
              </w:tc>
            </w:tr>
            <w:tr w:rsidR="00A85414" w:rsidRPr="001D2B44" w14:paraId="63EEF7C3" w14:textId="77777777" w:rsidTr="00C51D63">
              <w:trPr>
                <w:cantSplit/>
                <w:tblHeader/>
              </w:trPr>
              <w:tc>
                <w:tcPr>
                  <w:tcW w:w="905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F990B"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Description</w:t>
                  </w:r>
                </w:p>
              </w:tc>
            </w:tr>
            <w:tr w:rsidR="00A85414" w:rsidRPr="001D2B44" w14:paraId="4868AFEF" w14:textId="77777777" w:rsidTr="00C51D63">
              <w:trPr>
                <w:cantSplit/>
                <w:tblHeader/>
              </w:trPr>
              <w:tc>
                <w:tcPr>
                  <w:tcW w:w="9050"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61A3D997"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Detail on content requirements</w:t>
                  </w:r>
                </w:p>
                <w:p w14:paraId="65DF6951" w14:textId="77777777" w:rsidR="00A85414" w:rsidRPr="001D2B44" w:rsidRDefault="00A85414" w:rsidP="00B143E8">
                  <w:pPr>
                    <w:ind w:left="720" w:hanging="11"/>
                    <w:rPr>
                      <w:rFonts w:asciiTheme="minorHAnsi" w:hAnsiTheme="minorHAnsi"/>
                    </w:rPr>
                  </w:pPr>
                  <w:r w:rsidRPr="001D2B44">
                    <w:rPr>
                      <w:rFonts w:asciiTheme="minorHAnsi" w:hAnsiTheme="minorHAnsi"/>
                    </w:rPr>
                    <w:t xml:space="preserve">Ideally, a customised learning experience via a seminar will be provided to deliver the project objectives identified in section 2. </w:t>
                  </w:r>
                </w:p>
                <w:p w14:paraId="46D8451B" w14:textId="77777777" w:rsidR="00A85414" w:rsidRPr="001D2B44" w:rsidRDefault="00A85414" w:rsidP="00B143E8">
                  <w:pPr>
                    <w:ind w:left="720" w:hanging="11"/>
                    <w:rPr>
                      <w:rFonts w:asciiTheme="minorHAnsi" w:hAnsiTheme="minorHAnsi"/>
                    </w:rPr>
                  </w:pPr>
                </w:p>
                <w:p w14:paraId="71E0003C" w14:textId="77777777" w:rsidR="00A85414" w:rsidRPr="001D2B44" w:rsidRDefault="00A85414" w:rsidP="00B143E8">
                  <w:pPr>
                    <w:ind w:left="720" w:hanging="11"/>
                    <w:rPr>
                      <w:rFonts w:asciiTheme="minorHAnsi" w:hAnsiTheme="minorHAnsi"/>
                    </w:rPr>
                  </w:pPr>
                  <w:r w:rsidRPr="001D2B44">
                    <w:rPr>
                      <w:rFonts w:asciiTheme="minorHAnsi" w:hAnsiTheme="minorHAnsi"/>
                    </w:rPr>
                    <w:t>It is proposed that the best way to fulfil this objective would be a seminar. It would be held in the north of England running for either full day or from lunchtime on day 1 to lunchtime on day 2 which would include a dinner with an appropriate guest speaker. RSSB is however open to tenderers to propose what they would think would best fit the successful delivery of this first objective, in terms of time split</w:t>
                  </w:r>
                </w:p>
                <w:p w14:paraId="3975FF6C" w14:textId="77777777" w:rsidR="00A85414" w:rsidRPr="001D2B44" w:rsidRDefault="00A85414" w:rsidP="00B143E8">
                  <w:pPr>
                    <w:ind w:left="720" w:hanging="11"/>
                    <w:rPr>
                      <w:rFonts w:asciiTheme="minorHAnsi" w:hAnsiTheme="minorHAnsi"/>
                    </w:rPr>
                  </w:pPr>
                </w:p>
                <w:p w14:paraId="7ED4B55C" w14:textId="77777777" w:rsidR="00A85414" w:rsidRPr="001D2B44" w:rsidRDefault="00A85414" w:rsidP="00B143E8">
                  <w:pPr>
                    <w:ind w:left="720" w:hanging="11"/>
                    <w:rPr>
                      <w:rFonts w:asciiTheme="minorHAnsi" w:hAnsiTheme="minorHAnsi"/>
                    </w:rPr>
                  </w:pPr>
                  <w:r w:rsidRPr="001D2B44">
                    <w:rPr>
                      <w:rFonts w:asciiTheme="minorHAnsi" w:hAnsiTheme="minorHAnsi"/>
                    </w:rPr>
                    <w:t>The programme is expected to be held in in early 2018. The invitees to this event are the rail industry executives based in the north of England. The initiative centred around a seminar of 20-30 senior leaders from the following groups:</w:t>
                  </w:r>
                </w:p>
                <w:p w14:paraId="413E968A"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Train Operating Companies</w:t>
                  </w:r>
                </w:p>
                <w:p w14:paraId="1921F963"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Department for Transport</w:t>
                  </w:r>
                </w:p>
                <w:p w14:paraId="476908DB"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Transport for the North</w:t>
                  </w:r>
                </w:p>
                <w:p w14:paraId="238594C0"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Rail North</w:t>
                  </w:r>
                </w:p>
                <w:p w14:paraId="56A83F66"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Network Rail Route Directors and Programme directors</w:t>
                  </w:r>
                </w:p>
                <w:p w14:paraId="0F9507FF"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HighSpeed2</w:t>
                  </w:r>
                </w:p>
                <w:p w14:paraId="6360703E"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Key suppliers to the rail sector</w:t>
                  </w:r>
                </w:p>
                <w:p w14:paraId="05BED39E"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Local authorities</w:t>
                  </w:r>
                </w:p>
                <w:p w14:paraId="04C906C1" w14:textId="77777777" w:rsidR="00A85414" w:rsidRPr="001D2B44" w:rsidRDefault="00A85414" w:rsidP="00B143E8">
                  <w:pPr>
                    <w:rPr>
                      <w:rFonts w:asciiTheme="minorHAnsi" w:hAnsiTheme="minorHAnsi"/>
                    </w:rPr>
                  </w:pPr>
                </w:p>
                <w:p w14:paraId="2F14CFFD" w14:textId="77777777" w:rsidR="00A85414" w:rsidRPr="001D2B44" w:rsidRDefault="00A85414" w:rsidP="00B143E8">
                  <w:pPr>
                    <w:ind w:left="654"/>
                    <w:rPr>
                      <w:rFonts w:asciiTheme="minorHAnsi" w:hAnsiTheme="minorHAnsi"/>
                    </w:rPr>
                  </w:pPr>
                  <w:r w:rsidRPr="001D2B44">
                    <w:rPr>
                      <w:rFonts w:asciiTheme="minorHAnsi" w:hAnsiTheme="minorHAnsi"/>
                    </w:rPr>
                    <w:t>The programme should include pre-engagement with delegates prior to attending the invite and also a planned follow up intervention afterwards to analyse impact.</w:t>
                  </w:r>
                </w:p>
                <w:p w14:paraId="4C7BE763" w14:textId="77777777" w:rsidR="00A85414" w:rsidRPr="001D2B44" w:rsidRDefault="00A85414" w:rsidP="00B143E8">
                  <w:pPr>
                    <w:pStyle w:val="BodyIndent1"/>
                    <w:ind w:left="654"/>
                    <w:rPr>
                      <w:rFonts w:asciiTheme="minorHAnsi" w:hAnsiTheme="minorHAnsi"/>
                      <w:b/>
                      <w:bCs/>
                    </w:rPr>
                  </w:pPr>
                </w:p>
              </w:tc>
            </w:tr>
            <w:tr w:rsidR="00A85414" w:rsidRPr="001D2B44" w14:paraId="6982D3C8" w14:textId="77777777" w:rsidTr="00C51D63">
              <w:trPr>
                <w:cantSplit/>
                <w:tblHeader/>
              </w:trPr>
              <w:tc>
                <w:tcPr>
                  <w:tcW w:w="905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3323E09" w14:textId="77777777" w:rsidR="00A85414" w:rsidRPr="001D2B44" w:rsidRDefault="00A85414" w:rsidP="00B143E8">
                  <w:pPr>
                    <w:pStyle w:val="BodyIndent1"/>
                    <w:ind w:left="0"/>
                    <w:rPr>
                      <w:rFonts w:asciiTheme="minorHAnsi" w:hAnsiTheme="minorHAnsi"/>
                      <w:b/>
                      <w:bCs/>
                    </w:rPr>
                  </w:pPr>
                </w:p>
              </w:tc>
            </w:tr>
          </w:tbl>
          <w:p w14:paraId="1CCB55E0" w14:textId="77777777" w:rsidR="00A85414" w:rsidRDefault="00A85414" w:rsidP="00C51D63">
            <w:pPr>
              <w:pStyle w:val="BodyIndent1"/>
              <w:ind w:left="0"/>
              <w:rPr>
                <w:rFonts w:cs="Times New Roman"/>
                <w:sz w:val="20"/>
                <w:szCs w:val="20"/>
              </w:rPr>
            </w:pPr>
          </w:p>
          <w:p w14:paraId="3FAA397B" w14:textId="77777777" w:rsidR="00A85414" w:rsidRDefault="00A85414" w:rsidP="00B143E8">
            <w:pPr>
              <w:pStyle w:val="BodyIndent1"/>
              <w:rPr>
                <w:rFonts w:cs="Times New Roman"/>
                <w:sz w:val="20"/>
                <w:szCs w:val="20"/>
              </w:rPr>
            </w:pPr>
          </w:p>
          <w:tbl>
            <w:tblPr>
              <w:tblW w:w="7995" w:type="dxa"/>
              <w:tblCellMar>
                <w:left w:w="0" w:type="dxa"/>
                <w:right w:w="0" w:type="dxa"/>
              </w:tblCellMar>
              <w:tblLook w:val="04A0" w:firstRow="1" w:lastRow="0" w:firstColumn="1" w:lastColumn="0" w:noHBand="0" w:noVBand="1"/>
            </w:tblPr>
            <w:tblGrid>
              <w:gridCol w:w="5303"/>
              <w:gridCol w:w="2692"/>
            </w:tblGrid>
            <w:tr w:rsidR="00A85414" w:rsidRPr="001D2B44" w14:paraId="4CDA5DFC" w14:textId="77777777" w:rsidTr="00B143E8">
              <w:trPr>
                <w:cantSplit/>
              </w:trPr>
              <w:tc>
                <w:tcPr>
                  <w:tcW w:w="5307" w:type="dxa"/>
                  <w:tcBorders>
                    <w:top w:val="single" w:sz="8" w:space="0" w:color="auto"/>
                    <w:left w:val="single" w:sz="8" w:space="0" w:color="auto"/>
                    <w:bottom w:val="single" w:sz="8" w:space="0" w:color="auto"/>
                    <w:right w:val="single" w:sz="8" w:space="0" w:color="auto"/>
                  </w:tcBorders>
                  <w:shd w:val="clear" w:color="auto" w:fill="99CC00"/>
                  <w:tcMar>
                    <w:top w:w="0" w:type="dxa"/>
                    <w:left w:w="108" w:type="dxa"/>
                    <w:bottom w:w="0" w:type="dxa"/>
                    <w:right w:w="108" w:type="dxa"/>
                  </w:tcMar>
                  <w:hideMark/>
                </w:tcPr>
                <w:p w14:paraId="006C0BFD"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Deliverable Name</w:t>
                  </w:r>
                </w:p>
              </w:tc>
              <w:tc>
                <w:tcPr>
                  <w:tcW w:w="2694"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hideMark/>
                </w:tcPr>
                <w:p w14:paraId="4C149664"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Type</w:t>
                  </w:r>
                </w:p>
              </w:tc>
            </w:tr>
            <w:tr w:rsidR="00A85414" w:rsidRPr="001D2B44" w14:paraId="63C5CC59" w14:textId="77777777" w:rsidTr="00B143E8">
              <w:trPr>
                <w:cantSplit/>
                <w:tblHeader/>
              </w:trPr>
              <w:tc>
                <w:tcPr>
                  <w:tcW w:w="53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5461D0" w14:textId="77777777" w:rsidR="00A85414" w:rsidRPr="001D2B44" w:rsidRDefault="00A85414" w:rsidP="00B143E8">
                  <w:pPr>
                    <w:pStyle w:val="Body"/>
                    <w:spacing w:after="0"/>
                    <w:jc w:val="both"/>
                    <w:rPr>
                      <w:rFonts w:asciiTheme="minorHAnsi" w:hAnsiTheme="minorHAnsi"/>
                    </w:rPr>
                  </w:pPr>
                  <w:r w:rsidRPr="001D2B44">
                    <w:rPr>
                      <w:rFonts w:asciiTheme="minorHAnsi" w:hAnsiTheme="minorHAnsi"/>
                    </w:rPr>
                    <w:t>Package 2: Sponsors and funders</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95D86" w14:textId="77777777" w:rsidR="00A85414" w:rsidRPr="001D2B44" w:rsidRDefault="00A85414" w:rsidP="00B143E8">
                  <w:pPr>
                    <w:pStyle w:val="BodyIndent1"/>
                    <w:rPr>
                      <w:rFonts w:asciiTheme="minorHAnsi" w:hAnsiTheme="minorHAnsi"/>
                    </w:rPr>
                  </w:pPr>
                  <w:r w:rsidRPr="001D2B44">
                    <w:rPr>
                      <w:rFonts w:asciiTheme="minorHAnsi" w:hAnsiTheme="minorHAnsi"/>
                    </w:rPr>
                    <w:t>Seminar</w:t>
                  </w:r>
                </w:p>
              </w:tc>
            </w:tr>
            <w:tr w:rsidR="00A85414" w:rsidRPr="001D2B44" w14:paraId="6A43B2C6" w14:textId="77777777" w:rsidTr="00B143E8">
              <w:trPr>
                <w:cantSplit/>
                <w:tblHeader/>
              </w:trPr>
              <w:tc>
                <w:tcPr>
                  <w:tcW w:w="80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3D571D"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Description</w:t>
                  </w:r>
                </w:p>
              </w:tc>
            </w:tr>
            <w:tr w:rsidR="00A85414" w:rsidRPr="001D2B44" w14:paraId="15F29A23" w14:textId="77777777" w:rsidTr="00B143E8">
              <w:trPr>
                <w:cantSplit/>
                <w:tblHeader/>
              </w:trPr>
              <w:tc>
                <w:tcPr>
                  <w:tcW w:w="8001"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422E3B75"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Detail on content requirements</w:t>
                  </w:r>
                </w:p>
                <w:p w14:paraId="02ABD611" w14:textId="77777777" w:rsidR="00A85414" w:rsidRPr="001D2B44" w:rsidRDefault="00A85414" w:rsidP="00B143E8">
                  <w:pPr>
                    <w:ind w:left="720" w:hanging="11"/>
                    <w:rPr>
                      <w:rFonts w:asciiTheme="minorHAnsi" w:hAnsiTheme="minorHAnsi"/>
                    </w:rPr>
                  </w:pPr>
                  <w:r w:rsidRPr="001D2B44">
                    <w:rPr>
                      <w:rFonts w:asciiTheme="minorHAnsi" w:hAnsiTheme="minorHAnsi"/>
                    </w:rPr>
                    <w:t xml:space="preserve">Ideally, a customised learning experience via a seminar will be provided to deliver the project objectives identified in section 2. </w:t>
                  </w:r>
                </w:p>
                <w:p w14:paraId="1540067F" w14:textId="77777777" w:rsidR="00A85414" w:rsidRPr="001D2B44" w:rsidRDefault="00A85414" w:rsidP="00B143E8">
                  <w:pPr>
                    <w:ind w:left="720" w:hanging="11"/>
                    <w:rPr>
                      <w:rFonts w:asciiTheme="minorHAnsi" w:hAnsiTheme="minorHAnsi"/>
                    </w:rPr>
                  </w:pPr>
                </w:p>
                <w:p w14:paraId="5445F215" w14:textId="77777777" w:rsidR="00A85414" w:rsidRPr="001D2B44" w:rsidRDefault="00A85414" w:rsidP="00B143E8">
                  <w:pPr>
                    <w:ind w:left="720" w:hanging="11"/>
                    <w:rPr>
                      <w:rFonts w:asciiTheme="minorHAnsi" w:hAnsiTheme="minorHAnsi"/>
                    </w:rPr>
                  </w:pPr>
                  <w:r w:rsidRPr="001D2B44">
                    <w:rPr>
                      <w:rFonts w:asciiTheme="minorHAnsi" w:hAnsiTheme="minorHAnsi"/>
                    </w:rPr>
                    <w:t xml:space="preserve">It is proposed that the best way to fulfil this objective would be a seminar held off-site and most likely outside of London over 2 days. </w:t>
                  </w:r>
                </w:p>
                <w:p w14:paraId="1A64E619" w14:textId="77777777" w:rsidR="00A85414" w:rsidRPr="001D2B44" w:rsidRDefault="00A85414" w:rsidP="00B143E8">
                  <w:pPr>
                    <w:ind w:left="720" w:hanging="11"/>
                    <w:rPr>
                      <w:rFonts w:asciiTheme="minorHAnsi" w:hAnsiTheme="minorHAnsi"/>
                    </w:rPr>
                  </w:pPr>
                </w:p>
                <w:p w14:paraId="2BDC1816" w14:textId="77777777" w:rsidR="00A85414" w:rsidRPr="001D2B44" w:rsidRDefault="00A85414" w:rsidP="00B143E8">
                  <w:pPr>
                    <w:ind w:left="720" w:hanging="11"/>
                    <w:rPr>
                      <w:rFonts w:asciiTheme="minorHAnsi" w:hAnsiTheme="minorHAnsi"/>
                    </w:rPr>
                  </w:pPr>
                  <w:r w:rsidRPr="001D2B44">
                    <w:rPr>
                      <w:rFonts w:asciiTheme="minorHAnsi" w:hAnsiTheme="minorHAnsi"/>
                    </w:rPr>
                    <w:t>The programme is expected to be held in in early 2018. The invitees to this event are the rail industry executives, funders and decision makers. The initiative centred around a seminar of 25-30 senior leaders from the following groups:</w:t>
                  </w:r>
                </w:p>
                <w:p w14:paraId="3594D704"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Department for Transport Network Services</w:t>
                  </w:r>
                </w:p>
                <w:p w14:paraId="2A0971D2"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Department for Transport Major Projects</w:t>
                  </w:r>
                </w:p>
                <w:p w14:paraId="47605610"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Department for Transport Passenger Services</w:t>
                  </w:r>
                </w:p>
                <w:p w14:paraId="55D2764F"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HighSpeed2</w:t>
                  </w:r>
                </w:p>
                <w:p w14:paraId="06118E05"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Transport for London Rail</w:t>
                  </w:r>
                </w:p>
                <w:p w14:paraId="6A81F6B5"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Transport for the North</w:t>
                  </w:r>
                </w:p>
                <w:p w14:paraId="16E273FE"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Crossrail 2</w:t>
                  </w:r>
                </w:p>
                <w:p w14:paraId="0888A2E1" w14:textId="77777777" w:rsidR="00A85414" w:rsidRPr="001D2B44" w:rsidRDefault="00A85414" w:rsidP="00B143E8">
                  <w:pPr>
                    <w:rPr>
                      <w:rFonts w:asciiTheme="minorHAnsi" w:hAnsiTheme="minorHAnsi"/>
                    </w:rPr>
                  </w:pPr>
                </w:p>
                <w:p w14:paraId="7CDD4FC7" w14:textId="77777777" w:rsidR="00A85414" w:rsidRPr="001D2B44" w:rsidRDefault="00A85414" w:rsidP="00B143E8">
                  <w:pPr>
                    <w:ind w:left="654"/>
                    <w:rPr>
                      <w:rFonts w:asciiTheme="minorHAnsi" w:hAnsiTheme="minorHAnsi"/>
                    </w:rPr>
                  </w:pPr>
                  <w:r w:rsidRPr="001D2B44">
                    <w:rPr>
                      <w:rFonts w:asciiTheme="minorHAnsi" w:hAnsiTheme="minorHAnsi"/>
                    </w:rPr>
                    <w:t>The programme should include pre- engagement with delegates prior to attending the invite and also a post engagement follow up intervention afterwards to analyse impact.</w:t>
                  </w:r>
                </w:p>
                <w:p w14:paraId="514A6E6B" w14:textId="77777777" w:rsidR="00A85414" w:rsidRPr="001D2B44" w:rsidRDefault="00A85414" w:rsidP="00B143E8">
                  <w:pPr>
                    <w:pStyle w:val="BodyIndent1"/>
                    <w:rPr>
                      <w:rFonts w:asciiTheme="minorHAnsi" w:hAnsiTheme="minorHAnsi"/>
                      <w:b/>
                      <w:bCs/>
                    </w:rPr>
                  </w:pPr>
                </w:p>
                <w:p w14:paraId="2F7AD2B8" w14:textId="77777777" w:rsidR="00A85414" w:rsidRPr="001D2B44" w:rsidRDefault="00A85414" w:rsidP="00B143E8">
                  <w:pPr>
                    <w:pStyle w:val="Body"/>
                    <w:ind w:left="238"/>
                    <w:rPr>
                      <w:rFonts w:asciiTheme="minorHAnsi" w:hAnsiTheme="minorHAnsi"/>
                      <w:b/>
                      <w:bCs/>
                    </w:rPr>
                  </w:pPr>
                </w:p>
              </w:tc>
            </w:tr>
            <w:tr w:rsidR="00A85414" w:rsidRPr="001D2B44" w14:paraId="5B0A96EF" w14:textId="77777777" w:rsidTr="00B143E8">
              <w:trPr>
                <w:cantSplit/>
                <w:tblHeader/>
              </w:trPr>
              <w:tc>
                <w:tcPr>
                  <w:tcW w:w="80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0FFA86" w14:textId="77777777" w:rsidR="00A85414" w:rsidRPr="001D2B44" w:rsidRDefault="00A85414" w:rsidP="00B143E8">
                  <w:pPr>
                    <w:pStyle w:val="BodyIndent1"/>
                    <w:rPr>
                      <w:rFonts w:asciiTheme="minorHAnsi" w:hAnsiTheme="minorHAnsi"/>
                      <w:b/>
                      <w:bCs/>
                    </w:rPr>
                  </w:pPr>
                </w:p>
              </w:tc>
            </w:tr>
          </w:tbl>
          <w:p w14:paraId="6AFB54FB" w14:textId="3B84BA21" w:rsidR="00A85414" w:rsidRDefault="00A85414" w:rsidP="00B143E8">
            <w:pPr>
              <w:pStyle w:val="Body"/>
            </w:pPr>
          </w:p>
          <w:p w14:paraId="6DE55402" w14:textId="138ACF95" w:rsidR="001D2B44" w:rsidRDefault="001D2B44" w:rsidP="00B143E8">
            <w:pPr>
              <w:pStyle w:val="Body"/>
            </w:pPr>
          </w:p>
          <w:p w14:paraId="4F4A3090" w14:textId="743931DC" w:rsidR="001D2B44" w:rsidRDefault="001D2B44" w:rsidP="00B143E8">
            <w:pPr>
              <w:pStyle w:val="Body"/>
            </w:pPr>
          </w:p>
          <w:p w14:paraId="513AC9E2" w14:textId="10BF4C72" w:rsidR="001D2B44" w:rsidRDefault="001D2B44" w:rsidP="00B143E8">
            <w:pPr>
              <w:pStyle w:val="Body"/>
            </w:pPr>
          </w:p>
          <w:p w14:paraId="15E47800" w14:textId="652156F6" w:rsidR="001D2B44" w:rsidRDefault="001D2B44" w:rsidP="00B143E8">
            <w:pPr>
              <w:pStyle w:val="Body"/>
            </w:pPr>
          </w:p>
          <w:p w14:paraId="4B121B1F" w14:textId="3824DCE6" w:rsidR="001D2B44" w:rsidRDefault="001D2B44" w:rsidP="00B143E8">
            <w:pPr>
              <w:pStyle w:val="Body"/>
            </w:pPr>
          </w:p>
          <w:p w14:paraId="793B4868" w14:textId="77777777" w:rsidR="001D2B44" w:rsidRDefault="001D2B44" w:rsidP="00B143E8">
            <w:pPr>
              <w:pStyle w:val="Body"/>
            </w:pPr>
          </w:p>
          <w:tbl>
            <w:tblPr>
              <w:tblW w:w="7995" w:type="dxa"/>
              <w:tblCellMar>
                <w:left w:w="0" w:type="dxa"/>
                <w:right w:w="0" w:type="dxa"/>
              </w:tblCellMar>
              <w:tblLook w:val="04A0" w:firstRow="1" w:lastRow="0" w:firstColumn="1" w:lastColumn="0" w:noHBand="0" w:noVBand="1"/>
            </w:tblPr>
            <w:tblGrid>
              <w:gridCol w:w="5303"/>
              <w:gridCol w:w="2692"/>
            </w:tblGrid>
            <w:tr w:rsidR="00A85414" w:rsidRPr="001D2B44" w14:paraId="3567AEEE" w14:textId="77777777" w:rsidTr="00B143E8">
              <w:trPr>
                <w:cantSplit/>
              </w:trPr>
              <w:tc>
                <w:tcPr>
                  <w:tcW w:w="5307" w:type="dxa"/>
                  <w:tcBorders>
                    <w:top w:val="single" w:sz="8" w:space="0" w:color="auto"/>
                    <w:left w:val="single" w:sz="8" w:space="0" w:color="auto"/>
                    <w:bottom w:val="single" w:sz="8" w:space="0" w:color="auto"/>
                    <w:right w:val="single" w:sz="8" w:space="0" w:color="auto"/>
                  </w:tcBorders>
                  <w:shd w:val="clear" w:color="auto" w:fill="99CC00"/>
                  <w:tcMar>
                    <w:top w:w="0" w:type="dxa"/>
                    <w:left w:w="108" w:type="dxa"/>
                    <w:bottom w:w="0" w:type="dxa"/>
                    <w:right w:w="108" w:type="dxa"/>
                  </w:tcMar>
                  <w:hideMark/>
                </w:tcPr>
                <w:p w14:paraId="46F805AA"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lastRenderedPageBreak/>
                    <w:t>Deliverable Name</w:t>
                  </w:r>
                </w:p>
              </w:tc>
              <w:tc>
                <w:tcPr>
                  <w:tcW w:w="2694"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hideMark/>
                </w:tcPr>
                <w:p w14:paraId="33FE1490"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Type</w:t>
                  </w:r>
                </w:p>
              </w:tc>
            </w:tr>
            <w:tr w:rsidR="00A85414" w:rsidRPr="001D2B44" w14:paraId="00B5B5A6" w14:textId="77777777" w:rsidTr="00B143E8">
              <w:trPr>
                <w:cantSplit/>
                <w:tblHeader/>
              </w:trPr>
              <w:tc>
                <w:tcPr>
                  <w:tcW w:w="53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EB966" w14:textId="77777777" w:rsidR="00A85414" w:rsidRPr="001D2B44" w:rsidRDefault="00A85414" w:rsidP="00B143E8">
                  <w:pPr>
                    <w:pStyle w:val="BodyIndent1"/>
                    <w:rPr>
                      <w:rFonts w:asciiTheme="minorHAnsi" w:hAnsiTheme="minorHAnsi"/>
                    </w:rPr>
                  </w:pPr>
                  <w:r w:rsidRPr="001D2B44">
                    <w:rPr>
                      <w:rFonts w:asciiTheme="minorHAnsi" w:hAnsiTheme="minorHAnsi"/>
                    </w:rPr>
                    <w:t>Package 3: RSSB</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B6F31" w14:textId="77777777" w:rsidR="00A85414" w:rsidRPr="001D2B44" w:rsidRDefault="00A85414" w:rsidP="00B143E8">
                  <w:pPr>
                    <w:pStyle w:val="BodyIndent1"/>
                    <w:rPr>
                      <w:rFonts w:asciiTheme="minorHAnsi" w:hAnsiTheme="minorHAnsi"/>
                    </w:rPr>
                  </w:pPr>
                  <w:r w:rsidRPr="001D2B44">
                    <w:rPr>
                      <w:rFonts w:asciiTheme="minorHAnsi" w:hAnsiTheme="minorHAnsi"/>
                    </w:rPr>
                    <w:t>Seminar</w:t>
                  </w:r>
                </w:p>
              </w:tc>
            </w:tr>
            <w:tr w:rsidR="00A85414" w:rsidRPr="001D2B44" w14:paraId="49882A01" w14:textId="77777777" w:rsidTr="00B143E8">
              <w:trPr>
                <w:cantSplit/>
                <w:tblHeader/>
              </w:trPr>
              <w:tc>
                <w:tcPr>
                  <w:tcW w:w="80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0644BF"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Description</w:t>
                  </w:r>
                </w:p>
              </w:tc>
            </w:tr>
            <w:tr w:rsidR="00A85414" w:rsidRPr="001D2B44" w14:paraId="4331850A" w14:textId="77777777" w:rsidTr="00B143E8">
              <w:trPr>
                <w:cantSplit/>
                <w:tblHeader/>
              </w:trPr>
              <w:tc>
                <w:tcPr>
                  <w:tcW w:w="80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C04CC5"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Detail on content requirements</w:t>
                  </w:r>
                </w:p>
                <w:p w14:paraId="774DE453" w14:textId="77777777" w:rsidR="00A85414" w:rsidRPr="001D2B44" w:rsidRDefault="00A85414" w:rsidP="00B143E8">
                  <w:pPr>
                    <w:ind w:left="720" w:hanging="11"/>
                    <w:rPr>
                      <w:rFonts w:asciiTheme="minorHAnsi" w:hAnsiTheme="minorHAnsi"/>
                    </w:rPr>
                  </w:pPr>
                  <w:r w:rsidRPr="001D2B44">
                    <w:rPr>
                      <w:rFonts w:asciiTheme="minorHAnsi" w:hAnsiTheme="minorHAnsi"/>
                    </w:rPr>
                    <w:t xml:space="preserve">Ideally, a customised learning experience via a seminar will be provided to deliver the project objectives identified in section 2. </w:t>
                  </w:r>
                </w:p>
                <w:p w14:paraId="023D3E4A" w14:textId="77777777" w:rsidR="00A85414" w:rsidRPr="001D2B44" w:rsidRDefault="00A85414" w:rsidP="00B143E8">
                  <w:pPr>
                    <w:ind w:left="720" w:hanging="11"/>
                    <w:rPr>
                      <w:rFonts w:asciiTheme="minorHAnsi" w:hAnsiTheme="minorHAnsi"/>
                    </w:rPr>
                  </w:pPr>
                </w:p>
                <w:p w14:paraId="028B535C" w14:textId="77777777" w:rsidR="00A85414" w:rsidRPr="001D2B44" w:rsidRDefault="00A85414" w:rsidP="00B143E8">
                  <w:pPr>
                    <w:ind w:left="720" w:hanging="11"/>
                    <w:rPr>
                      <w:rFonts w:asciiTheme="minorHAnsi" w:hAnsiTheme="minorHAnsi"/>
                    </w:rPr>
                  </w:pPr>
                  <w:r w:rsidRPr="001D2B44">
                    <w:rPr>
                      <w:rFonts w:asciiTheme="minorHAnsi" w:hAnsiTheme="minorHAnsi"/>
                    </w:rPr>
                    <w:t xml:space="preserve">It is proposed that the best way to fulfil this objective would be a seminar held onsite and or within London over 1 days. </w:t>
                  </w:r>
                </w:p>
                <w:p w14:paraId="3609A5ED" w14:textId="77777777" w:rsidR="00A85414" w:rsidRPr="001D2B44" w:rsidRDefault="00A85414" w:rsidP="00B143E8">
                  <w:pPr>
                    <w:ind w:left="720" w:hanging="11"/>
                    <w:rPr>
                      <w:rFonts w:asciiTheme="minorHAnsi" w:hAnsiTheme="minorHAnsi"/>
                    </w:rPr>
                  </w:pPr>
                </w:p>
                <w:p w14:paraId="2B2F33BC" w14:textId="77777777" w:rsidR="00A85414" w:rsidRPr="001D2B44" w:rsidRDefault="00A85414" w:rsidP="00B143E8">
                  <w:pPr>
                    <w:ind w:left="720" w:hanging="11"/>
                    <w:rPr>
                      <w:rFonts w:asciiTheme="minorHAnsi" w:hAnsiTheme="minorHAnsi"/>
                    </w:rPr>
                  </w:pPr>
                  <w:r w:rsidRPr="001D2B44">
                    <w:rPr>
                      <w:rFonts w:asciiTheme="minorHAnsi" w:hAnsiTheme="minorHAnsi"/>
                    </w:rPr>
                    <w:t>The programme is expected to be held in in early 2018. The invitees to this event are the wider leadership team within RSSB. The initiative centred around a seminar of 35-40 senior leaders from the following roles:</w:t>
                  </w:r>
                </w:p>
                <w:p w14:paraId="4CE07FCC" w14:textId="77777777" w:rsidR="00A85414" w:rsidRPr="001D2B44" w:rsidRDefault="00A85414" w:rsidP="00F0516F">
                  <w:pPr>
                    <w:pStyle w:val="ListParagraph"/>
                    <w:numPr>
                      <w:ilvl w:val="0"/>
                      <w:numId w:val="56"/>
                    </w:numPr>
                    <w:spacing w:after="120" w:line="300" w:lineRule="exact"/>
                    <w:rPr>
                      <w:rFonts w:asciiTheme="minorHAnsi" w:hAnsiTheme="minorHAnsi"/>
                      <w:sz w:val="22"/>
                      <w:szCs w:val="22"/>
                    </w:rPr>
                  </w:pPr>
                  <w:r w:rsidRPr="001D2B44">
                    <w:rPr>
                      <w:rFonts w:asciiTheme="minorHAnsi" w:hAnsiTheme="minorHAnsi"/>
                      <w:sz w:val="22"/>
                      <w:szCs w:val="22"/>
                    </w:rPr>
                    <w:t>Technical – these individuals are the lead for each technical discipline across the company, supporting the SLT in assessing capability requirements, capacity and future needs.</w:t>
                  </w:r>
                </w:p>
                <w:p w14:paraId="5B93A068" w14:textId="77777777" w:rsidR="00A85414" w:rsidRPr="001D2B44" w:rsidRDefault="00A85414" w:rsidP="00F0516F">
                  <w:pPr>
                    <w:pStyle w:val="ListParagraph"/>
                    <w:numPr>
                      <w:ilvl w:val="0"/>
                      <w:numId w:val="56"/>
                    </w:numPr>
                    <w:spacing w:line="300" w:lineRule="exact"/>
                    <w:rPr>
                      <w:rFonts w:asciiTheme="minorHAnsi" w:hAnsiTheme="minorHAnsi"/>
                      <w:sz w:val="22"/>
                      <w:szCs w:val="22"/>
                    </w:rPr>
                  </w:pPr>
                  <w:r w:rsidRPr="001D2B44">
                    <w:rPr>
                      <w:rFonts w:asciiTheme="minorHAnsi" w:hAnsiTheme="minorHAnsi"/>
                      <w:sz w:val="22"/>
                      <w:szCs w:val="22"/>
                    </w:rPr>
                    <w:t xml:space="preserve">Professional Leaders – these individuals are the heads of selected functions and activities who can help shape effective and efficient support for RSSB. </w:t>
                  </w:r>
                </w:p>
                <w:p w14:paraId="497D93D1" w14:textId="77777777" w:rsidR="00A85414" w:rsidRPr="001D2B44" w:rsidRDefault="00A85414" w:rsidP="00F0516F">
                  <w:pPr>
                    <w:numPr>
                      <w:ilvl w:val="0"/>
                      <w:numId w:val="56"/>
                    </w:numPr>
                    <w:spacing w:after="0" w:line="240" w:lineRule="auto"/>
                    <w:rPr>
                      <w:rFonts w:asciiTheme="minorHAnsi" w:hAnsiTheme="minorHAnsi"/>
                    </w:rPr>
                  </w:pPr>
                  <w:r w:rsidRPr="001D2B44">
                    <w:rPr>
                      <w:rFonts w:asciiTheme="minorHAnsi" w:hAnsiTheme="minorHAnsi"/>
                    </w:rPr>
                    <w:t>Services – these individuals are the heads of our cross-industry schemes.</w:t>
                  </w:r>
                </w:p>
                <w:p w14:paraId="719C9130" w14:textId="77777777" w:rsidR="00A85414" w:rsidRPr="001D2B44" w:rsidRDefault="00A85414" w:rsidP="00B143E8">
                  <w:pPr>
                    <w:ind w:left="654"/>
                    <w:rPr>
                      <w:rFonts w:asciiTheme="minorHAnsi" w:hAnsiTheme="minorHAnsi"/>
                    </w:rPr>
                  </w:pPr>
                </w:p>
                <w:p w14:paraId="1E7ADD98" w14:textId="77777777" w:rsidR="00A85414" w:rsidRPr="001D2B44" w:rsidRDefault="00A85414" w:rsidP="00B143E8">
                  <w:pPr>
                    <w:ind w:left="654"/>
                    <w:rPr>
                      <w:rFonts w:asciiTheme="minorHAnsi" w:hAnsiTheme="minorHAnsi"/>
                    </w:rPr>
                  </w:pPr>
                  <w:r w:rsidRPr="001D2B44">
                    <w:rPr>
                      <w:rFonts w:asciiTheme="minorHAnsi" w:hAnsiTheme="minorHAnsi"/>
                    </w:rPr>
                    <w:t>The programme should include pre- engagement with delegates prior to attending the invite and also a post engagement follow up intervention afterwards to analyse impact.</w:t>
                  </w:r>
                </w:p>
                <w:p w14:paraId="6A93CD22" w14:textId="77777777" w:rsidR="00A85414" w:rsidRPr="001D2B44" w:rsidRDefault="00A85414" w:rsidP="00B143E8">
                  <w:pPr>
                    <w:pStyle w:val="BodyIndent1"/>
                    <w:rPr>
                      <w:rFonts w:asciiTheme="minorHAnsi" w:hAnsiTheme="minorHAnsi"/>
                      <w:b/>
                      <w:bCs/>
                    </w:rPr>
                  </w:pPr>
                  <w:r w:rsidRPr="001D2B44">
                    <w:rPr>
                      <w:rFonts w:asciiTheme="minorHAnsi" w:hAnsiTheme="minorHAnsi"/>
                      <w:b/>
                      <w:bCs/>
                    </w:rPr>
                    <w:t xml:space="preserve"> </w:t>
                  </w:r>
                </w:p>
              </w:tc>
            </w:tr>
          </w:tbl>
          <w:p w14:paraId="5DC9BBDB" w14:textId="77777777" w:rsidR="00A85414" w:rsidRDefault="00A85414" w:rsidP="00B143E8">
            <w:pPr>
              <w:pStyle w:val="Body"/>
              <w:rPr>
                <w:rFonts w:cs="Times New Roman"/>
                <w:sz w:val="20"/>
                <w:szCs w:val="20"/>
              </w:rPr>
            </w:pPr>
          </w:p>
          <w:p w14:paraId="1F3897A1" w14:textId="77777777" w:rsidR="00A85414" w:rsidRDefault="00A85414" w:rsidP="00B143E8">
            <w:pPr>
              <w:pStyle w:val="BodyIndent1"/>
              <w:ind w:left="0"/>
              <w:rPr>
                <w:rFonts w:cs="Times New Roman"/>
                <w:sz w:val="20"/>
                <w:szCs w:val="20"/>
              </w:rPr>
            </w:pPr>
          </w:p>
        </w:tc>
      </w:tr>
    </w:tbl>
    <w:p w14:paraId="632FC701" w14:textId="77777777" w:rsidR="00A85414" w:rsidRDefault="00A85414" w:rsidP="00F0516F">
      <w:pPr>
        <w:pStyle w:val="Heading1"/>
        <w:numPr>
          <w:ilvl w:val="0"/>
          <w:numId w:val="44"/>
        </w:numPr>
      </w:pPr>
      <w:r>
        <w:lastRenderedPageBreak/>
        <w:t xml:space="preserve">Budget and timescales </w:t>
      </w:r>
    </w:p>
    <w:p w14:paraId="3AF25817" w14:textId="77777777" w:rsidR="00A85414" w:rsidRPr="001D2B44" w:rsidRDefault="00A85414" w:rsidP="00A85414">
      <w:pPr>
        <w:rPr>
          <w:rFonts w:asciiTheme="minorHAnsi" w:hAnsiTheme="minorHAnsi"/>
          <w:lang w:eastAsia="en-GB"/>
        </w:rPr>
      </w:pPr>
      <w:r w:rsidRPr="001D2B44">
        <w:rPr>
          <w:rFonts w:asciiTheme="minorHAnsi" w:hAnsiTheme="minorHAnsi"/>
          <w:lang w:eastAsia="en-GB"/>
        </w:rPr>
        <w:t xml:space="preserve">The work is expected to start in 12/2017 and be completed by 04/2018. These are indicative dates and RSSB is prepared to consider bids that cannot meet these expectations if they have a robust and realistic project plan, and an explanation of why the expected start and end date cannot be met.  </w:t>
      </w:r>
    </w:p>
    <w:p w14:paraId="10F9337E" w14:textId="77777777" w:rsidR="00A85414" w:rsidRDefault="00A85414" w:rsidP="00A85414">
      <w:pPr>
        <w:rPr>
          <w:lang w:eastAsia="en-GB"/>
        </w:rPr>
      </w:pPr>
    </w:p>
    <w:p w14:paraId="433921F2" w14:textId="77777777" w:rsidR="00A85414" w:rsidRDefault="00A85414" w:rsidP="00F0516F">
      <w:pPr>
        <w:pStyle w:val="Heading1"/>
        <w:numPr>
          <w:ilvl w:val="0"/>
          <w:numId w:val="44"/>
        </w:numPr>
      </w:pPr>
      <w:r>
        <w:t>Critical success factors and risk management</w:t>
      </w:r>
    </w:p>
    <w:p w14:paraId="01D80B19" w14:textId="77777777" w:rsidR="00A85414" w:rsidRPr="001D2B44" w:rsidRDefault="00A85414" w:rsidP="00A85414">
      <w:pPr>
        <w:rPr>
          <w:rFonts w:asciiTheme="minorHAnsi" w:hAnsiTheme="minorHAnsi"/>
          <w:lang w:eastAsia="en-GB"/>
        </w:rPr>
      </w:pPr>
      <w:r w:rsidRPr="001D2B44">
        <w:rPr>
          <w:rFonts w:asciiTheme="minorHAnsi" w:hAnsiTheme="minorHAnsi"/>
          <w:lang w:eastAsia="en-GB"/>
        </w:rPr>
        <w:lastRenderedPageBreak/>
        <w:t xml:space="preserve">The following critical success factors have been identified: </w:t>
      </w:r>
    </w:p>
    <w:p w14:paraId="582E6AD0"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rPr>
        <w:t>Access to thought leaders and people who have delivered change from range of relevant sectors</w:t>
      </w:r>
    </w:p>
    <w:p w14:paraId="07C49844"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lang w:eastAsia="en-GB"/>
        </w:rPr>
        <w:t>Ability to understand individual needs of participants and align programme across potential conflicts</w:t>
      </w:r>
    </w:p>
    <w:p w14:paraId="1C1225FF"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lang w:eastAsia="en-GB"/>
        </w:rPr>
        <w:t>Understanding of rail sector</w:t>
      </w:r>
    </w:p>
    <w:p w14:paraId="7F487170"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lang w:eastAsia="en-GB"/>
        </w:rPr>
        <w:t>Understanding how to lead executive learning events to get successful outcomes</w:t>
      </w:r>
    </w:p>
    <w:p w14:paraId="1934D2AC"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lang w:eastAsia="en-GB"/>
        </w:rPr>
        <w:t>Understanding and access to robust and leading knowledge and understanding of trends and issues in sustainability</w:t>
      </w:r>
    </w:p>
    <w:p w14:paraId="1A82C310" w14:textId="77777777" w:rsidR="00A85414" w:rsidRPr="001D2B44" w:rsidRDefault="00A85414" w:rsidP="00F0516F">
      <w:pPr>
        <w:numPr>
          <w:ilvl w:val="0"/>
          <w:numId w:val="53"/>
        </w:numPr>
        <w:spacing w:after="0" w:line="240" w:lineRule="auto"/>
        <w:rPr>
          <w:rFonts w:asciiTheme="minorHAnsi" w:eastAsia="Times New Roman" w:hAnsiTheme="minorHAnsi" w:cs="Arial"/>
          <w:lang w:eastAsia="en-GB"/>
        </w:rPr>
      </w:pPr>
      <w:r w:rsidRPr="001D2B44">
        <w:rPr>
          <w:rFonts w:asciiTheme="minorHAnsi" w:eastAsia="Times New Roman" w:hAnsiTheme="minorHAnsi" w:cs="Arial"/>
          <w:lang w:eastAsia="en-GB"/>
        </w:rPr>
        <w:t>Ability to translate sustainability challenges into strategic and commercial outcomes</w:t>
      </w:r>
    </w:p>
    <w:p w14:paraId="25820798" w14:textId="77777777" w:rsidR="00A85414" w:rsidRPr="001D2B44" w:rsidRDefault="00A85414" w:rsidP="00A85414">
      <w:pPr>
        <w:ind w:left="360"/>
        <w:rPr>
          <w:rFonts w:asciiTheme="minorHAnsi" w:eastAsia="Times New Roman" w:hAnsiTheme="minorHAnsi" w:cs="Arial"/>
          <w:lang w:eastAsia="en-GB"/>
        </w:rPr>
      </w:pPr>
    </w:p>
    <w:p w14:paraId="086A1057" w14:textId="77777777" w:rsidR="00A85414" w:rsidRPr="001D2B44" w:rsidRDefault="00A85414" w:rsidP="00A85414">
      <w:pPr>
        <w:rPr>
          <w:rFonts w:asciiTheme="minorHAnsi" w:hAnsiTheme="minorHAnsi"/>
          <w:lang w:eastAsia="en-GB"/>
        </w:rPr>
      </w:pPr>
    </w:p>
    <w:p w14:paraId="68017CF8" w14:textId="77777777" w:rsidR="00A85414" w:rsidRPr="001D2B44" w:rsidRDefault="00A85414" w:rsidP="00A85414">
      <w:pPr>
        <w:rPr>
          <w:rFonts w:asciiTheme="minorHAnsi" w:hAnsiTheme="minorHAnsi"/>
          <w:lang w:eastAsia="en-GB"/>
        </w:rPr>
      </w:pPr>
      <w:r w:rsidRPr="001D2B44">
        <w:rPr>
          <w:rFonts w:asciiTheme="minorHAnsi" w:hAnsiTheme="minorHAnsi"/>
          <w:lang w:eastAsia="en-GB"/>
        </w:rPr>
        <w:t>The project risks identify potential threats to the supplier’s successful delivery of the project. RSSB expects the supplier to identify risks, propose effective management and mitigation measures, and regularly review these risks as the project progresses. RSSB have identified the following initial risks.</w:t>
      </w:r>
    </w:p>
    <w:p w14:paraId="1C242C1C" w14:textId="77777777" w:rsidR="00A85414" w:rsidRPr="001D2B44" w:rsidRDefault="00A85414" w:rsidP="00F0516F">
      <w:pPr>
        <w:numPr>
          <w:ilvl w:val="0"/>
          <w:numId w:val="54"/>
        </w:numPr>
        <w:spacing w:after="0" w:line="240" w:lineRule="auto"/>
        <w:rPr>
          <w:rFonts w:asciiTheme="minorHAnsi" w:eastAsia="Times New Roman" w:hAnsiTheme="minorHAnsi" w:cs="Arial"/>
          <w:i/>
          <w:iCs/>
        </w:rPr>
      </w:pPr>
      <w:r w:rsidRPr="001D2B44">
        <w:rPr>
          <w:rFonts w:asciiTheme="minorHAnsi" w:eastAsia="Times New Roman" w:hAnsiTheme="minorHAnsi" w:cs="Arial"/>
          <w:iCs/>
        </w:rPr>
        <w:t>Working with a number of stakeholders.</w:t>
      </w:r>
    </w:p>
    <w:p w14:paraId="32BCE4DF" w14:textId="77777777" w:rsidR="00A85414" w:rsidRPr="001D2B44" w:rsidRDefault="00A85414" w:rsidP="00F0516F">
      <w:pPr>
        <w:numPr>
          <w:ilvl w:val="0"/>
          <w:numId w:val="54"/>
        </w:numPr>
        <w:spacing w:after="0" w:line="240" w:lineRule="auto"/>
        <w:rPr>
          <w:rFonts w:asciiTheme="minorHAnsi" w:eastAsia="Times New Roman" w:hAnsiTheme="minorHAnsi" w:cs="Arial"/>
          <w:i/>
          <w:iCs/>
        </w:rPr>
      </w:pPr>
      <w:r w:rsidRPr="001D2B44">
        <w:rPr>
          <w:rFonts w:asciiTheme="minorHAnsi" w:eastAsia="Times New Roman" w:hAnsiTheme="minorHAnsi" w:cs="Arial"/>
          <w:iCs/>
        </w:rPr>
        <w:t>Timescales are too short.</w:t>
      </w:r>
    </w:p>
    <w:p w14:paraId="07C50AE4" w14:textId="77777777" w:rsidR="00A85414" w:rsidRPr="001D2B44" w:rsidRDefault="00A85414" w:rsidP="00E62A97">
      <w:pPr>
        <w:pStyle w:val="CoverTitle"/>
        <w:rPr>
          <w:rFonts w:asciiTheme="minorHAnsi" w:hAnsiTheme="minorHAnsi"/>
        </w:rPr>
      </w:pPr>
    </w:p>
    <w:p w14:paraId="276ED965" w14:textId="77777777" w:rsidR="00A85414" w:rsidRDefault="00A85414" w:rsidP="00E62A97">
      <w:pPr>
        <w:pStyle w:val="CoverTitle"/>
      </w:pPr>
    </w:p>
    <w:p w14:paraId="79F67455" w14:textId="77777777" w:rsidR="00E62A97" w:rsidRDefault="00E62A97" w:rsidP="00E62A97">
      <w:pPr>
        <w:pStyle w:val="CoverTitle"/>
      </w:pPr>
    </w:p>
    <w:p w14:paraId="7ED9D6E3" w14:textId="77777777" w:rsidR="00E62A97" w:rsidRDefault="00E62A97" w:rsidP="00E62A97">
      <w:pPr>
        <w:pStyle w:val="CoverTitle"/>
      </w:pPr>
    </w:p>
    <w:p w14:paraId="0615C5F8" w14:textId="77777777" w:rsidR="00E62A97" w:rsidRDefault="00E62A97" w:rsidP="00E62A97">
      <w:pPr>
        <w:pStyle w:val="CoverTitle"/>
      </w:pPr>
    </w:p>
    <w:p w14:paraId="60CD9382" w14:textId="77777777" w:rsidR="00E62A97" w:rsidRDefault="00E62A97" w:rsidP="00E62A97"/>
    <w:p w14:paraId="49A0DA09" w14:textId="77777777" w:rsidR="00E62A97" w:rsidRDefault="00E62A97" w:rsidP="00E62A97">
      <w:r>
        <w:br w:type="page"/>
      </w: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05C6A90B" w14:textId="77777777" w:rsidR="00E52B87" w:rsidRPr="00E52B87" w:rsidRDefault="00E52B87" w:rsidP="00E52B87">
      <w:pPr>
        <w:pStyle w:val="Textindent"/>
        <w:rPr>
          <w:rFonts w:asciiTheme="minorHAnsi" w:hAnsiTheme="minorHAnsi"/>
          <w:szCs w:val="22"/>
        </w:rPr>
      </w:pPr>
      <w:bookmarkStart w:id="12" w:name="_Toc519998894"/>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071"/>
        <w:gridCol w:w="2097"/>
        <w:gridCol w:w="2013"/>
        <w:gridCol w:w="1416"/>
        <w:gridCol w:w="1329"/>
      </w:tblGrid>
      <w:tr w:rsidR="00E52B87" w:rsidRPr="00E52B87" w14:paraId="56FAA3CF" w14:textId="77777777" w:rsidTr="001D2B44">
        <w:tc>
          <w:tcPr>
            <w:tcW w:w="1775" w:type="pct"/>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1344" w:type="pct"/>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968" w:type="pct"/>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914" w:type="pct"/>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1D2B44">
        <w:trPr>
          <w:trHeight w:val="555"/>
        </w:trPr>
        <w:tc>
          <w:tcPr>
            <w:tcW w:w="377" w:type="pct"/>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1398" w:type="pct"/>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1344" w:type="pct"/>
            <w:vMerge w:val="restart"/>
            <w:shd w:val="clear" w:color="auto" w:fill="auto"/>
            <w:vAlign w:val="center"/>
          </w:tcPr>
          <w:p w14:paraId="0F395281" w14:textId="77777777" w:rsidR="00E52B87" w:rsidRDefault="00E52B87" w:rsidP="00D2105A">
            <w:pPr>
              <w:pStyle w:val="Table"/>
              <w:rPr>
                <w:rFonts w:asciiTheme="minorHAnsi" w:hAnsiTheme="minorHAnsi" w:cs="Arial"/>
                <w:sz w:val="22"/>
                <w:szCs w:val="22"/>
              </w:rPr>
            </w:pPr>
          </w:p>
          <w:p w14:paraId="65B10E4F" w14:textId="77777777" w:rsidR="001D2B44" w:rsidRDefault="001D2B44" w:rsidP="00D2105A">
            <w:pPr>
              <w:pStyle w:val="Table"/>
              <w:rPr>
                <w:rFonts w:asciiTheme="minorHAnsi" w:hAnsiTheme="minorHAnsi" w:cs="Arial"/>
                <w:sz w:val="22"/>
                <w:szCs w:val="22"/>
              </w:rPr>
            </w:pPr>
          </w:p>
          <w:p w14:paraId="0079E9E3" w14:textId="77777777" w:rsidR="001D2B44" w:rsidRDefault="001D2B44" w:rsidP="00D2105A">
            <w:pPr>
              <w:pStyle w:val="Table"/>
              <w:rPr>
                <w:rFonts w:asciiTheme="minorHAnsi" w:hAnsiTheme="minorHAnsi" w:cs="Arial"/>
                <w:sz w:val="22"/>
                <w:szCs w:val="22"/>
              </w:rPr>
            </w:pPr>
          </w:p>
          <w:p w14:paraId="70B96AFD" w14:textId="77777777" w:rsidR="001D2B44" w:rsidRDefault="001D2B44" w:rsidP="00D2105A">
            <w:pPr>
              <w:pStyle w:val="Table"/>
              <w:rPr>
                <w:rFonts w:asciiTheme="minorHAnsi" w:hAnsiTheme="minorHAnsi" w:cs="Arial"/>
                <w:sz w:val="22"/>
                <w:szCs w:val="22"/>
              </w:rPr>
            </w:pPr>
          </w:p>
          <w:p w14:paraId="066E24C6" w14:textId="77777777" w:rsidR="001D2B44" w:rsidRDefault="001D2B44" w:rsidP="00D2105A">
            <w:pPr>
              <w:pStyle w:val="Table"/>
              <w:rPr>
                <w:rFonts w:asciiTheme="minorHAnsi" w:hAnsiTheme="minorHAnsi" w:cs="Arial"/>
                <w:sz w:val="22"/>
                <w:szCs w:val="22"/>
              </w:rPr>
            </w:pPr>
          </w:p>
          <w:p w14:paraId="55A449A5" w14:textId="77777777" w:rsidR="001D2B44" w:rsidRDefault="001D2B44" w:rsidP="00D2105A">
            <w:pPr>
              <w:pStyle w:val="Table"/>
              <w:rPr>
                <w:rFonts w:asciiTheme="minorHAnsi" w:hAnsiTheme="minorHAnsi" w:cs="Arial"/>
                <w:sz w:val="22"/>
                <w:szCs w:val="22"/>
              </w:rPr>
            </w:pPr>
          </w:p>
          <w:p w14:paraId="39548AA0" w14:textId="038D0FD0" w:rsidR="001D2B44" w:rsidRPr="00E52B87" w:rsidRDefault="001D2B44" w:rsidP="00D2105A">
            <w:pPr>
              <w:pStyle w:val="Table"/>
              <w:rPr>
                <w:rFonts w:asciiTheme="minorHAnsi" w:hAnsiTheme="minorHAnsi" w:cs="Arial"/>
                <w:sz w:val="22"/>
                <w:szCs w:val="22"/>
              </w:rPr>
            </w:pPr>
          </w:p>
        </w:tc>
        <w:tc>
          <w:tcPr>
            <w:tcW w:w="968" w:type="pct"/>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914" w:type="pct"/>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1D2B44">
        <w:trPr>
          <w:trHeight w:val="201"/>
        </w:trPr>
        <w:tc>
          <w:tcPr>
            <w:tcW w:w="377" w:type="pct"/>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1398" w:type="pct"/>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1344" w:type="pct"/>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968" w:type="pct"/>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914" w:type="pct"/>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1D2B44">
        <w:trPr>
          <w:trHeight w:val="555"/>
        </w:trPr>
        <w:tc>
          <w:tcPr>
            <w:tcW w:w="377" w:type="pct"/>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1398" w:type="pct"/>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1344" w:type="pct"/>
            <w:vMerge w:val="restart"/>
            <w:shd w:val="clear" w:color="auto" w:fill="auto"/>
            <w:vAlign w:val="center"/>
          </w:tcPr>
          <w:p w14:paraId="37FCA4C1" w14:textId="77777777" w:rsidR="00E52B87" w:rsidRDefault="00E52B87" w:rsidP="00D2105A">
            <w:pPr>
              <w:pStyle w:val="Table"/>
              <w:rPr>
                <w:rFonts w:asciiTheme="minorHAnsi" w:hAnsiTheme="minorHAnsi" w:cs="Arial"/>
                <w:sz w:val="22"/>
                <w:szCs w:val="22"/>
              </w:rPr>
            </w:pPr>
          </w:p>
          <w:p w14:paraId="6A47C54A" w14:textId="77777777" w:rsidR="001D2B44" w:rsidRDefault="001D2B44" w:rsidP="00D2105A">
            <w:pPr>
              <w:pStyle w:val="Table"/>
              <w:rPr>
                <w:rFonts w:asciiTheme="minorHAnsi" w:hAnsiTheme="minorHAnsi" w:cs="Arial"/>
                <w:sz w:val="22"/>
                <w:szCs w:val="22"/>
              </w:rPr>
            </w:pPr>
          </w:p>
          <w:p w14:paraId="68A8FAA6" w14:textId="77777777" w:rsidR="001D2B44" w:rsidRDefault="001D2B44" w:rsidP="00D2105A">
            <w:pPr>
              <w:pStyle w:val="Table"/>
              <w:rPr>
                <w:rFonts w:asciiTheme="minorHAnsi" w:hAnsiTheme="minorHAnsi" w:cs="Arial"/>
                <w:sz w:val="22"/>
                <w:szCs w:val="22"/>
              </w:rPr>
            </w:pPr>
          </w:p>
          <w:p w14:paraId="3AC5B090" w14:textId="77777777" w:rsidR="001D2B44" w:rsidRDefault="001D2B44" w:rsidP="00D2105A">
            <w:pPr>
              <w:pStyle w:val="Table"/>
              <w:rPr>
                <w:rFonts w:asciiTheme="minorHAnsi" w:hAnsiTheme="minorHAnsi" w:cs="Arial"/>
                <w:sz w:val="22"/>
                <w:szCs w:val="22"/>
              </w:rPr>
            </w:pPr>
          </w:p>
          <w:p w14:paraId="25EB7E37" w14:textId="77777777" w:rsidR="001D2B44" w:rsidRDefault="001D2B44" w:rsidP="00D2105A">
            <w:pPr>
              <w:pStyle w:val="Table"/>
              <w:rPr>
                <w:rFonts w:asciiTheme="minorHAnsi" w:hAnsiTheme="minorHAnsi" w:cs="Arial"/>
                <w:sz w:val="22"/>
                <w:szCs w:val="22"/>
              </w:rPr>
            </w:pPr>
          </w:p>
          <w:p w14:paraId="3BC6C98D" w14:textId="77777777" w:rsidR="001D2B44" w:rsidRDefault="001D2B44" w:rsidP="00D2105A">
            <w:pPr>
              <w:pStyle w:val="Table"/>
              <w:rPr>
                <w:rFonts w:asciiTheme="minorHAnsi" w:hAnsiTheme="minorHAnsi" w:cs="Arial"/>
                <w:sz w:val="22"/>
                <w:szCs w:val="22"/>
              </w:rPr>
            </w:pPr>
          </w:p>
          <w:p w14:paraId="5B5E2ED9" w14:textId="77777777" w:rsidR="001D2B44" w:rsidRDefault="001D2B44" w:rsidP="00D2105A">
            <w:pPr>
              <w:pStyle w:val="Table"/>
              <w:rPr>
                <w:rFonts w:asciiTheme="minorHAnsi" w:hAnsiTheme="minorHAnsi" w:cs="Arial"/>
                <w:sz w:val="22"/>
                <w:szCs w:val="22"/>
              </w:rPr>
            </w:pPr>
          </w:p>
          <w:p w14:paraId="1939B608" w14:textId="5A6121E5" w:rsidR="001D2B44" w:rsidRPr="00E52B87" w:rsidRDefault="001D2B44" w:rsidP="00D2105A">
            <w:pPr>
              <w:pStyle w:val="Table"/>
              <w:rPr>
                <w:rFonts w:asciiTheme="minorHAnsi" w:hAnsiTheme="minorHAnsi" w:cs="Arial"/>
                <w:sz w:val="22"/>
                <w:szCs w:val="22"/>
              </w:rPr>
            </w:pPr>
          </w:p>
        </w:tc>
        <w:tc>
          <w:tcPr>
            <w:tcW w:w="968" w:type="pct"/>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914" w:type="pct"/>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1D2B44">
        <w:trPr>
          <w:trHeight w:val="555"/>
        </w:trPr>
        <w:tc>
          <w:tcPr>
            <w:tcW w:w="377" w:type="pct"/>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1398" w:type="pct"/>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1344" w:type="pct"/>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968" w:type="pct"/>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914" w:type="pct"/>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1D2B44">
        <w:trPr>
          <w:trHeight w:val="555"/>
        </w:trPr>
        <w:tc>
          <w:tcPr>
            <w:tcW w:w="377" w:type="pct"/>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1398" w:type="pct"/>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1344" w:type="pct"/>
            <w:vMerge w:val="restart"/>
            <w:shd w:val="clear" w:color="auto" w:fill="auto"/>
            <w:vAlign w:val="center"/>
          </w:tcPr>
          <w:p w14:paraId="0133EAB3" w14:textId="77777777" w:rsidR="00E52B87" w:rsidRDefault="00E52B87" w:rsidP="00D2105A">
            <w:pPr>
              <w:pStyle w:val="Table"/>
              <w:rPr>
                <w:rFonts w:asciiTheme="minorHAnsi" w:hAnsiTheme="minorHAnsi" w:cs="Arial"/>
                <w:sz w:val="22"/>
                <w:szCs w:val="22"/>
              </w:rPr>
            </w:pPr>
          </w:p>
          <w:p w14:paraId="33FBD1C8" w14:textId="77777777" w:rsidR="001D2B44" w:rsidRDefault="001D2B44" w:rsidP="00D2105A">
            <w:pPr>
              <w:pStyle w:val="Table"/>
              <w:rPr>
                <w:rFonts w:asciiTheme="minorHAnsi" w:hAnsiTheme="minorHAnsi" w:cs="Arial"/>
                <w:sz w:val="22"/>
                <w:szCs w:val="22"/>
              </w:rPr>
            </w:pPr>
          </w:p>
          <w:p w14:paraId="595F015A" w14:textId="77777777" w:rsidR="001D2B44" w:rsidRDefault="001D2B44" w:rsidP="00D2105A">
            <w:pPr>
              <w:pStyle w:val="Table"/>
              <w:rPr>
                <w:rFonts w:asciiTheme="minorHAnsi" w:hAnsiTheme="minorHAnsi" w:cs="Arial"/>
                <w:sz w:val="22"/>
                <w:szCs w:val="22"/>
              </w:rPr>
            </w:pPr>
          </w:p>
          <w:p w14:paraId="241EC62F" w14:textId="77777777" w:rsidR="001D2B44" w:rsidRDefault="001D2B44" w:rsidP="00D2105A">
            <w:pPr>
              <w:pStyle w:val="Table"/>
              <w:rPr>
                <w:rFonts w:asciiTheme="minorHAnsi" w:hAnsiTheme="minorHAnsi" w:cs="Arial"/>
                <w:sz w:val="22"/>
                <w:szCs w:val="22"/>
              </w:rPr>
            </w:pPr>
          </w:p>
          <w:p w14:paraId="44B57F6D" w14:textId="77777777" w:rsidR="001D2B44" w:rsidRDefault="001D2B44" w:rsidP="00D2105A">
            <w:pPr>
              <w:pStyle w:val="Table"/>
              <w:rPr>
                <w:rFonts w:asciiTheme="minorHAnsi" w:hAnsiTheme="minorHAnsi" w:cs="Arial"/>
                <w:sz w:val="22"/>
                <w:szCs w:val="22"/>
              </w:rPr>
            </w:pPr>
          </w:p>
          <w:p w14:paraId="59903C8A" w14:textId="77777777" w:rsidR="001D2B44" w:rsidRDefault="001D2B44" w:rsidP="00D2105A">
            <w:pPr>
              <w:pStyle w:val="Table"/>
              <w:rPr>
                <w:rFonts w:asciiTheme="minorHAnsi" w:hAnsiTheme="minorHAnsi" w:cs="Arial"/>
                <w:sz w:val="22"/>
                <w:szCs w:val="22"/>
              </w:rPr>
            </w:pPr>
          </w:p>
          <w:p w14:paraId="166DC0AE" w14:textId="77777777" w:rsidR="001D2B44" w:rsidRDefault="001D2B44" w:rsidP="00D2105A">
            <w:pPr>
              <w:pStyle w:val="Table"/>
              <w:rPr>
                <w:rFonts w:asciiTheme="minorHAnsi" w:hAnsiTheme="minorHAnsi" w:cs="Arial"/>
                <w:sz w:val="22"/>
                <w:szCs w:val="22"/>
              </w:rPr>
            </w:pPr>
          </w:p>
          <w:p w14:paraId="2B100280" w14:textId="77777777" w:rsidR="001D2B44" w:rsidRDefault="001D2B44" w:rsidP="00D2105A">
            <w:pPr>
              <w:pStyle w:val="Table"/>
              <w:rPr>
                <w:rFonts w:asciiTheme="minorHAnsi" w:hAnsiTheme="minorHAnsi" w:cs="Arial"/>
                <w:sz w:val="22"/>
                <w:szCs w:val="22"/>
              </w:rPr>
            </w:pPr>
          </w:p>
          <w:p w14:paraId="0C5E96DD" w14:textId="7730ED64" w:rsidR="001D2B44" w:rsidRPr="00E52B87" w:rsidRDefault="001D2B44" w:rsidP="00D2105A">
            <w:pPr>
              <w:pStyle w:val="Table"/>
              <w:rPr>
                <w:rFonts w:asciiTheme="minorHAnsi" w:hAnsiTheme="minorHAnsi" w:cs="Arial"/>
                <w:sz w:val="22"/>
                <w:szCs w:val="22"/>
              </w:rPr>
            </w:pPr>
          </w:p>
        </w:tc>
        <w:tc>
          <w:tcPr>
            <w:tcW w:w="968" w:type="pct"/>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914" w:type="pct"/>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1D2B44">
        <w:trPr>
          <w:trHeight w:val="555"/>
        </w:trPr>
        <w:tc>
          <w:tcPr>
            <w:tcW w:w="377" w:type="pct"/>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1398" w:type="pct"/>
            <w:shd w:val="clear" w:color="auto" w:fill="auto"/>
            <w:vAlign w:val="center"/>
          </w:tcPr>
          <w:p w14:paraId="23CF8712" w14:textId="77777777" w:rsidR="00E52B87" w:rsidRDefault="00E52B87" w:rsidP="00D2105A">
            <w:pPr>
              <w:pStyle w:val="Table"/>
              <w:rPr>
                <w:rFonts w:asciiTheme="minorHAnsi" w:hAnsiTheme="minorHAnsi" w:cs="Arial"/>
                <w:sz w:val="22"/>
                <w:szCs w:val="22"/>
              </w:rPr>
            </w:pPr>
          </w:p>
          <w:p w14:paraId="5EF9C8C9" w14:textId="2B95905A" w:rsidR="001D2B44" w:rsidRPr="00E52B87" w:rsidRDefault="001D2B44" w:rsidP="00D2105A">
            <w:pPr>
              <w:pStyle w:val="Table"/>
              <w:rPr>
                <w:rFonts w:asciiTheme="minorHAnsi" w:hAnsiTheme="minorHAnsi" w:cs="Arial"/>
                <w:sz w:val="22"/>
                <w:szCs w:val="22"/>
              </w:rPr>
            </w:pPr>
          </w:p>
        </w:tc>
        <w:tc>
          <w:tcPr>
            <w:tcW w:w="1344" w:type="pct"/>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968" w:type="pct"/>
            <w:vMerge/>
          </w:tcPr>
          <w:p w14:paraId="0CEFCEA4" w14:textId="77777777" w:rsidR="00E52B87" w:rsidRPr="00E52B87" w:rsidRDefault="00E52B87" w:rsidP="00D2105A">
            <w:pPr>
              <w:pStyle w:val="Table"/>
              <w:rPr>
                <w:rFonts w:asciiTheme="minorHAnsi" w:hAnsiTheme="minorHAnsi" w:cs="Arial"/>
                <w:sz w:val="22"/>
                <w:szCs w:val="22"/>
              </w:rPr>
            </w:pPr>
          </w:p>
        </w:tc>
        <w:tc>
          <w:tcPr>
            <w:tcW w:w="914" w:type="pct"/>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19729A">
        <w:rPr>
          <w:rFonts w:asciiTheme="minorHAnsi" w:hAnsiTheme="minorHAnsi" w:cs="Arial"/>
          <w:b/>
          <w:bCs/>
          <w:sz w:val="22"/>
          <w:szCs w:val="22"/>
        </w:rPr>
      </w:r>
      <w:r w:rsidR="0019729A">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19729A"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1"/>
      <w:footerReference w:type="even" r:id="rId22"/>
      <w:footerReference w:type="default" r:id="rId23"/>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BF8FF" w14:textId="77777777" w:rsidR="0019729A" w:rsidRDefault="0019729A" w:rsidP="0003785D">
      <w:r>
        <w:separator/>
      </w:r>
    </w:p>
  </w:endnote>
  <w:endnote w:type="continuationSeparator" w:id="0">
    <w:p w14:paraId="0F43D7DA" w14:textId="77777777" w:rsidR="0019729A" w:rsidRDefault="0019729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BB07F65" w:rsidR="00B143E8" w:rsidRDefault="00B143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204">
      <w:rPr>
        <w:rStyle w:val="PageNumber"/>
        <w:noProof/>
      </w:rPr>
      <w:t>20</w:t>
    </w:r>
    <w:r>
      <w:rPr>
        <w:rStyle w:val="PageNumber"/>
      </w:rPr>
      <w:fldChar w:fldCharType="end"/>
    </w:r>
  </w:p>
  <w:p w14:paraId="2A2B9D60" w14:textId="77777777" w:rsidR="00B143E8" w:rsidRDefault="00B14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38DF2C95" w:rsidR="00B143E8" w:rsidRPr="00F735CB" w:rsidRDefault="00B143E8"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24204">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B143E8" w:rsidRDefault="00B143E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B143E8" w:rsidRDefault="00B143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DAE6B08" w:rsidR="00B143E8" w:rsidRDefault="00B143E8" w:rsidP="00674166">
    <w:pPr>
      <w:pStyle w:val="FooterLeft"/>
    </w:pPr>
    <w:r>
      <w:fldChar w:fldCharType="begin"/>
    </w:r>
    <w:r>
      <w:instrText xml:space="preserve"> PAGE   \* MERGEFORMAT </w:instrText>
    </w:r>
    <w:r>
      <w:fldChar w:fldCharType="separate"/>
    </w:r>
    <w:r w:rsidR="00C24204">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2E332704" w:rsidR="00B143E8" w:rsidRDefault="00B143E8" w:rsidP="00674166">
    <w:pPr>
      <w:pStyle w:val="FooterRight"/>
    </w:pPr>
    <w:r>
      <w:fldChar w:fldCharType="begin"/>
    </w:r>
    <w:r>
      <w:instrText xml:space="preserve"> PAGE   \* MERGEFORMAT </w:instrText>
    </w:r>
    <w:r>
      <w:fldChar w:fldCharType="separate"/>
    </w:r>
    <w:r w:rsidR="00C24204">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08346" w14:textId="77777777" w:rsidR="0019729A" w:rsidRDefault="0019729A" w:rsidP="0003785D">
      <w:r>
        <w:separator/>
      </w:r>
    </w:p>
  </w:footnote>
  <w:footnote w:type="continuationSeparator" w:id="0">
    <w:p w14:paraId="7E090140" w14:textId="77777777" w:rsidR="0019729A" w:rsidRDefault="0019729A" w:rsidP="0003785D">
      <w:r>
        <w:continuationSeparator/>
      </w:r>
    </w:p>
  </w:footnote>
  <w:footnote w:id="1">
    <w:p w14:paraId="13A5096B" w14:textId="77777777" w:rsidR="00B143E8" w:rsidRDefault="00B143E8" w:rsidP="001D2B44">
      <w:pPr>
        <w:pStyle w:val="FootnoteText"/>
      </w:pPr>
      <w:r>
        <w:rPr>
          <w:rStyle w:val="FootnoteReference"/>
        </w:rPr>
        <w:footnoteRef/>
      </w:r>
      <w:r>
        <w:t xml:space="preserve"> </w:t>
      </w:r>
      <w:hyperlink r:id="rId1" w:history="1">
        <w:r w:rsidRPr="0033345E">
          <w:rPr>
            <w:rStyle w:val="Hyperlink"/>
            <w:sz w:val="18"/>
          </w:rPr>
          <w:t>http://www.railnorth.org/strategy/supporting-the-norths-economy/</w:t>
        </w:r>
      </w:hyperlink>
      <w:r w:rsidRPr="0033345E">
        <w:rPr>
          <w:sz w:val="18"/>
        </w:rPr>
        <w:t xml:space="preserve"> </w:t>
      </w:r>
    </w:p>
  </w:footnote>
  <w:footnote w:id="2">
    <w:p w14:paraId="383B7734" w14:textId="77777777" w:rsidR="00B143E8" w:rsidRPr="001D2B44" w:rsidRDefault="00B143E8" w:rsidP="001D2B44">
      <w:pPr>
        <w:pStyle w:val="FootnoteText"/>
      </w:pPr>
      <w:r w:rsidRPr="001D2B44">
        <w:rPr>
          <w:rStyle w:val="FootnoteReference"/>
        </w:rPr>
        <w:footnoteRef/>
      </w:r>
      <w:r w:rsidRPr="001D2B44">
        <w:t xml:space="preserve"> 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B143E8" w:rsidRDefault="00B143E8">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4B00379F" w:rsidR="00B143E8" w:rsidRDefault="00B143E8" w:rsidP="00D2105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4B00379F" w:rsidR="00B143E8" w:rsidRDefault="00B143E8" w:rsidP="00D2105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B143E8" w:rsidRPr="0003785D" w:rsidRDefault="00B143E8"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316B5"/>
    <w:multiLevelType w:val="hybridMultilevel"/>
    <w:tmpl w:val="BCF2123E"/>
    <w:lvl w:ilvl="0" w:tplc="755E2F54">
      <w:numFmt w:val="bullet"/>
      <w:lvlText w:val="-"/>
      <w:lvlJc w:val="left"/>
      <w:pPr>
        <w:ind w:left="1125" w:hanging="360"/>
      </w:pPr>
      <w:rPr>
        <w:rFonts w:ascii="Calibri" w:eastAsia="Times New Roman" w:hAnsi="Calibri" w:cs="Arial"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369B8"/>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527038"/>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5863B52"/>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8516300"/>
    <w:multiLevelType w:val="hybridMultilevel"/>
    <w:tmpl w:val="63041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F648CE"/>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6089F"/>
    <w:multiLevelType w:val="hybridMultilevel"/>
    <w:tmpl w:val="1EBC73B2"/>
    <w:lvl w:ilvl="0" w:tplc="CAD03A96">
      <w:numFmt w:val="bullet"/>
      <w:lvlText w:val="•"/>
      <w:lvlJc w:val="left"/>
      <w:pPr>
        <w:ind w:left="722" w:hanging="495"/>
      </w:pPr>
      <w:rPr>
        <w:rFonts w:ascii="Calibri" w:eastAsiaTheme="minorHAnsi" w:hAnsi="Calibri" w:cstheme="minorBid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7531E3"/>
    <w:multiLevelType w:val="hybridMultilevel"/>
    <w:tmpl w:val="32347B40"/>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031AAD"/>
    <w:multiLevelType w:val="hybridMultilevel"/>
    <w:tmpl w:val="FA36B3A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2A05D9"/>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4" w15:restartNumberingAfterBreak="0">
    <w:nsid w:val="70A6534E"/>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7000BE"/>
    <w:multiLevelType w:val="hybridMultilevel"/>
    <w:tmpl w:val="4CDCF7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3"/>
  </w:num>
  <w:num w:numId="3">
    <w:abstractNumId w:val="15"/>
  </w:num>
  <w:num w:numId="4">
    <w:abstractNumId w:val="27"/>
  </w:num>
  <w:num w:numId="5">
    <w:abstractNumId w:val="45"/>
  </w:num>
  <w:num w:numId="6">
    <w:abstractNumId w:val="0"/>
  </w:num>
  <w:num w:numId="7">
    <w:abstractNumId w:val="50"/>
  </w:num>
  <w:num w:numId="8">
    <w:abstractNumId w:val="43"/>
  </w:num>
  <w:num w:numId="9">
    <w:abstractNumId w:val="1"/>
  </w:num>
  <w:num w:numId="10">
    <w:abstractNumId w:val="28"/>
  </w:num>
  <w:num w:numId="11">
    <w:abstractNumId w:val="52"/>
  </w:num>
  <w:num w:numId="12">
    <w:abstractNumId w:val="3"/>
  </w:num>
  <w:num w:numId="13">
    <w:abstractNumId w:val="51"/>
  </w:num>
  <w:num w:numId="14">
    <w:abstractNumId w:val="35"/>
  </w:num>
  <w:num w:numId="15">
    <w:abstractNumId w:val="31"/>
  </w:num>
  <w:num w:numId="16">
    <w:abstractNumId w:val="6"/>
  </w:num>
  <w:num w:numId="17">
    <w:abstractNumId w:val="8"/>
  </w:num>
  <w:num w:numId="18">
    <w:abstractNumId w:val="41"/>
  </w:num>
  <w:num w:numId="19">
    <w:abstractNumId w:val="10"/>
  </w:num>
  <w:num w:numId="20">
    <w:abstractNumId w:val="25"/>
  </w:num>
  <w:num w:numId="21">
    <w:abstractNumId w:val="26"/>
  </w:num>
  <w:num w:numId="22">
    <w:abstractNumId w:val="33"/>
  </w:num>
  <w:num w:numId="23">
    <w:abstractNumId w:val="4"/>
  </w:num>
  <w:num w:numId="24">
    <w:abstractNumId w:val="53"/>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9"/>
  </w:num>
  <w:num w:numId="34">
    <w:abstractNumId w:val="5"/>
  </w:num>
  <w:num w:numId="35">
    <w:abstractNumId w:val="39"/>
  </w:num>
  <w:num w:numId="36">
    <w:abstractNumId w:val="18"/>
  </w:num>
  <w:num w:numId="37">
    <w:abstractNumId w:val="9"/>
  </w:num>
  <w:num w:numId="38">
    <w:abstractNumId w:val="47"/>
  </w:num>
  <w:num w:numId="39">
    <w:abstractNumId w:val="17"/>
  </w:num>
  <w:num w:numId="40">
    <w:abstractNumId w:val="46"/>
  </w:num>
  <w:num w:numId="41">
    <w:abstractNumId w:val="34"/>
  </w:num>
  <w:num w:numId="42">
    <w:abstractNumId w:val="13"/>
  </w:num>
  <w:num w:numId="43">
    <w:abstractNumId w:val="21"/>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32"/>
    <w:lvlOverride w:ilvl="0">
      <w:startOverride w:val="1"/>
    </w:lvlOverride>
    <w:lvlOverride w:ilvl="1"/>
    <w:lvlOverride w:ilvl="2"/>
    <w:lvlOverride w:ilvl="3"/>
    <w:lvlOverride w:ilvl="4"/>
    <w:lvlOverride w:ilvl="5"/>
    <w:lvlOverride w:ilvl="6"/>
    <w:lvlOverride w:ilvl="7"/>
    <w:lvlOverride w:ilvl="8"/>
  </w:num>
  <w:num w:numId="54">
    <w:abstractNumId w:val="36"/>
    <w:lvlOverride w:ilvl="0">
      <w:startOverride w:val="1"/>
    </w:lvlOverride>
    <w:lvlOverride w:ilvl="1"/>
    <w:lvlOverride w:ilvl="2"/>
    <w:lvlOverride w:ilvl="3"/>
    <w:lvlOverride w:ilvl="4"/>
    <w:lvlOverride w:ilvl="5"/>
    <w:lvlOverride w:ilvl="6"/>
    <w:lvlOverride w:ilvl="7"/>
    <w:lvlOverride w:ilvl="8"/>
  </w:num>
  <w:num w:numId="55">
    <w:abstractNumId w:val="48"/>
  </w:num>
  <w:num w:numId="56">
    <w:abstractNumId w:val="20"/>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9729A"/>
    <w:rsid w:val="001B4560"/>
    <w:rsid w:val="001D2B44"/>
    <w:rsid w:val="001D3D42"/>
    <w:rsid w:val="001F0115"/>
    <w:rsid w:val="001F22B3"/>
    <w:rsid w:val="001F2882"/>
    <w:rsid w:val="002012F5"/>
    <w:rsid w:val="0020622A"/>
    <w:rsid w:val="002339FF"/>
    <w:rsid w:val="002345D7"/>
    <w:rsid w:val="0024761A"/>
    <w:rsid w:val="002521D4"/>
    <w:rsid w:val="00255F0B"/>
    <w:rsid w:val="002569DA"/>
    <w:rsid w:val="0027209C"/>
    <w:rsid w:val="002A7571"/>
    <w:rsid w:val="002F6E87"/>
    <w:rsid w:val="00301B46"/>
    <w:rsid w:val="00314FF7"/>
    <w:rsid w:val="00341003"/>
    <w:rsid w:val="00351003"/>
    <w:rsid w:val="00361FBD"/>
    <w:rsid w:val="00362D92"/>
    <w:rsid w:val="00396EDA"/>
    <w:rsid w:val="00397F46"/>
    <w:rsid w:val="003A7C7B"/>
    <w:rsid w:val="003C1706"/>
    <w:rsid w:val="003E0CE2"/>
    <w:rsid w:val="004109CE"/>
    <w:rsid w:val="004236BB"/>
    <w:rsid w:val="00443FAF"/>
    <w:rsid w:val="004666E1"/>
    <w:rsid w:val="004C5BAF"/>
    <w:rsid w:val="004E70DE"/>
    <w:rsid w:val="005170FA"/>
    <w:rsid w:val="00517142"/>
    <w:rsid w:val="00523E0C"/>
    <w:rsid w:val="005257D3"/>
    <w:rsid w:val="005302A4"/>
    <w:rsid w:val="005356EB"/>
    <w:rsid w:val="00546361"/>
    <w:rsid w:val="00547F63"/>
    <w:rsid w:val="00565059"/>
    <w:rsid w:val="00573ED0"/>
    <w:rsid w:val="005748B3"/>
    <w:rsid w:val="005830C1"/>
    <w:rsid w:val="005C1DDB"/>
    <w:rsid w:val="005E0FA3"/>
    <w:rsid w:val="005F1D65"/>
    <w:rsid w:val="006064D2"/>
    <w:rsid w:val="00620FA0"/>
    <w:rsid w:val="0062110D"/>
    <w:rsid w:val="00674166"/>
    <w:rsid w:val="006C73E8"/>
    <w:rsid w:val="006D1C93"/>
    <w:rsid w:val="006E2708"/>
    <w:rsid w:val="00705233"/>
    <w:rsid w:val="007135E2"/>
    <w:rsid w:val="00721EA4"/>
    <w:rsid w:val="00722CCB"/>
    <w:rsid w:val="0072579B"/>
    <w:rsid w:val="0072709F"/>
    <w:rsid w:val="007B3B84"/>
    <w:rsid w:val="007C61C6"/>
    <w:rsid w:val="00801CC8"/>
    <w:rsid w:val="008234CC"/>
    <w:rsid w:val="00823AFA"/>
    <w:rsid w:val="00833C7A"/>
    <w:rsid w:val="00846110"/>
    <w:rsid w:val="00856404"/>
    <w:rsid w:val="00857AA1"/>
    <w:rsid w:val="00896506"/>
    <w:rsid w:val="008A1B60"/>
    <w:rsid w:val="008A76C3"/>
    <w:rsid w:val="008B6595"/>
    <w:rsid w:val="008C0F62"/>
    <w:rsid w:val="008D63D1"/>
    <w:rsid w:val="008F04B0"/>
    <w:rsid w:val="008F7921"/>
    <w:rsid w:val="00902E89"/>
    <w:rsid w:val="00916E86"/>
    <w:rsid w:val="00923B5C"/>
    <w:rsid w:val="00936D92"/>
    <w:rsid w:val="00941B8A"/>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414"/>
    <w:rsid w:val="00A85B19"/>
    <w:rsid w:val="00A92A2B"/>
    <w:rsid w:val="00A9400A"/>
    <w:rsid w:val="00B143E8"/>
    <w:rsid w:val="00B24A32"/>
    <w:rsid w:val="00B25135"/>
    <w:rsid w:val="00B34E30"/>
    <w:rsid w:val="00B928F8"/>
    <w:rsid w:val="00B9637C"/>
    <w:rsid w:val="00BA0F7B"/>
    <w:rsid w:val="00BB37E9"/>
    <w:rsid w:val="00BC31A4"/>
    <w:rsid w:val="00BC4A28"/>
    <w:rsid w:val="00BE38C8"/>
    <w:rsid w:val="00C0296A"/>
    <w:rsid w:val="00C15913"/>
    <w:rsid w:val="00C24204"/>
    <w:rsid w:val="00C411AA"/>
    <w:rsid w:val="00C51D63"/>
    <w:rsid w:val="00C574D8"/>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2A97"/>
    <w:rsid w:val="00E63F40"/>
    <w:rsid w:val="00E771A4"/>
    <w:rsid w:val="00E958C1"/>
    <w:rsid w:val="00EC2C5A"/>
    <w:rsid w:val="00F0516F"/>
    <w:rsid w:val="00F300B5"/>
    <w:rsid w:val="00F35CAF"/>
    <w:rsid w:val="00F47E34"/>
    <w:rsid w:val="00F62B1B"/>
    <w:rsid w:val="00F735CB"/>
    <w:rsid w:val="00FA1E73"/>
    <w:rsid w:val="00FB0CB8"/>
    <w:rsid w:val="00FD1FB6"/>
    <w:rsid w:val="00FD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5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uiPriority w:val="99"/>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1D2B44"/>
    <w:pPr>
      <w:tabs>
        <w:tab w:val="left" w:pos="360"/>
      </w:tabs>
      <w:spacing w:after="40" w:line="240" w:lineRule="auto"/>
      <w:ind w:left="360" w:hanging="360"/>
    </w:pPr>
    <w:rPr>
      <w:rFonts w:asciiTheme="minorHAnsi" w:eastAsia="Times New Roman" w:hAnsiTheme="minorHAnsi" w:cs="Times New Roman"/>
      <w:sz w:val="20"/>
      <w:szCs w:val="20"/>
      <w:lang w:eastAsia="en-GB"/>
    </w:rPr>
  </w:style>
  <w:style w:type="character" w:customStyle="1" w:styleId="FootnoteTextChar">
    <w:name w:val="Footnote Text Char"/>
    <w:basedOn w:val="DefaultParagraphFont"/>
    <w:link w:val="FootnoteText"/>
    <w:uiPriority w:val="99"/>
    <w:rsid w:val="001D2B44"/>
    <w:rPr>
      <w:rFonts w:asciiTheme="minorHAnsi" w:hAnsiTheme="minorHAnsi"/>
    </w:rPr>
  </w:style>
  <w:style w:type="character" w:styleId="FootnoteReference">
    <w:name w:val="footnote reference"/>
    <w:basedOn w:val="DefaultParagraphFont"/>
    <w:uiPriority w:val="99"/>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33384150">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ssb.co.uk/improving-industry-performance/sustainable-development/sustainable-rail-program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rssb.co.uk/improving-industry-performance/sustainable-development/rail-sustainable-development-prinic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railnorth.org/strategy/supporting-the-norths-econo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4A58AE-BC07-4FE4-9333-1EEFE0F6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7827</Words>
  <Characters>44620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2017-12-05T08:45:00Z</dcterms:created>
  <dcterms:modified xsi:type="dcterms:W3CDTF">2017-12-05T08:45:00Z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