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C92797">
          <w:pPr>
            <w:pStyle w:val="Heading1"/>
            <w:rPr>
              <w:rFonts w:hint="eastAsia"/>
            </w:rPr>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6332D311" w:rsidR="00FC6860" w:rsidRPr="00574B16" w:rsidRDefault="006555BF" w:rsidP="00C92797">
          <w:pPr>
            <w:pStyle w:val="Heading1"/>
            <w:rPr>
              <w:rStyle w:val="chrSubTitle"/>
              <w:color w:val="B1173B"/>
            </w:rPr>
          </w:pPr>
          <w:r>
            <w:rPr>
              <w:rStyle w:val="chrSubTitle"/>
              <w:color w:val="B1173B"/>
            </w:rPr>
            <w:t>Rolling stock expertise and vehicle authorisation support for the Channel Tunnel Safety Authority.</w:t>
          </w:r>
        </w:p>
      </w:sdtContent>
    </w:sdt>
    <w:sdt>
      <w:sdtPr>
        <w:rPr>
          <w:bCs/>
          <w:color w:val="2B579A"/>
          <w:shd w:val="clear" w:color="auto" w:fill="E6E6E6"/>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02-21T00:00:00Z">
          <w:dateFormat w:val="dd MMMM yyyy"/>
          <w:lid w:val="en-GB"/>
          <w:storeMappedDataAs w:val="dateTime"/>
          <w:calendar w:val="gregorian"/>
        </w:date>
      </w:sdtPr>
      <w:sdtEndPr/>
      <w:sdtContent>
        <w:p w14:paraId="38D7D855" w14:textId="7ADA92C0" w:rsidR="00FC6860" w:rsidRDefault="00CF2296" w:rsidP="00C92797">
          <w:pPr>
            <w:pStyle w:val="Date"/>
          </w:pPr>
          <w:r>
            <w:rPr>
              <w:bCs/>
              <w:color w:val="2B579A"/>
              <w:shd w:val="clear" w:color="auto" w:fill="E6E6E6"/>
            </w:rPr>
            <w:t>21 February 2024</w:t>
          </w:r>
        </w:p>
      </w:sdtContent>
    </w:sdt>
    <w:p w14:paraId="512B2E87" w14:textId="77777777" w:rsidR="003E5612" w:rsidRDefault="003E5612" w:rsidP="003E5612"/>
    <w:p w14:paraId="0B23CADF" w14:textId="695BDD5D" w:rsidR="003E5612" w:rsidRPr="00574B16" w:rsidRDefault="003E5612" w:rsidP="003E5612">
      <w:pPr>
        <w:pStyle w:val="NormalBulletround"/>
        <w:rPr>
          <w:b/>
          <w:bCs/>
          <w:color w:val="B1173B"/>
        </w:rPr>
      </w:pPr>
      <w:r w:rsidRPr="003E5612">
        <w:rPr>
          <w:b/>
          <w:bCs/>
        </w:rPr>
        <w:t xml:space="preserve">CPV Code: </w:t>
      </w:r>
      <w:r w:rsidR="007F2D29" w:rsidRPr="007F2D29">
        <w:rPr>
          <w:b/>
          <w:bCs/>
          <w:color w:val="B1173B"/>
        </w:rPr>
        <w:t>79400000</w:t>
      </w:r>
    </w:p>
    <w:p w14:paraId="772A8C9F" w14:textId="5FBEE361" w:rsidR="003E5612" w:rsidRPr="00574B16" w:rsidRDefault="003E5612" w:rsidP="003E5612">
      <w:pPr>
        <w:pStyle w:val="NormalBulletround"/>
        <w:rPr>
          <w:b/>
          <w:bCs/>
          <w:color w:val="B1173B"/>
        </w:rPr>
      </w:pPr>
      <w:r w:rsidRPr="003E5612">
        <w:rPr>
          <w:b/>
          <w:bCs/>
        </w:rPr>
        <w:t>Supplementary Code:</w:t>
      </w:r>
      <w:r w:rsidRPr="00574B16">
        <w:rPr>
          <w:b/>
          <w:bCs/>
          <w:color w:val="B1173B"/>
        </w:rPr>
        <w:t xml:space="preserve"> </w:t>
      </w:r>
      <w:r w:rsidR="007F2D29" w:rsidRPr="007F2D29">
        <w:rPr>
          <w:b/>
          <w:bCs/>
          <w:color w:val="B1173B"/>
        </w:rPr>
        <w:t>7131</w:t>
      </w:r>
      <w:r w:rsidR="00AE3AEB">
        <w:rPr>
          <w:b/>
          <w:bCs/>
          <w:color w:val="B1173B"/>
        </w:rPr>
        <w:t>0</w:t>
      </w:r>
      <w:r w:rsidR="007F2D29" w:rsidRPr="007F2D29">
        <w:rPr>
          <w:b/>
          <w:bCs/>
          <w:color w:val="B1173B"/>
        </w:rPr>
        <w:t>000</w:t>
      </w:r>
    </w:p>
    <w:p w14:paraId="4B92FCBC" w14:textId="77465A88"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171722">
        <w:rPr>
          <w:b/>
          <w:bCs/>
          <w:color w:val="B1173B"/>
        </w:rPr>
        <w:t>ORR/CT/23-62</w:t>
      </w:r>
    </w:p>
    <w:p w14:paraId="645E9675" w14:textId="77777777" w:rsidR="00FC6860" w:rsidRDefault="00FC6860" w:rsidP="00C92797"/>
    <w:p w14:paraId="60F6998D" w14:textId="01F9B9EE" w:rsidR="003E5612" w:rsidRDefault="003E5612" w:rsidP="00C92797">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C92797">
      <w:pPr>
        <w:pStyle w:val="Heading2NoToc"/>
      </w:pPr>
      <w:r>
        <w:lastRenderedPageBreak/>
        <w:t>Contents</w:t>
      </w:r>
    </w:p>
    <w:p w14:paraId="07C5878F" w14:textId="12D44220" w:rsidR="009A3F46" w:rsidRDefault="00FC6860">
      <w:pPr>
        <w:pStyle w:val="TOC1"/>
        <w:rPr>
          <w:rFonts w:asciiTheme="minorHAnsi" w:eastAsiaTheme="minorEastAsia" w:hAnsiTheme="minorHAnsi"/>
          <w:b w:val="0"/>
          <w:bCs w:val="0"/>
          <w:color w:val="auto"/>
          <w:kern w:val="2"/>
          <w:sz w:val="22"/>
          <w:lang w:val="en-US"/>
          <w14:ligatures w14:val="standardContextual"/>
        </w:rPr>
      </w:pPr>
      <w:r>
        <w:rPr>
          <w:color w:val="731472"/>
          <w:shd w:val="clear" w:color="auto" w:fill="E6E6E6"/>
        </w:rPr>
        <w:fldChar w:fldCharType="begin"/>
      </w:r>
      <w:r w:rsidR="00D25F7E">
        <w:instrText xml:space="preserve"> TOC \f \h \z \t "Heading 2,1,Heading 2NoNumb,1,Heading 2 (Single),1,Annex H2,1,Annex H3,2,Heading 3,2" </w:instrText>
      </w:r>
      <w:r>
        <w:rPr>
          <w:color w:val="731472"/>
          <w:shd w:val="clear" w:color="auto" w:fill="E6E6E6"/>
        </w:rPr>
        <w:fldChar w:fldCharType="separate"/>
      </w:r>
      <w:hyperlink w:anchor="_Toc155860970" w:history="1">
        <w:r w:rsidR="009A3F46" w:rsidRPr="005F30E1">
          <w:rPr>
            <w:rStyle w:val="Hyperlink"/>
          </w:rPr>
          <w:t>Purpose of the document</w:t>
        </w:r>
        <w:r w:rsidR="009A3F46">
          <w:rPr>
            <w:webHidden/>
          </w:rPr>
          <w:tab/>
        </w:r>
        <w:r w:rsidR="009A3F46">
          <w:rPr>
            <w:webHidden/>
            <w:color w:val="2B579A"/>
            <w:shd w:val="clear" w:color="auto" w:fill="E6E6E6"/>
          </w:rPr>
          <w:fldChar w:fldCharType="begin"/>
        </w:r>
        <w:r w:rsidR="009A3F46">
          <w:rPr>
            <w:webHidden/>
          </w:rPr>
          <w:instrText xml:space="preserve"> PAGEREF _Toc155860970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3</w:t>
        </w:r>
        <w:r w:rsidR="009A3F46">
          <w:rPr>
            <w:webHidden/>
            <w:color w:val="2B579A"/>
            <w:shd w:val="clear" w:color="auto" w:fill="E6E6E6"/>
          </w:rPr>
          <w:fldChar w:fldCharType="end"/>
        </w:r>
      </w:hyperlink>
    </w:p>
    <w:p w14:paraId="3FEE1B57" w14:textId="5D4CC9D3" w:rsidR="009A3F46" w:rsidRDefault="00CC4C23">
      <w:pPr>
        <w:pStyle w:val="TOC1"/>
        <w:rPr>
          <w:rFonts w:asciiTheme="minorHAnsi" w:eastAsiaTheme="minorEastAsia" w:hAnsiTheme="minorHAnsi"/>
          <w:b w:val="0"/>
          <w:bCs w:val="0"/>
          <w:color w:val="auto"/>
          <w:kern w:val="2"/>
          <w:sz w:val="22"/>
          <w:lang w:val="en-US"/>
          <w14:ligatures w14:val="standardContextual"/>
        </w:rPr>
      </w:pPr>
      <w:hyperlink w:anchor="_Toc155860971" w:history="1">
        <w:r w:rsidR="009A3F46" w:rsidRPr="005F30E1">
          <w:rPr>
            <w:rStyle w:val="Hyperlink"/>
          </w:rPr>
          <w:t>1.</w:t>
        </w:r>
        <w:r w:rsidR="009A3F46">
          <w:rPr>
            <w:rFonts w:asciiTheme="minorHAnsi" w:eastAsiaTheme="minorEastAsia" w:hAnsiTheme="minorHAnsi"/>
            <w:b w:val="0"/>
            <w:bCs w:val="0"/>
            <w:color w:val="auto"/>
            <w:kern w:val="2"/>
            <w:sz w:val="22"/>
            <w:lang w:val="en-US"/>
            <w14:ligatures w14:val="standardContextual"/>
          </w:rPr>
          <w:tab/>
        </w:r>
        <w:r w:rsidR="009A3F46" w:rsidRPr="005F30E1">
          <w:rPr>
            <w:rStyle w:val="Hyperlink"/>
          </w:rPr>
          <w:t>Introduction to the Office of Rail and Road</w:t>
        </w:r>
        <w:r w:rsidR="009A3F46">
          <w:rPr>
            <w:webHidden/>
          </w:rPr>
          <w:tab/>
        </w:r>
        <w:r w:rsidR="009A3F46">
          <w:rPr>
            <w:webHidden/>
            <w:color w:val="2B579A"/>
            <w:shd w:val="clear" w:color="auto" w:fill="E6E6E6"/>
          </w:rPr>
          <w:fldChar w:fldCharType="begin"/>
        </w:r>
        <w:r w:rsidR="009A3F46">
          <w:rPr>
            <w:webHidden/>
          </w:rPr>
          <w:instrText xml:space="preserve"> PAGEREF _Toc155860971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4</w:t>
        </w:r>
        <w:r w:rsidR="009A3F46">
          <w:rPr>
            <w:webHidden/>
            <w:color w:val="2B579A"/>
            <w:shd w:val="clear" w:color="auto" w:fill="E6E6E6"/>
          </w:rPr>
          <w:fldChar w:fldCharType="end"/>
        </w:r>
      </w:hyperlink>
    </w:p>
    <w:p w14:paraId="2C9BC0C2" w14:textId="2D7AB0DC"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72" w:history="1">
        <w:r w:rsidR="009A3F46" w:rsidRPr="005F30E1">
          <w:rPr>
            <w:rStyle w:val="Hyperlink"/>
            <w:noProof/>
          </w:rPr>
          <w:t>Our strategic objectives</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_Toc155860972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4</w:t>
        </w:r>
        <w:r w:rsidR="009A3F46">
          <w:rPr>
            <w:noProof/>
            <w:webHidden/>
            <w:color w:val="2B579A"/>
            <w:shd w:val="clear" w:color="auto" w:fill="E6E6E6"/>
          </w:rPr>
          <w:fldChar w:fldCharType="end"/>
        </w:r>
      </w:hyperlink>
    </w:p>
    <w:p w14:paraId="6E3E9862" w14:textId="6DF2E729"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73" w:history="1">
        <w:r w:rsidR="009A3F46" w:rsidRPr="005F30E1">
          <w:rPr>
            <w:rStyle w:val="Hyperlink"/>
            <w:noProof/>
          </w:rPr>
          <w:t>Supplying ORR</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_Toc155860973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4</w:t>
        </w:r>
        <w:r w:rsidR="009A3F46">
          <w:rPr>
            <w:noProof/>
            <w:webHidden/>
            <w:color w:val="2B579A"/>
            <w:shd w:val="clear" w:color="auto" w:fill="E6E6E6"/>
          </w:rPr>
          <w:fldChar w:fldCharType="end"/>
        </w:r>
      </w:hyperlink>
    </w:p>
    <w:p w14:paraId="7268D37F" w14:textId="10C99665" w:rsidR="009A3F46" w:rsidRDefault="00CC4C23">
      <w:pPr>
        <w:pStyle w:val="TOC1"/>
        <w:rPr>
          <w:rFonts w:asciiTheme="minorHAnsi" w:eastAsiaTheme="minorEastAsia" w:hAnsiTheme="minorHAnsi"/>
          <w:b w:val="0"/>
          <w:bCs w:val="0"/>
          <w:color w:val="auto"/>
          <w:kern w:val="2"/>
          <w:sz w:val="22"/>
          <w:lang w:val="en-US"/>
          <w14:ligatures w14:val="standardContextual"/>
        </w:rPr>
      </w:pPr>
      <w:hyperlink w:anchor="_Toc155860974" w:history="1">
        <w:r w:rsidR="009A3F46" w:rsidRPr="005F30E1">
          <w:rPr>
            <w:rStyle w:val="Hyperlink"/>
          </w:rPr>
          <w:t>Small and Medium Enterprises</w:t>
        </w:r>
        <w:r w:rsidR="009A3F46">
          <w:rPr>
            <w:webHidden/>
          </w:rPr>
          <w:tab/>
        </w:r>
        <w:r w:rsidR="009A3F46">
          <w:rPr>
            <w:webHidden/>
            <w:color w:val="2B579A"/>
            <w:shd w:val="clear" w:color="auto" w:fill="E6E6E6"/>
          </w:rPr>
          <w:fldChar w:fldCharType="begin"/>
        </w:r>
        <w:r w:rsidR="009A3F46">
          <w:rPr>
            <w:webHidden/>
          </w:rPr>
          <w:instrText xml:space="preserve"> PAGEREF _Toc155860974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6</w:t>
        </w:r>
        <w:r w:rsidR="009A3F46">
          <w:rPr>
            <w:webHidden/>
            <w:color w:val="2B579A"/>
            <w:shd w:val="clear" w:color="auto" w:fill="E6E6E6"/>
          </w:rPr>
          <w:fldChar w:fldCharType="end"/>
        </w:r>
      </w:hyperlink>
    </w:p>
    <w:p w14:paraId="3A869E8E" w14:textId="578FC10B" w:rsidR="009A3F46" w:rsidRDefault="00CC4C23">
      <w:pPr>
        <w:pStyle w:val="TOC1"/>
        <w:rPr>
          <w:rFonts w:asciiTheme="minorHAnsi" w:eastAsiaTheme="minorEastAsia" w:hAnsiTheme="minorHAnsi"/>
          <w:b w:val="0"/>
          <w:bCs w:val="0"/>
          <w:color w:val="auto"/>
          <w:kern w:val="2"/>
          <w:sz w:val="22"/>
          <w:lang w:val="en-US"/>
          <w14:ligatures w14:val="standardContextual"/>
        </w:rPr>
      </w:pPr>
      <w:hyperlink w:anchor="_Toc155860975" w:history="1">
        <w:r w:rsidR="009A3F46" w:rsidRPr="005F30E1">
          <w:rPr>
            <w:rStyle w:val="Hyperlink"/>
          </w:rPr>
          <w:t>2.</w:t>
        </w:r>
        <w:r w:rsidR="009A3F46">
          <w:rPr>
            <w:rFonts w:asciiTheme="minorHAnsi" w:eastAsiaTheme="minorEastAsia" w:hAnsiTheme="minorHAnsi"/>
            <w:b w:val="0"/>
            <w:bCs w:val="0"/>
            <w:color w:val="auto"/>
            <w:kern w:val="2"/>
            <w:sz w:val="22"/>
            <w:lang w:val="en-US"/>
            <w14:ligatures w14:val="standardContextual"/>
          </w:rPr>
          <w:tab/>
        </w:r>
        <w:r w:rsidR="009A3F46" w:rsidRPr="005F30E1">
          <w:rPr>
            <w:rStyle w:val="Hyperlink"/>
          </w:rPr>
          <w:t>Statement of Requirement</w:t>
        </w:r>
        <w:r w:rsidR="009A3F46">
          <w:rPr>
            <w:webHidden/>
          </w:rPr>
          <w:tab/>
        </w:r>
        <w:r w:rsidR="009A3F46">
          <w:rPr>
            <w:webHidden/>
            <w:color w:val="2B579A"/>
            <w:shd w:val="clear" w:color="auto" w:fill="E6E6E6"/>
          </w:rPr>
          <w:fldChar w:fldCharType="begin"/>
        </w:r>
        <w:r w:rsidR="009A3F46">
          <w:rPr>
            <w:webHidden/>
          </w:rPr>
          <w:instrText xml:space="preserve"> PAGEREF _Toc155860975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7</w:t>
        </w:r>
        <w:r w:rsidR="009A3F46">
          <w:rPr>
            <w:webHidden/>
            <w:color w:val="2B579A"/>
            <w:shd w:val="clear" w:color="auto" w:fill="E6E6E6"/>
          </w:rPr>
          <w:fldChar w:fldCharType="end"/>
        </w:r>
      </w:hyperlink>
    </w:p>
    <w:p w14:paraId="597D8B52" w14:textId="236BE72F"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76" w:history="1">
        <w:r w:rsidR="009A3F46" w:rsidRPr="005F30E1">
          <w:rPr>
            <w:rStyle w:val="Hyperlink"/>
            <w:noProof/>
          </w:rPr>
          <w:t>2.1 Background of the project</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_Toc155860976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7</w:t>
        </w:r>
        <w:r w:rsidR="009A3F46">
          <w:rPr>
            <w:noProof/>
            <w:webHidden/>
            <w:color w:val="2B579A"/>
            <w:shd w:val="clear" w:color="auto" w:fill="E6E6E6"/>
          </w:rPr>
          <w:fldChar w:fldCharType="end"/>
        </w:r>
      </w:hyperlink>
    </w:p>
    <w:p w14:paraId="4056AB8B" w14:textId="57185F4C"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77" w:history="1">
        <w:r w:rsidR="009A3F46" w:rsidRPr="005F30E1">
          <w:rPr>
            <w:rStyle w:val="Hyperlink"/>
            <w:noProof/>
          </w:rPr>
          <w:t>2.2 Project Objectives and Scope</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_Toc155860977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8</w:t>
        </w:r>
        <w:r w:rsidR="009A3F46">
          <w:rPr>
            <w:noProof/>
            <w:webHidden/>
            <w:color w:val="2B579A"/>
            <w:shd w:val="clear" w:color="auto" w:fill="E6E6E6"/>
          </w:rPr>
          <w:fldChar w:fldCharType="end"/>
        </w:r>
      </w:hyperlink>
    </w:p>
    <w:p w14:paraId="57FFDCC5" w14:textId="3EF59899"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78" w:history="1">
        <w:r w:rsidR="009A3F46" w:rsidRPr="005F30E1">
          <w:rPr>
            <w:rStyle w:val="Hyperlink"/>
            <w:noProof/>
          </w:rPr>
          <w:t>2.3 Project Outputs, Deliverables and Contract Management</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_Toc155860978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9</w:t>
        </w:r>
        <w:r w:rsidR="009A3F46">
          <w:rPr>
            <w:noProof/>
            <w:webHidden/>
            <w:color w:val="2B579A"/>
            <w:shd w:val="clear" w:color="auto" w:fill="E6E6E6"/>
          </w:rPr>
          <w:fldChar w:fldCharType="end"/>
        </w:r>
      </w:hyperlink>
    </w:p>
    <w:p w14:paraId="0DC55347" w14:textId="00295BE0"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79" w:history="1">
        <w:r w:rsidR="009A3F46" w:rsidRPr="005F30E1">
          <w:rPr>
            <w:rStyle w:val="Hyperlink"/>
            <w:noProof/>
          </w:rPr>
          <w:t>2.5 Budget and Payment Schedule</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_Toc155860979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10</w:t>
        </w:r>
        <w:r w:rsidR="009A3F46">
          <w:rPr>
            <w:noProof/>
            <w:webHidden/>
            <w:color w:val="2B579A"/>
            <w:shd w:val="clear" w:color="auto" w:fill="E6E6E6"/>
          </w:rPr>
          <w:fldChar w:fldCharType="end"/>
        </w:r>
      </w:hyperlink>
    </w:p>
    <w:p w14:paraId="661878DF" w14:textId="083F9B3F"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80" w:history="1">
        <w:r w:rsidR="009A3F46" w:rsidRPr="005F30E1">
          <w:rPr>
            <w:rStyle w:val="Hyperlink"/>
            <w:noProof/>
          </w:rPr>
          <w:t>2.6 Further project related information for bidders</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_Toc155860980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10</w:t>
        </w:r>
        <w:r w:rsidR="009A3F46">
          <w:rPr>
            <w:noProof/>
            <w:webHidden/>
            <w:color w:val="2B579A"/>
            <w:shd w:val="clear" w:color="auto" w:fill="E6E6E6"/>
          </w:rPr>
          <w:fldChar w:fldCharType="end"/>
        </w:r>
      </w:hyperlink>
    </w:p>
    <w:p w14:paraId="53E1F80C" w14:textId="614282E8" w:rsidR="009A3F46" w:rsidRDefault="00CC4C23">
      <w:pPr>
        <w:pStyle w:val="TOC1"/>
        <w:rPr>
          <w:rFonts w:asciiTheme="minorHAnsi" w:eastAsiaTheme="minorEastAsia" w:hAnsiTheme="minorHAnsi"/>
          <w:b w:val="0"/>
          <w:bCs w:val="0"/>
          <w:color w:val="auto"/>
          <w:kern w:val="2"/>
          <w:sz w:val="22"/>
          <w:lang w:val="en-US"/>
          <w14:ligatures w14:val="standardContextual"/>
        </w:rPr>
      </w:pPr>
      <w:hyperlink w:anchor="_Toc155860981" w:history="1">
        <w:r w:rsidR="009A3F46" w:rsidRPr="005F30E1">
          <w:rPr>
            <w:rStyle w:val="Hyperlink"/>
          </w:rPr>
          <w:t>3.</w:t>
        </w:r>
        <w:r w:rsidR="009A3F46">
          <w:rPr>
            <w:rFonts w:asciiTheme="minorHAnsi" w:eastAsiaTheme="minorEastAsia" w:hAnsiTheme="minorHAnsi"/>
            <w:b w:val="0"/>
            <w:bCs w:val="0"/>
            <w:color w:val="auto"/>
            <w:kern w:val="2"/>
            <w:sz w:val="22"/>
            <w:lang w:val="en-US"/>
            <w14:ligatures w14:val="standardContextual"/>
          </w:rPr>
          <w:tab/>
        </w:r>
        <w:r w:rsidR="009A3F46" w:rsidRPr="005F30E1">
          <w:rPr>
            <w:rStyle w:val="Hyperlink"/>
          </w:rPr>
          <w:t>Tender Response and Evaluation Criteria</w:t>
        </w:r>
        <w:r w:rsidR="009A3F46">
          <w:rPr>
            <w:webHidden/>
          </w:rPr>
          <w:tab/>
        </w:r>
        <w:r w:rsidR="009A3F46">
          <w:rPr>
            <w:webHidden/>
            <w:color w:val="2B579A"/>
            <w:shd w:val="clear" w:color="auto" w:fill="E6E6E6"/>
          </w:rPr>
          <w:fldChar w:fldCharType="begin"/>
        </w:r>
        <w:r w:rsidR="009A3F46">
          <w:rPr>
            <w:webHidden/>
          </w:rPr>
          <w:instrText xml:space="preserve"> PAGEREF _Toc155860981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12</w:t>
        </w:r>
        <w:r w:rsidR="009A3F46">
          <w:rPr>
            <w:webHidden/>
            <w:color w:val="2B579A"/>
            <w:shd w:val="clear" w:color="auto" w:fill="E6E6E6"/>
          </w:rPr>
          <w:fldChar w:fldCharType="end"/>
        </w:r>
      </w:hyperlink>
    </w:p>
    <w:p w14:paraId="1EF5D9ED" w14:textId="16846843"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82" w:history="1">
        <w:r w:rsidR="009A3F46" w:rsidRPr="005F30E1">
          <w:rPr>
            <w:rStyle w:val="Hyperlink"/>
            <w:noProof/>
          </w:rPr>
          <w:t>3.1 The Tender Response</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_Toc155860982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12</w:t>
        </w:r>
        <w:r w:rsidR="009A3F46">
          <w:rPr>
            <w:noProof/>
            <w:webHidden/>
            <w:color w:val="2B579A"/>
            <w:shd w:val="clear" w:color="auto" w:fill="E6E6E6"/>
          </w:rPr>
          <w:fldChar w:fldCharType="end"/>
        </w:r>
      </w:hyperlink>
    </w:p>
    <w:p w14:paraId="58B60C59" w14:textId="1C55DE2C"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83" w:history="1">
        <w:r w:rsidR="009A3F46" w:rsidRPr="005F30E1">
          <w:rPr>
            <w:rStyle w:val="Hyperlink"/>
            <w:noProof/>
          </w:rPr>
          <w:t>3.2 Evaluation Criteria</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_Toc155860983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13</w:t>
        </w:r>
        <w:r w:rsidR="009A3F46">
          <w:rPr>
            <w:noProof/>
            <w:webHidden/>
            <w:color w:val="2B579A"/>
            <w:shd w:val="clear" w:color="auto" w:fill="E6E6E6"/>
          </w:rPr>
          <w:fldChar w:fldCharType="end"/>
        </w:r>
      </w:hyperlink>
    </w:p>
    <w:p w14:paraId="5B049576" w14:textId="440502DA" w:rsidR="009A3F46" w:rsidRDefault="00CC4C23">
      <w:pPr>
        <w:pStyle w:val="TOC1"/>
        <w:rPr>
          <w:rFonts w:asciiTheme="minorHAnsi" w:eastAsiaTheme="minorEastAsia" w:hAnsiTheme="minorHAnsi"/>
          <w:b w:val="0"/>
          <w:bCs w:val="0"/>
          <w:color w:val="auto"/>
          <w:kern w:val="2"/>
          <w:sz w:val="22"/>
          <w:lang w:val="en-US"/>
          <w14:ligatures w14:val="standardContextual"/>
        </w:rPr>
      </w:pPr>
      <w:hyperlink w:anchor="_Toc155860984" w:history="1">
        <w:r w:rsidR="009A3F46" w:rsidRPr="005F30E1">
          <w:rPr>
            <w:rStyle w:val="Hyperlink"/>
          </w:rPr>
          <w:t>4.</w:t>
        </w:r>
        <w:r w:rsidR="009A3F46">
          <w:rPr>
            <w:rFonts w:asciiTheme="minorHAnsi" w:eastAsiaTheme="minorEastAsia" w:hAnsiTheme="minorHAnsi"/>
            <w:b w:val="0"/>
            <w:bCs w:val="0"/>
            <w:color w:val="auto"/>
            <w:kern w:val="2"/>
            <w:sz w:val="22"/>
            <w:lang w:val="en-US"/>
            <w14:ligatures w14:val="standardContextual"/>
          </w:rPr>
          <w:tab/>
        </w:r>
        <w:r w:rsidR="009A3F46" w:rsidRPr="005F30E1">
          <w:rPr>
            <w:rStyle w:val="Hyperlink"/>
          </w:rPr>
          <w:t>Procurement Procedures</w:t>
        </w:r>
        <w:r w:rsidR="009A3F46">
          <w:rPr>
            <w:webHidden/>
          </w:rPr>
          <w:tab/>
        </w:r>
        <w:r w:rsidR="009A3F46">
          <w:rPr>
            <w:webHidden/>
            <w:color w:val="2B579A"/>
            <w:shd w:val="clear" w:color="auto" w:fill="E6E6E6"/>
          </w:rPr>
          <w:fldChar w:fldCharType="begin"/>
        </w:r>
        <w:r w:rsidR="009A3F46">
          <w:rPr>
            <w:webHidden/>
          </w:rPr>
          <w:instrText xml:space="preserve"> PAGEREF _Toc155860984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18</w:t>
        </w:r>
        <w:r w:rsidR="009A3F46">
          <w:rPr>
            <w:webHidden/>
            <w:color w:val="2B579A"/>
            <w:shd w:val="clear" w:color="auto" w:fill="E6E6E6"/>
          </w:rPr>
          <w:fldChar w:fldCharType="end"/>
        </w:r>
      </w:hyperlink>
    </w:p>
    <w:p w14:paraId="59E6B59E" w14:textId="5F675E87"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85" w:history="1">
        <w:r w:rsidR="009A3F46" w:rsidRPr="005F30E1">
          <w:rPr>
            <w:rStyle w:val="Hyperlink"/>
            <w:noProof/>
          </w:rPr>
          <w:t>Tendering Timetable</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_Toc155860985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18</w:t>
        </w:r>
        <w:r w:rsidR="009A3F46">
          <w:rPr>
            <w:noProof/>
            <w:webHidden/>
            <w:color w:val="2B579A"/>
            <w:shd w:val="clear" w:color="auto" w:fill="E6E6E6"/>
          </w:rPr>
          <w:fldChar w:fldCharType="end"/>
        </w:r>
      </w:hyperlink>
    </w:p>
    <w:p w14:paraId="02D261DE" w14:textId="55857E3E" w:rsidR="009A3F46" w:rsidRDefault="00CC4C23">
      <w:pPr>
        <w:pStyle w:val="TOC2"/>
        <w:tabs>
          <w:tab w:val="right" w:pos="9628"/>
        </w:tabs>
        <w:rPr>
          <w:rFonts w:asciiTheme="minorHAnsi" w:eastAsiaTheme="minorEastAsia" w:hAnsiTheme="minorHAnsi"/>
          <w:noProof/>
          <w:kern w:val="2"/>
          <w:sz w:val="22"/>
          <w:lang w:val="en-US"/>
          <w14:ligatures w14:val="standardContextual"/>
        </w:rPr>
      </w:pPr>
      <w:hyperlink w:anchor="_Toc155860986" w:history="1">
        <w:r w:rsidR="009A3F46" w:rsidRPr="005F30E1">
          <w:rPr>
            <w:rStyle w:val="Hyperlink"/>
            <w:noProof/>
          </w:rPr>
          <w:t>Tendering Instructions and Guidance</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_Toc155860986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18</w:t>
        </w:r>
        <w:r w:rsidR="009A3F46">
          <w:rPr>
            <w:noProof/>
            <w:webHidden/>
            <w:color w:val="2B579A"/>
            <w:shd w:val="clear" w:color="auto" w:fill="E6E6E6"/>
          </w:rPr>
          <w:fldChar w:fldCharType="end"/>
        </w:r>
      </w:hyperlink>
    </w:p>
    <w:p w14:paraId="6B48D324" w14:textId="5C01319A" w:rsidR="00FC6860" w:rsidRDefault="00FC6860" w:rsidP="00C92797">
      <w:pPr>
        <w:sectPr w:rsidR="00FC6860" w:rsidSect="00C92797">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rPr>
          <w:color w:val="2B579A"/>
          <w:shd w:val="clear" w:color="auto" w:fill="E6E6E6"/>
        </w:rPr>
        <w:fldChar w:fldCharType="end"/>
      </w:r>
    </w:p>
    <w:p w14:paraId="6B82126B" w14:textId="5C9674A4" w:rsidR="004D1C50" w:rsidRDefault="00A02455" w:rsidP="00A02455">
      <w:pPr>
        <w:pStyle w:val="Heading2NoNumb"/>
      </w:pPr>
      <w:bookmarkStart w:id="4" w:name="_Toc155860970"/>
      <w:r>
        <w:lastRenderedPageBreak/>
        <w:t>Purpose of the document</w:t>
      </w:r>
      <w:bookmarkEnd w:id="4"/>
    </w:p>
    <w:p w14:paraId="5CB061E3" w14:textId="6401A6C7" w:rsidR="00A02455" w:rsidRDefault="00A02455" w:rsidP="00A02455">
      <w:r>
        <w:t xml:space="preserve">The purpose of this document is to invite proposals for </w:t>
      </w:r>
      <w:r w:rsidR="001A4CA4" w:rsidRPr="001A4CA4">
        <w:t>Rolling stock expertise and vehicle authorisation support for the Channel Tunnel</w:t>
      </w:r>
      <w:r w:rsidR="001A4CA4">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55860971"/>
      <w:r>
        <w:lastRenderedPageBreak/>
        <w:t>Introduction to the Office of Rail and Road</w:t>
      </w:r>
      <w:bookmarkEnd w:id="5"/>
    </w:p>
    <w:p w14:paraId="0EC8CF73" w14:textId="37F776D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r w:rsidR="00064036">
        <w:t>five-year</w:t>
      </w:r>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55860972"/>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55860973"/>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55860974"/>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C92797">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C92797">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C92797">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C92797">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C92797">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C92797">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C92797">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C92797">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C92797">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C92797">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C92797">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C92797">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C92797">
            <w:pPr>
              <w:pStyle w:val="TblText"/>
            </w:pPr>
            <w:r w:rsidRPr="00D6160E">
              <w:t>≤ € 10 million</w:t>
            </w:r>
          </w:p>
        </w:tc>
        <w:tc>
          <w:tcPr>
            <w:tcW w:w="894" w:type="dxa"/>
            <w:shd w:val="clear" w:color="auto" w:fill="auto"/>
          </w:tcPr>
          <w:p w14:paraId="230AF2D1" w14:textId="77777777" w:rsidR="00D6160E" w:rsidRPr="00D6160E" w:rsidRDefault="00D6160E" w:rsidP="00C92797">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C92797">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C92797">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C92797">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C92797">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C92797">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C92797">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C92797">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C92797">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C92797">
            <w:pPr>
              <w:pStyle w:val="TblText"/>
            </w:pPr>
            <w:r w:rsidRPr="00D6160E">
              <w:t>&gt; € 50 million</w:t>
            </w:r>
          </w:p>
        </w:tc>
        <w:tc>
          <w:tcPr>
            <w:tcW w:w="894" w:type="dxa"/>
            <w:shd w:val="clear" w:color="auto" w:fill="auto"/>
          </w:tcPr>
          <w:p w14:paraId="19BFF5EC" w14:textId="77777777" w:rsidR="00D6160E" w:rsidRPr="00D6160E" w:rsidRDefault="00D6160E" w:rsidP="00C92797">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C92797">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55860975"/>
      <w:r>
        <w:lastRenderedPageBreak/>
        <w:t>Statement of Requirement</w:t>
      </w:r>
      <w:bookmarkEnd w:id="9"/>
    </w:p>
    <w:p w14:paraId="0C918979" w14:textId="203E1D6A" w:rsidR="00552D8F" w:rsidRPr="00552D8F" w:rsidRDefault="00F20E70" w:rsidP="00552D8F">
      <w:pPr>
        <w:pStyle w:val="Heading3"/>
      </w:pPr>
      <w:bookmarkStart w:id="10" w:name="_Toc155860976"/>
      <w:r>
        <w:t>2.1</w:t>
      </w:r>
      <w:r w:rsidR="00552D8F">
        <w:t>.</w:t>
      </w:r>
      <w:r>
        <w:t xml:space="preserve"> Background of the project</w:t>
      </w:r>
      <w:bookmarkEnd w:id="10"/>
    </w:p>
    <w:p w14:paraId="51D04240" w14:textId="77777777" w:rsidR="00AC5690" w:rsidRPr="00AC5690" w:rsidRDefault="00AC5690" w:rsidP="00AC5690">
      <w:pPr>
        <w:pStyle w:val="ListParagraph"/>
        <w:numPr>
          <w:ilvl w:val="0"/>
          <w:numId w:val="52"/>
        </w:numPr>
        <w:contextualSpacing w:val="0"/>
        <w:rPr>
          <w:rStyle w:val="normaltextrun"/>
          <w:rFonts w:cs="Arial"/>
          <w:vanish/>
        </w:rPr>
      </w:pPr>
    </w:p>
    <w:p w14:paraId="02A9CE04" w14:textId="77777777" w:rsidR="00AC5690" w:rsidRPr="00AC5690" w:rsidRDefault="00AC5690" w:rsidP="00AC5690">
      <w:pPr>
        <w:pStyle w:val="ListParagraph"/>
        <w:numPr>
          <w:ilvl w:val="0"/>
          <w:numId w:val="52"/>
        </w:numPr>
        <w:contextualSpacing w:val="0"/>
        <w:rPr>
          <w:rStyle w:val="normaltextrun"/>
          <w:rFonts w:cs="Arial"/>
          <w:vanish/>
        </w:rPr>
      </w:pPr>
    </w:p>
    <w:p w14:paraId="0D5725EB" w14:textId="77777777" w:rsidR="00AC5690" w:rsidRPr="00AC5690" w:rsidRDefault="00AC5690" w:rsidP="00AC5690">
      <w:pPr>
        <w:pStyle w:val="ListParagraph"/>
        <w:numPr>
          <w:ilvl w:val="1"/>
          <w:numId w:val="52"/>
        </w:numPr>
        <w:contextualSpacing w:val="0"/>
        <w:rPr>
          <w:rStyle w:val="normaltextrun"/>
          <w:rFonts w:cs="Arial"/>
          <w:vanish/>
        </w:rPr>
      </w:pPr>
    </w:p>
    <w:p w14:paraId="0E6F9E90" w14:textId="00ECD6DD" w:rsidR="007D08FC" w:rsidRPr="00AC5690" w:rsidRDefault="007D08FC" w:rsidP="00AC5690">
      <w:pPr>
        <w:pStyle w:val="Numberedparagraphdouble"/>
        <w:numPr>
          <w:ilvl w:val="2"/>
          <w:numId w:val="52"/>
        </w:numPr>
        <w:spacing w:after="0" w:line="240" w:lineRule="auto"/>
        <w:rPr>
          <w:rStyle w:val="eop"/>
        </w:rPr>
      </w:pPr>
      <w:r>
        <w:rPr>
          <w:rStyle w:val="normaltextrun"/>
          <w:rFonts w:cs="Arial"/>
        </w:rPr>
        <w:t xml:space="preserve">The </w:t>
      </w:r>
      <w:r w:rsidRPr="6D73E997">
        <w:rPr>
          <w:rStyle w:val="normaltextrun"/>
          <w:rFonts w:cs="Arial"/>
        </w:rPr>
        <w:t>Inte</w:t>
      </w:r>
      <w:r w:rsidR="51254E2F" w:rsidRPr="6D73E997">
        <w:rPr>
          <w:rStyle w:val="normaltextrun"/>
          <w:rFonts w:cs="Arial"/>
        </w:rPr>
        <w:t>rg</w:t>
      </w:r>
      <w:r w:rsidRPr="6D73E997">
        <w:rPr>
          <w:rStyle w:val="normaltextrun"/>
          <w:rFonts w:cs="Arial"/>
        </w:rPr>
        <w:t>over</w:t>
      </w:r>
      <w:r w:rsidR="00064036" w:rsidRPr="6D73E997">
        <w:rPr>
          <w:rStyle w:val="normaltextrun"/>
          <w:rFonts w:cs="Arial"/>
        </w:rPr>
        <w:t>n</w:t>
      </w:r>
      <w:r w:rsidRPr="6D73E997">
        <w:rPr>
          <w:rStyle w:val="normaltextrun"/>
          <w:rFonts w:cs="Arial"/>
        </w:rPr>
        <w:t>mental</w:t>
      </w:r>
      <w:r>
        <w:rPr>
          <w:rStyle w:val="normaltextrun"/>
          <w:rFonts w:cs="Arial"/>
        </w:rPr>
        <w:t xml:space="preserve"> </w:t>
      </w:r>
      <w:r w:rsidR="00862DE2">
        <w:rPr>
          <w:rStyle w:val="normaltextrun"/>
          <w:rFonts w:cs="Arial"/>
        </w:rPr>
        <w:t>Commission</w:t>
      </w:r>
      <w:r>
        <w:rPr>
          <w:rStyle w:val="normaltextrun"/>
          <w:rFonts w:cs="Arial"/>
        </w:rPr>
        <w:t xml:space="preserve"> (IGC) is the National Safety Authority (NSA) for the UK half of the Channel Tunnel. The IGC exercises delegated authority from both the French and UK Governments and its decisions are made jointly by the UK and French Heads of Delegation.</w:t>
      </w:r>
      <w:r>
        <w:rPr>
          <w:rStyle w:val="eop"/>
          <w:rFonts w:eastAsiaTheme="majorEastAsia" w:cs="Arial"/>
        </w:rPr>
        <w:t> </w:t>
      </w:r>
    </w:p>
    <w:p w14:paraId="230F9CF7" w14:textId="77777777" w:rsidR="00AC5690" w:rsidRDefault="00AC5690" w:rsidP="00AC5690">
      <w:pPr>
        <w:pStyle w:val="Numberedparagraphdouble"/>
        <w:numPr>
          <w:ilvl w:val="0"/>
          <w:numId w:val="0"/>
        </w:numPr>
        <w:spacing w:after="0" w:line="240" w:lineRule="auto"/>
        <w:ind w:left="720"/>
      </w:pPr>
    </w:p>
    <w:p w14:paraId="6B22B1AF" w14:textId="37AC0EA3" w:rsidR="007D08FC" w:rsidRDefault="007D08FC" w:rsidP="00AC5690">
      <w:pPr>
        <w:pStyle w:val="Numberedparagraphdouble"/>
        <w:numPr>
          <w:ilvl w:val="2"/>
          <w:numId w:val="52"/>
        </w:numPr>
        <w:spacing w:after="0" w:line="240" w:lineRule="auto"/>
        <w:rPr>
          <w:rFonts w:cs="Arial"/>
        </w:rPr>
      </w:pPr>
      <w:r>
        <w:rPr>
          <w:rStyle w:val="normaltextrun"/>
          <w:rFonts w:cs="Arial"/>
        </w:rPr>
        <w:t>The IGC’s NSA role for safety</w:t>
      </w:r>
      <w:r w:rsidR="00DA6493">
        <w:rPr>
          <w:rStyle w:val="normaltextrun"/>
          <w:rFonts w:cs="Arial"/>
        </w:rPr>
        <w:t xml:space="preserve"> </w:t>
      </w:r>
      <w:r>
        <w:rPr>
          <w:rStyle w:val="normaltextrun"/>
          <w:rFonts w:cs="Arial"/>
        </w:rPr>
        <w:t xml:space="preserve">matters currently operate </w:t>
      </w:r>
      <w:r w:rsidR="00064036">
        <w:rPr>
          <w:rStyle w:val="normaltextrun"/>
          <w:rFonts w:cs="Arial"/>
        </w:rPr>
        <w:t xml:space="preserve">under </w:t>
      </w:r>
      <w:r>
        <w:rPr>
          <w:rStyle w:val="normaltextrun"/>
          <w:rFonts w:cs="Arial"/>
        </w:rPr>
        <w:t xml:space="preserve">Channel Tunnel (Safety) (Amendment) Order 2013 (known as the </w:t>
      </w:r>
      <w:r>
        <w:rPr>
          <w:rStyle w:val="normaltextrun"/>
          <w:rFonts w:cs="Arial"/>
          <w:i/>
          <w:iCs/>
        </w:rPr>
        <w:t>‘Binational Regulations’)</w:t>
      </w:r>
      <w:r>
        <w:rPr>
          <w:rStyle w:val="normaltextrun"/>
          <w:rFonts w:cs="Arial"/>
        </w:rPr>
        <w:t>. </w:t>
      </w:r>
      <w:r w:rsidR="005818CF">
        <w:rPr>
          <w:rStyle w:val="normaltextrun"/>
          <w:rFonts w:cs="Arial"/>
        </w:rPr>
        <w:t>The IGC is supported by a subordinate advisory body, the Channel Tunnel Safety Authority (CTSA).</w:t>
      </w:r>
      <w:r>
        <w:rPr>
          <w:rStyle w:val="eop"/>
          <w:rFonts w:eastAsiaTheme="majorEastAsia" w:cs="Arial"/>
        </w:rPr>
        <w:t> </w:t>
      </w:r>
    </w:p>
    <w:p w14:paraId="50008B50" w14:textId="77777777" w:rsidR="00AC5690" w:rsidRDefault="00AC5690" w:rsidP="00AC5690">
      <w:pPr>
        <w:pStyle w:val="Numberedparagraphdouble"/>
        <w:numPr>
          <w:ilvl w:val="0"/>
          <w:numId w:val="0"/>
        </w:numPr>
        <w:spacing w:after="0" w:line="240" w:lineRule="auto"/>
        <w:ind w:left="720"/>
      </w:pPr>
    </w:p>
    <w:p w14:paraId="23DAE7A6" w14:textId="77777777" w:rsidR="00862DE2" w:rsidRDefault="00862DE2" w:rsidP="00AC5690">
      <w:pPr>
        <w:pStyle w:val="Numberedparagraphdouble"/>
        <w:numPr>
          <w:ilvl w:val="2"/>
          <w:numId w:val="52"/>
        </w:numPr>
        <w:spacing w:after="0" w:line="240" w:lineRule="auto"/>
        <w:rPr>
          <w:rStyle w:val="normaltextrun"/>
          <w:rFonts w:cs="Arial"/>
        </w:rPr>
      </w:pPr>
      <w:r w:rsidRPr="00862DE2">
        <w:rPr>
          <w:rStyle w:val="normaltextrun"/>
          <w:rFonts w:cs="Arial"/>
        </w:rPr>
        <w:t>The IGC was previously the NSA for the whole of the Fixed Link, but since 1 January 2021, and following the UK’s withdrawal from the EU, the French railway regulator Établissement Public de Sécurité Ferroviaire (EPSF) has taken on the role of NSA for the French half of the Tunnel.</w:t>
      </w:r>
    </w:p>
    <w:p w14:paraId="57DB3BC0" w14:textId="77777777" w:rsidR="00AC5690" w:rsidRDefault="00AC5690" w:rsidP="00AC5690">
      <w:pPr>
        <w:pStyle w:val="Numberedparagraphdouble"/>
        <w:numPr>
          <w:ilvl w:val="0"/>
          <w:numId w:val="0"/>
        </w:numPr>
        <w:spacing w:after="0" w:line="240" w:lineRule="auto"/>
        <w:ind w:left="720"/>
        <w:rPr>
          <w:rStyle w:val="normaltextrun"/>
          <w:rFonts w:cs="Arial"/>
        </w:rPr>
      </w:pPr>
    </w:p>
    <w:p w14:paraId="1428B57B" w14:textId="5441ADCD" w:rsidR="00BD6034" w:rsidRPr="00BD6034" w:rsidRDefault="00BD6034" w:rsidP="00AC5690">
      <w:pPr>
        <w:pStyle w:val="Numberedparagraphdouble"/>
        <w:numPr>
          <w:ilvl w:val="2"/>
          <w:numId w:val="52"/>
        </w:numPr>
        <w:spacing w:after="0" w:line="240" w:lineRule="auto"/>
        <w:rPr>
          <w:rStyle w:val="normaltextrun"/>
          <w:rFonts w:cs="Arial"/>
        </w:rPr>
      </w:pPr>
      <w:r>
        <w:rPr>
          <w:rStyle w:val="normaltextrun"/>
          <w:rFonts w:cs="Arial"/>
        </w:rPr>
        <w:t xml:space="preserve">The IGC retains </w:t>
      </w:r>
      <w:r w:rsidR="005818CF">
        <w:rPr>
          <w:rStyle w:val="normaltextrun"/>
          <w:rFonts w:cs="Arial"/>
        </w:rPr>
        <w:t>accountability for the authorisation of rail vehicles under the Binational Regulations</w:t>
      </w:r>
      <w:r w:rsidR="000F5907">
        <w:rPr>
          <w:rStyle w:val="normaltextrun"/>
          <w:rFonts w:cs="Arial"/>
        </w:rPr>
        <w:t xml:space="preserve"> for their operation in the UK half of the Fixed Link</w:t>
      </w:r>
      <w:r w:rsidR="001179EC">
        <w:rPr>
          <w:rStyle w:val="normaltextrun"/>
          <w:rFonts w:cs="Arial"/>
        </w:rPr>
        <w:t xml:space="preserve"> under Chapter 5 of the Binational Regulations</w:t>
      </w:r>
      <w:r w:rsidR="000F5907">
        <w:rPr>
          <w:rStyle w:val="normaltextrun"/>
          <w:rFonts w:cs="Arial"/>
        </w:rPr>
        <w:t>.</w:t>
      </w:r>
    </w:p>
    <w:p w14:paraId="03A61059" w14:textId="77777777" w:rsidR="00AC5690" w:rsidRPr="00BD6034" w:rsidRDefault="00AC5690" w:rsidP="00AC5690">
      <w:pPr>
        <w:pStyle w:val="Numberedparagraphdouble"/>
        <w:numPr>
          <w:ilvl w:val="0"/>
          <w:numId w:val="0"/>
        </w:numPr>
        <w:spacing w:after="0" w:line="240" w:lineRule="auto"/>
        <w:ind w:left="720"/>
        <w:rPr>
          <w:rStyle w:val="normaltextrun"/>
          <w:rFonts w:cs="Arial"/>
        </w:rPr>
      </w:pPr>
    </w:p>
    <w:p w14:paraId="1FF592A4" w14:textId="217B370D" w:rsidR="00862DE2" w:rsidRDefault="00862DE2" w:rsidP="00AC5690">
      <w:pPr>
        <w:pStyle w:val="Numberedparagraphdouble"/>
        <w:numPr>
          <w:ilvl w:val="2"/>
          <w:numId w:val="52"/>
        </w:numPr>
        <w:spacing w:after="0" w:line="240" w:lineRule="auto"/>
        <w:rPr>
          <w:rStyle w:val="normaltextrun"/>
          <w:rFonts w:cs="Arial"/>
        </w:rPr>
      </w:pPr>
      <w:r w:rsidRPr="00862DE2">
        <w:rPr>
          <w:rStyle w:val="normaltextrun"/>
          <w:rFonts w:cs="Arial"/>
        </w:rPr>
        <w:t>O</w:t>
      </w:r>
      <w:r>
        <w:rPr>
          <w:rStyle w:val="normaltextrun"/>
          <w:rFonts w:cs="Arial"/>
        </w:rPr>
        <w:t>RR</w:t>
      </w:r>
      <w:r w:rsidRPr="00862DE2">
        <w:rPr>
          <w:rStyle w:val="normaltextrun"/>
          <w:rFonts w:cs="Arial"/>
        </w:rPr>
        <w:t xml:space="preserve"> inspectors are appointed, alongside their French counterparts, to lead and deliver the CTSA inspection plans, which aim to assure that Eurotunnel’s and railway undertakings’ safety management systems </w:t>
      </w:r>
      <w:proofErr w:type="gramStart"/>
      <w:r w:rsidRPr="00862DE2">
        <w:rPr>
          <w:rStyle w:val="normaltextrun"/>
          <w:rFonts w:cs="Arial"/>
        </w:rPr>
        <w:t>are capable of managing</w:t>
      </w:r>
      <w:proofErr w:type="gramEnd"/>
      <w:r w:rsidRPr="00862DE2">
        <w:rPr>
          <w:rStyle w:val="normaltextrun"/>
          <w:rFonts w:cs="Arial"/>
        </w:rPr>
        <w:t xml:space="preserve"> the specific risks associated with Channel Tunnel operations.</w:t>
      </w:r>
      <w:r>
        <w:rPr>
          <w:rStyle w:val="normaltextrun"/>
          <w:rFonts w:cs="Arial"/>
        </w:rPr>
        <w:t xml:space="preserve"> ORR</w:t>
      </w:r>
      <w:r w:rsidRPr="00862DE2">
        <w:rPr>
          <w:rStyle w:val="normaltextrun"/>
          <w:rFonts w:cs="Arial"/>
        </w:rPr>
        <w:t xml:space="preserve"> also manage</w:t>
      </w:r>
      <w:r>
        <w:rPr>
          <w:rStyle w:val="normaltextrun"/>
          <w:rFonts w:cs="Arial"/>
        </w:rPr>
        <w:t>s</w:t>
      </w:r>
      <w:r w:rsidRPr="00862DE2">
        <w:rPr>
          <w:rStyle w:val="normaltextrun"/>
          <w:rFonts w:cs="Arial"/>
        </w:rPr>
        <w:t xml:space="preserve">, </w:t>
      </w:r>
      <w:proofErr w:type="gramStart"/>
      <w:r w:rsidRPr="00862DE2">
        <w:rPr>
          <w:rStyle w:val="normaltextrun"/>
          <w:rFonts w:cs="Arial"/>
        </w:rPr>
        <w:t>monitor</w:t>
      </w:r>
      <w:r>
        <w:rPr>
          <w:rStyle w:val="normaltextrun"/>
          <w:rFonts w:cs="Arial"/>
        </w:rPr>
        <w:t>s</w:t>
      </w:r>
      <w:proofErr w:type="gramEnd"/>
      <w:r w:rsidRPr="00862DE2">
        <w:rPr>
          <w:rStyle w:val="normaltextrun"/>
          <w:rFonts w:cs="Arial"/>
        </w:rPr>
        <w:t xml:space="preserve"> and close</w:t>
      </w:r>
      <w:r>
        <w:rPr>
          <w:rStyle w:val="normaltextrun"/>
          <w:rFonts w:cs="Arial"/>
        </w:rPr>
        <w:t>s</w:t>
      </w:r>
      <w:r w:rsidRPr="00862DE2">
        <w:rPr>
          <w:rStyle w:val="normaltextrun"/>
          <w:rFonts w:cs="Arial"/>
        </w:rPr>
        <w:t xml:space="preserve"> out outstanding recommendations from the CTSA and NSA bi-national inspections and investigations. </w:t>
      </w:r>
    </w:p>
    <w:p w14:paraId="37971278" w14:textId="77777777" w:rsidR="00AC5690" w:rsidRDefault="00AC5690" w:rsidP="00AC5690">
      <w:pPr>
        <w:pStyle w:val="Numberedparagraphdouble"/>
        <w:numPr>
          <w:ilvl w:val="0"/>
          <w:numId w:val="0"/>
        </w:numPr>
        <w:spacing w:after="0" w:line="240" w:lineRule="auto"/>
        <w:ind w:left="720"/>
        <w:rPr>
          <w:rStyle w:val="normaltextrun"/>
          <w:rFonts w:cs="Arial"/>
        </w:rPr>
      </w:pPr>
    </w:p>
    <w:p w14:paraId="05E22B10" w14:textId="5C4DF8C3" w:rsidR="006253D8" w:rsidRDefault="006253D8" w:rsidP="00AC5690">
      <w:pPr>
        <w:pStyle w:val="Numberedparagraphdouble"/>
        <w:numPr>
          <w:ilvl w:val="2"/>
          <w:numId w:val="52"/>
        </w:numPr>
        <w:spacing w:after="0" w:line="240" w:lineRule="auto"/>
        <w:rPr>
          <w:rStyle w:val="normaltextrun"/>
          <w:rFonts w:cs="Arial"/>
        </w:rPr>
      </w:pPr>
      <w:r>
        <w:rPr>
          <w:rStyle w:val="normaltextrun"/>
          <w:rFonts w:cs="Arial"/>
        </w:rPr>
        <w:t>This project is being commissioned directly by the “</w:t>
      </w:r>
      <w:r w:rsidR="0082213D">
        <w:rPr>
          <w:rStyle w:val="normaltextrun"/>
          <w:rFonts w:cs="Arial"/>
        </w:rPr>
        <w:t>ORR</w:t>
      </w:r>
      <w:r>
        <w:rPr>
          <w:rStyle w:val="normaltextrun"/>
          <w:rFonts w:cs="Arial"/>
        </w:rPr>
        <w:t xml:space="preserve"> CTSA team” within the Railway Safety Directorate of ORR in their role as the UK Delegation of the CTSA. </w:t>
      </w:r>
    </w:p>
    <w:p w14:paraId="21C53A4E" w14:textId="77777777" w:rsidR="00AC5690" w:rsidRDefault="00AC5690" w:rsidP="00AC5690">
      <w:pPr>
        <w:pStyle w:val="Numberedparagraphdouble"/>
        <w:numPr>
          <w:ilvl w:val="0"/>
          <w:numId w:val="0"/>
        </w:numPr>
        <w:spacing w:after="0" w:line="240" w:lineRule="auto"/>
        <w:ind w:left="720"/>
        <w:rPr>
          <w:rStyle w:val="normaltextrun"/>
          <w:rFonts w:cs="Arial"/>
        </w:rPr>
      </w:pPr>
    </w:p>
    <w:p w14:paraId="20437E4D" w14:textId="2CCEDB30" w:rsidR="006253D8" w:rsidRDefault="006253D8" w:rsidP="00AC5690">
      <w:pPr>
        <w:pStyle w:val="Numberedparagraphdouble"/>
        <w:numPr>
          <w:ilvl w:val="2"/>
          <w:numId w:val="52"/>
        </w:numPr>
        <w:spacing w:after="0" w:line="240" w:lineRule="auto"/>
        <w:rPr>
          <w:rFonts w:cs="Arial"/>
        </w:rPr>
      </w:pPr>
      <w:r>
        <w:rPr>
          <w:rStyle w:val="normaltextrun"/>
          <w:rFonts w:cs="Arial"/>
        </w:rPr>
        <w:t>Further information on the role of ORR, CTSA and the IGC can be found on the ORR website:</w:t>
      </w:r>
      <w:r w:rsidRPr="006253D8">
        <w:t xml:space="preserve"> </w:t>
      </w:r>
      <w:hyperlink r:id="rId20" w:history="1">
        <w:r>
          <w:rPr>
            <w:rStyle w:val="Hyperlink"/>
            <w:rFonts w:cs="Arial"/>
          </w:rPr>
          <w:t>Channel Tunnel Intergovernmental Commission (IGC) and Safety Authority (CTSA)</w:t>
        </w:r>
      </w:hyperlink>
      <w:r>
        <w:rPr>
          <w:rFonts w:cs="Arial"/>
        </w:rPr>
        <w:t>.</w:t>
      </w:r>
    </w:p>
    <w:p w14:paraId="79354969" w14:textId="77777777" w:rsidR="00AC5690" w:rsidRDefault="00AC5690" w:rsidP="00AC5690">
      <w:pPr>
        <w:pStyle w:val="Numberedparagraphdouble"/>
        <w:numPr>
          <w:ilvl w:val="0"/>
          <w:numId w:val="0"/>
        </w:numPr>
        <w:spacing w:after="0" w:line="240" w:lineRule="auto"/>
        <w:ind w:left="720"/>
      </w:pPr>
    </w:p>
    <w:p w14:paraId="35C9EB16" w14:textId="72E687AD" w:rsidR="006253D8" w:rsidRDefault="006253D8" w:rsidP="00AC5690">
      <w:pPr>
        <w:pStyle w:val="Numberedparagraphdouble"/>
        <w:numPr>
          <w:ilvl w:val="2"/>
          <w:numId w:val="52"/>
        </w:numPr>
        <w:spacing w:after="0" w:line="240" w:lineRule="auto"/>
        <w:rPr>
          <w:rStyle w:val="normaltextrun"/>
          <w:rFonts w:cs="Arial"/>
        </w:rPr>
      </w:pPr>
      <w:r>
        <w:rPr>
          <w:rStyle w:val="normaltextrun"/>
          <w:rFonts w:cs="Arial"/>
        </w:rPr>
        <w:t>T</w:t>
      </w:r>
      <w:r w:rsidRPr="006253D8">
        <w:rPr>
          <w:rStyle w:val="normaltextrun"/>
          <w:rFonts w:cs="Arial"/>
        </w:rPr>
        <w:t xml:space="preserve">he CTSA </w:t>
      </w:r>
      <w:r>
        <w:rPr>
          <w:rStyle w:val="normaltextrun"/>
          <w:rFonts w:cs="Arial"/>
        </w:rPr>
        <w:t xml:space="preserve">continues </w:t>
      </w:r>
      <w:r w:rsidRPr="006253D8">
        <w:rPr>
          <w:rStyle w:val="normaltextrun"/>
          <w:rFonts w:cs="Arial"/>
        </w:rPr>
        <w:t xml:space="preserve">to work closely with </w:t>
      </w:r>
      <w:r>
        <w:rPr>
          <w:rStyle w:val="normaltextrun"/>
          <w:rFonts w:cs="Arial"/>
        </w:rPr>
        <w:t xml:space="preserve">Channel Tunnel </w:t>
      </w:r>
      <w:r w:rsidR="00DA6493">
        <w:rPr>
          <w:rStyle w:val="normaltextrun"/>
          <w:rFonts w:cs="Arial"/>
        </w:rPr>
        <w:t>Stakeholder</w:t>
      </w:r>
      <w:r>
        <w:rPr>
          <w:rStyle w:val="normaltextrun"/>
          <w:rFonts w:cs="Arial"/>
        </w:rPr>
        <w:t>s</w:t>
      </w:r>
      <w:r w:rsidRPr="006253D8">
        <w:rPr>
          <w:rStyle w:val="normaltextrun"/>
          <w:rFonts w:cs="Arial"/>
        </w:rPr>
        <w:t xml:space="preserve"> on </w:t>
      </w:r>
      <w:r w:rsidR="00DA6493">
        <w:rPr>
          <w:rStyle w:val="normaltextrun"/>
          <w:rFonts w:cs="Arial"/>
        </w:rPr>
        <w:t xml:space="preserve">foreseeable </w:t>
      </w:r>
      <w:r w:rsidRPr="006253D8">
        <w:rPr>
          <w:rStyle w:val="normaltextrun"/>
          <w:rFonts w:cs="Arial"/>
        </w:rPr>
        <w:t>multi-year projects which include</w:t>
      </w:r>
      <w:r w:rsidR="00BA6945">
        <w:rPr>
          <w:rStyle w:val="normaltextrun"/>
          <w:rFonts w:cs="Arial"/>
        </w:rPr>
        <w:t>s (but is not limited to)</w:t>
      </w:r>
      <w:r w:rsidRPr="006253D8">
        <w:rPr>
          <w:rStyle w:val="normaltextrun"/>
          <w:rFonts w:cs="Arial"/>
        </w:rPr>
        <w:t xml:space="preserve"> the modernisation of passenger shuttle fleet</w:t>
      </w:r>
      <w:r w:rsidR="00DA6493">
        <w:rPr>
          <w:rStyle w:val="normaltextrun"/>
          <w:rFonts w:cs="Arial"/>
        </w:rPr>
        <w:t>, newly manufactured passenger trains and new passenger entrants for</w:t>
      </w:r>
      <w:r w:rsidRPr="006253D8">
        <w:rPr>
          <w:rStyle w:val="normaltextrun"/>
          <w:rFonts w:cs="Arial"/>
        </w:rPr>
        <w:t xml:space="preserve"> the</w:t>
      </w:r>
      <w:r w:rsidR="00DA6493">
        <w:rPr>
          <w:rStyle w:val="normaltextrun"/>
          <w:rFonts w:cs="Arial"/>
        </w:rPr>
        <w:t xml:space="preserve"> Channel</w:t>
      </w:r>
      <w:r w:rsidRPr="006253D8">
        <w:rPr>
          <w:rStyle w:val="normaltextrun"/>
          <w:rFonts w:cs="Arial"/>
        </w:rPr>
        <w:t xml:space="preserve"> Tunnel to ensure that risks are identified, assessed, and appropriately mitigated.</w:t>
      </w:r>
    </w:p>
    <w:p w14:paraId="2F6A7976" w14:textId="77777777" w:rsidR="00AC5690" w:rsidRDefault="00AC5690" w:rsidP="00AC5690">
      <w:pPr>
        <w:pStyle w:val="Numberedparagraphdouble"/>
        <w:numPr>
          <w:ilvl w:val="0"/>
          <w:numId w:val="0"/>
        </w:numPr>
        <w:spacing w:after="0" w:line="240" w:lineRule="auto"/>
        <w:ind w:left="720"/>
        <w:rPr>
          <w:rStyle w:val="normaltextrun"/>
          <w:rFonts w:cs="Arial"/>
        </w:rPr>
      </w:pPr>
    </w:p>
    <w:p w14:paraId="01FF2E53" w14:textId="7D437027" w:rsidR="0082213D" w:rsidRPr="00FB54E9" w:rsidRDefault="00DA6493" w:rsidP="00AC5690">
      <w:pPr>
        <w:pStyle w:val="Numberedparagraphdouble"/>
        <w:numPr>
          <w:ilvl w:val="2"/>
          <w:numId w:val="52"/>
        </w:numPr>
        <w:spacing w:after="0" w:line="240" w:lineRule="auto"/>
        <w:rPr>
          <w:rStyle w:val="normaltextrun"/>
          <w:rFonts w:cs="Arial"/>
        </w:rPr>
      </w:pPr>
      <w:r>
        <w:rPr>
          <w:rStyle w:val="normaltextrun"/>
          <w:rFonts w:cs="Arial"/>
        </w:rPr>
        <w:t>There is currently a growth in interest of Channel Tunnel operational opportunities which is driving an unprecedented amount of foreseeable authorisation work for the IGC</w:t>
      </w:r>
      <w:r w:rsidR="0082213D" w:rsidRPr="00FB54E9">
        <w:rPr>
          <w:rStyle w:val="normaltextrun"/>
          <w:rFonts w:cs="Arial"/>
        </w:rPr>
        <w:t>.</w:t>
      </w:r>
    </w:p>
    <w:p w14:paraId="654E10F6" w14:textId="4CC1A06A" w:rsidR="007D08FC" w:rsidRDefault="0082213D" w:rsidP="00AC5690">
      <w:pPr>
        <w:pStyle w:val="Numberedparagraphdouble"/>
        <w:numPr>
          <w:ilvl w:val="2"/>
          <w:numId w:val="52"/>
        </w:numPr>
        <w:spacing w:after="0" w:line="240" w:lineRule="auto"/>
        <w:rPr>
          <w:rStyle w:val="normaltextrun"/>
          <w:rFonts w:cs="Arial"/>
        </w:rPr>
      </w:pPr>
      <w:r w:rsidRPr="40856E51">
        <w:rPr>
          <w:rStyle w:val="normaltextrun"/>
          <w:rFonts w:cs="Arial"/>
        </w:rPr>
        <w:lastRenderedPageBreak/>
        <w:t>The overall purpose of this work is to support the ORR CTSA team</w:t>
      </w:r>
      <w:r w:rsidR="006555BF" w:rsidRPr="40856E51">
        <w:rPr>
          <w:rStyle w:val="normaltextrun"/>
          <w:rFonts w:cs="Arial"/>
        </w:rPr>
        <w:t xml:space="preserve"> with</w:t>
      </w:r>
      <w:r w:rsidRPr="40856E51">
        <w:rPr>
          <w:rStyle w:val="normaltextrun"/>
          <w:rFonts w:cs="Arial"/>
        </w:rPr>
        <w:t xml:space="preserve"> </w:t>
      </w:r>
      <w:r w:rsidR="12A8E731" w:rsidRPr="40856E51">
        <w:rPr>
          <w:rStyle w:val="normaltextrun"/>
          <w:rFonts w:cs="Arial"/>
        </w:rPr>
        <w:t>its</w:t>
      </w:r>
      <w:r w:rsidR="00DA6493" w:rsidRPr="40856E51">
        <w:rPr>
          <w:rStyle w:val="normaltextrun"/>
          <w:rFonts w:cs="Arial"/>
        </w:rPr>
        <w:t xml:space="preserve"> technical reviews and recommendations to the IGC on vehicle authorisations</w:t>
      </w:r>
      <w:r w:rsidRPr="40856E51">
        <w:rPr>
          <w:rStyle w:val="normaltextrun"/>
          <w:rFonts w:cs="Arial"/>
        </w:rPr>
        <w:t>.</w:t>
      </w:r>
      <w:r w:rsidR="001B6996" w:rsidRPr="40856E51">
        <w:rPr>
          <w:rStyle w:val="normaltextrun"/>
          <w:rFonts w:cs="Arial"/>
        </w:rPr>
        <w:t xml:space="preserve"> This will require the consultant to have extensive experience with vehicle authorisations in Great Britain and Europe, with an appreciation of the specific arrangements for vehicle authorisation within the Channel Tunnel.</w:t>
      </w:r>
      <w:r w:rsidRPr="40856E51">
        <w:rPr>
          <w:rStyle w:val="normaltextrun"/>
          <w:rFonts w:cs="Arial"/>
        </w:rPr>
        <w:t xml:space="preserve"> </w:t>
      </w:r>
    </w:p>
    <w:p w14:paraId="4EAFF0BD" w14:textId="77777777" w:rsidR="00FB54E9" w:rsidRPr="00FB54E9" w:rsidRDefault="00FB54E9" w:rsidP="00FB54E9">
      <w:pPr>
        <w:pStyle w:val="paragraph"/>
        <w:spacing w:before="0" w:beforeAutospacing="0" w:after="120" w:afterAutospacing="0"/>
        <w:ind w:left="1080"/>
        <w:textAlignment w:val="baseline"/>
        <w:rPr>
          <w:rStyle w:val="normaltextrun"/>
          <w:rFonts w:ascii="Arial" w:hAnsi="Arial" w:cs="Arial"/>
        </w:rPr>
      </w:pPr>
    </w:p>
    <w:p w14:paraId="48E3C75F" w14:textId="6C3DFEC3" w:rsidR="005934ED" w:rsidRPr="006D0799" w:rsidRDefault="00F20E70" w:rsidP="006D0799">
      <w:pPr>
        <w:pStyle w:val="Heading3"/>
      </w:pPr>
      <w:bookmarkStart w:id="11" w:name="_Toc155860977"/>
      <w:r>
        <w:t>2.2 Project Objectives and Scope</w:t>
      </w:r>
      <w:bookmarkEnd w:id="11"/>
    </w:p>
    <w:p w14:paraId="339FBDE7" w14:textId="77777777" w:rsidR="00AC5690" w:rsidRPr="00AC5690" w:rsidRDefault="00AC5690" w:rsidP="00AC5690">
      <w:pPr>
        <w:pStyle w:val="ListParagraph"/>
        <w:numPr>
          <w:ilvl w:val="0"/>
          <w:numId w:val="53"/>
        </w:numPr>
        <w:spacing w:after="120" w:line="240" w:lineRule="auto"/>
        <w:contextualSpacing w:val="0"/>
        <w:textAlignment w:val="baseline"/>
        <w:rPr>
          <w:rFonts w:eastAsia="Times New Roman" w:cs="Arial"/>
          <w:vanish/>
          <w:szCs w:val="24"/>
          <w:lang w:eastAsia="en-GB"/>
        </w:rPr>
      </w:pPr>
    </w:p>
    <w:p w14:paraId="7E6BA226" w14:textId="77777777" w:rsidR="00AC5690" w:rsidRPr="00AC5690" w:rsidRDefault="00AC5690" w:rsidP="00AC5690">
      <w:pPr>
        <w:pStyle w:val="ListParagraph"/>
        <w:numPr>
          <w:ilvl w:val="0"/>
          <w:numId w:val="53"/>
        </w:numPr>
        <w:spacing w:after="120" w:line="240" w:lineRule="auto"/>
        <w:contextualSpacing w:val="0"/>
        <w:textAlignment w:val="baseline"/>
        <w:rPr>
          <w:rFonts w:eastAsia="Times New Roman" w:cs="Arial"/>
          <w:vanish/>
          <w:szCs w:val="24"/>
          <w:lang w:eastAsia="en-GB"/>
        </w:rPr>
      </w:pPr>
    </w:p>
    <w:p w14:paraId="4DDBC06C" w14:textId="77777777" w:rsidR="00AC5690" w:rsidRPr="00AC5690" w:rsidRDefault="00AC5690" w:rsidP="00AC5690">
      <w:pPr>
        <w:pStyle w:val="ListParagraph"/>
        <w:numPr>
          <w:ilvl w:val="1"/>
          <w:numId w:val="53"/>
        </w:numPr>
        <w:spacing w:after="120" w:line="240" w:lineRule="auto"/>
        <w:contextualSpacing w:val="0"/>
        <w:textAlignment w:val="baseline"/>
        <w:rPr>
          <w:rFonts w:eastAsia="Times New Roman" w:cs="Arial"/>
          <w:vanish/>
          <w:szCs w:val="24"/>
          <w:lang w:eastAsia="en-GB"/>
        </w:rPr>
      </w:pPr>
    </w:p>
    <w:p w14:paraId="62DF9F34" w14:textId="77777777" w:rsidR="00AC5690" w:rsidRPr="00AC5690" w:rsidRDefault="00AC5690" w:rsidP="00AC5690">
      <w:pPr>
        <w:pStyle w:val="ListParagraph"/>
        <w:numPr>
          <w:ilvl w:val="1"/>
          <w:numId w:val="53"/>
        </w:numPr>
        <w:spacing w:after="120" w:line="240" w:lineRule="auto"/>
        <w:contextualSpacing w:val="0"/>
        <w:textAlignment w:val="baseline"/>
        <w:rPr>
          <w:rFonts w:eastAsia="Times New Roman" w:cs="Arial"/>
          <w:vanish/>
          <w:szCs w:val="24"/>
          <w:lang w:eastAsia="en-GB"/>
        </w:rPr>
      </w:pPr>
    </w:p>
    <w:p w14:paraId="7754632D" w14:textId="0271CD5A" w:rsidR="00AA3E98" w:rsidRDefault="00FB54E9" w:rsidP="00AC5690">
      <w:pPr>
        <w:pStyle w:val="paragraph"/>
        <w:numPr>
          <w:ilvl w:val="2"/>
          <w:numId w:val="53"/>
        </w:numPr>
        <w:spacing w:before="0" w:beforeAutospacing="0" w:after="0" w:afterAutospacing="0"/>
        <w:ind w:left="851" w:hanging="851"/>
        <w:textAlignment w:val="baseline"/>
        <w:rPr>
          <w:rFonts w:ascii="Arial" w:hAnsi="Arial" w:cs="Arial"/>
        </w:rPr>
      </w:pPr>
      <w:r w:rsidRPr="75E4A46B">
        <w:rPr>
          <w:rFonts w:ascii="Arial" w:hAnsi="Arial" w:cs="Arial"/>
        </w:rPr>
        <w:t>Th</w:t>
      </w:r>
      <w:r w:rsidR="005934ED" w:rsidRPr="75E4A46B">
        <w:rPr>
          <w:rFonts w:ascii="Arial" w:hAnsi="Arial" w:cs="Arial"/>
        </w:rPr>
        <w:t>is tender</w:t>
      </w:r>
      <w:r w:rsidRPr="75E4A46B">
        <w:rPr>
          <w:rFonts w:ascii="Arial" w:hAnsi="Arial" w:cs="Arial"/>
        </w:rPr>
        <w:t xml:space="preserve"> seeks to secure</w:t>
      </w:r>
      <w:r w:rsidR="00AA3E98" w:rsidRPr="75E4A46B">
        <w:rPr>
          <w:rFonts w:ascii="Arial" w:hAnsi="Arial" w:cs="Arial"/>
        </w:rPr>
        <w:t xml:space="preserve"> expert, independent </w:t>
      </w:r>
      <w:r w:rsidR="006555BF" w:rsidRPr="75E4A46B">
        <w:rPr>
          <w:rFonts w:ascii="Arial" w:hAnsi="Arial" w:cs="Arial"/>
        </w:rPr>
        <w:t>opinion</w:t>
      </w:r>
      <w:r w:rsidR="00AA3E98" w:rsidRPr="75E4A46B">
        <w:rPr>
          <w:rFonts w:ascii="Arial" w:hAnsi="Arial" w:cs="Arial"/>
        </w:rPr>
        <w:t xml:space="preserve"> resulting from robust evidence</w:t>
      </w:r>
      <w:r w:rsidR="64F359EE" w:rsidRPr="75E4A46B">
        <w:rPr>
          <w:rFonts w:ascii="Arial" w:hAnsi="Arial" w:cs="Arial"/>
        </w:rPr>
        <w:t>-</w:t>
      </w:r>
      <w:r w:rsidR="00AA3E98" w:rsidRPr="75E4A46B">
        <w:rPr>
          <w:rFonts w:ascii="Arial" w:hAnsi="Arial" w:cs="Arial"/>
        </w:rPr>
        <w:t>bas</w:t>
      </w:r>
      <w:r w:rsidR="006555BF" w:rsidRPr="75E4A46B">
        <w:rPr>
          <w:rFonts w:ascii="Arial" w:hAnsi="Arial" w:cs="Arial"/>
        </w:rPr>
        <w:t>ed analysis</w:t>
      </w:r>
      <w:r w:rsidR="00AA3E98" w:rsidRPr="75E4A46B">
        <w:rPr>
          <w:rFonts w:ascii="Arial" w:hAnsi="Arial" w:cs="Arial"/>
        </w:rPr>
        <w:t xml:space="preserve"> </w:t>
      </w:r>
      <w:r w:rsidR="006555BF" w:rsidRPr="75E4A46B">
        <w:rPr>
          <w:rFonts w:ascii="Arial" w:hAnsi="Arial" w:cs="Arial"/>
        </w:rPr>
        <w:t>of rolling stock engineering topics, to supply</w:t>
      </w:r>
      <w:r w:rsidR="00AA3E98" w:rsidRPr="75E4A46B">
        <w:rPr>
          <w:rFonts w:ascii="Arial" w:hAnsi="Arial" w:cs="Arial"/>
        </w:rPr>
        <w:t xml:space="preserve"> appropriate </w:t>
      </w:r>
      <w:r w:rsidR="00302A67" w:rsidRPr="75E4A46B">
        <w:rPr>
          <w:rFonts w:ascii="Arial" w:hAnsi="Arial" w:cs="Arial"/>
        </w:rPr>
        <w:t>advice to the ORR</w:t>
      </w:r>
      <w:r w:rsidR="0033279C" w:rsidRPr="75E4A46B">
        <w:rPr>
          <w:rFonts w:ascii="Arial" w:hAnsi="Arial" w:cs="Arial"/>
        </w:rPr>
        <w:t xml:space="preserve"> (and therefore subsequently to the CTSA/IGC)</w:t>
      </w:r>
      <w:r w:rsidR="00AA3E98" w:rsidRPr="75E4A46B">
        <w:rPr>
          <w:rFonts w:ascii="Arial" w:hAnsi="Arial" w:cs="Arial"/>
        </w:rPr>
        <w:t>.</w:t>
      </w:r>
      <w:r w:rsidRPr="75E4A46B">
        <w:rPr>
          <w:rFonts w:ascii="Arial" w:hAnsi="Arial" w:cs="Arial"/>
        </w:rPr>
        <w:t xml:space="preserve"> </w:t>
      </w:r>
      <w:r w:rsidR="0033279C" w:rsidRPr="75E4A46B">
        <w:rPr>
          <w:rFonts w:ascii="Arial" w:hAnsi="Arial" w:cs="Arial"/>
        </w:rPr>
        <w:t xml:space="preserve">ORR </w:t>
      </w:r>
      <w:r w:rsidR="005934ED" w:rsidRPr="75E4A46B">
        <w:rPr>
          <w:rFonts w:ascii="Arial" w:hAnsi="Arial" w:cs="Arial"/>
        </w:rPr>
        <w:t>expect this working arrangement to be in place for approximately 12 months</w:t>
      </w:r>
      <w:r w:rsidR="006555BF" w:rsidRPr="75E4A46B">
        <w:rPr>
          <w:rFonts w:ascii="Arial" w:hAnsi="Arial" w:cs="Arial"/>
        </w:rPr>
        <w:t xml:space="preserve">, although this period could be extended if there are unexpected delays with </w:t>
      </w:r>
      <w:r w:rsidR="001B6996" w:rsidRPr="75E4A46B">
        <w:rPr>
          <w:rFonts w:ascii="Arial" w:hAnsi="Arial" w:cs="Arial"/>
        </w:rPr>
        <w:t>authorisation applications</w:t>
      </w:r>
      <w:r w:rsidR="005934ED" w:rsidRPr="75E4A46B">
        <w:rPr>
          <w:rFonts w:ascii="Arial" w:hAnsi="Arial" w:cs="Arial"/>
        </w:rPr>
        <w:t xml:space="preserve">. </w:t>
      </w:r>
      <w:r w:rsidR="006555BF" w:rsidRPr="75E4A46B">
        <w:rPr>
          <w:rFonts w:ascii="Arial" w:hAnsi="Arial" w:cs="Arial"/>
        </w:rPr>
        <w:t>T</w:t>
      </w:r>
      <w:r w:rsidR="005934ED" w:rsidRPr="75E4A46B">
        <w:rPr>
          <w:rFonts w:ascii="Arial" w:hAnsi="Arial" w:cs="Arial"/>
        </w:rPr>
        <w:t>he consultant will need to be dynamic and respond to</w:t>
      </w:r>
      <w:r w:rsidR="006555BF" w:rsidRPr="75E4A46B">
        <w:rPr>
          <w:rFonts w:ascii="Arial" w:hAnsi="Arial" w:cs="Arial"/>
        </w:rPr>
        <w:t xml:space="preserve"> short notice </w:t>
      </w:r>
      <w:r w:rsidR="005934ED" w:rsidRPr="75E4A46B">
        <w:rPr>
          <w:rFonts w:ascii="Arial" w:hAnsi="Arial" w:cs="Arial"/>
        </w:rPr>
        <w:t>requests</w:t>
      </w:r>
      <w:r w:rsidR="006555BF" w:rsidRPr="75E4A46B">
        <w:rPr>
          <w:rFonts w:ascii="Arial" w:hAnsi="Arial" w:cs="Arial"/>
        </w:rPr>
        <w:t xml:space="preserve"> from ORR</w:t>
      </w:r>
      <w:r w:rsidR="005934ED" w:rsidRPr="75E4A46B">
        <w:rPr>
          <w:rFonts w:ascii="Arial" w:hAnsi="Arial" w:cs="Arial"/>
        </w:rPr>
        <w:t>. Sometimes there may be as little as one working days’ notice given to the consultant for requests.</w:t>
      </w:r>
    </w:p>
    <w:p w14:paraId="1438C65A" w14:textId="77777777" w:rsidR="00AC5690" w:rsidRDefault="00AC5690" w:rsidP="00AC5690">
      <w:pPr>
        <w:pStyle w:val="paragraph"/>
        <w:spacing w:before="0" w:beforeAutospacing="0" w:after="0" w:afterAutospacing="0"/>
        <w:ind w:left="851"/>
        <w:textAlignment w:val="baseline"/>
        <w:rPr>
          <w:rFonts w:ascii="Arial" w:hAnsi="Arial" w:cs="Arial"/>
        </w:rPr>
      </w:pPr>
    </w:p>
    <w:p w14:paraId="0A90B5FA" w14:textId="7AE30EE7" w:rsidR="005C3704" w:rsidRDefault="005C3704" w:rsidP="00AC5690">
      <w:pPr>
        <w:pStyle w:val="paragraph"/>
        <w:numPr>
          <w:ilvl w:val="2"/>
          <w:numId w:val="53"/>
        </w:numPr>
        <w:spacing w:before="0" w:beforeAutospacing="0" w:after="0" w:afterAutospacing="0"/>
        <w:ind w:left="851" w:hanging="851"/>
        <w:textAlignment w:val="baseline"/>
        <w:rPr>
          <w:rFonts w:ascii="Arial" w:hAnsi="Arial" w:cs="Arial"/>
        </w:rPr>
      </w:pPr>
      <w:r w:rsidRPr="40856E51">
        <w:rPr>
          <w:rFonts w:ascii="Arial" w:hAnsi="Arial" w:cs="Arial"/>
        </w:rPr>
        <w:t>This w</w:t>
      </w:r>
      <w:r w:rsidR="00656655">
        <w:rPr>
          <w:rFonts w:ascii="Arial" w:hAnsi="Arial" w:cs="Arial"/>
        </w:rPr>
        <w:t xml:space="preserve">ill </w:t>
      </w:r>
      <w:r w:rsidRPr="40856E51">
        <w:rPr>
          <w:rFonts w:ascii="Arial" w:hAnsi="Arial" w:cs="Arial"/>
        </w:rPr>
        <w:t>form a</w:t>
      </w:r>
      <w:r w:rsidRPr="00354A26">
        <w:rPr>
          <w:rFonts w:ascii="Arial" w:hAnsi="Arial" w:cs="Arial"/>
        </w:rPr>
        <w:t xml:space="preserve"> call off </w:t>
      </w:r>
      <w:r w:rsidR="00656655">
        <w:rPr>
          <w:rFonts w:ascii="Arial" w:hAnsi="Arial" w:cs="Arial"/>
        </w:rPr>
        <w:t>arrangement t</w:t>
      </w:r>
      <w:r w:rsidRPr="00354A26">
        <w:rPr>
          <w:rFonts w:ascii="Arial" w:hAnsi="Arial" w:cs="Arial"/>
        </w:rPr>
        <w:t>o the contract (at a stated day rate) to provide</w:t>
      </w:r>
      <w:r w:rsidRPr="40856E51">
        <w:rPr>
          <w:rFonts w:ascii="Arial" w:hAnsi="Arial" w:cs="Arial"/>
        </w:rPr>
        <w:t xml:space="preserve"> the</w:t>
      </w:r>
      <w:r w:rsidRPr="00354A26">
        <w:rPr>
          <w:rFonts w:ascii="Arial" w:hAnsi="Arial" w:cs="Arial"/>
        </w:rPr>
        <w:t xml:space="preserve"> expertis</w:t>
      </w:r>
      <w:r w:rsidRPr="40856E51">
        <w:rPr>
          <w:rFonts w:ascii="Arial" w:hAnsi="Arial" w:cs="Arial"/>
        </w:rPr>
        <w:t>e</w:t>
      </w:r>
      <w:r w:rsidR="009A3F46">
        <w:rPr>
          <w:rFonts w:ascii="Arial" w:hAnsi="Arial" w:cs="Arial"/>
        </w:rPr>
        <w:t>.</w:t>
      </w:r>
      <w:r w:rsidR="00656655">
        <w:rPr>
          <w:rFonts w:ascii="Arial" w:hAnsi="Arial" w:cs="Arial"/>
        </w:rPr>
        <w:t xml:space="preserve"> The call off process is outlined in section 2.3 below. </w:t>
      </w:r>
    </w:p>
    <w:p w14:paraId="3C68912B" w14:textId="77777777" w:rsidR="00AC5690" w:rsidRDefault="00AC5690" w:rsidP="00AC5690">
      <w:pPr>
        <w:pStyle w:val="paragraph"/>
        <w:spacing w:before="0" w:beforeAutospacing="0" w:after="0" w:afterAutospacing="0"/>
        <w:ind w:left="851"/>
        <w:textAlignment w:val="baseline"/>
        <w:rPr>
          <w:rFonts w:ascii="Arial" w:hAnsi="Arial" w:cs="Arial"/>
        </w:rPr>
      </w:pPr>
    </w:p>
    <w:p w14:paraId="673CCF6C" w14:textId="4CB0D58B" w:rsidR="72E3B5B8" w:rsidRDefault="72E3B5B8" w:rsidP="00AC5690">
      <w:pPr>
        <w:pStyle w:val="paragraph"/>
        <w:numPr>
          <w:ilvl w:val="2"/>
          <w:numId w:val="53"/>
        </w:numPr>
        <w:spacing w:before="0" w:beforeAutospacing="0" w:after="0" w:afterAutospacing="0"/>
        <w:ind w:left="851" w:hanging="851"/>
        <w:rPr>
          <w:rFonts w:ascii="Arial" w:hAnsi="Arial" w:cs="Arial"/>
        </w:rPr>
      </w:pPr>
      <w:r w:rsidRPr="40856E51">
        <w:rPr>
          <w:rFonts w:ascii="Arial" w:hAnsi="Arial" w:cs="Arial"/>
        </w:rPr>
        <w:t xml:space="preserve">The consultant will report to </w:t>
      </w:r>
      <w:r w:rsidR="3A077323" w:rsidRPr="00354A26">
        <w:rPr>
          <w:rFonts w:ascii="Arial" w:hAnsi="Arial" w:cs="Arial"/>
          <w:i/>
          <w:iCs/>
        </w:rPr>
        <w:t xml:space="preserve">HM Principal Inspector of Railways - HS1 &amp; Channel </w:t>
      </w:r>
      <w:proofErr w:type="gramStart"/>
      <w:r w:rsidR="3A077323" w:rsidRPr="00354A26">
        <w:rPr>
          <w:rFonts w:ascii="Arial" w:hAnsi="Arial" w:cs="Arial"/>
          <w:i/>
          <w:iCs/>
        </w:rPr>
        <w:t>Tunnel</w:t>
      </w:r>
      <w:r w:rsidR="3A077323" w:rsidRPr="40856E51">
        <w:rPr>
          <w:rFonts w:ascii="Arial" w:hAnsi="Arial" w:cs="Arial"/>
        </w:rPr>
        <w:t xml:space="preserve">, </w:t>
      </w:r>
      <w:r w:rsidR="30F8E03C" w:rsidRPr="40856E51">
        <w:rPr>
          <w:rFonts w:ascii="Arial" w:hAnsi="Arial" w:cs="Arial"/>
        </w:rPr>
        <w:t>and</w:t>
      </w:r>
      <w:proofErr w:type="gramEnd"/>
      <w:r w:rsidR="3A077323" w:rsidRPr="40856E51">
        <w:rPr>
          <w:rFonts w:ascii="Arial" w:hAnsi="Arial" w:cs="Arial"/>
        </w:rPr>
        <w:t xml:space="preserve"> will also take direction from the </w:t>
      </w:r>
      <w:r w:rsidR="3A077323" w:rsidRPr="00354A26">
        <w:rPr>
          <w:rFonts w:ascii="Arial" w:hAnsi="Arial" w:cs="Arial"/>
          <w:i/>
          <w:iCs/>
        </w:rPr>
        <w:t>Head of Interop</w:t>
      </w:r>
      <w:r w:rsidR="01C92456" w:rsidRPr="00354A26">
        <w:rPr>
          <w:rFonts w:ascii="Arial" w:hAnsi="Arial" w:cs="Arial"/>
          <w:i/>
          <w:iCs/>
        </w:rPr>
        <w:t>e</w:t>
      </w:r>
      <w:r w:rsidR="3A077323" w:rsidRPr="00354A26">
        <w:rPr>
          <w:rFonts w:ascii="Arial" w:hAnsi="Arial" w:cs="Arial"/>
          <w:i/>
          <w:iCs/>
        </w:rPr>
        <w:t>rability and Rail Vehicle Engineering</w:t>
      </w:r>
      <w:r w:rsidR="3A077323" w:rsidRPr="40856E51">
        <w:rPr>
          <w:rFonts w:ascii="Arial" w:hAnsi="Arial" w:cs="Arial"/>
        </w:rPr>
        <w:t>.</w:t>
      </w:r>
    </w:p>
    <w:p w14:paraId="1E0D9CAE" w14:textId="77777777" w:rsidR="00AC5690" w:rsidRDefault="00AC5690" w:rsidP="00AC5690">
      <w:pPr>
        <w:pStyle w:val="paragraph"/>
        <w:spacing w:before="0" w:beforeAutospacing="0" w:after="0" w:afterAutospacing="0"/>
        <w:ind w:left="851"/>
        <w:rPr>
          <w:rFonts w:ascii="Arial" w:hAnsi="Arial" w:cs="Arial"/>
        </w:rPr>
      </w:pPr>
    </w:p>
    <w:p w14:paraId="012D09B9" w14:textId="3BF10B73" w:rsidR="00FB54E9" w:rsidRPr="00FB54E9" w:rsidRDefault="00FB54E9" w:rsidP="00AC5690">
      <w:pPr>
        <w:pStyle w:val="paragraph"/>
        <w:numPr>
          <w:ilvl w:val="2"/>
          <w:numId w:val="53"/>
        </w:numPr>
        <w:spacing w:before="0" w:beforeAutospacing="0" w:after="0" w:afterAutospacing="0"/>
        <w:ind w:left="851" w:hanging="851"/>
        <w:textAlignment w:val="baseline"/>
        <w:rPr>
          <w:rFonts w:ascii="Arial" w:hAnsi="Arial" w:cs="Arial"/>
        </w:rPr>
      </w:pPr>
      <w:r w:rsidRPr="399BCB50">
        <w:rPr>
          <w:rFonts w:ascii="Arial" w:hAnsi="Arial" w:cs="Arial"/>
        </w:rPr>
        <w:t xml:space="preserve">The </w:t>
      </w:r>
      <w:r w:rsidR="00D5170A" w:rsidRPr="399BCB50">
        <w:rPr>
          <w:rFonts w:ascii="Arial" w:hAnsi="Arial" w:cs="Arial"/>
        </w:rPr>
        <w:t>consultant</w:t>
      </w:r>
      <w:r w:rsidRPr="399BCB50">
        <w:rPr>
          <w:rFonts w:ascii="Arial" w:hAnsi="Arial" w:cs="Arial"/>
        </w:rPr>
        <w:t xml:space="preserve"> will be required to critically assess </w:t>
      </w:r>
      <w:r w:rsidR="005934ED" w:rsidRPr="399BCB50">
        <w:rPr>
          <w:rFonts w:ascii="Arial" w:hAnsi="Arial" w:cs="Arial"/>
        </w:rPr>
        <w:t>pre-engagement files</w:t>
      </w:r>
      <w:r w:rsidR="00017D46" w:rsidRPr="399BCB50">
        <w:rPr>
          <w:rFonts w:ascii="Arial" w:hAnsi="Arial" w:cs="Arial"/>
        </w:rPr>
        <w:t>, pre-submission files</w:t>
      </w:r>
      <w:r w:rsidR="005934ED" w:rsidRPr="399BCB50">
        <w:rPr>
          <w:rFonts w:ascii="Arial" w:hAnsi="Arial" w:cs="Arial"/>
        </w:rPr>
        <w:t xml:space="preserve"> and final </w:t>
      </w:r>
      <w:r w:rsidR="00017D46" w:rsidRPr="399BCB50">
        <w:rPr>
          <w:rFonts w:ascii="Arial" w:hAnsi="Arial" w:cs="Arial"/>
        </w:rPr>
        <w:t>submission</w:t>
      </w:r>
      <w:r w:rsidR="005934ED" w:rsidRPr="399BCB50">
        <w:rPr>
          <w:rFonts w:ascii="Arial" w:hAnsi="Arial" w:cs="Arial"/>
        </w:rPr>
        <w:t xml:space="preserve"> files </w:t>
      </w:r>
      <w:r w:rsidR="392FFBED" w:rsidRPr="399BCB50">
        <w:rPr>
          <w:rFonts w:ascii="Arial" w:hAnsi="Arial" w:cs="Arial"/>
        </w:rPr>
        <w:t xml:space="preserve">submitted </w:t>
      </w:r>
      <w:r w:rsidR="005934ED" w:rsidRPr="399BCB50">
        <w:rPr>
          <w:rFonts w:ascii="Arial" w:hAnsi="Arial" w:cs="Arial"/>
        </w:rPr>
        <w:t>by applicants</w:t>
      </w:r>
      <w:r w:rsidR="6844ECC9" w:rsidRPr="399BCB50">
        <w:rPr>
          <w:rFonts w:ascii="Arial" w:hAnsi="Arial" w:cs="Arial"/>
        </w:rPr>
        <w:t>, as well as associated material such as submissions to the E</w:t>
      </w:r>
      <w:r w:rsidR="5E5B8546" w:rsidRPr="399BCB50">
        <w:rPr>
          <w:rFonts w:ascii="Arial" w:hAnsi="Arial" w:cs="Arial"/>
        </w:rPr>
        <w:t xml:space="preserve">uropean Railway </w:t>
      </w:r>
      <w:r w:rsidR="6844ECC9" w:rsidRPr="399BCB50">
        <w:rPr>
          <w:rFonts w:ascii="Arial" w:hAnsi="Arial" w:cs="Arial"/>
        </w:rPr>
        <w:t>A</w:t>
      </w:r>
      <w:r w:rsidR="72040F1F" w:rsidRPr="399BCB50">
        <w:rPr>
          <w:rFonts w:ascii="Arial" w:hAnsi="Arial" w:cs="Arial"/>
        </w:rPr>
        <w:t>gency</w:t>
      </w:r>
      <w:r w:rsidR="6844ECC9" w:rsidRPr="399BCB50">
        <w:rPr>
          <w:rFonts w:ascii="Arial" w:hAnsi="Arial" w:cs="Arial"/>
        </w:rPr>
        <w:t xml:space="preserve"> One Stop Shop and permissioning document</w:t>
      </w:r>
      <w:r w:rsidR="38ABC9CB" w:rsidRPr="399BCB50">
        <w:rPr>
          <w:rFonts w:ascii="Arial" w:hAnsi="Arial" w:cs="Arial"/>
        </w:rPr>
        <w:t>ation</w:t>
      </w:r>
      <w:r w:rsidR="3F12602F" w:rsidRPr="399BCB50">
        <w:rPr>
          <w:rFonts w:ascii="Arial" w:hAnsi="Arial" w:cs="Arial"/>
        </w:rPr>
        <w:t xml:space="preserve"> from other authorising bodies</w:t>
      </w:r>
      <w:r w:rsidR="005934ED" w:rsidRPr="399BCB50">
        <w:rPr>
          <w:rFonts w:ascii="Arial" w:hAnsi="Arial" w:cs="Arial"/>
        </w:rPr>
        <w:t>.</w:t>
      </w:r>
    </w:p>
    <w:p w14:paraId="44EF3F6B" w14:textId="77777777" w:rsidR="00AC5690" w:rsidRPr="00FB54E9" w:rsidRDefault="00AC5690" w:rsidP="00AC5690">
      <w:pPr>
        <w:pStyle w:val="paragraph"/>
        <w:spacing w:before="0" w:beforeAutospacing="0" w:after="0" w:afterAutospacing="0"/>
        <w:ind w:left="851"/>
        <w:textAlignment w:val="baseline"/>
        <w:rPr>
          <w:rFonts w:ascii="Arial" w:hAnsi="Arial" w:cs="Arial"/>
        </w:rPr>
      </w:pPr>
    </w:p>
    <w:p w14:paraId="7666A8D5" w14:textId="38838A17" w:rsidR="003B6C1C" w:rsidRDefault="003B6C1C" w:rsidP="00AC5690">
      <w:pPr>
        <w:pStyle w:val="ListParagraph"/>
        <w:numPr>
          <w:ilvl w:val="2"/>
          <w:numId w:val="53"/>
        </w:numPr>
        <w:spacing w:after="0"/>
        <w:ind w:left="851" w:hanging="851"/>
      </w:pPr>
      <w:r>
        <w:t xml:space="preserve">ORR will supply a suite of documentation </w:t>
      </w:r>
      <w:r w:rsidR="006555BF">
        <w:t xml:space="preserve">to </w:t>
      </w:r>
      <w:r>
        <w:t xml:space="preserve">review and will facilitate the </w:t>
      </w:r>
      <w:r w:rsidR="00D5170A">
        <w:t>consultant</w:t>
      </w:r>
      <w:r w:rsidR="007404A3">
        <w:t xml:space="preserve">’s request for additional </w:t>
      </w:r>
      <w:r w:rsidR="00B21626">
        <w:t>clarification of applicant</w:t>
      </w:r>
      <w:r w:rsidR="006555BF">
        <w:t>’</w:t>
      </w:r>
      <w:r w:rsidR="00B21626">
        <w:t>s</w:t>
      </w:r>
      <w:r w:rsidR="006555BF">
        <w:t xml:space="preserve"> submission</w:t>
      </w:r>
      <w:r w:rsidR="007404A3">
        <w:t>.</w:t>
      </w:r>
      <w:r w:rsidR="00354A26">
        <w:t xml:space="preserve"> The consultant may also need to meet remotely with</w:t>
      </w:r>
      <w:r w:rsidR="007404A3">
        <w:t xml:space="preserve"> </w:t>
      </w:r>
      <w:r w:rsidR="00354A26">
        <w:t>applicants.</w:t>
      </w:r>
    </w:p>
    <w:p w14:paraId="7E15453D" w14:textId="77777777" w:rsidR="00AC5690" w:rsidRDefault="00AC5690" w:rsidP="00AC5690">
      <w:pPr>
        <w:pStyle w:val="ListParagraph"/>
        <w:spacing w:after="0"/>
        <w:ind w:left="851"/>
      </w:pPr>
    </w:p>
    <w:p w14:paraId="67D32626" w14:textId="3F886439" w:rsidR="003B6C1C" w:rsidRPr="003B6C1C" w:rsidRDefault="003B6C1C" w:rsidP="00AC5690">
      <w:pPr>
        <w:pStyle w:val="ListParagraph"/>
        <w:numPr>
          <w:ilvl w:val="2"/>
          <w:numId w:val="53"/>
        </w:numPr>
        <w:spacing w:after="0"/>
        <w:ind w:left="851" w:hanging="851"/>
      </w:pPr>
      <w:r>
        <w:t>A list of foreseeable relevant documentation</w:t>
      </w:r>
      <w:r w:rsidR="0F5F924D">
        <w:t xml:space="preserve"> for each application will</w:t>
      </w:r>
      <w:r>
        <w:t xml:space="preserve"> include, (but is not limited to the following):</w:t>
      </w:r>
    </w:p>
    <w:p w14:paraId="66F45B9E" w14:textId="77777777" w:rsidR="00AC5690" w:rsidRPr="003B6C1C" w:rsidRDefault="00AC5690" w:rsidP="00AC5690">
      <w:pPr>
        <w:pStyle w:val="ListParagraph"/>
        <w:spacing w:after="0"/>
        <w:ind w:left="851"/>
      </w:pPr>
    </w:p>
    <w:p w14:paraId="457D0E81" w14:textId="6ECD71BA" w:rsidR="00DE3D86" w:rsidRDefault="00DE3D86" w:rsidP="40856E51">
      <w:pPr>
        <w:pStyle w:val="paragraph"/>
        <w:numPr>
          <w:ilvl w:val="1"/>
          <w:numId w:val="40"/>
        </w:numPr>
        <w:spacing w:before="0" w:beforeAutospacing="0" w:after="120" w:afterAutospacing="0"/>
        <w:textAlignment w:val="baseline"/>
        <w:rPr>
          <w:rFonts w:ascii="Arial" w:hAnsi="Arial" w:cs="Arial"/>
        </w:rPr>
      </w:pPr>
      <w:r w:rsidRPr="40856E51">
        <w:rPr>
          <w:rFonts w:ascii="Arial" w:hAnsi="Arial" w:cs="Arial"/>
        </w:rPr>
        <w:t>Project approach (background to the project)</w:t>
      </w:r>
      <w:r w:rsidR="006A10F3" w:rsidRPr="40856E51">
        <w:rPr>
          <w:rFonts w:ascii="Arial" w:hAnsi="Arial" w:cs="Arial"/>
        </w:rPr>
        <w:t>.</w:t>
      </w:r>
      <w:r w:rsidRPr="40856E51">
        <w:rPr>
          <w:rFonts w:ascii="Arial" w:hAnsi="Arial" w:cs="Arial"/>
        </w:rPr>
        <w:t xml:space="preserve"> </w:t>
      </w:r>
    </w:p>
    <w:p w14:paraId="345289F2" w14:textId="03262D22" w:rsidR="00DE3D86" w:rsidRDefault="00DE3D86" w:rsidP="007404A3">
      <w:pPr>
        <w:pStyle w:val="paragraph"/>
        <w:numPr>
          <w:ilvl w:val="1"/>
          <w:numId w:val="40"/>
        </w:numPr>
        <w:spacing w:before="0" w:beforeAutospacing="0" w:after="120" w:afterAutospacing="0"/>
        <w:textAlignment w:val="baseline"/>
        <w:rPr>
          <w:rFonts w:ascii="Arial" w:hAnsi="Arial" w:cs="Arial"/>
        </w:rPr>
      </w:pPr>
      <w:r w:rsidRPr="40856E51">
        <w:rPr>
          <w:rFonts w:ascii="Arial" w:hAnsi="Arial" w:cs="Arial"/>
        </w:rPr>
        <w:t>System Definition</w:t>
      </w:r>
      <w:r w:rsidR="006A10F3" w:rsidRPr="40856E51">
        <w:rPr>
          <w:rFonts w:ascii="Arial" w:hAnsi="Arial" w:cs="Arial"/>
        </w:rPr>
        <w:t>.</w:t>
      </w:r>
    </w:p>
    <w:p w14:paraId="7B0D5EB4" w14:textId="6A9E2CD8" w:rsidR="00DE3D86" w:rsidRDefault="00DE3D86" w:rsidP="007404A3">
      <w:pPr>
        <w:pStyle w:val="paragraph"/>
        <w:numPr>
          <w:ilvl w:val="1"/>
          <w:numId w:val="40"/>
        </w:numPr>
        <w:spacing w:before="0" w:beforeAutospacing="0" w:after="120" w:afterAutospacing="0"/>
        <w:textAlignment w:val="baseline"/>
        <w:rPr>
          <w:rFonts w:ascii="Arial" w:hAnsi="Arial" w:cs="Arial"/>
        </w:rPr>
      </w:pPr>
      <w:r w:rsidRPr="40856E51">
        <w:rPr>
          <w:rFonts w:ascii="Arial" w:hAnsi="Arial" w:cs="Arial"/>
        </w:rPr>
        <w:t>Project lifecycle plan (definition of project phases)</w:t>
      </w:r>
      <w:r w:rsidR="006A10F3" w:rsidRPr="40856E51">
        <w:rPr>
          <w:rFonts w:ascii="Arial" w:hAnsi="Arial" w:cs="Arial"/>
        </w:rPr>
        <w:t>.</w:t>
      </w:r>
    </w:p>
    <w:p w14:paraId="4DCAC361" w14:textId="512B3CDA" w:rsidR="00DE3D86" w:rsidRDefault="00DE3D86" w:rsidP="007404A3">
      <w:pPr>
        <w:pStyle w:val="paragraph"/>
        <w:numPr>
          <w:ilvl w:val="1"/>
          <w:numId w:val="40"/>
        </w:numPr>
        <w:spacing w:before="0" w:beforeAutospacing="0" w:after="120" w:afterAutospacing="0"/>
        <w:textAlignment w:val="baseline"/>
        <w:rPr>
          <w:rFonts w:ascii="Arial" w:hAnsi="Arial" w:cs="Arial"/>
        </w:rPr>
      </w:pPr>
      <w:r w:rsidRPr="40856E51">
        <w:rPr>
          <w:rFonts w:ascii="Arial" w:hAnsi="Arial" w:cs="Arial"/>
        </w:rPr>
        <w:t>Project schedule</w:t>
      </w:r>
      <w:r w:rsidR="006A10F3" w:rsidRPr="40856E51">
        <w:rPr>
          <w:rFonts w:ascii="Arial" w:hAnsi="Arial" w:cs="Arial"/>
        </w:rPr>
        <w:t>.</w:t>
      </w:r>
      <w:r w:rsidRPr="40856E51">
        <w:rPr>
          <w:rFonts w:ascii="Arial" w:hAnsi="Arial" w:cs="Arial"/>
        </w:rPr>
        <w:t xml:space="preserve"> </w:t>
      </w:r>
    </w:p>
    <w:p w14:paraId="58A3EA60" w14:textId="6CB67165" w:rsidR="00DE3D86" w:rsidRDefault="00DE3D86" w:rsidP="40856E51">
      <w:pPr>
        <w:pStyle w:val="paragraph"/>
        <w:numPr>
          <w:ilvl w:val="1"/>
          <w:numId w:val="40"/>
        </w:numPr>
        <w:spacing w:before="0" w:beforeAutospacing="0" w:after="120" w:afterAutospacing="0"/>
        <w:textAlignment w:val="baseline"/>
        <w:rPr>
          <w:rFonts w:ascii="Arial" w:hAnsi="Arial" w:cs="Arial"/>
        </w:rPr>
      </w:pPr>
      <w:r w:rsidRPr="40856E51">
        <w:rPr>
          <w:rFonts w:ascii="Arial" w:hAnsi="Arial" w:cs="Arial"/>
        </w:rPr>
        <w:t>CSM</w:t>
      </w:r>
      <w:r w:rsidR="44AE24FC" w:rsidRPr="40856E51">
        <w:rPr>
          <w:rFonts w:ascii="Arial" w:hAnsi="Arial" w:cs="Arial"/>
        </w:rPr>
        <w:t>-RA</w:t>
      </w:r>
      <w:r w:rsidRPr="40856E51">
        <w:rPr>
          <w:rFonts w:ascii="Arial" w:hAnsi="Arial" w:cs="Arial"/>
        </w:rPr>
        <w:t xml:space="preserve"> Significance decision</w:t>
      </w:r>
      <w:r w:rsidR="655BB263" w:rsidRPr="40856E51">
        <w:rPr>
          <w:rFonts w:ascii="Arial" w:hAnsi="Arial" w:cs="Arial"/>
        </w:rPr>
        <w:t xml:space="preserve"> and risk assessment material</w:t>
      </w:r>
      <w:r w:rsidR="006A10F3" w:rsidRPr="40856E51">
        <w:rPr>
          <w:rFonts w:ascii="Arial" w:hAnsi="Arial" w:cs="Arial"/>
        </w:rPr>
        <w:t>.</w:t>
      </w:r>
      <w:r w:rsidRPr="40856E51">
        <w:rPr>
          <w:rFonts w:ascii="Arial" w:hAnsi="Arial" w:cs="Arial"/>
        </w:rPr>
        <w:t xml:space="preserve"> </w:t>
      </w:r>
    </w:p>
    <w:p w14:paraId="32823FDA" w14:textId="271D91BC" w:rsidR="00DE3D86" w:rsidRDefault="00DE3D86" w:rsidP="007404A3">
      <w:pPr>
        <w:pStyle w:val="paragraph"/>
        <w:numPr>
          <w:ilvl w:val="1"/>
          <w:numId w:val="40"/>
        </w:numPr>
        <w:spacing w:before="0" w:beforeAutospacing="0" w:after="120" w:afterAutospacing="0"/>
        <w:textAlignment w:val="baseline"/>
        <w:rPr>
          <w:rFonts w:ascii="Arial" w:hAnsi="Arial" w:cs="Arial"/>
        </w:rPr>
      </w:pPr>
      <w:r w:rsidRPr="40856E51">
        <w:rPr>
          <w:rFonts w:ascii="Arial" w:hAnsi="Arial" w:cs="Arial"/>
        </w:rPr>
        <w:t>Description of the technical/functional characteristics of the system</w:t>
      </w:r>
      <w:r w:rsidR="006A10F3" w:rsidRPr="40856E51">
        <w:rPr>
          <w:rFonts w:ascii="Arial" w:hAnsi="Arial" w:cs="Arial"/>
        </w:rPr>
        <w:t>.</w:t>
      </w:r>
      <w:r w:rsidRPr="40856E51">
        <w:rPr>
          <w:rFonts w:ascii="Arial" w:hAnsi="Arial" w:cs="Arial"/>
        </w:rPr>
        <w:t xml:space="preserve"> </w:t>
      </w:r>
    </w:p>
    <w:p w14:paraId="39A44B3C" w14:textId="346CACB2" w:rsidR="00DE3D86" w:rsidRDefault="00DE3D86" w:rsidP="007404A3">
      <w:pPr>
        <w:pStyle w:val="paragraph"/>
        <w:numPr>
          <w:ilvl w:val="1"/>
          <w:numId w:val="40"/>
        </w:numPr>
        <w:spacing w:before="0" w:beforeAutospacing="0" w:after="120" w:afterAutospacing="0"/>
        <w:textAlignment w:val="baseline"/>
        <w:rPr>
          <w:rFonts w:ascii="Arial" w:hAnsi="Arial" w:cs="Arial"/>
        </w:rPr>
      </w:pPr>
      <w:r w:rsidRPr="40856E51">
        <w:rPr>
          <w:rFonts w:ascii="Arial" w:hAnsi="Arial" w:cs="Arial"/>
        </w:rPr>
        <w:lastRenderedPageBreak/>
        <w:t>Interfaces with other systems and the environment</w:t>
      </w:r>
      <w:r w:rsidR="006A10F3" w:rsidRPr="40856E51">
        <w:rPr>
          <w:rFonts w:ascii="Arial" w:hAnsi="Arial" w:cs="Arial"/>
        </w:rPr>
        <w:t>.</w:t>
      </w:r>
    </w:p>
    <w:p w14:paraId="09BD2CD7" w14:textId="4F242916" w:rsidR="00DE3D86" w:rsidRDefault="00DE3D86" w:rsidP="40856E51">
      <w:pPr>
        <w:pStyle w:val="paragraph"/>
        <w:numPr>
          <w:ilvl w:val="1"/>
          <w:numId w:val="40"/>
        </w:numPr>
        <w:spacing w:before="0" w:beforeAutospacing="0" w:after="120" w:afterAutospacing="0"/>
        <w:textAlignment w:val="baseline"/>
        <w:rPr>
          <w:rFonts w:ascii="Arial" w:hAnsi="Arial" w:cs="Arial"/>
        </w:rPr>
      </w:pPr>
      <w:r w:rsidRPr="40856E51">
        <w:rPr>
          <w:rFonts w:ascii="Arial" w:hAnsi="Arial" w:cs="Arial"/>
        </w:rPr>
        <w:t xml:space="preserve">Applicable NTSNs (TSIs), </w:t>
      </w:r>
      <w:r w:rsidR="097BB7CE" w:rsidRPr="40856E51">
        <w:rPr>
          <w:rFonts w:ascii="Arial" w:hAnsi="Arial" w:cs="Arial"/>
        </w:rPr>
        <w:t xml:space="preserve">national </w:t>
      </w:r>
      <w:r w:rsidRPr="40856E51">
        <w:rPr>
          <w:rFonts w:ascii="Arial" w:hAnsi="Arial" w:cs="Arial"/>
        </w:rPr>
        <w:t>rules and derogations</w:t>
      </w:r>
      <w:r w:rsidR="006A10F3" w:rsidRPr="40856E51">
        <w:rPr>
          <w:rFonts w:ascii="Arial" w:hAnsi="Arial" w:cs="Arial"/>
        </w:rPr>
        <w:t>.</w:t>
      </w:r>
    </w:p>
    <w:p w14:paraId="22EEB17A" w14:textId="113950D0" w:rsidR="00DE3D86" w:rsidRDefault="53D8711E" w:rsidP="40856E51">
      <w:pPr>
        <w:pStyle w:val="paragraph"/>
        <w:numPr>
          <w:ilvl w:val="1"/>
          <w:numId w:val="40"/>
        </w:numPr>
        <w:spacing w:before="0" w:beforeAutospacing="0" w:after="120" w:afterAutospacing="0"/>
        <w:textAlignment w:val="baseline"/>
        <w:rPr>
          <w:rFonts w:ascii="Arial" w:hAnsi="Arial" w:cs="Arial"/>
        </w:rPr>
      </w:pPr>
      <w:r w:rsidRPr="40856E51">
        <w:rPr>
          <w:rFonts w:ascii="Arial" w:hAnsi="Arial" w:cs="Arial"/>
        </w:rPr>
        <w:t>Evidence of conformity with applicable standards.</w:t>
      </w:r>
      <w:r w:rsidR="00DE3D86" w:rsidRPr="40856E51">
        <w:rPr>
          <w:rFonts w:ascii="Arial" w:hAnsi="Arial" w:cs="Arial"/>
        </w:rPr>
        <w:t xml:space="preserve"> </w:t>
      </w:r>
    </w:p>
    <w:p w14:paraId="4138F225" w14:textId="0D55F00F" w:rsidR="00DE3D86" w:rsidRDefault="00DE3D86" w:rsidP="40856E51">
      <w:pPr>
        <w:pStyle w:val="paragraph"/>
        <w:numPr>
          <w:ilvl w:val="1"/>
          <w:numId w:val="40"/>
        </w:numPr>
        <w:spacing w:before="0" w:beforeAutospacing="0" w:after="120" w:afterAutospacing="0"/>
        <w:textAlignment w:val="baseline"/>
        <w:rPr>
          <w:rFonts w:ascii="Arial" w:hAnsi="Arial" w:cs="Arial"/>
        </w:rPr>
      </w:pPr>
      <w:r w:rsidRPr="40856E51">
        <w:rPr>
          <w:rFonts w:ascii="Arial" w:hAnsi="Arial" w:cs="Arial"/>
        </w:rPr>
        <w:t>Details of external assurance bodies (AsBo/DeBo/NoBo {EU}/’Approved Body’ {UK})</w:t>
      </w:r>
      <w:r w:rsidR="006A10F3" w:rsidRPr="40856E51">
        <w:rPr>
          <w:rFonts w:ascii="Arial" w:hAnsi="Arial" w:cs="Arial"/>
        </w:rPr>
        <w:t>.</w:t>
      </w:r>
      <w:r w:rsidRPr="40856E51">
        <w:rPr>
          <w:rFonts w:ascii="Arial" w:hAnsi="Arial" w:cs="Arial"/>
        </w:rPr>
        <w:t xml:space="preserve"> </w:t>
      </w:r>
    </w:p>
    <w:p w14:paraId="4A1CD819" w14:textId="76EDCF1A" w:rsidR="7485FE85" w:rsidRDefault="7485FE85" w:rsidP="40856E51">
      <w:pPr>
        <w:pStyle w:val="paragraph"/>
        <w:numPr>
          <w:ilvl w:val="1"/>
          <w:numId w:val="40"/>
        </w:numPr>
        <w:spacing w:before="0" w:beforeAutospacing="0" w:after="120" w:afterAutospacing="0"/>
        <w:rPr>
          <w:rFonts w:ascii="Arial" w:hAnsi="Arial" w:cs="Arial"/>
        </w:rPr>
      </w:pPr>
      <w:r w:rsidRPr="40856E51">
        <w:rPr>
          <w:rFonts w:ascii="Arial" w:hAnsi="Arial" w:cs="Arial"/>
        </w:rPr>
        <w:t>Certification produced by the applicant and the external assurance bodies.</w:t>
      </w:r>
    </w:p>
    <w:p w14:paraId="0D25379C" w14:textId="34E71E48" w:rsidR="003B6C1C" w:rsidRPr="007404A3" w:rsidRDefault="00DE3D86" w:rsidP="00C45D12">
      <w:pPr>
        <w:pStyle w:val="paragraph"/>
        <w:numPr>
          <w:ilvl w:val="1"/>
          <w:numId w:val="40"/>
        </w:numPr>
        <w:spacing w:before="0" w:beforeAutospacing="0" w:after="0" w:afterAutospacing="0"/>
        <w:textAlignment w:val="baseline"/>
        <w:rPr>
          <w:rFonts w:ascii="Arial" w:hAnsi="Arial" w:cs="Arial"/>
        </w:rPr>
      </w:pPr>
      <w:r w:rsidRPr="40856E51">
        <w:rPr>
          <w:rFonts w:ascii="Arial" w:hAnsi="Arial" w:cs="Arial"/>
        </w:rPr>
        <w:t>Details of testing (prior to any tests taking place if applicable)</w:t>
      </w:r>
      <w:r w:rsidR="006A10F3" w:rsidRPr="40856E51">
        <w:rPr>
          <w:rFonts w:ascii="Arial" w:hAnsi="Arial" w:cs="Arial"/>
        </w:rPr>
        <w:t>.</w:t>
      </w:r>
    </w:p>
    <w:p w14:paraId="419155E9" w14:textId="77777777" w:rsidR="00C45D12" w:rsidRPr="007404A3" w:rsidRDefault="00C45D12" w:rsidP="00C45D12">
      <w:pPr>
        <w:pStyle w:val="paragraph"/>
        <w:spacing w:before="0" w:beforeAutospacing="0" w:after="0" w:afterAutospacing="0"/>
        <w:ind w:left="1800"/>
        <w:textAlignment w:val="baseline"/>
        <w:rPr>
          <w:rFonts w:ascii="Arial" w:hAnsi="Arial" w:cs="Arial"/>
        </w:rPr>
      </w:pPr>
    </w:p>
    <w:p w14:paraId="6EAFB64F" w14:textId="77777777" w:rsidR="00AC5690" w:rsidRPr="00AC5690" w:rsidRDefault="00AC5690" w:rsidP="00C45D12">
      <w:pPr>
        <w:pStyle w:val="ListParagraph"/>
        <w:numPr>
          <w:ilvl w:val="0"/>
          <w:numId w:val="54"/>
        </w:numPr>
        <w:spacing w:after="0"/>
        <w:rPr>
          <w:vanish/>
        </w:rPr>
      </w:pPr>
    </w:p>
    <w:p w14:paraId="0C366BB9" w14:textId="77777777" w:rsidR="00AC5690" w:rsidRPr="00AC5690" w:rsidRDefault="00AC5690" w:rsidP="00C45D12">
      <w:pPr>
        <w:pStyle w:val="ListParagraph"/>
        <w:numPr>
          <w:ilvl w:val="0"/>
          <w:numId w:val="54"/>
        </w:numPr>
        <w:spacing w:after="0"/>
        <w:rPr>
          <w:vanish/>
        </w:rPr>
      </w:pPr>
    </w:p>
    <w:p w14:paraId="1274A04B" w14:textId="77777777" w:rsidR="00AC5690" w:rsidRPr="00AC5690" w:rsidRDefault="00AC5690" w:rsidP="00C45D12">
      <w:pPr>
        <w:pStyle w:val="ListParagraph"/>
        <w:numPr>
          <w:ilvl w:val="1"/>
          <w:numId w:val="54"/>
        </w:numPr>
        <w:spacing w:after="0"/>
        <w:rPr>
          <w:vanish/>
        </w:rPr>
      </w:pPr>
    </w:p>
    <w:p w14:paraId="768B8DA1" w14:textId="77777777" w:rsidR="00AC5690" w:rsidRPr="00AC5690" w:rsidRDefault="00AC5690" w:rsidP="00C45D12">
      <w:pPr>
        <w:pStyle w:val="ListParagraph"/>
        <w:numPr>
          <w:ilvl w:val="1"/>
          <w:numId w:val="54"/>
        </w:numPr>
        <w:spacing w:after="0"/>
        <w:rPr>
          <w:vanish/>
        </w:rPr>
      </w:pPr>
    </w:p>
    <w:p w14:paraId="458DA9D0" w14:textId="77777777" w:rsidR="00AC5690" w:rsidRPr="00AC5690" w:rsidRDefault="00AC5690" w:rsidP="00C45D12">
      <w:pPr>
        <w:pStyle w:val="ListParagraph"/>
        <w:numPr>
          <w:ilvl w:val="2"/>
          <w:numId w:val="54"/>
        </w:numPr>
        <w:spacing w:after="0"/>
        <w:rPr>
          <w:vanish/>
        </w:rPr>
      </w:pPr>
    </w:p>
    <w:p w14:paraId="4B8366D7" w14:textId="77777777" w:rsidR="00AC5690" w:rsidRPr="00AC5690" w:rsidRDefault="00AC5690" w:rsidP="00C45D12">
      <w:pPr>
        <w:pStyle w:val="ListParagraph"/>
        <w:numPr>
          <w:ilvl w:val="2"/>
          <w:numId w:val="54"/>
        </w:numPr>
        <w:spacing w:after="0"/>
        <w:rPr>
          <w:vanish/>
        </w:rPr>
      </w:pPr>
    </w:p>
    <w:p w14:paraId="1227B1BC" w14:textId="77777777" w:rsidR="00AC5690" w:rsidRPr="00AC5690" w:rsidRDefault="00AC5690" w:rsidP="00C45D12">
      <w:pPr>
        <w:pStyle w:val="ListParagraph"/>
        <w:numPr>
          <w:ilvl w:val="2"/>
          <w:numId w:val="54"/>
        </w:numPr>
        <w:spacing w:after="0"/>
        <w:rPr>
          <w:vanish/>
        </w:rPr>
      </w:pPr>
    </w:p>
    <w:p w14:paraId="29A68613" w14:textId="77777777" w:rsidR="00AC5690" w:rsidRPr="00AC5690" w:rsidRDefault="00AC5690" w:rsidP="00C45D12">
      <w:pPr>
        <w:pStyle w:val="ListParagraph"/>
        <w:numPr>
          <w:ilvl w:val="2"/>
          <w:numId w:val="54"/>
        </w:numPr>
        <w:spacing w:after="0"/>
        <w:rPr>
          <w:vanish/>
        </w:rPr>
      </w:pPr>
    </w:p>
    <w:p w14:paraId="61A01A15" w14:textId="77777777" w:rsidR="00AC5690" w:rsidRPr="00AC5690" w:rsidRDefault="00AC5690" w:rsidP="00C45D12">
      <w:pPr>
        <w:pStyle w:val="ListParagraph"/>
        <w:numPr>
          <w:ilvl w:val="2"/>
          <w:numId w:val="54"/>
        </w:numPr>
        <w:spacing w:after="0"/>
        <w:rPr>
          <w:vanish/>
        </w:rPr>
      </w:pPr>
    </w:p>
    <w:p w14:paraId="1421270E" w14:textId="77777777" w:rsidR="00AC5690" w:rsidRPr="00AC5690" w:rsidRDefault="00AC5690" w:rsidP="00C45D12">
      <w:pPr>
        <w:pStyle w:val="ListParagraph"/>
        <w:numPr>
          <w:ilvl w:val="2"/>
          <w:numId w:val="54"/>
        </w:numPr>
        <w:spacing w:after="0"/>
        <w:rPr>
          <w:vanish/>
        </w:rPr>
      </w:pPr>
    </w:p>
    <w:p w14:paraId="599D1A26" w14:textId="56158F23" w:rsidR="00D84793" w:rsidRDefault="00B21626" w:rsidP="00C45D12">
      <w:pPr>
        <w:pStyle w:val="ListParagraph"/>
        <w:numPr>
          <w:ilvl w:val="2"/>
          <w:numId w:val="54"/>
        </w:numPr>
        <w:spacing w:after="0"/>
        <w:ind w:left="0" w:firstLine="0"/>
      </w:pPr>
      <w:r>
        <w:t>A maximum budget has been set based on current foreseeable need of upcoming work</w:t>
      </w:r>
      <w:r w:rsidR="00D84793">
        <w:t>.</w:t>
      </w:r>
      <w:r>
        <w:t xml:space="preserve"> There may be a possibility that </w:t>
      </w:r>
      <w:r w:rsidR="0315216A">
        <w:t xml:space="preserve">fewer </w:t>
      </w:r>
      <w:r>
        <w:t>applications are received than expected within the 12</w:t>
      </w:r>
      <w:r w:rsidR="00F148BB">
        <w:t>-</w:t>
      </w:r>
      <w:r>
        <w:t>month period and therefore ORR expects to only be invoiced for work that is undertaken within the 12</w:t>
      </w:r>
      <w:r w:rsidR="00F148BB">
        <w:t>-</w:t>
      </w:r>
      <w:r>
        <w:t>month period.</w:t>
      </w:r>
    </w:p>
    <w:p w14:paraId="0B3D90F9" w14:textId="77777777" w:rsidR="00AC5690" w:rsidRDefault="00AC5690" w:rsidP="00AC5690">
      <w:pPr>
        <w:pStyle w:val="ListParagraph"/>
        <w:spacing w:after="120"/>
        <w:ind w:left="0"/>
      </w:pPr>
    </w:p>
    <w:p w14:paraId="3AD2AFD1" w14:textId="2ED12C71" w:rsidR="00AA3E98" w:rsidRPr="00354A26" w:rsidRDefault="006129E4" w:rsidP="00AC5690">
      <w:pPr>
        <w:pStyle w:val="ListParagraph"/>
        <w:numPr>
          <w:ilvl w:val="2"/>
          <w:numId w:val="54"/>
        </w:numPr>
        <w:spacing w:after="120"/>
        <w:ind w:left="0" w:firstLine="0"/>
        <w:textAlignment w:val="baseline"/>
        <w:rPr>
          <w:rFonts w:cs="Arial"/>
        </w:rPr>
      </w:pPr>
      <w:r>
        <w:t xml:space="preserve">The successful consultant </w:t>
      </w:r>
      <w:r w:rsidR="4AD6D29C">
        <w:t xml:space="preserve">will work </w:t>
      </w:r>
      <w:r w:rsidRPr="03AEA9DB">
        <w:rPr>
          <w:rFonts w:cs="Arial"/>
        </w:rPr>
        <w:t>with data, information and access to systems that may be very sensitive and will be expected to work to agreed security arrangements.</w:t>
      </w:r>
    </w:p>
    <w:p w14:paraId="63488CA7" w14:textId="77777777" w:rsidR="00AC5690" w:rsidRPr="00354A26" w:rsidRDefault="00AC5690" w:rsidP="00AC5690">
      <w:pPr>
        <w:pStyle w:val="ListParagraph"/>
        <w:spacing w:after="120"/>
        <w:ind w:left="0"/>
        <w:textAlignment w:val="baseline"/>
        <w:rPr>
          <w:rFonts w:cs="Arial"/>
        </w:rPr>
      </w:pPr>
    </w:p>
    <w:p w14:paraId="3C86029C" w14:textId="0717D1E0" w:rsidR="57169493" w:rsidRDefault="57169493" w:rsidP="00AC5690">
      <w:pPr>
        <w:pStyle w:val="ListParagraph"/>
        <w:numPr>
          <w:ilvl w:val="2"/>
          <w:numId w:val="54"/>
        </w:numPr>
        <w:spacing w:after="120"/>
        <w:ind w:left="0" w:firstLine="0"/>
        <w:rPr>
          <w:rFonts w:cs="Arial"/>
          <w:szCs w:val="24"/>
        </w:rPr>
      </w:pPr>
      <w:r w:rsidRPr="35578921">
        <w:rPr>
          <w:rFonts w:cs="Arial"/>
        </w:rPr>
        <w:t xml:space="preserve">There may be a requirement for the successful bidder to attend meetings in person in both Great Britian and France. </w:t>
      </w:r>
    </w:p>
    <w:p w14:paraId="50FD3BFE" w14:textId="77777777" w:rsidR="00AA3E98" w:rsidRPr="00AA3E98" w:rsidRDefault="00AA3E98" w:rsidP="00AA3E98">
      <w:pPr>
        <w:pStyle w:val="paragraph"/>
        <w:spacing w:before="0" w:beforeAutospacing="0" w:after="120" w:afterAutospacing="0"/>
        <w:textAlignment w:val="baseline"/>
        <w:rPr>
          <w:rFonts w:ascii="Arial" w:hAnsi="Arial" w:cs="Arial"/>
        </w:rPr>
      </w:pPr>
    </w:p>
    <w:p w14:paraId="69A75C90" w14:textId="4E7D31A8" w:rsidR="003F3CB0" w:rsidRDefault="003F3CB0" w:rsidP="003F3CB0">
      <w:pPr>
        <w:pStyle w:val="Heading3"/>
      </w:pPr>
      <w:bookmarkStart w:id="12" w:name="_Toc155860978"/>
      <w:r w:rsidRPr="003F3CB0">
        <w:t>2.3 Project Outputs, Deliverables and Contract Management</w:t>
      </w:r>
      <w:bookmarkEnd w:id="12"/>
    </w:p>
    <w:p w14:paraId="480D8983" w14:textId="77777777" w:rsidR="00DB02EF" w:rsidRDefault="00DB02EF" w:rsidP="00DB02EF">
      <w:pPr>
        <w:pStyle w:val="Heading4"/>
      </w:pPr>
      <w:r>
        <w:t>Outputs and Deliverables</w:t>
      </w:r>
    </w:p>
    <w:p w14:paraId="118F7B03" w14:textId="18E5C966" w:rsidR="00DB02EF" w:rsidRDefault="00B21626" w:rsidP="00DB02EF">
      <w:pPr>
        <w:pStyle w:val="NormalBulletround"/>
      </w:pPr>
      <w:r>
        <w:t>Following a request by ORR</w:t>
      </w:r>
      <w:r w:rsidR="4274D147">
        <w:t xml:space="preserve">’s </w:t>
      </w:r>
      <w:r w:rsidR="4274D147" w:rsidRPr="76EE88F4">
        <w:rPr>
          <w:rFonts w:cs="Arial"/>
          <w:i/>
          <w:iCs/>
        </w:rPr>
        <w:t xml:space="preserve">HM Principal Inspector of Railways - HS1 &amp; Channel Tunnel </w:t>
      </w:r>
      <w:r w:rsidR="4274D147" w:rsidRPr="76EE88F4">
        <w:rPr>
          <w:rFonts w:cs="Arial"/>
        </w:rPr>
        <w:t xml:space="preserve">or the </w:t>
      </w:r>
      <w:r w:rsidR="4274D147" w:rsidRPr="76EE88F4">
        <w:rPr>
          <w:rFonts w:cs="Arial"/>
          <w:i/>
          <w:iCs/>
        </w:rPr>
        <w:t>Head of Interoperability and Rail Vehicle Engineering</w:t>
      </w:r>
      <w:r>
        <w:t xml:space="preserve"> to the consultant to review a</w:t>
      </w:r>
      <w:r w:rsidR="0053316C">
        <w:t>n</w:t>
      </w:r>
      <w:r>
        <w:t xml:space="preserve"> applicant</w:t>
      </w:r>
      <w:r w:rsidR="00C417C9">
        <w:t>’</w:t>
      </w:r>
      <w:r>
        <w:t>s files</w:t>
      </w:r>
      <w:r w:rsidR="0053316C">
        <w:t>, ORR expects that there may be multiple reviews required of applicant(s) files</w:t>
      </w:r>
      <w:r>
        <w:t>. The following deliverables are expected:</w:t>
      </w:r>
    </w:p>
    <w:p w14:paraId="7D6DDE1F" w14:textId="48773A67" w:rsidR="00B21626" w:rsidRDefault="00144445" w:rsidP="00144445">
      <w:pPr>
        <w:pStyle w:val="NormalBullet-"/>
      </w:pPr>
      <w:r>
        <w:t>After one working day, the consultant is expected to acknowledge receipt of the request</w:t>
      </w:r>
      <w:r w:rsidR="211B0865">
        <w:t xml:space="preserve">, </w:t>
      </w:r>
      <w:r w:rsidR="4B56049D">
        <w:t>i</w:t>
      </w:r>
      <w:r>
        <w:t>dentify the lead of the review</w:t>
      </w:r>
      <w:r w:rsidR="10EFBC62">
        <w:t>, the estimated resources that will be required</w:t>
      </w:r>
      <w:r>
        <w:t xml:space="preserve"> and expected completion date of the review. </w:t>
      </w:r>
    </w:p>
    <w:p w14:paraId="3690211A" w14:textId="679FEDC2" w:rsidR="001463D0" w:rsidRDefault="001463D0" w:rsidP="00144445">
      <w:pPr>
        <w:pStyle w:val="NormalBullet-"/>
      </w:pPr>
      <w:r>
        <w:t>Identify any additional information that may be required or any missing information.</w:t>
      </w:r>
    </w:p>
    <w:p w14:paraId="6D6BDEDA" w14:textId="7908EC9D" w:rsidR="001463D0" w:rsidRDefault="001463D0" w:rsidP="00144445">
      <w:pPr>
        <w:pStyle w:val="NormalBullet-"/>
      </w:pPr>
      <w:r>
        <w:t>Once the review is complete, produce a synopsis of findings and produce a set of advice and/or recommendations for the ORR to consider.</w:t>
      </w:r>
    </w:p>
    <w:p w14:paraId="3956A6AC" w14:textId="555397E0" w:rsidR="007F2D29" w:rsidRDefault="006129E4" w:rsidP="00CF2296">
      <w:pPr>
        <w:pStyle w:val="NormalBulletround"/>
      </w:pPr>
      <w:r>
        <w:lastRenderedPageBreak/>
        <w:t xml:space="preserve">ORR reserves the right to amend and review these outputs and deliverables depending on the nature of authorisation applications. </w:t>
      </w:r>
    </w:p>
    <w:p w14:paraId="30DFB785" w14:textId="17EC410D" w:rsidR="00DB02EF" w:rsidRDefault="00D063E0" w:rsidP="00D063E0">
      <w:pPr>
        <w:pStyle w:val="Heading3"/>
      </w:pPr>
      <w:r>
        <w:t xml:space="preserve">2.4 </w:t>
      </w:r>
      <w:r w:rsidR="00DB02EF">
        <w:t>Contract Management Requirements</w:t>
      </w:r>
    </w:p>
    <w:p w14:paraId="7DD3287D" w14:textId="14A468B7" w:rsidR="00D063E0" w:rsidRDefault="00D063E0" w:rsidP="00D063E0">
      <w:r w:rsidRPr="00D063E0">
        <w:t xml:space="preserve">An initial kick-off meeting will be held between ORR and the successful bidder within following the award of the contract. Following this, ORR will determine appropriate liaison arrangements for each specific work package. </w:t>
      </w:r>
    </w:p>
    <w:p w14:paraId="76E3EE61" w14:textId="420F91D1" w:rsidR="00AF7AF9" w:rsidRDefault="00AF7AF9" w:rsidP="00D063E0">
      <w:pPr>
        <w:pStyle w:val="Heading3"/>
      </w:pPr>
      <w:bookmarkStart w:id="13" w:name="_Toc155860979"/>
      <w:r w:rsidRPr="00AF7AF9">
        <w:t>2.5 Budget and Payment Schedule</w:t>
      </w:r>
      <w:bookmarkEnd w:id="13"/>
    </w:p>
    <w:p w14:paraId="22C8B10A" w14:textId="7BD3FA7D" w:rsidR="00D401C8" w:rsidRPr="00C8046B" w:rsidRDefault="00D401C8" w:rsidP="00C8046B">
      <w:r>
        <w:t>The maximum budget for this piece of work is £</w:t>
      </w:r>
      <w:r w:rsidR="00636341">
        <w:t>75</w:t>
      </w:r>
      <w:r w:rsidR="00D5170A">
        <w:t>,000</w:t>
      </w:r>
      <w:r w:rsidR="00962062">
        <w:t>.00</w:t>
      </w:r>
      <w:r>
        <w:t xml:space="preserve"> (inc. of expenses, exc. of VAT).</w:t>
      </w:r>
    </w:p>
    <w:p w14:paraId="083C837C" w14:textId="77777777" w:rsidR="00D401C8" w:rsidRDefault="00D401C8" w:rsidP="00D401C8">
      <w:r>
        <w:t>Payment Schedule:</w:t>
      </w:r>
    </w:p>
    <w:p w14:paraId="0E8F6E6D" w14:textId="1E9AD583" w:rsidR="006E1536" w:rsidRDefault="006E1536" w:rsidP="00D401C8">
      <w:r>
        <w:t>Payment shall be made upon completion of each applicant review, unless agreed otherwise as part of the call o</w:t>
      </w:r>
      <w:r w:rsidR="24453067">
        <w:t>f</w:t>
      </w:r>
      <w:r>
        <w:t xml:space="preserve">f process. Alternative payment arrangements can only be agreed where there is a </w:t>
      </w:r>
      <w:r w:rsidR="005145ED">
        <w:t>tangible deliverable linked to a payment.</w:t>
      </w:r>
    </w:p>
    <w:p w14:paraId="3BB5AE4A" w14:textId="4C2DE6EF" w:rsidR="00AF7AF9" w:rsidRDefault="00AF7AF9" w:rsidP="00AF7AF9">
      <w:pPr>
        <w:pStyle w:val="Heading3"/>
      </w:pPr>
      <w:bookmarkStart w:id="14" w:name="_Toc155860980"/>
      <w:r w:rsidRPr="00AF7AF9">
        <w:t>2.6 Further project related information for bidders</w:t>
      </w:r>
      <w:bookmarkEnd w:id="14"/>
    </w:p>
    <w:p w14:paraId="46507CBD" w14:textId="77777777" w:rsidR="00AE3AEB" w:rsidRDefault="00C26E3E" w:rsidP="00AE3AEB">
      <w:pPr>
        <w:pStyle w:val="Heading4"/>
      </w:pPr>
      <w:r>
        <w:t>Intellectual Property Rights</w:t>
      </w:r>
    </w:p>
    <w:p w14:paraId="4595723C" w14:textId="1470CC0B"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5" w:name="_Toc155860981"/>
      <w:r>
        <w:lastRenderedPageBreak/>
        <w:t>Tender Response and Evaluation Criteria</w:t>
      </w:r>
      <w:bookmarkEnd w:id="15"/>
    </w:p>
    <w:p w14:paraId="6C9F4B20" w14:textId="5CFF035D" w:rsidR="001768F1" w:rsidRDefault="001768F1" w:rsidP="001768F1">
      <w:pPr>
        <w:pStyle w:val="Heading3"/>
      </w:pPr>
      <w:bookmarkStart w:id="16" w:name="_Toc155860982"/>
      <w:r>
        <w:t>3.1 The Tender Response</w:t>
      </w:r>
      <w:bookmarkEnd w:id="16"/>
    </w:p>
    <w:p w14:paraId="33A2C61B" w14:textId="4765DFF7" w:rsidR="001768F1" w:rsidRDefault="001768F1" w:rsidP="001768F1">
      <w:r>
        <w:t>The proposals for this project should include an outline of how bidders will meet the requirement outlined in section (ii) “Statement of Requirement”. The following information should be included</w:t>
      </w:r>
      <w:r w:rsidR="00C8046B">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 xml:space="preserve">Approach to customer's </w:t>
      </w:r>
      <w:proofErr w:type="gramStart"/>
      <w:r w:rsidRPr="001E7C87">
        <w:rPr>
          <w:b/>
          <w:bCs/>
        </w:rPr>
        <w:t>requirements</w:t>
      </w:r>
      <w:proofErr w:type="gramEnd"/>
    </w:p>
    <w:p w14:paraId="631D4126" w14:textId="01366384"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w:t>
      </w:r>
      <w:proofErr w:type="gramStart"/>
      <w:r>
        <w:t>project</w:t>
      </w:r>
      <w:proofErr w:type="gramEnd"/>
      <w:r>
        <w:t xml:space="preserve"> </w:t>
      </w:r>
    </w:p>
    <w:p w14:paraId="5DBC036E" w14:textId="273F10AA" w:rsidR="001768F1" w:rsidRDefault="001768F1" w:rsidP="001E7C87">
      <w:pPr>
        <w:pStyle w:val="NormalBullet-"/>
      </w:pPr>
      <w:r>
        <w:t xml:space="preserve">A </w:t>
      </w:r>
      <w:r w:rsidR="00C66709">
        <w:t>resource</w:t>
      </w:r>
      <w:r>
        <w:t xml:space="preserve"> plan to show how outputs and deliverables will be produced within the required </w:t>
      </w:r>
      <w:proofErr w:type="gramStart"/>
      <w:r>
        <w:t>timescales;</w:t>
      </w:r>
      <w:proofErr w:type="gramEnd"/>
    </w:p>
    <w:p w14:paraId="10DC7C63" w14:textId="6ED9544E" w:rsidR="001768F1" w:rsidRDefault="001768F1" w:rsidP="001E7C87">
      <w:pPr>
        <w:pStyle w:val="NormalBullet-"/>
      </w:pPr>
      <w:r>
        <w:t xml:space="preserve">An understanding of the risks, and explain how they would be mitigated to ensure </w:t>
      </w:r>
      <w:proofErr w:type="gramStart"/>
      <w:r>
        <w:t>delivery</w:t>
      </w:r>
      <w:proofErr w:type="gramEnd"/>
    </w:p>
    <w:p w14:paraId="759CAB3E" w14:textId="1E9474E7" w:rsidR="001768F1" w:rsidRDefault="001768F1" w:rsidP="001E7C87">
      <w:pPr>
        <w:pStyle w:val="NormalBullet-"/>
      </w:pPr>
      <w:r>
        <w:t>Compliance with any security requirements outlined in the SOR, including details of accreditation for systems (e.g. ISO27000, Cyber Essentials) etc.</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13C7D93E" w:rsidR="001768F1" w:rsidRDefault="001768F1" w:rsidP="001E7C87">
      <w:pPr>
        <w:pStyle w:val="NormalBullet-"/>
      </w:pPr>
      <w:r>
        <w:lastRenderedPageBreak/>
        <w:t>Some relevant examples of previous work that bidders have carried out (eg. case studies)</w:t>
      </w:r>
      <w:r w:rsidRPr="03AEA9DB">
        <w:rPr>
          <w:color w:val="B1173B" w:themeColor="accent1"/>
        </w:rPr>
        <w:t xml:space="preserve"> </w:t>
      </w:r>
      <w:r w:rsidRPr="00BC3CDA">
        <w:t>AND</w:t>
      </w:r>
      <w:r w:rsidRPr="03AEA9DB">
        <w:rPr>
          <w:color w:val="B1173B" w:themeColor="accent1"/>
        </w:rPr>
        <w:t xml:space="preserve"> </w:t>
      </w:r>
      <w:r>
        <w:t>Details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6A9C6B92" w:rsidR="001768F1" w:rsidRDefault="001768F1" w:rsidP="001768F1">
      <w:r>
        <w:t>This should include</w:t>
      </w:r>
      <w:r w:rsidR="007062A6">
        <w:t xml:space="preserve"> </w:t>
      </w:r>
      <w:r>
        <w:t xml:space="preserve">a breakdown of the personnel who will be involved with the project, along with associated </w:t>
      </w:r>
      <w:r w:rsidR="00962062">
        <w:t xml:space="preserve">daily </w:t>
      </w:r>
      <w:r>
        <w:t>charge rates.</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7" w:name="_Toc155860983"/>
      <w:r>
        <w:t>3.2 Evaluation Criteria</w:t>
      </w:r>
      <w:bookmarkEnd w:id="17"/>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 xml:space="preserve">Tender submitted in accordance with the conditions and instructions for </w:t>
      </w:r>
      <w:proofErr w:type="gramStart"/>
      <w:r>
        <w:t>tendering</w:t>
      </w:r>
      <w:proofErr w:type="gramEnd"/>
    </w:p>
    <w:p w14:paraId="41557F9E" w14:textId="76516727" w:rsidR="005C29ED" w:rsidRDefault="005C29ED" w:rsidP="005C29ED">
      <w:pPr>
        <w:pStyle w:val="NormalBulletround"/>
      </w:pPr>
      <w:r>
        <w:t xml:space="preserve">Tender submitted by the closing date and </w:t>
      </w:r>
      <w:proofErr w:type="gramStart"/>
      <w:r>
        <w:t>time</w:t>
      </w:r>
      <w:proofErr w:type="gramEnd"/>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5FF069B7" w:rsidR="005C29ED" w:rsidRDefault="005C29ED" w:rsidP="00D61976">
      <w:pPr>
        <w:pStyle w:val="Heading4"/>
      </w:pPr>
      <w:r>
        <w:t xml:space="preserve">Methodology </w:t>
      </w:r>
      <w:r w:rsidRPr="00374BAE">
        <w:rPr>
          <w:color w:val="B1173B"/>
        </w:rPr>
        <w:t>(</w:t>
      </w:r>
      <w:r w:rsidR="0058556D">
        <w:rPr>
          <w:color w:val="B1173B"/>
        </w:rPr>
        <w:t>2</w:t>
      </w:r>
      <w:r w:rsidR="00C66709">
        <w:rPr>
          <w:color w:val="B1173B"/>
        </w:rPr>
        <w:t>0</w:t>
      </w:r>
      <w:r w:rsidRPr="00374BAE">
        <w:rPr>
          <w:color w:val="B1173B"/>
        </w:rPr>
        <w:t>%)</w:t>
      </w:r>
    </w:p>
    <w:p w14:paraId="00314D37" w14:textId="77777777"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lastRenderedPageBreak/>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t xml:space="preserve">Explain how your organisation will work in partnership with ORR’s project manager to ensure that the requirement is </w:t>
      </w:r>
      <w:proofErr w:type="gramStart"/>
      <w:r>
        <w:t>met</w:t>
      </w:r>
      <w:proofErr w:type="gramEnd"/>
    </w:p>
    <w:p w14:paraId="5A025B94" w14:textId="4A20F6C2" w:rsidR="005C29ED" w:rsidRDefault="005C29ED" w:rsidP="00D61976">
      <w:pPr>
        <w:pStyle w:val="NormalBulletalpha"/>
        <w:numPr>
          <w:ilvl w:val="1"/>
          <w:numId w:val="29"/>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w:t>
      </w:r>
      <w:proofErr w:type="gramStart"/>
      <w:r>
        <w:t>base</w:t>
      </w:r>
      <w:proofErr w:type="gramEnd"/>
    </w:p>
    <w:p w14:paraId="09DB644F" w14:textId="40472F56" w:rsidR="005C29ED" w:rsidRDefault="005C29ED" w:rsidP="00350594">
      <w:pPr>
        <w:pStyle w:val="Heading4"/>
      </w:pPr>
      <w:r>
        <w:t xml:space="preserve">Delivery </w:t>
      </w:r>
      <w:r w:rsidRPr="00374BAE">
        <w:rPr>
          <w:color w:val="B1173B"/>
        </w:rPr>
        <w:t>(</w:t>
      </w:r>
      <w:r w:rsidR="00C66709">
        <w:rPr>
          <w:color w:val="B1173B"/>
        </w:rPr>
        <w:t>30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34A58298" w:rsidR="005C29ED" w:rsidRPr="00374BAE" w:rsidRDefault="005C29ED" w:rsidP="00350594">
      <w:pPr>
        <w:pStyle w:val="Heading4"/>
        <w:rPr>
          <w:color w:val="B1173B"/>
        </w:rPr>
      </w:pPr>
      <w:r>
        <w:t xml:space="preserve">Experience </w:t>
      </w:r>
      <w:r w:rsidRPr="00374BAE">
        <w:rPr>
          <w:color w:val="B1173B"/>
        </w:rPr>
        <w:t>(</w:t>
      </w:r>
      <w:r w:rsidR="00C66709">
        <w:rPr>
          <w:color w:val="B1173B"/>
        </w:rPr>
        <w:t>30</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pPr>
      <w:r>
        <w:t>Highlight the organisation’s relevant experience for this project, submitting examples of similar projects.</w:t>
      </w:r>
    </w:p>
    <w:p w14:paraId="370476F8" w14:textId="25148971" w:rsidR="005C29ED" w:rsidRDefault="005C29ED" w:rsidP="00350594">
      <w:pPr>
        <w:pStyle w:val="Heading4"/>
      </w:pPr>
      <w:r>
        <w:t xml:space="preserve">Cost / Value for money </w:t>
      </w:r>
      <w:r w:rsidRPr="00374BAE">
        <w:rPr>
          <w:color w:val="B1173B"/>
        </w:rPr>
        <w:t>(</w:t>
      </w:r>
      <w:r w:rsidR="0058556D">
        <w:rPr>
          <w:color w:val="B1173B"/>
        </w:rPr>
        <w:t>2</w:t>
      </w:r>
      <w:r w:rsidR="00C66709">
        <w:rPr>
          <w:color w:val="B1173B"/>
        </w:rPr>
        <w:t>0</w:t>
      </w:r>
      <w:r w:rsidRPr="00374BAE">
        <w:rPr>
          <w:color w:val="B1173B"/>
        </w:rPr>
        <w:t>%)</w:t>
      </w:r>
    </w:p>
    <w:p w14:paraId="5B8A1023" w14:textId="279C67CF" w:rsidR="00B935B7" w:rsidRPr="001957B8" w:rsidRDefault="00B935B7" w:rsidP="00B935B7">
      <w:pPr>
        <w:pStyle w:val="Default"/>
      </w:pPr>
      <w:r w:rsidRPr="001957B8">
        <w:t>Bidders are required to submit a maximum day rate for each of the grades</w:t>
      </w:r>
      <w:r w:rsidR="0085576F" w:rsidRPr="001957B8">
        <w:t xml:space="preserve"> in the table below</w:t>
      </w:r>
      <w:r w:rsidR="00552D8F" w:rsidRPr="001957B8">
        <w:t xml:space="preserve"> that will apply for the lifetime of this project</w:t>
      </w:r>
      <w:r w:rsidR="001957B8" w:rsidRPr="001957B8">
        <w:t>.</w:t>
      </w:r>
    </w:p>
    <w:p w14:paraId="020CAE7C" w14:textId="77777777" w:rsidR="006B416E" w:rsidRPr="001957B8" w:rsidRDefault="006B416E" w:rsidP="00B935B7">
      <w:pPr>
        <w:pStyle w:val="Default"/>
      </w:pPr>
    </w:p>
    <w:p w14:paraId="5DD75D1E" w14:textId="7DFF2DA6" w:rsidR="00B935B7" w:rsidRPr="001957B8" w:rsidRDefault="00B935B7">
      <w:pPr>
        <w:pStyle w:val="Default"/>
      </w:pPr>
      <w:r w:rsidRPr="001957B8">
        <w:t xml:space="preserve">Prices must be: </w:t>
      </w:r>
    </w:p>
    <w:p w14:paraId="3A78E381" w14:textId="77777777" w:rsidR="00552D8F" w:rsidRPr="001957B8" w:rsidRDefault="00552D8F" w:rsidP="00552D8F">
      <w:pPr>
        <w:pStyle w:val="Default"/>
      </w:pPr>
    </w:p>
    <w:p w14:paraId="2A1C36DE" w14:textId="323AB0B6" w:rsidR="00B935B7" w:rsidRPr="001957B8" w:rsidRDefault="00B935B7" w:rsidP="001957B8">
      <w:pPr>
        <w:pStyle w:val="SingleNum"/>
        <w:numPr>
          <w:ilvl w:val="0"/>
          <w:numId w:val="48"/>
        </w:numPr>
        <w:rPr>
          <w:szCs w:val="24"/>
        </w:rPr>
      </w:pPr>
      <w:r w:rsidRPr="001957B8">
        <w:rPr>
          <w:szCs w:val="24"/>
        </w:rPr>
        <w:t xml:space="preserve">Exclusive of value added </w:t>
      </w:r>
      <w:proofErr w:type="gramStart"/>
      <w:r w:rsidRPr="001957B8">
        <w:rPr>
          <w:szCs w:val="24"/>
        </w:rPr>
        <w:t>tax;</w:t>
      </w:r>
      <w:proofErr w:type="gramEnd"/>
      <w:r w:rsidRPr="001957B8">
        <w:rPr>
          <w:szCs w:val="24"/>
        </w:rPr>
        <w:t xml:space="preserve"> </w:t>
      </w:r>
    </w:p>
    <w:p w14:paraId="1771BCDD" w14:textId="71AD0208" w:rsidR="00B935B7" w:rsidRPr="001957B8" w:rsidRDefault="00B935B7" w:rsidP="001957B8">
      <w:pPr>
        <w:pStyle w:val="SingleNum"/>
        <w:numPr>
          <w:ilvl w:val="0"/>
          <w:numId w:val="48"/>
        </w:numPr>
        <w:rPr>
          <w:szCs w:val="24"/>
        </w:rPr>
      </w:pPr>
      <w:r w:rsidRPr="001957B8">
        <w:rPr>
          <w:szCs w:val="24"/>
        </w:rPr>
        <w:t xml:space="preserve">Entered using British pounds </w:t>
      </w:r>
      <w:proofErr w:type="gramStart"/>
      <w:r w:rsidRPr="001957B8">
        <w:rPr>
          <w:szCs w:val="24"/>
        </w:rPr>
        <w:t>sterling;</w:t>
      </w:r>
      <w:proofErr w:type="gramEnd"/>
      <w:r w:rsidRPr="001957B8">
        <w:rPr>
          <w:szCs w:val="24"/>
        </w:rPr>
        <w:t xml:space="preserve"> </w:t>
      </w:r>
    </w:p>
    <w:p w14:paraId="671CFC34" w14:textId="1533DF06" w:rsidR="00B935B7" w:rsidRPr="001957B8" w:rsidRDefault="00B935B7" w:rsidP="001957B8">
      <w:pPr>
        <w:pStyle w:val="SingleNum"/>
        <w:numPr>
          <w:ilvl w:val="0"/>
          <w:numId w:val="48"/>
        </w:numPr>
        <w:rPr>
          <w:szCs w:val="24"/>
        </w:rPr>
      </w:pPr>
      <w:r w:rsidRPr="001957B8">
        <w:rPr>
          <w:szCs w:val="24"/>
        </w:rPr>
        <w:lastRenderedPageBreak/>
        <w:t xml:space="preserve">Based on an eight hour Working </w:t>
      </w:r>
      <w:proofErr w:type="gramStart"/>
      <w:r w:rsidRPr="001957B8">
        <w:rPr>
          <w:szCs w:val="24"/>
        </w:rPr>
        <w:t>Day;</w:t>
      </w:r>
      <w:proofErr w:type="gramEnd"/>
      <w:r w:rsidRPr="001957B8">
        <w:rPr>
          <w:szCs w:val="24"/>
        </w:rPr>
        <w:t xml:space="preserve"> </w:t>
      </w:r>
    </w:p>
    <w:p w14:paraId="21D76A42" w14:textId="77777777" w:rsidR="00B935B7" w:rsidRPr="00CF2296" w:rsidRDefault="00B935B7" w:rsidP="00CF2296">
      <w:pPr>
        <w:pStyle w:val="Default"/>
        <w:rPr>
          <w:sz w:val="23"/>
          <w:szCs w:val="23"/>
        </w:rPr>
      </w:pP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CF2296">
        <w:trPr>
          <w:trHeight w:val="223"/>
          <w:tblHeader/>
        </w:trPr>
        <w:tc>
          <w:tcPr>
            <w:tcW w:w="1634"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8004"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7B963A7F" w14:textId="77777777" w:rsidTr="00CF2296">
        <w:trPr>
          <w:trHeight w:hRule="exact" w:val="990"/>
        </w:trPr>
        <w:tc>
          <w:tcPr>
            <w:tcW w:w="1634"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8004"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CF2296">
        <w:trPr>
          <w:trHeight w:hRule="exact" w:val="1262"/>
        </w:trPr>
        <w:tc>
          <w:tcPr>
            <w:tcW w:w="1634"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8004"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CF2296">
        <w:trPr>
          <w:trHeight w:hRule="exact" w:val="1416"/>
        </w:trPr>
        <w:tc>
          <w:tcPr>
            <w:tcW w:w="1634"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8004"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CF2296">
        <w:trPr>
          <w:trHeight w:hRule="exact" w:val="1411"/>
        </w:trPr>
        <w:tc>
          <w:tcPr>
            <w:tcW w:w="1634"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8004"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CF2296">
        <w:trPr>
          <w:trHeight w:hRule="exact" w:val="1419"/>
        </w:trPr>
        <w:tc>
          <w:tcPr>
            <w:tcW w:w="1634"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8004"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w:t>
            </w:r>
            <w:proofErr w:type="gramStart"/>
            <w:r w:rsidRPr="00757472">
              <w:rPr>
                <w:rFonts w:eastAsia="Calibri" w:cs="Arial"/>
                <w:sz w:val="22"/>
                <w:shd w:val="clear" w:color="auto" w:fill="FFFFFF"/>
                <w:lang w:val="en-US"/>
              </w:rPr>
              <w:t>totally inadequate</w:t>
            </w:r>
            <w:proofErr w:type="gramEnd"/>
            <w:r w:rsidRPr="00757472">
              <w:rPr>
                <w:rFonts w:eastAsia="Calibri" w:cs="Arial"/>
                <w:sz w:val="22"/>
                <w:shd w:val="clear" w:color="auto" w:fill="FFFFFF"/>
                <w:lang w:val="en-US"/>
              </w:rPr>
              <w:t xml:space="preserv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Minimal or poor response to meeting the requirement, with little or no relevance. Limited understanding misses </w:t>
            </w:r>
            <w:proofErr w:type="gramStart"/>
            <w:r w:rsidRPr="00437772">
              <w:rPr>
                <w:rFonts w:eastAsia="Calibri" w:cs="Arial"/>
                <w:sz w:val="22"/>
                <w:lang w:val="en-US" w:eastAsia="en-GB"/>
              </w:rPr>
              <w:t>some</w:t>
            </w:r>
            <w:proofErr w:type="gramEnd"/>
            <w:r w:rsidRPr="00437772">
              <w:rPr>
                <w:rFonts w:eastAsia="Calibri" w:cs="Arial"/>
                <w:sz w:val="22"/>
                <w:lang w:val="en-US" w:eastAsia="en-GB"/>
              </w:rPr>
              <w:t xml:space="preserv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few elements of the requirement and contains insufficient/limited detail or explanation to demonstrate how the requirement will </w:t>
            </w:r>
            <w:proofErr w:type="gramStart"/>
            <w:r w:rsidRPr="00757472">
              <w:rPr>
                <w:rFonts w:eastAsia="Calibri" w:cs="Arial"/>
                <w:sz w:val="22"/>
                <w:lang w:val="en-US" w:eastAsia="en-GB"/>
              </w:rPr>
              <w:t>be fulfilled</w:t>
            </w:r>
            <w:proofErr w:type="gramEnd"/>
            <w:r w:rsidRPr="00757472">
              <w:rPr>
                <w:rFonts w:eastAsia="Calibri" w:cs="Arial"/>
                <w:sz w:val="22"/>
                <w:lang w:val="en-US" w:eastAsia="en-GB"/>
              </w:rPr>
              <w:t>.</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w:t>
            </w:r>
            <w:proofErr w:type="gramStart"/>
            <w:r w:rsidRPr="00757472">
              <w:rPr>
                <w:rFonts w:eastAsia="Calibri" w:cs="Arial"/>
                <w:sz w:val="22"/>
                <w:lang w:val="en-US" w:eastAsia="en-GB"/>
              </w:rPr>
              <w:t xml:space="preserve">.  </w:t>
            </w:r>
            <w:proofErr w:type="gramEnd"/>
            <w:r w:rsidRPr="00757472">
              <w:rPr>
                <w:rFonts w:eastAsia="Calibri" w:cs="Arial"/>
                <w:sz w:val="22"/>
                <w:lang w:val="en-US" w:eastAsia="en-GB"/>
              </w:rPr>
              <w:t xml:space="preserve">The response addresses most elements of the requirement but contains limited detail or explanation to demonstrate how </w:t>
            </w:r>
            <w:proofErr w:type="gramStart"/>
            <w:r w:rsidRPr="00757472">
              <w:rPr>
                <w:rFonts w:eastAsia="Calibri" w:cs="Arial"/>
                <w:sz w:val="22"/>
                <w:lang w:val="en-US" w:eastAsia="en-GB"/>
              </w:rPr>
              <w:t>some of</w:t>
            </w:r>
            <w:proofErr w:type="gramEnd"/>
            <w:r w:rsidRPr="00757472">
              <w:rPr>
                <w:rFonts w:eastAsia="Calibri" w:cs="Arial"/>
                <w:sz w:val="22"/>
                <w:lang w:val="en-US" w:eastAsia="en-GB"/>
              </w:rPr>
              <w:t xml:space="preserve">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requirement but lacks details on how the requirement will </w:t>
            </w:r>
            <w:proofErr w:type="gramStart"/>
            <w:r w:rsidRPr="00757472">
              <w:rPr>
                <w:rFonts w:eastAsia="Calibri" w:cs="Arial"/>
                <w:sz w:val="22"/>
                <w:lang w:val="en-US" w:eastAsia="en-GB"/>
              </w:rPr>
              <w:t>be fulfilled</w:t>
            </w:r>
            <w:proofErr w:type="gramEnd"/>
            <w:r w:rsidRPr="00757472">
              <w:rPr>
                <w:rFonts w:eastAsia="Calibri" w:cs="Arial"/>
                <w:sz w:val="22"/>
                <w:lang w:val="en-US" w:eastAsia="en-GB"/>
              </w:rPr>
              <w:t xml:space="preserve">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good. The response is sufficiently comprehensive to assure and demonstrate a good understanding, also providing </w:t>
            </w:r>
            <w:proofErr w:type="gramStart"/>
            <w:r w:rsidRPr="00757472">
              <w:rPr>
                <w:rFonts w:eastAsia="Calibri" w:cs="Arial"/>
                <w:sz w:val="22"/>
                <w:lang w:val="en-US" w:eastAsia="en-GB"/>
              </w:rPr>
              <w:t>much</w:t>
            </w:r>
            <w:proofErr w:type="gramEnd"/>
            <w:r w:rsidRPr="00757472">
              <w:rPr>
                <w:rFonts w:eastAsia="Calibri" w:cs="Arial"/>
                <w:sz w:val="22"/>
                <w:lang w:val="en-US" w:eastAsia="en-GB"/>
              </w:rPr>
              <w:t xml:space="preserve">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Excellent response fully addressing the requirement and providing significant additional evidence of how the criterion has been met and how value would be </w:t>
            </w:r>
            <w:proofErr w:type="gramStart"/>
            <w:r w:rsidRPr="00437772">
              <w:rPr>
                <w:rFonts w:eastAsia="Calibri" w:cs="Arial"/>
                <w:sz w:val="22"/>
                <w:lang w:val="en-US" w:eastAsia="en-GB"/>
              </w:rPr>
              <w:t>added</w:t>
            </w:r>
            <w:proofErr w:type="gramEnd"/>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is comprehensive, unambiguous and demonstrates a thorough understanding of the requirement and provides details of how the requirement will </w:t>
            </w:r>
            <w:proofErr w:type="gramStart"/>
            <w:r w:rsidRPr="00757472">
              <w:rPr>
                <w:rFonts w:eastAsia="Calibri" w:cs="Arial"/>
                <w:sz w:val="22"/>
                <w:lang w:val="en-US" w:eastAsia="en-GB"/>
              </w:rPr>
              <w:t>be met</w:t>
            </w:r>
            <w:proofErr w:type="gramEnd"/>
            <w:r w:rsidRPr="00757472">
              <w:rPr>
                <w:rFonts w:eastAsia="Calibri" w:cs="Arial"/>
                <w:sz w:val="22"/>
                <w:lang w:val="en-US" w:eastAsia="en-GB"/>
              </w:rPr>
              <w:t xml:space="preserve"> in full.</w:t>
            </w:r>
          </w:p>
        </w:tc>
      </w:tr>
    </w:tbl>
    <w:p w14:paraId="0246D3AF" w14:textId="77777777" w:rsidR="00757472" w:rsidRDefault="00757472" w:rsidP="00CA25B2"/>
    <w:p w14:paraId="49BDBDE0" w14:textId="77777777" w:rsidR="0028315E" w:rsidRDefault="0028315E" w:rsidP="0028315E">
      <w:r>
        <w:t xml:space="preserve">For the </w:t>
      </w:r>
      <w:r w:rsidRPr="00AE3AEB">
        <w:rPr>
          <w:b/>
          <w:bCs/>
        </w:rPr>
        <w:t>Price evaluation</w:t>
      </w:r>
      <w:r>
        <w:t xml:space="preserve"> the following shall apply:</w:t>
      </w:r>
    </w:p>
    <w:p w14:paraId="50920107" w14:textId="57E95AA5" w:rsidR="0085576F" w:rsidRDefault="0028315E" w:rsidP="00EF74DB">
      <w:pPr>
        <w:pStyle w:val="ListParagraph"/>
        <w:numPr>
          <w:ilvl w:val="0"/>
          <w:numId w:val="46"/>
        </w:numPr>
        <w:rPr>
          <w:szCs w:val="24"/>
        </w:rPr>
      </w:pPr>
      <w:r w:rsidRPr="00EF74DB">
        <w:rPr>
          <w:szCs w:val="24"/>
        </w:rPr>
        <w:t xml:space="preserve">The median of the </w:t>
      </w:r>
      <w:r w:rsidR="001957B8" w:rsidRPr="00EF74DB">
        <w:rPr>
          <w:szCs w:val="24"/>
        </w:rPr>
        <w:t>5</w:t>
      </w:r>
      <w:r w:rsidRPr="00EF74DB">
        <w:rPr>
          <w:szCs w:val="24"/>
        </w:rPr>
        <w:t xml:space="preserve"> grades submitted by Bidders will be calculated to produce the </w:t>
      </w:r>
      <w:r w:rsidR="00D17BB0" w:rsidRPr="00EF74DB">
        <w:rPr>
          <w:szCs w:val="24"/>
        </w:rPr>
        <w:t>M</w:t>
      </w:r>
      <w:r w:rsidRPr="00EF74DB">
        <w:rPr>
          <w:szCs w:val="24"/>
        </w:rPr>
        <w:t xml:space="preserve">edian </w:t>
      </w:r>
      <w:r w:rsidR="00D17BB0" w:rsidRPr="00EF74DB">
        <w:rPr>
          <w:szCs w:val="24"/>
        </w:rPr>
        <w:t>P</w:t>
      </w:r>
      <w:r w:rsidRPr="00EF74DB">
        <w:rPr>
          <w:szCs w:val="24"/>
        </w:rPr>
        <w:t>rice</w:t>
      </w:r>
      <w:r w:rsidR="0085576F" w:rsidRPr="00EF74DB">
        <w:rPr>
          <w:szCs w:val="24"/>
        </w:rPr>
        <w:t>.</w:t>
      </w:r>
    </w:p>
    <w:p w14:paraId="7EC2A1CF" w14:textId="77777777" w:rsidR="00EF74DB" w:rsidRPr="00EF74DB" w:rsidRDefault="00EF74DB" w:rsidP="00EF74DB">
      <w:pPr>
        <w:pStyle w:val="ListParagraph"/>
        <w:rPr>
          <w:szCs w:val="24"/>
        </w:rPr>
      </w:pPr>
    </w:p>
    <w:p w14:paraId="18063D9A" w14:textId="2F179024" w:rsidR="00962062" w:rsidRDefault="00962062" w:rsidP="00B935B7">
      <w:pPr>
        <w:pStyle w:val="ListParagraph"/>
        <w:numPr>
          <w:ilvl w:val="0"/>
          <w:numId w:val="46"/>
        </w:numPr>
        <w:rPr>
          <w:szCs w:val="24"/>
        </w:rPr>
      </w:pPr>
      <w:r w:rsidRPr="00EF74DB">
        <w:rPr>
          <w:szCs w:val="24"/>
        </w:rPr>
        <w:t xml:space="preserve">For the purposes of the </w:t>
      </w:r>
      <w:r w:rsidR="00CF2296">
        <w:rPr>
          <w:szCs w:val="24"/>
        </w:rPr>
        <w:t>P</w:t>
      </w:r>
      <w:r w:rsidRPr="00EF74DB">
        <w:rPr>
          <w:szCs w:val="24"/>
        </w:rPr>
        <w:t>rice evaluation, the median is the number halfway between the prices submitted for the Consultant</w:t>
      </w:r>
      <w:r w:rsidR="00B935B7" w:rsidRPr="00EF74DB">
        <w:rPr>
          <w:szCs w:val="24"/>
        </w:rPr>
        <w:t>/</w:t>
      </w:r>
      <w:r w:rsidRPr="00EF74DB">
        <w:rPr>
          <w:szCs w:val="24"/>
        </w:rPr>
        <w:t>Senior Consultant</w:t>
      </w:r>
      <w:r w:rsidR="00B935B7" w:rsidRPr="00EF74DB">
        <w:rPr>
          <w:szCs w:val="24"/>
        </w:rPr>
        <w:t>/</w:t>
      </w:r>
      <w:r w:rsidRPr="00EF74DB">
        <w:rPr>
          <w:szCs w:val="24"/>
        </w:rPr>
        <w:t xml:space="preserve"> Principal Consultant</w:t>
      </w:r>
      <w:r w:rsidR="00B935B7" w:rsidRPr="00EF74DB">
        <w:rPr>
          <w:szCs w:val="24"/>
        </w:rPr>
        <w:t>/</w:t>
      </w:r>
      <w:r w:rsidRPr="00EF74DB">
        <w:rPr>
          <w:szCs w:val="24"/>
        </w:rPr>
        <w:t>Managing Consultant</w:t>
      </w:r>
      <w:r w:rsidR="00B935B7" w:rsidRPr="00EF74DB">
        <w:rPr>
          <w:szCs w:val="24"/>
        </w:rPr>
        <w:t xml:space="preserve">/ </w:t>
      </w:r>
      <w:r w:rsidR="00CF2296" w:rsidRPr="00EF74DB">
        <w:rPr>
          <w:szCs w:val="24"/>
        </w:rPr>
        <w:t>Director, Partner</w:t>
      </w:r>
      <w:r w:rsidR="00B935B7" w:rsidRPr="00EF74DB">
        <w:rPr>
          <w:szCs w:val="24"/>
        </w:rPr>
        <w:t>.</w:t>
      </w:r>
    </w:p>
    <w:p w14:paraId="0608C767" w14:textId="77777777" w:rsidR="00EF74DB" w:rsidRPr="00EF74DB" w:rsidRDefault="00EF74DB" w:rsidP="00EF74DB">
      <w:pPr>
        <w:pStyle w:val="ListParagraph"/>
        <w:rPr>
          <w:szCs w:val="24"/>
        </w:rPr>
      </w:pPr>
    </w:p>
    <w:p w14:paraId="50E17621" w14:textId="3E220B0D" w:rsidR="00CA25B2" w:rsidRPr="00EF74DB" w:rsidRDefault="00CA25B2" w:rsidP="00EF74DB">
      <w:pPr>
        <w:pStyle w:val="ListParagraph"/>
        <w:numPr>
          <w:ilvl w:val="0"/>
          <w:numId w:val="46"/>
        </w:numPr>
        <w:rPr>
          <w:szCs w:val="24"/>
        </w:rPr>
      </w:pPr>
      <w:r w:rsidRPr="00EF74DB">
        <w:rPr>
          <w:szCs w:val="24"/>
        </w:rPr>
        <w:t xml:space="preserve">The lowest </w:t>
      </w:r>
      <w:r w:rsidR="00D17BB0" w:rsidRPr="00EF74DB">
        <w:rPr>
          <w:szCs w:val="24"/>
        </w:rPr>
        <w:t xml:space="preserve">Median Price </w:t>
      </w:r>
      <w:r w:rsidRPr="00EF74DB">
        <w:rPr>
          <w:szCs w:val="24"/>
        </w:rPr>
        <w:t>will be awarded the maximum price score of 100.</w:t>
      </w:r>
    </w:p>
    <w:p w14:paraId="735A87D8" w14:textId="74648C1D" w:rsidR="00EF74DB" w:rsidRDefault="00CA25B2" w:rsidP="00EF74DB">
      <w:pPr>
        <w:pStyle w:val="ListParagraph"/>
        <w:numPr>
          <w:ilvl w:val="0"/>
          <w:numId w:val="46"/>
        </w:numPr>
        <w:rPr>
          <w:szCs w:val="24"/>
        </w:rPr>
      </w:pPr>
      <w:r w:rsidRPr="00EF74DB">
        <w:rPr>
          <w:szCs w:val="24"/>
        </w:rPr>
        <w:lastRenderedPageBreak/>
        <w:t>All other bidders will get a price score relative to the lowest</w:t>
      </w:r>
      <w:r w:rsidR="00D17BB0" w:rsidRPr="00EF74DB">
        <w:rPr>
          <w:szCs w:val="24"/>
        </w:rPr>
        <w:t xml:space="preserve"> Median Price</w:t>
      </w:r>
      <w:r w:rsidRPr="00EF74DB">
        <w:rPr>
          <w:szCs w:val="24"/>
        </w:rPr>
        <w:t xml:space="preserve"> tendered.</w:t>
      </w:r>
    </w:p>
    <w:p w14:paraId="01272844" w14:textId="77777777" w:rsidR="00EF74DB" w:rsidRDefault="00EF74DB" w:rsidP="00EF74DB">
      <w:pPr>
        <w:pStyle w:val="ListParagraph"/>
        <w:rPr>
          <w:szCs w:val="24"/>
        </w:rPr>
      </w:pPr>
    </w:p>
    <w:p w14:paraId="72C05532" w14:textId="194E7E93" w:rsidR="00716CEC" w:rsidRPr="00EF74DB" w:rsidRDefault="00CA25B2" w:rsidP="00EF74DB">
      <w:pPr>
        <w:pStyle w:val="ListParagraph"/>
        <w:numPr>
          <w:ilvl w:val="0"/>
          <w:numId w:val="46"/>
        </w:numPr>
        <w:rPr>
          <w:szCs w:val="24"/>
        </w:rPr>
      </w:pPr>
      <w:r>
        <w:t>The calculation we will use to calculate your score is as follows:</w:t>
      </w:r>
    </w:p>
    <w:p w14:paraId="520842E7" w14:textId="5C0E90C5" w:rsidR="00CA25B2" w:rsidRDefault="00CA25B2" w:rsidP="0048774B">
      <w:pPr>
        <w:ind w:left="1134"/>
      </w:pPr>
      <w:r>
        <w:t xml:space="preserve">Price Score = </w:t>
      </w:r>
      <w:r w:rsidRPr="00CA25B2">
        <w:rPr>
          <w:u w:val="single"/>
        </w:rPr>
        <w:t xml:space="preserve">Lowest </w:t>
      </w:r>
      <w:r w:rsidR="00D17BB0">
        <w:rPr>
          <w:u w:val="single"/>
        </w:rPr>
        <w:t>Median Price</w:t>
      </w:r>
      <w:r w:rsidR="00D17BB0" w:rsidRPr="00CA25B2">
        <w:rPr>
          <w:u w:val="single"/>
        </w:rPr>
        <w:t xml:space="preserve"> </w:t>
      </w:r>
      <w:r w:rsidR="00CF2296" w:rsidRPr="00CF2296">
        <w:t xml:space="preserve">  </w:t>
      </w:r>
      <w:r>
        <w:t>x 100</w:t>
      </w:r>
    </w:p>
    <w:p w14:paraId="21FB78F4" w14:textId="1DC652D7" w:rsidR="00CA25B2" w:rsidRDefault="00CA25B2" w:rsidP="0048774B">
      <w:pPr>
        <w:ind w:left="2574"/>
      </w:pPr>
      <w:r>
        <w:t xml:space="preserve"> Bidder’s </w:t>
      </w:r>
      <w:r w:rsidR="00D17BB0">
        <w:t xml:space="preserve">Median Price </w:t>
      </w:r>
    </w:p>
    <w:p w14:paraId="3CE66E14" w14:textId="7702F74D" w:rsidR="0085576F" w:rsidRDefault="00CA25B2" w:rsidP="00E91617">
      <w:pPr>
        <w:pStyle w:val="ListParagraph"/>
        <w:numPr>
          <w:ilvl w:val="0"/>
          <w:numId w:val="56"/>
        </w:numPr>
      </w:pPr>
      <w:r>
        <w:t>Your score will then be multiplied by the weighting we have applied to this aspect of the price evaluation to provide a weighted score</w:t>
      </w:r>
      <w:r w:rsidR="00D17BB0">
        <w:t>.</w:t>
      </w:r>
    </w:p>
    <w:p w14:paraId="13900F93" w14:textId="0C742FE6" w:rsidR="00C15B7B" w:rsidRDefault="002D3643" w:rsidP="002D3643">
      <w:pPr>
        <w:pStyle w:val="Heading2"/>
      </w:pPr>
      <w:bookmarkStart w:id="18" w:name="_Toc155860984"/>
      <w:r w:rsidRPr="002D3643">
        <w:lastRenderedPageBreak/>
        <w:t xml:space="preserve">Procurement </w:t>
      </w:r>
      <w:r>
        <w:t>P</w:t>
      </w:r>
      <w:r w:rsidRPr="002D3643">
        <w:t>rocedures</w:t>
      </w:r>
      <w:bookmarkEnd w:id="18"/>
      <w:r w:rsidRPr="002D3643">
        <w:t xml:space="preserve"> </w:t>
      </w:r>
    </w:p>
    <w:p w14:paraId="038D890E" w14:textId="77777777" w:rsidR="00400432" w:rsidRDefault="00400432" w:rsidP="00400432">
      <w:pPr>
        <w:pStyle w:val="Heading3"/>
      </w:pPr>
      <w:bookmarkStart w:id="19" w:name="_Toc155860985"/>
      <w:r>
        <w:t>Tendering Timetable</w:t>
      </w:r>
      <w:bookmarkEnd w:id="19"/>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DB6D9E">
        <w:trPr>
          <w:tblHeader/>
        </w:trPr>
        <w:tc>
          <w:tcPr>
            <w:tcW w:w="5569"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t>Element</w:t>
            </w:r>
          </w:p>
        </w:tc>
        <w:tc>
          <w:tcPr>
            <w:tcW w:w="4069"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00DB6D9E">
        <w:tc>
          <w:tcPr>
            <w:tcW w:w="5569"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0B221E35" w14:textId="32888263" w:rsidR="00400432" w:rsidRPr="00400432" w:rsidRDefault="00EF74DB" w:rsidP="00400432">
            <w:pPr>
              <w:pStyle w:val="TblText"/>
            </w:pPr>
            <w:r>
              <w:t>21</w:t>
            </w:r>
            <w:r w:rsidR="00BC3CDA">
              <w:t xml:space="preserve"> February 2024</w:t>
            </w:r>
          </w:p>
        </w:tc>
      </w:tr>
      <w:tr w:rsidR="00400432" w:rsidRPr="00400432" w14:paraId="42283B80" w14:textId="77777777" w:rsidTr="00DB6D9E">
        <w:tc>
          <w:tcPr>
            <w:tcW w:w="5569"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hemeColor="background2"/>
            </w:tcBorders>
            <w:shd w:val="clear" w:color="auto" w:fill="E4E7F5"/>
          </w:tcPr>
          <w:p w14:paraId="4308C2DC" w14:textId="0652DE4A" w:rsidR="00400432" w:rsidRPr="00400432" w:rsidRDefault="00DB6D9E" w:rsidP="00400432">
            <w:pPr>
              <w:pStyle w:val="TblText"/>
            </w:pPr>
            <w:r>
              <w:t>2</w:t>
            </w:r>
            <w:r w:rsidR="00CF2296">
              <w:t>8</w:t>
            </w:r>
            <w:r w:rsidR="00BC3CDA">
              <w:t xml:space="preserve"> February 2024 10:00hrs</w:t>
            </w:r>
          </w:p>
        </w:tc>
      </w:tr>
      <w:tr w:rsidR="00400432" w:rsidRPr="00400432" w14:paraId="66301268" w14:textId="77777777" w:rsidTr="00DB6D9E">
        <w:tc>
          <w:tcPr>
            <w:tcW w:w="5569"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hemeColor="background2"/>
            </w:tcBorders>
            <w:shd w:val="clear" w:color="auto" w:fill="FFFFFF" w:themeFill="background2"/>
          </w:tcPr>
          <w:p w14:paraId="63343DB4" w14:textId="3CA7D8F9" w:rsidR="00400432" w:rsidRPr="00400432" w:rsidRDefault="00CF2296" w:rsidP="00400432">
            <w:pPr>
              <w:pStyle w:val="TblText"/>
            </w:pPr>
            <w:r>
              <w:t>18</w:t>
            </w:r>
            <w:r w:rsidR="00BC3CDA">
              <w:t xml:space="preserve"> </w:t>
            </w:r>
            <w:r w:rsidR="00DB6D9E">
              <w:t>March</w:t>
            </w:r>
            <w:r w:rsidR="00BC3CDA">
              <w:t xml:space="preserve"> 2024 10:00hrs</w:t>
            </w:r>
          </w:p>
        </w:tc>
      </w:tr>
      <w:tr w:rsidR="00400432" w:rsidRPr="00400432" w14:paraId="2D3D0936" w14:textId="77777777" w:rsidTr="00DB6D9E">
        <w:tc>
          <w:tcPr>
            <w:tcW w:w="5569"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hemeColor="background2"/>
            </w:tcBorders>
            <w:shd w:val="clear" w:color="auto" w:fill="E4E7F5"/>
          </w:tcPr>
          <w:p w14:paraId="2FF6E1B1" w14:textId="2A1B4221" w:rsidR="00400432" w:rsidRPr="00400432" w:rsidRDefault="00CF2296" w:rsidP="00400432">
            <w:pPr>
              <w:pStyle w:val="TblText"/>
            </w:pPr>
            <w:r>
              <w:t xml:space="preserve">27 </w:t>
            </w:r>
            <w:r w:rsidR="00DB6D9E">
              <w:t>March 2024</w:t>
            </w:r>
          </w:p>
        </w:tc>
      </w:tr>
      <w:tr w:rsidR="00400432" w:rsidRPr="00400432" w14:paraId="3E83975E" w14:textId="77777777" w:rsidTr="00DB6D9E">
        <w:tc>
          <w:tcPr>
            <w:tcW w:w="5569"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4069" w:type="dxa"/>
            <w:shd w:val="clear" w:color="auto" w:fill="FFFFFF" w:themeFill="background2"/>
          </w:tcPr>
          <w:p w14:paraId="5605FB39" w14:textId="51F13AD3" w:rsidR="00400432" w:rsidRPr="00400432" w:rsidRDefault="00465E6B" w:rsidP="00400432">
            <w:pPr>
              <w:pStyle w:val="TblText"/>
            </w:pPr>
            <w:r>
              <w:t xml:space="preserve">w/c </w:t>
            </w:r>
            <w:r w:rsidR="00CF2296">
              <w:t>01 April</w:t>
            </w:r>
            <w:r w:rsidR="00DB6D9E">
              <w:t xml:space="preserve"> 2024</w:t>
            </w:r>
          </w:p>
        </w:tc>
      </w:tr>
    </w:tbl>
    <w:p w14:paraId="3DFADB3D" w14:textId="77777777" w:rsidR="00433557" w:rsidRDefault="00433557" w:rsidP="000A0438">
      <w:pPr>
        <w:pStyle w:val="Heading3"/>
      </w:pPr>
      <w:bookmarkStart w:id="20" w:name="_Toc155860986"/>
      <w:r>
        <w:t>Tendering Instructions and Guidance</w:t>
      </w:r>
      <w:bookmarkEnd w:id="20"/>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t>Please submit the Form of Tender and Disclaimer certificate along with your proposal. If you are already registered on our eTendering portal but have forgotten your login details, please contact the portal administrator.</w:t>
      </w:r>
    </w:p>
    <w:p w14:paraId="6D553397" w14:textId="77777777" w:rsidR="00433557" w:rsidRDefault="00433557" w:rsidP="00433557">
      <w:r>
        <w:lastRenderedPageBreak/>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w:t>
      </w:r>
      <w:proofErr w:type="gramStart"/>
      <w:r>
        <w:t>supplier</w:t>
      </w:r>
      <w:proofErr w:type="gramEnd"/>
      <w:r>
        <w:t xml:space="preserve">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 xml:space="preserve">References provided as part of the tender may be approached during the tender </w:t>
      </w:r>
      <w:proofErr w:type="gramStart"/>
      <w:r>
        <w:t>stage</w:t>
      </w:r>
      <w:proofErr w:type="gramEnd"/>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1"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w:t>
      </w:r>
      <w:r>
        <w:lastRenderedPageBreak/>
        <w:t xml:space="preserve">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 xml:space="preserve">contract price and any incentivisation </w:t>
      </w:r>
      <w:proofErr w:type="gramStart"/>
      <w:r>
        <w:t>mechanisms</w:t>
      </w:r>
      <w:proofErr w:type="gramEnd"/>
    </w:p>
    <w:p w14:paraId="0C608C4C" w14:textId="4D5BAB55" w:rsidR="00D2517B" w:rsidRDefault="00D2517B" w:rsidP="00585CEE">
      <w:pPr>
        <w:pStyle w:val="NormalBulletround"/>
      </w:pPr>
      <w:r>
        <w:lastRenderedPageBreak/>
        <w:t>performance metrics and management of them</w:t>
      </w:r>
    </w:p>
    <w:p w14:paraId="6EF2FC26" w14:textId="50C8AAC7" w:rsidR="00D2517B" w:rsidRDefault="00D2517B" w:rsidP="00585CEE">
      <w:pPr>
        <w:pStyle w:val="NormalBulletround"/>
      </w:pPr>
      <w:r>
        <w:t xml:space="preserve">plans for management of underperformance and its financial </w:t>
      </w:r>
      <w:proofErr w:type="gramStart"/>
      <w:r>
        <w:t>impact</w:t>
      </w:r>
      <w:proofErr w:type="gramEnd"/>
    </w:p>
    <w:p w14:paraId="7AC03503" w14:textId="3D4C7866" w:rsidR="00D2517B" w:rsidRDefault="00D2517B" w:rsidP="00585CEE">
      <w:pPr>
        <w:pStyle w:val="NormalBulletround"/>
      </w:pPr>
      <w:r>
        <w:t xml:space="preserve">governance arrangements including through supply chains where significant contract value rests with </w:t>
      </w:r>
      <w:proofErr w:type="gramStart"/>
      <w:r>
        <w:t>subcontractors</w:t>
      </w:r>
      <w:proofErr w:type="gramEnd"/>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 xml:space="preserve">service improvement </w:t>
      </w:r>
      <w:proofErr w:type="gramStart"/>
      <w:r>
        <w:t>plans</w:t>
      </w:r>
      <w:proofErr w:type="gramEnd"/>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r w:rsidRPr="009757DA">
              <w:t>Para.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92797">
          <w:headerReference w:type="even" r:id="rId22"/>
          <w:headerReference w:type="default" r:id="rId23"/>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color w:val="2B579A"/>
          <w:sz w:val="22"/>
          <w:shd w:val="clear" w:color="auto" w:fill="E6E6E6"/>
          <w:lang w:eastAsia="en-GB"/>
        </w:rPr>
        <w:lastRenderedPageBreak/>
        <w:drawing>
          <wp:inline distT="0" distB="0" distL="0" distR="0" wp14:anchorId="4E6D3BF1" wp14:editId="181276C6">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2F713E" w:rsidR="00D25F7E" w:rsidRDefault="00D25F7E" w:rsidP="00D25F7E">
      <w:pPr>
        <w:pStyle w:val="Copyrighttext"/>
      </w:pPr>
      <w:r>
        <w:t>© Crown copyright 202</w:t>
      </w:r>
      <w:r w:rsidR="00BC3CDA">
        <w:t>4</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5"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6"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7" w:history="1">
        <w:r w:rsidR="008F0B87" w:rsidRPr="00C9621C">
          <w:rPr>
            <w:rStyle w:val="Hyperlink"/>
          </w:rPr>
          <w:t>procurementteam@orr.gov.uk</w:t>
        </w:r>
      </w:hyperlink>
      <w:r w:rsidR="008F0B87">
        <w:t xml:space="preserve"> </w:t>
      </w:r>
    </w:p>
    <w:sectPr w:rsidR="00D25F7E" w:rsidRPr="00D25F7E" w:rsidSect="00D25F7E">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A987" w14:textId="77777777" w:rsidR="00894A4B" w:rsidRDefault="00894A4B" w:rsidP="00555585">
      <w:pPr>
        <w:spacing w:after="0" w:line="240" w:lineRule="auto"/>
      </w:pPr>
      <w:r>
        <w:separator/>
      </w:r>
    </w:p>
  </w:endnote>
  <w:endnote w:type="continuationSeparator" w:id="0">
    <w:p w14:paraId="79AE0B4F" w14:textId="77777777" w:rsidR="00894A4B" w:rsidRDefault="00894A4B" w:rsidP="00555585">
      <w:pPr>
        <w:spacing w:after="0" w:line="240" w:lineRule="auto"/>
      </w:pPr>
      <w:r>
        <w:continuationSeparator/>
      </w:r>
    </w:p>
  </w:endnote>
  <w:endnote w:type="continuationNotice" w:id="1">
    <w:p w14:paraId="5FBED0AA" w14:textId="77777777" w:rsidR="0084590F" w:rsidRDefault="00845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92797">
    <w:pPr>
      <w:pStyle w:val="Footer"/>
    </w:pPr>
    <w:bookmarkStart w:id="1" w:name="_Hlk65150515"/>
    <w:bookmarkStart w:id="2" w:name="_Hlk65150516"/>
    <w:r>
      <w:rPr>
        <w:noProof/>
        <w:color w:val="2B579A"/>
        <w:shd w:val="clear" w:color="auto" w:fill="E6E6E6"/>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92797">
    <w:pPr>
      <w:pStyle w:val="Footer"/>
    </w:pPr>
    <w:r>
      <w:rPr>
        <w:noProof/>
        <w:color w:val="2B579A"/>
        <w:shd w:val="clear" w:color="auto" w:fill="E6E6E6"/>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C92797">
    <w:pPr>
      <w:pStyle w:val="Footer"/>
    </w:pPr>
  </w:p>
  <w:p w14:paraId="30922858" w14:textId="77777777" w:rsidR="00D25F7E" w:rsidRDefault="00D25F7E" w:rsidP="00C92797">
    <w:pPr>
      <w:pStyle w:val="Footer"/>
    </w:pPr>
  </w:p>
  <w:p w14:paraId="722278C7" w14:textId="77777777" w:rsidR="00D25F7E" w:rsidRDefault="00D25F7E" w:rsidP="00C92797">
    <w:pPr>
      <w:pStyle w:val="Footer"/>
    </w:pPr>
  </w:p>
  <w:p w14:paraId="2F806F11" w14:textId="77777777" w:rsidR="00D25F7E" w:rsidRDefault="00D25F7E" w:rsidP="00C92797">
    <w:pPr>
      <w:pStyle w:val="Footer"/>
    </w:pPr>
  </w:p>
  <w:p w14:paraId="6D31B3EB" w14:textId="77777777" w:rsidR="00D25F7E" w:rsidRDefault="00D25F7E" w:rsidP="00C92797">
    <w:pPr>
      <w:pStyle w:val="Footer"/>
    </w:pPr>
  </w:p>
  <w:p w14:paraId="26D028EC" w14:textId="77777777" w:rsidR="00D25F7E" w:rsidRPr="004A743E" w:rsidRDefault="00D25F7E" w:rsidP="00C92797">
    <w:pPr>
      <w:pStyle w:val="Footer"/>
      <w:rPr>
        <w:sz w:val="24"/>
        <w:szCs w:val="24"/>
      </w:rPr>
    </w:pPr>
    <w:r w:rsidRPr="00C76E4E">
      <w:rPr>
        <w:color w:val="2B579A"/>
        <w:sz w:val="24"/>
        <w:szCs w:val="24"/>
        <w:shd w:val="clear" w:color="auto" w:fill="E6E6E6"/>
      </w:rPr>
      <w:fldChar w:fldCharType="begin"/>
    </w:r>
    <w:r w:rsidRPr="00C76E4E">
      <w:rPr>
        <w:sz w:val="24"/>
        <w:szCs w:val="24"/>
      </w:rPr>
      <w:instrText xml:space="preserve"> PAGE   \* MERGEFORMAT </w:instrText>
    </w:r>
    <w:r w:rsidRPr="00C76E4E">
      <w:rPr>
        <w:color w:val="2B579A"/>
        <w:sz w:val="24"/>
        <w:szCs w:val="24"/>
        <w:shd w:val="clear" w:color="auto" w:fill="E6E6E6"/>
      </w:rPr>
      <w:fldChar w:fldCharType="separate"/>
    </w:r>
    <w:r>
      <w:rPr>
        <w:noProof/>
        <w:sz w:val="24"/>
        <w:szCs w:val="24"/>
      </w:rPr>
      <w:t>1</w:t>
    </w:r>
    <w:r w:rsidRPr="00C76E4E">
      <w:rPr>
        <w:color w:val="2B579A"/>
        <w:sz w:val="24"/>
        <w:szCs w:val="24"/>
        <w:shd w:val="clear" w:color="auto" w:fill="E6E6E6"/>
      </w:rPr>
      <w:fldChar w:fldCharType="end"/>
    </w:r>
    <w:r w:rsidRPr="00C76E4E">
      <w:rPr>
        <w:noProof/>
        <w:color w:val="2B579A"/>
        <w:sz w:val="24"/>
        <w:szCs w:val="24"/>
        <w:shd w:val="clear" w:color="auto" w:fill="E6E6E6"/>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92797">
    <w:pPr>
      <w:pStyle w:val="Footer"/>
    </w:pPr>
    <w:r>
      <w:rPr>
        <w:noProof/>
        <w:color w:val="2B579A"/>
        <w:shd w:val="clear" w:color="auto" w:fill="E6E6E6"/>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92797">
    <w:pPr>
      <w:pStyle w:val="Footer"/>
    </w:pPr>
    <w:r>
      <w:rPr>
        <w:noProof/>
        <w:color w:val="2B579A"/>
        <w:shd w:val="clear" w:color="auto" w:fill="E6E6E6"/>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92797">
    <w:pPr>
      <w:pStyle w:val="Footer"/>
    </w:pPr>
  </w:p>
  <w:p w14:paraId="71EA0EA7" w14:textId="77777777" w:rsidR="00FC6860" w:rsidRDefault="00FC6860" w:rsidP="00C92797">
    <w:pPr>
      <w:pStyle w:val="Footer"/>
    </w:pPr>
  </w:p>
  <w:p w14:paraId="3B410CFC" w14:textId="77777777" w:rsidR="00FC6860" w:rsidRDefault="00FC6860" w:rsidP="00C92797">
    <w:pPr>
      <w:pStyle w:val="Footer"/>
    </w:pPr>
  </w:p>
  <w:p w14:paraId="499C042D" w14:textId="77777777" w:rsidR="00FC6860" w:rsidRDefault="00FC6860" w:rsidP="00C92797">
    <w:pPr>
      <w:pStyle w:val="Footer"/>
    </w:pPr>
  </w:p>
  <w:p w14:paraId="01590A05" w14:textId="77777777" w:rsidR="00FC6860" w:rsidRDefault="00FC6860" w:rsidP="00C92797">
    <w:pPr>
      <w:pStyle w:val="Footer"/>
    </w:pPr>
  </w:p>
  <w:p w14:paraId="4FE202DC" w14:textId="77777777" w:rsidR="00FC6860" w:rsidRDefault="00FC6860" w:rsidP="00C92797">
    <w:pPr>
      <w:pStyle w:val="Footer"/>
    </w:pPr>
  </w:p>
  <w:p w14:paraId="2C948FBC" w14:textId="77777777" w:rsidR="00FC6860" w:rsidRDefault="00FC6860" w:rsidP="00C92797">
    <w:pPr>
      <w:pStyle w:val="Footer"/>
    </w:pPr>
  </w:p>
  <w:p w14:paraId="5A5AEE1F" w14:textId="77777777" w:rsidR="00FC6860" w:rsidRPr="00904857" w:rsidRDefault="00FC6860" w:rsidP="00C927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color w:val="2B579A"/>
        <w:shd w:val="clear" w:color="auto" w:fill="E6E6E6"/>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2064" w14:textId="77777777" w:rsidR="00894A4B" w:rsidRDefault="00894A4B" w:rsidP="00555585">
      <w:pPr>
        <w:spacing w:after="0" w:line="240" w:lineRule="auto"/>
      </w:pPr>
      <w:r>
        <w:separator/>
      </w:r>
    </w:p>
  </w:footnote>
  <w:footnote w:type="continuationSeparator" w:id="0">
    <w:p w14:paraId="38DF3B29" w14:textId="77777777" w:rsidR="00894A4B" w:rsidRDefault="00894A4B" w:rsidP="00555585">
      <w:pPr>
        <w:spacing w:after="0" w:line="240" w:lineRule="auto"/>
      </w:pPr>
      <w:r>
        <w:continuationSeparator/>
      </w:r>
    </w:p>
  </w:footnote>
  <w:footnote w:type="continuationNotice" w:id="1">
    <w:p w14:paraId="3A8F79E3" w14:textId="77777777" w:rsidR="0084590F" w:rsidRDefault="00845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C92797">
    <w:pPr>
      <w:pStyle w:val="Header"/>
      <w:spacing w:before="720"/>
    </w:pPr>
    <w:r>
      <w:rPr>
        <w:noProof/>
        <w:color w:val="2B579A"/>
        <w:shd w:val="clear" w:color="auto" w:fill="E6E6E6"/>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C92797">
    <w:pPr>
      <w:pStyle w:val="HeaderTitle"/>
    </w:pPr>
    <w:r w:rsidRPr="00A1673D">
      <w:rPr>
        <w:color w:val="2B579A"/>
        <w:shd w:val="clear" w:color="auto" w:fill="E6E6E6"/>
      </w:rPr>
      <w:fldChar w:fldCharType="begin"/>
    </w:r>
    <w:r w:rsidRPr="00AC3B7A">
      <w:instrText xml:space="preserve"> IF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rsidRPr="00D25F7E">
      <w:rPr>
        <w:b w:val="0"/>
        <w:bCs/>
        <w:lang w:val="en-US"/>
      </w:rPr>
      <w:instrText>Office of Rail and Road</w:instrText>
    </w:r>
    <w:r>
      <w:rPr>
        <w:b w:val="0"/>
        <w:bCs/>
        <w:color w:val="2B579A"/>
        <w:shd w:val="clear" w:color="auto" w:fill="E6E6E6"/>
        <w:lang w:val="en-US"/>
      </w:rPr>
      <w:fldChar w:fldCharType="end"/>
    </w:r>
    <w:r w:rsidRPr="00AC3B7A">
      <w:instrText xml:space="preserve"> = "Error! </w:instrText>
    </w:r>
    <w:r>
      <w:instrText xml:space="preserve">No document variable supplied." </w:instrText>
    </w:r>
    <w:r w:rsidRPr="00AC3B7A">
      <w:instrText xml:space="preserve">""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instrText>Office of Rail and Road</w:instrText>
    </w:r>
    <w:r>
      <w:rPr>
        <w:color w:val="2B579A"/>
        <w:shd w:val="clear" w:color="auto" w:fill="E6E6E6"/>
      </w:rPr>
      <w:fldChar w:fldCharType="end"/>
    </w:r>
    <w:r w:rsidRPr="00AC3B7A">
      <w:instrText xml:space="preserve"> \* MERGEFORMAT </w:instrText>
    </w:r>
    <w:r w:rsidRPr="00A1673D">
      <w:rPr>
        <w:color w:val="2B579A"/>
        <w:shd w:val="clear" w:color="auto" w:fill="E6E6E6"/>
      </w:rPr>
      <w:fldChar w:fldCharType="separate"/>
    </w:r>
    <w:r>
      <w:rPr>
        <w:noProof/>
      </w:rPr>
      <w:t>Office of Rail and Road</w:t>
    </w:r>
    <w:r w:rsidRPr="00A1673D">
      <w:rPr>
        <w:color w:val="2B579A"/>
        <w:shd w:val="clear" w:color="auto" w:fill="E6E6E6"/>
      </w:rPr>
      <w:fldChar w:fldCharType="end"/>
    </w:r>
    <w:r>
      <w:t xml:space="preserve"> | </w:t>
    </w:r>
    <w:r w:rsidRPr="00A1673D">
      <w:rPr>
        <w:color w:val="2B579A"/>
        <w:shd w:val="clear" w:color="auto" w:fill="E6E6E6"/>
      </w:rPr>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rPr>
        <w:color w:val="2B579A"/>
        <w:shd w:val="clear" w:color="auto" w:fill="E6E6E6"/>
      </w:rPr>
      <w:fldChar w:fldCharType="separate"/>
    </w:r>
    <w:r>
      <w:rPr>
        <w:noProof/>
      </w:rPr>
      <w:t>ITT</w:t>
    </w:r>
    <w:r w:rsidRPr="00A1673D">
      <w:rPr>
        <w:color w:val="2B579A"/>
        <w:shd w:val="clear" w:color="auto" w:fill="E6E6E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C92797">
    <w:pPr>
      <w:pStyle w:val="Header"/>
      <w:spacing w:before="720"/>
    </w:pPr>
    <w:r>
      <w:rPr>
        <w:noProof/>
        <w:color w:val="2B579A"/>
        <w:shd w:val="clear" w:color="auto" w:fill="E6E6E6"/>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C92797">
    <w:pPr>
      <w:pStyle w:val="HeaderTitle"/>
    </w:pPr>
    <w:r w:rsidRPr="00A1673D">
      <w:rPr>
        <w:color w:val="2B579A"/>
        <w:shd w:val="clear" w:color="auto" w:fill="E6E6E6"/>
      </w:rPr>
      <w:fldChar w:fldCharType="begin"/>
    </w:r>
    <w:r w:rsidRPr="00AC3B7A">
      <w:instrText xml:space="preserve"> IF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rsidRPr="00D25F7E">
      <w:rPr>
        <w:b w:val="0"/>
        <w:bCs/>
        <w:lang w:val="en-US"/>
      </w:rPr>
      <w:instrText>Office of Rail and Road</w:instrText>
    </w:r>
    <w:r>
      <w:rPr>
        <w:b w:val="0"/>
        <w:bCs/>
        <w:color w:val="2B579A"/>
        <w:shd w:val="clear" w:color="auto" w:fill="E6E6E6"/>
        <w:lang w:val="en-US"/>
      </w:rPr>
      <w:fldChar w:fldCharType="end"/>
    </w:r>
    <w:r w:rsidRPr="00AC3B7A">
      <w:instrText xml:space="preserve"> = "Error! </w:instrText>
    </w:r>
    <w:r>
      <w:instrText xml:space="preserve">No document variable supplied." </w:instrText>
    </w:r>
    <w:r w:rsidRPr="00AC3B7A">
      <w:instrText xml:space="preserve">""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instrText>Office of Rail and Road</w:instrText>
    </w:r>
    <w:r>
      <w:rPr>
        <w:color w:val="2B579A"/>
        <w:shd w:val="clear" w:color="auto" w:fill="E6E6E6"/>
      </w:rPr>
      <w:fldChar w:fldCharType="end"/>
    </w:r>
    <w:r w:rsidRPr="00AC3B7A">
      <w:instrText xml:space="preserve"> \* MERGEFORMAT </w:instrText>
    </w:r>
    <w:r w:rsidRPr="00A1673D">
      <w:rPr>
        <w:color w:val="2B579A"/>
        <w:shd w:val="clear" w:color="auto" w:fill="E6E6E6"/>
      </w:rPr>
      <w:fldChar w:fldCharType="separate"/>
    </w:r>
    <w:r>
      <w:rPr>
        <w:noProof/>
      </w:rPr>
      <w:t>Office of Rail and Road</w:t>
    </w:r>
    <w:r w:rsidRPr="00A1673D">
      <w:rPr>
        <w:color w:val="2B579A"/>
        <w:shd w:val="clear" w:color="auto" w:fill="E6E6E6"/>
      </w:rPr>
      <w:fldChar w:fldCharType="end"/>
    </w:r>
    <w:r>
      <w:t xml:space="preserve"> | </w:t>
    </w:r>
    <w:r w:rsidRPr="00A1673D">
      <w:rPr>
        <w:color w:val="2B579A"/>
        <w:shd w:val="clear" w:color="auto" w:fill="E6E6E6"/>
      </w:rPr>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rPr>
        <w:color w:val="2B579A"/>
        <w:shd w:val="clear" w:color="auto" w:fill="E6E6E6"/>
      </w:rPr>
      <w:fldChar w:fldCharType="separate"/>
    </w:r>
    <w:r>
      <w:rPr>
        <w:noProof/>
      </w:rPr>
      <w:t>ITT</w:t>
    </w:r>
    <w:r w:rsidRPr="00A1673D">
      <w:rPr>
        <w:color w:val="2B579A"/>
        <w:shd w:val="clear" w:color="auto" w:fill="E6E6E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1" w:name="bmkBackPage"/>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636BEE"/>
    <w:multiLevelType w:val="multilevel"/>
    <w:tmpl w:val="451E22F4"/>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462E25"/>
    <w:multiLevelType w:val="multilevel"/>
    <w:tmpl w:val="D79C245A"/>
    <w:numStyleLink w:val="ORRNormalList"/>
  </w:abstractNum>
  <w:abstractNum w:abstractNumId="3" w15:restartNumberingAfterBreak="0">
    <w:nsid w:val="0CD4621B"/>
    <w:multiLevelType w:val="multilevel"/>
    <w:tmpl w:val="0B3EB1C4"/>
    <w:numStyleLink w:val="ORRBoxed"/>
  </w:abstractNum>
  <w:abstractNum w:abstractNumId="4" w15:restartNumberingAfterBreak="0">
    <w:nsid w:val="0F6E23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6" w15:restartNumberingAfterBreak="0">
    <w:nsid w:val="118439F5"/>
    <w:multiLevelType w:val="multilevel"/>
    <w:tmpl w:val="0B3EB1C4"/>
    <w:numStyleLink w:val="ORRBoxed"/>
  </w:abstractNum>
  <w:abstractNum w:abstractNumId="7" w15:restartNumberingAfterBreak="0">
    <w:nsid w:val="138756B1"/>
    <w:multiLevelType w:val="multilevel"/>
    <w:tmpl w:val="D79C245A"/>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43B6282"/>
    <w:multiLevelType w:val="multilevel"/>
    <w:tmpl w:val="D80850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15A8A"/>
    <w:multiLevelType w:val="hybridMultilevel"/>
    <w:tmpl w:val="B91CE1D0"/>
    <w:lvl w:ilvl="0" w:tplc="A4C4715A">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15:restartNumberingAfterBreak="0">
    <w:nsid w:val="1C9A674D"/>
    <w:multiLevelType w:val="multilevel"/>
    <w:tmpl w:val="0BCE40E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E432B9B"/>
    <w:multiLevelType w:val="hybridMultilevel"/>
    <w:tmpl w:val="170EE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36443"/>
    <w:multiLevelType w:val="multilevel"/>
    <w:tmpl w:val="FEF47FD2"/>
    <w:numStyleLink w:val="ORRSummary"/>
  </w:abstractNum>
  <w:abstractNum w:abstractNumId="15" w15:restartNumberingAfterBreak="0">
    <w:nsid w:val="22FB247D"/>
    <w:multiLevelType w:val="multilevel"/>
    <w:tmpl w:val="CAB62A74"/>
    <w:lvl w:ilvl="0">
      <w:start w:val="1"/>
      <w:numFmt w:val="decimal"/>
      <w:lvlText w:val="%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A76711"/>
    <w:multiLevelType w:val="hybridMultilevel"/>
    <w:tmpl w:val="BD5270D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8296852"/>
    <w:multiLevelType w:val="multilevel"/>
    <w:tmpl w:val="D79C245A"/>
    <w:numStyleLink w:val="ORRNormalList"/>
  </w:abstractNum>
  <w:abstractNum w:abstractNumId="18" w15:restartNumberingAfterBreak="0">
    <w:nsid w:val="29BC39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0A1424"/>
    <w:multiLevelType w:val="hybridMultilevel"/>
    <w:tmpl w:val="ADA4E6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351E2A"/>
    <w:multiLevelType w:val="hybridMultilevel"/>
    <w:tmpl w:val="E34A0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D6E473"/>
    <w:multiLevelType w:val="multilevel"/>
    <w:tmpl w:val="03564098"/>
    <w:lvl w:ilvl="0">
      <w:start w:val="1"/>
      <w:numFmt w:val="decimal"/>
      <w:lvlText w:val="%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3C7DAC"/>
    <w:multiLevelType w:val="multilevel"/>
    <w:tmpl w:val="13BC8E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76BCC"/>
    <w:multiLevelType w:val="multilevel"/>
    <w:tmpl w:val="D79C245A"/>
    <w:numStyleLink w:val="ORRNormalList"/>
  </w:abstractNum>
  <w:abstractNum w:abstractNumId="24" w15:restartNumberingAfterBreak="0">
    <w:nsid w:val="3A84093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B172F24"/>
    <w:multiLevelType w:val="hybridMultilevel"/>
    <w:tmpl w:val="6AC0DB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CF9672C"/>
    <w:multiLevelType w:val="multilevel"/>
    <w:tmpl w:val="7AF806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565714"/>
    <w:multiLevelType w:val="hybridMultilevel"/>
    <w:tmpl w:val="3EDAAB4A"/>
    <w:lvl w:ilvl="0" w:tplc="2FEA9A7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E3B48"/>
    <w:multiLevelType w:val="hybridMultilevel"/>
    <w:tmpl w:val="D786E01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CD48ED"/>
    <w:multiLevelType w:val="hybridMultilevel"/>
    <w:tmpl w:val="F45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9785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8E751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6"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37" w15:restartNumberingAfterBreak="0">
    <w:nsid w:val="68BD5682"/>
    <w:multiLevelType w:val="multilevel"/>
    <w:tmpl w:val="EAD453D0"/>
    <w:numStyleLink w:val="NumbListHighlight"/>
  </w:abstractNum>
  <w:abstractNum w:abstractNumId="38"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EC096D"/>
    <w:multiLevelType w:val="hybridMultilevel"/>
    <w:tmpl w:val="740C68F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D87355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42" w15:restartNumberingAfterBreak="0">
    <w:nsid w:val="74A520B3"/>
    <w:multiLevelType w:val="hybridMultilevel"/>
    <w:tmpl w:val="5A7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C62AB"/>
    <w:multiLevelType w:val="multilevel"/>
    <w:tmpl w:val="6B204466"/>
    <w:numStyleLink w:val="ORRAnnex"/>
  </w:abstractNum>
  <w:abstractNum w:abstractNumId="44" w15:restartNumberingAfterBreak="0">
    <w:nsid w:val="7DDA5CB4"/>
    <w:multiLevelType w:val="multilevel"/>
    <w:tmpl w:val="6B204466"/>
    <w:numStyleLink w:val="ORRAnnex"/>
  </w:abstractNum>
  <w:num w:numId="1" w16cid:durableId="12330070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41"/>
  </w:num>
  <w:num w:numId="3" w16cid:durableId="615990203">
    <w:abstractNumId w:val="10"/>
  </w:num>
  <w:num w:numId="4" w16cid:durableId="1539008159">
    <w:abstractNumId w:val="35"/>
  </w:num>
  <w:num w:numId="5" w16cid:durableId="1334801291">
    <w:abstractNumId w:val="11"/>
  </w:num>
  <w:num w:numId="6" w16cid:durableId="116142554">
    <w:abstractNumId w:val="23"/>
  </w:num>
  <w:num w:numId="7" w16cid:durableId="1708795862">
    <w:abstractNumId w:val="14"/>
  </w:num>
  <w:num w:numId="8" w16cid:durableId="1432780497">
    <w:abstractNumId w:val="6"/>
  </w:num>
  <w:num w:numId="9" w16cid:durableId="35012236">
    <w:abstractNumId w:val="5"/>
  </w:num>
  <w:num w:numId="10" w16cid:durableId="711077664">
    <w:abstractNumId w:val="0"/>
  </w:num>
  <w:num w:numId="11" w16cid:durableId="1604993918">
    <w:abstractNumId w:val="37"/>
  </w:num>
  <w:num w:numId="12" w16cid:durableId="435447028">
    <w:abstractNumId w:val="36"/>
  </w:num>
  <w:num w:numId="13" w16cid:durableId="2048019962">
    <w:abstractNumId w:val="43"/>
  </w:num>
  <w:num w:numId="14" w16cid:durableId="2025738407">
    <w:abstractNumId w:val="37"/>
  </w:num>
  <w:num w:numId="15" w16cid:durableId="150879135">
    <w:abstractNumId w:val="37"/>
  </w:num>
  <w:num w:numId="16" w16cid:durableId="891042484">
    <w:abstractNumId w:val="37"/>
  </w:num>
  <w:num w:numId="17" w16cid:durableId="727414043">
    <w:abstractNumId w:val="36"/>
  </w:num>
  <w:num w:numId="18" w16cid:durableId="1027833524">
    <w:abstractNumId w:val="2"/>
  </w:num>
  <w:num w:numId="19" w16cid:durableId="50661355">
    <w:abstractNumId w:val="7"/>
  </w:num>
  <w:num w:numId="20" w16cid:durableId="1446195555">
    <w:abstractNumId w:val="5"/>
  </w:num>
  <w:num w:numId="21" w16cid:durableId="558327301">
    <w:abstractNumId w:val="44"/>
  </w:num>
  <w:num w:numId="22" w16cid:durableId="463500638">
    <w:abstractNumId w:val="28"/>
  </w:num>
  <w:num w:numId="23" w16cid:durableId="1527019102">
    <w:abstractNumId w:val="3"/>
  </w:num>
  <w:num w:numId="24" w16cid:durableId="19921020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7"/>
  </w:num>
  <w:num w:numId="26" w16cid:durableId="1830293373">
    <w:abstractNumId w:val="38"/>
  </w:num>
  <w:num w:numId="27" w16cid:durableId="42141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7"/>
  </w:num>
  <w:num w:numId="32" w16cid:durableId="2368570">
    <w:abstractNumId w:val="33"/>
  </w:num>
  <w:num w:numId="33" w16cid:durableId="718044416">
    <w:abstractNumId w:val="27"/>
  </w:num>
  <w:num w:numId="34" w16cid:durableId="1136336927">
    <w:abstractNumId w:val="8"/>
  </w:num>
  <w:num w:numId="35" w16cid:durableId="2102949224">
    <w:abstractNumId w:val="22"/>
  </w:num>
  <w:num w:numId="36" w16cid:durableId="1762557115">
    <w:abstractNumId w:val="32"/>
  </w:num>
  <w:num w:numId="37" w16cid:durableId="448167588">
    <w:abstractNumId w:val="30"/>
  </w:num>
  <w:num w:numId="38" w16cid:durableId="910506888">
    <w:abstractNumId w:val="12"/>
  </w:num>
  <w:num w:numId="39" w16cid:durableId="909848737">
    <w:abstractNumId w:val="25"/>
  </w:num>
  <w:num w:numId="40" w16cid:durableId="1950044472">
    <w:abstractNumId w:val="16"/>
  </w:num>
  <w:num w:numId="41" w16cid:durableId="306664386">
    <w:abstractNumId w:val="13"/>
  </w:num>
  <w:num w:numId="42" w16cid:durableId="1510095983">
    <w:abstractNumId w:val="39"/>
  </w:num>
  <w:num w:numId="43" w16cid:durableId="156307295">
    <w:abstractNumId w:val="9"/>
  </w:num>
  <w:num w:numId="44" w16cid:durableId="2021076148">
    <w:abstractNumId w:val="20"/>
  </w:num>
  <w:num w:numId="45" w16cid:durableId="1315570685">
    <w:abstractNumId w:val="19"/>
  </w:num>
  <w:num w:numId="46" w16cid:durableId="903754714">
    <w:abstractNumId w:val="42"/>
  </w:num>
  <w:num w:numId="47" w16cid:durableId="1800682206">
    <w:abstractNumId w:val="29"/>
  </w:num>
  <w:num w:numId="48" w16cid:durableId="1275016402">
    <w:abstractNumId w:val="1"/>
  </w:num>
  <w:num w:numId="49" w16cid:durableId="1784152072">
    <w:abstractNumId w:val="21"/>
  </w:num>
  <w:num w:numId="50" w16cid:durableId="1172988473">
    <w:abstractNumId w:val="15"/>
  </w:num>
  <w:num w:numId="51" w16cid:durableId="1135677852">
    <w:abstractNumId w:val="24"/>
  </w:num>
  <w:num w:numId="52" w16cid:durableId="1851750423">
    <w:abstractNumId w:val="40"/>
  </w:num>
  <w:num w:numId="53" w16cid:durableId="971054752">
    <w:abstractNumId w:val="4"/>
  </w:num>
  <w:num w:numId="54" w16cid:durableId="1865708362">
    <w:abstractNumId w:val="18"/>
  </w:num>
  <w:num w:numId="55" w16cid:durableId="2000380350">
    <w:abstractNumId w:val="34"/>
  </w:num>
  <w:num w:numId="56" w16cid:durableId="2002583800">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17D46"/>
    <w:rsid w:val="0002210B"/>
    <w:rsid w:val="00024E62"/>
    <w:rsid w:val="0003350C"/>
    <w:rsid w:val="00036DEB"/>
    <w:rsid w:val="00037BD2"/>
    <w:rsid w:val="00042B65"/>
    <w:rsid w:val="00043DA2"/>
    <w:rsid w:val="0004428A"/>
    <w:rsid w:val="0005181F"/>
    <w:rsid w:val="000573F0"/>
    <w:rsid w:val="00064036"/>
    <w:rsid w:val="00066737"/>
    <w:rsid w:val="000735F1"/>
    <w:rsid w:val="00076B67"/>
    <w:rsid w:val="000833AF"/>
    <w:rsid w:val="00084783"/>
    <w:rsid w:val="00084972"/>
    <w:rsid w:val="0008514C"/>
    <w:rsid w:val="000876CB"/>
    <w:rsid w:val="0009126F"/>
    <w:rsid w:val="0009203F"/>
    <w:rsid w:val="000A0438"/>
    <w:rsid w:val="000A6DE7"/>
    <w:rsid w:val="000B0266"/>
    <w:rsid w:val="000B309A"/>
    <w:rsid w:val="000B6176"/>
    <w:rsid w:val="000C7B66"/>
    <w:rsid w:val="000D2970"/>
    <w:rsid w:val="000D6C9F"/>
    <w:rsid w:val="000E135E"/>
    <w:rsid w:val="000E5AB1"/>
    <w:rsid w:val="000E5E49"/>
    <w:rsid w:val="000F4554"/>
    <w:rsid w:val="000F5529"/>
    <w:rsid w:val="000F5907"/>
    <w:rsid w:val="000F70BB"/>
    <w:rsid w:val="000F7BB6"/>
    <w:rsid w:val="001012B6"/>
    <w:rsid w:val="00102F62"/>
    <w:rsid w:val="001179EC"/>
    <w:rsid w:val="00120892"/>
    <w:rsid w:val="00120BAD"/>
    <w:rsid w:val="0012193D"/>
    <w:rsid w:val="00124D1D"/>
    <w:rsid w:val="00135169"/>
    <w:rsid w:val="00137015"/>
    <w:rsid w:val="00141746"/>
    <w:rsid w:val="00144445"/>
    <w:rsid w:val="001463D0"/>
    <w:rsid w:val="001526A6"/>
    <w:rsid w:val="00155088"/>
    <w:rsid w:val="0015625B"/>
    <w:rsid w:val="00156D5F"/>
    <w:rsid w:val="00160B26"/>
    <w:rsid w:val="00162700"/>
    <w:rsid w:val="00162B03"/>
    <w:rsid w:val="001659DD"/>
    <w:rsid w:val="00171722"/>
    <w:rsid w:val="00175A76"/>
    <w:rsid w:val="001768F1"/>
    <w:rsid w:val="00180E47"/>
    <w:rsid w:val="001858EB"/>
    <w:rsid w:val="00194E09"/>
    <w:rsid w:val="001957B8"/>
    <w:rsid w:val="00195C79"/>
    <w:rsid w:val="001A00F0"/>
    <w:rsid w:val="001A1058"/>
    <w:rsid w:val="001A4CA4"/>
    <w:rsid w:val="001B03DB"/>
    <w:rsid w:val="001B3FD8"/>
    <w:rsid w:val="001B54A7"/>
    <w:rsid w:val="001B551F"/>
    <w:rsid w:val="001B5A48"/>
    <w:rsid w:val="001B62CD"/>
    <w:rsid w:val="001B6996"/>
    <w:rsid w:val="001B71F8"/>
    <w:rsid w:val="001C60A4"/>
    <w:rsid w:val="001D1536"/>
    <w:rsid w:val="001D590D"/>
    <w:rsid w:val="001D5DF3"/>
    <w:rsid w:val="001E23F4"/>
    <w:rsid w:val="001E7C87"/>
    <w:rsid w:val="001F1140"/>
    <w:rsid w:val="001F55B8"/>
    <w:rsid w:val="002027A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6E29"/>
    <w:rsid w:val="00257BE5"/>
    <w:rsid w:val="00272200"/>
    <w:rsid w:val="00276C64"/>
    <w:rsid w:val="0028315E"/>
    <w:rsid w:val="0028433A"/>
    <w:rsid w:val="00286CF2"/>
    <w:rsid w:val="0028735A"/>
    <w:rsid w:val="0029283C"/>
    <w:rsid w:val="00293D38"/>
    <w:rsid w:val="0029500D"/>
    <w:rsid w:val="00297104"/>
    <w:rsid w:val="002B7995"/>
    <w:rsid w:val="002C5A50"/>
    <w:rsid w:val="002C6E70"/>
    <w:rsid w:val="002D0E5B"/>
    <w:rsid w:val="002D3643"/>
    <w:rsid w:val="002D46DA"/>
    <w:rsid w:val="002E2DAD"/>
    <w:rsid w:val="002E7122"/>
    <w:rsid w:val="002F111F"/>
    <w:rsid w:val="002F2791"/>
    <w:rsid w:val="002F5466"/>
    <w:rsid w:val="002F56B7"/>
    <w:rsid w:val="0030237B"/>
    <w:rsid w:val="003027B1"/>
    <w:rsid w:val="00302A67"/>
    <w:rsid w:val="00311FD5"/>
    <w:rsid w:val="003247A4"/>
    <w:rsid w:val="0033279C"/>
    <w:rsid w:val="003366E7"/>
    <w:rsid w:val="0034288F"/>
    <w:rsid w:val="00343838"/>
    <w:rsid w:val="00347F87"/>
    <w:rsid w:val="00350594"/>
    <w:rsid w:val="003543C0"/>
    <w:rsid w:val="00354A26"/>
    <w:rsid w:val="0035753E"/>
    <w:rsid w:val="003610B6"/>
    <w:rsid w:val="0036504A"/>
    <w:rsid w:val="00372316"/>
    <w:rsid w:val="00372ABD"/>
    <w:rsid w:val="00374BAE"/>
    <w:rsid w:val="00375767"/>
    <w:rsid w:val="003764B8"/>
    <w:rsid w:val="003813C5"/>
    <w:rsid w:val="00384699"/>
    <w:rsid w:val="00385387"/>
    <w:rsid w:val="00385F6B"/>
    <w:rsid w:val="00386AF7"/>
    <w:rsid w:val="00386E0A"/>
    <w:rsid w:val="00391FAB"/>
    <w:rsid w:val="003B008E"/>
    <w:rsid w:val="003B09D0"/>
    <w:rsid w:val="003B1008"/>
    <w:rsid w:val="003B27DE"/>
    <w:rsid w:val="003B41CB"/>
    <w:rsid w:val="003B48E5"/>
    <w:rsid w:val="003B5BA9"/>
    <w:rsid w:val="003B6C1C"/>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ED8B6"/>
    <w:rsid w:val="003F161B"/>
    <w:rsid w:val="003F3CB0"/>
    <w:rsid w:val="003F6E9D"/>
    <w:rsid w:val="00400432"/>
    <w:rsid w:val="00403C5B"/>
    <w:rsid w:val="00407533"/>
    <w:rsid w:val="00410615"/>
    <w:rsid w:val="004121D9"/>
    <w:rsid w:val="00414896"/>
    <w:rsid w:val="0042552D"/>
    <w:rsid w:val="004276BA"/>
    <w:rsid w:val="004308C7"/>
    <w:rsid w:val="00430C3B"/>
    <w:rsid w:val="00432926"/>
    <w:rsid w:val="00433557"/>
    <w:rsid w:val="00433D4D"/>
    <w:rsid w:val="004372B6"/>
    <w:rsid w:val="0043752D"/>
    <w:rsid w:val="00437772"/>
    <w:rsid w:val="004462A6"/>
    <w:rsid w:val="00446747"/>
    <w:rsid w:val="00451C67"/>
    <w:rsid w:val="00452F29"/>
    <w:rsid w:val="00454D76"/>
    <w:rsid w:val="00456B2D"/>
    <w:rsid w:val="00457556"/>
    <w:rsid w:val="00465E6B"/>
    <w:rsid w:val="00472A7C"/>
    <w:rsid w:val="00475151"/>
    <w:rsid w:val="00476327"/>
    <w:rsid w:val="0048300B"/>
    <w:rsid w:val="00485881"/>
    <w:rsid w:val="0048774B"/>
    <w:rsid w:val="00490915"/>
    <w:rsid w:val="00494943"/>
    <w:rsid w:val="00495203"/>
    <w:rsid w:val="004964CA"/>
    <w:rsid w:val="0049751E"/>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02169"/>
    <w:rsid w:val="005145ED"/>
    <w:rsid w:val="005165AD"/>
    <w:rsid w:val="00526956"/>
    <w:rsid w:val="00527663"/>
    <w:rsid w:val="00532B91"/>
    <w:rsid w:val="0053316C"/>
    <w:rsid w:val="00534962"/>
    <w:rsid w:val="00536EB2"/>
    <w:rsid w:val="00544099"/>
    <w:rsid w:val="00546AF7"/>
    <w:rsid w:val="00552D8F"/>
    <w:rsid w:val="00555585"/>
    <w:rsid w:val="005612F3"/>
    <w:rsid w:val="005635FA"/>
    <w:rsid w:val="00574B16"/>
    <w:rsid w:val="00580A77"/>
    <w:rsid w:val="005818CF"/>
    <w:rsid w:val="005837F0"/>
    <w:rsid w:val="0058556D"/>
    <w:rsid w:val="00585CEE"/>
    <w:rsid w:val="00587AE6"/>
    <w:rsid w:val="00591161"/>
    <w:rsid w:val="005934ED"/>
    <w:rsid w:val="00596F73"/>
    <w:rsid w:val="005B27FB"/>
    <w:rsid w:val="005B3ED1"/>
    <w:rsid w:val="005B621F"/>
    <w:rsid w:val="005B7791"/>
    <w:rsid w:val="005C0E21"/>
    <w:rsid w:val="005C29ED"/>
    <w:rsid w:val="005C3704"/>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29E4"/>
    <w:rsid w:val="00613440"/>
    <w:rsid w:val="00615D12"/>
    <w:rsid w:val="00617B7F"/>
    <w:rsid w:val="006242F0"/>
    <w:rsid w:val="006253D8"/>
    <w:rsid w:val="006316B1"/>
    <w:rsid w:val="00632A37"/>
    <w:rsid w:val="00636173"/>
    <w:rsid w:val="00636341"/>
    <w:rsid w:val="00637198"/>
    <w:rsid w:val="00640445"/>
    <w:rsid w:val="00645EB9"/>
    <w:rsid w:val="006465D2"/>
    <w:rsid w:val="006555BF"/>
    <w:rsid w:val="0065616A"/>
    <w:rsid w:val="00656655"/>
    <w:rsid w:val="0066567C"/>
    <w:rsid w:val="006701F0"/>
    <w:rsid w:val="006724D0"/>
    <w:rsid w:val="00680F51"/>
    <w:rsid w:val="00683A4B"/>
    <w:rsid w:val="00683F80"/>
    <w:rsid w:val="0068683B"/>
    <w:rsid w:val="00691342"/>
    <w:rsid w:val="006A063F"/>
    <w:rsid w:val="006A10F3"/>
    <w:rsid w:val="006A4F74"/>
    <w:rsid w:val="006A6751"/>
    <w:rsid w:val="006B10E9"/>
    <w:rsid w:val="006B198C"/>
    <w:rsid w:val="006B237A"/>
    <w:rsid w:val="006B27E0"/>
    <w:rsid w:val="006B416E"/>
    <w:rsid w:val="006C004C"/>
    <w:rsid w:val="006C02BD"/>
    <w:rsid w:val="006C15DB"/>
    <w:rsid w:val="006D0464"/>
    <w:rsid w:val="006D0799"/>
    <w:rsid w:val="006D1D28"/>
    <w:rsid w:val="006D1DD8"/>
    <w:rsid w:val="006D4741"/>
    <w:rsid w:val="006D6465"/>
    <w:rsid w:val="006E1536"/>
    <w:rsid w:val="006E1B6F"/>
    <w:rsid w:val="006E214D"/>
    <w:rsid w:val="006E25F6"/>
    <w:rsid w:val="006E55C1"/>
    <w:rsid w:val="006F6490"/>
    <w:rsid w:val="006F663A"/>
    <w:rsid w:val="00703BE0"/>
    <w:rsid w:val="00705CF5"/>
    <w:rsid w:val="007062A6"/>
    <w:rsid w:val="00713B94"/>
    <w:rsid w:val="00716CEC"/>
    <w:rsid w:val="00717537"/>
    <w:rsid w:val="007200CC"/>
    <w:rsid w:val="00724059"/>
    <w:rsid w:val="007246E1"/>
    <w:rsid w:val="00725DA6"/>
    <w:rsid w:val="00730532"/>
    <w:rsid w:val="00731F42"/>
    <w:rsid w:val="00732439"/>
    <w:rsid w:val="00734AF8"/>
    <w:rsid w:val="007404A3"/>
    <w:rsid w:val="00745B89"/>
    <w:rsid w:val="00745F36"/>
    <w:rsid w:val="00752063"/>
    <w:rsid w:val="00755F22"/>
    <w:rsid w:val="0075633E"/>
    <w:rsid w:val="0075674E"/>
    <w:rsid w:val="00756E0D"/>
    <w:rsid w:val="00757472"/>
    <w:rsid w:val="00760514"/>
    <w:rsid w:val="00762C46"/>
    <w:rsid w:val="007679D8"/>
    <w:rsid w:val="00773068"/>
    <w:rsid w:val="007757E8"/>
    <w:rsid w:val="00785937"/>
    <w:rsid w:val="00790401"/>
    <w:rsid w:val="00790AD2"/>
    <w:rsid w:val="0079264A"/>
    <w:rsid w:val="00796755"/>
    <w:rsid w:val="00796E71"/>
    <w:rsid w:val="007979A7"/>
    <w:rsid w:val="00797F75"/>
    <w:rsid w:val="007A1F12"/>
    <w:rsid w:val="007B1555"/>
    <w:rsid w:val="007C43C1"/>
    <w:rsid w:val="007D08FC"/>
    <w:rsid w:val="007D5014"/>
    <w:rsid w:val="007E2744"/>
    <w:rsid w:val="007E4EC4"/>
    <w:rsid w:val="007E6E4B"/>
    <w:rsid w:val="007F2D29"/>
    <w:rsid w:val="007F3F24"/>
    <w:rsid w:val="007F4B75"/>
    <w:rsid w:val="007F6498"/>
    <w:rsid w:val="007F6B18"/>
    <w:rsid w:val="00802870"/>
    <w:rsid w:val="00806042"/>
    <w:rsid w:val="008122F2"/>
    <w:rsid w:val="008145A2"/>
    <w:rsid w:val="0081555F"/>
    <w:rsid w:val="0081639D"/>
    <w:rsid w:val="008174A6"/>
    <w:rsid w:val="0082213D"/>
    <w:rsid w:val="00826F5D"/>
    <w:rsid w:val="008277B1"/>
    <w:rsid w:val="00831EE0"/>
    <w:rsid w:val="0083798F"/>
    <w:rsid w:val="00840129"/>
    <w:rsid w:val="00841B8C"/>
    <w:rsid w:val="008420FD"/>
    <w:rsid w:val="008422F2"/>
    <w:rsid w:val="0084590F"/>
    <w:rsid w:val="00845EDF"/>
    <w:rsid w:val="008475B8"/>
    <w:rsid w:val="00851E44"/>
    <w:rsid w:val="00852E5A"/>
    <w:rsid w:val="0085576F"/>
    <w:rsid w:val="00856092"/>
    <w:rsid w:val="00856DAD"/>
    <w:rsid w:val="008624E2"/>
    <w:rsid w:val="00862DE2"/>
    <w:rsid w:val="008640BB"/>
    <w:rsid w:val="008667A9"/>
    <w:rsid w:val="00873479"/>
    <w:rsid w:val="0087426B"/>
    <w:rsid w:val="00882BEF"/>
    <w:rsid w:val="00884568"/>
    <w:rsid w:val="00885126"/>
    <w:rsid w:val="00886DE9"/>
    <w:rsid w:val="00890BB8"/>
    <w:rsid w:val="008911C0"/>
    <w:rsid w:val="00892CA9"/>
    <w:rsid w:val="00894644"/>
    <w:rsid w:val="008946A7"/>
    <w:rsid w:val="00894A4B"/>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450"/>
    <w:rsid w:val="00914861"/>
    <w:rsid w:val="00916C88"/>
    <w:rsid w:val="00917106"/>
    <w:rsid w:val="00920F55"/>
    <w:rsid w:val="009265DD"/>
    <w:rsid w:val="009319AE"/>
    <w:rsid w:val="009375BF"/>
    <w:rsid w:val="0094130E"/>
    <w:rsid w:val="009617D1"/>
    <w:rsid w:val="00962062"/>
    <w:rsid w:val="00963E0B"/>
    <w:rsid w:val="009646F5"/>
    <w:rsid w:val="00973BC6"/>
    <w:rsid w:val="009757DA"/>
    <w:rsid w:val="00981E60"/>
    <w:rsid w:val="009822CC"/>
    <w:rsid w:val="00982820"/>
    <w:rsid w:val="009852F9"/>
    <w:rsid w:val="0099269F"/>
    <w:rsid w:val="00992B05"/>
    <w:rsid w:val="00994102"/>
    <w:rsid w:val="009942BE"/>
    <w:rsid w:val="009A3F46"/>
    <w:rsid w:val="009A5DA3"/>
    <w:rsid w:val="009B04F7"/>
    <w:rsid w:val="009B5565"/>
    <w:rsid w:val="009C3E78"/>
    <w:rsid w:val="009C7888"/>
    <w:rsid w:val="009D4BF5"/>
    <w:rsid w:val="009E0644"/>
    <w:rsid w:val="009E13FE"/>
    <w:rsid w:val="009E34CC"/>
    <w:rsid w:val="009E476E"/>
    <w:rsid w:val="009F3DAF"/>
    <w:rsid w:val="009F4755"/>
    <w:rsid w:val="009F5929"/>
    <w:rsid w:val="009F642E"/>
    <w:rsid w:val="00A00A07"/>
    <w:rsid w:val="00A02455"/>
    <w:rsid w:val="00A03E79"/>
    <w:rsid w:val="00A107B3"/>
    <w:rsid w:val="00A12654"/>
    <w:rsid w:val="00A12B6D"/>
    <w:rsid w:val="00A14898"/>
    <w:rsid w:val="00A17292"/>
    <w:rsid w:val="00A27332"/>
    <w:rsid w:val="00A310F3"/>
    <w:rsid w:val="00A32644"/>
    <w:rsid w:val="00A3724D"/>
    <w:rsid w:val="00A37A9B"/>
    <w:rsid w:val="00A4008F"/>
    <w:rsid w:val="00A42FBD"/>
    <w:rsid w:val="00A5113C"/>
    <w:rsid w:val="00A525B9"/>
    <w:rsid w:val="00A575FC"/>
    <w:rsid w:val="00A66AC8"/>
    <w:rsid w:val="00A67863"/>
    <w:rsid w:val="00A70557"/>
    <w:rsid w:val="00A739EA"/>
    <w:rsid w:val="00A73FDA"/>
    <w:rsid w:val="00A77317"/>
    <w:rsid w:val="00A84F0D"/>
    <w:rsid w:val="00A90826"/>
    <w:rsid w:val="00A93476"/>
    <w:rsid w:val="00A95A19"/>
    <w:rsid w:val="00A95FB0"/>
    <w:rsid w:val="00AA2978"/>
    <w:rsid w:val="00AA3E98"/>
    <w:rsid w:val="00AB3000"/>
    <w:rsid w:val="00AB3DFF"/>
    <w:rsid w:val="00AB6599"/>
    <w:rsid w:val="00AC3F17"/>
    <w:rsid w:val="00AC5690"/>
    <w:rsid w:val="00AE1221"/>
    <w:rsid w:val="00AE3AEB"/>
    <w:rsid w:val="00AF205E"/>
    <w:rsid w:val="00AF41B0"/>
    <w:rsid w:val="00AF5A70"/>
    <w:rsid w:val="00AF7AF9"/>
    <w:rsid w:val="00B017A5"/>
    <w:rsid w:val="00B04D1F"/>
    <w:rsid w:val="00B0622B"/>
    <w:rsid w:val="00B1075F"/>
    <w:rsid w:val="00B111AB"/>
    <w:rsid w:val="00B15733"/>
    <w:rsid w:val="00B20994"/>
    <w:rsid w:val="00B21626"/>
    <w:rsid w:val="00B2713B"/>
    <w:rsid w:val="00B2773F"/>
    <w:rsid w:val="00B30895"/>
    <w:rsid w:val="00B328C8"/>
    <w:rsid w:val="00B334A0"/>
    <w:rsid w:val="00B34AB1"/>
    <w:rsid w:val="00B34DB3"/>
    <w:rsid w:val="00B50669"/>
    <w:rsid w:val="00B509AD"/>
    <w:rsid w:val="00B5283A"/>
    <w:rsid w:val="00B546CE"/>
    <w:rsid w:val="00B56A4E"/>
    <w:rsid w:val="00B56A51"/>
    <w:rsid w:val="00B5762E"/>
    <w:rsid w:val="00B7284B"/>
    <w:rsid w:val="00B73C52"/>
    <w:rsid w:val="00B80C9B"/>
    <w:rsid w:val="00B81AB7"/>
    <w:rsid w:val="00B8365D"/>
    <w:rsid w:val="00B866A5"/>
    <w:rsid w:val="00B906DF"/>
    <w:rsid w:val="00B91F92"/>
    <w:rsid w:val="00B935B7"/>
    <w:rsid w:val="00B946A3"/>
    <w:rsid w:val="00BA010D"/>
    <w:rsid w:val="00BA1AB6"/>
    <w:rsid w:val="00BA3E54"/>
    <w:rsid w:val="00BA6945"/>
    <w:rsid w:val="00BA75AF"/>
    <w:rsid w:val="00BC3CDA"/>
    <w:rsid w:val="00BD1EDB"/>
    <w:rsid w:val="00BD6034"/>
    <w:rsid w:val="00BE1FE1"/>
    <w:rsid w:val="00BE2981"/>
    <w:rsid w:val="00BE64E0"/>
    <w:rsid w:val="00BF056F"/>
    <w:rsid w:val="00BF2BC5"/>
    <w:rsid w:val="00BF321E"/>
    <w:rsid w:val="00BF3BAC"/>
    <w:rsid w:val="00BF50D6"/>
    <w:rsid w:val="00C00032"/>
    <w:rsid w:val="00C129B9"/>
    <w:rsid w:val="00C12DE6"/>
    <w:rsid w:val="00C15B7B"/>
    <w:rsid w:val="00C22685"/>
    <w:rsid w:val="00C23E57"/>
    <w:rsid w:val="00C260C9"/>
    <w:rsid w:val="00C26E3E"/>
    <w:rsid w:val="00C32699"/>
    <w:rsid w:val="00C35494"/>
    <w:rsid w:val="00C417C9"/>
    <w:rsid w:val="00C42B54"/>
    <w:rsid w:val="00C43F22"/>
    <w:rsid w:val="00C4471E"/>
    <w:rsid w:val="00C44B4E"/>
    <w:rsid w:val="00C45D12"/>
    <w:rsid w:val="00C50737"/>
    <w:rsid w:val="00C50F62"/>
    <w:rsid w:val="00C54CD1"/>
    <w:rsid w:val="00C57A84"/>
    <w:rsid w:val="00C6176E"/>
    <w:rsid w:val="00C61F00"/>
    <w:rsid w:val="00C63A2C"/>
    <w:rsid w:val="00C66709"/>
    <w:rsid w:val="00C6719E"/>
    <w:rsid w:val="00C7169D"/>
    <w:rsid w:val="00C76E4E"/>
    <w:rsid w:val="00C8046B"/>
    <w:rsid w:val="00C8418E"/>
    <w:rsid w:val="00C84CC1"/>
    <w:rsid w:val="00C91699"/>
    <w:rsid w:val="00C92797"/>
    <w:rsid w:val="00C97CC2"/>
    <w:rsid w:val="00C97F2B"/>
    <w:rsid w:val="00CA080B"/>
    <w:rsid w:val="00CA25B2"/>
    <w:rsid w:val="00CA2A88"/>
    <w:rsid w:val="00CB359C"/>
    <w:rsid w:val="00CC0085"/>
    <w:rsid w:val="00CC21C9"/>
    <w:rsid w:val="00CC4C23"/>
    <w:rsid w:val="00CC51FF"/>
    <w:rsid w:val="00CC77EE"/>
    <w:rsid w:val="00CD62FF"/>
    <w:rsid w:val="00CE2434"/>
    <w:rsid w:val="00CE4C99"/>
    <w:rsid w:val="00CE5EE2"/>
    <w:rsid w:val="00CE7358"/>
    <w:rsid w:val="00CF2296"/>
    <w:rsid w:val="00D00048"/>
    <w:rsid w:val="00D0044E"/>
    <w:rsid w:val="00D0289B"/>
    <w:rsid w:val="00D063E0"/>
    <w:rsid w:val="00D067E9"/>
    <w:rsid w:val="00D07E76"/>
    <w:rsid w:val="00D10D3A"/>
    <w:rsid w:val="00D17BB0"/>
    <w:rsid w:val="00D2010B"/>
    <w:rsid w:val="00D20E23"/>
    <w:rsid w:val="00D21C2C"/>
    <w:rsid w:val="00D2517B"/>
    <w:rsid w:val="00D25F7E"/>
    <w:rsid w:val="00D27573"/>
    <w:rsid w:val="00D3030F"/>
    <w:rsid w:val="00D3273A"/>
    <w:rsid w:val="00D401C8"/>
    <w:rsid w:val="00D40E5E"/>
    <w:rsid w:val="00D42F12"/>
    <w:rsid w:val="00D435F4"/>
    <w:rsid w:val="00D477C4"/>
    <w:rsid w:val="00D5170A"/>
    <w:rsid w:val="00D55AD3"/>
    <w:rsid w:val="00D55BB5"/>
    <w:rsid w:val="00D6141A"/>
    <w:rsid w:val="00D6160E"/>
    <w:rsid w:val="00D61976"/>
    <w:rsid w:val="00D643F1"/>
    <w:rsid w:val="00D7043B"/>
    <w:rsid w:val="00D7062B"/>
    <w:rsid w:val="00D70ECD"/>
    <w:rsid w:val="00D735B7"/>
    <w:rsid w:val="00D776B6"/>
    <w:rsid w:val="00D84793"/>
    <w:rsid w:val="00D8563F"/>
    <w:rsid w:val="00D87042"/>
    <w:rsid w:val="00D92143"/>
    <w:rsid w:val="00D973E5"/>
    <w:rsid w:val="00D97BF7"/>
    <w:rsid w:val="00DA0028"/>
    <w:rsid w:val="00DA02F0"/>
    <w:rsid w:val="00DA0DA7"/>
    <w:rsid w:val="00DA1456"/>
    <w:rsid w:val="00DA19CC"/>
    <w:rsid w:val="00DA39EF"/>
    <w:rsid w:val="00DA5AE6"/>
    <w:rsid w:val="00DA6493"/>
    <w:rsid w:val="00DB0136"/>
    <w:rsid w:val="00DB02EF"/>
    <w:rsid w:val="00DB54FF"/>
    <w:rsid w:val="00DB6D9E"/>
    <w:rsid w:val="00DB7BCE"/>
    <w:rsid w:val="00DC0F9E"/>
    <w:rsid w:val="00DC6AE7"/>
    <w:rsid w:val="00DD1BE1"/>
    <w:rsid w:val="00DD1F06"/>
    <w:rsid w:val="00DD276E"/>
    <w:rsid w:val="00DD35AB"/>
    <w:rsid w:val="00DD6763"/>
    <w:rsid w:val="00DE21C3"/>
    <w:rsid w:val="00DE308D"/>
    <w:rsid w:val="00DE3D86"/>
    <w:rsid w:val="00DE5974"/>
    <w:rsid w:val="00DF189F"/>
    <w:rsid w:val="00DF2553"/>
    <w:rsid w:val="00DF6946"/>
    <w:rsid w:val="00E0123B"/>
    <w:rsid w:val="00E03CCC"/>
    <w:rsid w:val="00E061E1"/>
    <w:rsid w:val="00E07C76"/>
    <w:rsid w:val="00E10006"/>
    <w:rsid w:val="00E104D1"/>
    <w:rsid w:val="00E11F8B"/>
    <w:rsid w:val="00E1699D"/>
    <w:rsid w:val="00E25F9C"/>
    <w:rsid w:val="00E26983"/>
    <w:rsid w:val="00E31153"/>
    <w:rsid w:val="00E32E4B"/>
    <w:rsid w:val="00E360E5"/>
    <w:rsid w:val="00E3647D"/>
    <w:rsid w:val="00E450CC"/>
    <w:rsid w:val="00E507FC"/>
    <w:rsid w:val="00E54EEF"/>
    <w:rsid w:val="00E55EAE"/>
    <w:rsid w:val="00E5669C"/>
    <w:rsid w:val="00E61A8D"/>
    <w:rsid w:val="00E63058"/>
    <w:rsid w:val="00E638CC"/>
    <w:rsid w:val="00E73450"/>
    <w:rsid w:val="00E73568"/>
    <w:rsid w:val="00E8348A"/>
    <w:rsid w:val="00E871F3"/>
    <w:rsid w:val="00E90359"/>
    <w:rsid w:val="00E90510"/>
    <w:rsid w:val="00E90DDF"/>
    <w:rsid w:val="00E94F29"/>
    <w:rsid w:val="00E955B8"/>
    <w:rsid w:val="00E96219"/>
    <w:rsid w:val="00EA449D"/>
    <w:rsid w:val="00EA6405"/>
    <w:rsid w:val="00EA7D81"/>
    <w:rsid w:val="00EB0DC4"/>
    <w:rsid w:val="00EB0EDA"/>
    <w:rsid w:val="00EB4D22"/>
    <w:rsid w:val="00EB64CF"/>
    <w:rsid w:val="00EB6E48"/>
    <w:rsid w:val="00EB72F2"/>
    <w:rsid w:val="00EC2A84"/>
    <w:rsid w:val="00EC3758"/>
    <w:rsid w:val="00EC4B09"/>
    <w:rsid w:val="00EC5142"/>
    <w:rsid w:val="00EC6B13"/>
    <w:rsid w:val="00ED0A15"/>
    <w:rsid w:val="00ED3BA5"/>
    <w:rsid w:val="00ED6945"/>
    <w:rsid w:val="00ED6FD1"/>
    <w:rsid w:val="00EE0513"/>
    <w:rsid w:val="00EE15A5"/>
    <w:rsid w:val="00EE2417"/>
    <w:rsid w:val="00EE278D"/>
    <w:rsid w:val="00EE5809"/>
    <w:rsid w:val="00EE5FED"/>
    <w:rsid w:val="00EF09B1"/>
    <w:rsid w:val="00EF33AC"/>
    <w:rsid w:val="00EF3FD3"/>
    <w:rsid w:val="00EF62CE"/>
    <w:rsid w:val="00EF74DB"/>
    <w:rsid w:val="00F01231"/>
    <w:rsid w:val="00F01773"/>
    <w:rsid w:val="00F052B9"/>
    <w:rsid w:val="00F056ED"/>
    <w:rsid w:val="00F1129E"/>
    <w:rsid w:val="00F148BB"/>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0EF3"/>
    <w:rsid w:val="00F521D3"/>
    <w:rsid w:val="00F52217"/>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54E9"/>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1C92456"/>
    <w:rsid w:val="0315216A"/>
    <w:rsid w:val="036FB1F1"/>
    <w:rsid w:val="03AEA9DB"/>
    <w:rsid w:val="05F4E3C3"/>
    <w:rsid w:val="08829EE1"/>
    <w:rsid w:val="097BB7CE"/>
    <w:rsid w:val="0A1E6F42"/>
    <w:rsid w:val="0F5F924D"/>
    <w:rsid w:val="10BDCFDB"/>
    <w:rsid w:val="10D5E413"/>
    <w:rsid w:val="10EFBC62"/>
    <w:rsid w:val="12A8E731"/>
    <w:rsid w:val="14E931A2"/>
    <w:rsid w:val="15521A64"/>
    <w:rsid w:val="186B347C"/>
    <w:rsid w:val="1924181A"/>
    <w:rsid w:val="1A555856"/>
    <w:rsid w:val="1AAE4FCD"/>
    <w:rsid w:val="1AD9B1ED"/>
    <w:rsid w:val="1AF874E3"/>
    <w:rsid w:val="1D76E2E0"/>
    <w:rsid w:val="211B0865"/>
    <w:rsid w:val="21406562"/>
    <w:rsid w:val="24453067"/>
    <w:rsid w:val="27ABC0E1"/>
    <w:rsid w:val="2AF48AAC"/>
    <w:rsid w:val="2B292E3F"/>
    <w:rsid w:val="2C905B0D"/>
    <w:rsid w:val="2DFE1B62"/>
    <w:rsid w:val="308417FE"/>
    <w:rsid w:val="30F8E03C"/>
    <w:rsid w:val="35578921"/>
    <w:rsid w:val="36DFB6C7"/>
    <w:rsid w:val="37151C55"/>
    <w:rsid w:val="38ABC9CB"/>
    <w:rsid w:val="392FFBED"/>
    <w:rsid w:val="399BCB50"/>
    <w:rsid w:val="39B74DEB"/>
    <w:rsid w:val="3A077323"/>
    <w:rsid w:val="3AF18619"/>
    <w:rsid w:val="3B40B3CA"/>
    <w:rsid w:val="3B430BDE"/>
    <w:rsid w:val="3B5AFD52"/>
    <w:rsid w:val="3D45E009"/>
    <w:rsid w:val="3F12602F"/>
    <w:rsid w:val="3F226404"/>
    <w:rsid w:val="40856E51"/>
    <w:rsid w:val="4274D147"/>
    <w:rsid w:val="43BD0F13"/>
    <w:rsid w:val="44AE24FC"/>
    <w:rsid w:val="4558DF74"/>
    <w:rsid w:val="45B923F1"/>
    <w:rsid w:val="469868BF"/>
    <w:rsid w:val="47A3C707"/>
    <w:rsid w:val="48060E75"/>
    <w:rsid w:val="48F492D4"/>
    <w:rsid w:val="4A906335"/>
    <w:rsid w:val="4AD6D29C"/>
    <w:rsid w:val="4B56049D"/>
    <w:rsid w:val="4CB78905"/>
    <w:rsid w:val="4E9D0A47"/>
    <w:rsid w:val="50AFADA6"/>
    <w:rsid w:val="51254E2F"/>
    <w:rsid w:val="53D8711E"/>
    <w:rsid w:val="56FC611F"/>
    <w:rsid w:val="57169493"/>
    <w:rsid w:val="5A402853"/>
    <w:rsid w:val="5BC51C65"/>
    <w:rsid w:val="5C85A548"/>
    <w:rsid w:val="5D17E458"/>
    <w:rsid w:val="5D873E7B"/>
    <w:rsid w:val="5DF868A3"/>
    <w:rsid w:val="5E5B8546"/>
    <w:rsid w:val="5FC4FCB6"/>
    <w:rsid w:val="632820DC"/>
    <w:rsid w:val="64F359EE"/>
    <w:rsid w:val="655BB263"/>
    <w:rsid w:val="66C429AB"/>
    <w:rsid w:val="66CBC1C2"/>
    <w:rsid w:val="6844ECC9"/>
    <w:rsid w:val="68A3302E"/>
    <w:rsid w:val="6A3F008F"/>
    <w:rsid w:val="6B9F32E5"/>
    <w:rsid w:val="6CCF0322"/>
    <w:rsid w:val="6D73E997"/>
    <w:rsid w:val="6D89B3F3"/>
    <w:rsid w:val="6DB7C7BF"/>
    <w:rsid w:val="6DEDBFC6"/>
    <w:rsid w:val="706D966A"/>
    <w:rsid w:val="71256088"/>
    <w:rsid w:val="72040F1F"/>
    <w:rsid w:val="7272A15A"/>
    <w:rsid w:val="72E3B5B8"/>
    <w:rsid w:val="74776436"/>
    <w:rsid w:val="7485FE85"/>
    <w:rsid w:val="75E4A46B"/>
    <w:rsid w:val="76EE88F4"/>
    <w:rsid w:val="79588DC5"/>
    <w:rsid w:val="7A6BBD53"/>
    <w:rsid w:val="7B381BB4"/>
    <w:rsid w:val="7B5F291F"/>
    <w:rsid w:val="7B6B6792"/>
    <w:rsid w:val="7E402B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7D72"/>
  <w15:chartTrackingRefBased/>
  <w15:docId w15:val="{A89DB569-1582-434D-BAF8-1FE17BAB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31"/>
      </w:numPr>
    </w:pPr>
  </w:style>
  <w:style w:type="paragraph" w:customStyle="1" w:styleId="NormalBullet-">
    <w:name w:val="Normal Bullet (-)"/>
    <w:basedOn w:val="Normal"/>
    <w:uiPriority w:val="5"/>
    <w:qFormat/>
    <w:rsid w:val="0021141B"/>
    <w:pPr>
      <w:numPr>
        <w:ilvl w:val="5"/>
        <w:numId w:val="31"/>
      </w:numPr>
    </w:pPr>
  </w:style>
  <w:style w:type="paragraph" w:customStyle="1" w:styleId="NormalBulletalpha">
    <w:name w:val="Normal Bullet (alpha)"/>
    <w:basedOn w:val="Normal"/>
    <w:uiPriority w:val="5"/>
    <w:qFormat/>
    <w:rsid w:val="0021141B"/>
    <w:pPr>
      <w:numPr>
        <w:ilvl w:val="1"/>
        <w:numId w:val="31"/>
      </w:numPr>
    </w:pPr>
  </w:style>
  <w:style w:type="paragraph" w:customStyle="1" w:styleId="NormalBulletroman">
    <w:name w:val="Normal Bullet (roman)"/>
    <w:basedOn w:val="Normal"/>
    <w:uiPriority w:val="5"/>
    <w:qFormat/>
    <w:rsid w:val="0021141B"/>
    <w:pPr>
      <w:numPr>
        <w:ilvl w:val="2"/>
        <w:numId w:val="31"/>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31"/>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31"/>
      </w:numPr>
    </w:pPr>
    <w:rPr>
      <w:b/>
    </w:rPr>
  </w:style>
  <w:style w:type="paragraph" w:customStyle="1" w:styleId="NormalFigureTitle">
    <w:name w:val="Normal FigureTitle"/>
    <w:basedOn w:val="Normal"/>
    <w:next w:val="Normal"/>
    <w:uiPriority w:val="26"/>
    <w:qFormat/>
    <w:rsid w:val="0021141B"/>
    <w:pPr>
      <w:keepNext/>
      <w:keepLines/>
      <w:numPr>
        <w:ilvl w:val="7"/>
        <w:numId w:val="31"/>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customStyle="1" w:styleId="paragraph">
    <w:name w:val="paragraph"/>
    <w:basedOn w:val="Normal"/>
    <w:rsid w:val="007D08F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D08FC"/>
  </w:style>
  <w:style w:type="character" w:customStyle="1" w:styleId="eop">
    <w:name w:val="eop"/>
    <w:basedOn w:val="DefaultParagraphFont"/>
    <w:rsid w:val="007D08FC"/>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0008">
      <w:bodyDiv w:val="1"/>
      <w:marLeft w:val="0"/>
      <w:marRight w:val="0"/>
      <w:marTop w:val="0"/>
      <w:marBottom w:val="0"/>
      <w:divBdr>
        <w:top w:val="none" w:sz="0" w:space="0" w:color="auto"/>
        <w:left w:val="none" w:sz="0" w:space="0" w:color="auto"/>
        <w:bottom w:val="none" w:sz="0" w:space="0" w:color="auto"/>
        <w:right w:val="none" w:sz="0" w:space="0" w:color="auto"/>
      </w:divBdr>
      <w:divsChild>
        <w:div w:id="374738448">
          <w:marLeft w:val="0"/>
          <w:marRight w:val="0"/>
          <w:marTop w:val="0"/>
          <w:marBottom w:val="0"/>
          <w:divBdr>
            <w:top w:val="none" w:sz="0" w:space="0" w:color="auto"/>
            <w:left w:val="none" w:sz="0" w:space="0" w:color="auto"/>
            <w:bottom w:val="none" w:sz="0" w:space="0" w:color="auto"/>
            <w:right w:val="none" w:sz="0" w:space="0" w:color="auto"/>
          </w:divBdr>
        </w:div>
        <w:div w:id="983124387">
          <w:marLeft w:val="0"/>
          <w:marRight w:val="0"/>
          <w:marTop w:val="0"/>
          <w:marBottom w:val="0"/>
          <w:divBdr>
            <w:top w:val="none" w:sz="0" w:space="0" w:color="auto"/>
            <w:left w:val="none" w:sz="0" w:space="0" w:color="auto"/>
            <w:bottom w:val="none" w:sz="0" w:space="0" w:color="auto"/>
            <w:right w:val="none" w:sz="0" w:space="0" w:color="auto"/>
          </w:divBdr>
        </w:div>
        <w:div w:id="1287158767">
          <w:marLeft w:val="0"/>
          <w:marRight w:val="0"/>
          <w:marTop w:val="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gov.uk/contracts-finder" TargetMode="External"/><Relationship Id="rId3" Type="http://schemas.openxmlformats.org/officeDocument/2006/relationships/numbering" Target="numbering.xml"/><Relationship Id="rId21" Type="http://schemas.openxmlformats.org/officeDocument/2006/relationships/hyperlink" Target="https://www.orr.gov.uk/media/23638"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nationalarchives.gov.uk/doc/open-government-licence/version/3"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channel-tunnel-intergovernmental-commission-igc-and-safety-authority-ctsa"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yperlink" Target="mailto:procurementteam@orr.gov.uk" TargetMode="External"/><Relationship Id="rId30" Type="http://schemas.openxmlformats.org/officeDocument/2006/relationships/footer" Target="footer6.xml"/><Relationship Id="rId35" Type="http://schemas.openxmlformats.org/officeDocument/2006/relationships/glossaryDocument" Target="glossary/document.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14FAC"/>
    <w:rsid w:val="00184A6A"/>
    <w:rsid w:val="00196BCF"/>
    <w:rsid w:val="001D34EA"/>
    <w:rsid w:val="002E1A1A"/>
    <w:rsid w:val="003D0DCD"/>
    <w:rsid w:val="00470279"/>
    <w:rsid w:val="00491328"/>
    <w:rsid w:val="004D486D"/>
    <w:rsid w:val="005079D2"/>
    <w:rsid w:val="00673731"/>
    <w:rsid w:val="00694658"/>
    <w:rsid w:val="00843948"/>
    <w:rsid w:val="00881521"/>
    <w:rsid w:val="00892B04"/>
    <w:rsid w:val="009E0644"/>
    <w:rsid w:val="00A05E45"/>
    <w:rsid w:val="00A257DF"/>
    <w:rsid w:val="00A72823"/>
    <w:rsid w:val="00BF16A9"/>
    <w:rsid w:val="00C5001C"/>
    <w:rsid w:val="00C62B60"/>
    <w:rsid w:val="00C73C7B"/>
    <w:rsid w:val="00F06A05"/>
    <w:rsid w:val="00F33E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FAC"/>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22</Pages>
  <Words>4587</Words>
  <Characters>27156</Characters>
  <Application>Microsoft Office Word</Application>
  <DocSecurity>0</DocSecurity>
  <Lines>2088</Lines>
  <Paragraphs>1442</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Rolling stock expertise and vehicle authorisation support for the Channel Tunnel Safety Authority.</dc:subject>
  <dc:creator>Angeriz-Santos, Paula</dc:creator>
  <cp:keywords/>
  <dc:description/>
  <cp:lastModifiedBy>Dinkele, Harriet</cp:lastModifiedBy>
  <cp:revision>2</cp:revision>
  <cp:lastPrinted>2021-02-24T15:29:00Z</cp:lastPrinted>
  <dcterms:created xsi:type="dcterms:W3CDTF">2024-02-21T09:25:00Z</dcterms:created>
  <dcterms:modified xsi:type="dcterms:W3CDTF">2024-02-21T09:25:00Z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ies>
</file>