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C0" w:rsidRDefault="00E674C0" w:rsidP="00E674C0"/>
    <w:tbl>
      <w:tblPr>
        <w:tblW w:w="14474" w:type="dxa"/>
        <w:tblInd w:w="-23" w:type="dxa"/>
        <w:tblCellMar>
          <w:left w:w="0" w:type="dxa"/>
          <w:right w:w="0" w:type="dxa"/>
        </w:tblCellMar>
        <w:tblLook w:val="04A0" w:firstRow="1" w:lastRow="0" w:firstColumn="1" w:lastColumn="0" w:noHBand="0" w:noVBand="1"/>
      </w:tblPr>
      <w:tblGrid>
        <w:gridCol w:w="7245"/>
        <w:gridCol w:w="7229"/>
      </w:tblGrid>
      <w:tr w:rsidR="00E674C0" w:rsidTr="00E674C0">
        <w:trPr>
          <w:trHeight w:val="600"/>
        </w:trPr>
        <w:tc>
          <w:tcPr>
            <w:tcW w:w="7245"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rsidR="00E674C0" w:rsidRDefault="00E674C0">
            <w:r>
              <w:rPr>
                <w:rFonts w:ascii="Arial" w:hAnsi="Arial" w:cs="Arial"/>
                <w:b/>
                <w:bCs/>
                <w:color w:val="000000"/>
                <w:sz w:val="24"/>
                <w:szCs w:val="24"/>
                <w:lang w:eastAsia="en-GB"/>
              </w:rPr>
              <w:t xml:space="preserve">Question/ Point of Clarification </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674C0" w:rsidRDefault="00E674C0">
            <w:r>
              <w:rPr>
                <w:rFonts w:ascii="Arial" w:hAnsi="Arial" w:cs="Arial"/>
                <w:b/>
                <w:bCs/>
                <w:color w:val="000000"/>
                <w:sz w:val="24"/>
                <w:szCs w:val="24"/>
                <w:lang w:eastAsia="en-GB"/>
              </w:rPr>
              <w:t>Response</w:t>
            </w:r>
          </w:p>
        </w:tc>
      </w:tr>
      <w:tr w:rsidR="00E674C0" w:rsidTr="00242E8B">
        <w:trPr>
          <w:trHeight w:val="24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674C0" w:rsidRDefault="00242E8B" w:rsidP="00242E8B">
            <w:pPr>
              <w:pStyle w:val="ListParagraph"/>
              <w:numPr>
                <w:ilvl w:val="0"/>
                <w:numId w:val="2"/>
              </w:numPr>
            </w:pPr>
            <w:r>
              <w:t>Accounts</w:t>
            </w:r>
          </w:p>
          <w:p w:rsidR="00242E8B" w:rsidRDefault="00242E8B" w:rsidP="00242E8B">
            <w:pPr>
              <w:pStyle w:val="ListParagraph"/>
            </w:pPr>
            <w:r>
              <w:t>Please do NOT submit copies of accounts with your bid.</w:t>
            </w:r>
          </w:p>
          <w:p w:rsidR="00242E8B" w:rsidRDefault="00242E8B" w:rsidP="00242E8B">
            <w:pPr>
              <w:pStyle w:val="ListParagraph"/>
            </w:pPr>
            <w:r>
              <w:t>Bidders only have to indicate in the Suitability Questionnaire whether or not they would submit accounts if requested OR what alternative evidence of their financial standing they could submit – if requested</w:t>
            </w:r>
          </w:p>
          <w:p w:rsidR="0054429D" w:rsidRDefault="0054429D" w:rsidP="0054429D">
            <w:pPr>
              <w:pStyle w:val="ListParagraph"/>
            </w:pPr>
          </w:p>
          <w:p w:rsidR="0054429D" w:rsidRDefault="00242E8B" w:rsidP="0054429D">
            <w:pPr>
              <w:pStyle w:val="ListParagraph"/>
            </w:pPr>
            <w:r>
              <w:t>See</w:t>
            </w:r>
            <w:r w:rsidR="0054429D">
              <w:t>:</w:t>
            </w:r>
          </w:p>
          <w:p w:rsidR="0054429D" w:rsidRPr="0054429D" w:rsidRDefault="00242E8B" w:rsidP="0054429D">
            <w:pPr>
              <w:pStyle w:val="ListParagraph"/>
              <w:rPr>
                <w:i/>
              </w:rPr>
            </w:pPr>
            <w:r>
              <w:t>Doc 4 – ENC Property Expertise – Open Tender Document Four Tender Return, PART 3: SELECTION QUESTIONS</w:t>
            </w:r>
            <w:r w:rsidR="0054429D">
              <w:t>, 4 Economic and Financial Standing, 4.1</w:t>
            </w:r>
            <w:r w:rsidR="0054429D" w:rsidRPr="0054429D">
              <w:t xml:space="preserve"> </w:t>
            </w:r>
            <w:r w:rsidR="0054429D" w:rsidRPr="0054429D">
              <w:rPr>
                <w:i/>
              </w:rPr>
              <w:t>Are you able to provide a copy of your audited accounts for the last two years, if requested?</w:t>
            </w:r>
          </w:p>
          <w:p w:rsidR="0054429D" w:rsidRPr="0054429D" w:rsidRDefault="0054429D" w:rsidP="0054429D">
            <w:pPr>
              <w:pStyle w:val="ListParagraph"/>
              <w:rPr>
                <w:i/>
              </w:rPr>
            </w:pPr>
          </w:p>
          <w:p w:rsidR="0054429D" w:rsidRPr="0054429D" w:rsidRDefault="0054429D" w:rsidP="0054429D">
            <w:pPr>
              <w:pStyle w:val="ListParagraph"/>
              <w:rPr>
                <w:i/>
              </w:rPr>
            </w:pPr>
            <w:r w:rsidRPr="0054429D">
              <w:rPr>
                <w:i/>
              </w:rPr>
              <w:t>If no, can you provide one of the following (answer with a ‘yes’ or ‘no’ in the relevant box)</w:t>
            </w:r>
            <w:r>
              <w:rPr>
                <w:i/>
              </w:rPr>
              <w:t>: … …</w:t>
            </w:r>
            <w:bookmarkStart w:id="0" w:name="_GoBack"/>
            <w:bookmarkEnd w:id="0"/>
          </w:p>
          <w:p w:rsidR="00242E8B" w:rsidRDefault="00242E8B" w:rsidP="00242E8B">
            <w:pPr>
              <w:pStyle w:val="ListParagraph"/>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rsidR="00E674C0" w:rsidRDefault="00E674C0" w:rsidP="00E674C0"/>
        </w:tc>
      </w:tr>
      <w:tr w:rsidR="00E674C0" w:rsidTr="00E674C0">
        <w:trPr>
          <w:trHeight w:val="819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242E8B">
            <w:pPr>
              <w:pStyle w:val="ListParagraph"/>
              <w:numPr>
                <w:ilvl w:val="0"/>
                <w:numId w:val="1"/>
              </w:numPr>
              <w:spacing w:after="240"/>
            </w:pPr>
            <w:r>
              <w:rPr>
                <w:rFonts w:ascii="Arial" w:hAnsi="Arial" w:cs="Arial"/>
                <w:color w:val="000000"/>
                <w:sz w:val="24"/>
                <w:szCs w:val="24"/>
                <w:lang w:eastAsia="en-GB"/>
              </w:rPr>
              <w:lastRenderedPageBreak/>
              <w:t>Please could you clarify the meaning of following points in relation to the tender doc 4.</w:t>
            </w:r>
            <w:r>
              <w:rPr>
                <w:rFonts w:ascii="Arial" w:hAnsi="Arial" w:cs="Arial"/>
                <w:color w:val="000000"/>
                <w:sz w:val="24"/>
                <w:szCs w:val="24"/>
                <w:lang w:eastAsia="en-GB"/>
              </w:rPr>
              <w:br/>
            </w:r>
            <w:r>
              <w:rPr>
                <w:rFonts w:ascii="Arial" w:hAnsi="Arial" w:cs="Arial"/>
                <w:color w:val="000000"/>
                <w:sz w:val="24"/>
                <w:szCs w:val="24"/>
                <w:lang w:eastAsia="en-GB"/>
              </w:rPr>
              <w:b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(ii)</w:t>
            </w:r>
            <w:r>
              <w:rPr>
                <w:rFonts w:ascii="Arial" w:hAnsi="Arial" w:cs="Arial"/>
                <w:color w:val="000000"/>
                <w:sz w:val="24"/>
                <w:szCs w:val="24"/>
                <w:lang w:eastAsia="en-GB"/>
              </w:rPr>
              <w:br/>
              <w:t>1.1   (n) – ref which conditions for being PSC are met</w:t>
            </w:r>
            <w:r>
              <w:rPr>
                <w:rFonts w:ascii="Arial" w:hAnsi="Arial" w:cs="Arial"/>
                <w:color w:val="000000"/>
                <w:sz w:val="24"/>
                <w:szCs w:val="24"/>
                <w:lang w:eastAsia="en-GB"/>
              </w:rPr>
              <w:br/>
              <w:t>1.2   (a)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1.2 (a) (ii)</w:t>
            </w:r>
            <w:r>
              <w:rPr>
                <w:rFonts w:ascii="Arial" w:hAnsi="Arial" w:cs="Arial"/>
                <w:color w:val="000000"/>
                <w:sz w:val="24"/>
                <w:szCs w:val="24"/>
                <w:lang w:eastAsia="en-GB"/>
              </w:rPr>
              <w:br/>
              <w:t>1.2 (a) (iii)</w:t>
            </w:r>
            <w:r>
              <w:rPr>
                <w:rFonts w:ascii="Arial" w:hAnsi="Arial" w:cs="Arial"/>
                <w:color w:val="000000"/>
                <w:sz w:val="24"/>
                <w:szCs w:val="24"/>
                <w:lang w:eastAsia="en-GB"/>
              </w:rPr>
              <w:br/>
              <w:t>1.2 (b)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1.2 (b) (ii)</w:t>
            </w:r>
            <w:r>
              <w:rPr>
                <w:rFonts w:ascii="Arial" w:hAnsi="Arial" w:cs="Arial"/>
                <w:color w:val="000000"/>
                <w:sz w:val="24"/>
                <w:szCs w:val="24"/>
                <w:lang w:eastAsia="en-GB"/>
              </w:rPr>
              <w:br/>
              <w:t>3.1 (j) (iii)</w:t>
            </w:r>
            <w:r>
              <w:rPr>
                <w:rFonts w:ascii="Arial" w:hAnsi="Arial" w:cs="Arial"/>
                <w:color w:val="000000"/>
                <w:sz w:val="24"/>
                <w:szCs w:val="24"/>
                <w:lang w:eastAsia="en-GB"/>
              </w:rPr>
              <w:br/>
              <w:t>4.2</w:t>
            </w:r>
            <w:r>
              <w:rPr>
                <w:rFonts w:ascii="Arial" w:hAnsi="Arial" w:cs="Arial"/>
                <w:color w:val="000000"/>
                <w:sz w:val="24"/>
                <w:szCs w:val="24"/>
                <w:lang w:eastAsia="en-GB"/>
              </w:rPr>
              <w:br/>
              <w:t>5</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sidP="00E674C0">
            <w:pPr>
              <w:rPr>
                <w:rFonts w:ascii="Arial" w:hAnsi="Arial" w:cs="Arial"/>
                <w:color w:val="000000"/>
                <w:sz w:val="24"/>
                <w:szCs w:val="24"/>
                <w:lang w:eastAsia="en-GB"/>
              </w:rPr>
            </w:pPr>
            <w:r>
              <w:rPr>
                <w:rFonts w:ascii="Arial" w:hAnsi="Arial" w:cs="Arial"/>
                <w:color w:val="000000"/>
                <w:sz w:val="24"/>
                <w:szCs w:val="24"/>
                <w:lang w:eastAsia="en-GB"/>
              </w:rP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 Professional or trade registration details –please answer as you see fit.  There is no right or wrong answer</w:t>
            </w:r>
            <w:r>
              <w:rPr>
                <w:rFonts w:ascii="Arial" w:hAnsi="Arial" w:cs="Arial"/>
                <w:color w:val="000000"/>
                <w:sz w:val="24"/>
                <w:szCs w:val="24"/>
                <w:lang w:eastAsia="en-GB"/>
              </w:rPr>
              <w:b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(ii) – As above</w:t>
            </w:r>
            <w:r>
              <w:rPr>
                <w:rFonts w:ascii="Arial" w:hAnsi="Arial" w:cs="Arial"/>
                <w:color w:val="000000"/>
                <w:sz w:val="24"/>
                <w:szCs w:val="24"/>
                <w:lang w:eastAsia="en-GB"/>
              </w:rPr>
              <w:br/>
              <w:t>1.1   (n) – Reference  which conditions for being PSC are met – answer as you see fit. There is no right or wrong answer (see link at bottom of this table for  background detail)</w:t>
            </w:r>
            <w:r>
              <w:rPr>
                <w:rFonts w:ascii="Arial" w:hAnsi="Arial" w:cs="Arial"/>
                <w:color w:val="000000"/>
                <w:sz w:val="24"/>
                <w:szCs w:val="24"/>
                <w:lang w:eastAsia="en-GB"/>
              </w:rPr>
              <w:br/>
              <w:t>1.2   (a)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 All questions under 1.2 Bidding Model are only applicable if a group of companies are bidding – in which case, details of each organisation comprising the group are required</w:t>
            </w:r>
            <w:r>
              <w:rPr>
                <w:rFonts w:ascii="Arial" w:hAnsi="Arial" w:cs="Arial"/>
                <w:color w:val="000000"/>
                <w:sz w:val="24"/>
                <w:szCs w:val="24"/>
                <w:lang w:eastAsia="en-GB"/>
              </w:rPr>
              <w:br/>
              <w:t>1.2 (a) (ii)</w:t>
            </w:r>
            <w:r>
              <w:rPr>
                <w:rFonts w:ascii="Arial" w:hAnsi="Arial" w:cs="Arial"/>
                <w:color w:val="000000"/>
                <w:sz w:val="24"/>
                <w:szCs w:val="24"/>
                <w:lang w:eastAsia="en-GB"/>
              </w:rPr>
              <w:br/>
              <w:t>1.2 (a) (iii)</w:t>
            </w:r>
            <w:r>
              <w:rPr>
                <w:rFonts w:ascii="Arial" w:hAnsi="Arial" w:cs="Arial"/>
                <w:color w:val="000000"/>
                <w:sz w:val="24"/>
                <w:szCs w:val="24"/>
                <w:lang w:eastAsia="en-GB"/>
              </w:rPr>
              <w:br/>
              <w:t>1.2 (b)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1.2 (b) (ii)</w:t>
            </w:r>
            <w:r>
              <w:rPr>
                <w:rFonts w:ascii="Arial" w:hAnsi="Arial" w:cs="Arial"/>
                <w:color w:val="000000"/>
                <w:sz w:val="24"/>
                <w:szCs w:val="24"/>
                <w:lang w:eastAsia="en-GB"/>
              </w:rPr>
              <w:br/>
              <w:t>3.1 (j) (iii) – this references the European Single Procurement Document: a kind of mother of all declaration documents which has just about seen the light of day within the EU.  The idea is that the relevant company declarations and information for ‘suitability’ are declared or accessible via a single e-doc – et voila: less paperwork and box ticking for all concerned. Only ESPD isn’t widely used yet, or understood. Just answer ‘No’ – unless you have something to declare …?</w:t>
            </w:r>
          </w:p>
          <w:p w:rsidR="00E674C0" w:rsidRDefault="00E674C0" w:rsidP="00E674C0">
            <w:r>
              <w:rPr>
                <w:rFonts w:ascii="Arial" w:hAnsi="Arial" w:cs="Arial"/>
                <w:color w:val="000000"/>
                <w:sz w:val="24"/>
                <w:szCs w:val="24"/>
                <w:lang w:eastAsia="en-GB"/>
              </w:rPr>
              <w:t>4.2 – No minimum economic requirement have been specified;  therefore, the answer is ‘n/a’</w:t>
            </w:r>
            <w:r>
              <w:rPr>
                <w:rFonts w:ascii="Arial" w:hAnsi="Arial" w:cs="Arial"/>
                <w:color w:val="000000"/>
                <w:sz w:val="24"/>
                <w:szCs w:val="24"/>
                <w:lang w:eastAsia="en-GB"/>
              </w:rPr>
              <w:br/>
              <w:t xml:space="preserve">5 – All to do with if you are bidding ‘ as a wider group’ e.g., your organisation has a parent company – which in fact is something you are asked to declare under </w:t>
            </w:r>
            <w:proofErr w:type="spellStart"/>
            <w:r>
              <w:rPr>
                <w:rFonts w:ascii="Arial" w:hAnsi="Arial" w:cs="Arial"/>
                <w:color w:val="000000"/>
                <w:sz w:val="24"/>
                <w:szCs w:val="24"/>
                <w:lang w:eastAsia="en-GB"/>
              </w:rPr>
              <w:t>qs</w:t>
            </w:r>
            <w:proofErr w:type="spellEnd"/>
            <w:r>
              <w:rPr>
                <w:rFonts w:ascii="Arial" w:hAnsi="Arial" w:cs="Arial"/>
                <w:color w:val="000000"/>
                <w:sz w:val="24"/>
                <w:szCs w:val="24"/>
                <w:lang w:eastAsia="en-GB"/>
              </w:rPr>
              <w:t xml:space="preserve"> 1.1 (o) and (n)</w:t>
            </w:r>
          </w:p>
        </w:tc>
      </w:tr>
      <w:tr w:rsidR="00E674C0" w:rsidTr="00E674C0">
        <w:trPr>
          <w:trHeight w:val="2476"/>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242E8B">
            <w:pPr>
              <w:pStyle w:val="ListParagraph"/>
              <w:numPr>
                <w:ilvl w:val="0"/>
                <w:numId w:val="1"/>
              </w:numPr>
            </w:pPr>
            <w:r>
              <w:rPr>
                <w:rFonts w:ascii="Arial" w:hAnsi="Arial" w:cs="Arial"/>
                <w:color w:val="000000"/>
                <w:sz w:val="24"/>
                <w:szCs w:val="24"/>
                <w:lang w:eastAsia="en-GB"/>
              </w:rPr>
              <w:lastRenderedPageBreak/>
              <w:t>Technical and Professional Ability 6.1 – We are being asked to provide a holistic service to include general agency, management, strategic advice and professional services – We don’t provide a contract similar to this to anyone else (and it’s possible that anyone else bidding for this contact will either). We provide combinations of these services to clients – but not one all-encompassing contract. So how do we answer this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 xml:space="preserve">Just provide up to three examples of comparable services that you’ve provided before (and if possible within the last 3 </w:t>
            </w:r>
            <w:proofErr w:type="spellStart"/>
            <w:r>
              <w:rPr>
                <w:rFonts w:ascii="Arial" w:hAnsi="Arial" w:cs="Arial"/>
                <w:color w:val="000000"/>
                <w:sz w:val="24"/>
                <w:szCs w:val="24"/>
                <w:lang w:eastAsia="en-GB"/>
              </w:rPr>
              <w:t>yrs</w:t>
            </w:r>
            <w:proofErr w:type="spellEnd"/>
            <w:r>
              <w:rPr>
                <w:rFonts w:ascii="Arial" w:hAnsi="Arial" w:cs="Arial"/>
                <w:color w:val="000000"/>
                <w:sz w:val="24"/>
                <w:szCs w:val="24"/>
                <w:lang w:eastAsia="en-GB"/>
              </w:rPr>
              <w:t>).</w:t>
            </w:r>
            <w:r>
              <w:rPr>
                <w:rFonts w:ascii="Arial" w:hAnsi="Arial" w:cs="Arial"/>
                <w:color w:val="000000"/>
                <w:sz w:val="24"/>
                <w:szCs w:val="24"/>
                <w:lang w:eastAsia="en-GB"/>
              </w:rPr>
              <w:br/>
              <w:t xml:space="preserve">This is to attest to your ‘technical and professional’ abilities to provide the type of services that are the subject of the contract. </w:t>
            </w:r>
            <w:r>
              <w:rPr>
                <w:rFonts w:ascii="Arial" w:hAnsi="Arial" w:cs="Arial"/>
                <w:color w:val="000000"/>
                <w:sz w:val="24"/>
                <w:szCs w:val="24"/>
                <w:lang w:eastAsia="en-GB"/>
              </w:rPr>
              <w:br/>
              <w:t>You could enter something about the subject of the tender being unique such that it’s not something you’ve provided before in the ‘caveat’ box beneath the references section.</w:t>
            </w:r>
          </w:p>
        </w:tc>
      </w:tr>
      <w:tr w:rsidR="00E674C0" w:rsidTr="00E674C0">
        <w:trPr>
          <w:trHeight w:val="6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242E8B">
            <w:pPr>
              <w:pStyle w:val="ListParagraph"/>
              <w:numPr>
                <w:ilvl w:val="0"/>
                <w:numId w:val="1"/>
              </w:numPr>
            </w:pPr>
            <w:r>
              <w:rPr>
                <w:rFonts w:ascii="Arial" w:hAnsi="Arial" w:cs="Arial"/>
                <w:color w:val="000000"/>
                <w:sz w:val="24"/>
                <w:szCs w:val="24"/>
                <w:lang w:eastAsia="en-GB"/>
              </w:rPr>
              <w:t xml:space="preserve">The tender notice refers to the value of the contract being £650,000. How have you arrived at this figure ?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 xml:space="preserve">Estimates based on industry standards </w:t>
            </w:r>
          </w:p>
        </w:tc>
      </w:tr>
      <w:tr w:rsidR="00E674C0" w:rsidTr="00E674C0">
        <w:trPr>
          <w:trHeight w:val="21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242E8B">
            <w:pPr>
              <w:pStyle w:val="ListParagraph"/>
              <w:numPr>
                <w:ilvl w:val="0"/>
                <w:numId w:val="1"/>
              </w:numPr>
            </w:pPr>
            <w:r>
              <w:rPr>
                <w:rFonts w:ascii="Arial" w:hAnsi="Arial" w:cs="Arial"/>
                <w:color w:val="000000"/>
                <w:sz w:val="24"/>
                <w:szCs w:val="24"/>
                <w:lang w:eastAsia="en-GB"/>
              </w:rPr>
              <w:t>The annual ERV is estimated at £500,000 but the cap value of the Property Management Agency Services is £10m. it is quite likely that the return on a £10m portfolio would return more that £500,000 p/a. Are you looking for bids based on a FIXED income of £500,000 max  or estimated income from £10m worth of assets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Tenders should be based on income of £500,000</w:t>
            </w:r>
          </w:p>
        </w:tc>
      </w:tr>
    </w:tbl>
    <w:p w:rsidR="00E674C0" w:rsidRDefault="00E674C0" w:rsidP="00E674C0">
      <w:r>
        <w:rPr>
          <w:color w:val="1F497D"/>
        </w:rPr>
        <w:t> </w:t>
      </w:r>
    </w:p>
    <w:p w:rsidR="00E674C0" w:rsidRDefault="00E674C0" w:rsidP="00E674C0">
      <w:r>
        <w:rPr>
          <w:color w:val="1F497D"/>
        </w:rPr>
        <w:t> </w:t>
      </w:r>
    </w:p>
    <w:p w:rsidR="00E674C0" w:rsidRDefault="00E674C0" w:rsidP="00E674C0">
      <w:r>
        <w:t xml:space="preserve">Question 7 </w:t>
      </w:r>
      <w:r>
        <w:rPr>
          <w:color w:val="1F497D"/>
        </w:rPr>
        <w:t xml:space="preserve">- </w:t>
      </w:r>
      <w:hyperlink r:id="rId8" w:history="1">
        <w:r>
          <w:rPr>
            <w:rStyle w:val="Hyperlink"/>
          </w:rPr>
          <w:t>https://www.gov.uk/government/uploads/system/uploads/attachment_data/file/551130/List_of_Mandatory_and_Discretionary_Exclusions.pdf</w:t>
        </w:r>
      </w:hyperlink>
    </w:p>
    <w:p w:rsidR="00E674C0" w:rsidRDefault="00E674C0" w:rsidP="00E674C0">
      <w:r>
        <w:rPr>
          <w:color w:val="1F497D"/>
        </w:rPr>
        <w:t> </w:t>
      </w:r>
    </w:p>
    <w:p w:rsidR="00E674C0" w:rsidRDefault="00E674C0" w:rsidP="00E674C0">
      <w:r>
        <w:rPr>
          <w:color w:val="1F497D"/>
        </w:rPr>
        <w:t> </w:t>
      </w:r>
    </w:p>
    <w:p w:rsidR="00E674C0" w:rsidRDefault="00E674C0" w:rsidP="00E674C0">
      <w:r>
        <w:t>Question 8  </w:t>
      </w:r>
      <w:r>
        <w:rPr>
          <w:color w:val="1F497D"/>
        </w:rPr>
        <w:t>-  </w:t>
      </w:r>
      <w:hyperlink r:id="rId9" w:history="1">
        <w:r>
          <w:rPr>
            <w:rStyle w:val="Hyperlink"/>
          </w:rPr>
          <w:t>https://www.gov.uk/government/publications/guidance-to-the-people-with-significant-control-requirements-for-companies-and-limited-liability-partnerships</w:t>
        </w:r>
      </w:hyperlink>
    </w:p>
    <w:p w:rsidR="00E674C0" w:rsidRDefault="00E674C0" w:rsidP="00E674C0">
      <w:r>
        <w:rPr>
          <w:color w:val="1F497D"/>
        </w:rPr>
        <w:t> </w:t>
      </w:r>
    </w:p>
    <w:p w:rsidR="0053779E" w:rsidRDefault="0053779E"/>
    <w:sectPr w:rsidR="0053779E" w:rsidSect="00E674C0">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E8B" w:rsidRDefault="00242E8B" w:rsidP="00E674C0">
      <w:r>
        <w:separator/>
      </w:r>
    </w:p>
  </w:endnote>
  <w:endnote w:type="continuationSeparator" w:id="0">
    <w:p w:rsidR="00242E8B" w:rsidRDefault="00242E8B" w:rsidP="00E6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432442"/>
      <w:docPartObj>
        <w:docPartGallery w:val="Page Numbers (Bottom of Page)"/>
        <w:docPartUnique/>
      </w:docPartObj>
    </w:sdtPr>
    <w:sdtEndPr>
      <w:rPr>
        <w:noProof/>
      </w:rPr>
    </w:sdtEndPr>
    <w:sdtContent>
      <w:p w:rsidR="00242E8B" w:rsidRDefault="00242E8B">
        <w:pPr>
          <w:pStyle w:val="Footer"/>
          <w:jc w:val="right"/>
        </w:pPr>
        <w:r>
          <w:fldChar w:fldCharType="begin"/>
        </w:r>
        <w:r>
          <w:instrText xml:space="preserve"> PAGE   \* MERGEFORMAT </w:instrText>
        </w:r>
        <w:r>
          <w:fldChar w:fldCharType="separate"/>
        </w:r>
        <w:r w:rsidR="0054429D">
          <w:rPr>
            <w:noProof/>
          </w:rPr>
          <w:t>1</w:t>
        </w:r>
        <w:r>
          <w:rPr>
            <w:noProof/>
          </w:rPr>
          <w:fldChar w:fldCharType="end"/>
        </w:r>
      </w:p>
    </w:sdtContent>
  </w:sdt>
  <w:p w:rsidR="00242E8B" w:rsidRDefault="00242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E8B" w:rsidRDefault="00242E8B" w:rsidP="00E674C0">
      <w:r>
        <w:separator/>
      </w:r>
    </w:p>
  </w:footnote>
  <w:footnote w:type="continuationSeparator" w:id="0">
    <w:p w:rsidR="00242E8B" w:rsidRDefault="00242E8B" w:rsidP="00E67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8B" w:rsidRDefault="00242E8B">
    <w:pPr>
      <w:pStyle w:val="Header"/>
    </w:pPr>
    <w:r>
      <w:t>CLARIFICATION 02 – Wednesday 16</w:t>
    </w:r>
    <w:r w:rsidRPr="00242E8B">
      <w:rPr>
        <w:vertAlign w:val="superscript"/>
      </w:rPr>
      <w:t>th</w:t>
    </w:r>
    <w:r>
      <w:t xml:space="preserve"> August 2017</w:t>
    </w:r>
  </w:p>
  <w:p w:rsidR="00242E8B" w:rsidRDefault="00242E8B">
    <w:pPr>
      <w:pStyle w:val="Header"/>
    </w:pPr>
    <w:r w:rsidRPr="00E674C0">
      <w:t>TENDER FOR PROPERTY ACQUISTION, MANAGEMENT AND DEVELOPMENT CONTRACT</w:t>
    </w:r>
    <w:r>
      <w:t xml:space="preserve"> – EAST NORTHAMPTONSHIRE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144"/>
    <w:multiLevelType w:val="hybridMultilevel"/>
    <w:tmpl w:val="1CE25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187200D"/>
    <w:multiLevelType w:val="hybridMultilevel"/>
    <w:tmpl w:val="B3FA140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C0"/>
    <w:rsid w:val="00242E8B"/>
    <w:rsid w:val="0053779E"/>
    <w:rsid w:val="0054429D"/>
    <w:rsid w:val="005471BC"/>
    <w:rsid w:val="00B22BD5"/>
    <w:rsid w:val="00E6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4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4C0"/>
    <w:rPr>
      <w:color w:val="0000FF"/>
      <w:u w:val="single"/>
    </w:rPr>
  </w:style>
  <w:style w:type="paragraph" w:styleId="ListParagraph">
    <w:name w:val="List Paragraph"/>
    <w:basedOn w:val="Normal"/>
    <w:uiPriority w:val="34"/>
    <w:qFormat/>
    <w:rsid w:val="00E674C0"/>
    <w:pPr>
      <w:ind w:left="720"/>
    </w:pPr>
  </w:style>
  <w:style w:type="paragraph" w:styleId="Header">
    <w:name w:val="header"/>
    <w:basedOn w:val="Normal"/>
    <w:link w:val="HeaderChar"/>
    <w:uiPriority w:val="99"/>
    <w:unhideWhenUsed/>
    <w:rsid w:val="00E674C0"/>
    <w:pPr>
      <w:tabs>
        <w:tab w:val="center" w:pos="4513"/>
        <w:tab w:val="right" w:pos="9026"/>
      </w:tabs>
    </w:pPr>
  </w:style>
  <w:style w:type="character" w:customStyle="1" w:styleId="HeaderChar">
    <w:name w:val="Header Char"/>
    <w:basedOn w:val="DefaultParagraphFont"/>
    <w:link w:val="Header"/>
    <w:uiPriority w:val="99"/>
    <w:rsid w:val="00E674C0"/>
    <w:rPr>
      <w:rFonts w:ascii="Calibri" w:hAnsi="Calibri" w:cs="Times New Roman"/>
    </w:rPr>
  </w:style>
  <w:style w:type="paragraph" w:styleId="Footer">
    <w:name w:val="footer"/>
    <w:basedOn w:val="Normal"/>
    <w:link w:val="FooterChar"/>
    <w:uiPriority w:val="99"/>
    <w:unhideWhenUsed/>
    <w:rsid w:val="00E674C0"/>
    <w:pPr>
      <w:tabs>
        <w:tab w:val="center" w:pos="4513"/>
        <w:tab w:val="right" w:pos="9026"/>
      </w:tabs>
    </w:pPr>
  </w:style>
  <w:style w:type="character" w:customStyle="1" w:styleId="FooterChar">
    <w:name w:val="Footer Char"/>
    <w:basedOn w:val="DefaultParagraphFont"/>
    <w:link w:val="Footer"/>
    <w:uiPriority w:val="99"/>
    <w:rsid w:val="00E674C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4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4C0"/>
    <w:rPr>
      <w:color w:val="0000FF"/>
      <w:u w:val="single"/>
    </w:rPr>
  </w:style>
  <w:style w:type="paragraph" w:styleId="ListParagraph">
    <w:name w:val="List Paragraph"/>
    <w:basedOn w:val="Normal"/>
    <w:uiPriority w:val="34"/>
    <w:qFormat/>
    <w:rsid w:val="00E674C0"/>
    <w:pPr>
      <w:ind w:left="720"/>
    </w:pPr>
  </w:style>
  <w:style w:type="paragraph" w:styleId="Header">
    <w:name w:val="header"/>
    <w:basedOn w:val="Normal"/>
    <w:link w:val="HeaderChar"/>
    <w:uiPriority w:val="99"/>
    <w:unhideWhenUsed/>
    <w:rsid w:val="00E674C0"/>
    <w:pPr>
      <w:tabs>
        <w:tab w:val="center" w:pos="4513"/>
        <w:tab w:val="right" w:pos="9026"/>
      </w:tabs>
    </w:pPr>
  </w:style>
  <w:style w:type="character" w:customStyle="1" w:styleId="HeaderChar">
    <w:name w:val="Header Char"/>
    <w:basedOn w:val="DefaultParagraphFont"/>
    <w:link w:val="Header"/>
    <w:uiPriority w:val="99"/>
    <w:rsid w:val="00E674C0"/>
    <w:rPr>
      <w:rFonts w:ascii="Calibri" w:hAnsi="Calibri" w:cs="Times New Roman"/>
    </w:rPr>
  </w:style>
  <w:style w:type="paragraph" w:styleId="Footer">
    <w:name w:val="footer"/>
    <w:basedOn w:val="Normal"/>
    <w:link w:val="FooterChar"/>
    <w:uiPriority w:val="99"/>
    <w:unhideWhenUsed/>
    <w:rsid w:val="00E674C0"/>
    <w:pPr>
      <w:tabs>
        <w:tab w:val="center" w:pos="4513"/>
        <w:tab w:val="right" w:pos="9026"/>
      </w:tabs>
    </w:pPr>
  </w:style>
  <w:style w:type="character" w:customStyle="1" w:styleId="FooterChar">
    <w:name w:val="Footer Char"/>
    <w:basedOn w:val="DefaultParagraphFont"/>
    <w:link w:val="Footer"/>
    <w:uiPriority w:val="99"/>
    <w:rsid w:val="00E674C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42592ABB</Template>
  <TotalTime>10</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3</cp:revision>
  <dcterms:created xsi:type="dcterms:W3CDTF">2017-08-16T15:56:00Z</dcterms:created>
  <dcterms:modified xsi:type="dcterms:W3CDTF">2017-08-16T16:08:00Z</dcterms:modified>
</cp:coreProperties>
</file>