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C10" w:rsidRDefault="00126C10" w:rsidP="00423E58">
      <w:pPr>
        <w:spacing w:after="0"/>
        <w:jc w:val="both"/>
        <w:rPr>
          <w:rFonts w:ascii="Calibri" w:hAnsi="Calibri" w:cstheme="majorHAnsi"/>
          <w:color w:val="000000" w:themeColor="text1"/>
          <w:szCs w:val="22"/>
        </w:rPr>
      </w:pPr>
      <w:bookmarkStart w:id="0" w:name="_GoBack"/>
      <w:bookmarkEnd w:id="0"/>
    </w:p>
    <w:p w:rsidR="00126C10" w:rsidRDefault="00126C10" w:rsidP="00423E58">
      <w:pPr>
        <w:spacing w:after="0"/>
        <w:jc w:val="both"/>
        <w:rPr>
          <w:rFonts w:ascii="Calibri" w:hAnsi="Calibri" w:cstheme="majorHAnsi"/>
          <w:color w:val="000000" w:themeColor="text1"/>
          <w:szCs w:val="22"/>
        </w:rPr>
      </w:pPr>
    </w:p>
    <w:p w:rsidR="00126C10" w:rsidRDefault="00126C10" w:rsidP="00423E58">
      <w:pPr>
        <w:spacing w:after="0"/>
        <w:jc w:val="both"/>
        <w:rPr>
          <w:rFonts w:ascii="Calibri" w:hAnsi="Calibri" w:cstheme="majorHAnsi"/>
          <w:color w:val="000000" w:themeColor="text1"/>
          <w:szCs w:val="22"/>
        </w:rPr>
      </w:pPr>
    </w:p>
    <w:p w:rsidR="00126C10" w:rsidRDefault="00126C10" w:rsidP="00126C10">
      <w:pPr>
        <w:pStyle w:val="Heading1"/>
        <w:jc w:val="center"/>
      </w:pPr>
      <w:r>
        <w:t>INVITATION TO QUOTE (ITQ) ON BEHALF OF</w:t>
      </w:r>
    </w:p>
    <w:p w:rsidR="00126C10" w:rsidRDefault="00126C10" w:rsidP="00126C10">
      <w:pPr>
        <w:pStyle w:val="Heading1"/>
        <w:jc w:val="center"/>
      </w:pPr>
    </w:p>
    <w:p w:rsidR="00126C10" w:rsidRDefault="00126C10" w:rsidP="00126C10">
      <w:pPr>
        <w:pStyle w:val="Heading1"/>
        <w:jc w:val="center"/>
      </w:pPr>
      <w:r>
        <w:t>GREAT YARMOUTH AND WAVENEY cLINICAL cOMMISSIONING GROUP (THE CCG)</w:t>
      </w:r>
    </w:p>
    <w:p w:rsidR="00126C10" w:rsidRDefault="00126C10" w:rsidP="00126C10">
      <w:pPr>
        <w:pStyle w:val="Heading1"/>
        <w:jc w:val="center"/>
      </w:pPr>
    </w:p>
    <w:p w:rsidR="00126C10" w:rsidRDefault="00126C10" w:rsidP="00126C10">
      <w:pPr>
        <w:pStyle w:val="Heading1"/>
        <w:jc w:val="center"/>
      </w:pPr>
      <w:r>
        <w:t>FOR DEMAND MANAGEMENT TOOLS</w:t>
      </w:r>
    </w:p>
    <w:p w:rsidR="00126C10" w:rsidRPr="00126C10" w:rsidRDefault="00126C10" w:rsidP="00126C10">
      <w:pPr>
        <w:jc w:val="center"/>
      </w:pPr>
    </w:p>
    <w:p w:rsidR="00126C10" w:rsidRPr="00126C10" w:rsidRDefault="00126C10" w:rsidP="00126C10">
      <w:pPr>
        <w:pStyle w:val="Heading1"/>
        <w:jc w:val="center"/>
      </w:pPr>
      <w:r>
        <w:t xml:space="preserve">rEFERENCE: </w:t>
      </w:r>
      <w:r w:rsidRPr="00126C10">
        <w:t>0AQ/ANGPROC/17/001</w:t>
      </w:r>
    </w:p>
    <w:p w:rsidR="000C0A29" w:rsidRDefault="00126C10" w:rsidP="00126C10">
      <w:pPr>
        <w:pStyle w:val="Heading2"/>
      </w:pPr>
      <w:r>
        <w:t>Section 1</w:t>
      </w:r>
      <w:r w:rsidR="003B5E53">
        <w:t xml:space="preserve"> Administration</w:t>
      </w:r>
    </w:p>
    <w:p w:rsidR="00126C10" w:rsidRPr="009240B0" w:rsidRDefault="00126C10" w:rsidP="00423E58">
      <w:pPr>
        <w:spacing w:after="0"/>
        <w:jc w:val="both"/>
        <w:rPr>
          <w:rFonts w:ascii="Calibri" w:hAnsi="Calibri" w:cstheme="majorHAnsi"/>
          <w:szCs w:val="22"/>
        </w:rPr>
      </w:pPr>
    </w:p>
    <w:tbl>
      <w:tblPr>
        <w:tblStyle w:val="TableGrid"/>
        <w:tblW w:w="9631" w:type="dxa"/>
        <w:tblLook w:val="04A0" w:firstRow="1" w:lastRow="0" w:firstColumn="1" w:lastColumn="0" w:noHBand="0" w:noVBand="1"/>
      </w:tblPr>
      <w:tblGrid>
        <w:gridCol w:w="1126"/>
        <w:gridCol w:w="3135"/>
        <w:gridCol w:w="5370"/>
      </w:tblGrid>
      <w:tr w:rsidR="00126C10" w:rsidTr="00126C10">
        <w:trPr>
          <w:cnfStyle w:val="100000000000" w:firstRow="1" w:lastRow="0" w:firstColumn="0" w:lastColumn="0" w:oddVBand="0" w:evenVBand="0" w:oddHBand="0" w:evenHBand="0" w:firstRowFirstColumn="0" w:firstRowLastColumn="0" w:lastRowFirstColumn="0" w:lastRowLastColumn="0"/>
        </w:trPr>
        <w:tc>
          <w:tcPr>
            <w:tcW w:w="9631" w:type="dxa"/>
            <w:gridSpan w:val="3"/>
          </w:tcPr>
          <w:p w:rsidR="00126C10" w:rsidRDefault="00126C10">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Contact Details</w:t>
            </w:r>
          </w:p>
        </w:tc>
      </w:tr>
      <w:tr w:rsidR="00126C10" w:rsidTr="00B14596">
        <w:tc>
          <w:tcPr>
            <w:tcW w:w="1126" w:type="dxa"/>
          </w:tcPr>
          <w:p w:rsidR="00126C10" w:rsidRDefault="00126C10" w:rsidP="00B14596">
            <w:pPr>
              <w:rPr>
                <w:rFonts w:ascii="Calibri" w:hAnsi="Calibri" w:cstheme="majorHAnsi"/>
                <w:color w:val="000000" w:themeColor="text1"/>
                <w:szCs w:val="22"/>
              </w:rPr>
            </w:pPr>
            <w:r>
              <w:rPr>
                <w:rFonts w:ascii="Calibri" w:hAnsi="Calibri" w:cstheme="majorHAnsi"/>
                <w:color w:val="000000" w:themeColor="text1"/>
                <w:szCs w:val="22"/>
              </w:rPr>
              <w:t>1.1</w:t>
            </w:r>
          </w:p>
        </w:tc>
        <w:tc>
          <w:tcPr>
            <w:tcW w:w="3135" w:type="dxa"/>
          </w:tcPr>
          <w:p w:rsidR="00126C10" w:rsidRDefault="00126C10" w:rsidP="00B14596">
            <w:pPr>
              <w:rPr>
                <w:rFonts w:ascii="Calibri" w:hAnsi="Calibri" w:cstheme="majorHAnsi"/>
                <w:color w:val="000000" w:themeColor="text1"/>
                <w:szCs w:val="22"/>
              </w:rPr>
            </w:pPr>
            <w:r>
              <w:rPr>
                <w:rFonts w:ascii="Calibri" w:hAnsi="Calibri" w:cstheme="majorHAnsi"/>
                <w:color w:val="000000" w:themeColor="text1"/>
                <w:szCs w:val="22"/>
              </w:rPr>
              <w:t>Customer Name and Address</w:t>
            </w:r>
          </w:p>
        </w:tc>
        <w:tc>
          <w:tcPr>
            <w:tcW w:w="5370" w:type="dxa"/>
          </w:tcPr>
          <w:p w:rsidR="00126C10" w:rsidRDefault="00126C10" w:rsidP="00B14596">
            <w:pPr>
              <w:rPr>
                <w:rFonts w:ascii="Calibri" w:hAnsi="Calibri" w:cstheme="majorHAnsi"/>
                <w:color w:val="000000" w:themeColor="text1"/>
                <w:szCs w:val="22"/>
              </w:rPr>
            </w:pPr>
            <w:r>
              <w:rPr>
                <w:rFonts w:ascii="Calibri" w:hAnsi="Calibri" w:cstheme="majorHAnsi"/>
                <w:color w:val="000000" w:themeColor="text1"/>
                <w:szCs w:val="22"/>
              </w:rPr>
              <w:t xml:space="preserve">Great Yarmouth and </w:t>
            </w:r>
            <w:proofErr w:type="spellStart"/>
            <w:r>
              <w:rPr>
                <w:rFonts w:ascii="Calibri" w:hAnsi="Calibri" w:cstheme="majorHAnsi"/>
                <w:color w:val="000000" w:themeColor="text1"/>
                <w:szCs w:val="22"/>
              </w:rPr>
              <w:t>Waveney</w:t>
            </w:r>
            <w:proofErr w:type="spellEnd"/>
            <w:r>
              <w:rPr>
                <w:rFonts w:ascii="Calibri" w:hAnsi="Calibri" w:cstheme="majorHAnsi"/>
                <w:color w:val="000000" w:themeColor="text1"/>
                <w:szCs w:val="22"/>
              </w:rPr>
              <w:t xml:space="preserve"> C</w:t>
            </w:r>
            <w:r w:rsidR="00B14596">
              <w:rPr>
                <w:rFonts w:ascii="Calibri" w:hAnsi="Calibri" w:cstheme="majorHAnsi"/>
                <w:color w:val="000000" w:themeColor="text1"/>
                <w:szCs w:val="22"/>
              </w:rPr>
              <w:t>linical Commissioning Group</w:t>
            </w:r>
            <w:r>
              <w:rPr>
                <w:rFonts w:ascii="Calibri" w:hAnsi="Calibri" w:cstheme="majorHAnsi"/>
                <w:color w:val="000000" w:themeColor="text1"/>
                <w:szCs w:val="22"/>
              </w:rPr>
              <w:t>,</w:t>
            </w:r>
          </w:p>
          <w:p w:rsidR="00126C10" w:rsidRDefault="00126C10" w:rsidP="00B14596">
            <w:pPr>
              <w:rPr>
                <w:rFonts w:ascii="Calibri" w:hAnsi="Calibri" w:cstheme="majorHAnsi"/>
                <w:color w:val="000000" w:themeColor="text1"/>
                <w:szCs w:val="22"/>
              </w:rPr>
            </w:pPr>
            <w:proofErr w:type="spellStart"/>
            <w:r>
              <w:rPr>
                <w:rFonts w:ascii="Calibri" w:hAnsi="Calibri" w:cstheme="majorHAnsi"/>
                <w:color w:val="000000" w:themeColor="text1"/>
                <w:szCs w:val="22"/>
              </w:rPr>
              <w:t>Beccles</w:t>
            </w:r>
            <w:proofErr w:type="spellEnd"/>
            <w:r>
              <w:rPr>
                <w:rFonts w:ascii="Calibri" w:hAnsi="Calibri" w:cstheme="majorHAnsi"/>
                <w:color w:val="000000" w:themeColor="text1"/>
                <w:szCs w:val="22"/>
              </w:rPr>
              <w:t xml:space="preserve"> House</w:t>
            </w:r>
          </w:p>
          <w:p w:rsidR="00126C10" w:rsidRDefault="00126C10" w:rsidP="00B14596">
            <w:pPr>
              <w:rPr>
                <w:rFonts w:ascii="Calibri" w:hAnsi="Calibri" w:cstheme="majorHAnsi"/>
                <w:color w:val="000000" w:themeColor="text1"/>
                <w:szCs w:val="22"/>
              </w:rPr>
            </w:pPr>
            <w:r>
              <w:rPr>
                <w:rFonts w:ascii="Calibri" w:hAnsi="Calibri" w:cstheme="majorHAnsi"/>
                <w:color w:val="000000" w:themeColor="text1"/>
                <w:szCs w:val="22"/>
              </w:rPr>
              <w:t>1 Common Lane North</w:t>
            </w:r>
          </w:p>
          <w:p w:rsidR="00126C10" w:rsidRDefault="00126C10" w:rsidP="00B14596">
            <w:pPr>
              <w:rPr>
                <w:rFonts w:ascii="Calibri" w:hAnsi="Calibri" w:cstheme="majorHAnsi"/>
                <w:color w:val="000000" w:themeColor="text1"/>
                <w:szCs w:val="22"/>
              </w:rPr>
            </w:pPr>
            <w:proofErr w:type="spellStart"/>
            <w:r>
              <w:rPr>
                <w:rFonts w:ascii="Calibri" w:hAnsi="Calibri" w:cstheme="majorHAnsi"/>
                <w:color w:val="000000" w:themeColor="text1"/>
                <w:szCs w:val="22"/>
              </w:rPr>
              <w:t>Beccles</w:t>
            </w:r>
            <w:proofErr w:type="spellEnd"/>
          </w:p>
          <w:p w:rsidR="00126C10" w:rsidRDefault="00126C10" w:rsidP="00B14596">
            <w:pPr>
              <w:rPr>
                <w:rFonts w:ascii="Calibri" w:hAnsi="Calibri" w:cstheme="majorHAnsi"/>
                <w:color w:val="000000" w:themeColor="text1"/>
                <w:szCs w:val="22"/>
              </w:rPr>
            </w:pPr>
            <w:r>
              <w:rPr>
                <w:rFonts w:ascii="Calibri" w:hAnsi="Calibri" w:cstheme="majorHAnsi"/>
                <w:color w:val="000000" w:themeColor="text1"/>
                <w:szCs w:val="22"/>
              </w:rPr>
              <w:t>Suffolk</w:t>
            </w:r>
          </w:p>
          <w:p w:rsidR="00126C10" w:rsidRDefault="00126C10" w:rsidP="00B14596">
            <w:pPr>
              <w:rPr>
                <w:rFonts w:ascii="Calibri" w:hAnsi="Calibri" w:cstheme="majorHAnsi"/>
                <w:color w:val="000000" w:themeColor="text1"/>
                <w:szCs w:val="22"/>
              </w:rPr>
            </w:pPr>
            <w:r>
              <w:rPr>
                <w:rFonts w:ascii="Calibri" w:hAnsi="Calibri" w:cstheme="majorHAnsi"/>
                <w:color w:val="000000" w:themeColor="text1"/>
                <w:szCs w:val="22"/>
              </w:rPr>
              <w:t>NR34 9BN</w:t>
            </w:r>
          </w:p>
          <w:p w:rsidR="00126C10" w:rsidRDefault="00126C10" w:rsidP="00B14596">
            <w:pPr>
              <w:rPr>
                <w:rFonts w:ascii="Calibri" w:hAnsi="Calibri" w:cstheme="majorHAnsi"/>
                <w:color w:val="000000" w:themeColor="text1"/>
                <w:szCs w:val="22"/>
              </w:rPr>
            </w:pPr>
          </w:p>
        </w:tc>
      </w:tr>
      <w:tr w:rsidR="00126C10" w:rsidTr="00B14596">
        <w:tc>
          <w:tcPr>
            <w:tcW w:w="1126" w:type="dxa"/>
          </w:tcPr>
          <w:p w:rsidR="00126C10" w:rsidRDefault="00B14596" w:rsidP="00B14596">
            <w:pPr>
              <w:rPr>
                <w:rFonts w:ascii="Calibri" w:hAnsi="Calibri" w:cstheme="majorHAnsi"/>
                <w:color w:val="000000" w:themeColor="text1"/>
                <w:szCs w:val="22"/>
              </w:rPr>
            </w:pPr>
            <w:r>
              <w:rPr>
                <w:rFonts w:ascii="Calibri" w:hAnsi="Calibri" w:cstheme="majorHAnsi"/>
                <w:color w:val="000000" w:themeColor="text1"/>
                <w:szCs w:val="22"/>
              </w:rPr>
              <w:t>1.2</w:t>
            </w:r>
          </w:p>
        </w:tc>
        <w:tc>
          <w:tcPr>
            <w:tcW w:w="3135" w:type="dxa"/>
          </w:tcPr>
          <w:p w:rsidR="00126C10" w:rsidRDefault="00B14596" w:rsidP="00B14596">
            <w:pPr>
              <w:rPr>
                <w:rFonts w:ascii="Calibri" w:hAnsi="Calibri" w:cstheme="majorHAnsi"/>
                <w:color w:val="000000" w:themeColor="text1"/>
                <w:szCs w:val="22"/>
              </w:rPr>
            </w:pPr>
            <w:r>
              <w:rPr>
                <w:rFonts w:ascii="Calibri" w:hAnsi="Calibri" w:cstheme="majorHAnsi"/>
                <w:color w:val="000000" w:themeColor="text1"/>
                <w:szCs w:val="22"/>
              </w:rPr>
              <w:t>Buyer Name</w:t>
            </w:r>
          </w:p>
        </w:tc>
        <w:tc>
          <w:tcPr>
            <w:tcW w:w="5370" w:type="dxa"/>
          </w:tcPr>
          <w:p w:rsidR="00B14596" w:rsidRDefault="00B14596" w:rsidP="00B14596">
            <w:pPr>
              <w:rPr>
                <w:rFonts w:ascii="Calibri" w:hAnsi="Calibri" w:cstheme="majorHAnsi"/>
                <w:color w:val="000000" w:themeColor="text1"/>
                <w:szCs w:val="22"/>
              </w:rPr>
            </w:pPr>
            <w:r>
              <w:rPr>
                <w:rFonts w:ascii="Calibri" w:hAnsi="Calibri" w:cstheme="majorHAnsi"/>
                <w:color w:val="000000" w:themeColor="text1"/>
                <w:szCs w:val="22"/>
              </w:rPr>
              <w:t xml:space="preserve">James Savill, </w:t>
            </w:r>
            <w:hyperlink r:id="rId11" w:history="1">
              <w:r w:rsidRPr="00E54022">
                <w:rPr>
                  <w:rStyle w:val="Hyperlink"/>
                  <w:rFonts w:ascii="Calibri" w:hAnsi="Calibri" w:cstheme="majorHAnsi"/>
                  <w:szCs w:val="22"/>
                </w:rPr>
                <w:t>james.savill@nhs.net</w:t>
              </w:r>
            </w:hyperlink>
          </w:p>
          <w:p w:rsidR="00B14596" w:rsidRDefault="00B14596" w:rsidP="00B14596">
            <w:pPr>
              <w:rPr>
                <w:rFonts w:ascii="Calibri" w:hAnsi="Calibri" w:cstheme="majorHAnsi"/>
                <w:color w:val="000000" w:themeColor="text1"/>
                <w:szCs w:val="22"/>
              </w:rPr>
            </w:pPr>
            <w:r>
              <w:rPr>
                <w:rFonts w:ascii="Calibri" w:hAnsi="Calibri" w:cstheme="majorHAnsi"/>
                <w:color w:val="000000" w:themeColor="text1"/>
                <w:szCs w:val="22"/>
              </w:rPr>
              <w:t>Tel: 01603595895</w:t>
            </w:r>
          </w:p>
        </w:tc>
      </w:tr>
      <w:tr w:rsidR="00126C10" w:rsidTr="00B14596">
        <w:tc>
          <w:tcPr>
            <w:tcW w:w="1126" w:type="dxa"/>
          </w:tcPr>
          <w:p w:rsidR="00126C10" w:rsidRDefault="00B14596" w:rsidP="00B14596">
            <w:pPr>
              <w:rPr>
                <w:rFonts w:ascii="Calibri" w:hAnsi="Calibri" w:cstheme="majorHAnsi"/>
                <w:color w:val="000000" w:themeColor="text1"/>
                <w:szCs w:val="22"/>
              </w:rPr>
            </w:pPr>
            <w:r>
              <w:rPr>
                <w:rFonts w:ascii="Calibri" w:hAnsi="Calibri" w:cstheme="majorHAnsi"/>
                <w:color w:val="000000" w:themeColor="text1"/>
                <w:szCs w:val="22"/>
              </w:rPr>
              <w:t>1.3</w:t>
            </w:r>
          </w:p>
        </w:tc>
        <w:tc>
          <w:tcPr>
            <w:tcW w:w="3135" w:type="dxa"/>
          </w:tcPr>
          <w:p w:rsidR="00126C10" w:rsidRDefault="00B14596" w:rsidP="00B14596">
            <w:pPr>
              <w:rPr>
                <w:rFonts w:ascii="Calibri" w:hAnsi="Calibri" w:cstheme="majorHAnsi"/>
                <w:color w:val="000000" w:themeColor="text1"/>
                <w:szCs w:val="22"/>
              </w:rPr>
            </w:pPr>
            <w:r>
              <w:rPr>
                <w:rFonts w:ascii="Calibri" w:hAnsi="Calibri" w:cstheme="majorHAnsi"/>
                <w:color w:val="000000" w:themeColor="text1"/>
                <w:szCs w:val="22"/>
              </w:rPr>
              <w:t>Estimated value of opportunity</w:t>
            </w:r>
          </w:p>
        </w:tc>
        <w:tc>
          <w:tcPr>
            <w:tcW w:w="5370" w:type="dxa"/>
          </w:tcPr>
          <w:p w:rsidR="00126C10" w:rsidRDefault="00B14596" w:rsidP="00B14596">
            <w:pPr>
              <w:rPr>
                <w:rFonts w:ascii="Calibri" w:hAnsi="Calibri" w:cstheme="majorHAnsi"/>
                <w:color w:val="000000" w:themeColor="text1"/>
                <w:szCs w:val="22"/>
              </w:rPr>
            </w:pPr>
            <w:r w:rsidRPr="00CB08D4">
              <w:rPr>
                <w:rFonts w:ascii="Calibri" w:hAnsi="Calibri" w:cstheme="majorHAnsi"/>
                <w:color w:val="000000" w:themeColor="text1"/>
                <w:szCs w:val="22"/>
              </w:rPr>
              <w:t>£75,000</w:t>
            </w:r>
          </w:p>
        </w:tc>
      </w:tr>
      <w:tr w:rsidR="00126C10" w:rsidTr="00B14596">
        <w:tc>
          <w:tcPr>
            <w:tcW w:w="1126" w:type="dxa"/>
          </w:tcPr>
          <w:p w:rsidR="00126C10" w:rsidRDefault="00B14596" w:rsidP="00B14596">
            <w:pPr>
              <w:rPr>
                <w:rFonts w:ascii="Calibri" w:hAnsi="Calibri" w:cstheme="majorHAnsi"/>
                <w:color w:val="000000" w:themeColor="text1"/>
                <w:szCs w:val="22"/>
              </w:rPr>
            </w:pPr>
            <w:r>
              <w:rPr>
                <w:rFonts w:ascii="Calibri" w:hAnsi="Calibri" w:cstheme="majorHAnsi"/>
                <w:color w:val="000000" w:themeColor="text1"/>
                <w:szCs w:val="22"/>
              </w:rPr>
              <w:t>1.4</w:t>
            </w:r>
          </w:p>
        </w:tc>
        <w:tc>
          <w:tcPr>
            <w:tcW w:w="3135" w:type="dxa"/>
          </w:tcPr>
          <w:p w:rsidR="00126C10" w:rsidRDefault="00B14596" w:rsidP="00B14596">
            <w:pPr>
              <w:rPr>
                <w:rFonts w:ascii="Calibri" w:hAnsi="Calibri" w:cstheme="majorHAnsi"/>
                <w:color w:val="000000" w:themeColor="text1"/>
                <w:szCs w:val="22"/>
              </w:rPr>
            </w:pPr>
            <w:r>
              <w:rPr>
                <w:rFonts w:ascii="Calibri" w:hAnsi="Calibri" w:cstheme="majorHAnsi"/>
                <w:color w:val="000000" w:themeColor="text1"/>
                <w:szCs w:val="22"/>
              </w:rPr>
              <w:t>Process for submitting bids</w:t>
            </w:r>
          </w:p>
        </w:tc>
        <w:tc>
          <w:tcPr>
            <w:tcW w:w="5370" w:type="dxa"/>
          </w:tcPr>
          <w:p w:rsidR="00126C10" w:rsidRDefault="00B14596" w:rsidP="00B14596">
            <w:pPr>
              <w:rPr>
                <w:rFonts w:ascii="Calibri" w:hAnsi="Calibri" w:cstheme="majorHAnsi"/>
                <w:color w:val="000000" w:themeColor="text1"/>
                <w:szCs w:val="22"/>
              </w:rPr>
            </w:pPr>
            <w:r>
              <w:rPr>
                <w:rFonts w:ascii="Calibri" w:hAnsi="Calibri" w:cstheme="majorHAnsi"/>
                <w:color w:val="000000" w:themeColor="text1"/>
                <w:szCs w:val="22"/>
              </w:rPr>
              <w:t>All bids to be submitted through the e-tendering portal</w:t>
            </w:r>
            <w:r w:rsidR="00A321F8">
              <w:rPr>
                <w:rFonts w:ascii="Calibri" w:hAnsi="Calibri" w:cstheme="majorHAnsi"/>
                <w:color w:val="000000" w:themeColor="text1"/>
                <w:szCs w:val="22"/>
              </w:rPr>
              <w:t>, or directly to the contact above via email</w:t>
            </w:r>
          </w:p>
          <w:p w:rsidR="00B14596" w:rsidRDefault="00B14596" w:rsidP="00B14596">
            <w:pPr>
              <w:rPr>
                <w:rFonts w:ascii="Calibri" w:hAnsi="Calibri" w:cstheme="majorHAnsi"/>
                <w:color w:val="000000" w:themeColor="text1"/>
                <w:szCs w:val="22"/>
              </w:rPr>
            </w:pPr>
          </w:p>
        </w:tc>
      </w:tr>
      <w:tr w:rsidR="00B14596" w:rsidTr="00B14596">
        <w:tc>
          <w:tcPr>
            <w:tcW w:w="9631" w:type="dxa"/>
            <w:gridSpan w:val="3"/>
            <w:shd w:val="clear" w:color="auto" w:fill="D9D9D9" w:themeFill="background1" w:themeFillShade="D9"/>
          </w:tcPr>
          <w:p w:rsidR="00B14596" w:rsidRPr="00B14596" w:rsidRDefault="00B14596">
            <w:pPr>
              <w:spacing w:after="200" w:line="276" w:lineRule="auto"/>
              <w:rPr>
                <w:rFonts w:ascii="Calibri" w:hAnsi="Calibri" w:cstheme="majorHAnsi"/>
                <w:b/>
                <w:color w:val="000000" w:themeColor="text1"/>
                <w:szCs w:val="22"/>
              </w:rPr>
            </w:pPr>
            <w:r>
              <w:rPr>
                <w:rFonts w:ascii="Calibri" w:hAnsi="Calibri" w:cstheme="majorHAnsi"/>
                <w:b/>
                <w:color w:val="000000" w:themeColor="text1"/>
                <w:szCs w:val="22"/>
              </w:rPr>
              <w:t>Timetable</w:t>
            </w:r>
          </w:p>
        </w:tc>
      </w:tr>
      <w:tr w:rsidR="00B14596" w:rsidTr="00B14596">
        <w:tc>
          <w:tcPr>
            <w:tcW w:w="1126" w:type="dxa"/>
          </w:tcPr>
          <w:p w:rsidR="00B14596" w:rsidRDefault="00B14596">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1.5</w:t>
            </w:r>
          </w:p>
        </w:tc>
        <w:tc>
          <w:tcPr>
            <w:tcW w:w="3135" w:type="dxa"/>
          </w:tcPr>
          <w:p w:rsidR="00B14596" w:rsidRDefault="00B14596">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Advert Placed in Contracts Finder</w:t>
            </w:r>
          </w:p>
        </w:tc>
        <w:tc>
          <w:tcPr>
            <w:tcW w:w="5370" w:type="dxa"/>
          </w:tcPr>
          <w:p w:rsidR="00B14596" w:rsidRDefault="00B14596">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17</w:t>
            </w:r>
            <w:r w:rsidRPr="00B14596">
              <w:rPr>
                <w:rFonts w:ascii="Calibri" w:hAnsi="Calibri" w:cstheme="majorHAnsi"/>
                <w:color w:val="000000" w:themeColor="text1"/>
                <w:szCs w:val="22"/>
                <w:vertAlign w:val="superscript"/>
              </w:rPr>
              <w:t>th</w:t>
            </w:r>
            <w:r>
              <w:rPr>
                <w:rFonts w:ascii="Calibri" w:hAnsi="Calibri" w:cstheme="majorHAnsi"/>
                <w:color w:val="000000" w:themeColor="text1"/>
                <w:szCs w:val="22"/>
              </w:rPr>
              <w:t xml:space="preserve"> February 2017</w:t>
            </w:r>
          </w:p>
        </w:tc>
      </w:tr>
      <w:tr w:rsidR="00B14596" w:rsidTr="00B14596">
        <w:tc>
          <w:tcPr>
            <w:tcW w:w="1126" w:type="dxa"/>
          </w:tcPr>
          <w:p w:rsidR="00B14596" w:rsidRDefault="00B14596">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1.6</w:t>
            </w:r>
          </w:p>
        </w:tc>
        <w:tc>
          <w:tcPr>
            <w:tcW w:w="3135" w:type="dxa"/>
          </w:tcPr>
          <w:p w:rsidR="00B14596" w:rsidRDefault="00EA4953">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Question deadline</w:t>
            </w:r>
          </w:p>
        </w:tc>
        <w:tc>
          <w:tcPr>
            <w:tcW w:w="5370" w:type="dxa"/>
          </w:tcPr>
          <w:p w:rsidR="00B14596" w:rsidRDefault="00EA4953">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5pm 22</w:t>
            </w:r>
            <w:r w:rsidRPr="00EA4953">
              <w:rPr>
                <w:rFonts w:ascii="Calibri" w:hAnsi="Calibri" w:cstheme="majorHAnsi"/>
                <w:color w:val="000000" w:themeColor="text1"/>
                <w:szCs w:val="22"/>
                <w:vertAlign w:val="superscript"/>
              </w:rPr>
              <w:t>nd</w:t>
            </w:r>
            <w:r>
              <w:rPr>
                <w:rFonts w:ascii="Calibri" w:hAnsi="Calibri" w:cstheme="majorHAnsi"/>
                <w:color w:val="000000" w:themeColor="text1"/>
                <w:szCs w:val="22"/>
              </w:rPr>
              <w:t xml:space="preserve"> February 2017 </w:t>
            </w:r>
          </w:p>
        </w:tc>
      </w:tr>
      <w:tr w:rsidR="00EA4953" w:rsidTr="00B14596">
        <w:tc>
          <w:tcPr>
            <w:tcW w:w="1126" w:type="dxa"/>
          </w:tcPr>
          <w:p w:rsidR="00EA4953" w:rsidRDefault="00EA4953" w:rsidP="00EA4953">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1.6</w:t>
            </w:r>
          </w:p>
        </w:tc>
        <w:tc>
          <w:tcPr>
            <w:tcW w:w="3135" w:type="dxa"/>
          </w:tcPr>
          <w:p w:rsidR="00EA4953" w:rsidRDefault="00EA4953" w:rsidP="00EA4953">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Responses due</w:t>
            </w:r>
          </w:p>
        </w:tc>
        <w:tc>
          <w:tcPr>
            <w:tcW w:w="5370" w:type="dxa"/>
          </w:tcPr>
          <w:p w:rsidR="00EA4953" w:rsidRDefault="00EA4953" w:rsidP="00EA4953">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Midday, 27</w:t>
            </w:r>
            <w:r w:rsidRPr="00B14596">
              <w:rPr>
                <w:rFonts w:ascii="Calibri" w:hAnsi="Calibri" w:cstheme="majorHAnsi"/>
                <w:color w:val="000000" w:themeColor="text1"/>
                <w:szCs w:val="22"/>
                <w:vertAlign w:val="superscript"/>
              </w:rPr>
              <w:t>th</w:t>
            </w:r>
            <w:r>
              <w:rPr>
                <w:rFonts w:ascii="Calibri" w:hAnsi="Calibri" w:cstheme="majorHAnsi"/>
                <w:color w:val="000000" w:themeColor="text1"/>
                <w:szCs w:val="22"/>
              </w:rPr>
              <w:t xml:space="preserve"> February 2017</w:t>
            </w:r>
          </w:p>
        </w:tc>
      </w:tr>
      <w:tr w:rsidR="00EA4953" w:rsidTr="00B14596">
        <w:tc>
          <w:tcPr>
            <w:tcW w:w="1126" w:type="dxa"/>
          </w:tcPr>
          <w:p w:rsidR="00EA4953" w:rsidRDefault="00EA4953" w:rsidP="00EA4953">
            <w:pPr>
              <w:rPr>
                <w:rFonts w:ascii="Calibri" w:hAnsi="Calibri" w:cstheme="majorHAnsi"/>
                <w:color w:val="000000" w:themeColor="text1"/>
                <w:szCs w:val="22"/>
              </w:rPr>
            </w:pPr>
            <w:r>
              <w:rPr>
                <w:rFonts w:ascii="Calibri" w:hAnsi="Calibri" w:cstheme="majorHAnsi"/>
                <w:color w:val="000000" w:themeColor="text1"/>
                <w:szCs w:val="22"/>
              </w:rPr>
              <w:lastRenderedPageBreak/>
              <w:t xml:space="preserve">1.7 </w:t>
            </w:r>
          </w:p>
        </w:tc>
        <w:tc>
          <w:tcPr>
            <w:tcW w:w="3135" w:type="dxa"/>
          </w:tcPr>
          <w:p w:rsidR="00EA4953" w:rsidRDefault="00EA4953" w:rsidP="00EA4953">
            <w:pPr>
              <w:rPr>
                <w:rFonts w:ascii="Calibri" w:hAnsi="Calibri" w:cstheme="majorHAnsi"/>
                <w:color w:val="000000" w:themeColor="text1"/>
                <w:szCs w:val="22"/>
              </w:rPr>
            </w:pPr>
            <w:r>
              <w:rPr>
                <w:rFonts w:ascii="Calibri" w:hAnsi="Calibri" w:cstheme="majorHAnsi"/>
                <w:color w:val="000000" w:themeColor="text1"/>
                <w:szCs w:val="22"/>
              </w:rPr>
              <w:t>Evaluation</w:t>
            </w:r>
          </w:p>
        </w:tc>
        <w:tc>
          <w:tcPr>
            <w:tcW w:w="5370" w:type="dxa"/>
          </w:tcPr>
          <w:p w:rsidR="00EA4953" w:rsidRDefault="00EA4953" w:rsidP="00EA4953">
            <w:pPr>
              <w:rPr>
                <w:rFonts w:ascii="Calibri" w:hAnsi="Calibri" w:cstheme="majorHAnsi"/>
                <w:color w:val="000000" w:themeColor="text1"/>
                <w:szCs w:val="22"/>
              </w:rPr>
            </w:pPr>
            <w:r>
              <w:rPr>
                <w:rFonts w:ascii="Calibri" w:hAnsi="Calibri" w:cstheme="majorHAnsi"/>
                <w:color w:val="000000" w:themeColor="text1"/>
                <w:szCs w:val="22"/>
              </w:rPr>
              <w:t>1</w:t>
            </w:r>
            <w:r w:rsidRPr="00B14596">
              <w:rPr>
                <w:rFonts w:ascii="Calibri" w:hAnsi="Calibri" w:cstheme="majorHAnsi"/>
                <w:color w:val="000000" w:themeColor="text1"/>
                <w:szCs w:val="22"/>
                <w:vertAlign w:val="superscript"/>
              </w:rPr>
              <w:t>st</w:t>
            </w:r>
            <w:r>
              <w:rPr>
                <w:rFonts w:ascii="Calibri" w:hAnsi="Calibri" w:cstheme="majorHAnsi"/>
                <w:color w:val="000000" w:themeColor="text1"/>
                <w:szCs w:val="22"/>
              </w:rPr>
              <w:t xml:space="preserve"> March 2017</w:t>
            </w:r>
          </w:p>
        </w:tc>
      </w:tr>
      <w:tr w:rsidR="00EA4953" w:rsidTr="00B14596">
        <w:tc>
          <w:tcPr>
            <w:tcW w:w="1126" w:type="dxa"/>
          </w:tcPr>
          <w:p w:rsidR="00EA4953" w:rsidRDefault="00EA4953" w:rsidP="00EA4953">
            <w:pPr>
              <w:rPr>
                <w:rFonts w:ascii="Calibri" w:hAnsi="Calibri" w:cstheme="majorHAnsi"/>
                <w:color w:val="000000" w:themeColor="text1"/>
                <w:szCs w:val="22"/>
              </w:rPr>
            </w:pPr>
            <w:r>
              <w:rPr>
                <w:rFonts w:ascii="Calibri" w:hAnsi="Calibri" w:cstheme="majorHAnsi"/>
                <w:color w:val="000000" w:themeColor="text1"/>
                <w:szCs w:val="22"/>
              </w:rPr>
              <w:t>1.8</w:t>
            </w:r>
          </w:p>
        </w:tc>
        <w:tc>
          <w:tcPr>
            <w:tcW w:w="3135" w:type="dxa"/>
          </w:tcPr>
          <w:p w:rsidR="00EA4953" w:rsidRDefault="00EA4953" w:rsidP="00EA4953">
            <w:pPr>
              <w:rPr>
                <w:rFonts w:ascii="Calibri" w:hAnsi="Calibri" w:cstheme="majorHAnsi"/>
                <w:color w:val="000000" w:themeColor="text1"/>
                <w:szCs w:val="22"/>
              </w:rPr>
            </w:pPr>
            <w:r>
              <w:rPr>
                <w:rFonts w:ascii="Calibri" w:hAnsi="Calibri" w:cstheme="majorHAnsi"/>
                <w:color w:val="000000" w:themeColor="text1"/>
                <w:szCs w:val="22"/>
              </w:rPr>
              <w:t>Award</w:t>
            </w:r>
          </w:p>
        </w:tc>
        <w:tc>
          <w:tcPr>
            <w:tcW w:w="5370" w:type="dxa"/>
          </w:tcPr>
          <w:p w:rsidR="00EA4953" w:rsidRDefault="00EA4953" w:rsidP="00EA4953">
            <w:pPr>
              <w:rPr>
                <w:rFonts w:ascii="Calibri" w:hAnsi="Calibri" w:cstheme="majorHAnsi"/>
                <w:color w:val="000000" w:themeColor="text1"/>
                <w:szCs w:val="22"/>
              </w:rPr>
            </w:pPr>
            <w:r>
              <w:rPr>
                <w:rFonts w:ascii="Calibri" w:hAnsi="Calibri" w:cstheme="majorHAnsi"/>
                <w:color w:val="000000" w:themeColor="text1"/>
                <w:szCs w:val="22"/>
              </w:rPr>
              <w:t>1</w:t>
            </w:r>
            <w:r w:rsidRPr="00EA4953">
              <w:rPr>
                <w:rFonts w:ascii="Calibri" w:hAnsi="Calibri" w:cstheme="majorHAnsi"/>
                <w:color w:val="000000" w:themeColor="text1"/>
                <w:szCs w:val="22"/>
                <w:vertAlign w:val="superscript"/>
              </w:rPr>
              <w:t>st</w:t>
            </w:r>
            <w:r>
              <w:rPr>
                <w:rFonts w:ascii="Calibri" w:hAnsi="Calibri" w:cstheme="majorHAnsi"/>
                <w:color w:val="000000" w:themeColor="text1"/>
                <w:szCs w:val="22"/>
              </w:rPr>
              <w:t xml:space="preserve"> March 2017</w:t>
            </w:r>
          </w:p>
        </w:tc>
      </w:tr>
    </w:tbl>
    <w:p w:rsidR="00EA4953" w:rsidRDefault="00126C10">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 xml:space="preserve"> </w:t>
      </w:r>
    </w:p>
    <w:p w:rsidR="00126C10" w:rsidRDefault="00EA4953" w:rsidP="00EA4953">
      <w:pPr>
        <w:pStyle w:val="Heading2"/>
        <w:rPr>
          <w:rFonts w:ascii="Calibri" w:hAnsi="Calibri" w:cstheme="majorHAnsi"/>
          <w:color w:val="000000" w:themeColor="text1"/>
          <w:szCs w:val="22"/>
        </w:rPr>
      </w:pPr>
      <w:r>
        <w:t>Section 2 Re</w:t>
      </w:r>
      <w:r w:rsidRPr="00EA4953">
        <w:t>quirement</w:t>
      </w:r>
    </w:p>
    <w:p w:rsidR="0057764C" w:rsidRPr="009240B0" w:rsidRDefault="0057764C" w:rsidP="00423E58">
      <w:pPr>
        <w:spacing w:after="0"/>
        <w:jc w:val="both"/>
        <w:rPr>
          <w:rFonts w:ascii="Calibri" w:hAnsi="Calibri" w:cstheme="majorHAnsi"/>
          <w:szCs w:val="22"/>
        </w:rPr>
      </w:pPr>
    </w:p>
    <w:p w:rsidR="00EA4953" w:rsidRPr="00EA4953" w:rsidRDefault="00EA4953" w:rsidP="00EA4953">
      <w:pPr>
        <w:shd w:val="clear" w:color="auto" w:fill="FFFFFF"/>
        <w:spacing w:before="100" w:beforeAutospacing="1"/>
        <w:rPr>
          <w:rFonts w:ascii="Calibri" w:hAnsi="Calibri" w:cs="Arial"/>
          <w:color w:val="0B0C0C"/>
          <w:szCs w:val="22"/>
          <w:lang w:val="en" w:eastAsia="en-GB"/>
        </w:rPr>
      </w:pPr>
      <w:r w:rsidRPr="00EA4953">
        <w:rPr>
          <w:rFonts w:ascii="Calibri" w:hAnsi="Calibri" w:cs="Arial"/>
          <w:color w:val="0B0C0C"/>
          <w:szCs w:val="22"/>
          <w:lang w:val="en" w:eastAsia="en-GB"/>
        </w:rPr>
        <w:t xml:space="preserve">Following the appointment of a new Accountable Officer the Clinical Commissioning Group is seeking support in developing the tools to implement, manage and report its demand management plans for 2017/18 financial year.   The plans have been “green” rated by NHS England but significant risk remains in the implementation and successful delivery of these plans in a financially challenged health economy.   </w:t>
      </w:r>
    </w:p>
    <w:p w:rsidR="00EA4953" w:rsidRPr="00EA4953" w:rsidRDefault="00EA4953" w:rsidP="00EA4953">
      <w:pPr>
        <w:shd w:val="clear" w:color="auto" w:fill="FFFFFF"/>
        <w:spacing w:before="100" w:beforeAutospacing="1"/>
        <w:rPr>
          <w:rFonts w:ascii="Calibri" w:hAnsi="Calibri" w:cs="Arial"/>
          <w:color w:val="0B0C0C"/>
          <w:szCs w:val="22"/>
          <w:lang w:val="en" w:eastAsia="en-GB"/>
        </w:rPr>
      </w:pPr>
      <w:r w:rsidRPr="00EA4953">
        <w:rPr>
          <w:rFonts w:ascii="Calibri" w:hAnsi="Calibri" w:cs="Arial"/>
          <w:color w:val="0B0C0C"/>
          <w:szCs w:val="22"/>
          <w:lang w:val="en" w:eastAsia="en-GB"/>
        </w:rPr>
        <w:t xml:space="preserve">The support required is practical in nature and these demand management plans do not require reworking.  The successful bidder will leave the CCG with a set of simple but effective management tools to assess progress and to identify key interventions required to deliver the plans.    </w:t>
      </w:r>
    </w:p>
    <w:p w:rsidR="00EA4953" w:rsidRPr="00EA4953" w:rsidRDefault="00EA4953" w:rsidP="00EA4953">
      <w:pPr>
        <w:shd w:val="clear" w:color="auto" w:fill="FFFFFF"/>
        <w:spacing w:before="100" w:beforeAutospacing="1"/>
        <w:rPr>
          <w:rFonts w:ascii="Calibri" w:hAnsi="Calibri" w:cs="Arial"/>
          <w:color w:val="0B0C0C"/>
          <w:szCs w:val="22"/>
          <w:lang w:val="en" w:eastAsia="en-GB"/>
        </w:rPr>
      </w:pPr>
      <w:r w:rsidRPr="00EA4953">
        <w:rPr>
          <w:rFonts w:ascii="Calibri" w:hAnsi="Calibri" w:cs="Arial"/>
          <w:color w:val="0B0C0C"/>
          <w:szCs w:val="22"/>
          <w:lang w:val="en" w:eastAsia="en-GB"/>
        </w:rPr>
        <w:t xml:space="preserve">Further QIPP opportunities have to be identified and the successful bidder will be able to critically appraise current schemes and work with local commissioners and providers to identify further and future opportunities.   </w:t>
      </w:r>
    </w:p>
    <w:p w:rsidR="00423E58" w:rsidRDefault="00423E58" w:rsidP="00EA4953">
      <w:pPr>
        <w:spacing w:after="0"/>
        <w:rPr>
          <w:rFonts w:ascii="Calibri" w:hAnsi="Calibri" w:cstheme="majorHAnsi"/>
          <w:szCs w:val="22"/>
        </w:rPr>
      </w:pPr>
    </w:p>
    <w:p w:rsidR="00EA4953" w:rsidRDefault="00EA4953" w:rsidP="00EA4953">
      <w:pPr>
        <w:spacing w:after="0"/>
        <w:rPr>
          <w:rFonts w:ascii="Calibri" w:hAnsi="Calibri" w:cstheme="majorHAnsi"/>
          <w:szCs w:val="22"/>
        </w:rPr>
      </w:pPr>
      <w:r>
        <w:rPr>
          <w:rFonts w:ascii="Calibri" w:hAnsi="Calibri" w:cstheme="majorHAnsi"/>
          <w:b/>
          <w:szCs w:val="22"/>
        </w:rPr>
        <w:t xml:space="preserve">Duration: </w:t>
      </w:r>
      <w:r>
        <w:rPr>
          <w:rFonts w:ascii="Calibri" w:hAnsi="Calibri" w:cstheme="majorHAnsi"/>
          <w:szCs w:val="22"/>
        </w:rPr>
        <w:t xml:space="preserve">We expect the work to be completed by </w:t>
      </w:r>
      <w:r w:rsidRPr="00CB08D4">
        <w:rPr>
          <w:rFonts w:ascii="Calibri" w:hAnsi="Calibri" w:cstheme="majorHAnsi"/>
          <w:color w:val="000000" w:themeColor="text1"/>
          <w:szCs w:val="22"/>
        </w:rPr>
        <w:t>the end of August 2017</w:t>
      </w:r>
      <w:r>
        <w:rPr>
          <w:rFonts w:ascii="Calibri" w:hAnsi="Calibri" w:cstheme="majorHAnsi"/>
          <w:szCs w:val="22"/>
        </w:rPr>
        <w:t xml:space="preserve">. </w:t>
      </w:r>
    </w:p>
    <w:p w:rsidR="00EA4953" w:rsidRDefault="00EA4953" w:rsidP="00EA4953">
      <w:pPr>
        <w:spacing w:after="0"/>
        <w:rPr>
          <w:rFonts w:ascii="Calibri" w:hAnsi="Calibri" w:cstheme="majorHAnsi"/>
          <w:i/>
          <w:szCs w:val="22"/>
        </w:rPr>
      </w:pPr>
      <w:r w:rsidRPr="00EA4953">
        <w:rPr>
          <w:rFonts w:ascii="Calibri" w:hAnsi="Calibri" w:cstheme="majorHAnsi"/>
          <w:b/>
          <w:szCs w:val="22"/>
        </w:rPr>
        <w:t>Terms and Conditions</w:t>
      </w:r>
      <w:r>
        <w:rPr>
          <w:rFonts w:ascii="Calibri" w:hAnsi="Calibri" w:cstheme="majorHAnsi"/>
          <w:szCs w:val="22"/>
        </w:rPr>
        <w:t>: The services shall be delivered</w:t>
      </w:r>
      <w:r w:rsidR="00BE5CEB">
        <w:rPr>
          <w:rFonts w:ascii="Calibri" w:hAnsi="Calibri" w:cstheme="majorHAnsi"/>
          <w:szCs w:val="22"/>
        </w:rPr>
        <w:t xml:space="preserve"> to the NHS Standard Terms and C</w:t>
      </w:r>
      <w:r>
        <w:rPr>
          <w:rFonts w:ascii="Calibri" w:hAnsi="Calibri" w:cstheme="majorHAnsi"/>
          <w:szCs w:val="22"/>
        </w:rPr>
        <w:t xml:space="preserve">onditions for Services. </w:t>
      </w:r>
      <w:hyperlink r:id="rId12" w:history="1">
        <w:r w:rsidRPr="00E54022">
          <w:rPr>
            <w:rStyle w:val="Hyperlink"/>
            <w:rFonts w:ascii="Calibri" w:hAnsi="Calibri" w:cstheme="majorHAnsi"/>
            <w:i/>
            <w:szCs w:val="22"/>
          </w:rPr>
          <w:t>https://www.gov.uk/government/publications/nhs-standard-terms-and-conditions-of-contract-for-the-purchase-of-goods-and-supply-of-services</w:t>
        </w:r>
      </w:hyperlink>
    </w:p>
    <w:p w:rsidR="00EA4953" w:rsidRPr="00EA4953" w:rsidRDefault="00EA4953" w:rsidP="00EA4953">
      <w:pPr>
        <w:spacing w:after="0"/>
        <w:rPr>
          <w:rFonts w:ascii="Calibri" w:hAnsi="Calibri" w:cstheme="majorHAnsi"/>
          <w:szCs w:val="22"/>
        </w:rPr>
      </w:pPr>
    </w:p>
    <w:p w:rsidR="00EA4953" w:rsidRPr="009240B0" w:rsidRDefault="00EA4953" w:rsidP="00EA4953">
      <w:pPr>
        <w:pStyle w:val="Heading2"/>
      </w:pPr>
      <w:r>
        <w:t>Section 3 Evaluation</w:t>
      </w:r>
    </w:p>
    <w:p w:rsidR="00423E58" w:rsidRPr="009240B0" w:rsidRDefault="00423E58" w:rsidP="00CE0018">
      <w:pPr>
        <w:spacing w:after="0"/>
        <w:jc w:val="right"/>
        <w:rPr>
          <w:rFonts w:ascii="Calibri" w:hAnsi="Calibri" w:cstheme="majorHAnsi"/>
          <w:szCs w:val="22"/>
        </w:rPr>
      </w:pPr>
    </w:p>
    <w:p w:rsidR="00BE5CEB" w:rsidRDefault="00BE5CEB" w:rsidP="00BE5CEB">
      <w:pPr>
        <w:pStyle w:val="Default"/>
        <w:rPr>
          <w:rFonts w:ascii="Calibri" w:hAnsi="Calibri"/>
          <w:sz w:val="22"/>
          <w:szCs w:val="22"/>
        </w:rPr>
      </w:pPr>
      <w:r w:rsidRPr="00BE5CEB">
        <w:rPr>
          <w:rFonts w:ascii="Calibri" w:hAnsi="Calibri"/>
          <w:sz w:val="22"/>
          <w:szCs w:val="22"/>
        </w:rPr>
        <w:t>The evaluation model below shall be us</w:t>
      </w:r>
      <w:r>
        <w:rPr>
          <w:rFonts w:ascii="Calibri" w:hAnsi="Calibri"/>
          <w:sz w:val="22"/>
          <w:szCs w:val="22"/>
        </w:rPr>
        <w:t>ed for this ITQ.</w:t>
      </w:r>
    </w:p>
    <w:p w:rsidR="00BE5CEB" w:rsidRPr="00BE5CEB" w:rsidRDefault="00BE5CEB" w:rsidP="00BE5CEB">
      <w:pPr>
        <w:pStyle w:val="Default"/>
        <w:rPr>
          <w:rFonts w:ascii="Calibri" w:hAnsi="Calibri"/>
          <w:sz w:val="22"/>
          <w:szCs w:val="22"/>
        </w:rPr>
      </w:pPr>
      <w:r w:rsidRPr="00BE5CEB">
        <w:rPr>
          <w:rFonts w:ascii="Calibri" w:hAnsi="Calibri"/>
          <w:sz w:val="22"/>
          <w:szCs w:val="22"/>
        </w:rPr>
        <w:t xml:space="preserve"> </w:t>
      </w:r>
    </w:p>
    <w:p w:rsidR="00BE5CEB" w:rsidRDefault="00BE5CEB" w:rsidP="00BE5CEB">
      <w:pPr>
        <w:pStyle w:val="Default"/>
        <w:rPr>
          <w:rFonts w:ascii="Calibri" w:hAnsi="Calibri"/>
          <w:sz w:val="22"/>
          <w:szCs w:val="22"/>
        </w:rPr>
      </w:pPr>
      <w:r w:rsidRPr="00BE5CEB">
        <w:rPr>
          <w:rFonts w:ascii="Calibri" w:hAnsi="Calibri"/>
          <w:sz w:val="22"/>
          <w:szCs w:val="22"/>
        </w:rPr>
        <w:t xml:space="preserve">Where a question is ‘for information only’ it will not be scored. </w:t>
      </w:r>
    </w:p>
    <w:p w:rsidR="00BE5CEB" w:rsidRPr="00BE5CEB" w:rsidRDefault="00BE5CEB" w:rsidP="00BE5CEB">
      <w:pPr>
        <w:pStyle w:val="Default"/>
        <w:rPr>
          <w:rFonts w:ascii="Calibri" w:hAnsi="Calibri"/>
          <w:sz w:val="22"/>
          <w:szCs w:val="22"/>
        </w:rPr>
      </w:pPr>
    </w:p>
    <w:p w:rsidR="00BE5CEB" w:rsidRDefault="00BE5CEB" w:rsidP="00BE5CEB">
      <w:pPr>
        <w:pStyle w:val="Default"/>
        <w:rPr>
          <w:rFonts w:ascii="Calibri" w:hAnsi="Calibri"/>
          <w:sz w:val="22"/>
          <w:szCs w:val="22"/>
        </w:rPr>
      </w:pPr>
      <w:r w:rsidRPr="00BE5CEB">
        <w:rPr>
          <w:rFonts w:ascii="Calibri" w:hAnsi="Calibri"/>
          <w:sz w:val="22"/>
          <w:szCs w:val="22"/>
        </w:rPr>
        <w:t xml:space="preserve">The evaluation team may comprise staff from </w:t>
      </w:r>
      <w:r>
        <w:rPr>
          <w:rFonts w:ascii="Calibri" w:hAnsi="Calibri"/>
          <w:sz w:val="22"/>
          <w:szCs w:val="22"/>
        </w:rPr>
        <w:t>the CCG</w:t>
      </w:r>
      <w:r w:rsidRPr="00BE5CEB">
        <w:rPr>
          <w:rFonts w:ascii="Calibri" w:hAnsi="Calibri"/>
          <w:sz w:val="22"/>
          <w:szCs w:val="22"/>
        </w:rPr>
        <w:t xml:space="preserve">, </w:t>
      </w:r>
      <w:r>
        <w:rPr>
          <w:rFonts w:ascii="Calibri" w:hAnsi="Calibri"/>
          <w:sz w:val="22"/>
          <w:szCs w:val="22"/>
        </w:rPr>
        <w:t xml:space="preserve">NEL CSU and </w:t>
      </w:r>
      <w:proofErr w:type="spellStart"/>
      <w:r>
        <w:rPr>
          <w:rFonts w:ascii="Calibri" w:hAnsi="Calibri"/>
          <w:sz w:val="22"/>
          <w:szCs w:val="22"/>
        </w:rPr>
        <w:t>and</w:t>
      </w:r>
      <w:proofErr w:type="spellEnd"/>
      <w:r>
        <w:rPr>
          <w:rFonts w:ascii="Calibri" w:hAnsi="Calibri"/>
          <w:sz w:val="22"/>
          <w:szCs w:val="22"/>
        </w:rPr>
        <w:t xml:space="preserve"> external stakeholders the CCG deem to be </w:t>
      </w:r>
      <w:r w:rsidRPr="00BE5CEB">
        <w:rPr>
          <w:rFonts w:ascii="Calibri" w:hAnsi="Calibri"/>
          <w:sz w:val="22"/>
          <w:szCs w:val="22"/>
        </w:rPr>
        <w:t>required. After evaluation</w:t>
      </w:r>
      <w:r>
        <w:rPr>
          <w:rFonts w:ascii="Calibri" w:hAnsi="Calibri"/>
          <w:sz w:val="22"/>
          <w:szCs w:val="22"/>
        </w:rPr>
        <w:t xml:space="preserve"> the scores will be finalised via a moderation meeting where the individual scores will be discussed and a resulting score agreed via consensus. </w:t>
      </w:r>
    </w:p>
    <w:p w:rsidR="00BE5CEB" w:rsidRDefault="00BE5CEB" w:rsidP="00BE5CEB">
      <w:pPr>
        <w:pStyle w:val="Default"/>
        <w:rPr>
          <w:rFonts w:ascii="Calibri" w:hAnsi="Calibri"/>
          <w:sz w:val="22"/>
          <w:szCs w:val="22"/>
        </w:rPr>
      </w:pPr>
    </w:p>
    <w:p w:rsidR="00CD1C5D" w:rsidRDefault="00CD1C5D" w:rsidP="00BE5CEB">
      <w:pPr>
        <w:pStyle w:val="Default"/>
        <w:rPr>
          <w:rFonts w:ascii="Calibri" w:hAnsi="Calibri"/>
          <w:sz w:val="22"/>
          <w:szCs w:val="22"/>
        </w:rPr>
      </w:pPr>
    </w:p>
    <w:tbl>
      <w:tblPr>
        <w:tblStyle w:val="TableGrid"/>
        <w:tblW w:w="9631" w:type="dxa"/>
        <w:tblLook w:val="04A0" w:firstRow="1" w:lastRow="0" w:firstColumn="1" w:lastColumn="0" w:noHBand="0" w:noVBand="1"/>
      </w:tblPr>
      <w:tblGrid>
        <w:gridCol w:w="1126"/>
        <w:gridCol w:w="2127"/>
        <w:gridCol w:w="6378"/>
      </w:tblGrid>
      <w:tr w:rsidR="00CD1C5D" w:rsidTr="00187627">
        <w:trPr>
          <w:cnfStyle w:val="100000000000" w:firstRow="1" w:lastRow="0" w:firstColumn="0" w:lastColumn="0" w:oddVBand="0" w:evenVBand="0" w:oddHBand="0" w:evenHBand="0" w:firstRowFirstColumn="0" w:firstRowLastColumn="0" w:lastRowFirstColumn="0" w:lastRowLastColumn="0"/>
        </w:trPr>
        <w:tc>
          <w:tcPr>
            <w:tcW w:w="9631" w:type="dxa"/>
            <w:gridSpan w:val="3"/>
          </w:tcPr>
          <w:p w:rsidR="00CD1C5D" w:rsidRDefault="00AB4DFA" w:rsidP="00187627">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Commercial</w:t>
            </w:r>
          </w:p>
        </w:tc>
      </w:tr>
      <w:tr w:rsidR="00CD1C5D" w:rsidTr="00AB4DFA">
        <w:tc>
          <w:tcPr>
            <w:tcW w:w="1126" w:type="dxa"/>
          </w:tcPr>
          <w:p w:rsidR="00CD1C5D" w:rsidRDefault="00CD1C5D" w:rsidP="00187627">
            <w:pPr>
              <w:rPr>
                <w:rFonts w:ascii="Calibri" w:hAnsi="Calibri" w:cstheme="majorHAnsi"/>
                <w:color w:val="000000" w:themeColor="text1"/>
                <w:szCs w:val="22"/>
              </w:rPr>
            </w:pPr>
            <w:r>
              <w:rPr>
                <w:rFonts w:ascii="Calibri" w:hAnsi="Calibri" w:cstheme="majorHAnsi"/>
                <w:color w:val="000000" w:themeColor="text1"/>
                <w:szCs w:val="22"/>
              </w:rPr>
              <w:t>1.1</w:t>
            </w:r>
            <w:r w:rsidR="00AB4DFA">
              <w:rPr>
                <w:rFonts w:ascii="Calibri" w:hAnsi="Calibri" w:cstheme="majorHAnsi"/>
                <w:color w:val="000000" w:themeColor="text1"/>
                <w:szCs w:val="22"/>
              </w:rPr>
              <w:t>, 1.2</w:t>
            </w:r>
          </w:p>
        </w:tc>
        <w:tc>
          <w:tcPr>
            <w:tcW w:w="2127" w:type="dxa"/>
          </w:tcPr>
          <w:p w:rsidR="00CD1C5D" w:rsidRDefault="00AB4DFA" w:rsidP="00187627">
            <w:pPr>
              <w:rPr>
                <w:rFonts w:ascii="Calibri" w:hAnsi="Calibri" w:cstheme="majorHAnsi"/>
                <w:color w:val="000000" w:themeColor="text1"/>
                <w:szCs w:val="22"/>
              </w:rPr>
            </w:pPr>
            <w:r>
              <w:rPr>
                <w:rFonts w:ascii="Calibri" w:hAnsi="Calibri" w:cstheme="majorHAnsi"/>
                <w:color w:val="000000" w:themeColor="text1"/>
                <w:szCs w:val="22"/>
              </w:rPr>
              <w:t>Bidder Information</w:t>
            </w:r>
          </w:p>
        </w:tc>
        <w:tc>
          <w:tcPr>
            <w:tcW w:w="6378" w:type="dxa"/>
          </w:tcPr>
          <w:p w:rsidR="00CD1C5D" w:rsidRDefault="00AB4DFA" w:rsidP="00187627">
            <w:pPr>
              <w:rPr>
                <w:rFonts w:ascii="Calibri" w:hAnsi="Calibri" w:cstheme="majorHAnsi"/>
                <w:color w:val="000000" w:themeColor="text1"/>
                <w:szCs w:val="22"/>
              </w:rPr>
            </w:pPr>
            <w:r>
              <w:rPr>
                <w:rFonts w:ascii="Calibri" w:hAnsi="Calibri" w:cstheme="majorHAnsi"/>
                <w:color w:val="000000" w:themeColor="text1"/>
                <w:szCs w:val="22"/>
              </w:rPr>
              <w:t>For Information</w:t>
            </w:r>
          </w:p>
          <w:p w:rsidR="00CD1C5D" w:rsidRDefault="00CD1C5D" w:rsidP="00187627">
            <w:pPr>
              <w:rPr>
                <w:rFonts w:ascii="Calibri" w:hAnsi="Calibri" w:cstheme="majorHAnsi"/>
                <w:color w:val="000000" w:themeColor="text1"/>
                <w:szCs w:val="22"/>
              </w:rPr>
            </w:pPr>
          </w:p>
        </w:tc>
      </w:tr>
      <w:tr w:rsidR="00CD1C5D" w:rsidTr="00AB4DFA">
        <w:tc>
          <w:tcPr>
            <w:tcW w:w="1126" w:type="dxa"/>
          </w:tcPr>
          <w:p w:rsidR="00CD1C5D" w:rsidRDefault="00CD1C5D" w:rsidP="00187627">
            <w:pPr>
              <w:rPr>
                <w:rFonts w:ascii="Calibri" w:hAnsi="Calibri" w:cstheme="majorHAnsi"/>
                <w:color w:val="000000" w:themeColor="text1"/>
                <w:szCs w:val="22"/>
              </w:rPr>
            </w:pPr>
            <w:r>
              <w:rPr>
                <w:rFonts w:ascii="Calibri" w:hAnsi="Calibri" w:cstheme="majorHAnsi"/>
                <w:color w:val="000000" w:themeColor="text1"/>
                <w:szCs w:val="22"/>
              </w:rPr>
              <w:t>1.</w:t>
            </w:r>
            <w:r w:rsidR="00AB4DFA">
              <w:rPr>
                <w:rFonts w:ascii="Calibri" w:hAnsi="Calibri" w:cstheme="majorHAnsi"/>
                <w:color w:val="000000" w:themeColor="text1"/>
                <w:szCs w:val="22"/>
              </w:rPr>
              <w:t>3</w:t>
            </w:r>
          </w:p>
        </w:tc>
        <w:tc>
          <w:tcPr>
            <w:tcW w:w="2127" w:type="dxa"/>
          </w:tcPr>
          <w:p w:rsidR="00CD1C5D" w:rsidRDefault="00AB4DFA" w:rsidP="00187627">
            <w:pPr>
              <w:rPr>
                <w:rFonts w:ascii="Calibri" w:hAnsi="Calibri" w:cstheme="majorHAnsi"/>
                <w:color w:val="000000" w:themeColor="text1"/>
                <w:szCs w:val="22"/>
              </w:rPr>
            </w:pPr>
            <w:r>
              <w:rPr>
                <w:rFonts w:ascii="Calibri" w:hAnsi="Calibri" w:cstheme="majorHAnsi"/>
                <w:color w:val="000000" w:themeColor="text1"/>
                <w:szCs w:val="22"/>
              </w:rPr>
              <w:t>Discrimination</w:t>
            </w:r>
          </w:p>
        </w:tc>
        <w:tc>
          <w:tcPr>
            <w:tcW w:w="6378" w:type="dxa"/>
          </w:tcPr>
          <w:p w:rsidR="00AB4DFA" w:rsidRPr="00577E59" w:rsidRDefault="00AB4DFA" w:rsidP="00AB4DFA">
            <w:pPr>
              <w:pStyle w:val="Default"/>
              <w:spacing w:after="120"/>
              <w:rPr>
                <w:rFonts w:ascii="Calibri" w:hAnsi="Calibri"/>
                <w:sz w:val="22"/>
                <w:szCs w:val="22"/>
              </w:rPr>
            </w:pPr>
            <w:r w:rsidRPr="00577E59">
              <w:rPr>
                <w:rFonts w:ascii="Calibri" w:hAnsi="Calibri"/>
                <w:b/>
                <w:bCs/>
                <w:sz w:val="22"/>
                <w:szCs w:val="22"/>
              </w:rPr>
              <w:t xml:space="preserve">Yes </w:t>
            </w:r>
            <w:r w:rsidRPr="00577E59">
              <w:rPr>
                <w:rFonts w:ascii="Calibri" w:hAnsi="Calibri"/>
                <w:sz w:val="22"/>
                <w:szCs w:val="22"/>
              </w:rPr>
              <w:t xml:space="preserve">– Fail </w:t>
            </w:r>
          </w:p>
          <w:p w:rsidR="00AB4DFA" w:rsidRPr="00577E59" w:rsidRDefault="00AB4DFA" w:rsidP="00AB4DFA">
            <w:pPr>
              <w:pStyle w:val="Default"/>
              <w:spacing w:after="120"/>
              <w:rPr>
                <w:rFonts w:ascii="Calibri" w:hAnsi="Calibri"/>
                <w:sz w:val="22"/>
                <w:szCs w:val="22"/>
              </w:rPr>
            </w:pPr>
            <w:r w:rsidRPr="00577E59">
              <w:rPr>
                <w:rFonts w:ascii="Calibri" w:hAnsi="Calibri"/>
                <w:b/>
                <w:bCs/>
                <w:sz w:val="22"/>
                <w:szCs w:val="22"/>
              </w:rPr>
              <w:t xml:space="preserve">No </w:t>
            </w:r>
            <w:r w:rsidRPr="00577E59">
              <w:rPr>
                <w:rFonts w:ascii="Calibri" w:hAnsi="Calibri"/>
                <w:sz w:val="22"/>
                <w:szCs w:val="22"/>
              </w:rPr>
              <w:t xml:space="preserve">– Pass </w:t>
            </w:r>
          </w:p>
          <w:p w:rsidR="00AB4DFA" w:rsidRPr="00577E59" w:rsidRDefault="00AB4DFA" w:rsidP="00AB4DFA">
            <w:pPr>
              <w:pStyle w:val="Default"/>
              <w:spacing w:after="120"/>
              <w:rPr>
                <w:rFonts w:ascii="Calibri" w:hAnsi="Calibri"/>
                <w:sz w:val="22"/>
                <w:szCs w:val="22"/>
              </w:rPr>
            </w:pPr>
            <w:r w:rsidRPr="00577E59">
              <w:rPr>
                <w:rFonts w:ascii="Calibri" w:hAnsi="Calibri"/>
                <w:sz w:val="22"/>
                <w:szCs w:val="22"/>
              </w:rPr>
              <w:t xml:space="preserve">*If you have answered “yes” please provide, as an attachment to this question, a summary of the nature of the investigation and an explanation of the outcome of the investigation to date. </w:t>
            </w:r>
          </w:p>
          <w:p w:rsidR="00AB4DFA" w:rsidRPr="00577E59" w:rsidRDefault="00AB4DFA" w:rsidP="00AB4DFA">
            <w:pPr>
              <w:pStyle w:val="Default"/>
              <w:spacing w:after="120"/>
              <w:rPr>
                <w:rFonts w:ascii="Calibri" w:hAnsi="Calibri"/>
                <w:sz w:val="22"/>
                <w:szCs w:val="22"/>
              </w:rPr>
            </w:pPr>
            <w:r w:rsidRPr="00577E59">
              <w:rPr>
                <w:rFonts w:ascii="Calibri" w:hAnsi="Calibri"/>
                <w:sz w:val="22"/>
                <w:szCs w:val="22"/>
              </w:rPr>
              <w:t xml:space="preserve">If the investigation upheld the complaint against your </w:t>
            </w:r>
            <w:proofErr w:type="spellStart"/>
            <w:r w:rsidRPr="00577E59">
              <w:rPr>
                <w:rFonts w:ascii="Calibri" w:hAnsi="Calibri"/>
                <w:sz w:val="22"/>
                <w:szCs w:val="22"/>
              </w:rPr>
              <w:t>organisation</w:t>
            </w:r>
            <w:proofErr w:type="spellEnd"/>
            <w:r w:rsidRPr="00577E59">
              <w:rPr>
                <w:rFonts w:ascii="Calibri" w:hAnsi="Calibri"/>
                <w:sz w:val="22"/>
                <w:szCs w:val="22"/>
              </w:rPr>
              <w:t xml:space="preserve">, please use the attachment to explain what action (if any) you have taken to prevent unlawful discrimination from reoccurring. </w:t>
            </w:r>
          </w:p>
          <w:p w:rsidR="00CD1C5D" w:rsidRDefault="00AB4DFA" w:rsidP="00AB4DFA">
            <w:pPr>
              <w:pStyle w:val="Default"/>
              <w:spacing w:after="120"/>
              <w:rPr>
                <w:rFonts w:ascii="Calibri" w:hAnsi="Calibri" w:cstheme="majorHAnsi"/>
                <w:color w:val="000000" w:themeColor="text1"/>
                <w:szCs w:val="22"/>
              </w:rPr>
            </w:pPr>
            <w:r w:rsidRPr="00577E59">
              <w:rPr>
                <w:rFonts w:ascii="Calibri" w:hAnsi="Calibri"/>
                <w:sz w:val="22"/>
                <w:szCs w:val="22"/>
              </w:rPr>
              <w:lastRenderedPageBreak/>
              <w:t xml:space="preserve">You may be excluded if you are unable to demonstrate to the CCGs satisfaction that appropriate remedial action has been taken to prevent similar unlawful discrimination reoccurring. </w:t>
            </w:r>
          </w:p>
        </w:tc>
      </w:tr>
      <w:tr w:rsidR="00CD1C5D" w:rsidTr="00AB4DFA">
        <w:tc>
          <w:tcPr>
            <w:tcW w:w="1126" w:type="dxa"/>
          </w:tcPr>
          <w:p w:rsidR="00CD1C5D" w:rsidRDefault="00AB4DFA" w:rsidP="00187627">
            <w:pPr>
              <w:rPr>
                <w:rFonts w:ascii="Calibri" w:hAnsi="Calibri" w:cstheme="majorHAnsi"/>
                <w:color w:val="000000" w:themeColor="text1"/>
                <w:szCs w:val="22"/>
              </w:rPr>
            </w:pPr>
            <w:r>
              <w:rPr>
                <w:rFonts w:ascii="Calibri" w:hAnsi="Calibri" w:cstheme="majorHAnsi"/>
                <w:color w:val="000000" w:themeColor="text1"/>
                <w:szCs w:val="22"/>
              </w:rPr>
              <w:lastRenderedPageBreak/>
              <w:t>1.4</w:t>
            </w:r>
          </w:p>
        </w:tc>
        <w:tc>
          <w:tcPr>
            <w:tcW w:w="2127" w:type="dxa"/>
          </w:tcPr>
          <w:p w:rsidR="00CD1C5D" w:rsidRDefault="00AB4DFA" w:rsidP="00187627">
            <w:pPr>
              <w:rPr>
                <w:rFonts w:ascii="Calibri" w:hAnsi="Calibri" w:cstheme="majorHAnsi"/>
                <w:color w:val="000000" w:themeColor="text1"/>
                <w:szCs w:val="22"/>
              </w:rPr>
            </w:pPr>
            <w:r>
              <w:rPr>
                <w:rFonts w:ascii="Calibri" w:hAnsi="Calibri" w:cstheme="majorHAnsi"/>
                <w:color w:val="000000" w:themeColor="text1"/>
                <w:szCs w:val="22"/>
              </w:rPr>
              <w:t>Price</w:t>
            </w:r>
          </w:p>
        </w:tc>
        <w:tc>
          <w:tcPr>
            <w:tcW w:w="6378" w:type="dxa"/>
          </w:tcPr>
          <w:p w:rsidR="00AB4DFA" w:rsidRPr="00CB08D4" w:rsidRDefault="00AB4DFA" w:rsidP="00AB4DFA">
            <w:pPr>
              <w:pStyle w:val="Default"/>
              <w:spacing w:after="200"/>
              <w:rPr>
                <w:rFonts w:ascii="Calibri" w:hAnsi="Calibri"/>
                <w:sz w:val="22"/>
                <w:szCs w:val="22"/>
              </w:rPr>
            </w:pPr>
            <w:r w:rsidRPr="00CB08D4">
              <w:rPr>
                <w:rFonts w:ascii="Calibri" w:hAnsi="Calibri"/>
                <w:sz w:val="22"/>
                <w:szCs w:val="22"/>
              </w:rPr>
              <w:t xml:space="preserve">The scoring methodology for this question shall be: </w:t>
            </w:r>
          </w:p>
          <w:p w:rsidR="00AB4DFA" w:rsidRPr="00CB08D4" w:rsidRDefault="00AB4DFA" w:rsidP="00AB4DFA">
            <w:pPr>
              <w:pStyle w:val="Default"/>
              <w:spacing w:after="200"/>
              <w:rPr>
                <w:rFonts w:ascii="Calibri" w:hAnsi="Calibri"/>
                <w:sz w:val="22"/>
                <w:szCs w:val="22"/>
              </w:rPr>
            </w:pPr>
            <w:r w:rsidRPr="00CB08D4">
              <w:rPr>
                <w:rFonts w:ascii="Calibri" w:hAnsi="Calibri"/>
                <w:sz w:val="22"/>
                <w:szCs w:val="22"/>
              </w:rPr>
              <w:t xml:space="preserve">The lowest price for a response which meets the pass criteria shall score 100. </w:t>
            </w:r>
          </w:p>
          <w:p w:rsidR="00AB4DFA" w:rsidRDefault="00AB4DFA" w:rsidP="00AB4DFA">
            <w:pPr>
              <w:pStyle w:val="Default"/>
              <w:spacing w:after="120"/>
              <w:rPr>
                <w:rFonts w:ascii="Calibri" w:hAnsi="Calibri"/>
                <w:sz w:val="22"/>
                <w:szCs w:val="22"/>
              </w:rPr>
            </w:pPr>
            <w:r w:rsidRPr="00CB08D4">
              <w:rPr>
                <w:rFonts w:ascii="Calibri" w:hAnsi="Calibri"/>
                <w:sz w:val="22"/>
                <w:szCs w:val="22"/>
              </w:rPr>
              <w:t>All</w:t>
            </w:r>
            <w:r w:rsidR="00CB08D4">
              <w:rPr>
                <w:rFonts w:ascii="Calibri" w:hAnsi="Calibri"/>
                <w:sz w:val="22"/>
                <w:szCs w:val="22"/>
              </w:rPr>
              <w:t xml:space="preserve"> other bids shall be scored on the</w:t>
            </w:r>
            <w:r w:rsidRPr="00CB08D4">
              <w:rPr>
                <w:rFonts w:ascii="Calibri" w:hAnsi="Calibri"/>
                <w:sz w:val="22"/>
                <w:szCs w:val="22"/>
              </w:rPr>
              <w:t xml:space="preserve"> basis </w:t>
            </w:r>
            <w:r w:rsidR="00CB08D4">
              <w:rPr>
                <w:rFonts w:ascii="Calibri" w:hAnsi="Calibri"/>
                <w:sz w:val="22"/>
                <w:szCs w:val="22"/>
              </w:rPr>
              <w:t xml:space="preserve">below </w:t>
            </w:r>
            <w:r w:rsidRPr="00CB08D4">
              <w:rPr>
                <w:rFonts w:ascii="Calibri" w:hAnsi="Calibri"/>
                <w:sz w:val="22"/>
                <w:szCs w:val="22"/>
              </w:rPr>
              <w:t xml:space="preserve">in relation to the lowest price. The score is then subject to a multiplier to reflect the percentage value of the price criterion. </w:t>
            </w:r>
          </w:p>
          <w:p w:rsidR="00CB08D4" w:rsidRPr="00CB08D4" w:rsidRDefault="00E03B12" w:rsidP="00AB4DFA">
            <w:pPr>
              <w:pStyle w:val="Default"/>
              <w:spacing w:after="120"/>
              <w:rPr>
                <w:rFonts w:ascii="Calibri" w:hAnsi="Calibri"/>
                <w:sz w:val="22"/>
                <w:szCs w:val="22"/>
              </w:rPr>
            </w:pPr>
            <w:r>
              <w:rPr>
                <w:rFonts w:ascii="Calibri" w:hAnsi="Calibri"/>
                <w:sz w:val="22"/>
                <w:szCs w:val="22"/>
              </w:rPr>
              <w:t>The % excess of the evaluated price over the lowest price</w:t>
            </w:r>
            <w:r w:rsidR="00EC290D">
              <w:rPr>
                <w:rFonts w:ascii="Calibri" w:hAnsi="Calibri"/>
                <w:sz w:val="22"/>
                <w:szCs w:val="22"/>
              </w:rPr>
              <w:t xml:space="preserve"> will be multiplied by 0.5</w:t>
            </w:r>
            <w:r>
              <w:rPr>
                <w:rFonts w:ascii="Calibri" w:hAnsi="Calibri"/>
                <w:sz w:val="22"/>
                <w:szCs w:val="22"/>
              </w:rPr>
              <w:t xml:space="preserve"> (the differential %). This percentage will then be deducted from the maximum score - 100.  </w:t>
            </w:r>
          </w:p>
          <w:p w:rsidR="00AB4DFA" w:rsidRPr="00CB08D4" w:rsidRDefault="00AB4DFA" w:rsidP="00AB4DFA">
            <w:pPr>
              <w:pStyle w:val="Default"/>
              <w:spacing w:after="120"/>
              <w:rPr>
                <w:rFonts w:ascii="Calibri" w:hAnsi="Calibri"/>
                <w:szCs w:val="22"/>
              </w:rPr>
            </w:pPr>
            <w:r w:rsidRPr="00CB08D4">
              <w:rPr>
                <w:rFonts w:ascii="Calibri" w:hAnsi="Calibri"/>
                <w:sz w:val="22"/>
                <w:szCs w:val="22"/>
              </w:rPr>
              <w:t xml:space="preserve">The lowest score possible is 0. </w:t>
            </w:r>
          </w:p>
          <w:p w:rsidR="00CD1C5D" w:rsidRPr="00CB08D4" w:rsidRDefault="00AB4DFA" w:rsidP="00187627">
            <w:pPr>
              <w:rPr>
                <w:rFonts w:ascii="Calibri" w:hAnsi="Calibri" w:cstheme="majorHAnsi"/>
                <w:color w:val="000000" w:themeColor="text1"/>
                <w:szCs w:val="22"/>
              </w:rPr>
            </w:pPr>
            <w:r w:rsidRPr="00CB08D4">
              <w:rPr>
                <w:rFonts w:ascii="Calibri" w:hAnsi="Calibri" w:cstheme="majorHAnsi"/>
                <w:color w:val="000000" w:themeColor="text1"/>
                <w:szCs w:val="22"/>
              </w:rPr>
              <w:t>For example, assuming the lowest bid is £</w:t>
            </w:r>
            <w:r w:rsidR="00EC290D">
              <w:rPr>
                <w:rFonts w:ascii="Calibri" w:hAnsi="Calibri" w:cstheme="majorHAnsi"/>
                <w:color w:val="000000" w:themeColor="text1"/>
                <w:szCs w:val="22"/>
              </w:rPr>
              <w:t>75</w:t>
            </w:r>
            <w:r w:rsidRPr="00CB08D4">
              <w:rPr>
                <w:rFonts w:ascii="Calibri" w:hAnsi="Calibri" w:cstheme="majorHAnsi"/>
                <w:color w:val="000000" w:themeColor="text1"/>
                <w:szCs w:val="22"/>
              </w:rPr>
              <w:t>,000</w:t>
            </w:r>
          </w:p>
          <w:p w:rsidR="00E03B12" w:rsidRDefault="00E03B12" w:rsidP="00187627">
            <w:pPr>
              <w:rPr>
                <w:rFonts w:ascii="Calibri" w:hAnsi="Calibri" w:cstheme="majorHAnsi"/>
                <w:color w:val="000000" w:themeColor="text1"/>
                <w:szCs w:val="22"/>
              </w:rPr>
            </w:pPr>
            <w:r>
              <w:rPr>
                <w:rFonts w:ascii="Calibri" w:hAnsi="Calibri" w:cstheme="majorHAnsi"/>
                <w:color w:val="000000" w:themeColor="text1"/>
                <w:szCs w:val="22"/>
              </w:rPr>
              <w:t>Evaluated price</w:t>
            </w:r>
            <w:r>
              <w:rPr>
                <w:rFonts w:ascii="Calibri" w:hAnsi="Calibri" w:cstheme="majorHAnsi"/>
                <w:color w:val="000000" w:themeColor="text1"/>
                <w:szCs w:val="22"/>
              </w:rPr>
              <w:tab/>
              <w:t>Differential</w:t>
            </w:r>
            <w:r w:rsidR="00EC290D">
              <w:rPr>
                <w:rFonts w:ascii="Calibri" w:hAnsi="Calibri" w:cstheme="majorHAnsi"/>
                <w:color w:val="000000" w:themeColor="text1"/>
                <w:szCs w:val="22"/>
              </w:rPr>
              <w:t>%</w:t>
            </w:r>
            <w:r>
              <w:rPr>
                <w:rFonts w:ascii="Calibri" w:hAnsi="Calibri" w:cstheme="majorHAnsi"/>
                <w:color w:val="000000" w:themeColor="text1"/>
                <w:szCs w:val="22"/>
              </w:rPr>
              <w:tab/>
              <w:t>Score</w:t>
            </w:r>
            <w:r w:rsidR="00EC290D">
              <w:rPr>
                <w:rFonts w:ascii="Calibri" w:hAnsi="Calibri" w:cstheme="majorHAnsi"/>
                <w:color w:val="000000" w:themeColor="text1"/>
                <w:szCs w:val="22"/>
              </w:rPr>
              <w:t xml:space="preserve"> (1 </w:t>
            </w:r>
            <w:proofErr w:type="spellStart"/>
            <w:r w:rsidR="00EC290D">
              <w:rPr>
                <w:rFonts w:ascii="Calibri" w:hAnsi="Calibri" w:cstheme="majorHAnsi"/>
                <w:color w:val="000000" w:themeColor="text1"/>
                <w:szCs w:val="22"/>
              </w:rPr>
              <w:t>d.p</w:t>
            </w:r>
            <w:proofErr w:type="spellEnd"/>
            <w:r w:rsidR="00EC290D">
              <w:rPr>
                <w:rFonts w:ascii="Calibri" w:hAnsi="Calibri" w:cstheme="majorHAnsi"/>
                <w:color w:val="000000" w:themeColor="text1"/>
                <w:szCs w:val="22"/>
              </w:rPr>
              <w:t>)</w:t>
            </w:r>
          </w:p>
          <w:p w:rsidR="00EC290D" w:rsidRDefault="00EC290D" w:rsidP="00187627">
            <w:pPr>
              <w:rPr>
                <w:rFonts w:ascii="Calibri" w:hAnsi="Calibri" w:cstheme="majorHAnsi"/>
                <w:color w:val="000000" w:themeColor="text1"/>
                <w:szCs w:val="22"/>
              </w:rPr>
            </w:pPr>
            <w:r>
              <w:rPr>
                <w:rFonts w:ascii="Calibri" w:hAnsi="Calibri" w:cstheme="majorHAnsi"/>
                <w:color w:val="000000" w:themeColor="text1"/>
                <w:szCs w:val="22"/>
              </w:rPr>
              <w:t>£80,000</w:t>
            </w:r>
            <w:r>
              <w:rPr>
                <w:rFonts w:ascii="Calibri" w:hAnsi="Calibri" w:cstheme="majorHAnsi"/>
                <w:color w:val="000000" w:themeColor="text1"/>
                <w:szCs w:val="22"/>
              </w:rPr>
              <w:tab/>
            </w:r>
            <w:r>
              <w:rPr>
                <w:rFonts w:ascii="Calibri" w:hAnsi="Calibri" w:cstheme="majorHAnsi"/>
                <w:color w:val="000000" w:themeColor="text1"/>
                <w:szCs w:val="22"/>
              </w:rPr>
              <w:tab/>
              <w:t>3.34%</w:t>
            </w:r>
            <w:r>
              <w:rPr>
                <w:rFonts w:ascii="Calibri" w:hAnsi="Calibri" w:cstheme="majorHAnsi"/>
                <w:color w:val="000000" w:themeColor="text1"/>
                <w:szCs w:val="22"/>
              </w:rPr>
              <w:tab/>
            </w:r>
            <w:r>
              <w:rPr>
                <w:rFonts w:ascii="Calibri" w:hAnsi="Calibri" w:cstheme="majorHAnsi"/>
                <w:color w:val="000000" w:themeColor="text1"/>
                <w:szCs w:val="22"/>
              </w:rPr>
              <w:tab/>
              <w:t>96.7</w:t>
            </w:r>
          </w:p>
          <w:p w:rsidR="00AB4DFA" w:rsidRDefault="00AB4DFA" w:rsidP="00187627">
            <w:pPr>
              <w:rPr>
                <w:rFonts w:ascii="Calibri" w:hAnsi="Calibri" w:cstheme="majorHAnsi"/>
                <w:color w:val="000000" w:themeColor="text1"/>
                <w:szCs w:val="22"/>
              </w:rPr>
            </w:pPr>
            <w:r w:rsidRPr="00CB08D4">
              <w:rPr>
                <w:rFonts w:ascii="Calibri" w:hAnsi="Calibri" w:cstheme="majorHAnsi"/>
                <w:color w:val="000000" w:themeColor="text1"/>
                <w:szCs w:val="22"/>
              </w:rPr>
              <w:t>£</w:t>
            </w:r>
            <w:r w:rsidR="00E03B12">
              <w:rPr>
                <w:rFonts w:ascii="Calibri" w:hAnsi="Calibri" w:cstheme="majorHAnsi"/>
                <w:color w:val="000000" w:themeColor="text1"/>
                <w:szCs w:val="22"/>
              </w:rPr>
              <w:t>100,00</w:t>
            </w:r>
            <w:r w:rsidR="00EC290D">
              <w:rPr>
                <w:rFonts w:ascii="Calibri" w:hAnsi="Calibri" w:cstheme="majorHAnsi"/>
                <w:color w:val="000000" w:themeColor="text1"/>
                <w:szCs w:val="22"/>
              </w:rPr>
              <w:t>0</w:t>
            </w:r>
            <w:r w:rsidR="00E03B12">
              <w:rPr>
                <w:rFonts w:ascii="Calibri" w:hAnsi="Calibri" w:cstheme="majorHAnsi"/>
                <w:color w:val="000000" w:themeColor="text1"/>
                <w:szCs w:val="22"/>
              </w:rPr>
              <w:tab/>
            </w:r>
            <w:r w:rsidR="00E03B12">
              <w:rPr>
                <w:rFonts w:ascii="Calibri" w:hAnsi="Calibri" w:cstheme="majorHAnsi"/>
                <w:color w:val="000000" w:themeColor="text1"/>
                <w:szCs w:val="22"/>
              </w:rPr>
              <w:tab/>
            </w:r>
            <w:r w:rsidR="00EC290D">
              <w:rPr>
                <w:rFonts w:ascii="Calibri" w:hAnsi="Calibri" w:cstheme="majorHAnsi"/>
                <w:color w:val="000000" w:themeColor="text1"/>
                <w:szCs w:val="22"/>
              </w:rPr>
              <w:t>16.67%</w:t>
            </w:r>
            <w:r w:rsidR="00E03B12">
              <w:rPr>
                <w:rFonts w:ascii="Calibri" w:hAnsi="Calibri" w:cstheme="majorHAnsi"/>
                <w:color w:val="000000" w:themeColor="text1"/>
                <w:szCs w:val="22"/>
              </w:rPr>
              <w:tab/>
            </w:r>
            <w:r w:rsidR="00E03B12">
              <w:rPr>
                <w:rFonts w:ascii="Calibri" w:hAnsi="Calibri" w:cstheme="majorHAnsi"/>
                <w:color w:val="000000" w:themeColor="text1"/>
                <w:szCs w:val="22"/>
              </w:rPr>
              <w:tab/>
            </w:r>
            <w:r w:rsidR="00EC290D">
              <w:rPr>
                <w:rFonts w:ascii="Calibri" w:hAnsi="Calibri" w:cstheme="majorHAnsi"/>
                <w:color w:val="000000" w:themeColor="text1"/>
                <w:szCs w:val="22"/>
              </w:rPr>
              <w:t>83.3</w:t>
            </w:r>
          </w:p>
          <w:p w:rsidR="00E03B12" w:rsidRDefault="00EC290D" w:rsidP="00187627">
            <w:pPr>
              <w:rPr>
                <w:rFonts w:ascii="Calibri" w:hAnsi="Calibri" w:cstheme="majorHAnsi"/>
                <w:color w:val="000000" w:themeColor="text1"/>
                <w:szCs w:val="22"/>
              </w:rPr>
            </w:pPr>
            <w:r>
              <w:rPr>
                <w:rFonts w:ascii="Calibri" w:hAnsi="Calibri" w:cstheme="majorHAnsi"/>
                <w:color w:val="000000" w:themeColor="text1"/>
                <w:szCs w:val="22"/>
              </w:rPr>
              <w:t>£120,000</w:t>
            </w:r>
            <w:r>
              <w:rPr>
                <w:rFonts w:ascii="Calibri" w:hAnsi="Calibri" w:cstheme="majorHAnsi"/>
                <w:color w:val="000000" w:themeColor="text1"/>
                <w:szCs w:val="22"/>
              </w:rPr>
              <w:tab/>
            </w:r>
            <w:r>
              <w:rPr>
                <w:rFonts w:ascii="Calibri" w:hAnsi="Calibri" w:cstheme="majorHAnsi"/>
                <w:color w:val="000000" w:themeColor="text1"/>
                <w:szCs w:val="22"/>
              </w:rPr>
              <w:tab/>
              <w:t>30%</w:t>
            </w:r>
            <w:r>
              <w:rPr>
                <w:rFonts w:ascii="Calibri" w:hAnsi="Calibri" w:cstheme="majorHAnsi"/>
                <w:color w:val="000000" w:themeColor="text1"/>
                <w:szCs w:val="22"/>
              </w:rPr>
              <w:tab/>
            </w:r>
            <w:r>
              <w:rPr>
                <w:rFonts w:ascii="Calibri" w:hAnsi="Calibri" w:cstheme="majorHAnsi"/>
                <w:color w:val="000000" w:themeColor="text1"/>
                <w:szCs w:val="22"/>
              </w:rPr>
              <w:tab/>
              <w:t>75</w:t>
            </w:r>
          </w:p>
          <w:p w:rsidR="00EC290D" w:rsidRPr="00CB08D4" w:rsidRDefault="00EC290D" w:rsidP="00187627">
            <w:pPr>
              <w:rPr>
                <w:rFonts w:ascii="Calibri" w:hAnsi="Calibri" w:cstheme="majorHAnsi"/>
                <w:color w:val="000000" w:themeColor="text1"/>
                <w:szCs w:val="22"/>
              </w:rPr>
            </w:pPr>
            <w:r>
              <w:rPr>
                <w:rFonts w:ascii="Calibri" w:hAnsi="Calibri" w:cstheme="majorHAnsi"/>
                <w:color w:val="000000" w:themeColor="text1"/>
                <w:szCs w:val="22"/>
              </w:rPr>
              <w:t>£150,000</w:t>
            </w:r>
            <w:r>
              <w:rPr>
                <w:rFonts w:ascii="Calibri" w:hAnsi="Calibri" w:cstheme="majorHAnsi"/>
                <w:color w:val="000000" w:themeColor="text1"/>
                <w:szCs w:val="22"/>
              </w:rPr>
              <w:tab/>
            </w:r>
            <w:r>
              <w:rPr>
                <w:rFonts w:ascii="Calibri" w:hAnsi="Calibri" w:cstheme="majorHAnsi"/>
                <w:color w:val="000000" w:themeColor="text1"/>
                <w:szCs w:val="22"/>
              </w:rPr>
              <w:tab/>
              <w:t>50%</w:t>
            </w:r>
            <w:r>
              <w:rPr>
                <w:rFonts w:ascii="Calibri" w:hAnsi="Calibri" w:cstheme="majorHAnsi"/>
                <w:color w:val="000000" w:themeColor="text1"/>
                <w:szCs w:val="22"/>
              </w:rPr>
              <w:tab/>
            </w:r>
            <w:r>
              <w:rPr>
                <w:rFonts w:ascii="Calibri" w:hAnsi="Calibri" w:cstheme="majorHAnsi"/>
                <w:color w:val="000000" w:themeColor="text1"/>
                <w:szCs w:val="22"/>
              </w:rPr>
              <w:tab/>
              <w:t>50</w:t>
            </w:r>
          </w:p>
          <w:p w:rsidR="0005366A" w:rsidRPr="00CB08D4" w:rsidRDefault="0005366A" w:rsidP="00187627">
            <w:pPr>
              <w:rPr>
                <w:rFonts w:ascii="Calibri" w:hAnsi="Calibri" w:cstheme="majorHAnsi"/>
                <w:color w:val="000000" w:themeColor="text1"/>
                <w:szCs w:val="22"/>
              </w:rPr>
            </w:pPr>
          </w:p>
          <w:p w:rsidR="007F7168" w:rsidRDefault="007F7168" w:rsidP="00187627">
            <w:pPr>
              <w:rPr>
                <w:rFonts w:ascii="Calibri" w:hAnsi="Calibri" w:cstheme="majorHAnsi"/>
                <w:color w:val="000000" w:themeColor="text1"/>
                <w:szCs w:val="22"/>
              </w:rPr>
            </w:pPr>
            <w:r w:rsidRPr="00CB08D4">
              <w:rPr>
                <w:rFonts w:ascii="Calibri" w:hAnsi="Calibri" w:cstheme="majorHAnsi"/>
                <w:color w:val="000000" w:themeColor="text1"/>
                <w:szCs w:val="22"/>
              </w:rPr>
              <w:t>Maximum Marks 30%</w:t>
            </w:r>
          </w:p>
          <w:p w:rsidR="00AB4DFA" w:rsidRDefault="00AB4DFA" w:rsidP="00187627">
            <w:pPr>
              <w:rPr>
                <w:rFonts w:ascii="Calibri" w:hAnsi="Calibri" w:cstheme="majorHAnsi"/>
                <w:color w:val="000000" w:themeColor="text1"/>
                <w:szCs w:val="22"/>
              </w:rPr>
            </w:pPr>
          </w:p>
        </w:tc>
      </w:tr>
      <w:tr w:rsidR="00CD1C5D" w:rsidRPr="00B14596" w:rsidTr="00187627">
        <w:tc>
          <w:tcPr>
            <w:tcW w:w="9631" w:type="dxa"/>
            <w:gridSpan w:val="3"/>
            <w:shd w:val="clear" w:color="auto" w:fill="D9D9D9" w:themeFill="background1" w:themeFillShade="D9"/>
          </w:tcPr>
          <w:p w:rsidR="00CD1C5D" w:rsidRPr="00B14596" w:rsidRDefault="005C739C" w:rsidP="00187627">
            <w:pPr>
              <w:spacing w:after="200" w:line="276" w:lineRule="auto"/>
              <w:rPr>
                <w:rFonts w:ascii="Calibri" w:hAnsi="Calibri" w:cstheme="majorHAnsi"/>
                <w:b/>
                <w:color w:val="000000" w:themeColor="text1"/>
                <w:szCs w:val="22"/>
              </w:rPr>
            </w:pPr>
            <w:r>
              <w:rPr>
                <w:rFonts w:ascii="Calibri" w:hAnsi="Calibri" w:cstheme="majorHAnsi"/>
                <w:b/>
                <w:color w:val="000000" w:themeColor="text1"/>
                <w:szCs w:val="22"/>
              </w:rPr>
              <w:t>Quality</w:t>
            </w:r>
          </w:p>
        </w:tc>
      </w:tr>
      <w:tr w:rsidR="00CD1C5D" w:rsidTr="00AB4DFA">
        <w:tc>
          <w:tcPr>
            <w:tcW w:w="1126" w:type="dxa"/>
          </w:tcPr>
          <w:p w:rsidR="00CD1C5D" w:rsidRDefault="00CD1C5D" w:rsidP="00187627">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1.</w:t>
            </w:r>
            <w:r w:rsidR="005C739C">
              <w:rPr>
                <w:rFonts w:ascii="Calibri" w:hAnsi="Calibri" w:cstheme="majorHAnsi"/>
                <w:color w:val="000000" w:themeColor="text1"/>
                <w:szCs w:val="22"/>
              </w:rPr>
              <w:t>5</w:t>
            </w:r>
          </w:p>
        </w:tc>
        <w:tc>
          <w:tcPr>
            <w:tcW w:w="2127" w:type="dxa"/>
          </w:tcPr>
          <w:p w:rsidR="00CD1C5D" w:rsidRDefault="005C739C" w:rsidP="00187627">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Track Record</w:t>
            </w:r>
          </w:p>
        </w:tc>
        <w:tc>
          <w:tcPr>
            <w:tcW w:w="6378" w:type="dxa"/>
          </w:tcPr>
          <w:p w:rsidR="00CD1C5D" w:rsidRDefault="005C739C" w:rsidP="007F7168">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2</w:t>
            </w:r>
            <w:r w:rsidR="007F7168">
              <w:rPr>
                <w:rFonts w:ascii="Calibri" w:hAnsi="Calibri" w:cstheme="majorHAnsi"/>
                <w:color w:val="000000" w:themeColor="text1"/>
                <w:szCs w:val="22"/>
              </w:rPr>
              <w:t>0</w:t>
            </w:r>
            <w:r>
              <w:rPr>
                <w:rFonts w:ascii="Calibri" w:hAnsi="Calibri" w:cstheme="majorHAnsi"/>
                <w:color w:val="000000" w:themeColor="text1"/>
                <w:szCs w:val="22"/>
              </w:rPr>
              <w:t>%</w:t>
            </w:r>
          </w:p>
          <w:p w:rsidR="0005366A" w:rsidRDefault="0005366A" w:rsidP="0005366A">
            <w:pPr>
              <w:spacing w:after="200" w:line="276" w:lineRule="auto"/>
              <w:rPr>
                <w:rFonts w:ascii="Calibri" w:hAnsi="Calibri" w:cstheme="majorHAnsi"/>
                <w:color w:val="000000" w:themeColor="text1"/>
                <w:szCs w:val="22"/>
              </w:rPr>
            </w:pPr>
            <w:r w:rsidRPr="008F3B51">
              <w:rPr>
                <w:rFonts w:ascii="Calibri" w:hAnsi="Calibri" w:cstheme="majorHAnsi"/>
                <w:color w:val="000000" w:themeColor="text1"/>
                <w:szCs w:val="22"/>
              </w:rPr>
              <w:t>The bidder will demonstrate recent similarly-scaled experience of working with health commissioners on their demand management plans.</w:t>
            </w:r>
            <w:r>
              <w:rPr>
                <w:rFonts w:ascii="Calibri" w:hAnsi="Calibri" w:cstheme="majorHAnsi"/>
                <w:color w:val="000000" w:themeColor="text1"/>
                <w:szCs w:val="22"/>
              </w:rPr>
              <w:t xml:space="preserve"> </w:t>
            </w:r>
          </w:p>
        </w:tc>
      </w:tr>
      <w:tr w:rsidR="00CD1C5D" w:rsidTr="00AB4DFA">
        <w:tc>
          <w:tcPr>
            <w:tcW w:w="1126" w:type="dxa"/>
          </w:tcPr>
          <w:p w:rsidR="00CD1C5D" w:rsidRDefault="00CD1C5D" w:rsidP="00187627">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1.6</w:t>
            </w:r>
          </w:p>
        </w:tc>
        <w:tc>
          <w:tcPr>
            <w:tcW w:w="2127" w:type="dxa"/>
          </w:tcPr>
          <w:p w:rsidR="00CD1C5D" w:rsidRDefault="005C739C" w:rsidP="00187627">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Toolkit</w:t>
            </w:r>
          </w:p>
        </w:tc>
        <w:tc>
          <w:tcPr>
            <w:tcW w:w="6378" w:type="dxa"/>
          </w:tcPr>
          <w:p w:rsidR="00CD1C5D" w:rsidRDefault="007F7168" w:rsidP="00187627">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30</w:t>
            </w:r>
            <w:r w:rsidR="005C739C">
              <w:rPr>
                <w:rFonts w:ascii="Calibri" w:hAnsi="Calibri" w:cstheme="majorHAnsi"/>
                <w:color w:val="000000" w:themeColor="text1"/>
                <w:szCs w:val="22"/>
              </w:rPr>
              <w:t>%</w:t>
            </w:r>
          </w:p>
          <w:p w:rsidR="0005366A" w:rsidRDefault="0005366A" w:rsidP="00187627">
            <w:pPr>
              <w:spacing w:after="200" w:line="276" w:lineRule="auto"/>
              <w:rPr>
                <w:rFonts w:ascii="Calibri" w:hAnsi="Calibri" w:cstheme="majorHAnsi"/>
                <w:color w:val="000000" w:themeColor="text1"/>
                <w:szCs w:val="22"/>
              </w:rPr>
            </w:pPr>
            <w:r w:rsidRPr="008F3B51">
              <w:rPr>
                <w:rFonts w:ascii="Calibri" w:hAnsi="Calibri" w:cstheme="majorHAnsi"/>
                <w:color w:val="000000" w:themeColor="text1"/>
                <w:szCs w:val="22"/>
              </w:rPr>
              <w:t>The CCG requires confidence in the use of the tools, the robustness of the implementation and that there is evidence of how the CCG will benefit from the use.</w:t>
            </w:r>
          </w:p>
        </w:tc>
      </w:tr>
      <w:tr w:rsidR="00CD1C5D" w:rsidTr="00AB4DFA">
        <w:tc>
          <w:tcPr>
            <w:tcW w:w="1126" w:type="dxa"/>
          </w:tcPr>
          <w:p w:rsidR="00CD1C5D" w:rsidRDefault="00CD1C5D" w:rsidP="00187627">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1.</w:t>
            </w:r>
            <w:r w:rsidR="005C739C">
              <w:rPr>
                <w:rFonts w:ascii="Calibri" w:hAnsi="Calibri" w:cstheme="majorHAnsi"/>
                <w:color w:val="000000" w:themeColor="text1"/>
                <w:szCs w:val="22"/>
              </w:rPr>
              <w:t>7</w:t>
            </w:r>
          </w:p>
        </w:tc>
        <w:tc>
          <w:tcPr>
            <w:tcW w:w="2127" w:type="dxa"/>
          </w:tcPr>
          <w:p w:rsidR="00CD1C5D" w:rsidRDefault="005C739C" w:rsidP="00187627">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Support</w:t>
            </w:r>
          </w:p>
        </w:tc>
        <w:tc>
          <w:tcPr>
            <w:tcW w:w="6378" w:type="dxa"/>
          </w:tcPr>
          <w:p w:rsidR="00CD1C5D" w:rsidRDefault="005C739C" w:rsidP="00187627">
            <w:pPr>
              <w:spacing w:after="200" w:line="276" w:lineRule="auto"/>
              <w:rPr>
                <w:rFonts w:ascii="Calibri" w:hAnsi="Calibri" w:cstheme="majorHAnsi"/>
                <w:color w:val="000000" w:themeColor="text1"/>
                <w:szCs w:val="22"/>
              </w:rPr>
            </w:pPr>
            <w:r>
              <w:rPr>
                <w:rFonts w:ascii="Calibri" w:hAnsi="Calibri" w:cstheme="majorHAnsi"/>
                <w:color w:val="000000" w:themeColor="text1"/>
                <w:szCs w:val="22"/>
              </w:rPr>
              <w:t>20%</w:t>
            </w:r>
          </w:p>
          <w:p w:rsidR="0005366A" w:rsidRDefault="0005366A" w:rsidP="00187627">
            <w:pPr>
              <w:spacing w:after="200" w:line="276" w:lineRule="auto"/>
              <w:rPr>
                <w:rFonts w:ascii="Calibri" w:hAnsi="Calibri" w:cstheme="majorHAnsi"/>
                <w:color w:val="000000" w:themeColor="text1"/>
                <w:szCs w:val="22"/>
              </w:rPr>
            </w:pPr>
            <w:r w:rsidRPr="008F3B51">
              <w:rPr>
                <w:rFonts w:ascii="Calibri" w:hAnsi="Calibri" w:cstheme="majorHAnsi"/>
                <w:color w:val="000000" w:themeColor="text1"/>
                <w:szCs w:val="22"/>
              </w:rPr>
              <w:t>The Bidder to demonstrate how they will ensure there is knowledge and capability passed to the CCG to ensure that when the assignment is ended the CCG will benefit for the longer term.</w:t>
            </w:r>
            <w:r>
              <w:rPr>
                <w:rFonts w:ascii="Calibri" w:hAnsi="Calibri" w:cstheme="majorHAnsi"/>
                <w:color w:val="000000" w:themeColor="text1"/>
                <w:szCs w:val="22"/>
              </w:rPr>
              <w:t xml:space="preserve">  </w:t>
            </w:r>
          </w:p>
        </w:tc>
      </w:tr>
    </w:tbl>
    <w:p w:rsidR="00CD1C5D" w:rsidRDefault="00CD1C5D" w:rsidP="00BE5CEB">
      <w:pPr>
        <w:pStyle w:val="Default"/>
        <w:rPr>
          <w:rFonts w:ascii="Calibri" w:hAnsi="Calibri"/>
          <w:sz w:val="22"/>
          <w:szCs w:val="22"/>
        </w:rPr>
      </w:pPr>
    </w:p>
    <w:p w:rsidR="00CD1C5D" w:rsidRDefault="00CD1C5D" w:rsidP="00BE5CEB">
      <w:pPr>
        <w:pStyle w:val="Default"/>
        <w:rPr>
          <w:rFonts w:ascii="Calibri" w:hAnsi="Calibri"/>
          <w:sz w:val="22"/>
          <w:szCs w:val="22"/>
        </w:rPr>
      </w:pPr>
    </w:p>
    <w:p w:rsidR="00CD1C5D" w:rsidRPr="005C739C" w:rsidRDefault="005C739C" w:rsidP="00BE5CEB">
      <w:pPr>
        <w:pStyle w:val="Default"/>
        <w:rPr>
          <w:rFonts w:ascii="Calibri" w:hAnsi="Calibri"/>
          <w:b/>
          <w:sz w:val="22"/>
          <w:szCs w:val="22"/>
        </w:rPr>
      </w:pPr>
      <w:r w:rsidRPr="005C739C">
        <w:rPr>
          <w:rFonts w:ascii="Calibri" w:hAnsi="Calibri"/>
          <w:b/>
          <w:sz w:val="22"/>
          <w:szCs w:val="22"/>
        </w:rPr>
        <w:t xml:space="preserve">Evaluation </w:t>
      </w:r>
      <w:r w:rsidR="008F3B51">
        <w:rPr>
          <w:rFonts w:ascii="Calibri" w:hAnsi="Calibri"/>
          <w:b/>
          <w:sz w:val="22"/>
          <w:szCs w:val="22"/>
        </w:rPr>
        <w:t xml:space="preserve">Quality </w:t>
      </w:r>
      <w:r w:rsidRPr="005C739C">
        <w:rPr>
          <w:rFonts w:ascii="Calibri" w:hAnsi="Calibri"/>
          <w:b/>
          <w:sz w:val="22"/>
          <w:szCs w:val="22"/>
        </w:rPr>
        <w:t>Scoring</w:t>
      </w:r>
    </w:p>
    <w:p w:rsidR="005C739C" w:rsidRDefault="005C739C" w:rsidP="00BE5CEB">
      <w:pPr>
        <w:pStyle w:val="Default"/>
        <w:rPr>
          <w:rFonts w:ascii="Calibri" w:hAnsi="Calibri"/>
          <w:sz w:val="22"/>
          <w:szCs w:val="22"/>
        </w:rPr>
      </w:pPr>
    </w:p>
    <w:p w:rsidR="005C739C" w:rsidRDefault="005C739C" w:rsidP="00BE5CEB">
      <w:pPr>
        <w:pStyle w:val="Default"/>
        <w:rPr>
          <w:rFonts w:ascii="Calibri" w:hAnsi="Calibri"/>
          <w:sz w:val="22"/>
          <w:szCs w:val="22"/>
        </w:rPr>
      </w:pPr>
      <w:r>
        <w:rPr>
          <w:rFonts w:ascii="Calibri" w:hAnsi="Calibri"/>
          <w:sz w:val="22"/>
          <w:szCs w:val="22"/>
        </w:rPr>
        <w:t>The scores for quality shall be from 0 to 5:</w:t>
      </w:r>
    </w:p>
    <w:p w:rsidR="005C739C" w:rsidRDefault="005C739C" w:rsidP="00BE5CEB">
      <w:pPr>
        <w:pStyle w:val="Default"/>
        <w:rPr>
          <w:rFonts w:ascii="Calibri" w:hAnsi="Calibri"/>
          <w:sz w:val="22"/>
          <w:szCs w:val="22"/>
        </w:rPr>
      </w:pPr>
    </w:p>
    <w:p w:rsidR="00CD1C5D" w:rsidRDefault="00CD1C5D" w:rsidP="00BE5CEB">
      <w:pPr>
        <w:pStyle w:val="Default"/>
        <w:rPr>
          <w:rFonts w:ascii="Calibri" w:hAnsi="Calibri"/>
          <w:sz w:val="22"/>
          <w:szCs w:val="22"/>
        </w:rPr>
      </w:pPr>
    </w:p>
    <w:p w:rsidR="00CD1C5D" w:rsidRDefault="00CD1C5D" w:rsidP="00BE5CEB">
      <w:pPr>
        <w:pStyle w:val="Default"/>
        <w:rPr>
          <w:rFonts w:ascii="Calibri" w:hAnsi="Calibri"/>
          <w:sz w:val="22"/>
          <w:szCs w:val="22"/>
        </w:rPr>
      </w:pPr>
    </w:p>
    <w:p w:rsidR="00CD1C5D" w:rsidRDefault="00CD1C5D" w:rsidP="00BE5CEB">
      <w:pPr>
        <w:pStyle w:val="Default"/>
        <w:rPr>
          <w:rFonts w:ascii="Calibri" w:hAnsi="Calibri"/>
          <w:sz w:val="22"/>
          <w:szCs w:val="22"/>
        </w:rPr>
      </w:pPr>
    </w:p>
    <w:p w:rsidR="00CD1C5D" w:rsidRDefault="00CD1C5D" w:rsidP="00BE5CEB">
      <w:pPr>
        <w:pStyle w:val="Default"/>
        <w:rPr>
          <w:rFonts w:ascii="Calibri" w:hAnsi="Calibri"/>
          <w:sz w:val="22"/>
          <w:szCs w:val="22"/>
        </w:rPr>
      </w:pPr>
    </w:p>
    <w:p w:rsidR="00CD1C5D" w:rsidRDefault="00CD1C5D" w:rsidP="00BE5CEB">
      <w:pPr>
        <w:pStyle w:val="Default"/>
        <w:rPr>
          <w:rFonts w:ascii="Calibri" w:hAnsi="Calibri"/>
          <w:sz w:val="22"/>
          <w:szCs w:val="22"/>
        </w:rPr>
      </w:pPr>
    </w:p>
    <w:p w:rsidR="00CD1C5D" w:rsidRDefault="00CD1C5D" w:rsidP="00BE5CEB">
      <w:pPr>
        <w:pStyle w:val="Default"/>
        <w:rPr>
          <w:rFonts w:ascii="Calibri" w:hAnsi="Calibri"/>
          <w:sz w:val="22"/>
          <w:szCs w:val="22"/>
        </w:rPr>
      </w:pPr>
    </w:p>
    <w:p w:rsidR="00CD1C5D" w:rsidRDefault="00CD1C5D" w:rsidP="00BE5CEB">
      <w:pPr>
        <w:pStyle w:val="Default"/>
        <w:rPr>
          <w:rFonts w:ascii="Calibri" w:hAnsi="Calibri"/>
          <w:sz w:val="22"/>
          <w:szCs w:val="22"/>
        </w:rPr>
      </w:pPr>
    </w:p>
    <w:p w:rsidR="00D97647" w:rsidRPr="009240B0" w:rsidRDefault="00D97647" w:rsidP="00423E58">
      <w:pPr>
        <w:spacing w:after="0"/>
        <w:rPr>
          <w:rFonts w:ascii="Calibri" w:hAnsi="Calibri" w:cstheme="majorHAnsi"/>
          <w:szCs w:val="22"/>
        </w:rPr>
      </w:pPr>
    </w:p>
    <w:tbl>
      <w:tblPr>
        <w:tblW w:w="8784" w:type="dxa"/>
        <w:tblLayout w:type="fixed"/>
        <w:tblCellMar>
          <w:left w:w="0" w:type="dxa"/>
          <w:right w:w="0" w:type="dxa"/>
        </w:tblCellMar>
        <w:tblLook w:val="04A0" w:firstRow="1" w:lastRow="0" w:firstColumn="1" w:lastColumn="0" w:noHBand="0" w:noVBand="1"/>
      </w:tblPr>
      <w:tblGrid>
        <w:gridCol w:w="557"/>
        <w:gridCol w:w="1990"/>
        <w:gridCol w:w="6237"/>
      </w:tblGrid>
      <w:tr w:rsidR="00B048C4" w:rsidRPr="009240B0" w:rsidTr="00B048C4">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9240B0" w:rsidRDefault="00B048C4" w:rsidP="00FE25A0">
            <w:pPr>
              <w:jc w:val="center"/>
              <w:rPr>
                <w:rFonts w:ascii="Calibri" w:hAnsi="Calibri" w:cstheme="majorHAnsi"/>
                <w:b/>
                <w:szCs w:val="22"/>
                <w:lang w:val="en-US"/>
                <w14:ligatures w14:val="standardContextual"/>
              </w:rPr>
            </w:pPr>
            <w:r w:rsidRPr="009240B0">
              <w:rPr>
                <w:rFonts w:ascii="Calibri" w:hAnsi="Calibri" w:cstheme="majorHAnsi"/>
                <w:b/>
                <w:szCs w:val="22"/>
                <w:lang w:val="en-US"/>
                <w14:ligatures w14:val="standardContextual"/>
              </w:rPr>
              <w:t>Score</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9240B0" w:rsidRDefault="00B048C4" w:rsidP="00FE25A0">
            <w:pPr>
              <w:jc w:val="center"/>
              <w:rPr>
                <w:rFonts w:ascii="Calibri" w:hAnsi="Calibri" w:cstheme="majorHAnsi"/>
                <w:b/>
                <w:szCs w:val="22"/>
                <w:lang w:val="en-US"/>
                <w14:ligatures w14:val="standardContextual"/>
              </w:rPr>
            </w:pPr>
            <w:r w:rsidRPr="009240B0">
              <w:rPr>
                <w:rFonts w:ascii="Calibri" w:hAnsi="Calibri" w:cstheme="majorHAnsi"/>
                <w:b/>
                <w:szCs w:val="22"/>
                <w:lang w:val="en-US"/>
                <w14:ligatures w14:val="standardContextual"/>
              </w:rPr>
              <w:t>Definition</w:t>
            </w:r>
          </w:p>
        </w:tc>
      </w:tr>
      <w:tr w:rsidR="00B048C4" w:rsidRPr="009240B0" w:rsidTr="00B048C4">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Non-compliant</w:t>
            </w:r>
          </w:p>
          <w:p w:rsidR="00B048C4" w:rsidRPr="009240B0" w:rsidRDefault="00B048C4" w:rsidP="00FE25A0">
            <w:pPr>
              <w:rPr>
                <w:rFonts w:ascii="Calibri" w:hAnsi="Calibri" w:cstheme="majorHAnsi"/>
                <w:szCs w:val="22"/>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No response or partial response and poor evidence provided in support of it.  Does not give the commissioner confidence in the ability of the Bidder to deliver the Contract.</w:t>
            </w:r>
          </w:p>
        </w:tc>
      </w:tr>
      <w:tr w:rsidR="00B048C4" w:rsidRPr="009240B0" w:rsidTr="00B048C4">
        <w:tc>
          <w:tcPr>
            <w:tcW w:w="557"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1</w:t>
            </w:r>
          </w:p>
        </w:tc>
        <w:tc>
          <w:tcPr>
            <w:tcW w:w="1990" w:type="dxa"/>
            <w:tcBorders>
              <w:top w:val="single" w:sz="4" w:space="0" w:color="auto"/>
              <w:left w:val="nil"/>
              <w:bottom w:val="single" w:sz="8" w:space="0" w:color="auto"/>
              <w:right w:val="single" w:sz="8" w:space="0" w:color="auto"/>
            </w:tcBorders>
            <w:tcMar>
              <w:top w:w="57" w:type="dxa"/>
              <w:left w:w="108" w:type="dxa"/>
              <w:bottom w:w="28" w:type="dxa"/>
              <w:right w:w="108" w:type="dxa"/>
            </w:tcMar>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Weak</w:t>
            </w:r>
          </w:p>
          <w:p w:rsidR="00B048C4" w:rsidRPr="009240B0" w:rsidRDefault="00B048C4" w:rsidP="00FE25A0">
            <w:pPr>
              <w:rPr>
                <w:rFonts w:ascii="Calibri" w:hAnsi="Calibri" w:cstheme="majorHAnsi"/>
                <w:szCs w:val="22"/>
                <w:lang w:val="en-US"/>
                <w14:ligatures w14:val="standardContextual"/>
              </w:rPr>
            </w:pPr>
          </w:p>
        </w:tc>
        <w:tc>
          <w:tcPr>
            <w:tcW w:w="6237"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Response is supported by a weak standard of evidence in several areas giving rise to concern about the ability of the Bidder to deliver the Contract.</w:t>
            </w:r>
          </w:p>
        </w:tc>
      </w:tr>
      <w:tr w:rsidR="00B048C4" w:rsidRPr="009240B0"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Minor reservations</w:t>
            </w:r>
          </w:p>
          <w:p w:rsidR="00B048C4" w:rsidRPr="009240B0" w:rsidRDefault="00B048C4" w:rsidP="00FE25A0">
            <w:pPr>
              <w:rPr>
                <w:rFonts w:ascii="Calibri" w:hAnsi="Calibri" w:cstheme="majorHAnsi"/>
                <w:szCs w:val="22"/>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B048C4" w:rsidRPr="009240B0"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Compliant</w:t>
            </w:r>
          </w:p>
          <w:p w:rsidR="00B048C4" w:rsidRPr="009240B0" w:rsidRDefault="00B048C4" w:rsidP="00FE25A0">
            <w:pPr>
              <w:rPr>
                <w:rFonts w:ascii="Calibri" w:hAnsi="Calibri" w:cstheme="majorHAnsi"/>
                <w:szCs w:val="22"/>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B048C4" w:rsidRPr="009240B0"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Very good</w:t>
            </w:r>
          </w:p>
          <w:p w:rsidR="00B048C4" w:rsidRPr="009240B0" w:rsidRDefault="00B048C4" w:rsidP="00FE25A0">
            <w:pPr>
              <w:rPr>
                <w:rFonts w:ascii="Calibri" w:hAnsi="Calibri" w:cstheme="majorHAnsi"/>
                <w:szCs w:val="22"/>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B048C4" w:rsidRPr="009240B0"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Excellent</w:t>
            </w: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rsidR="00B048C4" w:rsidRPr="009240B0" w:rsidRDefault="00B048C4" w:rsidP="00FE25A0">
            <w:pPr>
              <w:rPr>
                <w:rFonts w:ascii="Calibri" w:hAnsi="Calibri" w:cstheme="majorHAnsi"/>
                <w:szCs w:val="22"/>
                <w:lang w:val="en-US"/>
                <w14:ligatures w14:val="standardContextual"/>
              </w:rPr>
            </w:pPr>
            <w:r w:rsidRPr="009240B0">
              <w:rPr>
                <w:rFonts w:ascii="Calibri" w:hAnsi="Calibri" w:cstheme="majorHAnsi"/>
                <w:szCs w:val="22"/>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rsidR="000016C4" w:rsidRPr="009240B0" w:rsidRDefault="000016C4" w:rsidP="00423E58">
      <w:pPr>
        <w:spacing w:after="0"/>
        <w:rPr>
          <w:rFonts w:ascii="Calibri" w:hAnsi="Calibri" w:cstheme="majorHAnsi"/>
          <w:szCs w:val="22"/>
        </w:rPr>
      </w:pPr>
    </w:p>
    <w:p w:rsidR="00970C5F" w:rsidRDefault="00970C5F" w:rsidP="004C6494">
      <w:pPr>
        <w:autoSpaceDE w:val="0"/>
        <w:autoSpaceDN w:val="0"/>
        <w:adjustRightInd w:val="0"/>
        <w:ind w:right="237"/>
        <w:jc w:val="both"/>
        <w:rPr>
          <w:rFonts w:ascii="Calibri" w:hAnsi="Calibri" w:cstheme="majorHAnsi"/>
          <w:szCs w:val="22"/>
        </w:rPr>
      </w:pPr>
      <w:r w:rsidRPr="009240B0">
        <w:rPr>
          <w:rFonts w:ascii="Calibri" w:hAnsi="Calibri" w:cstheme="majorHAnsi"/>
          <w:szCs w:val="22"/>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3B5E53" w:rsidRPr="009240B0" w:rsidRDefault="003B5E53" w:rsidP="004C6494">
      <w:pPr>
        <w:autoSpaceDE w:val="0"/>
        <w:autoSpaceDN w:val="0"/>
        <w:adjustRightInd w:val="0"/>
        <w:ind w:right="237"/>
        <w:jc w:val="both"/>
        <w:rPr>
          <w:rFonts w:ascii="Calibri" w:hAnsi="Calibri" w:cstheme="majorHAnsi"/>
          <w:szCs w:val="22"/>
        </w:rPr>
      </w:pPr>
    </w:p>
    <w:p w:rsidR="00970C5F" w:rsidRDefault="00970C5F" w:rsidP="004C6494">
      <w:pPr>
        <w:autoSpaceDE w:val="0"/>
        <w:autoSpaceDN w:val="0"/>
        <w:adjustRightInd w:val="0"/>
        <w:ind w:right="237"/>
        <w:jc w:val="both"/>
        <w:rPr>
          <w:rFonts w:ascii="Calibri" w:hAnsi="Calibri" w:cstheme="majorHAnsi"/>
          <w:szCs w:val="22"/>
        </w:rPr>
      </w:pPr>
      <w:r w:rsidRPr="009240B0">
        <w:rPr>
          <w:rFonts w:ascii="Calibri" w:hAnsi="Calibri" w:cstheme="majorHAnsi"/>
          <w:szCs w:val="22"/>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3B5E53" w:rsidRPr="009240B0" w:rsidRDefault="003B5E53" w:rsidP="003B5E53">
      <w:pPr>
        <w:pStyle w:val="Heading2"/>
      </w:pPr>
      <w:r>
        <w:t>Section 4 Additional Guidance notes</w:t>
      </w:r>
    </w:p>
    <w:p w:rsidR="00423E58" w:rsidRDefault="00423E58" w:rsidP="004C6494">
      <w:pPr>
        <w:spacing w:after="0"/>
        <w:ind w:right="237"/>
        <w:rPr>
          <w:rFonts w:ascii="Calibri" w:hAnsi="Calibri" w:cstheme="majorHAnsi"/>
          <w:szCs w:val="22"/>
        </w:rPr>
      </w:pPr>
      <w:r w:rsidRPr="009240B0">
        <w:rPr>
          <w:rFonts w:ascii="Calibri" w:hAnsi="Calibri" w:cstheme="majorHAnsi"/>
          <w:szCs w:val="22"/>
        </w:rPr>
        <w:t>Your response must be valid for acceptance for 90 days from the deadline for receipt of quotations. Your response constitutes an offer and if</w:t>
      </w:r>
      <w:r w:rsidR="007C6C9D" w:rsidRPr="009240B0">
        <w:rPr>
          <w:rFonts w:ascii="Calibri" w:hAnsi="Calibri" w:cstheme="majorHAnsi"/>
          <w:szCs w:val="22"/>
        </w:rPr>
        <w:t xml:space="preserve"> </w:t>
      </w:r>
      <w:r w:rsidR="007F7168">
        <w:rPr>
          <w:rFonts w:ascii="Calibri" w:hAnsi="Calibri" w:cstheme="majorHAnsi"/>
          <w:szCs w:val="22"/>
        </w:rPr>
        <w:t>the</w:t>
      </w:r>
      <w:r w:rsidR="00E7348D">
        <w:rPr>
          <w:rFonts w:ascii="Calibri" w:hAnsi="Calibri" w:cstheme="majorHAnsi"/>
          <w:szCs w:val="22"/>
        </w:rPr>
        <w:t xml:space="preserve"> CCG</w:t>
      </w:r>
      <w:r w:rsidRPr="009240B0">
        <w:rPr>
          <w:rFonts w:ascii="Calibri" w:hAnsi="Calibri" w:cstheme="majorHAnsi"/>
          <w:color w:val="FF0000"/>
          <w:szCs w:val="22"/>
        </w:rPr>
        <w:t xml:space="preserve"> </w:t>
      </w:r>
      <w:r w:rsidRPr="009240B0">
        <w:rPr>
          <w:rFonts w:ascii="Calibri" w:hAnsi="Calibri" w:cstheme="majorHAnsi"/>
          <w:szCs w:val="22"/>
        </w:rPr>
        <w:t xml:space="preserve">accepts that offer then a legally binding contract will exist between us. </w:t>
      </w:r>
    </w:p>
    <w:p w:rsidR="003B5E53" w:rsidRPr="009240B0" w:rsidRDefault="003B5E53" w:rsidP="004C6494">
      <w:pPr>
        <w:spacing w:after="0"/>
        <w:ind w:right="237"/>
        <w:rPr>
          <w:rFonts w:ascii="Calibri" w:hAnsi="Calibri" w:cstheme="majorHAnsi"/>
          <w:szCs w:val="22"/>
        </w:rPr>
      </w:pPr>
    </w:p>
    <w:p w:rsidR="00423E58" w:rsidRDefault="00E7348D" w:rsidP="004C6494">
      <w:pPr>
        <w:spacing w:after="0"/>
        <w:ind w:right="237"/>
        <w:jc w:val="both"/>
        <w:rPr>
          <w:rFonts w:ascii="Calibri" w:hAnsi="Calibri" w:cstheme="majorHAnsi"/>
          <w:szCs w:val="22"/>
        </w:rPr>
      </w:pPr>
      <w:r>
        <w:rPr>
          <w:rFonts w:ascii="Calibri" w:hAnsi="Calibri" w:cstheme="majorHAnsi"/>
          <w:szCs w:val="22"/>
        </w:rPr>
        <w:t xml:space="preserve">Respondents accept that </w:t>
      </w:r>
      <w:r w:rsidR="007F7168">
        <w:rPr>
          <w:rFonts w:ascii="Calibri" w:hAnsi="Calibri" w:cstheme="majorHAnsi"/>
          <w:szCs w:val="22"/>
        </w:rPr>
        <w:t>the CCG</w:t>
      </w:r>
      <w:r w:rsidR="007C6C9D" w:rsidRPr="009240B0">
        <w:rPr>
          <w:rFonts w:ascii="Calibri" w:hAnsi="Calibri" w:cstheme="majorHAnsi"/>
          <w:szCs w:val="22"/>
        </w:rPr>
        <w:t xml:space="preserve"> </w:t>
      </w:r>
      <w:r w:rsidR="00423E58" w:rsidRPr="009240B0">
        <w:rPr>
          <w:rFonts w:ascii="Calibri" w:hAnsi="Calibri" w:cstheme="majorHAnsi"/>
          <w:szCs w:val="22"/>
        </w:rPr>
        <w:t>is subject to the Freedom of Information Act and government transparency ob</w:t>
      </w:r>
      <w:r w:rsidR="00962F93" w:rsidRPr="009240B0">
        <w:rPr>
          <w:rFonts w:ascii="Calibri" w:hAnsi="Calibri" w:cstheme="majorHAnsi"/>
          <w:szCs w:val="22"/>
        </w:rPr>
        <w:t>ligations which may require</w:t>
      </w:r>
      <w:r>
        <w:rPr>
          <w:rFonts w:ascii="Calibri" w:hAnsi="Calibri" w:cstheme="majorHAnsi"/>
          <w:szCs w:val="22"/>
        </w:rPr>
        <w:t xml:space="preserve"> </w:t>
      </w:r>
      <w:r w:rsidR="007F7168">
        <w:rPr>
          <w:rFonts w:ascii="Calibri" w:hAnsi="Calibri" w:cstheme="majorHAnsi"/>
          <w:szCs w:val="22"/>
        </w:rPr>
        <w:t>the</w:t>
      </w:r>
      <w:r>
        <w:rPr>
          <w:rFonts w:ascii="Calibri" w:hAnsi="Calibri" w:cstheme="majorHAnsi"/>
          <w:szCs w:val="22"/>
        </w:rPr>
        <w:t xml:space="preserve"> </w:t>
      </w:r>
      <w:r w:rsidR="007C6C9D" w:rsidRPr="009240B0">
        <w:rPr>
          <w:rFonts w:ascii="Calibri" w:hAnsi="Calibri" w:cstheme="majorHAnsi"/>
          <w:szCs w:val="22"/>
        </w:rPr>
        <w:t xml:space="preserve">CCG </w:t>
      </w:r>
      <w:r w:rsidR="00423E58" w:rsidRPr="009240B0">
        <w:rPr>
          <w:rFonts w:ascii="Calibri" w:hAnsi="Calibri" w:cstheme="majorHAnsi"/>
          <w:szCs w:val="22"/>
        </w:rPr>
        <w:t>to disclose information received from you to third parties.</w:t>
      </w:r>
    </w:p>
    <w:p w:rsidR="003B5E53" w:rsidRPr="009240B0" w:rsidRDefault="003B5E53" w:rsidP="004C6494">
      <w:pPr>
        <w:spacing w:after="0"/>
        <w:ind w:right="237"/>
        <w:jc w:val="both"/>
        <w:rPr>
          <w:rFonts w:ascii="Calibri" w:hAnsi="Calibri" w:cstheme="majorHAnsi"/>
          <w:szCs w:val="22"/>
        </w:rPr>
      </w:pPr>
    </w:p>
    <w:p w:rsidR="00423E58" w:rsidRPr="009240B0" w:rsidRDefault="00423E58" w:rsidP="004C6494">
      <w:pPr>
        <w:spacing w:after="0"/>
        <w:ind w:right="237"/>
        <w:rPr>
          <w:rFonts w:ascii="Calibri" w:hAnsi="Calibri" w:cstheme="majorHAnsi"/>
          <w:szCs w:val="22"/>
        </w:rPr>
      </w:pPr>
      <w:r w:rsidRPr="009240B0">
        <w:rPr>
          <w:rFonts w:ascii="Calibri" w:hAnsi="Calibri" w:cstheme="majorHAnsi"/>
          <w:szCs w:val="22"/>
        </w:rPr>
        <w:t xml:space="preserve">This </w:t>
      </w:r>
      <w:r w:rsidR="007F7168">
        <w:rPr>
          <w:rFonts w:ascii="Calibri" w:hAnsi="Calibri" w:cstheme="majorHAnsi"/>
          <w:szCs w:val="22"/>
        </w:rPr>
        <w:t>ITQ</w:t>
      </w:r>
      <w:r w:rsidR="00A41A01" w:rsidRPr="009240B0">
        <w:rPr>
          <w:rFonts w:ascii="Calibri" w:hAnsi="Calibri" w:cstheme="majorHAnsi"/>
          <w:szCs w:val="22"/>
        </w:rPr>
        <w:t xml:space="preserve"> </w:t>
      </w:r>
      <w:r w:rsidRPr="009240B0">
        <w:rPr>
          <w:rFonts w:ascii="Calibri" w:hAnsi="Calibri" w:cstheme="majorHAnsi"/>
          <w:szCs w:val="22"/>
        </w:rPr>
        <w:t>letter and your response do not give rise to any contractual obligation or liability un</w:t>
      </w:r>
      <w:r w:rsidR="00962F93" w:rsidRPr="009240B0">
        <w:rPr>
          <w:rFonts w:ascii="Calibri" w:hAnsi="Calibri" w:cstheme="majorHAnsi"/>
          <w:szCs w:val="22"/>
        </w:rPr>
        <w:t>less and until such time as</w:t>
      </w:r>
      <w:r w:rsidR="007C6C9D" w:rsidRPr="009240B0">
        <w:rPr>
          <w:rFonts w:ascii="Calibri" w:hAnsi="Calibri" w:cstheme="majorHAnsi"/>
          <w:szCs w:val="22"/>
        </w:rPr>
        <w:t xml:space="preserve"> </w:t>
      </w:r>
      <w:r w:rsidR="007F7168">
        <w:rPr>
          <w:rFonts w:ascii="Calibri" w:hAnsi="Calibri" w:cstheme="majorHAnsi"/>
          <w:szCs w:val="22"/>
        </w:rPr>
        <w:t>the CCG</w:t>
      </w:r>
      <w:r w:rsidR="00316DDF" w:rsidRPr="009240B0">
        <w:rPr>
          <w:rFonts w:ascii="Calibri" w:hAnsi="Calibri" w:cstheme="majorHAnsi"/>
          <w:color w:val="FF0000"/>
          <w:szCs w:val="22"/>
        </w:rPr>
        <w:t xml:space="preserve"> </w:t>
      </w:r>
      <w:r w:rsidRPr="009240B0">
        <w:rPr>
          <w:rFonts w:ascii="Calibri" w:hAnsi="Calibri" w:cstheme="majorHAnsi"/>
          <w:szCs w:val="22"/>
        </w:rPr>
        <w:t xml:space="preserve">issues a letter referencing this Request for a Quotation </w:t>
      </w:r>
      <w:r w:rsidR="00962F93" w:rsidRPr="009240B0">
        <w:rPr>
          <w:rFonts w:ascii="Calibri" w:hAnsi="Calibri" w:cstheme="majorHAnsi"/>
          <w:szCs w:val="22"/>
        </w:rPr>
        <w:t xml:space="preserve">with a signed contract and </w:t>
      </w:r>
      <w:r w:rsidRPr="009240B0">
        <w:rPr>
          <w:rFonts w:ascii="Calibri" w:hAnsi="Calibri" w:cstheme="majorHAnsi"/>
          <w:szCs w:val="22"/>
        </w:rPr>
        <w:t>a valid Purchase Order number accepting your quotation.</w:t>
      </w:r>
      <w:r w:rsidR="00FA2CA6" w:rsidRPr="009240B0">
        <w:rPr>
          <w:rFonts w:ascii="Calibri" w:hAnsi="Calibri" w:cstheme="majorHAnsi"/>
          <w:szCs w:val="22"/>
        </w:rPr>
        <w:t xml:space="preserve"> </w:t>
      </w:r>
      <w:r w:rsidR="007F7168">
        <w:rPr>
          <w:rFonts w:ascii="Calibri" w:hAnsi="Calibri" w:cstheme="majorHAnsi"/>
          <w:szCs w:val="22"/>
        </w:rPr>
        <w:t>The</w:t>
      </w:r>
      <w:r w:rsidR="00E7348D">
        <w:rPr>
          <w:rFonts w:ascii="Calibri" w:hAnsi="Calibri" w:cstheme="majorHAnsi"/>
          <w:szCs w:val="22"/>
        </w:rPr>
        <w:t xml:space="preserve"> </w:t>
      </w:r>
      <w:r w:rsidR="007C6C9D" w:rsidRPr="009240B0">
        <w:rPr>
          <w:rFonts w:ascii="Calibri" w:hAnsi="Calibri" w:cstheme="majorHAnsi"/>
          <w:szCs w:val="22"/>
        </w:rPr>
        <w:t>CCG</w:t>
      </w:r>
      <w:r w:rsidR="00316DDF" w:rsidRPr="009240B0">
        <w:rPr>
          <w:rFonts w:ascii="Calibri" w:hAnsi="Calibri" w:cstheme="majorHAnsi"/>
          <w:color w:val="FF0000"/>
          <w:szCs w:val="22"/>
        </w:rPr>
        <w:t xml:space="preserve"> </w:t>
      </w:r>
      <w:r w:rsidRPr="009240B0">
        <w:rPr>
          <w:rFonts w:ascii="Calibri" w:hAnsi="Calibri" w:cstheme="majorHAnsi"/>
          <w:szCs w:val="22"/>
        </w:rPr>
        <w:t>does not make any commitment to purchase and shall have no liability for your costs in responding to this Request for a Quotation.</w:t>
      </w:r>
    </w:p>
    <w:p w:rsidR="002177B8" w:rsidRPr="009240B0" w:rsidRDefault="002177B8" w:rsidP="004C6494">
      <w:pPr>
        <w:spacing w:after="0"/>
        <w:ind w:right="237"/>
        <w:rPr>
          <w:rFonts w:ascii="Calibri" w:hAnsi="Calibri" w:cstheme="majorHAnsi"/>
          <w:szCs w:val="22"/>
        </w:rPr>
      </w:pPr>
    </w:p>
    <w:p w:rsidR="002177B8" w:rsidRPr="003B5E53" w:rsidRDefault="002177B8" w:rsidP="003F0909">
      <w:pPr>
        <w:pStyle w:val="Heading2"/>
        <w:numPr>
          <w:ilvl w:val="1"/>
          <w:numId w:val="7"/>
        </w:numPr>
        <w:tabs>
          <w:tab w:val="clear" w:pos="360"/>
          <w:tab w:val="num" w:pos="0"/>
        </w:tabs>
        <w:spacing w:before="60"/>
        <w:ind w:left="576" w:right="237" w:hanging="720"/>
        <w:jc w:val="both"/>
        <w:rPr>
          <w:rFonts w:ascii="Calibri" w:hAnsi="Calibri" w:cstheme="majorHAnsi"/>
          <w:bCs w:val="0"/>
          <w:iCs w:val="0"/>
          <w:color w:val="auto"/>
          <w:sz w:val="22"/>
          <w:szCs w:val="22"/>
        </w:rPr>
      </w:pPr>
      <w:bookmarkStart w:id="1" w:name="_Toc369599316"/>
      <w:r w:rsidRPr="003B5E53">
        <w:rPr>
          <w:rFonts w:ascii="Calibri" w:hAnsi="Calibri" w:cstheme="majorHAnsi"/>
          <w:bCs w:val="0"/>
          <w:iCs w:val="0"/>
          <w:color w:val="auto"/>
          <w:sz w:val="22"/>
          <w:szCs w:val="22"/>
        </w:rPr>
        <w:t>Canvassing and contacts</w:t>
      </w:r>
      <w:bookmarkEnd w:id="1"/>
    </w:p>
    <w:p w:rsidR="00CD74E2" w:rsidRPr="009240B0" w:rsidRDefault="00CD74E2" w:rsidP="004C6494">
      <w:pPr>
        <w:pStyle w:val="ITTnormal"/>
        <w:ind w:right="237" w:hanging="720"/>
        <w:rPr>
          <w:rFonts w:ascii="Calibri" w:eastAsia="Times New Roman" w:hAnsi="Calibri" w:cstheme="majorHAnsi"/>
          <w:kern w:val="0"/>
          <w:lang w:eastAsia="en-US"/>
        </w:rPr>
      </w:pPr>
    </w:p>
    <w:p w:rsidR="002177B8" w:rsidRPr="009240B0" w:rsidRDefault="002177B8" w:rsidP="004C6494">
      <w:pPr>
        <w:pStyle w:val="ITTnormal"/>
        <w:ind w:right="237" w:hanging="720"/>
        <w:rPr>
          <w:rFonts w:ascii="Calibri" w:eastAsia="Times New Roman" w:hAnsi="Calibri" w:cstheme="majorHAnsi"/>
          <w:kern w:val="0"/>
          <w:lang w:eastAsia="en-US"/>
        </w:rPr>
      </w:pPr>
      <w:r w:rsidRPr="009240B0">
        <w:rPr>
          <w:rFonts w:ascii="Calibri" w:eastAsia="Times New Roman" w:hAnsi="Calibri" w:cstheme="majorHAnsi"/>
          <w:kern w:val="0"/>
          <w:lang w:eastAsia="en-US"/>
        </w:rPr>
        <w:t>Bidders shall not in connection with th</w:t>
      </w:r>
      <w:r w:rsidR="00E922B4" w:rsidRPr="009240B0">
        <w:rPr>
          <w:rFonts w:ascii="Calibri" w:eastAsia="Times New Roman" w:hAnsi="Calibri" w:cstheme="majorHAnsi"/>
          <w:kern w:val="0"/>
          <w:lang w:eastAsia="en-US"/>
        </w:rPr>
        <w:t>is</w:t>
      </w:r>
      <w:r w:rsidRPr="009240B0">
        <w:rPr>
          <w:rFonts w:ascii="Calibri" w:eastAsia="Times New Roman" w:hAnsi="Calibri" w:cstheme="majorHAnsi"/>
          <w:kern w:val="0"/>
          <w:lang w:eastAsia="en-US"/>
        </w:rPr>
        <w:t xml:space="preserve"> Procurement:</w:t>
      </w:r>
    </w:p>
    <w:p w:rsidR="00CD74E2" w:rsidRPr="009240B0" w:rsidRDefault="00CD74E2" w:rsidP="004C6494">
      <w:pPr>
        <w:pStyle w:val="ITTnormal"/>
        <w:ind w:right="237" w:hanging="720"/>
        <w:rPr>
          <w:rFonts w:ascii="Calibri" w:eastAsia="Times New Roman" w:hAnsi="Calibri" w:cstheme="majorHAnsi"/>
          <w:kern w:val="0"/>
          <w:lang w:eastAsia="en-US"/>
        </w:rPr>
      </w:pPr>
    </w:p>
    <w:p w:rsidR="002177B8" w:rsidRPr="009240B0" w:rsidRDefault="002177B8" w:rsidP="003F0909">
      <w:pPr>
        <w:pStyle w:val="BulletMOI"/>
        <w:numPr>
          <w:ilvl w:val="0"/>
          <w:numId w:val="8"/>
        </w:numPr>
        <w:tabs>
          <w:tab w:val="clear" w:pos="720"/>
          <w:tab w:val="clear" w:pos="1599"/>
          <w:tab w:val="num" w:pos="426"/>
        </w:tabs>
        <w:suppressAutoHyphens w:val="0"/>
        <w:ind w:left="426" w:right="237" w:hanging="426"/>
        <w:rPr>
          <w:rFonts w:ascii="Calibri" w:eastAsia="Times New Roman" w:hAnsi="Calibri" w:cstheme="majorHAnsi"/>
          <w:kern w:val="0"/>
          <w:lang w:eastAsia="en-US"/>
        </w:rPr>
      </w:pPr>
      <w:r w:rsidRPr="009240B0">
        <w:rPr>
          <w:rFonts w:ascii="Calibri" w:eastAsia="Times New Roman" w:hAnsi="Calibri" w:cstheme="majorHAnsi"/>
          <w:kern w:val="0"/>
          <w:lang w:eastAsia="en-US"/>
        </w:rPr>
        <w:t xml:space="preserve">Offer any inducement, fee or reward to any officer or employee of NELCSU or </w:t>
      </w:r>
      <w:r w:rsidR="007F7168">
        <w:rPr>
          <w:rFonts w:ascii="Calibri" w:eastAsia="Times New Roman" w:hAnsi="Calibri" w:cstheme="majorHAnsi"/>
          <w:kern w:val="0"/>
          <w:lang w:eastAsia="en-US"/>
        </w:rPr>
        <w:t>the</w:t>
      </w:r>
      <w:r w:rsidR="00E7348D">
        <w:rPr>
          <w:rFonts w:ascii="Calibri" w:eastAsia="Times New Roman" w:hAnsi="Calibri" w:cstheme="majorHAnsi"/>
          <w:kern w:val="0"/>
          <w:lang w:eastAsia="en-US"/>
        </w:rPr>
        <w:t xml:space="preserve"> CCG</w:t>
      </w:r>
      <w:r w:rsidR="00E922B4" w:rsidRPr="009240B0">
        <w:rPr>
          <w:rFonts w:ascii="Calibri" w:eastAsia="Times New Roman" w:hAnsi="Calibri" w:cstheme="majorHAnsi"/>
          <w:kern w:val="0"/>
          <w:lang w:eastAsia="en-US"/>
        </w:rPr>
        <w:t xml:space="preserve"> </w:t>
      </w:r>
      <w:r w:rsidRPr="009240B0">
        <w:rPr>
          <w:rFonts w:ascii="Calibri" w:eastAsia="Times New Roman" w:hAnsi="Calibri" w:cstheme="majorHAnsi"/>
          <w:kern w:val="0"/>
          <w:lang w:eastAsia="en-US"/>
        </w:rPr>
        <w:t>or any person acting as an advisor to NELCSU or</w:t>
      </w:r>
      <w:r w:rsidR="009F503A" w:rsidRPr="009240B0">
        <w:rPr>
          <w:rFonts w:ascii="Calibri" w:eastAsia="Times New Roman" w:hAnsi="Calibri" w:cstheme="majorHAnsi"/>
          <w:kern w:val="0"/>
          <w:lang w:eastAsia="en-US"/>
        </w:rPr>
        <w:t xml:space="preserve"> </w:t>
      </w:r>
      <w:r w:rsidR="007F7168">
        <w:rPr>
          <w:rFonts w:ascii="Calibri" w:eastAsia="Times New Roman" w:hAnsi="Calibri" w:cstheme="majorHAnsi"/>
          <w:kern w:val="0"/>
          <w:lang w:eastAsia="en-US"/>
        </w:rPr>
        <w:t>the</w:t>
      </w:r>
      <w:r w:rsidR="00E7348D">
        <w:rPr>
          <w:rFonts w:ascii="Calibri" w:eastAsia="Times New Roman" w:hAnsi="Calibri" w:cstheme="majorHAnsi"/>
          <w:kern w:val="0"/>
          <w:lang w:eastAsia="en-US"/>
        </w:rPr>
        <w:t xml:space="preserve"> CCG</w:t>
      </w:r>
      <w:r w:rsidR="00316DDF" w:rsidRPr="009240B0">
        <w:rPr>
          <w:rFonts w:ascii="Calibri" w:hAnsi="Calibri" w:cstheme="majorHAnsi"/>
          <w:color w:val="FF0000"/>
        </w:rPr>
        <w:t xml:space="preserve"> </w:t>
      </w:r>
      <w:r w:rsidRPr="009240B0">
        <w:rPr>
          <w:rFonts w:ascii="Calibri" w:eastAsia="Times New Roman" w:hAnsi="Calibri" w:cstheme="majorHAnsi"/>
          <w:kern w:val="0"/>
          <w:lang w:eastAsia="en-US"/>
        </w:rPr>
        <w:t>in connection with th</w:t>
      </w:r>
      <w:r w:rsidR="00E922B4" w:rsidRPr="009240B0">
        <w:rPr>
          <w:rFonts w:ascii="Calibri" w:eastAsia="Times New Roman" w:hAnsi="Calibri" w:cstheme="majorHAnsi"/>
          <w:kern w:val="0"/>
          <w:lang w:eastAsia="en-US"/>
        </w:rPr>
        <w:t>is</w:t>
      </w:r>
      <w:r w:rsidRPr="009240B0">
        <w:rPr>
          <w:rFonts w:ascii="Calibri" w:eastAsia="Times New Roman" w:hAnsi="Calibri" w:cstheme="majorHAnsi"/>
          <w:kern w:val="0"/>
          <w:lang w:eastAsia="en-US"/>
        </w:rPr>
        <w:t xml:space="preserve"> Procurement</w:t>
      </w:r>
    </w:p>
    <w:p w:rsidR="002177B8" w:rsidRPr="009240B0" w:rsidRDefault="002177B8" w:rsidP="003F0909">
      <w:pPr>
        <w:pStyle w:val="BulletMOI"/>
        <w:numPr>
          <w:ilvl w:val="0"/>
          <w:numId w:val="8"/>
        </w:numPr>
        <w:tabs>
          <w:tab w:val="clear" w:pos="720"/>
          <w:tab w:val="clear" w:pos="1599"/>
          <w:tab w:val="num" w:pos="426"/>
        </w:tabs>
        <w:suppressAutoHyphens w:val="0"/>
        <w:ind w:left="426" w:right="237" w:hanging="426"/>
        <w:rPr>
          <w:rFonts w:ascii="Calibri" w:eastAsia="Times New Roman" w:hAnsi="Calibri" w:cstheme="majorHAnsi"/>
          <w:kern w:val="0"/>
          <w:lang w:eastAsia="en-US"/>
        </w:rPr>
      </w:pPr>
      <w:r w:rsidRPr="009240B0">
        <w:rPr>
          <w:rFonts w:ascii="Calibri" w:eastAsia="Times New Roman" w:hAnsi="Calibri" w:cstheme="majorHAnsi"/>
          <w:kern w:val="0"/>
          <w:lang w:eastAsia="en-US"/>
        </w:rPr>
        <w:t xml:space="preserve">Do anything which would constitute a breach of the </w:t>
      </w:r>
      <w:r w:rsidR="0050119B" w:rsidRPr="009240B0">
        <w:rPr>
          <w:rFonts w:ascii="Calibri" w:eastAsia="Times New Roman" w:hAnsi="Calibri" w:cstheme="majorHAnsi"/>
          <w:kern w:val="0"/>
          <w:lang w:eastAsia="en-US"/>
        </w:rPr>
        <w:t>Bribery Act 2010</w:t>
      </w:r>
    </w:p>
    <w:p w:rsidR="002177B8" w:rsidRPr="009240B0" w:rsidRDefault="002177B8" w:rsidP="003F0909">
      <w:pPr>
        <w:pStyle w:val="BulletMOI"/>
        <w:numPr>
          <w:ilvl w:val="0"/>
          <w:numId w:val="8"/>
        </w:numPr>
        <w:tabs>
          <w:tab w:val="clear" w:pos="720"/>
          <w:tab w:val="clear" w:pos="1599"/>
          <w:tab w:val="num" w:pos="426"/>
        </w:tabs>
        <w:suppressAutoHyphens w:val="0"/>
        <w:ind w:left="426" w:right="237" w:hanging="426"/>
        <w:rPr>
          <w:rFonts w:ascii="Calibri" w:eastAsia="Times New Roman" w:hAnsi="Calibri" w:cstheme="majorHAnsi"/>
          <w:kern w:val="0"/>
          <w:lang w:eastAsia="en-US"/>
        </w:rPr>
      </w:pPr>
      <w:r w:rsidRPr="009240B0">
        <w:rPr>
          <w:rFonts w:ascii="Calibri" w:eastAsia="Times New Roman" w:hAnsi="Calibri" w:cstheme="majorHAnsi"/>
          <w:kern w:val="0"/>
          <w:lang w:eastAsia="en-US"/>
        </w:rPr>
        <w:t>Canvass any of the persons referred to above in connection with the Procurement</w:t>
      </w:r>
    </w:p>
    <w:p w:rsidR="00CD74E2" w:rsidRPr="009240B0" w:rsidRDefault="00CD74E2" w:rsidP="004C6494">
      <w:pPr>
        <w:pStyle w:val="ITTnormal"/>
        <w:ind w:left="0" w:right="237"/>
        <w:rPr>
          <w:rFonts w:ascii="Calibri" w:eastAsia="Times New Roman" w:hAnsi="Calibri" w:cstheme="majorHAnsi"/>
          <w:kern w:val="0"/>
          <w:lang w:eastAsia="en-US"/>
        </w:rPr>
      </w:pPr>
    </w:p>
    <w:p w:rsidR="002177B8" w:rsidRPr="009240B0" w:rsidRDefault="002177B8" w:rsidP="004C6494">
      <w:pPr>
        <w:pStyle w:val="ITTnormal"/>
        <w:ind w:left="0" w:right="237"/>
        <w:rPr>
          <w:rFonts w:ascii="Calibri" w:eastAsia="Times New Roman" w:hAnsi="Calibri" w:cstheme="majorHAnsi"/>
          <w:kern w:val="0"/>
          <w:lang w:eastAsia="en-US"/>
        </w:rPr>
      </w:pPr>
      <w:r w:rsidRPr="009240B0">
        <w:rPr>
          <w:rFonts w:ascii="Calibri" w:eastAsia="Times New Roman" w:hAnsi="Calibri" w:cstheme="majorHAnsi"/>
          <w:kern w:val="0"/>
          <w:lang w:eastAsia="en-US"/>
        </w:rPr>
        <w:t>No attempt should be made to contact NELCSU</w:t>
      </w:r>
      <w:r w:rsidR="00E922B4" w:rsidRPr="009240B0">
        <w:rPr>
          <w:rFonts w:ascii="Calibri" w:eastAsia="Times New Roman" w:hAnsi="Calibri" w:cstheme="majorHAnsi"/>
          <w:kern w:val="0"/>
          <w:lang w:eastAsia="en-US"/>
        </w:rPr>
        <w:t xml:space="preserve"> or</w:t>
      </w:r>
      <w:r w:rsidR="007F7168">
        <w:rPr>
          <w:rFonts w:ascii="Calibri" w:eastAsia="Times New Roman" w:hAnsi="Calibri" w:cstheme="majorHAnsi"/>
          <w:kern w:val="0"/>
          <w:lang w:eastAsia="en-US"/>
        </w:rPr>
        <w:t xml:space="preserve"> the</w:t>
      </w:r>
      <w:r w:rsidR="009F503A" w:rsidRPr="009240B0">
        <w:rPr>
          <w:rFonts w:ascii="Calibri" w:eastAsia="Times New Roman" w:hAnsi="Calibri" w:cstheme="majorHAnsi"/>
          <w:kern w:val="0"/>
          <w:lang w:eastAsia="en-US"/>
        </w:rPr>
        <w:t xml:space="preserve"> CCG</w:t>
      </w:r>
      <w:r w:rsidR="00E922B4" w:rsidRPr="009240B0">
        <w:rPr>
          <w:rFonts w:ascii="Calibri" w:eastAsia="Times New Roman" w:hAnsi="Calibri" w:cstheme="majorHAnsi"/>
          <w:kern w:val="0"/>
          <w:lang w:eastAsia="en-US"/>
        </w:rPr>
        <w:t xml:space="preserve"> </w:t>
      </w:r>
      <w:r w:rsidRPr="009240B0">
        <w:rPr>
          <w:rFonts w:ascii="Calibri" w:eastAsia="Times New Roman" w:hAnsi="Calibri" w:cstheme="majorHAnsi"/>
          <w:kern w:val="0"/>
          <w:lang w:eastAsia="en-US"/>
        </w:rPr>
        <w:t>staff, except the Project Team, or to contact NELCSU</w:t>
      </w:r>
      <w:r w:rsidR="00E922B4" w:rsidRPr="009240B0">
        <w:rPr>
          <w:rFonts w:ascii="Calibri" w:eastAsia="Times New Roman" w:hAnsi="Calibri" w:cstheme="majorHAnsi"/>
          <w:kern w:val="0"/>
          <w:lang w:eastAsia="en-US"/>
        </w:rPr>
        <w:t xml:space="preserve"> /</w:t>
      </w:r>
      <w:r w:rsidR="007F7168">
        <w:rPr>
          <w:rFonts w:ascii="Calibri" w:eastAsia="Times New Roman" w:hAnsi="Calibri" w:cstheme="majorHAnsi"/>
          <w:kern w:val="0"/>
          <w:lang w:eastAsia="en-US"/>
        </w:rPr>
        <w:t>the</w:t>
      </w:r>
      <w:r w:rsidR="009F503A" w:rsidRPr="009240B0">
        <w:rPr>
          <w:rFonts w:ascii="Calibri" w:eastAsia="Times New Roman" w:hAnsi="Calibri" w:cstheme="majorHAnsi"/>
          <w:kern w:val="0"/>
          <w:lang w:eastAsia="en-US"/>
        </w:rPr>
        <w:t xml:space="preserve"> CCG </w:t>
      </w:r>
      <w:r w:rsidRPr="009240B0">
        <w:rPr>
          <w:rFonts w:ascii="Calibri" w:eastAsia="Times New Roman" w:hAnsi="Calibri" w:cstheme="majorHAnsi"/>
          <w:kern w:val="0"/>
          <w:lang w:eastAsia="en-US"/>
        </w:rPr>
        <w:t xml:space="preserve">or NELCSU </w:t>
      </w:r>
      <w:r w:rsidR="00E922B4" w:rsidRPr="009240B0">
        <w:rPr>
          <w:rFonts w:ascii="Calibri" w:eastAsia="Times New Roman" w:hAnsi="Calibri" w:cstheme="majorHAnsi"/>
          <w:kern w:val="0"/>
          <w:lang w:eastAsia="en-US"/>
        </w:rPr>
        <w:t>/</w:t>
      </w:r>
      <w:r w:rsidR="007F7168">
        <w:rPr>
          <w:rFonts w:ascii="Calibri" w:eastAsia="Times New Roman" w:hAnsi="Calibri" w:cstheme="majorHAnsi"/>
          <w:kern w:val="0"/>
          <w:lang w:eastAsia="en-US"/>
        </w:rPr>
        <w:t>the</w:t>
      </w:r>
      <w:r w:rsidR="009F503A" w:rsidRPr="009240B0">
        <w:rPr>
          <w:rFonts w:ascii="Calibri" w:eastAsia="Times New Roman" w:hAnsi="Calibri" w:cstheme="majorHAnsi"/>
          <w:kern w:val="0"/>
          <w:lang w:eastAsia="en-US"/>
        </w:rPr>
        <w:t xml:space="preserve"> CCG</w:t>
      </w:r>
      <w:r w:rsidR="00E922B4" w:rsidRPr="009240B0">
        <w:rPr>
          <w:rFonts w:ascii="Calibri" w:eastAsia="Times New Roman" w:hAnsi="Calibri" w:cstheme="majorHAnsi"/>
          <w:kern w:val="0"/>
          <w:lang w:eastAsia="en-US"/>
        </w:rPr>
        <w:t xml:space="preserve"> </w:t>
      </w:r>
      <w:r w:rsidRPr="009240B0">
        <w:rPr>
          <w:rFonts w:ascii="Calibri" w:eastAsia="Times New Roman" w:hAnsi="Calibri" w:cstheme="majorHAnsi"/>
          <w:kern w:val="0"/>
          <w:lang w:eastAsia="en-US"/>
        </w:rPr>
        <w:t>advisers or other NHS/</w:t>
      </w:r>
      <w:proofErr w:type="spellStart"/>
      <w:r w:rsidRPr="009240B0">
        <w:rPr>
          <w:rFonts w:ascii="Calibri" w:eastAsia="Times New Roman" w:hAnsi="Calibri" w:cstheme="majorHAnsi"/>
          <w:kern w:val="0"/>
          <w:lang w:eastAsia="en-US"/>
        </w:rPr>
        <w:t>DoH</w:t>
      </w:r>
      <w:proofErr w:type="spellEnd"/>
      <w:r w:rsidRPr="009240B0">
        <w:rPr>
          <w:rFonts w:ascii="Calibri" w:eastAsia="Times New Roman" w:hAnsi="Calibri" w:cstheme="majorHAnsi"/>
          <w:kern w:val="0"/>
          <w:lang w:eastAsia="en-US"/>
        </w:rPr>
        <w:t xml:space="preserve"> bodies as part of the procurement process. Any enquiries made to persons other than the </w:t>
      </w:r>
      <w:r w:rsidR="00316DDF" w:rsidRPr="009240B0">
        <w:rPr>
          <w:rFonts w:ascii="Calibri" w:eastAsia="Times New Roman" w:hAnsi="Calibri" w:cstheme="majorHAnsi"/>
          <w:kern w:val="0"/>
          <w:lang w:eastAsia="en-US"/>
        </w:rPr>
        <w:t>NEL</w:t>
      </w:r>
      <w:r w:rsidRPr="009240B0">
        <w:rPr>
          <w:rFonts w:ascii="Calibri" w:eastAsia="Times New Roman" w:hAnsi="Calibri" w:cstheme="majorHAnsi"/>
          <w:kern w:val="0"/>
          <w:lang w:eastAsia="en-US"/>
        </w:rPr>
        <w:t xml:space="preserve"> Commissioning Support Unit Project Team will be regarded as prima facie evidence of canvassing.</w:t>
      </w:r>
    </w:p>
    <w:p w:rsidR="002177B8" w:rsidRPr="009240B0" w:rsidRDefault="002177B8" w:rsidP="004C6494">
      <w:pPr>
        <w:spacing w:after="0"/>
        <w:ind w:right="237"/>
        <w:rPr>
          <w:rFonts w:ascii="Calibri" w:hAnsi="Calibri" w:cstheme="majorHAnsi"/>
          <w:szCs w:val="22"/>
        </w:rPr>
      </w:pPr>
    </w:p>
    <w:p w:rsidR="00B25633" w:rsidRPr="003B5E53" w:rsidRDefault="00B25633" w:rsidP="003F0909">
      <w:pPr>
        <w:pStyle w:val="Heading2"/>
        <w:numPr>
          <w:ilvl w:val="1"/>
          <w:numId w:val="7"/>
        </w:numPr>
        <w:tabs>
          <w:tab w:val="clear" w:pos="360"/>
          <w:tab w:val="num" w:pos="0"/>
        </w:tabs>
        <w:spacing w:before="60"/>
        <w:ind w:left="576" w:right="237" w:hanging="720"/>
        <w:jc w:val="both"/>
        <w:rPr>
          <w:rFonts w:ascii="Calibri" w:hAnsi="Calibri" w:cstheme="majorHAnsi"/>
          <w:bCs w:val="0"/>
          <w:iCs w:val="0"/>
          <w:color w:val="auto"/>
          <w:sz w:val="22"/>
          <w:szCs w:val="22"/>
        </w:rPr>
      </w:pPr>
      <w:r w:rsidRPr="003B5E53">
        <w:rPr>
          <w:rFonts w:ascii="Calibri" w:hAnsi="Calibri" w:cstheme="majorHAnsi"/>
          <w:bCs w:val="0"/>
          <w:iCs w:val="0"/>
          <w:color w:val="auto"/>
          <w:sz w:val="22"/>
          <w:szCs w:val="22"/>
        </w:rPr>
        <w:t>Conflicts of interest</w:t>
      </w:r>
    </w:p>
    <w:p w:rsidR="009D1AA9" w:rsidRPr="009240B0" w:rsidRDefault="009D1AA9" w:rsidP="004C6494">
      <w:pPr>
        <w:pStyle w:val="MOIText"/>
        <w:tabs>
          <w:tab w:val="clear" w:pos="567"/>
        </w:tabs>
        <w:spacing w:before="0" w:after="0"/>
        <w:ind w:right="237"/>
        <w:rPr>
          <w:rFonts w:ascii="Calibri" w:hAnsi="Calibri" w:cstheme="majorHAnsi"/>
          <w:szCs w:val="22"/>
        </w:rPr>
      </w:pPr>
    </w:p>
    <w:p w:rsidR="00B25633" w:rsidRPr="009240B0" w:rsidRDefault="00B25633" w:rsidP="004C6494">
      <w:pPr>
        <w:pStyle w:val="MOIText"/>
        <w:tabs>
          <w:tab w:val="clear" w:pos="567"/>
        </w:tabs>
        <w:spacing w:before="0" w:after="0"/>
        <w:ind w:right="237"/>
        <w:rPr>
          <w:rFonts w:ascii="Calibri" w:hAnsi="Calibri" w:cstheme="majorHAnsi"/>
          <w:szCs w:val="22"/>
        </w:rPr>
      </w:pPr>
      <w:r w:rsidRPr="009240B0">
        <w:rPr>
          <w:rFonts w:ascii="Calibri" w:hAnsi="Calibri" w:cstheme="majorHAnsi"/>
          <w:szCs w:val="22"/>
        </w:rPr>
        <w:t>In order to ensure a fair and competitive procurement process,</w:t>
      </w:r>
      <w:r w:rsidR="007F7168">
        <w:rPr>
          <w:rFonts w:ascii="Calibri" w:hAnsi="Calibri" w:cstheme="majorHAnsi"/>
          <w:szCs w:val="22"/>
        </w:rPr>
        <w:t xml:space="preserve"> the</w:t>
      </w:r>
      <w:r w:rsidR="009F503A" w:rsidRPr="009240B0">
        <w:rPr>
          <w:rFonts w:ascii="Calibri" w:hAnsi="Calibri" w:cstheme="majorHAnsi"/>
          <w:szCs w:val="22"/>
        </w:rPr>
        <w:t xml:space="preserve"> CCG</w:t>
      </w:r>
      <w:r w:rsidR="00316DDF" w:rsidRPr="009240B0">
        <w:rPr>
          <w:rFonts w:ascii="Calibri" w:hAnsi="Calibri" w:cstheme="majorHAnsi"/>
          <w:color w:val="FF0000"/>
          <w:szCs w:val="22"/>
        </w:rPr>
        <w:t xml:space="preserve"> </w:t>
      </w:r>
      <w:r w:rsidRPr="009240B0">
        <w:rPr>
          <w:rFonts w:ascii="Calibri" w:hAnsi="Calibri" w:cstheme="majorHAnsi"/>
          <w:szCs w:val="22"/>
        </w:rPr>
        <w:t xml:space="preserve">requires that all actual or potential conflicts of interest that a potential bidder may have are identified and resolved to the satisfaction of </w:t>
      </w:r>
      <w:r w:rsidR="007F7168">
        <w:rPr>
          <w:rFonts w:ascii="Calibri" w:hAnsi="Calibri" w:cstheme="majorHAnsi"/>
          <w:szCs w:val="22"/>
        </w:rPr>
        <w:t>the</w:t>
      </w:r>
      <w:r w:rsidR="00E7348D">
        <w:rPr>
          <w:rFonts w:ascii="Calibri" w:hAnsi="Calibri" w:cstheme="majorHAnsi"/>
          <w:szCs w:val="22"/>
        </w:rPr>
        <w:t xml:space="preserve"> CCG</w:t>
      </w:r>
      <w:r w:rsidRPr="009240B0">
        <w:rPr>
          <w:rFonts w:ascii="Calibri" w:hAnsi="Calibri" w:cstheme="majorHAnsi"/>
          <w:szCs w:val="22"/>
        </w:rPr>
        <w:t>.</w:t>
      </w:r>
    </w:p>
    <w:p w:rsidR="00B25633" w:rsidRPr="009240B0" w:rsidRDefault="00B25633" w:rsidP="004C6494">
      <w:pPr>
        <w:pStyle w:val="MOIText"/>
        <w:tabs>
          <w:tab w:val="clear" w:pos="567"/>
        </w:tabs>
        <w:spacing w:before="0" w:after="0"/>
        <w:ind w:right="237" w:firstLine="426"/>
        <w:rPr>
          <w:rFonts w:ascii="Calibri" w:hAnsi="Calibri" w:cstheme="majorHAnsi"/>
          <w:szCs w:val="22"/>
        </w:rPr>
      </w:pPr>
    </w:p>
    <w:p w:rsidR="00B25633" w:rsidRPr="009240B0" w:rsidRDefault="00B25633" w:rsidP="004C6494">
      <w:pPr>
        <w:pStyle w:val="MOIText"/>
        <w:tabs>
          <w:tab w:val="clear" w:pos="567"/>
        </w:tabs>
        <w:spacing w:before="0" w:after="0"/>
        <w:ind w:right="237"/>
        <w:rPr>
          <w:rFonts w:ascii="Calibri" w:hAnsi="Calibri" w:cstheme="majorHAnsi"/>
          <w:szCs w:val="22"/>
        </w:rPr>
      </w:pPr>
      <w:r w:rsidRPr="009240B0">
        <w:rPr>
          <w:rFonts w:ascii="Calibri" w:hAnsi="Calibri" w:cstheme="majorHAnsi"/>
          <w:szCs w:val="22"/>
        </w:rPr>
        <w:t>Potent</w:t>
      </w:r>
      <w:r w:rsidR="007F7168">
        <w:rPr>
          <w:rFonts w:ascii="Calibri" w:hAnsi="Calibri" w:cstheme="majorHAnsi"/>
          <w:szCs w:val="22"/>
        </w:rPr>
        <w:t>ial Applicants should notify the</w:t>
      </w:r>
      <w:r w:rsidRPr="009240B0">
        <w:rPr>
          <w:rFonts w:ascii="Calibri" w:hAnsi="Calibri" w:cstheme="majorHAnsi"/>
          <w:szCs w:val="22"/>
        </w:rPr>
        <w:t xml:space="preserve"> CCG of any actual or potential conflicts of interest in their response to the </w:t>
      </w:r>
      <w:r w:rsidR="007F7168">
        <w:rPr>
          <w:rFonts w:ascii="Calibri" w:hAnsi="Calibri" w:cstheme="majorHAnsi"/>
          <w:szCs w:val="22"/>
        </w:rPr>
        <w:t>ITQ</w:t>
      </w:r>
      <w:r w:rsidRPr="009240B0">
        <w:rPr>
          <w:rFonts w:ascii="Calibri" w:hAnsi="Calibri" w:cstheme="majorHAnsi"/>
          <w:szCs w:val="22"/>
        </w:rPr>
        <w:t xml:space="preserve">. If the potential bidder becomes aware of an actual or potential conflict of interest following submission of the application </w:t>
      </w:r>
      <w:r w:rsidR="007F7168">
        <w:rPr>
          <w:rFonts w:ascii="Calibri" w:hAnsi="Calibri" w:cstheme="majorHAnsi"/>
          <w:szCs w:val="22"/>
        </w:rPr>
        <w:t>it should immediately notify the</w:t>
      </w:r>
      <w:r w:rsidRPr="009240B0">
        <w:rPr>
          <w:rFonts w:ascii="Calibri" w:hAnsi="Calibri" w:cstheme="majorHAnsi"/>
          <w:szCs w:val="22"/>
        </w:rPr>
        <w:t xml:space="preserve"> CCG by completing the Confli</w:t>
      </w:r>
      <w:r w:rsidR="00BE4595">
        <w:rPr>
          <w:rFonts w:ascii="Calibri" w:hAnsi="Calibri" w:cstheme="majorHAnsi"/>
          <w:szCs w:val="22"/>
        </w:rPr>
        <w:t>ct of Interest form (see Annex B</w:t>
      </w:r>
      <w:r w:rsidRPr="009240B0">
        <w:rPr>
          <w:rFonts w:ascii="Calibri" w:hAnsi="Calibri" w:cstheme="majorHAnsi"/>
          <w:szCs w:val="22"/>
        </w:rPr>
        <w:t>) for this procurement. Such notifications should provide details of the actual or potential conflict of interest.</w:t>
      </w:r>
    </w:p>
    <w:p w:rsidR="00B25633" w:rsidRPr="009240B0" w:rsidRDefault="00B25633" w:rsidP="004C6494">
      <w:pPr>
        <w:pStyle w:val="MOIText"/>
        <w:tabs>
          <w:tab w:val="clear" w:pos="567"/>
        </w:tabs>
        <w:spacing w:before="0" w:after="0"/>
        <w:ind w:right="237"/>
        <w:rPr>
          <w:rFonts w:ascii="Calibri" w:hAnsi="Calibri" w:cstheme="majorHAnsi"/>
          <w:szCs w:val="22"/>
        </w:rPr>
      </w:pPr>
    </w:p>
    <w:p w:rsidR="00B25633" w:rsidRPr="009240B0" w:rsidRDefault="00B25633" w:rsidP="004C6494">
      <w:pPr>
        <w:pStyle w:val="MOIText"/>
        <w:tabs>
          <w:tab w:val="clear" w:pos="567"/>
          <w:tab w:val="left" w:pos="142"/>
        </w:tabs>
        <w:spacing w:before="0" w:after="0"/>
        <w:ind w:right="237"/>
        <w:rPr>
          <w:rFonts w:ascii="Calibri" w:hAnsi="Calibri" w:cstheme="majorHAnsi"/>
          <w:szCs w:val="22"/>
        </w:rPr>
      </w:pPr>
      <w:r w:rsidRPr="009240B0">
        <w:rPr>
          <w:rFonts w:ascii="Calibri" w:hAnsi="Calibri" w:cstheme="majorHAnsi"/>
          <w:szCs w:val="22"/>
        </w:rPr>
        <w:t xml:space="preserve">If, following consultation with the potential bidder or bidders, such actual or potential conflict(s) are not resolved to the satisfaction of </w:t>
      </w:r>
      <w:r w:rsidR="007F7168">
        <w:rPr>
          <w:rFonts w:ascii="Calibri" w:hAnsi="Calibri" w:cstheme="majorHAnsi"/>
          <w:szCs w:val="22"/>
        </w:rPr>
        <w:t>the</w:t>
      </w:r>
      <w:r w:rsidR="00E7348D">
        <w:rPr>
          <w:rFonts w:ascii="Calibri" w:hAnsi="Calibri" w:cstheme="majorHAnsi"/>
          <w:szCs w:val="22"/>
        </w:rPr>
        <w:t xml:space="preserve"> CCG</w:t>
      </w:r>
      <w:r w:rsidRPr="009240B0">
        <w:rPr>
          <w:rFonts w:ascii="Calibri" w:hAnsi="Calibri" w:cstheme="majorHAnsi"/>
          <w:szCs w:val="22"/>
        </w:rPr>
        <w:t>,</w:t>
      </w:r>
      <w:r w:rsidR="009F503A" w:rsidRPr="009240B0">
        <w:rPr>
          <w:rFonts w:ascii="Calibri" w:hAnsi="Calibri" w:cstheme="majorHAnsi"/>
          <w:szCs w:val="22"/>
        </w:rPr>
        <w:t xml:space="preserve"> </w:t>
      </w:r>
      <w:r w:rsidR="007F7168">
        <w:rPr>
          <w:rFonts w:ascii="Calibri" w:hAnsi="Calibri" w:cstheme="majorHAnsi"/>
          <w:szCs w:val="22"/>
        </w:rPr>
        <w:t>the</w:t>
      </w:r>
      <w:r w:rsidR="00E7348D">
        <w:rPr>
          <w:rFonts w:ascii="Calibri" w:hAnsi="Calibri" w:cstheme="majorHAnsi"/>
          <w:szCs w:val="22"/>
        </w:rPr>
        <w:t xml:space="preserve"> CCG</w:t>
      </w:r>
      <w:r w:rsidR="00316DDF" w:rsidRPr="009240B0">
        <w:rPr>
          <w:rFonts w:ascii="Calibri" w:hAnsi="Calibri" w:cstheme="majorHAnsi"/>
          <w:color w:val="FF0000"/>
          <w:szCs w:val="22"/>
        </w:rPr>
        <w:t xml:space="preserve"> </w:t>
      </w:r>
      <w:r w:rsidRPr="009240B0">
        <w:rPr>
          <w:rFonts w:ascii="Calibri" w:hAnsi="Calibri" w:cstheme="majorHAnsi"/>
          <w:szCs w:val="22"/>
        </w:rPr>
        <w:t xml:space="preserve">reserves the right to exclude at any time any potential Applicants(s) from the Procurement process should any actual or potential conflict(s) of interest be found by </w:t>
      </w:r>
      <w:r w:rsidR="007F7168">
        <w:rPr>
          <w:rFonts w:ascii="Calibri" w:hAnsi="Calibri" w:cstheme="majorHAnsi"/>
          <w:szCs w:val="22"/>
        </w:rPr>
        <w:t>the</w:t>
      </w:r>
      <w:r w:rsidR="00E7348D">
        <w:rPr>
          <w:rFonts w:ascii="Calibri" w:hAnsi="Calibri" w:cstheme="majorHAnsi"/>
          <w:szCs w:val="22"/>
        </w:rPr>
        <w:t xml:space="preserve"> CCG</w:t>
      </w:r>
      <w:r w:rsidRPr="009240B0">
        <w:rPr>
          <w:rFonts w:ascii="Calibri" w:hAnsi="Calibri" w:cstheme="majorHAnsi"/>
          <w:szCs w:val="22"/>
        </w:rPr>
        <w:t xml:space="preserve"> to confer an unfair competitive advantage on one or more potential bidder(s), or otherwise to undermine a fair procurement process.</w:t>
      </w:r>
    </w:p>
    <w:p w:rsidR="009D1AA9" w:rsidRPr="009240B0" w:rsidRDefault="009D1AA9" w:rsidP="004C6494">
      <w:pPr>
        <w:pStyle w:val="PQQJustified"/>
        <w:ind w:left="0" w:right="237"/>
        <w:rPr>
          <w:rFonts w:ascii="Calibri" w:hAnsi="Calibri" w:cstheme="majorHAnsi"/>
        </w:rPr>
      </w:pPr>
    </w:p>
    <w:p w:rsidR="00B25633" w:rsidRPr="009240B0" w:rsidRDefault="00B25633" w:rsidP="004C6494">
      <w:pPr>
        <w:pStyle w:val="PQQJustified"/>
        <w:ind w:left="0" w:right="237"/>
        <w:rPr>
          <w:rFonts w:ascii="Calibri" w:hAnsi="Calibri" w:cstheme="majorHAnsi"/>
        </w:rPr>
      </w:pPr>
      <w:r w:rsidRPr="009240B0">
        <w:rPr>
          <w:rFonts w:ascii="Calibri" w:hAnsi="Calibri" w:cstheme="majorHAnsi"/>
        </w:rPr>
        <w:t>Examples of potential conflicts of interest are (without limitation) as follows:</w:t>
      </w:r>
    </w:p>
    <w:p w:rsidR="00B25633" w:rsidRPr="009240B0" w:rsidRDefault="00B25633" w:rsidP="004C6494">
      <w:pPr>
        <w:pStyle w:val="PQQbullet"/>
        <w:tabs>
          <w:tab w:val="clear" w:pos="1069"/>
          <w:tab w:val="left" w:pos="1701"/>
        </w:tabs>
        <w:ind w:left="426" w:right="237" w:hanging="426"/>
        <w:rPr>
          <w:rFonts w:ascii="Calibri" w:hAnsi="Calibri" w:cstheme="majorHAnsi"/>
        </w:rPr>
      </w:pPr>
      <w:r w:rsidRPr="009240B0">
        <w:rPr>
          <w:rFonts w:ascii="Calibri" w:hAnsi="Calibri" w:cstheme="majorHAnsi"/>
        </w:rPr>
        <w:t xml:space="preserve">A Bidding organisation, or any person employed or engaged by or otherwise connected with a Bidding organisation, is currently carrying out any work for </w:t>
      </w:r>
      <w:r w:rsidR="007F7168">
        <w:rPr>
          <w:rFonts w:ascii="Calibri" w:hAnsi="Calibri" w:cstheme="majorHAnsi"/>
        </w:rPr>
        <w:t>the</w:t>
      </w:r>
      <w:r w:rsidR="00E7348D">
        <w:rPr>
          <w:rFonts w:ascii="Calibri" w:hAnsi="Calibri" w:cstheme="majorHAnsi"/>
        </w:rPr>
        <w:t xml:space="preserve"> CCG</w:t>
      </w:r>
      <w:r w:rsidRPr="009240B0">
        <w:rPr>
          <w:rFonts w:ascii="Calibri" w:hAnsi="Calibri" w:cstheme="majorHAnsi"/>
        </w:rPr>
        <w:t xml:space="preserve">, NHS England and/or the Department of Health (DH), or has done so within the last six (6) months; </w:t>
      </w:r>
    </w:p>
    <w:p w:rsidR="00B25633" w:rsidRPr="009240B0" w:rsidRDefault="00B25633" w:rsidP="004C6494">
      <w:pPr>
        <w:pStyle w:val="PQQbullet"/>
        <w:numPr>
          <w:ilvl w:val="0"/>
          <w:numId w:val="0"/>
        </w:numPr>
        <w:tabs>
          <w:tab w:val="left" w:pos="1701"/>
        </w:tabs>
        <w:ind w:left="426" w:right="237" w:hanging="426"/>
        <w:rPr>
          <w:rFonts w:ascii="Calibri" w:hAnsi="Calibri" w:cstheme="majorHAnsi"/>
        </w:rPr>
      </w:pPr>
    </w:p>
    <w:p w:rsidR="00B25633" w:rsidRPr="009240B0" w:rsidRDefault="00B25633" w:rsidP="00372E4A">
      <w:pPr>
        <w:pStyle w:val="PQQbullet"/>
        <w:tabs>
          <w:tab w:val="clear" w:pos="1069"/>
          <w:tab w:val="left" w:pos="1701"/>
        </w:tabs>
        <w:ind w:left="426" w:right="237" w:hanging="426"/>
        <w:rPr>
          <w:rFonts w:ascii="Calibri" w:hAnsi="Calibri" w:cstheme="majorHAnsi"/>
        </w:rPr>
      </w:pPr>
      <w:r w:rsidRPr="009240B0">
        <w:rPr>
          <w:rFonts w:ascii="Calibri" w:hAnsi="Calibri" w:cstheme="majorHAnsi"/>
        </w:rPr>
        <w:t>A Bidding organisation is providing services for more than one Potential Bidder, in respect of this Procurement.</w:t>
      </w:r>
    </w:p>
    <w:p w:rsidR="00372E4A" w:rsidRPr="009240B0" w:rsidRDefault="00372E4A" w:rsidP="00372E4A">
      <w:pPr>
        <w:pStyle w:val="PQQbullet"/>
        <w:numPr>
          <w:ilvl w:val="0"/>
          <w:numId w:val="0"/>
        </w:numPr>
        <w:tabs>
          <w:tab w:val="left" w:pos="1701"/>
        </w:tabs>
        <w:ind w:right="237"/>
        <w:rPr>
          <w:rFonts w:ascii="Calibri" w:hAnsi="Calibri" w:cstheme="majorHAnsi"/>
        </w:rPr>
      </w:pPr>
    </w:p>
    <w:p w:rsidR="00B25633" w:rsidRPr="009240B0" w:rsidRDefault="00B25633" w:rsidP="004C6494">
      <w:pPr>
        <w:pStyle w:val="PQQJustified"/>
        <w:ind w:left="0" w:right="237"/>
        <w:rPr>
          <w:rFonts w:ascii="Calibri" w:hAnsi="Calibri" w:cstheme="majorHAnsi"/>
        </w:rPr>
      </w:pPr>
      <w:r w:rsidRPr="009240B0">
        <w:rPr>
          <w:rFonts w:ascii="Calibri" w:hAnsi="Calibri" w:cstheme="majorHAnsi"/>
        </w:rPr>
        <w:t>The ‘Conflict of Interest D</w:t>
      </w:r>
      <w:r w:rsidR="00BE4595">
        <w:rPr>
          <w:rFonts w:ascii="Calibri" w:hAnsi="Calibri" w:cstheme="majorHAnsi"/>
        </w:rPr>
        <w:t xml:space="preserve">eclaration’, provided in </w:t>
      </w:r>
      <w:r w:rsidR="007F7168">
        <w:rPr>
          <w:rFonts w:ascii="Calibri" w:hAnsi="Calibri" w:cstheme="majorHAnsi"/>
        </w:rPr>
        <w:t>the Declarations Section of the ITQ questions</w:t>
      </w:r>
      <w:r w:rsidRPr="009240B0">
        <w:rPr>
          <w:rFonts w:ascii="Calibri" w:hAnsi="Calibri" w:cstheme="majorHAnsi"/>
        </w:rPr>
        <w:t xml:space="preserve">, must be completed by an authorised signatory, in his / her own name, on behalf of the Bidding organisation and attached in response to this section of this </w:t>
      </w:r>
      <w:r w:rsidR="007F7168">
        <w:rPr>
          <w:rFonts w:ascii="Calibri" w:hAnsi="Calibri" w:cstheme="majorHAnsi"/>
        </w:rPr>
        <w:t>ITQ</w:t>
      </w:r>
      <w:r w:rsidRPr="009240B0">
        <w:rPr>
          <w:rFonts w:ascii="Calibri" w:hAnsi="Calibri" w:cstheme="majorHAnsi"/>
        </w:rPr>
        <w:t>.</w:t>
      </w:r>
    </w:p>
    <w:p w:rsidR="00B25633" w:rsidRPr="009240B0" w:rsidRDefault="00B25633" w:rsidP="004C6494">
      <w:pPr>
        <w:pStyle w:val="PQQJustified"/>
        <w:ind w:left="0" w:right="237"/>
        <w:rPr>
          <w:rFonts w:ascii="Calibri" w:hAnsi="Calibri" w:cstheme="majorHAnsi"/>
        </w:rPr>
      </w:pPr>
    </w:p>
    <w:p w:rsidR="00F86FB3" w:rsidRPr="009240B0" w:rsidRDefault="007F7168" w:rsidP="007F7168">
      <w:pPr>
        <w:pStyle w:val="PQQJustified"/>
        <w:ind w:left="0" w:right="237"/>
        <w:rPr>
          <w:rFonts w:ascii="Calibri" w:hAnsi="Calibri" w:cstheme="majorHAnsi"/>
          <w:b/>
        </w:rPr>
      </w:pPr>
      <w:r>
        <w:rPr>
          <w:rFonts w:ascii="Calibri" w:hAnsi="Calibri" w:cstheme="majorHAnsi"/>
        </w:rPr>
        <w:t>The</w:t>
      </w:r>
      <w:r w:rsidR="00E7348D">
        <w:rPr>
          <w:rFonts w:ascii="Calibri" w:hAnsi="Calibri" w:cstheme="majorHAnsi"/>
        </w:rPr>
        <w:t xml:space="preserve"> CCG</w:t>
      </w:r>
      <w:r w:rsidR="00B25633" w:rsidRPr="009240B0">
        <w:rPr>
          <w:rFonts w:ascii="Calibri" w:hAnsi="Calibri" w:cstheme="majorHAnsi"/>
        </w:rPr>
        <w:t xml:space="preserve"> should be immediately notified, in the event that any actual or potential conflict of interest comes to a potential Bidder’s attention at any time following the submission of the potential Bidder’s ‘Conflicts of Interest Declaration’ and bid documents.</w:t>
      </w:r>
    </w:p>
    <w:p w:rsidR="00D95ADB" w:rsidRPr="009240B0" w:rsidRDefault="00D95ADB" w:rsidP="00D95ADB">
      <w:pPr>
        <w:widowControl w:val="0"/>
        <w:spacing w:after="0" w:line="200" w:lineRule="exact"/>
        <w:ind w:right="95"/>
        <w:rPr>
          <w:rFonts w:ascii="Calibri" w:eastAsia="Calibri" w:hAnsi="Calibri" w:cstheme="majorHAnsi"/>
          <w:szCs w:val="22"/>
          <w:lang w:val="en-US"/>
        </w:rPr>
      </w:pPr>
    </w:p>
    <w:p w:rsidR="00970C5F" w:rsidRPr="0050119B" w:rsidRDefault="00970C5F" w:rsidP="00D95ADB">
      <w:pPr>
        <w:spacing w:after="0"/>
        <w:jc w:val="center"/>
        <w:outlineLvl w:val="0"/>
        <w:rPr>
          <w:rFonts w:ascii="Century Gothic" w:hAnsi="Century Gothic" w:cs="Arial"/>
          <w:sz w:val="20"/>
        </w:rPr>
      </w:pPr>
    </w:p>
    <w:sectPr w:rsidR="00970C5F" w:rsidRPr="0050119B" w:rsidSect="00A73005">
      <w:headerReference w:type="even" r:id="rId13"/>
      <w:headerReference w:type="default" r:id="rId14"/>
      <w:footerReference w:type="even" r:id="rId15"/>
      <w:footerReference w:type="default" r:id="rId16"/>
      <w:headerReference w:type="first" r:id="rId17"/>
      <w:footerReference w:type="first" r:id="rId18"/>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8E" w:rsidRDefault="00A0048E" w:rsidP="00C036AA">
      <w:pPr>
        <w:spacing w:after="0"/>
      </w:pPr>
      <w:r>
        <w:separator/>
      </w:r>
    </w:p>
  </w:endnote>
  <w:endnote w:type="continuationSeparator" w:id="0">
    <w:p w:rsidR="00A0048E" w:rsidRDefault="00A0048E"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E0" w:rsidRDefault="00BB2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E0" w:rsidRDefault="00BB28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E0" w:rsidRDefault="00BB2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8E" w:rsidRDefault="00A0048E" w:rsidP="00C036AA">
      <w:pPr>
        <w:spacing w:after="0"/>
      </w:pPr>
      <w:r>
        <w:separator/>
      </w:r>
    </w:p>
  </w:footnote>
  <w:footnote w:type="continuationSeparator" w:id="0">
    <w:p w:rsidR="00A0048E" w:rsidRDefault="00A0048E"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E0" w:rsidRDefault="00BB28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E0" w:rsidRDefault="00BB28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126C10" w:rsidP="00126C10">
    <w:pPr>
      <w:jc w:val="center"/>
      <w:rPr>
        <w:noProof/>
        <w:lang w:eastAsia="en-GB"/>
      </w:rPr>
    </w:pPr>
    <w:r>
      <w:rPr>
        <w:noProof/>
        <w:lang w:eastAsia="en-GB"/>
      </w:rPr>
      <w:drawing>
        <wp:inline distT="0" distB="0" distL="0" distR="0">
          <wp:extent cx="4410075" cy="857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l csu.jpg"/>
                  <pic:cNvPicPr/>
                </pic:nvPicPr>
                <pic:blipFill>
                  <a:blip r:embed="rId1">
                    <a:extLst>
                      <a:ext uri="{28A0092B-C50C-407E-A947-70E740481C1C}">
                        <a14:useLocalDpi xmlns:a14="http://schemas.microsoft.com/office/drawing/2010/main" val="0"/>
                      </a:ext>
                    </a:extLst>
                  </a:blip>
                  <a:stretch>
                    <a:fillRect/>
                  </a:stretch>
                </pic:blipFill>
                <pic:spPr>
                  <a:xfrm>
                    <a:off x="0" y="0"/>
                    <a:ext cx="4410075" cy="857250"/>
                  </a:xfrm>
                  <a:prstGeom prst="rect">
                    <a:avLst/>
                  </a:prstGeom>
                </pic:spPr>
              </pic:pic>
            </a:graphicData>
          </a:graphic>
        </wp:inline>
      </w:drawing>
    </w:r>
  </w:p>
  <w:tbl>
    <w:tblPr>
      <w:tblW w:w="9639" w:type="dxa"/>
      <w:tblLook w:val="04A0" w:firstRow="1" w:lastRow="0" w:firstColumn="1" w:lastColumn="0" w:noHBand="0" w:noVBand="1"/>
    </w:tblPr>
    <w:tblGrid>
      <w:gridCol w:w="4231"/>
      <w:gridCol w:w="5408"/>
    </w:tblGrid>
    <w:tr w:rsidR="00CE734F" w:rsidTr="00BB28E0">
      <w:tc>
        <w:tcPr>
          <w:tcW w:w="4231" w:type="dxa"/>
          <w:vAlign w:val="bottom"/>
        </w:tcPr>
        <w:p w:rsidR="00CE734F" w:rsidRPr="002A0C0B" w:rsidRDefault="00CE734F" w:rsidP="002A0C0B">
          <w:pPr>
            <w:rPr>
              <w:sz w:val="17"/>
            </w:rPr>
          </w:pPr>
        </w:p>
      </w:tc>
      <w:tc>
        <w:tcPr>
          <w:tcW w:w="5408" w:type="dxa"/>
        </w:tcPr>
        <w:p w:rsidR="00CE734F" w:rsidRPr="00A86F2D" w:rsidRDefault="00CE734F" w:rsidP="000E6704">
          <w:pPr>
            <w:pStyle w:val="Addressinformation"/>
            <w:rPr>
              <w:sz w:val="16"/>
              <w:szCs w:val="16"/>
            </w:rPr>
          </w:pPr>
          <w:r>
            <w:rPr>
              <w:sz w:val="16"/>
              <w:szCs w:val="16"/>
            </w:rPr>
            <w:t xml:space="preserve">  </w:t>
          </w: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906AA"/>
    <w:multiLevelType w:val="hybridMultilevel"/>
    <w:tmpl w:val="9DA8D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A11407"/>
    <w:multiLevelType w:val="hybridMultilevel"/>
    <w:tmpl w:val="EFA0610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5"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7"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A00439"/>
    <w:multiLevelType w:val="hybridMultilevel"/>
    <w:tmpl w:val="74C29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DD411E0"/>
    <w:multiLevelType w:val="hybridMultilevel"/>
    <w:tmpl w:val="EEAE2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11"/>
  </w:num>
  <w:num w:numId="5">
    <w:abstractNumId w:val="9"/>
  </w:num>
  <w:num w:numId="6">
    <w:abstractNumId w:val="10"/>
  </w:num>
  <w:num w:numId="7">
    <w:abstractNumId w:val="6"/>
  </w:num>
  <w:num w:numId="8">
    <w:abstractNumId w:val="0"/>
  </w:num>
  <w:num w:numId="9">
    <w:abstractNumId w:val="7"/>
  </w:num>
  <w:num w:numId="10">
    <w:abstractNumId w:val="3"/>
  </w:num>
  <w:num w:numId="11">
    <w:abstractNumId w:val="13"/>
  </w:num>
  <w:num w:numId="12">
    <w:abstractNumId w:val="4"/>
  </w:num>
  <w:num w:numId="13">
    <w:abstractNumId w:val="1"/>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5366A"/>
    <w:rsid w:val="0006241C"/>
    <w:rsid w:val="000632F4"/>
    <w:rsid w:val="00063A74"/>
    <w:rsid w:val="00071966"/>
    <w:rsid w:val="000950F4"/>
    <w:rsid w:val="000A1CCA"/>
    <w:rsid w:val="000A4014"/>
    <w:rsid w:val="000A5788"/>
    <w:rsid w:val="000C0A29"/>
    <w:rsid w:val="000D0702"/>
    <w:rsid w:val="000D0FD9"/>
    <w:rsid w:val="000D6F3F"/>
    <w:rsid w:val="000D70DD"/>
    <w:rsid w:val="000E4900"/>
    <w:rsid w:val="000E6704"/>
    <w:rsid w:val="000F05A3"/>
    <w:rsid w:val="000F752E"/>
    <w:rsid w:val="00106A98"/>
    <w:rsid w:val="001074B7"/>
    <w:rsid w:val="00114D38"/>
    <w:rsid w:val="001205CD"/>
    <w:rsid w:val="00126C10"/>
    <w:rsid w:val="00140715"/>
    <w:rsid w:val="00162841"/>
    <w:rsid w:val="00166303"/>
    <w:rsid w:val="001743A9"/>
    <w:rsid w:val="0018695A"/>
    <w:rsid w:val="00192CA3"/>
    <w:rsid w:val="001D21EE"/>
    <w:rsid w:val="001E4275"/>
    <w:rsid w:val="001F110B"/>
    <w:rsid w:val="00203AF5"/>
    <w:rsid w:val="00206017"/>
    <w:rsid w:val="002177B8"/>
    <w:rsid w:val="0022522E"/>
    <w:rsid w:val="00225C60"/>
    <w:rsid w:val="00232CCA"/>
    <w:rsid w:val="0028006C"/>
    <w:rsid w:val="002A0AA2"/>
    <w:rsid w:val="002A0C0B"/>
    <w:rsid w:val="002A19BC"/>
    <w:rsid w:val="002C469B"/>
    <w:rsid w:val="002C61EC"/>
    <w:rsid w:val="002F5532"/>
    <w:rsid w:val="0030190B"/>
    <w:rsid w:val="003022A5"/>
    <w:rsid w:val="00303C02"/>
    <w:rsid w:val="00305C1C"/>
    <w:rsid w:val="00306208"/>
    <w:rsid w:val="00313DE3"/>
    <w:rsid w:val="00316DDF"/>
    <w:rsid w:val="00317A05"/>
    <w:rsid w:val="003502A2"/>
    <w:rsid w:val="00353891"/>
    <w:rsid w:val="00372E4A"/>
    <w:rsid w:val="00377115"/>
    <w:rsid w:val="0038306F"/>
    <w:rsid w:val="00386F46"/>
    <w:rsid w:val="00387B64"/>
    <w:rsid w:val="00391A64"/>
    <w:rsid w:val="003A51DC"/>
    <w:rsid w:val="003B475F"/>
    <w:rsid w:val="003B5E53"/>
    <w:rsid w:val="003B770E"/>
    <w:rsid w:val="003C044A"/>
    <w:rsid w:val="003E3CD9"/>
    <w:rsid w:val="003E5CAB"/>
    <w:rsid w:val="003E7DDA"/>
    <w:rsid w:val="003F0909"/>
    <w:rsid w:val="00423E58"/>
    <w:rsid w:val="00451BAC"/>
    <w:rsid w:val="0045503A"/>
    <w:rsid w:val="0045784E"/>
    <w:rsid w:val="004732D1"/>
    <w:rsid w:val="00483BFD"/>
    <w:rsid w:val="00497B97"/>
    <w:rsid w:val="004A2929"/>
    <w:rsid w:val="004A7FB5"/>
    <w:rsid w:val="004B037D"/>
    <w:rsid w:val="004B47E6"/>
    <w:rsid w:val="004C6494"/>
    <w:rsid w:val="004E0417"/>
    <w:rsid w:val="004E251C"/>
    <w:rsid w:val="0050119B"/>
    <w:rsid w:val="00512AD8"/>
    <w:rsid w:val="0051732F"/>
    <w:rsid w:val="00536358"/>
    <w:rsid w:val="00540D83"/>
    <w:rsid w:val="00545B69"/>
    <w:rsid w:val="00552346"/>
    <w:rsid w:val="00553448"/>
    <w:rsid w:val="0057764C"/>
    <w:rsid w:val="005832A6"/>
    <w:rsid w:val="00584B01"/>
    <w:rsid w:val="005942CB"/>
    <w:rsid w:val="005A2A1F"/>
    <w:rsid w:val="005B5F4F"/>
    <w:rsid w:val="005C270B"/>
    <w:rsid w:val="005C739C"/>
    <w:rsid w:val="005E23F4"/>
    <w:rsid w:val="005E3E81"/>
    <w:rsid w:val="005E3F2F"/>
    <w:rsid w:val="005F6D97"/>
    <w:rsid w:val="0064549D"/>
    <w:rsid w:val="00655E31"/>
    <w:rsid w:val="00663903"/>
    <w:rsid w:val="006A3EBD"/>
    <w:rsid w:val="006E25C2"/>
    <w:rsid w:val="007248B9"/>
    <w:rsid w:val="007345B3"/>
    <w:rsid w:val="00745334"/>
    <w:rsid w:val="00750CE0"/>
    <w:rsid w:val="007525DD"/>
    <w:rsid w:val="00753432"/>
    <w:rsid w:val="007534B1"/>
    <w:rsid w:val="007543AA"/>
    <w:rsid w:val="00756776"/>
    <w:rsid w:val="00766D9C"/>
    <w:rsid w:val="0077000C"/>
    <w:rsid w:val="007735A8"/>
    <w:rsid w:val="00773783"/>
    <w:rsid w:val="007978CE"/>
    <w:rsid w:val="007B30C1"/>
    <w:rsid w:val="007B65C8"/>
    <w:rsid w:val="007C5B13"/>
    <w:rsid w:val="007C6C9D"/>
    <w:rsid w:val="007E5E4A"/>
    <w:rsid w:val="007F32B5"/>
    <w:rsid w:val="007F40C8"/>
    <w:rsid w:val="007F7168"/>
    <w:rsid w:val="00804180"/>
    <w:rsid w:val="008136C6"/>
    <w:rsid w:val="00820615"/>
    <w:rsid w:val="0082279D"/>
    <w:rsid w:val="00825981"/>
    <w:rsid w:val="00835B63"/>
    <w:rsid w:val="008420F4"/>
    <w:rsid w:val="00873257"/>
    <w:rsid w:val="00876F14"/>
    <w:rsid w:val="00883ABF"/>
    <w:rsid w:val="0088426A"/>
    <w:rsid w:val="008846B5"/>
    <w:rsid w:val="0088598F"/>
    <w:rsid w:val="0088652E"/>
    <w:rsid w:val="00890603"/>
    <w:rsid w:val="00890756"/>
    <w:rsid w:val="0089682E"/>
    <w:rsid w:val="008C45A3"/>
    <w:rsid w:val="008C78DA"/>
    <w:rsid w:val="008C7BC1"/>
    <w:rsid w:val="008D752C"/>
    <w:rsid w:val="008E645A"/>
    <w:rsid w:val="008E783F"/>
    <w:rsid w:val="008F0892"/>
    <w:rsid w:val="008F3B51"/>
    <w:rsid w:val="008F5385"/>
    <w:rsid w:val="008F708D"/>
    <w:rsid w:val="009240B0"/>
    <w:rsid w:val="00943FD2"/>
    <w:rsid w:val="00947B79"/>
    <w:rsid w:val="00962F93"/>
    <w:rsid w:val="00970C5F"/>
    <w:rsid w:val="009A5000"/>
    <w:rsid w:val="009C2F05"/>
    <w:rsid w:val="009D1AA9"/>
    <w:rsid w:val="009D1C68"/>
    <w:rsid w:val="009D6B10"/>
    <w:rsid w:val="009E313C"/>
    <w:rsid w:val="009E7A3E"/>
    <w:rsid w:val="009F503A"/>
    <w:rsid w:val="009F653B"/>
    <w:rsid w:val="00A0048E"/>
    <w:rsid w:val="00A15C55"/>
    <w:rsid w:val="00A2349F"/>
    <w:rsid w:val="00A321F8"/>
    <w:rsid w:val="00A32F71"/>
    <w:rsid w:val="00A35170"/>
    <w:rsid w:val="00A3582C"/>
    <w:rsid w:val="00A41A01"/>
    <w:rsid w:val="00A61808"/>
    <w:rsid w:val="00A61A61"/>
    <w:rsid w:val="00A73005"/>
    <w:rsid w:val="00A83E57"/>
    <w:rsid w:val="00A85A22"/>
    <w:rsid w:val="00A86F2D"/>
    <w:rsid w:val="00A870EF"/>
    <w:rsid w:val="00A97703"/>
    <w:rsid w:val="00AB1BD6"/>
    <w:rsid w:val="00AB4DFA"/>
    <w:rsid w:val="00AC4646"/>
    <w:rsid w:val="00AF39E8"/>
    <w:rsid w:val="00B00740"/>
    <w:rsid w:val="00B048C4"/>
    <w:rsid w:val="00B07CAC"/>
    <w:rsid w:val="00B1201D"/>
    <w:rsid w:val="00B14596"/>
    <w:rsid w:val="00B25633"/>
    <w:rsid w:val="00B30B05"/>
    <w:rsid w:val="00B34C8A"/>
    <w:rsid w:val="00B359EC"/>
    <w:rsid w:val="00B40628"/>
    <w:rsid w:val="00B51454"/>
    <w:rsid w:val="00B53111"/>
    <w:rsid w:val="00B664FF"/>
    <w:rsid w:val="00BB28E0"/>
    <w:rsid w:val="00BC0A2F"/>
    <w:rsid w:val="00BC731F"/>
    <w:rsid w:val="00BD7E1E"/>
    <w:rsid w:val="00BE4595"/>
    <w:rsid w:val="00BE5CEB"/>
    <w:rsid w:val="00BF18C5"/>
    <w:rsid w:val="00BF5112"/>
    <w:rsid w:val="00BF7AB8"/>
    <w:rsid w:val="00C036AA"/>
    <w:rsid w:val="00C04A15"/>
    <w:rsid w:val="00C13B89"/>
    <w:rsid w:val="00C25BBE"/>
    <w:rsid w:val="00C34DE2"/>
    <w:rsid w:val="00C546E6"/>
    <w:rsid w:val="00C604C6"/>
    <w:rsid w:val="00C6401D"/>
    <w:rsid w:val="00C81A11"/>
    <w:rsid w:val="00C81B8F"/>
    <w:rsid w:val="00C90205"/>
    <w:rsid w:val="00CA2D18"/>
    <w:rsid w:val="00CB08D4"/>
    <w:rsid w:val="00CB2173"/>
    <w:rsid w:val="00CB6CD1"/>
    <w:rsid w:val="00CD1C5D"/>
    <w:rsid w:val="00CD74E2"/>
    <w:rsid w:val="00CE0018"/>
    <w:rsid w:val="00CE1A02"/>
    <w:rsid w:val="00CE6416"/>
    <w:rsid w:val="00CE734F"/>
    <w:rsid w:val="00CE76C0"/>
    <w:rsid w:val="00CF2A34"/>
    <w:rsid w:val="00D035AD"/>
    <w:rsid w:val="00D05876"/>
    <w:rsid w:val="00D06C2F"/>
    <w:rsid w:val="00D262E8"/>
    <w:rsid w:val="00D32219"/>
    <w:rsid w:val="00D34AE3"/>
    <w:rsid w:val="00D4237E"/>
    <w:rsid w:val="00D550E6"/>
    <w:rsid w:val="00D76F69"/>
    <w:rsid w:val="00D86876"/>
    <w:rsid w:val="00D95ADB"/>
    <w:rsid w:val="00D97647"/>
    <w:rsid w:val="00DA209C"/>
    <w:rsid w:val="00DA5469"/>
    <w:rsid w:val="00DB1BB4"/>
    <w:rsid w:val="00DC283E"/>
    <w:rsid w:val="00DD24DE"/>
    <w:rsid w:val="00DE0224"/>
    <w:rsid w:val="00DF59F8"/>
    <w:rsid w:val="00E03B12"/>
    <w:rsid w:val="00E148F3"/>
    <w:rsid w:val="00E16A84"/>
    <w:rsid w:val="00E200C9"/>
    <w:rsid w:val="00E2594D"/>
    <w:rsid w:val="00E42095"/>
    <w:rsid w:val="00E51E20"/>
    <w:rsid w:val="00E55984"/>
    <w:rsid w:val="00E709C6"/>
    <w:rsid w:val="00E7348D"/>
    <w:rsid w:val="00E76988"/>
    <w:rsid w:val="00E778CE"/>
    <w:rsid w:val="00E85204"/>
    <w:rsid w:val="00E922B4"/>
    <w:rsid w:val="00E9492E"/>
    <w:rsid w:val="00E96BBB"/>
    <w:rsid w:val="00EA4953"/>
    <w:rsid w:val="00EC290D"/>
    <w:rsid w:val="00ED4F02"/>
    <w:rsid w:val="00EF16A9"/>
    <w:rsid w:val="00F048DC"/>
    <w:rsid w:val="00F205C6"/>
    <w:rsid w:val="00F40D07"/>
    <w:rsid w:val="00F55697"/>
    <w:rsid w:val="00F75EA1"/>
    <w:rsid w:val="00F86FB3"/>
    <w:rsid w:val="00F97E34"/>
    <w:rsid w:val="00FA2CA6"/>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customStyle="1" w:styleId="Default">
    <w:name w:val="Default"/>
    <w:rsid w:val="00BE5CEB"/>
    <w:pPr>
      <w:autoSpaceDE w:val="0"/>
      <w:autoSpaceDN w:val="0"/>
      <w:adjustRightInd w:val="0"/>
      <w:spacing w:after="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58026565">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4415">
      <w:bodyDiv w:val="1"/>
      <w:marLeft w:val="0"/>
      <w:marRight w:val="0"/>
      <w:marTop w:val="0"/>
      <w:marBottom w:val="0"/>
      <w:divBdr>
        <w:top w:val="none" w:sz="0" w:space="0" w:color="auto"/>
        <w:left w:val="none" w:sz="0" w:space="0" w:color="auto"/>
        <w:bottom w:val="none" w:sz="0" w:space="0" w:color="auto"/>
        <w:right w:val="none" w:sz="0" w:space="0" w:color="auto"/>
      </w:divBdr>
    </w:div>
    <w:div w:id="629438843">
      <w:bodyDiv w:val="1"/>
      <w:marLeft w:val="0"/>
      <w:marRight w:val="0"/>
      <w:marTop w:val="0"/>
      <w:marBottom w:val="0"/>
      <w:divBdr>
        <w:top w:val="none" w:sz="0" w:space="0" w:color="auto"/>
        <w:left w:val="none" w:sz="0" w:space="0" w:color="auto"/>
        <w:bottom w:val="none" w:sz="0" w:space="0" w:color="auto"/>
        <w:right w:val="none" w:sz="0" w:space="0" w:color="auto"/>
      </w:divBdr>
    </w:div>
    <w:div w:id="717238961">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2806">
      <w:bodyDiv w:val="1"/>
      <w:marLeft w:val="0"/>
      <w:marRight w:val="0"/>
      <w:marTop w:val="0"/>
      <w:marBottom w:val="0"/>
      <w:divBdr>
        <w:top w:val="none" w:sz="0" w:space="0" w:color="auto"/>
        <w:left w:val="none" w:sz="0" w:space="0" w:color="auto"/>
        <w:bottom w:val="none" w:sz="0" w:space="0" w:color="auto"/>
        <w:right w:val="none" w:sz="0" w:space="0" w:color="auto"/>
      </w:divBdr>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05026210">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09232823">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16517682">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87394643">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es.savill@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879d0f4f-9fae-410f-a4be-8658b3d42e72"/>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68518962-C44B-4F0B-8544-5D224428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Savill, James - Healthcare Procurement Manager</cp:lastModifiedBy>
  <cp:revision>2</cp:revision>
  <cp:lastPrinted>2017-02-17T08:23:00Z</cp:lastPrinted>
  <dcterms:created xsi:type="dcterms:W3CDTF">2017-02-17T09:42:00Z</dcterms:created>
  <dcterms:modified xsi:type="dcterms:W3CDTF">2017-02-17T09:42:00Z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