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2926"/>
        <w:gridCol w:w="7280"/>
      </w:tblGrid>
      <w:tr w:rsidR="002E4B2E" w:rsidRPr="00AA3128" w14:paraId="4BD58F76" w14:textId="77777777" w:rsidTr="00730ECC">
        <w:tc>
          <w:tcPr>
            <w:tcW w:w="2926" w:type="dxa"/>
            <w:shd w:val="clear" w:color="auto" w:fill="A6A6A6" w:themeFill="background1" w:themeFillShade="A6"/>
          </w:tcPr>
          <w:p w14:paraId="06FBA7B7" w14:textId="77777777" w:rsidR="002E4B2E" w:rsidRPr="0019444F" w:rsidRDefault="002E4B2E" w:rsidP="00D0640B">
            <w:pPr>
              <w:pStyle w:val="NoSpacing"/>
              <w:rPr>
                <w:b/>
              </w:rPr>
            </w:pPr>
            <w:bookmarkStart w:id="0" w:name="_GoBack"/>
            <w:bookmarkEnd w:id="0"/>
            <w:r w:rsidRPr="0019444F">
              <w:rPr>
                <w:b/>
              </w:rPr>
              <w:t>Service</w:t>
            </w:r>
          </w:p>
        </w:tc>
        <w:tc>
          <w:tcPr>
            <w:tcW w:w="7280" w:type="dxa"/>
            <w:shd w:val="clear" w:color="auto" w:fill="FFFFE5"/>
          </w:tcPr>
          <w:p w14:paraId="7F5DC82E" w14:textId="77777777" w:rsidR="002E4B2E" w:rsidRPr="00AA3128" w:rsidRDefault="00B20F5A" w:rsidP="00D0640B">
            <w:pPr>
              <w:pStyle w:val="NoSpacing"/>
            </w:pPr>
            <w:r>
              <w:t>Integrated Adult Community Services</w:t>
            </w:r>
          </w:p>
        </w:tc>
      </w:tr>
      <w:tr w:rsidR="002E4B2E" w:rsidRPr="00AA3128" w14:paraId="22B6DCF5" w14:textId="77777777" w:rsidTr="00730ECC">
        <w:tc>
          <w:tcPr>
            <w:tcW w:w="2926" w:type="dxa"/>
            <w:shd w:val="clear" w:color="auto" w:fill="D9D9D9" w:themeFill="background1" w:themeFillShade="D9"/>
          </w:tcPr>
          <w:p w14:paraId="5AED7A5B" w14:textId="77777777" w:rsidR="002E4B2E" w:rsidRPr="0019444F" w:rsidRDefault="002E4B2E" w:rsidP="00D0640B">
            <w:pPr>
              <w:pStyle w:val="NoSpacing"/>
            </w:pPr>
            <w:r w:rsidRPr="0019444F">
              <w:t>Specification Reference</w:t>
            </w:r>
          </w:p>
        </w:tc>
        <w:tc>
          <w:tcPr>
            <w:tcW w:w="7280" w:type="dxa"/>
          </w:tcPr>
          <w:p w14:paraId="637BE2C0" w14:textId="77777777" w:rsidR="002E4B2E" w:rsidRPr="00AA3128" w:rsidRDefault="00AE2442" w:rsidP="00D0640B">
            <w:pPr>
              <w:pStyle w:val="NoSpacing"/>
            </w:pPr>
            <w:r>
              <w:t xml:space="preserve">Core </w:t>
            </w:r>
            <w:r w:rsidR="00F246F9">
              <w:t>Function</w:t>
            </w:r>
            <w:r w:rsidR="008B086B">
              <w:t>s</w:t>
            </w:r>
            <w:r w:rsidR="00F246F9">
              <w:t xml:space="preserve"> (Part 2)</w:t>
            </w:r>
          </w:p>
        </w:tc>
      </w:tr>
      <w:tr w:rsidR="002E4B2E" w:rsidRPr="00AA3128" w14:paraId="64E5B341" w14:textId="77777777" w:rsidTr="00730ECC">
        <w:tc>
          <w:tcPr>
            <w:tcW w:w="2926" w:type="dxa"/>
            <w:shd w:val="clear" w:color="auto" w:fill="D9D9D9" w:themeFill="background1" w:themeFillShade="D9"/>
          </w:tcPr>
          <w:p w14:paraId="5C476A7C" w14:textId="77777777" w:rsidR="002E4B2E" w:rsidRPr="0019444F" w:rsidRDefault="002E4B2E" w:rsidP="002E4B2E">
            <w:pPr>
              <w:pStyle w:val="NoSpacing"/>
            </w:pPr>
            <w:r w:rsidRPr="0019444F">
              <w:t>Period</w:t>
            </w:r>
          </w:p>
        </w:tc>
        <w:tc>
          <w:tcPr>
            <w:tcW w:w="7280" w:type="dxa"/>
          </w:tcPr>
          <w:p w14:paraId="3ACCFBD3" w14:textId="77777777" w:rsidR="002E4B2E" w:rsidRPr="00AA3128" w:rsidRDefault="002E4B2E" w:rsidP="00AE4061">
            <w:pPr>
              <w:pStyle w:val="NoSpacing"/>
            </w:pPr>
          </w:p>
        </w:tc>
      </w:tr>
      <w:tr w:rsidR="002E4B2E" w:rsidRPr="00AA3128" w14:paraId="342B20E5" w14:textId="77777777" w:rsidTr="00730ECC">
        <w:tc>
          <w:tcPr>
            <w:tcW w:w="2926" w:type="dxa"/>
            <w:shd w:val="clear" w:color="auto" w:fill="D9D9D9" w:themeFill="background1" w:themeFillShade="D9"/>
          </w:tcPr>
          <w:p w14:paraId="5B1AAA24" w14:textId="77777777" w:rsidR="002E4B2E" w:rsidRPr="0019444F" w:rsidRDefault="002E4B2E" w:rsidP="00D0640B">
            <w:pPr>
              <w:pStyle w:val="NoSpacing"/>
            </w:pPr>
            <w:r w:rsidRPr="0019444F">
              <w:t>Last Updated</w:t>
            </w:r>
          </w:p>
        </w:tc>
        <w:tc>
          <w:tcPr>
            <w:tcW w:w="7280" w:type="dxa"/>
          </w:tcPr>
          <w:p w14:paraId="28FE05A4" w14:textId="77777777" w:rsidR="002E4B2E" w:rsidRPr="00AA3128" w:rsidRDefault="002E4B2E" w:rsidP="00841483">
            <w:pPr>
              <w:pStyle w:val="NoSpacing"/>
            </w:pPr>
          </w:p>
        </w:tc>
      </w:tr>
      <w:tr w:rsidR="00570516" w:rsidRPr="00AA3128" w14:paraId="06869BE1" w14:textId="77777777" w:rsidTr="00730ECC">
        <w:tc>
          <w:tcPr>
            <w:tcW w:w="2926" w:type="dxa"/>
            <w:shd w:val="clear" w:color="auto" w:fill="D9D9D9" w:themeFill="background1" w:themeFillShade="D9"/>
          </w:tcPr>
          <w:p w14:paraId="7599D37F" w14:textId="77777777" w:rsidR="00570516" w:rsidRPr="0019444F" w:rsidRDefault="00570516" w:rsidP="00D0640B">
            <w:pPr>
              <w:pStyle w:val="NoSpacing"/>
            </w:pPr>
            <w:r>
              <w:t>Service Value</w:t>
            </w:r>
          </w:p>
        </w:tc>
        <w:tc>
          <w:tcPr>
            <w:tcW w:w="7280" w:type="dxa"/>
          </w:tcPr>
          <w:p w14:paraId="295394F7" w14:textId="77777777" w:rsidR="00570516" w:rsidRDefault="00570516" w:rsidP="00D0640B">
            <w:pPr>
              <w:pStyle w:val="NoSpacing"/>
            </w:pPr>
          </w:p>
        </w:tc>
      </w:tr>
    </w:tbl>
    <w:p w14:paraId="7516B989" w14:textId="77777777" w:rsidR="00D0640B" w:rsidRPr="002E4B2E" w:rsidRDefault="00D0640B" w:rsidP="00D0640B">
      <w:pPr>
        <w:pStyle w:val="NoSpacing"/>
      </w:pP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516"/>
        <w:gridCol w:w="9690"/>
      </w:tblGrid>
      <w:tr w:rsidR="00EC29B7" w:rsidRPr="00AA3128" w14:paraId="52C2E4B8" w14:textId="77777777" w:rsidTr="00A16E24">
        <w:trPr>
          <w:trHeight w:val="284"/>
        </w:trPr>
        <w:tc>
          <w:tcPr>
            <w:tcW w:w="516" w:type="dxa"/>
            <w:tcBorders>
              <w:bottom w:val="single" w:sz="4" w:space="0" w:color="808080" w:themeColor="background1" w:themeShade="80"/>
            </w:tcBorders>
            <w:shd w:val="clear" w:color="auto" w:fill="A6A6A6" w:themeFill="background1" w:themeFillShade="A6"/>
          </w:tcPr>
          <w:p w14:paraId="03D8C2D2" w14:textId="77777777" w:rsidR="00EC29B7" w:rsidRPr="0019444F" w:rsidRDefault="00EC29B7" w:rsidP="006D238B">
            <w:pPr>
              <w:pStyle w:val="NoSpacing"/>
              <w:rPr>
                <w:b/>
                <w:sz w:val="20"/>
                <w:szCs w:val="20"/>
              </w:rPr>
            </w:pPr>
            <w:r w:rsidRPr="0019444F">
              <w:rPr>
                <w:b/>
                <w:sz w:val="20"/>
                <w:szCs w:val="20"/>
              </w:rPr>
              <w:t>1</w:t>
            </w:r>
          </w:p>
        </w:tc>
        <w:tc>
          <w:tcPr>
            <w:tcW w:w="9690" w:type="dxa"/>
            <w:tcBorders>
              <w:bottom w:val="single" w:sz="4" w:space="0" w:color="808080" w:themeColor="background1" w:themeShade="80"/>
            </w:tcBorders>
            <w:shd w:val="clear" w:color="auto" w:fill="A6A6A6" w:themeFill="background1" w:themeFillShade="A6"/>
          </w:tcPr>
          <w:p w14:paraId="2DB6A41E" w14:textId="77777777" w:rsidR="00EC29B7" w:rsidRPr="0019444F" w:rsidRDefault="00EC29B7" w:rsidP="00D32F1A">
            <w:pPr>
              <w:pStyle w:val="NoSpacing"/>
              <w:rPr>
                <w:b/>
              </w:rPr>
            </w:pPr>
            <w:r w:rsidRPr="0019444F">
              <w:rPr>
                <w:b/>
              </w:rPr>
              <w:t>Introduction and Context</w:t>
            </w:r>
          </w:p>
        </w:tc>
      </w:tr>
      <w:tr w:rsidR="00AA3128" w:rsidRPr="00AA3128" w14:paraId="57D0FD98" w14:textId="77777777" w:rsidTr="00A16E24">
        <w:trPr>
          <w:trHeight w:val="284"/>
        </w:trPr>
        <w:tc>
          <w:tcPr>
            <w:tcW w:w="516" w:type="dxa"/>
            <w:shd w:val="clear" w:color="auto" w:fill="D9D9D9" w:themeFill="background1" w:themeFillShade="D9"/>
          </w:tcPr>
          <w:p w14:paraId="19CD4E2C" w14:textId="77777777" w:rsidR="00AA3128" w:rsidRPr="0019444F" w:rsidRDefault="00AA3128" w:rsidP="006D238B">
            <w:pPr>
              <w:pStyle w:val="NoSpacing"/>
              <w:rPr>
                <w:sz w:val="20"/>
                <w:szCs w:val="20"/>
              </w:rPr>
            </w:pPr>
            <w:r w:rsidRPr="0019444F">
              <w:rPr>
                <w:sz w:val="20"/>
                <w:szCs w:val="20"/>
              </w:rPr>
              <w:t>1.1</w:t>
            </w:r>
          </w:p>
        </w:tc>
        <w:tc>
          <w:tcPr>
            <w:tcW w:w="9690" w:type="dxa"/>
            <w:shd w:val="clear" w:color="auto" w:fill="D9D9D9" w:themeFill="background1" w:themeFillShade="D9"/>
          </w:tcPr>
          <w:p w14:paraId="743CB3F7" w14:textId="77777777" w:rsidR="00AA3128" w:rsidRPr="00AA3128" w:rsidRDefault="00805BA1" w:rsidP="00D32F1A">
            <w:pPr>
              <w:pStyle w:val="NoSpacing"/>
            </w:pPr>
            <w:r>
              <w:t>Summary/ Introduction</w:t>
            </w:r>
          </w:p>
        </w:tc>
      </w:tr>
      <w:tr w:rsidR="006D238B" w:rsidRPr="00AA3128" w14:paraId="3800D011" w14:textId="77777777" w:rsidTr="00A16E24">
        <w:trPr>
          <w:trHeight w:val="284"/>
        </w:trPr>
        <w:tc>
          <w:tcPr>
            <w:tcW w:w="10206" w:type="dxa"/>
            <w:gridSpan w:val="2"/>
            <w:shd w:val="clear" w:color="auto" w:fill="FFFFFF" w:themeFill="background1"/>
          </w:tcPr>
          <w:p w14:paraId="079D9B98" w14:textId="77777777" w:rsidR="00951001" w:rsidRDefault="00FF19C8" w:rsidP="003606F4">
            <w:pPr>
              <w:pStyle w:val="NoSpacing"/>
              <w:jc w:val="both"/>
            </w:pPr>
            <w:r w:rsidRPr="00FF19C8">
              <w:t xml:space="preserve">This specification sets out the requirements of the Provider in relation to the </w:t>
            </w:r>
            <w:r w:rsidR="008B086B">
              <w:t xml:space="preserve">core </w:t>
            </w:r>
            <w:r w:rsidR="009A52E9">
              <w:t xml:space="preserve">generalist </w:t>
            </w:r>
            <w:r w:rsidRPr="00FF19C8">
              <w:t>function</w:t>
            </w:r>
            <w:r w:rsidR="008B086B">
              <w:t>s</w:t>
            </w:r>
            <w:r w:rsidRPr="00FF19C8">
              <w:t xml:space="preserve"> to be provided as part of the Adult Community Services. </w:t>
            </w:r>
            <w:r w:rsidR="003606F4">
              <w:t xml:space="preserve"> </w:t>
            </w:r>
            <w:r w:rsidR="003606F4" w:rsidRPr="003606F4">
              <w:t xml:space="preserve">This document should be read in conjunction with the Generic (Part 1) and the </w:t>
            </w:r>
            <w:r w:rsidR="003606F4">
              <w:t xml:space="preserve">Specialist </w:t>
            </w:r>
            <w:r w:rsidR="003606F4" w:rsidRPr="003606F4">
              <w:t xml:space="preserve">service specification (Part </w:t>
            </w:r>
            <w:r w:rsidR="003606F4">
              <w:t>3</w:t>
            </w:r>
            <w:r w:rsidR="003606F4" w:rsidRPr="003606F4">
              <w:t>).  All three documents provide the context to the complete service model and the required service functions to be provided by the Provider.  This document must be considered alongside the NHS Standard Contract which contains requirements laid out in General Conditions and Service Conditions.</w:t>
            </w:r>
          </w:p>
          <w:p w14:paraId="4466D4DC" w14:textId="77777777" w:rsidR="00713FB3" w:rsidRPr="0019444F" w:rsidRDefault="00713FB3" w:rsidP="003606F4">
            <w:pPr>
              <w:pStyle w:val="NoSpacing"/>
              <w:jc w:val="both"/>
            </w:pPr>
          </w:p>
        </w:tc>
      </w:tr>
      <w:tr w:rsidR="00EC29B7" w:rsidRPr="00AA3128" w14:paraId="6E42F0FF" w14:textId="77777777" w:rsidTr="00A16E24">
        <w:trPr>
          <w:trHeight w:val="284"/>
        </w:trPr>
        <w:tc>
          <w:tcPr>
            <w:tcW w:w="516" w:type="dxa"/>
            <w:shd w:val="clear" w:color="auto" w:fill="D9D9D9" w:themeFill="background1" w:themeFillShade="D9"/>
          </w:tcPr>
          <w:p w14:paraId="123AF558" w14:textId="77777777" w:rsidR="00EC29B7" w:rsidRPr="0019444F" w:rsidRDefault="00AA3128" w:rsidP="006D238B">
            <w:pPr>
              <w:pStyle w:val="NoSpacing"/>
              <w:rPr>
                <w:sz w:val="20"/>
                <w:szCs w:val="20"/>
              </w:rPr>
            </w:pPr>
            <w:r w:rsidRPr="0019444F">
              <w:rPr>
                <w:sz w:val="20"/>
                <w:szCs w:val="20"/>
              </w:rPr>
              <w:t>1.2</w:t>
            </w:r>
          </w:p>
        </w:tc>
        <w:tc>
          <w:tcPr>
            <w:tcW w:w="9690" w:type="dxa"/>
            <w:shd w:val="clear" w:color="auto" w:fill="D9D9D9" w:themeFill="background1" w:themeFillShade="D9"/>
          </w:tcPr>
          <w:p w14:paraId="7AE2EA49" w14:textId="77777777" w:rsidR="00EC29B7" w:rsidRPr="00AA3128" w:rsidRDefault="00D33F1E" w:rsidP="002D1F7A">
            <w:pPr>
              <w:pStyle w:val="NoSpacing"/>
            </w:pPr>
            <w:r>
              <w:t>Strategic Context – national and local policy</w:t>
            </w:r>
          </w:p>
        </w:tc>
      </w:tr>
      <w:tr w:rsidR="00D33F1E" w:rsidRPr="00D33F1E" w14:paraId="224B31B8" w14:textId="77777777" w:rsidTr="00A16E24">
        <w:trPr>
          <w:trHeight w:val="370"/>
        </w:trPr>
        <w:tc>
          <w:tcPr>
            <w:tcW w:w="10206" w:type="dxa"/>
            <w:gridSpan w:val="2"/>
            <w:shd w:val="clear" w:color="auto" w:fill="auto"/>
          </w:tcPr>
          <w:p w14:paraId="192457DB" w14:textId="77777777" w:rsidR="00713FB3" w:rsidRPr="00D33F1E" w:rsidRDefault="00D33F1E" w:rsidP="0033719E">
            <w:pPr>
              <w:pStyle w:val="TableParagraph"/>
              <w:tabs>
                <w:tab w:val="left" w:pos="1497"/>
                <w:tab w:val="left" w:pos="7025"/>
              </w:tabs>
              <w:spacing w:line="249" w:lineRule="auto"/>
              <w:ind w:left="0" w:right="1965"/>
              <w:rPr>
                <w:rFonts w:asciiTheme="minorHAnsi" w:hAnsiTheme="minorHAnsi" w:cstheme="minorHAnsi"/>
                <w:b/>
                <w:color w:val="00B050"/>
              </w:rPr>
            </w:pPr>
            <w:r w:rsidRPr="00D33F1E">
              <w:rPr>
                <w:rFonts w:asciiTheme="minorHAnsi" w:hAnsiTheme="minorHAnsi" w:cstheme="minorHAnsi"/>
                <w:b/>
                <w:color w:val="00B050"/>
              </w:rPr>
              <w:t>Please see Generic Service Specification</w:t>
            </w:r>
          </w:p>
        </w:tc>
      </w:tr>
      <w:tr w:rsidR="00EC29B7" w:rsidRPr="00AA3128" w14:paraId="1070D3A2" w14:textId="77777777" w:rsidTr="00A16E24">
        <w:trPr>
          <w:trHeight w:val="284"/>
        </w:trPr>
        <w:tc>
          <w:tcPr>
            <w:tcW w:w="516" w:type="dxa"/>
            <w:shd w:val="clear" w:color="auto" w:fill="D9D9D9" w:themeFill="background1" w:themeFillShade="D9"/>
          </w:tcPr>
          <w:p w14:paraId="39BF2C6C" w14:textId="77777777" w:rsidR="00EC29B7" w:rsidRPr="0019444F" w:rsidRDefault="00AA3128" w:rsidP="006D238B">
            <w:pPr>
              <w:pStyle w:val="NoSpacing"/>
              <w:rPr>
                <w:sz w:val="20"/>
                <w:szCs w:val="20"/>
              </w:rPr>
            </w:pPr>
            <w:r w:rsidRPr="0019444F">
              <w:rPr>
                <w:sz w:val="20"/>
                <w:szCs w:val="20"/>
              </w:rPr>
              <w:t>1.</w:t>
            </w:r>
            <w:r w:rsidR="002D1F7A">
              <w:rPr>
                <w:sz w:val="20"/>
                <w:szCs w:val="20"/>
              </w:rPr>
              <w:t>3</w:t>
            </w:r>
          </w:p>
        </w:tc>
        <w:tc>
          <w:tcPr>
            <w:tcW w:w="9690" w:type="dxa"/>
            <w:shd w:val="clear" w:color="auto" w:fill="D9D9D9" w:themeFill="background1" w:themeFillShade="D9"/>
          </w:tcPr>
          <w:p w14:paraId="7617F722" w14:textId="77777777" w:rsidR="00EC29B7" w:rsidRPr="00AA3128" w:rsidRDefault="006D238B" w:rsidP="00EC29B7">
            <w:pPr>
              <w:pStyle w:val="NoSpacing"/>
            </w:pPr>
            <w:r>
              <w:t>National and l</w:t>
            </w:r>
            <w:r w:rsidR="00EC29B7" w:rsidRPr="00AA3128">
              <w:t>ocal trends</w:t>
            </w:r>
          </w:p>
        </w:tc>
      </w:tr>
      <w:tr w:rsidR="006D238B" w:rsidRPr="00AA3128" w14:paraId="56FE9D93" w14:textId="77777777" w:rsidTr="00713FB3">
        <w:trPr>
          <w:trHeight w:val="139"/>
        </w:trPr>
        <w:tc>
          <w:tcPr>
            <w:tcW w:w="10206" w:type="dxa"/>
            <w:gridSpan w:val="2"/>
            <w:shd w:val="clear" w:color="auto" w:fill="FFFFFF" w:themeFill="background1"/>
          </w:tcPr>
          <w:p w14:paraId="5373A021" w14:textId="77777777" w:rsidR="00713FB3" w:rsidRDefault="0033719E" w:rsidP="00713FB3">
            <w:pPr>
              <w:pStyle w:val="TableParagraph"/>
              <w:tabs>
                <w:tab w:val="left" w:pos="1497"/>
                <w:tab w:val="left" w:pos="7025"/>
              </w:tabs>
              <w:spacing w:line="249" w:lineRule="auto"/>
              <w:ind w:left="0" w:right="1965"/>
              <w:rPr>
                <w:rFonts w:asciiTheme="minorHAnsi" w:hAnsiTheme="minorHAnsi" w:cstheme="minorHAnsi"/>
                <w:b/>
                <w:color w:val="00B050"/>
              </w:rPr>
            </w:pPr>
            <w:r w:rsidRPr="004C0807">
              <w:rPr>
                <w:rFonts w:asciiTheme="minorHAnsi" w:hAnsiTheme="minorHAnsi" w:cstheme="minorHAnsi"/>
                <w:b/>
                <w:color w:val="00B050"/>
              </w:rPr>
              <w:t>Please see Generic Service Specification</w:t>
            </w:r>
          </w:p>
          <w:p w14:paraId="15D2E742" w14:textId="77777777" w:rsidR="00713FB3" w:rsidRPr="00713FB3" w:rsidRDefault="00713FB3" w:rsidP="00713FB3">
            <w:pPr>
              <w:pStyle w:val="TableParagraph"/>
              <w:tabs>
                <w:tab w:val="left" w:pos="1497"/>
                <w:tab w:val="left" w:pos="7025"/>
              </w:tabs>
              <w:spacing w:line="249" w:lineRule="auto"/>
              <w:ind w:left="0" w:right="1965"/>
              <w:rPr>
                <w:rFonts w:asciiTheme="minorHAnsi" w:hAnsiTheme="minorHAnsi" w:cstheme="minorHAnsi"/>
                <w:b/>
                <w:color w:val="00B050"/>
              </w:rPr>
            </w:pPr>
          </w:p>
        </w:tc>
      </w:tr>
      <w:tr w:rsidR="00EC29B7" w:rsidRPr="00AA3128" w14:paraId="7E95D144" w14:textId="77777777" w:rsidTr="00A16E24">
        <w:trPr>
          <w:trHeight w:val="284"/>
        </w:trPr>
        <w:tc>
          <w:tcPr>
            <w:tcW w:w="516" w:type="dxa"/>
            <w:shd w:val="clear" w:color="auto" w:fill="A6A6A6" w:themeFill="background1" w:themeFillShade="A6"/>
          </w:tcPr>
          <w:p w14:paraId="00EFFF00" w14:textId="77777777" w:rsidR="00EC29B7" w:rsidRPr="0019444F" w:rsidRDefault="00B20F5A" w:rsidP="0019444F">
            <w:pPr>
              <w:pStyle w:val="NoSpacing"/>
              <w:rPr>
                <w:b/>
                <w:sz w:val="20"/>
                <w:szCs w:val="20"/>
              </w:rPr>
            </w:pPr>
            <w:r>
              <w:rPr>
                <w:b/>
                <w:sz w:val="20"/>
                <w:szCs w:val="20"/>
              </w:rPr>
              <w:t>2</w:t>
            </w:r>
          </w:p>
        </w:tc>
        <w:tc>
          <w:tcPr>
            <w:tcW w:w="9690" w:type="dxa"/>
            <w:shd w:val="clear" w:color="auto" w:fill="A6A6A6" w:themeFill="background1" w:themeFillShade="A6"/>
          </w:tcPr>
          <w:p w14:paraId="12165A60" w14:textId="77777777" w:rsidR="00EC29B7" w:rsidRPr="0019444F" w:rsidRDefault="00BB1D3C" w:rsidP="00D32F1A">
            <w:pPr>
              <w:pStyle w:val="NoSpacing"/>
              <w:rPr>
                <w:b/>
              </w:rPr>
            </w:pPr>
            <w:r>
              <w:rPr>
                <w:b/>
              </w:rPr>
              <w:t>Service Description</w:t>
            </w:r>
          </w:p>
        </w:tc>
      </w:tr>
      <w:tr w:rsidR="00A16E24" w:rsidRPr="00AA3128" w14:paraId="58E8E90B" w14:textId="77777777" w:rsidTr="004C0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4"/>
        </w:trPr>
        <w:tc>
          <w:tcPr>
            <w:tcW w:w="516" w:type="dxa"/>
            <w:shd w:val="clear" w:color="auto" w:fill="D9D9D9" w:themeFill="background1" w:themeFillShade="D9"/>
          </w:tcPr>
          <w:p w14:paraId="548A127A" w14:textId="77777777" w:rsidR="00A16E24" w:rsidRPr="00A16E24" w:rsidRDefault="00A16E24" w:rsidP="00C711CC">
            <w:pPr>
              <w:pStyle w:val="NoSpacing"/>
              <w:rPr>
                <w:sz w:val="20"/>
                <w:szCs w:val="20"/>
              </w:rPr>
            </w:pPr>
            <w:r w:rsidRPr="00A16E24">
              <w:rPr>
                <w:sz w:val="20"/>
                <w:szCs w:val="20"/>
              </w:rPr>
              <w:t>2.1</w:t>
            </w:r>
          </w:p>
        </w:tc>
        <w:tc>
          <w:tcPr>
            <w:tcW w:w="9690" w:type="dxa"/>
            <w:shd w:val="clear" w:color="auto" w:fill="D9D9D9" w:themeFill="background1" w:themeFillShade="D9"/>
          </w:tcPr>
          <w:p w14:paraId="4FF3C2C9" w14:textId="77777777" w:rsidR="00A16E24" w:rsidRDefault="00A16E24" w:rsidP="00C711CC">
            <w:pPr>
              <w:pStyle w:val="NoSpacing"/>
            </w:pPr>
            <w:r w:rsidRPr="00A16E24">
              <w:t>Description (including summary of overarching aims)</w:t>
            </w:r>
          </w:p>
          <w:p w14:paraId="55848B82" w14:textId="77777777" w:rsidR="00A16E24" w:rsidRPr="00AA3128" w:rsidRDefault="00A16E24" w:rsidP="00C711CC">
            <w:pPr>
              <w:pStyle w:val="NoSpacing"/>
            </w:pPr>
          </w:p>
        </w:tc>
      </w:tr>
      <w:tr w:rsidR="00B20F5A" w:rsidRPr="00AA3128" w14:paraId="2ADFADE5" w14:textId="77777777" w:rsidTr="00BB74D1">
        <w:trPr>
          <w:trHeight w:val="284"/>
        </w:trPr>
        <w:tc>
          <w:tcPr>
            <w:tcW w:w="10206" w:type="dxa"/>
            <w:gridSpan w:val="2"/>
            <w:tcBorders>
              <w:top w:val="single" w:sz="4" w:space="0" w:color="7F7F7F" w:themeColor="text1" w:themeTint="80"/>
              <w:bottom w:val="single" w:sz="4" w:space="0" w:color="7F7F7F" w:themeColor="text1" w:themeTint="80"/>
            </w:tcBorders>
            <w:shd w:val="clear" w:color="auto" w:fill="auto"/>
          </w:tcPr>
          <w:p w14:paraId="7A413DA2" w14:textId="77777777" w:rsidR="004C390E" w:rsidRDefault="00654EF2" w:rsidP="00E667BB">
            <w:pPr>
              <w:pStyle w:val="NoSpacing"/>
              <w:jc w:val="both"/>
            </w:pPr>
            <w:r>
              <w:t xml:space="preserve">As part of the community adult services model, the Provider will be required to provide </w:t>
            </w:r>
            <w:r w:rsidRPr="00FC449C">
              <w:t xml:space="preserve">larger teams of </w:t>
            </w:r>
            <w:r>
              <w:t xml:space="preserve">core </w:t>
            </w:r>
            <w:r w:rsidRPr="00FC449C">
              <w:t>generalist</w:t>
            </w:r>
            <w:r>
              <w:t xml:space="preserve"> staff</w:t>
            </w:r>
            <w:r w:rsidR="00557365">
              <w:t xml:space="preserve">, </w:t>
            </w:r>
            <w:r w:rsidR="003E0A6D">
              <w:t xml:space="preserve">i.e. those </w:t>
            </w:r>
            <w:r w:rsidR="00557365">
              <w:t xml:space="preserve">with </w:t>
            </w:r>
            <w:r w:rsidR="00BE71FF">
              <w:t xml:space="preserve">key clinical and therapeutic </w:t>
            </w:r>
            <w:r w:rsidR="007C099B">
              <w:t>s</w:t>
            </w:r>
            <w:r w:rsidR="00557365">
              <w:t>kills</w:t>
            </w:r>
            <w:r w:rsidR="007C099B">
              <w:t xml:space="preserve">.  </w:t>
            </w:r>
            <w:r w:rsidR="00237A26">
              <w:t xml:space="preserve"> </w:t>
            </w:r>
            <w:r w:rsidR="00D35CA4">
              <w:t>T</w:t>
            </w:r>
            <w:r w:rsidR="00525A09">
              <w:t>h</w:t>
            </w:r>
            <w:r w:rsidR="004C390E">
              <w:t>is includes but is not limited to:</w:t>
            </w:r>
          </w:p>
          <w:p w14:paraId="33E66C9C" w14:textId="77777777" w:rsidR="00000F3E" w:rsidRDefault="00000F3E" w:rsidP="00E667BB">
            <w:pPr>
              <w:pStyle w:val="NoSpacing"/>
              <w:jc w:val="both"/>
            </w:pPr>
          </w:p>
          <w:p w14:paraId="29E160C9" w14:textId="77777777" w:rsidR="004C390E" w:rsidRDefault="007E23AE" w:rsidP="00E667BB">
            <w:pPr>
              <w:pStyle w:val="NoSpacing"/>
              <w:numPr>
                <w:ilvl w:val="0"/>
                <w:numId w:val="14"/>
              </w:numPr>
              <w:jc w:val="both"/>
            </w:pPr>
            <w:r>
              <w:t>N</w:t>
            </w:r>
            <w:r w:rsidR="004C390E">
              <w:t>urses</w:t>
            </w:r>
          </w:p>
          <w:p w14:paraId="464AB6C4" w14:textId="77777777" w:rsidR="004C390E" w:rsidRDefault="004C390E" w:rsidP="00E667BB">
            <w:pPr>
              <w:pStyle w:val="NoSpacing"/>
              <w:numPr>
                <w:ilvl w:val="0"/>
                <w:numId w:val="14"/>
              </w:numPr>
              <w:jc w:val="both"/>
            </w:pPr>
            <w:r>
              <w:t xml:space="preserve">Community Therapies </w:t>
            </w:r>
            <w:r w:rsidR="001F0C4D">
              <w:t>(</w:t>
            </w:r>
            <w:r>
              <w:t xml:space="preserve">including Physiotherapists </w:t>
            </w:r>
            <w:r w:rsidR="00B95C08">
              <w:t xml:space="preserve">(Physios) </w:t>
            </w:r>
            <w:r>
              <w:t>and Occupational Therapists</w:t>
            </w:r>
            <w:r w:rsidR="00B95C08">
              <w:t xml:space="preserve"> (OTs)</w:t>
            </w:r>
            <w:r w:rsidR="001F0C4D">
              <w:t>)</w:t>
            </w:r>
          </w:p>
          <w:p w14:paraId="3B525C70" w14:textId="77777777" w:rsidR="00A174B5" w:rsidRDefault="00A174B5" w:rsidP="00E667BB">
            <w:pPr>
              <w:pStyle w:val="NoSpacing"/>
              <w:numPr>
                <w:ilvl w:val="0"/>
                <w:numId w:val="14"/>
              </w:numPr>
              <w:jc w:val="both"/>
            </w:pPr>
            <w:r>
              <w:t xml:space="preserve">Speech and Language Therapists </w:t>
            </w:r>
            <w:r w:rsidR="00B80771">
              <w:t xml:space="preserve">(SALT) </w:t>
            </w:r>
            <w:r>
              <w:t xml:space="preserve">and </w:t>
            </w:r>
            <w:r w:rsidR="007C014B">
              <w:t>Dietetics</w:t>
            </w:r>
          </w:p>
          <w:p w14:paraId="61B1095B" w14:textId="77777777" w:rsidR="004C390E" w:rsidRDefault="004C390E" w:rsidP="00E667BB">
            <w:pPr>
              <w:pStyle w:val="NoSpacing"/>
              <w:jc w:val="both"/>
            </w:pPr>
          </w:p>
          <w:p w14:paraId="5FC0CBA3" w14:textId="77777777" w:rsidR="0054419A" w:rsidRDefault="00130041" w:rsidP="00E667BB">
            <w:pPr>
              <w:pStyle w:val="NoSpacing"/>
              <w:jc w:val="both"/>
            </w:pPr>
            <w:r>
              <w:t xml:space="preserve">The </w:t>
            </w:r>
            <w:r w:rsidR="00525A09">
              <w:t xml:space="preserve">Provider will ensure </w:t>
            </w:r>
            <w:r w:rsidR="00D35CA4">
              <w:t xml:space="preserve">that </w:t>
            </w:r>
            <w:r w:rsidR="00237A26">
              <w:t xml:space="preserve">these </w:t>
            </w:r>
            <w:r w:rsidR="007C099B" w:rsidRPr="00FC449C">
              <w:t>multi</w:t>
            </w:r>
            <w:r w:rsidR="007C099B">
              <w:t>-</w:t>
            </w:r>
            <w:r w:rsidR="007C099B" w:rsidRPr="00FC449C">
              <w:t>skilled nurses and therapist</w:t>
            </w:r>
            <w:r w:rsidR="007C099B">
              <w:t xml:space="preserve">s </w:t>
            </w:r>
            <w:r w:rsidR="00AE2A26">
              <w:t xml:space="preserve">have a shared set of </w:t>
            </w:r>
            <w:r w:rsidR="002463A7">
              <w:t xml:space="preserve">generic </w:t>
            </w:r>
            <w:r w:rsidR="00AE2A26">
              <w:t xml:space="preserve">skills and </w:t>
            </w:r>
            <w:r w:rsidR="008C728B">
              <w:t xml:space="preserve">are able to treat </w:t>
            </w:r>
            <w:r w:rsidR="005D711A">
              <w:t xml:space="preserve">and provide basic education for </w:t>
            </w:r>
            <w:r w:rsidR="008C728B">
              <w:t xml:space="preserve">a range of </w:t>
            </w:r>
            <w:r w:rsidR="008A5EB5">
              <w:t>long</w:t>
            </w:r>
            <w:r w:rsidR="00237A26">
              <w:t>-</w:t>
            </w:r>
            <w:r w:rsidR="008A5EB5">
              <w:t xml:space="preserve">term </w:t>
            </w:r>
            <w:r w:rsidR="008C728B">
              <w:t xml:space="preserve">conditions including </w:t>
            </w:r>
            <w:r w:rsidR="008B6F40">
              <w:t xml:space="preserve">(but not </w:t>
            </w:r>
            <w:r w:rsidR="005048A5">
              <w:t>limited to</w:t>
            </w:r>
            <w:r w:rsidR="00D37500">
              <w:t xml:space="preserve">): </w:t>
            </w:r>
            <w:r w:rsidR="008A5EB5">
              <w:t xml:space="preserve">diabetes, </w:t>
            </w:r>
            <w:r w:rsidR="008C728B">
              <w:t>respiratory</w:t>
            </w:r>
            <w:r w:rsidR="00805DFB">
              <w:t>, continence, wound and tissue viability</w:t>
            </w:r>
            <w:r w:rsidR="008C728B">
              <w:t xml:space="preserve"> and cardiology</w:t>
            </w:r>
            <w:r w:rsidR="00921934">
              <w:t>.</w:t>
            </w:r>
            <w:r w:rsidR="00C3750A">
              <w:t xml:space="preserve">  </w:t>
            </w:r>
          </w:p>
          <w:p w14:paraId="0251156B" w14:textId="77777777" w:rsidR="0054419A" w:rsidRDefault="0054419A" w:rsidP="00E667BB">
            <w:pPr>
              <w:pStyle w:val="NoSpacing"/>
              <w:jc w:val="both"/>
            </w:pPr>
          </w:p>
          <w:p w14:paraId="7BAF5E3E" w14:textId="77777777" w:rsidR="00B04A23" w:rsidRDefault="00D568C3" w:rsidP="00E667BB">
            <w:pPr>
              <w:pStyle w:val="NoSpacing"/>
              <w:jc w:val="both"/>
            </w:pPr>
            <w:r>
              <w:t xml:space="preserve">Staff will be located </w:t>
            </w:r>
            <w:r w:rsidR="00057092">
              <w:t xml:space="preserve">in </w:t>
            </w:r>
            <w:r>
              <w:t xml:space="preserve">Community </w:t>
            </w:r>
            <w:r w:rsidR="00057092">
              <w:t xml:space="preserve">Locality Teams </w:t>
            </w:r>
            <w:r w:rsidR="00DF48D4">
              <w:t xml:space="preserve">(CLTs) </w:t>
            </w:r>
            <w:r w:rsidR="00057092">
              <w:t xml:space="preserve">and </w:t>
            </w:r>
            <w:r w:rsidR="000B127D">
              <w:t xml:space="preserve">will be </w:t>
            </w:r>
            <w:r w:rsidR="00057092">
              <w:t xml:space="preserve">based in each of the six Healthy Living Centres (HLCs). </w:t>
            </w:r>
            <w:r w:rsidR="008A5C75">
              <w:t xml:space="preserve"> </w:t>
            </w:r>
            <w:r w:rsidR="00B04A23">
              <w:t xml:space="preserve">The Provider will ensure that core generalist functions will be provided </w:t>
            </w:r>
            <w:r w:rsidR="00F10C2C">
              <w:t xml:space="preserve">either </w:t>
            </w:r>
            <w:r w:rsidR="005B7AA5">
              <w:t>in clinic location</w:t>
            </w:r>
            <w:r w:rsidR="00F10C2C">
              <w:t>s</w:t>
            </w:r>
            <w:r w:rsidR="005B7AA5">
              <w:t xml:space="preserve"> or if they meet the housebound criteria</w:t>
            </w:r>
            <w:r w:rsidR="00F10C2C">
              <w:t xml:space="preserve">, in the </w:t>
            </w:r>
            <w:r w:rsidR="00B04A23">
              <w:t xml:space="preserve">patient’s own home </w:t>
            </w:r>
            <w:r w:rsidR="00F10C2C">
              <w:t xml:space="preserve">including </w:t>
            </w:r>
            <w:r w:rsidR="005B7AA5">
              <w:t>care home</w:t>
            </w:r>
            <w:r w:rsidR="0054419A">
              <w:t xml:space="preserve"> </w:t>
            </w:r>
            <w:r w:rsidR="00B04A23">
              <w:t>or</w:t>
            </w:r>
            <w:r w:rsidR="00F10C2C">
              <w:t xml:space="preserve"> any other type of extra care housing</w:t>
            </w:r>
            <w:r w:rsidR="00B04A23">
              <w:t xml:space="preserve">. </w:t>
            </w:r>
          </w:p>
          <w:p w14:paraId="11BF6F75" w14:textId="77777777" w:rsidR="005E39F2" w:rsidRDefault="005E39F2" w:rsidP="00E667BB">
            <w:pPr>
              <w:pStyle w:val="NoSpacing"/>
              <w:jc w:val="both"/>
            </w:pPr>
          </w:p>
          <w:p w14:paraId="78239A84" w14:textId="77777777" w:rsidR="00000F3E" w:rsidRDefault="006831D0" w:rsidP="00713FB3">
            <w:pPr>
              <w:pStyle w:val="NoSpacing"/>
              <w:jc w:val="both"/>
            </w:pPr>
            <w:r>
              <w:t xml:space="preserve">The Provider will ensure that staff </w:t>
            </w:r>
            <w:r w:rsidR="005048A5">
              <w:t xml:space="preserve">providing </w:t>
            </w:r>
            <w:r>
              <w:t xml:space="preserve">core generalist </w:t>
            </w:r>
            <w:r w:rsidR="009A52E9">
              <w:t xml:space="preserve">functions are supported by smaller teams of specialists </w:t>
            </w:r>
            <w:r w:rsidR="002E45AD">
              <w:t>(as described in the specialist service specification</w:t>
            </w:r>
            <w:r w:rsidR="001F5B98">
              <w:t xml:space="preserve"> – Part 3</w:t>
            </w:r>
            <w:r w:rsidR="002E45AD">
              <w:t xml:space="preserve">) </w:t>
            </w:r>
            <w:r w:rsidR="002463A7">
              <w:t>and are able to access responsive a</w:t>
            </w:r>
            <w:r w:rsidR="001B4925">
              <w:t>dvice and support when required</w:t>
            </w:r>
            <w:r w:rsidR="00281E0E">
              <w:t xml:space="preserve">.  The specialist support function will also provide regular education and training </w:t>
            </w:r>
            <w:r w:rsidR="00BF7440">
              <w:t xml:space="preserve">sessions for the staff within the core generalist functions, </w:t>
            </w:r>
            <w:r w:rsidR="00A7118B">
              <w:t xml:space="preserve">to develop their competencies and enable </w:t>
            </w:r>
            <w:r w:rsidR="00BF7440">
              <w:t xml:space="preserve">them </w:t>
            </w:r>
            <w:r w:rsidR="001B4925">
              <w:t xml:space="preserve">to manage </w:t>
            </w:r>
            <w:r w:rsidR="003D5E4E">
              <w:t xml:space="preserve">patients with </w:t>
            </w:r>
            <w:r w:rsidR="002463A7">
              <w:t>more complex conditions</w:t>
            </w:r>
            <w:r w:rsidR="00355815">
              <w:t>.</w:t>
            </w:r>
            <w:r w:rsidR="00B04A23">
              <w:t xml:space="preserve">  </w:t>
            </w:r>
          </w:p>
          <w:p w14:paraId="08EBB0F1" w14:textId="77777777" w:rsidR="00713FB3" w:rsidRDefault="00713FB3" w:rsidP="00713FB3">
            <w:pPr>
              <w:pStyle w:val="NoSpacing"/>
              <w:jc w:val="both"/>
            </w:pPr>
          </w:p>
          <w:p w14:paraId="54EFD21C" w14:textId="77777777" w:rsidR="00B04A23" w:rsidRDefault="003D5E4E" w:rsidP="00E667BB">
            <w:pPr>
              <w:pStyle w:val="NoSpacing"/>
              <w:jc w:val="both"/>
            </w:pPr>
            <w:r>
              <w:lastRenderedPageBreak/>
              <w:t xml:space="preserve">Staff </w:t>
            </w:r>
            <w:r w:rsidR="00B04A23">
              <w:t xml:space="preserve">from the core generalist functions will also be expected to </w:t>
            </w:r>
            <w:r w:rsidR="00890163">
              <w:t xml:space="preserve">work </w:t>
            </w:r>
            <w:r w:rsidR="00B04A23">
              <w:t xml:space="preserve">with other professionals and key services </w:t>
            </w:r>
            <w:r w:rsidR="00B2494D">
              <w:t xml:space="preserve">to ensure better co-ordinated care, </w:t>
            </w:r>
            <w:r w:rsidR="00B04A23">
              <w:t>including</w:t>
            </w:r>
            <w:r w:rsidR="00D37500">
              <w:t xml:space="preserve"> (but not limited to)</w:t>
            </w:r>
            <w:r w:rsidR="00B04A23">
              <w:t>:</w:t>
            </w:r>
          </w:p>
          <w:p w14:paraId="0F5C5DBB" w14:textId="77777777" w:rsidR="00000F3E" w:rsidRDefault="00000F3E" w:rsidP="00E667BB">
            <w:pPr>
              <w:pStyle w:val="NoSpacing"/>
              <w:jc w:val="both"/>
            </w:pPr>
          </w:p>
          <w:p w14:paraId="65849570" w14:textId="77777777" w:rsidR="00B04A23" w:rsidRDefault="00B04A23" w:rsidP="00E667BB">
            <w:pPr>
              <w:pStyle w:val="NoSpacing"/>
              <w:numPr>
                <w:ilvl w:val="0"/>
                <w:numId w:val="16"/>
              </w:numPr>
              <w:tabs>
                <w:tab w:val="left" w:pos="318"/>
              </w:tabs>
              <w:ind w:left="318" w:hanging="284"/>
              <w:jc w:val="both"/>
            </w:pPr>
            <w:r>
              <w:t>Primary care</w:t>
            </w:r>
            <w:r w:rsidR="00B2494D">
              <w:t xml:space="preserve"> teams</w:t>
            </w:r>
          </w:p>
          <w:p w14:paraId="2A65E6F8" w14:textId="77777777" w:rsidR="00B04A23" w:rsidRDefault="00B04A23" w:rsidP="00E667BB">
            <w:pPr>
              <w:pStyle w:val="NoSpacing"/>
              <w:numPr>
                <w:ilvl w:val="0"/>
                <w:numId w:val="16"/>
              </w:numPr>
              <w:tabs>
                <w:tab w:val="left" w:pos="318"/>
              </w:tabs>
              <w:ind w:left="318" w:hanging="284"/>
              <w:jc w:val="both"/>
            </w:pPr>
            <w:r>
              <w:t>Social care teams</w:t>
            </w:r>
          </w:p>
          <w:p w14:paraId="225A868C" w14:textId="77777777" w:rsidR="00B04A23" w:rsidRDefault="00B04A23" w:rsidP="00E667BB">
            <w:pPr>
              <w:pStyle w:val="NoSpacing"/>
              <w:numPr>
                <w:ilvl w:val="0"/>
                <w:numId w:val="16"/>
              </w:numPr>
              <w:tabs>
                <w:tab w:val="left" w:pos="318"/>
              </w:tabs>
              <w:ind w:left="318" w:hanging="284"/>
              <w:jc w:val="both"/>
            </w:pPr>
            <w:r>
              <w:t xml:space="preserve">Voluntary </w:t>
            </w:r>
            <w:r w:rsidR="004B50C6">
              <w:t xml:space="preserve">/Third </w:t>
            </w:r>
            <w:r>
              <w:t>sector</w:t>
            </w:r>
          </w:p>
          <w:p w14:paraId="05E86328" w14:textId="77777777" w:rsidR="002B0DC6" w:rsidRDefault="00B2494D" w:rsidP="00E667BB">
            <w:pPr>
              <w:pStyle w:val="NoSpacing"/>
              <w:numPr>
                <w:ilvl w:val="0"/>
                <w:numId w:val="15"/>
              </w:numPr>
              <w:tabs>
                <w:tab w:val="left" w:pos="318"/>
              </w:tabs>
              <w:ind w:hanging="686"/>
              <w:jc w:val="both"/>
            </w:pPr>
            <w:r>
              <w:t>Mental health teams</w:t>
            </w:r>
          </w:p>
          <w:p w14:paraId="3F30B525" w14:textId="77777777" w:rsidR="00B20F5A" w:rsidRDefault="007C4FE7" w:rsidP="00E667BB">
            <w:pPr>
              <w:pStyle w:val="NoSpacing"/>
              <w:numPr>
                <w:ilvl w:val="0"/>
                <w:numId w:val="15"/>
              </w:numPr>
              <w:tabs>
                <w:tab w:val="left" w:pos="318"/>
              </w:tabs>
              <w:ind w:hanging="686"/>
              <w:jc w:val="both"/>
            </w:pPr>
            <w:r>
              <w:t>Hospital specialists</w:t>
            </w:r>
          </w:p>
          <w:p w14:paraId="4AA22E73" w14:textId="77777777" w:rsidR="0044194B" w:rsidRDefault="0044194B" w:rsidP="00E667BB">
            <w:pPr>
              <w:pStyle w:val="NoSpacing"/>
              <w:numPr>
                <w:ilvl w:val="0"/>
                <w:numId w:val="15"/>
              </w:numPr>
              <w:tabs>
                <w:tab w:val="left" w:pos="318"/>
              </w:tabs>
              <w:ind w:hanging="686"/>
              <w:jc w:val="both"/>
            </w:pPr>
            <w:r>
              <w:t>Pharmacy services</w:t>
            </w:r>
          </w:p>
          <w:p w14:paraId="4ADCBBBB" w14:textId="77777777" w:rsidR="00720DBE" w:rsidRDefault="00720DBE" w:rsidP="00E667BB">
            <w:pPr>
              <w:pStyle w:val="NoSpacing"/>
              <w:numPr>
                <w:ilvl w:val="0"/>
                <w:numId w:val="15"/>
              </w:numPr>
              <w:tabs>
                <w:tab w:val="left" w:pos="318"/>
              </w:tabs>
              <w:ind w:hanging="686"/>
              <w:jc w:val="both"/>
            </w:pPr>
            <w:r>
              <w:t>Public health and health improvement services</w:t>
            </w:r>
          </w:p>
          <w:p w14:paraId="111AD97E" w14:textId="77777777" w:rsidR="00720DBE" w:rsidRDefault="00720DBE" w:rsidP="00720DBE">
            <w:pPr>
              <w:pStyle w:val="NoSpacing"/>
              <w:tabs>
                <w:tab w:val="left" w:pos="318"/>
              </w:tabs>
              <w:ind w:left="720"/>
              <w:jc w:val="both"/>
            </w:pPr>
          </w:p>
          <w:p w14:paraId="4E16611B" w14:textId="77777777" w:rsidR="001D0D5F" w:rsidRPr="00297F5A" w:rsidRDefault="001D0D5F" w:rsidP="00E667BB">
            <w:pPr>
              <w:pStyle w:val="NoSpacing"/>
              <w:tabs>
                <w:tab w:val="left" w:pos="318"/>
              </w:tabs>
              <w:ind w:left="34"/>
              <w:jc w:val="both"/>
              <w:rPr>
                <w:b/>
              </w:rPr>
            </w:pPr>
            <w:r w:rsidRPr="00297F5A">
              <w:rPr>
                <w:b/>
              </w:rPr>
              <w:t>2.1.1 Aims and Objectives</w:t>
            </w:r>
          </w:p>
          <w:p w14:paraId="4B983AB3" w14:textId="77777777" w:rsidR="001D0D5F" w:rsidRDefault="001D0D5F" w:rsidP="00E667BB">
            <w:pPr>
              <w:pStyle w:val="NoSpacing"/>
              <w:tabs>
                <w:tab w:val="left" w:pos="318"/>
              </w:tabs>
              <w:ind w:left="34"/>
              <w:jc w:val="both"/>
            </w:pPr>
            <w:r>
              <w:t xml:space="preserve">The core generalist functions will provide the vast majority of community service contacts across a wide range of professional disciplines. The main objectives </w:t>
            </w:r>
            <w:r w:rsidR="005A245D">
              <w:t xml:space="preserve">of the core generalist functions </w:t>
            </w:r>
            <w:r>
              <w:t>are to:</w:t>
            </w:r>
          </w:p>
          <w:p w14:paraId="2A10C277" w14:textId="77777777" w:rsidR="00F168EF" w:rsidRDefault="00F168EF" w:rsidP="00E667BB">
            <w:pPr>
              <w:pStyle w:val="NoSpacing"/>
              <w:tabs>
                <w:tab w:val="left" w:pos="318"/>
              </w:tabs>
              <w:ind w:left="34"/>
              <w:jc w:val="both"/>
            </w:pPr>
          </w:p>
          <w:p w14:paraId="6001161C" w14:textId="77777777" w:rsidR="001D0D5F" w:rsidRDefault="001D0D5F" w:rsidP="00E667BB">
            <w:pPr>
              <w:pStyle w:val="NoSpacing"/>
              <w:numPr>
                <w:ilvl w:val="0"/>
                <w:numId w:val="17"/>
              </w:numPr>
              <w:tabs>
                <w:tab w:val="left" w:pos="318"/>
              </w:tabs>
              <w:ind w:left="601" w:hanging="567"/>
              <w:jc w:val="both"/>
            </w:pPr>
            <w:r>
              <w:t>Provide safe, high quality evidence based care to patients.</w:t>
            </w:r>
          </w:p>
          <w:p w14:paraId="24BA29EF" w14:textId="77777777" w:rsidR="001D0D5F" w:rsidRDefault="001D0D5F" w:rsidP="00E667BB">
            <w:pPr>
              <w:pStyle w:val="NoSpacing"/>
              <w:numPr>
                <w:ilvl w:val="0"/>
                <w:numId w:val="17"/>
              </w:numPr>
              <w:tabs>
                <w:tab w:val="left" w:pos="318"/>
              </w:tabs>
              <w:ind w:left="318" w:hanging="284"/>
              <w:jc w:val="both"/>
            </w:pPr>
            <w:r>
              <w:t>Assess health care needs and develop</w:t>
            </w:r>
            <w:r w:rsidR="004A5736">
              <w:t xml:space="preserve">/contribute to </w:t>
            </w:r>
            <w:r>
              <w:t>Integrated Management Plans (IMPs) in partnership with the patient, and their family/carers (and other external organisations, as required) to meet their needs.</w:t>
            </w:r>
          </w:p>
          <w:p w14:paraId="14E76FAC" w14:textId="77777777" w:rsidR="001D0D5F" w:rsidRDefault="001D0D5F" w:rsidP="00E667BB">
            <w:pPr>
              <w:pStyle w:val="NoSpacing"/>
              <w:numPr>
                <w:ilvl w:val="0"/>
                <w:numId w:val="17"/>
              </w:numPr>
              <w:tabs>
                <w:tab w:val="left" w:pos="318"/>
              </w:tabs>
              <w:ind w:left="601" w:hanging="567"/>
              <w:jc w:val="both"/>
            </w:pPr>
            <w:r>
              <w:t>Promote the patient’s understanding of their healthcare problems</w:t>
            </w:r>
            <w:r w:rsidR="007E3916">
              <w:t>.</w:t>
            </w:r>
          </w:p>
          <w:p w14:paraId="0DB3D5A8" w14:textId="77777777" w:rsidR="001D0D5F" w:rsidRDefault="001D0D5F" w:rsidP="00E667BB">
            <w:pPr>
              <w:pStyle w:val="NoSpacing"/>
              <w:numPr>
                <w:ilvl w:val="0"/>
                <w:numId w:val="17"/>
              </w:numPr>
              <w:tabs>
                <w:tab w:val="left" w:pos="318"/>
              </w:tabs>
              <w:ind w:left="318" w:hanging="284"/>
              <w:jc w:val="both"/>
            </w:pPr>
            <w:r>
              <w:t xml:space="preserve">Promote and educate patients to contribute to reducing their healthcare problems and minimise any re-occurrence or exacerbation. </w:t>
            </w:r>
          </w:p>
          <w:p w14:paraId="47183C0A" w14:textId="77777777" w:rsidR="001D0D5F" w:rsidRDefault="001D0D5F" w:rsidP="00E667BB">
            <w:pPr>
              <w:pStyle w:val="NoSpacing"/>
              <w:numPr>
                <w:ilvl w:val="0"/>
                <w:numId w:val="17"/>
              </w:numPr>
              <w:tabs>
                <w:tab w:val="left" w:pos="318"/>
              </w:tabs>
              <w:ind w:left="318" w:hanging="284"/>
              <w:jc w:val="both"/>
            </w:pPr>
            <w:r>
              <w:t>Promote the patient’s ownership of their treatment or management plan and e</w:t>
            </w:r>
            <w:r w:rsidR="00E43372">
              <w:t>nsure this is reviewed on a</w:t>
            </w:r>
            <w:r>
              <w:t xml:space="preserve"> regular basis.</w:t>
            </w:r>
          </w:p>
          <w:p w14:paraId="07C41358" w14:textId="77777777" w:rsidR="001D0D5F" w:rsidRDefault="001D0D5F" w:rsidP="005E42B3">
            <w:pPr>
              <w:pStyle w:val="NoSpacing"/>
              <w:numPr>
                <w:ilvl w:val="0"/>
                <w:numId w:val="17"/>
              </w:numPr>
              <w:tabs>
                <w:tab w:val="left" w:pos="318"/>
              </w:tabs>
              <w:ind w:left="318" w:hanging="284"/>
              <w:jc w:val="both"/>
            </w:pPr>
            <w:r>
              <w:t>Optimise patient’s independence and wellbeing</w:t>
            </w:r>
            <w:r w:rsidR="00720DBE">
              <w:t>, including undertaking brief advice, signposting and referral about behaviour changes a patient can make to improve their health and where they can get further support with this</w:t>
            </w:r>
            <w:r w:rsidR="00F92C23">
              <w:t>.</w:t>
            </w:r>
          </w:p>
          <w:p w14:paraId="0826C3EE" w14:textId="77777777" w:rsidR="004A5736" w:rsidRDefault="004A5736" w:rsidP="00E667BB">
            <w:pPr>
              <w:pStyle w:val="NoSpacing"/>
              <w:numPr>
                <w:ilvl w:val="0"/>
                <w:numId w:val="17"/>
              </w:numPr>
              <w:tabs>
                <w:tab w:val="left" w:pos="318"/>
              </w:tabs>
              <w:ind w:left="601" w:hanging="567"/>
              <w:jc w:val="both"/>
            </w:pPr>
            <w:r>
              <w:t xml:space="preserve">Ensure the maintenance and stability of conditions in the community in order to avoid hospital admissions.  </w:t>
            </w:r>
          </w:p>
          <w:p w14:paraId="52373456" w14:textId="77777777" w:rsidR="001D0D5F" w:rsidRPr="00FD5CE9" w:rsidRDefault="000913D6" w:rsidP="00E667BB">
            <w:pPr>
              <w:pStyle w:val="NoSpacing"/>
              <w:tabs>
                <w:tab w:val="left" w:pos="318"/>
              </w:tabs>
              <w:ind w:left="34" w:hanging="567"/>
              <w:jc w:val="both"/>
            </w:pPr>
            <w:r>
              <w:t xml:space="preserve"> </w:t>
            </w:r>
          </w:p>
        </w:tc>
      </w:tr>
    </w:tbl>
    <w:tbl>
      <w:tblPr>
        <w:tblStyle w:val="TableGrid1"/>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516"/>
        <w:gridCol w:w="9690"/>
      </w:tblGrid>
      <w:tr w:rsidR="001D0D5F" w:rsidRPr="00B4296A" w14:paraId="56AC5BAF" w14:textId="77777777" w:rsidTr="00C711CC">
        <w:trPr>
          <w:trHeight w:val="361"/>
        </w:trPr>
        <w:tc>
          <w:tcPr>
            <w:tcW w:w="516" w:type="dxa"/>
            <w:shd w:val="clear" w:color="auto" w:fill="BFBFBF" w:themeFill="background1" w:themeFillShade="BF"/>
          </w:tcPr>
          <w:p w14:paraId="621EFE2F" w14:textId="77777777" w:rsidR="001D0D5F" w:rsidRPr="00B4296A" w:rsidRDefault="001D0D5F" w:rsidP="00C711CC">
            <w:pPr>
              <w:rPr>
                <w:b/>
              </w:rPr>
            </w:pPr>
            <w:r w:rsidRPr="00B4296A">
              <w:rPr>
                <w:b/>
              </w:rPr>
              <w:lastRenderedPageBreak/>
              <w:t>3</w:t>
            </w:r>
          </w:p>
        </w:tc>
        <w:tc>
          <w:tcPr>
            <w:tcW w:w="9690" w:type="dxa"/>
            <w:shd w:val="clear" w:color="auto" w:fill="BFBFBF" w:themeFill="background1" w:themeFillShade="BF"/>
          </w:tcPr>
          <w:p w14:paraId="5A0A42AA" w14:textId="77777777" w:rsidR="001D0D5F" w:rsidRPr="00B4296A" w:rsidRDefault="00297F5A" w:rsidP="00C711CC">
            <w:pPr>
              <w:rPr>
                <w:b/>
              </w:rPr>
            </w:pPr>
            <w:r>
              <w:rPr>
                <w:b/>
              </w:rPr>
              <w:t xml:space="preserve">Core </w:t>
            </w:r>
            <w:r w:rsidR="001D0D5F" w:rsidRPr="00B4296A">
              <w:rPr>
                <w:b/>
              </w:rPr>
              <w:t>Function</w:t>
            </w:r>
            <w:r>
              <w:rPr>
                <w:b/>
              </w:rPr>
              <w:t>s</w:t>
            </w:r>
          </w:p>
        </w:tc>
      </w:tr>
      <w:tr w:rsidR="007A53DF" w:rsidRPr="00AA3128" w14:paraId="31502DB6" w14:textId="77777777" w:rsidTr="00C711CC">
        <w:trPr>
          <w:trHeight w:val="361"/>
        </w:trPr>
        <w:tc>
          <w:tcPr>
            <w:tcW w:w="516" w:type="dxa"/>
            <w:shd w:val="clear" w:color="auto" w:fill="BFBFBF" w:themeFill="background1" w:themeFillShade="BF"/>
          </w:tcPr>
          <w:p w14:paraId="2D461FF1" w14:textId="77777777" w:rsidR="007A53DF" w:rsidRDefault="007A53DF" w:rsidP="00C711CC">
            <w:r>
              <w:t>3.1</w:t>
            </w:r>
          </w:p>
        </w:tc>
        <w:tc>
          <w:tcPr>
            <w:tcW w:w="9690" w:type="dxa"/>
            <w:shd w:val="clear" w:color="auto" w:fill="BFBFBF" w:themeFill="background1" w:themeFillShade="BF"/>
          </w:tcPr>
          <w:p w14:paraId="76443272" w14:textId="77777777" w:rsidR="007A53DF" w:rsidRPr="00060C0C" w:rsidRDefault="009C6714" w:rsidP="0048214F">
            <w:r>
              <w:t>Functions</w:t>
            </w:r>
            <w:r w:rsidR="00D44AF1">
              <w:t xml:space="preserve"> –</w:t>
            </w:r>
            <w:r w:rsidR="007C014B">
              <w:t xml:space="preserve"> </w:t>
            </w:r>
            <w:r w:rsidR="0048214F">
              <w:t>n</w:t>
            </w:r>
            <w:r w:rsidR="007C014B">
              <w:t xml:space="preserve">ursing, </w:t>
            </w:r>
            <w:r w:rsidR="0048214F">
              <w:t>t</w:t>
            </w:r>
            <w:r w:rsidR="00D44AF1">
              <w:t>herapies</w:t>
            </w:r>
            <w:r w:rsidR="007C014B">
              <w:t xml:space="preserve">, </w:t>
            </w:r>
            <w:r w:rsidR="0048214F">
              <w:t>s</w:t>
            </w:r>
            <w:r w:rsidR="007C014B">
              <w:t xml:space="preserve">peech and </w:t>
            </w:r>
            <w:r w:rsidR="0048214F">
              <w:t>l</w:t>
            </w:r>
            <w:r w:rsidR="007C014B">
              <w:t xml:space="preserve">anguage and </w:t>
            </w:r>
            <w:r w:rsidR="0048214F">
              <w:t>d</w:t>
            </w:r>
            <w:r w:rsidR="007C014B">
              <w:t>ietetics</w:t>
            </w:r>
          </w:p>
        </w:tc>
      </w:tr>
      <w:tr w:rsidR="00A405F0" w:rsidRPr="00AA3128" w14:paraId="69A680D3" w14:textId="77777777" w:rsidTr="00A311D4">
        <w:trPr>
          <w:trHeight w:val="361"/>
        </w:trPr>
        <w:tc>
          <w:tcPr>
            <w:tcW w:w="10206" w:type="dxa"/>
            <w:gridSpan w:val="2"/>
            <w:shd w:val="clear" w:color="auto" w:fill="FFFFFF" w:themeFill="background1"/>
          </w:tcPr>
          <w:p w14:paraId="6BF660FA" w14:textId="77777777" w:rsidR="007C7F93" w:rsidRPr="007C7F93" w:rsidRDefault="007C7F93" w:rsidP="00EF711C">
            <w:pPr>
              <w:jc w:val="both"/>
              <w:rPr>
                <w:b/>
              </w:rPr>
            </w:pPr>
            <w:r w:rsidRPr="007C7F93">
              <w:rPr>
                <w:b/>
              </w:rPr>
              <w:t>Nursing Functions</w:t>
            </w:r>
          </w:p>
          <w:p w14:paraId="65F34A0F" w14:textId="77777777" w:rsidR="009F0982" w:rsidRDefault="007C7F93" w:rsidP="00EF711C">
            <w:pPr>
              <w:jc w:val="both"/>
            </w:pPr>
            <w:r>
              <w:t>The Provider will ensure the provision of a comprehensive, generic nursing response that is timely, e</w:t>
            </w:r>
            <w:r w:rsidRPr="00577C8F">
              <w:t xml:space="preserve">ffective </w:t>
            </w:r>
            <w:r>
              <w:t xml:space="preserve">and safe.   </w:t>
            </w:r>
            <w:r w:rsidR="004F245B">
              <w:t xml:space="preserve">Staff within the </w:t>
            </w:r>
            <w:r>
              <w:t xml:space="preserve">nursing functions </w:t>
            </w:r>
            <w:r w:rsidR="00B965AA">
              <w:t>will</w:t>
            </w:r>
            <w:r w:rsidR="009F0982">
              <w:t>:</w:t>
            </w:r>
          </w:p>
          <w:p w14:paraId="416D0960" w14:textId="77777777" w:rsidR="00000F3E" w:rsidRDefault="00000F3E" w:rsidP="00EF711C">
            <w:pPr>
              <w:jc w:val="both"/>
            </w:pPr>
          </w:p>
          <w:p w14:paraId="0F0D7F3F" w14:textId="77777777" w:rsidR="00606F23" w:rsidRDefault="009F0982" w:rsidP="00EF711C">
            <w:pPr>
              <w:pStyle w:val="ListParagraph"/>
              <w:numPr>
                <w:ilvl w:val="0"/>
                <w:numId w:val="20"/>
              </w:numPr>
              <w:ind w:left="318" w:hanging="284"/>
              <w:jc w:val="both"/>
            </w:pPr>
            <w:r>
              <w:t>B</w:t>
            </w:r>
            <w:r w:rsidR="00B965AA">
              <w:t>e expected to have a multitude of core skills</w:t>
            </w:r>
            <w:r>
              <w:t xml:space="preserve">, </w:t>
            </w:r>
            <w:r w:rsidR="00B965AA">
              <w:t xml:space="preserve">knowledge </w:t>
            </w:r>
            <w:r>
              <w:t xml:space="preserve">and competencies </w:t>
            </w:r>
            <w:r w:rsidR="00687603">
              <w:t xml:space="preserve">to </w:t>
            </w:r>
            <w:r w:rsidR="00B965AA">
              <w:t>assess</w:t>
            </w:r>
            <w:r w:rsidR="00C2446F">
              <w:t xml:space="preserve"> </w:t>
            </w:r>
            <w:r w:rsidR="00D07E4C">
              <w:t>and manag</w:t>
            </w:r>
            <w:r w:rsidR="00687603">
              <w:t>e</w:t>
            </w:r>
            <w:r w:rsidR="00D07E4C">
              <w:t xml:space="preserve"> patient care; </w:t>
            </w:r>
            <w:r w:rsidR="007C7F93">
              <w:t xml:space="preserve">this will include </w:t>
            </w:r>
            <w:r w:rsidR="00A21AAD">
              <w:t xml:space="preserve">(but not be limited to): </w:t>
            </w:r>
            <w:r w:rsidR="00D947D2">
              <w:t xml:space="preserve">supporting patients who may have a range of health and care needs ranging from simple </w:t>
            </w:r>
            <w:r w:rsidR="007203E2">
              <w:t>functions</w:t>
            </w:r>
            <w:r w:rsidR="00D947D2">
              <w:t xml:space="preserve"> </w:t>
            </w:r>
            <w:r w:rsidR="00D41CCC">
              <w:t xml:space="preserve">i.e. </w:t>
            </w:r>
            <w:r w:rsidR="007203E2">
              <w:t>phlebotomy</w:t>
            </w:r>
            <w:r w:rsidR="00D41CCC">
              <w:t xml:space="preserve"> </w:t>
            </w:r>
            <w:r w:rsidR="00D947D2">
              <w:t xml:space="preserve">to more complex interventions </w:t>
            </w:r>
            <w:r w:rsidR="002E37E2">
              <w:t xml:space="preserve">such as </w:t>
            </w:r>
            <w:r w:rsidR="00A21AAD">
              <w:t xml:space="preserve">wound and leg ulcer care, end of life care, </w:t>
            </w:r>
            <w:r w:rsidR="002E37E2">
              <w:t xml:space="preserve">and </w:t>
            </w:r>
            <w:r>
              <w:t xml:space="preserve">insertion and administration of intravenous medication. </w:t>
            </w:r>
          </w:p>
          <w:p w14:paraId="13D73F6C" w14:textId="77777777" w:rsidR="009F0982" w:rsidRDefault="009F0982" w:rsidP="00EF711C">
            <w:pPr>
              <w:pStyle w:val="ListParagraph"/>
              <w:numPr>
                <w:ilvl w:val="0"/>
                <w:numId w:val="20"/>
              </w:numPr>
              <w:ind w:left="318" w:hanging="284"/>
              <w:jc w:val="both"/>
            </w:pPr>
            <w:r>
              <w:t>Be skilled at proactive and anticipatory care, and supporting patients and their family/carers to recognise and manage changes in their condition</w:t>
            </w:r>
            <w:r w:rsidR="006E2C2E">
              <w:t>, and having conversations about health improvement.</w:t>
            </w:r>
          </w:p>
          <w:p w14:paraId="43A8DA2A" w14:textId="77777777" w:rsidR="006B510E" w:rsidRDefault="009F0982" w:rsidP="00EF711C">
            <w:pPr>
              <w:pStyle w:val="ListParagraph"/>
              <w:numPr>
                <w:ilvl w:val="0"/>
                <w:numId w:val="20"/>
              </w:numPr>
              <w:ind w:left="318" w:hanging="284"/>
              <w:jc w:val="both"/>
            </w:pPr>
            <w:r>
              <w:t xml:space="preserve">Through a continuous programme of learning and development, acquire additional generalist skills to be able to respond to and support patients with a number of long term conditions, rather than being able to support patients with single health conditions.  </w:t>
            </w:r>
          </w:p>
          <w:p w14:paraId="3FC6657C" w14:textId="77777777" w:rsidR="009F0982" w:rsidRDefault="009F0982" w:rsidP="00EF711C">
            <w:pPr>
              <w:pStyle w:val="ListParagraph"/>
              <w:numPr>
                <w:ilvl w:val="0"/>
                <w:numId w:val="20"/>
              </w:numPr>
              <w:ind w:left="318" w:hanging="284"/>
              <w:jc w:val="both"/>
            </w:pPr>
            <w:r>
              <w:t>Offer care that is holistic, focusing on self-care, prevention and behaviour change; rather than just focusing on task orientated functions.</w:t>
            </w:r>
            <w:r w:rsidR="00C67A90">
              <w:t xml:space="preserve"> Thi</w:t>
            </w:r>
            <w:r w:rsidR="00BC60FE">
              <w:t xml:space="preserve">s will include signposting/referring to health improvement services for further support </w:t>
            </w:r>
            <w:r w:rsidR="00BD4607">
              <w:t xml:space="preserve">to </w:t>
            </w:r>
            <w:r w:rsidR="00BC60FE">
              <w:t>chang</w:t>
            </w:r>
            <w:r w:rsidR="00BD4607">
              <w:t>e</w:t>
            </w:r>
            <w:r w:rsidR="00BC60FE">
              <w:t xml:space="preserve"> behaviour.</w:t>
            </w:r>
          </w:p>
          <w:p w14:paraId="393012ED" w14:textId="77777777" w:rsidR="009F0982" w:rsidRDefault="009F0982" w:rsidP="00EF711C">
            <w:pPr>
              <w:pStyle w:val="ListParagraph"/>
              <w:numPr>
                <w:ilvl w:val="0"/>
                <w:numId w:val="20"/>
              </w:numPr>
              <w:ind w:left="318" w:hanging="284"/>
              <w:jc w:val="both"/>
            </w:pPr>
            <w:r>
              <w:t>W</w:t>
            </w:r>
            <w:r w:rsidRPr="009F0982">
              <w:t>ork closely with primary care professionals and the rehabilitation and th</w:t>
            </w:r>
            <w:r w:rsidR="00D41CCC">
              <w:t>erapy functions within the CLTs; seeking advice and guidance from the specialist support function for the most complex patients.</w:t>
            </w:r>
          </w:p>
          <w:p w14:paraId="0452CF84" w14:textId="77777777" w:rsidR="00EE64AD" w:rsidRDefault="00A3523D" w:rsidP="00EF711C">
            <w:pPr>
              <w:pStyle w:val="ListParagraph"/>
              <w:numPr>
                <w:ilvl w:val="0"/>
                <w:numId w:val="20"/>
              </w:numPr>
              <w:ind w:left="318" w:hanging="284"/>
              <w:jc w:val="both"/>
            </w:pPr>
            <w:r>
              <w:t>P</w:t>
            </w:r>
            <w:r w:rsidR="00EE64AD">
              <w:t xml:space="preserve">resent patients at Integrated Locality Reviews </w:t>
            </w:r>
            <w:r w:rsidR="00762A82">
              <w:t xml:space="preserve">(ILRs) </w:t>
            </w:r>
            <w:r w:rsidR="00EE64AD">
              <w:t>as and when required</w:t>
            </w:r>
            <w:r>
              <w:t xml:space="preserve">, and ensure all actions are </w:t>
            </w:r>
            <w:r>
              <w:lastRenderedPageBreak/>
              <w:t>followed up and reported on</w:t>
            </w:r>
            <w:r w:rsidR="00EE64AD">
              <w:t>.</w:t>
            </w:r>
          </w:p>
          <w:p w14:paraId="77EF9E04" w14:textId="77777777" w:rsidR="00C205DA" w:rsidRDefault="00C205DA" w:rsidP="00EF711C">
            <w:pPr>
              <w:pStyle w:val="ListParagraph"/>
              <w:numPr>
                <w:ilvl w:val="0"/>
                <w:numId w:val="20"/>
              </w:numPr>
              <w:ind w:left="318" w:hanging="284"/>
              <w:jc w:val="both"/>
            </w:pPr>
            <w:r>
              <w:t>Contribute to holistic management plans as required.</w:t>
            </w:r>
          </w:p>
          <w:p w14:paraId="3E8DFFF5" w14:textId="77777777" w:rsidR="006D1376" w:rsidRDefault="006D1376" w:rsidP="00EF711C">
            <w:pPr>
              <w:pStyle w:val="ListParagraph"/>
              <w:numPr>
                <w:ilvl w:val="0"/>
                <w:numId w:val="20"/>
              </w:numPr>
              <w:ind w:left="318" w:hanging="284"/>
              <w:jc w:val="both"/>
            </w:pPr>
            <w:r>
              <w:t>Support the urgent response function as required.</w:t>
            </w:r>
          </w:p>
          <w:p w14:paraId="68A12142" w14:textId="77777777" w:rsidR="00A80B0A" w:rsidRDefault="00A016CF" w:rsidP="00EF711C">
            <w:pPr>
              <w:pStyle w:val="ListParagraph"/>
              <w:numPr>
                <w:ilvl w:val="0"/>
                <w:numId w:val="20"/>
              </w:numPr>
              <w:ind w:left="318" w:hanging="284"/>
              <w:jc w:val="both"/>
            </w:pPr>
            <w:r>
              <w:t>W</w:t>
            </w:r>
            <w:r w:rsidR="00A80B0A">
              <w:t>ork in partnership with professionals from external organisations</w:t>
            </w:r>
            <w:r w:rsidR="00D41CCC">
              <w:t xml:space="preserve"> to ensure more joined up working and less duplication of provision.</w:t>
            </w:r>
          </w:p>
          <w:p w14:paraId="0885D738" w14:textId="77777777" w:rsidR="00A80B0A" w:rsidRDefault="006E4856" w:rsidP="00EF711C">
            <w:pPr>
              <w:pStyle w:val="ListParagraph"/>
              <w:numPr>
                <w:ilvl w:val="0"/>
                <w:numId w:val="20"/>
              </w:numPr>
              <w:ind w:left="318" w:hanging="284"/>
              <w:jc w:val="both"/>
            </w:pPr>
            <w:r>
              <w:t>W</w:t>
            </w:r>
            <w:r w:rsidR="007B6553">
              <w:t>ork with carers and family member</w:t>
            </w:r>
            <w:r w:rsidR="00897D9D">
              <w:t xml:space="preserve">s to support them </w:t>
            </w:r>
            <w:r>
              <w:t xml:space="preserve">and provide advice to them </w:t>
            </w:r>
            <w:r w:rsidR="00897D9D">
              <w:t xml:space="preserve">in their </w:t>
            </w:r>
            <w:r w:rsidR="00D41CCC">
              <w:t xml:space="preserve">caring </w:t>
            </w:r>
            <w:r w:rsidR="00897D9D">
              <w:t>role.</w:t>
            </w:r>
          </w:p>
          <w:p w14:paraId="119E2496" w14:textId="77777777" w:rsidR="00643884" w:rsidRDefault="00643884" w:rsidP="00EF711C">
            <w:pPr>
              <w:pStyle w:val="ListParagraph"/>
              <w:numPr>
                <w:ilvl w:val="0"/>
                <w:numId w:val="20"/>
              </w:numPr>
              <w:ind w:left="318" w:hanging="284"/>
              <w:jc w:val="both"/>
            </w:pPr>
            <w:r>
              <w:t xml:space="preserve">Provide any necessary equipment to support independence </w:t>
            </w:r>
            <w:r w:rsidR="003E4442">
              <w:t xml:space="preserve">and activities of daily living </w:t>
            </w:r>
            <w:r w:rsidR="00941EFC">
              <w:t>in accordance with the Medway Integrated Equipment Services contract.</w:t>
            </w:r>
            <w:r>
              <w:t xml:space="preserve"> </w:t>
            </w:r>
          </w:p>
          <w:p w14:paraId="7AEE4C88" w14:textId="77777777" w:rsidR="00A405F0" w:rsidRDefault="00A405F0" w:rsidP="00EF711C">
            <w:pPr>
              <w:jc w:val="both"/>
            </w:pPr>
          </w:p>
          <w:p w14:paraId="22FAE688" w14:textId="77777777" w:rsidR="000D43D6" w:rsidRPr="000D43D6" w:rsidRDefault="000D43D6" w:rsidP="00EF711C">
            <w:pPr>
              <w:jc w:val="both"/>
              <w:rPr>
                <w:b/>
              </w:rPr>
            </w:pPr>
            <w:r w:rsidRPr="000D43D6">
              <w:rPr>
                <w:b/>
              </w:rPr>
              <w:t>Therapy Functions</w:t>
            </w:r>
            <w:r w:rsidR="00B95C08">
              <w:rPr>
                <w:b/>
              </w:rPr>
              <w:t xml:space="preserve"> – Physiotherap</w:t>
            </w:r>
            <w:r w:rsidR="00013912">
              <w:rPr>
                <w:b/>
              </w:rPr>
              <w:t>y</w:t>
            </w:r>
            <w:r w:rsidR="00B95C08">
              <w:rPr>
                <w:b/>
              </w:rPr>
              <w:t xml:space="preserve"> and Occupational Therap</w:t>
            </w:r>
            <w:r w:rsidR="00013912">
              <w:rPr>
                <w:b/>
              </w:rPr>
              <w:t>y</w:t>
            </w:r>
          </w:p>
          <w:p w14:paraId="0E6AC341" w14:textId="77777777" w:rsidR="000D43D6" w:rsidRDefault="00DF4A1A" w:rsidP="00EF711C">
            <w:pPr>
              <w:jc w:val="both"/>
            </w:pPr>
            <w:r>
              <w:t xml:space="preserve">The Provider will </w:t>
            </w:r>
            <w:r w:rsidR="00E43AF6">
              <w:t xml:space="preserve">provide holistic </w:t>
            </w:r>
            <w:r w:rsidR="00C274CE">
              <w:t xml:space="preserve">care and rehabilitation </w:t>
            </w:r>
            <w:r w:rsidR="00E22CAC">
              <w:t xml:space="preserve">to patients, </w:t>
            </w:r>
            <w:r w:rsidR="00E43AF6">
              <w:t xml:space="preserve">with the aim of </w:t>
            </w:r>
            <w:r w:rsidR="00C274CE">
              <w:t xml:space="preserve">improving </w:t>
            </w:r>
            <w:r w:rsidR="001708F9">
              <w:t xml:space="preserve">quality of life by </w:t>
            </w:r>
            <w:r w:rsidR="00225825">
              <w:t>supporting recovery</w:t>
            </w:r>
            <w:r w:rsidR="00015723">
              <w:t xml:space="preserve">, </w:t>
            </w:r>
            <w:r w:rsidR="00ED509A">
              <w:t xml:space="preserve">improving </w:t>
            </w:r>
            <w:r w:rsidR="00E22CAC">
              <w:t>mob</w:t>
            </w:r>
            <w:r w:rsidR="001708F9">
              <w:t>i</w:t>
            </w:r>
            <w:r w:rsidR="00E22CAC">
              <w:t>lity and function</w:t>
            </w:r>
            <w:r w:rsidR="00015723">
              <w:t xml:space="preserve"> and prolonging indepe</w:t>
            </w:r>
            <w:r w:rsidR="000E4A4F">
              <w:t>n</w:t>
            </w:r>
            <w:r w:rsidR="00015723">
              <w:t>dence</w:t>
            </w:r>
            <w:r w:rsidR="00E22CAC">
              <w:t xml:space="preserve">.  </w:t>
            </w:r>
            <w:r w:rsidR="008D6815">
              <w:t xml:space="preserve">  </w:t>
            </w:r>
            <w:r w:rsidR="001932B0">
              <w:t xml:space="preserve">Staff within the </w:t>
            </w:r>
            <w:r w:rsidR="006343ED">
              <w:t>Physiot</w:t>
            </w:r>
            <w:r w:rsidR="001932B0">
              <w:t xml:space="preserve">herapy </w:t>
            </w:r>
            <w:r w:rsidR="004F08E2">
              <w:t xml:space="preserve">and Occupational Therapy </w:t>
            </w:r>
            <w:r w:rsidR="001932B0">
              <w:t>functions will:</w:t>
            </w:r>
          </w:p>
          <w:p w14:paraId="30D151E8" w14:textId="77777777" w:rsidR="005A47CF" w:rsidRDefault="005A47CF" w:rsidP="00EF711C">
            <w:pPr>
              <w:jc w:val="both"/>
            </w:pPr>
          </w:p>
          <w:p w14:paraId="693FFB15" w14:textId="77777777" w:rsidR="001932B0" w:rsidRDefault="00381025" w:rsidP="00EF711C">
            <w:pPr>
              <w:pStyle w:val="ListParagraph"/>
              <w:numPr>
                <w:ilvl w:val="0"/>
                <w:numId w:val="21"/>
              </w:numPr>
              <w:ind w:left="318" w:hanging="284"/>
              <w:jc w:val="both"/>
            </w:pPr>
            <w:r>
              <w:t xml:space="preserve">Offer individualised, patient centred care for adults </w:t>
            </w:r>
            <w:r w:rsidR="00EE470B">
              <w:t xml:space="preserve">with symptoms </w:t>
            </w:r>
            <w:r w:rsidR="00232CD3">
              <w:t xml:space="preserve">with functional </w:t>
            </w:r>
            <w:r w:rsidR="004F08E2">
              <w:t xml:space="preserve">impairments or </w:t>
            </w:r>
            <w:r w:rsidR="00AC0FB7">
              <w:t>decline</w:t>
            </w:r>
            <w:r w:rsidR="00024595">
              <w:t xml:space="preserve"> </w:t>
            </w:r>
            <w:r w:rsidR="004F08E2">
              <w:t xml:space="preserve">with their activities of daily living </w:t>
            </w:r>
            <w:r w:rsidR="00024595">
              <w:t xml:space="preserve">due to </w:t>
            </w:r>
            <w:r w:rsidR="00EE470B">
              <w:t>(</w:t>
            </w:r>
            <w:r w:rsidR="00830234">
              <w:t>but not limited to</w:t>
            </w:r>
            <w:r w:rsidR="004645ED">
              <w:t>)</w:t>
            </w:r>
            <w:r w:rsidR="00830234">
              <w:t xml:space="preserve">: </w:t>
            </w:r>
            <w:r w:rsidR="004645ED">
              <w:t>illness, injury or aging</w:t>
            </w:r>
            <w:r w:rsidR="005A5EBF">
              <w:t xml:space="preserve"> </w:t>
            </w:r>
            <w:r w:rsidR="00D85B15">
              <w:t xml:space="preserve">to maximise </w:t>
            </w:r>
            <w:r w:rsidR="005A5EBF">
              <w:t>functional potential.</w:t>
            </w:r>
          </w:p>
          <w:p w14:paraId="5690519C" w14:textId="77777777" w:rsidR="0040213D" w:rsidRDefault="0040213D" w:rsidP="00EF711C">
            <w:pPr>
              <w:pStyle w:val="ListParagraph"/>
              <w:numPr>
                <w:ilvl w:val="0"/>
                <w:numId w:val="21"/>
              </w:numPr>
              <w:ind w:left="318" w:hanging="284"/>
              <w:jc w:val="both"/>
            </w:pPr>
            <w:r>
              <w:t xml:space="preserve">Provide support </w:t>
            </w:r>
            <w:r w:rsidR="004A42B1">
              <w:t xml:space="preserve">to </w:t>
            </w:r>
            <w:r>
              <w:t xml:space="preserve">patients with a range of medical conditions </w:t>
            </w:r>
            <w:r w:rsidR="004A42B1">
              <w:t xml:space="preserve">including (but not limited to):  musculoskeletal, neurological, frailty and respiratory </w:t>
            </w:r>
            <w:r w:rsidR="00CA4A78">
              <w:t>conditions as well as those receiving palliative or end of life care.</w:t>
            </w:r>
          </w:p>
          <w:p w14:paraId="7997A69C" w14:textId="77777777" w:rsidR="00774087" w:rsidRDefault="00774087" w:rsidP="00EF711C">
            <w:pPr>
              <w:pStyle w:val="ListParagraph"/>
              <w:numPr>
                <w:ilvl w:val="0"/>
                <w:numId w:val="21"/>
              </w:numPr>
              <w:ind w:left="318" w:hanging="284"/>
              <w:jc w:val="both"/>
            </w:pPr>
            <w:r>
              <w:t>Conduct assessments,</w:t>
            </w:r>
            <w:r w:rsidR="00AC0376">
              <w:t xml:space="preserve"> provide education and health promotion advice, offer active interventions including rehabilitation.</w:t>
            </w:r>
          </w:p>
          <w:p w14:paraId="49DF9FD0" w14:textId="77777777" w:rsidR="00D74FD4" w:rsidRDefault="003D42EA" w:rsidP="00EF711C">
            <w:pPr>
              <w:pStyle w:val="ListParagraph"/>
              <w:numPr>
                <w:ilvl w:val="0"/>
                <w:numId w:val="21"/>
              </w:numPr>
              <w:ind w:left="318" w:hanging="284"/>
              <w:jc w:val="both"/>
            </w:pPr>
            <w:r>
              <w:t>Attend /s</w:t>
            </w:r>
            <w:r w:rsidR="00C33E90">
              <w:t>upport internal colleague</w:t>
            </w:r>
            <w:r w:rsidR="00617A0E">
              <w:t xml:space="preserve">s when presenting </w:t>
            </w:r>
            <w:r w:rsidR="00D74FD4">
              <w:t xml:space="preserve">patients at Integrated Locality Reviews (ILRs) as and when required, </w:t>
            </w:r>
            <w:r w:rsidR="00AC0376">
              <w:t xml:space="preserve">contribute to holistic management plans </w:t>
            </w:r>
            <w:r w:rsidR="00D74FD4">
              <w:t>and ensure a</w:t>
            </w:r>
            <w:r w:rsidR="000E438A">
              <w:t xml:space="preserve">ny </w:t>
            </w:r>
            <w:r w:rsidR="00D74FD4">
              <w:t>actions are followed up and reported on.</w:t>
            </w:r>
          </w:p>
          <w:p w14:paraId="2302D331" w14:textId="77777777" w:rsidR="003F07A1" w:rsidRDefault="003F07A1" w:rsidP="00EF711C">
            <w:pPr>
              <w:pStyle w:val="ListParagraph"/>
              <w:numPr>
                <w:ilvl w:val="0"/>
                <w:numId w:val="21"/>
              </w:numPr>
              <w:ind w:left="318" w:hanging="284"/>
              <w:jc w:val="both"/>
            </w:pPr>
            <w:r>
              <w:t>Support the urgent response function.</w:t>
            </w:r>
          </w:p>
          <w:p w14:paraId="3E6CD678" w14:textId="77777777" w:rsidR="00D74FD4" w:rsidRDefault="00D74FD4" w:rsidP="00EF711C">
            <w:pPr>
              <w:pStyle w:val="ListParagraph"/>
              <w:numPr>
                <w:ilvl w:val="0"/>
                <w:numId w:val="21"/>
              </w:numPr>
              <w:ind w:left="318" w:hanging="284"/>
              <w:jc w:val="both"/>
            </w:pPr>
            <w:r>
              <w:t>Work with carers and family members to support them and provide advice to them in their caring role.</w:t>
            </w:r>
          </w:p>
          <w:p w14:paraId="706C80FF" w14:textId="77777777" w:rsidR="003F08E5" w:rsidRDefault="00DE2947" w:rsidP="00EF711C">
            <w:pPr>
              <w:pStyle w:val="ListParagraph"/>
              <w:numPr>
                <w:ilvl w:val="0"/>
                <w:numId w:val="21"/>
              </w:numPr>
              <w:ind w:left="318" w:hanging="284"/>
              <w:jc w:val="both"/>
            </w:pPr>
            <w:r>
              <w:t>L</w:t>
            </w:r>
            <w:r w:rsidR="00291A29">
              <w:t xml:space="preserve">iaise with </w:t>
            </w:r>
            <w:r w:rsidR="007664B9">
              <w:t>internal</w:t>
            </w:r>
            <w:r w:rsidR="007F5D4C">
              <w:t xml:space="preserve"> colleagues</w:t>
            </w:r>
            <w:r w:rsidR="007664B9">
              <w:t xml:space="preserve"> </w:t>
            </w:r>
            <w:r>
              <w:t xml:space="preserve">and </w:t>
            </w:r>
            <w:r w:rsidR="007F5D4C">
              <w:t xml:space="preserve">partners from </w:t>
            </w:r>
            <w:r w:rsidR="003E7294">
              <w:t xml:space="preserve">other </w:t>
            </w:r>
            <w:r w:rsidR="003F08E5">
              <w:t xml:space="preserve">external </w:t>
            </w:r>
            <w:r w:rsidR="003E7294">
              <w:t>organisations</w:t>
            </w:r>
            <w:r w:rsidR="003F08E5">
              <w:t xml:space="preserve"> to provide</w:t>
            </w:r>
            <w:r w:rsidR="00635C03">
              <w:t xml:space="preserve"> support </w:t>
            </w:r>
            <w:r w:rsidR="005A5EBF">
              <w:t xml:space="preserve">and </w:t>
            </w:r>
            <w:r w:rsidR="00635C03">
              <w:t>professional advice for patients on their caseload, as required.</w:t>
            </w:r>
          </w:p>
          <w:p w14:paraId="0D9DBAD0" w14:textId="77777777" w:rsidR="00635C03" w:rsidRDefault="00437505" w:rsidP="00EF711C">
            <w:pPr>
              <w:pStyle w:val="ListParagraph"/>
              <w:numPr>
                <w:ilvl w:val="0"/>
                <w:numId w:val="21"/>
              </w:numPr>
              <w:ind w:left="318" w:hanging="284"/>
              <w:jc w:val="both"/>
            </w:pPr>
            <w:r>
              <w:t xml:space="preserve">Provide education on self-management to patients, and </w:t>
            </w:r>
            <w:r w:rsidR="007633D1">
              <w:t xml:space="preserve">promote awareness of life style changes needed to reduce /prevent further injury or prevent </w:t>
            </w:r>
            <w:r w:rsidR="006343ED">
              <w:t>further injury or recurrence of symptoms.</w:t>
            </w:r>
            <w:r w:rsidR="004B5EF5">
              <w:t xml:space="preserve"> </w:t>
            </w:r>
          </w:p>
          <w:p w14:paraId="771480EC" w14:textId="77777777" w:rsidR="006403F1" w:rsidRDefault="003E4442" w:rsidP="00EF711C">
            <w:pPr>
              <w:pStyle w:val="ListParagraph"/>
              <w:numPr>
                <w:ilvl w:val="0"/>
                <w:numId w:val="21"/>
              </w:numPr>
              <w:ind w:left="318" w:hanging="284"/>
              <w:jc w:val="both"/>
            </w:pPr>
            <w:r>
              <w:t>Pr</w:t>
            </w:r>
            <w:r w:rsidRPr="003E4442">
              <w:t>ovide any necessary equipment to support independence and activities of daily living in accordance with the Medway Integrated Equipment Services contract.</w:t>
            </w:r>
          </w:p>
          <w:p w14:paraId="68A2C2E3" w14:textId="77777777" w:rsidR="000D43D6" w:rsidRDefault="000D43D6" w:rsidP="00EF711C">
            <w:pPr>
              <w:jc w:val="both"/>
            </w:pPr>
          </w:p>
          <w:p w14:paraId="471B60B2" w14:textId="77777777" w:rsidR="003F07A1" w:rsidRPr="00B80771" w:rsidRDefault="003F07A1" w:rsidP="00EF711C">
            <w:pPr>
              <w:jc w:val="both"/>
              <w:rPr>
                <w:b/>
              </w:rPr>
            </w:pPr>
            <w:r w:rsidRPr="00B80771">
              <w:rPr>
                <w:b/>
              </w:rPr>
              <w:t xml:space="preserve">Speech and Language </w:t>
            </w:r>
            <w:r w:rsidR="00B80771" w:rsidRPr="00B80771">
              <w:rPr>
                <w:b/>
              </w:rPr>
              <w:t>Therapy (SALT) and Dietetics Functions</w:t>
            </w:r>
          </w:p>
          <w:p w14:paraId="00596B87" w14:textId="77777777" w:rsidR="00EB43AF" w:rsidRDefault="003135DE" w:rsidP="00EF711C">
            <w:pPr>
              <w:jc w:val="both"/>
            </w:pPr>
            <w:r>
              <w:t xml:space="preserve">The Provider will </w:t>
            </w:r>
            <w:r w:rsidR="00843BB5">
              <w:t xml:space="preserve">offer holistic and responsive </w:t>
            </w:r>
            <w:r w:rsidR="00EB43AF">
              <w:t>care that</w:t>
            </w:r>
            <w:r w:rsidR="00843BB5">
              <w:t xml:space="preserve"> </w:t>
            </w:r>
            <w:r>
              <w:t>optimise</w:t>
            </w:r>
            <w:r w:rsidR="00843BB5">
              <w:t>s</w:t>
            </w:r>
            <w:r>
              <w:t xml:space="preserve"> communication </w:t>
            </w:r>
            <w:r w:rsidR="00CA50A1">
              <w:t xml:space="preserve">and </w:t>
            </w:r>
            <w:r w:rsidR="00983266">
              <w:t xml:space="preserve">nutritional status to improve </w:t>
            </w:r>
            <w:r w:rsidR="002E0ACF">
              <w:t xml:space="preserve">or maintain </w:t>
            </w:r>
            <w:r w:rsidR="00CA50A1">
              <w:t>eating, drinking and swallowing function</w:t>
            </w:r>
            <w:r w:rsidR="00983266">
              <w:t>.</w:t>
            </w:r>
            <w:r w:rsidR="00CA50A1">
              <w:t xml:space="preserve"> </w:t>
            </w:r>
            <w:r w:rsidR="00EB43AF" w:rsidRPr="00EB43AF">
              <w:t xml:space="preserve">Staff within the </w:t>
            </w:r>
            <w:r w:rsidR="00EE3648">
              <w:t xml:space="preserve">SALT </w:t>
            </w:r>
            <w:r w:rsidR="005D56B4">
              <w:t xml:space="preserve">and Dietetics </w:t>
            </w:r>
            <w:r w:rsidR="00EB43AF" w:rsidRPr="00EB43AF">
              <w:t>functions will:</w:t>
            </w:r>
          </w:p>
          <w:p w14:paraId="017ECBE0" w14:textId="77777777" w:rsidR="00F57B2E" w:rsidRDefault="00F57B2E" w:rsidP="00EF711C">
            <w:pPr>
              <w:jc w:val="both"/>
            </w:pPr>
          </w:p>
          <w:p w14:paraId="785FFBD5" w14:textId="77777777" w:rsidR="00715769" w:rsidRDefault="007A7A6E" w:rsidP="00EF711C">
            <w:pPr>
              <w:pStyle w:val="ListParagraph"/>
              <w:numPr>
                <w:ilvl w:val="0"/>
                <w:numId w:val="23"/>
              </w:numPr>
              <w:ind w:left="318" w:hanging="284"/>
              <w:jc w:val="both"/>
            </w:pPr>
            <w:r>
              <w:t xml:space="preserve">Provide assessment and interventions </w:t>
            </w:r>
            <w:r w:rsidR="005C654B">
              <w:t xml:space="preserve">for acquired disorders </w:t>
            </w:r>
            <w:r w:rsidR="00715769">
              <w:t xml:space="preserve">and developmental conditions </w:t>
            </w:r>
            <w:r w:rsidR="005C654B">
              <w:t>affecting communication and/or swallowing</w:t>
            </w:r>
            <w:r w:rsidR="00715769">
              <w:t>.</w:t>
            </w:r>
          </w:p>
          <w:p w14:paraId="154D1015" w14:textId="77777777" w:rsidR="00E90C64" w:rsidRDefault="00E90C64" w:rsidP="00EF711C">
            <w:pPr>
              <w:pStyle w:val="ListParagraph"/>
              <w:numPr>
                <w:ilvl w:val="0"/>
                <w:numId w:val="23"/>
              </w:numPr>
              <w:ind w:left="318" w:hanging="284"/>
              <w:jc w:val="both"/>
            </w:pPr>
            <w:r>
              <w:t>Provide dietetic treatment and manage a range of related clinical conditions.</w:t>
            </w:r>
          </w:p>
          <w:p w14:paraId="486EAB81" w14:textId="77777777" w:rsidR="00715769" w:rsidRDefault="00715769" w:rsidP="00EF711C">
            <w:pPr>
              <w:pStyle w:val="ListParagraph"/>
              <w:numPr>
                <w:ilvl w:val="0"/>
                <w:numId w:val="23"/>
              </w:numPr>
              <w:ind w:left="318" w:hanging="284"/>
              <w:jc w:val="both"/>
            </w:pPr>
            <w:r>
              <w:t>Offer advice, strategies and therapy depending on the patient’s need.</w:t>
            </w:r>
          </w:p>
          <w:p w14:paraId="58B63E57" w14:textId="77777777" w:rsidR="004506EF" w:rsidRDefault="004506EF" w:rsidP="00EF711C">
            <w:pPr>
              <w:pStyle w:val="ListParagraph"/>
              <w:numPr>
                <w:ilvl w:val="0"/>
                <w:numId w:val="23"/>
              </w:numPr>
              <w:ind w:left="318" w:hanging="284"/>
              <w:jc w:val="both"/>
            </w:pPr>
            <w:r>
              <w:t xml:space="preserve">Review and support ongoing </w:t>
            </w:r>
            <w:r w:rsidR="00CC7F2A">
              <w:t xml:space="preserve">and more generic SALT </w:t>
            </w:r>
            <w:r w:rsidR="005A0FF4">
              <w:t xml:space="preserve">/dietetic </w:t>
            </w:r>
            <w:r w:rsidR="00CC7F2A">
              <w:t>needs.</w:t>
            </w:r>
          </w:p>
          <w:p w14:paraId="62827E93" w14:textId="77777777" w:rsidR="00EE3648" w:rsidRDefault="004506EF" w:rsidP="00EF711C">
            <w:pPr>
              <w:pStyle w:val="ListParagraph"/>
              <w:numPr>
                <w:ilvl w:val="0"/>
                <w:numId w:val="23"/>
              </w:numPr>
              <w:ind w:left="318" w:hanging="284"/>
              <w:jc w:val="both"/>
            </w:pPr>
            <w:r>
              <w:t>Offer support groups such as voice groups</w:t>
            </w:r>
            <w:r w:rsidR="00CC7F2A">
              <w:t xml:space="preserve"> and </w:t>
            </w:r>
            <w:r>
              <w:t>support groups for carers</w:t>
            </w:r>
            <w:r w:rsidR="00AC231D">
              <w:t>.</w:t>
            </w:r>
            <w:r>
              <w:t xml:space="preserve"> </w:t>
            </w:r>
            <w:r w:rsidR="005C654B">
              <w:t xml:space="preserve"> </w:t>
            </w:r>
          </w:p>
          <w:p w14:paraId="433EA79E" w14:textId="77777777" w:rsidR="00EB43AF" w:rsidRDefault="00CC7F2A" w:rsidP="00EF711C">
            <w:pPr>
              <w:pStyle w:val="ListParagraph"/>
              <w:numPr>
                <w:ilvl w:val="0"/>
                <w:numId w:val="23"/>
              </w:numPr>
              <w:ind w:left="318" w:hanging="284"/>
              <w:jc w:val="both"/>
            </w:pPr>
            <w:r>
              <w:t xml:space="preserve">Work with </w:t>
            </w:r>
            <w:r w:rsidR="0094386C">
              <w:t xml:space="preserve">a range of partners </w:t>
            </w:r>
            <w:r w:rsidR="009B46F2">
              <w:t xml:space="preserve">to provide </w:t>
            </w:r>
            <w:r w:rsidR="0094386C">
              <w:t xml:space="preserve">integrated </w:t>
            </w:r>
            <w:r w:rsidR="009B46F2">
              <w:t xml:space="preserve">support </w:t>
            </w:r>
            <w:r w:rsidR="0096137E">
              <w:t>to patients</w:t>
            </w:r>
            <w:r w:rsidR="00825478">
              <w:t xml:space="preserve">, including </w:t>
            </w:r>
            <w:r w:rsidR="005D56B4">
              <w:t xml:space="preserve">(but not limited to): </w:t>
            </w:r>
            <w:r w:rsidR="0083389F">
              <w:t>hospital discharge teams, neuro</w:t>
            </w:r>
            <w:r w:rsidR="00B66841">
              <w:t xml:space="preserve"> and stroke </w:t>
            </w:r>
            <w:r w:rsidR="0083389F">
              <w:t>rehabilitation</w:t>
            </w:r>
            <w:r w:rsidR="00B66841">
              <w:t>.</w:t>
            </w:r>
          </w:p>
          <w:p w14:paraId="55B1268C" w14:textId="77777777" w:rsidR="00B66841" w:rsidRDefault="00B66841" w:rsidP="00EF711C">
            <w:pPr>
              <w:pStyle w:val="ListParagraph"/>
              <w:numPr>
                <w:ilvl w:val="0"/>
                <w:numId w:val="23"/>
              </w:numPr>
              <w:ind w:left="318" w:hanging="284"/>
              <w:jc w:val="both"/>
            </w:pPr>
            <w:r>
              <w:t>At</w:t>
            </w:r>
            <w:r w:rsidRPr="00B66841">
              <w:t>tend /support internal colleagues when presenting patients at Integrated Locality Reviews (ILRs) as and when required, contribute to holistic management plans and ensure any actions are followed up and reported on.</w:t>
            </w:r>
          </w:p>
          <w:p w14:paraId="0820B403" w14:textId="77777777" w:rsidR="00C34FB2" w:rsidRPr="00060C0C" w:rsidRDefault="00C34FB2" w:rsidP="00EF711C">
            <w:pPr>
              <w:jc w:val="both"/>
            </w:pPr>
          </w:p>
        </w:tc>
      </w:tr>
      <w:tr w:rsidR="007A53DF" w:rsidRPr="00AA3128" w14:paraId="57717E12" w14:textId="77777777" w:rsidTr="00C711CC">
        <w:trPr>
          <w:trHeight w:val="361"/>
        </w:trPr>
        <w:tc>
          <w:tcPr>
            <w:tcW w:w="516" w:type="dxa"/>
            <w:shd w:val="clear" w:color="auto" w:fill="BFBFBF" w:themeFill="background1" w:themeFillShade="BF"/>
          </w:tcPr>
          <w:p w14:paraId="33A8FF29" w14:textId="77777777" w:rsidR="007A53DF" w:rsidRDefault="009C6714" w:rsidP="00C711CC">
            <w:r>
              <w:lastRenderedPageBreak/>
              <w:t>3.2</w:t>
            </w:r>
          </w:p>
        </w:tc>
        <w:tc>
          <w:tcPr>
            <w:tcW w:w="9690" w:type="dxa"/>
            <w:shd w:val="clear" w:color="auto" w:fill="BFBFBF" w:themeFill="background1" w:themeFillShade="BF"/>
          </w:tcPr>
          <w:p w14:paraId="75519FEF" w14:textId="77777777" w:rsidR="007A53DF" w:rsidRPr="00060C0C" w:rsidRDefault="00BC457E" w:rsidP="00BC457E">
            <w:r>
              <w:t>C</w:t>
            </w:r>
            <w:r w:rsidR="007A53DF" w:rsidRPr="00060C0C">
              <w:t xml:space="preserve">linical </w:t>
            </w:r>
            <w:r w:rsidR="00B66841">
              <w:t>and t</w:t>
            </w:r>
            <w:r w:rsidR="007A53DF" w:rsidRPr="00060C0C">
              <w:t xml:space="preserve">herapeutic </w:t>
            </w:r>
            <w:r w:rsidR="00B66841">
              <w:t>i</w:t>
            </w:r>
            <w:r w:rsidR="007A53DF" w:rsidRPr="00060C0C">
              <w:t xml:space="preserve">nterventions </w:t>
            </w:r>
          </w:p>
        </w:tc>
      </w:tr>
    </w:tbl>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10206"/>
      </w:tblGrid>
      <w:tr w:rsidR="000E6662" w:rsidRPr="00E8310D" w14:paraId="1461D934" w14:textId="77777777" w:rsidTr="008021BA">
        <w:trPr>
          <w:trHeight w:val="10426"/>
        </w:trPr>
        <w:tc>
          <w:tcPr>
            <w:tcW w:w="10206" w:type="dxa"/>
            <w:shd w:val="clear" w:color="auto" w:fill="auto"/>
            <w:vAlign w:val="center"/>
          </w:tcPr>
          <w:p w14:paraId="37FE6842" w14:textId="77777777" w:rsidR="00577C8F" w:rsidRPr="00EF711C" w:rsidRDefault="00577C8F" w:rsidP="00EF711C">
            <w:pPr>
              <w:jc w:val="both"/>
              <w:rPr>
                <w:rFonts w:cstheme="minorHAnsi"/>
              </w:rPr>
            </w:pPr>
            <w:r w:rsidRPr="00EF711C">
              <w:rPr>
                <w:rFonts w:cstheme="minorHAnsi"/>
              </w:rPr>
              <w:t xml:space="preserve">The </w:t>
            </w:r>
            <w:r w:rsidR="001F0C4D" w:rsidRPr="00EF711C">
              <w:rPr>
                <w:rFonts w:cstheme="minorHAnsi"/>
              </w:rPr>
              <w:t xml:space="preserve">Provider will ensure the </w:t>
            </w:r>
            <w:r w:rsidRPr="00EF711C">
              <w:rPr>
                <w:rFonts w:cstheme="minorHAnsi"/>
              </w:rPr>
              <w:t xml:space="preserve">following clinical and therapeutic interventions are </w:t>
            </w:r>
            <w:r w:rsidR="00A311B7" w:rsidRPr="00EF711C">
              <w:rPr>
                <w:rFonts w:cstheme="minorHAnsi"/>
              </w:rPr>
              <w:t>provided</w:t>
            </w:r>
            <w:r w:rsidR="007E23AE" w:rsidRPr="00EF711C">
              <w:rPr>
                <w:rFonts w:cstheme="minorHAnsi"/>
              </w:rPr>
              <w:t xml:space="preserve"> by the core generalist</w:t>
            </w:r>
            <w:r w:rsidR="00175BC4" w:rsidRPr="00EF711C">
              <w:rPr>
                <w:rFonts w:cstheme="minorHAnsi"/>
              </w:rPr>
              <w:t xml:space="preserve"> staff</w:t>
            </w:r>
            <w:r w:rsidR="00AA20E9" w:rsidRPr="00EF711C">
              <w:rPr>
                <w:rFonts w:cstheme="minorHAnsi"/>
              </w:rPr>
              <w:t xml:space="preserve">. The </w:t>
            </w:r>
            <w:r w:rsidR="00AA6C63">
              <w:rPr>
                <w:rFonts w:cstheme="minorHAnsi"/>
              </w:rPr>
              <w:t>P</w:t>
            </w:r>
            <w:r w:rsidR="00AA20E9" w:rsidRPr="00EF711C">
              <w:rPr>
                <w:rFonts w:cstheme="minorHAnsi"/>
              </w:rPr>
              <w:t xml:space="preserve">rovider will </w:t>
            </w:r>
            <w:r w:rsidR="00AA6C63">
              <w:rPr>
                <w:rFonts w:cstheme="minorHAnsi"/>
              </w:rPr>
              <w:t xml:space="preserve">ensure the nursing and therapy workforce are trained and </w:t>
            </w:r>
            <w:r w:rsidR="00AA20E9" w:rsidRPr="00EF711C">
              <w:rPr>
                <w:rFonts w:cstheme="minorHAnsi"/>
              </w:rPr>
              <w:t>skill</w:t>
            </w:r>
            <w:r w:rsidR="00AA6C63">
              <w:rPr>
                <w:rFonts w:cstheme="minorHAnsi"/>
              </w:rPr>
              <w:t>ed</w:t>
            </w:r>
            <w:r w:rsidR="00AA20E9" w:rsidRPr="00EF711C">
              <w:rPr>
                <w:rFonts w:cstheme="minorHAnsi"/>
              </w:rPr>
              <w:t xml:space="preserve"> to deliver and support clinical and therapeutic interventions in a range of areas</w:t>
            </w:r>
            <w:r w:rsidR="009704A9" w:rsidRPr="00EF711C">
              <w:rPr>
                <w:rFonts w:cstheme="minorHAnsi"/>
              </w:rPr>
              <w:t xml:space="preserve"> including (but not limited to)</w:t>
            </w:r>
            <w:r w:rsidR="00175BC4" w:rsidRPr="00EF711C">
              <w:rPr>
                <w:rFonts w:cstheme="minorHAnsi"/>
              </w:rPr>
              <w:t>:</w:t>
            </w:r>
            <w:r w:rsidR="00A311B7" w:rsidRPr="00EF711C">
              <w:rPr>
                <w:rFonts w:cstheme="minorHAnsi"/>
              </w:rPr>
              <w:t xml:space="preserve"> </w:t>
            </w:r>
          </w:p>
          <w:p w14:paraId="35F27F26" w14:textId="77777777" w:rsidR="00390E92" w:rsidRPr="00EF711C" w:rsidRDefault="00390E92" w:rsidP="00EF711C">
            <w:pPr>
              <w:jc w:val="both"/>
              <w:rPr>
                <w:rFonts w:cstheme="minorHAnsi"/>
              </w:rPr>
            </w:pPr>
          </w:p>
          <w:p w14:paraId="3304A01C" w14:textId="77777777" w:rsidR="00087F7B" w:rsidRPr="00EF711C" w:rsidRDefault="00FD3CF4" w:rsidP="00EF711C">
            <w:pPr>
              <w:jc w:val="both"/>
              <w:rPr>
                <w:rFonts w:cstheme="minorHAnsi"/>
                <w:u w:val="single"/>
              </w:rPr>
            </w:pPr>
            <w:r w:rsidRPr="00EF711C">
              <w:rPr>
                <w:rFonts w:cstheme="minorHAnsi"/>
                <w:u w:val="single"/>
              </w:rPr>
              <w:t xml:space="preserve">Wound </w:t>
            </w:r>
            <w:r w:rsidR="00BC3E5D" w:rsidRPr="00EF711C">
              <w:rPr>
                <w:rFonts w:cstheme="minorHAnsi"/>
                <w:u w:val="single"/>
              </w:rPr>
              <w:t>care including l</w:t>
            </w:r>
            <w:r w:rsidRPr="00EF711C">
              <w:rPr>
                <w:rFonts w:cstheme="minorHAnsi"/>
                <w:u w:val="single"/>
              </w:rPr>
              <w:t xml:space="preserve">eg </w:t>
            </w:r>
            <w:r w:rsidR="00BC3E5D" w:rsidRPr="00EF711C">
              <w:rPr>
                <w:rFonts w:cstheme="minorHAnsi"/>
                <w:u w:val="single"/>
              </w:rPr>
              <w:t>u</w:t>
            </w:r>
            <w:r w:rsidRPr="00EF711C">
              <w:rPr>
                <w:rFonts w:cstheme="minorHAnsi"/>
                <w:u w:val="single"/>
              </w:rPr>
              <w:t xml:space="preserve">lcer </w:t>
            </w:r>
            <w:r w:rsidR="00BC3E5D" w:rsidRPr="00EF711C">
              <w:rPr>
                <w:rFonts w:cstheme="minorHAnsi"/>
                <w:u w:val="single"/>
              </w:rPr>
              <w:t>m</w:t>
            </w:r>
            <w:r w:rsidRPr="00EF711C">
              <w:rPr>
                <w:rFonts w:cstheme="minorHAnsi"/>
                <w:u w:val="single"/>
              </w:rPr>
              <w:t>anagement</w:t>
            </w:r>
          </w:p>
          <w:p w14:paraId="537F1AB4" w14:textId="77777777" w:rsidR="00C21486" w:rsidRPr="00EF711C" w:rsidRDefault="00BC3E5D" w:rsidP="00EF711C">
            <w:pPr>
              <w:jc w:val="both"/>
              <w:rPr>
                <w:rFonts w:cstheme="minorHAnsi"/>
              </w:rPr>
            </w:pPr>
            <w:r w:rsidRPr="00EF711C">
              <w:rPr>
                <w:rFonts w:cstheme="minorHAnsi"/>
              </w:rPr>
              <w:t>The Pr</w:t>
            </w:r>
            <w:r w:rsidR="00A770F1" w:rsidRPr="00EF711C">
              <w:rPr>
                <w:rFonts w:cstheme="minorHAnsi"/>
              </w:rPr>
              <w:t>o</w:t>
            </w:r>
            <w:r w:rsidRPr="00EF711C">
              <w:rPr>
                <w:rFonts w:cstheme="minorHAnsi"/>
              </w:rPr>
              <w:t xml:space="preserve">vider </w:t>
            </w:r>
            <w:r w:rsidR="00FD3CF4" w:rsidRPr="00EF711C">
              <w:rPr>
                <w:rFonts w:cstheme="minorHAnsi"/>
              </w:rPr>
              <w:t xml:space="preserve">will </w:t>
            </w:r>
            <w:r w:rsidR="00B827EF">
              <w:rPr>
                <w:rFonts w:cstheme="minorHAnsi"/>
              </w:rPr>
              <w:t>provide</w:t>
            </w:r>
            <w:r w:rsidR="00037E31" w:rsidRPr="00EF711C">
              <w:rPr>
                <w:rFonts w:cstheme="minorHAnsi"/>
              </w:rPr>
              <w:t xml:space="preserve"> </w:t>
            </w:r>
            <w:r w:rsidR="00EF4BF2" w:rsidRPr="00EF711C">
              <w:rPr>
                <w:rFonts w:cstheme="minorHAnsi"/>
              </w:rPr>
              <w:t xml:space="preserve">(but not be limited to): </w:t>
            </w:r>
            <w:r w:rsidR="007D59D0" w:rsidRPr="00EF711C">
              <w:rPr>
                <w:rFonts w:cstheme="minorHAnsi"/>
              </w:rPr>
              <w:t xml:space="preserve">routine postoperative wound care, complex and chronic wound maintenance, </w:t>
            </w:r>
            <w:r w:rsidR="007A0502" w:rsidRPr="00EF711C">
              <w:rPr>
                <w:rFonts w:cstheme="minorHAnsi"/>
              </w:rPr>
              <w:t xml:space="preserve">provision of </w:t>
            </w:r>
            <w:r w:rsidR="0036367B" w:rsidRPr="00EF711C">
              <w:rPr>
                <w:rFonts w:cstheme="minorHAnsi"/>
              </w:rPr>
              <w:t xml:space="preserve">wound management products </w:t>
            </w:r>
            <w:r w:rsidR="00AA20E9" w:rsidRPr="00EF711C">
              <w:rPr>
                <w:rFonts w:cstheme="minorHAnsi"/>
              </w:rPr>
              <w:t>such as</w:t>
            </w:r>
            <w:r w:rsidR="0036367B" w:rsidRPr="00EF711C">
              <w:rPr>
                <w:rFonts w:cstheme="minorHAnsi"/>
              </w:rPr>
              <w:t xml:space="preserve"> pressure relie</w:t>
            </w:r>
            <w:r w:rsidR="001925E8" w:rsidRPr="00EF711C">
              <w:rPr>
                <w:rFonts w:cstheme="minorHAnsi"/>
              </w:rPr>
              <w:t xml:space="preserve">ving </w:t>
            </w:r>
            <w:r w:rsidR="0036367B" w:rsidRPr="00EF711C">
              <w:rPr>
                <w:rFonts w:cstheme="minorHAnsi"/>
              </w:rPr>
              <w:t xml:space="preserve">equipment i.e. </w:t>
            </w:r>
            <w:r w:rsidR="001925E8" w:rsidRPr="00EF711C">
              <w:rPr>
                <w:rFonts w:cstheme="minorHAnsi"/>
              </w:rPr>
              <w:t xml:space="preserve">specialised beds and mattresses, </w:t>
            </w:r>
            <w:r w:rsidR="007D59D0" w:rsidRPr="00EF711C">
              <w:rPr>
                <w:rFonts w:cstheme="minorHAnsi"/>
              </w:rPr>
              <w:t xml:space="preserve">and shared care with </w:t>
            </w:r>
            <w:r w:rsidR="007922C3" w:rsidRPr="00EF711C">
              <w:rPr>
                <w:rFonts w:cstheme="minorHAnsi"/>
              </w:rPr>
              <w:t xml:space="preserve">specialties such as </w:t>
            </w:r>
            <w:r w:rsidR="007D59D0" w:rsidRPr="00EF711C">
              <w:rPr>
                <w:rFonts w:cstheme="minorHAnsi"/>
              </w:rPr>
              <w:t>plastic surgery, podiatry and dermatology</w:t>
            </w:r>
            <w:r w:rsidR="007922C3" w:rsidRPr="00EF711C">
              <w:rPr>
                <w:rFonts w:cstheme="minorHAnsi"/>
              </w:rPr>
              <w:t>.</w:t>
            </w:r>
          </w:p>
          <w:p w14:paraId="4E303EA3" w14:textId="77777777" w:rsidR="00751615" w:rsidRPr="00EF711C" w:rsidRDefault="00751615" w:rsidP="00EF711C">
            <w:pPr>
              <w:jc w:val="both"/>
              <w:rPr>
                <w:rFonts w:cstheme="minorHAnsi"/>
              </w:rPr>
            </w:pPr>
          </w:p>
          <w:p w14:paraId="2BDFC57D" w14:textId="77777777" w:rsidR="00BC3E5D" w:rsidRPr="00EF711C" w:rsidRDefault="00C40BDC" w:rsidP="00EF711C">
            <w:pPr>
              <w:jc w:val="both"/>
              <w:rPr>
                <w:rFonts w:cstheme="minorHAnsi"/>
                <w:u w:val="single"/>
              </w:rPr>
            </w:pPr>
            <w:r w:rsidRPr="00EF711C">
              <w:rPr>
                <w:rFonts w:cstheme="minorHAnsi"/>
                <w:u w:val="single"/>
              </w:rPr>
              <w:t>Continence care</w:t>
            </w:r>
          </w:p>
          <w:p w14:paraId="42A810D2" w14:textId="77777777" w:rsidR="00CA46CA" w:rsidRPr="00EF711C" w:rsidRDefault="00CA46CA" w:rsidP="00EF711C">
            <w:pPr>
              <w:jc w:val="both"/>
              <w:rPr>
                <w:rFonts w:cstheme="minorHAnsi"/>
              </w:rPr>
            </w:pPr>
            <w:r w:rsidRPr="00EF711C">
              <w:rPr>
                <w:rFonts w:cstheme="minorHAnsi"/>
              </w:rPr>
              <w:t xml:space="preserve">The Provider will </w:t>
            </w:r>
            <w:r w:rsidR="00B827EF">
              <w:rPr>
                <w:rFonts w:cstheme="minorHAnsi"/>
              </w:rPr>
              <w:t xml:space="preserve">provide </w:t>
            </w:r>
            <w:r w:rsidRPr="00EF711C">
              <w:rPr>
                <w:rFonts w:cstheme="minorHAnsi"/>
              </w:rPr>
              <w:t xml:space="preserve">comprehensive continence, bladder and bowel support for patients with a range of conditions including (but not limited to): </w:t>
            </w:r>
            <w:r w:rsidR="004906C8" w:rsidRPr="00EF711C">
              <w:rPr>
                <w:rFonts w:cstheme="minorHAnsi"/>
              </w:rPr>
              <w:t xml:space="preserve">bladder and bowel dysfunctions, </w:t>
            </w:r>
            <w:r w:rsidR="00635B69" w:rsidRPr="00EF711C">
              <w:rPr>
                <w:rFonts w:cstheme="minorHAnsi"/>
              </w:rPr>
              <w:t xml:space="preserve">insertion and </w:t>
            </w:r>
            <w:r w:rsidR="003426FF" w:rsidRPr="00EF711C">
              <w:rPr>
                <w:rFonts w:cstheme="minorHAnsi"/>
              </w:rPr>
              <w:t xml:space="preserve">provision of catheter care (for all types of catheter – </w:t>
            </w:r>
            <w:r w:rsidR="00635B69" w:rsidRPr="00EF711C">
              <w:rPr>
                <w:rFonts w:cstheme="minorHAnsi"/>
              </w:rPr>
              <w:t>urethral</w:t>
            </w:r>
            <w:r w:rsidR="003426FF" w:rsidRPr="00EF711C">
              <w:rPr>
                <w:rFonts w:cstheme="minorHAnsi"/>
              </w:rPr>
              <w:t xml:space="preserve">, </w:t>
            </w:r>
            <w:r w:rsidR="00635B69" w:rsidRPr="00EF711C">
              <w:rPr>
                <w:rFonts w:cstheme="minorHAnsi"/>
              </w:rPr>
              <w:t>suprapubic</w:t>
            </w:r>
            <w:r w:rsidR="003426FF" w:rsidRPr="00EF711C">
              <w:rPr>
                <w:rFonts w:cstheme="minorHAnsi"/>
              </w:rPr>
              <w:t xml:space="preserve"> </w:t>
            </w:r>
            <w:r w:rsidR="006C76C0" w:rsidRPr="00EF711C">
              <w:rPr>
                <w:rFonts w:cstheme="minorHAnsi"/>
              </w:rPr>
              <w:t>etc.</w:t>
            </w:r>
            <w:r w:rsidR="003426FF" w:rsidRPr="00EF711C">
              <w:rPr>
                <w:rFonts w:cstheme="minorHAnsi"/>
              </w:rPr>
              <w:t xml:space="preserve">) and management of any </w:t>
            </w:r>
            <w:r w:rsidRPr="00EF711C">
              <w:rPr>
                <w:rFonts w:cstheme="minorHAnsi"/>
              </w:rPr>
              <w:t xml:space="preserve">associated complications, </w:t>
            </w:r>
            <w:r w:rsidR="002F0323" w:rsidRPr="00EF711C">
              <w:rPr>
                <w:rFonts w:cstheme="minorHAnsi"/>
              </w:rPr>
              <w:t xml:space="preserve">pelvic </w:t>
            </w:r>
            <w:r w:rsidR="006A4468" w:rsidRPr="00EF711C">
              <w:rPr>
                <w:rFonts w:cstheme="minorHAnsi"/>
              </w:rPr>
              <w:t xml:space="preserve">floor dysfunction and rehabilitation and </w:t>
            </w:r>
            <w:r w:rsidRPr="00EF711C">
              <w:rPr>
                <w:rFonts w:cstheme="minorHAnsi"/>
              </w:rPr>
              <w:t>provision of continence supplies</w:t>
            </w:r>
            <w:r w:rsidR="006A4468" w:rsidRPr="00EF711C">
              <w:rPr>
                <w:rFonts w:cstheme="minorHAnsi"/>
              </w:rPr>
              <w:t xml:space="preserve"> and products</w:t>
            </w:r>
            <w:r w:rsidR="006C76C0" w:rsidRPr="00EF711C">
              <w:rPr>
                <w:rFonts w:cstheme="minorHAnsi"/>
              </w:rPr>
              <w:t xml:space="preserve"> (excluding those prescribed by GPs)</w:t>
            </w:r>
            <w:r w:rsidR="006A4468" w:rsidRPr="00EF711C">
              <w:rPr>
                <w:rFonts w:cstheme="minorHAnsi"/>
              </w:rPr>
              <w:t>.</w:t>
            </w:r>
            <w:r w:rsidRPr="00EF711C">
              <w:rPr>
                <w:rFonts w:cstheme="minorHAnsi"/>
              </w:rPr>
              <w:t xml:space="preserve"> </w:t>
            </w:r>
          </w:p>
          <w:p w14:paraId="449A1BE9" w14:textId="77777777" w:rsidR="00CA46CA" w:rsidRPr="00EF711C" w:rsidRDefault="00CA46CA" w:rsidP="00EF711C">
            <w:pPr>
              <w:jc w:val="both"/>
              <w:rPr>
                <w:rFonts w:cstheme="minorHAnsi"/>
                <w:u w:val="single"/>
              </w:rPr>
            </w:pPr>
          </w:p>
          <w:p w14:paraId="672D8864" w14:textId="77777777" w:rsidR="00CA46CA" w:rsidRPr="00EF711C" w:rsidRDefault="005B0530" w:rsidP="00EF711C">
            <w:pPr>
              <w:jc w:val="both"/>
              <w:rPr>
                <w:rFonts w:cstheme="minorHAnsi"/>
                <w:u w:val="single"/>
              </w:rPr>
            </w:pPr>
            <w:r w:rsidRPr="00EF711C">
              <w:rPr>
                <w:rFonts w:cstheme="minorHAnsi"/>
                <w:u w:val="single"/>
              </w:rPr>
              <w:t>Diabetes care</w:t>
            </w:r>
          </w:p>
          <w:p w14:paraId="58D660DC" w14:textId="77777777" w:rsidR="005B0530" w:rsidRPr="00EF711C" w:rsidRDefault="005B0530" w:rsidP="00EF711C">
            <w:pPr>
              <w:jc w:val="both"/>
              <w:rPr>
                <w:rFonts w:cstheme="minorHAnsi"/>
              </w:rPr>
            </w:pPr>
            <w:r w:rsidRPr="00EF711C">
              <w:rPr>
                <w:rFonts w:cstheme="minorHAnsi"/>
              </w:rPr>
              <w:t>The Provider will work collaboratively with GP</w:t>
            </w:r>
            <w:r w:rsidR="006C76C0" w:rsidRPr="00EF711C">
              <w:rPr>
                <w:rFonts w:cstheme="minorHAnsi"/>
              </w:rPr>
              <w:t>s</w:t>
            </w:r>
            <w:r w:rsidRPr="00EF711C">
              <w:rPr>
                <w:rFonts w:cstheme="minorHAnsi"/>
              </w:rPr>
              <w:t xml:space="preserve"> and the </w:t>
            </w:r>
            <w:r w:rsidR="0003562A" w:rsidRPr="00EF711C">
              <w:rPr>
                <w:rFonts w:cstheme="minorHAnsi"/>
              </w:rPr>
              <w:t>s</w:t>
            </w:r>
            <w:r w:rsidRPr="00EF711C">
              <w:rPr>
                <w:rFonts w:cstheme="minorHAnsi"/>
              </w:rPr>
              <w:t xml:space="preserve">pecialist </w:t>
            </w:r>
            <w:r w:rsidR="0003562A" w:rsidRPr="00EF711C">
              <w:rPr>
                <w:rFonts w:cstheme="minorHAnsi"/>
              </w:rPr>
              <w:t>diabetic ser</w:t>
            </w:r>
            <w:r w:rsidRPr="00EF711C">
              <w:rPr>
                <w:rFonts w:cstheme="minorHAnsi"/>
              </w:rPr>
              <w:t>vice to provide seamless support for the prevention and care of those patients at high r</w:t>
            </w:r>
            <w:r w:rsidR="003B1974" w:rsidRPr="00EF711C">
              <w:rPr>
                <w:rFonts w:cstheme="minorHAnsi"/>
              </w:rPr>
              <w:t>isk of developing diabetes and for</w:t>
            </w:r>
            <w:r w:rsidRPr="00EF711C">
              <w:rPr>
                <w:rFonts w:cstheme="minorHAnsi"/>
              </w:rPr>
              <w:t xml:space="preserve"> those patients already diagnose</w:t>
            </w:r>
            <w:r w:rsidR="0029225D" w:rsidRPr="00EF711C">
              <w:rPr>
                <w:rFonts w:cstheme="minorHAnsi"/>
              </w:rPr>
              <w:t>d</w:t>
            </w:r>
            <w:r w:rsidRPr="00EF711C">
              <w:rPr>
                <w:rFonts w:cstheme="minorHAnsi"/>
              </w:rPr>
              <w:t xml:space="preserve">. The </w:t>
            </w:r>
            <w:r w:rsidR="009253AC" w:rsidRPr="00EF711C">
              <w:rPr>
                <w:rFonts w:cstheme="minorHAnsi"/>
              </w:rPr>
              <w:t xml:space="preserve">Provider </w:t>
            </w:r>
            <w:r w:rsidR="00097E0E">
              <w:rPr>
                <w:rFonts w:cstheme="minorHAnsi"/>
              </w:rPr>
              <w:t>will</w:t>
            </w:r>
            <w:r w:rsidR="004177CC" w:rsidRPr="00EF711C">
              <w:rPr>
                <w:rFonts w:cstheme="minorHAnsi"/>
              </w:rPr>
              <w:t xml:space="preserve"> </w:t>
            </w:r>
            <w:r w:rsidR="008C1B81">
              <w:rPr>
                <w:rFonts w:cstheme="minorHAnsi"/>
              </w:rPr>
              <w:t xml:space="preserve">provide comprehensive </w:t>
            </w:r>
            <w:r w:rsidR="004177CC" w:rsidRPr="00EF711C">
              <w:rPr>
                <w:rFonts w:cstheme="minorHAnsi"/>
              </w:rPr>
              <w:t xml:space="preserve">support </w:t>
            </w:r>
            <w:r w:rsidR="008C1B81">
              <w:rPr>
                <w:rFonts w:cstheme="minorHAnsi"/>
              </w:rPr>
              <w:t xml:space="preserve">including (but not limited to): </w:t>
            </w:r>
            <w:r w:rsidR="004177CC" w:rsidRPr="00EF711C">
              <w:rPr>
                <w:rFonts w:cstheme="minorHAnsi"/>
              </w:rPr>
              <w:t xml:space="preserve">the administration of </w:t>
            </w:r>
            <w:r w:rsidR="009253AC" w:rsidRPr="00EF711C">
              <w:rPr>
                <w:rFonts w:cstheme="minorHAnsi"/>
              </w:rPr>
              <w:t>medication i.e. insulin</w:t>
            </w:r>
            <w:r w:rsidR="007C3F74">
              <w:rPr>
                <w:rFonts w:cstheme="minorHAnsi"/>
              </w:rPr>
              <w:t xml:space="preserve">, </w:t>
            </w:r>
            <w:r w:rsidR="00C00CD9" w:rsidRPr="00EF711C">
              <w:rPr>
                <w:rFonts w:cstheme="minorHAnsi"/>
              </w:rPr>
              <w:t>reinforce</w:t>
            </w:r>
            <w:r w:rsidR="004177CC" w:rsidRPr="00EF711C">
              <w:rPr>
                <w:rFonts w:cstheme="minorHAnsi"/>
              </w:rPr>
              <w:t xml:space="preserve"> health promot</w:t>
            </w:r>
            <w:r w:rsidR="00C00CD9" w:rsidRPr="00EF711C">
              <w:rPr>
                <w:rFonts w:cstheme="minorHAnsi"/>
              </w:rPr>
              <w:t xml:space="preserve">ion messages and self-care, and sign post to other </w:t>
            </w:r>
            <w:r w:rsidR="007C3F74">
              <w:rPr>
                <w:rFonts w:cstheme="minorHAnsi"/>
              </w:rPr>
              <w:t xml:space="preserve">specialist </w:t>
            </w:r>
            <w:r w:rsidR="00C00CD9" w:rsidRPr="00EF711C">
              <w:rPr>
                <w:rFonts w:cstheme="minorHAnsi"/>
              </w:rPr>
              <w:t xml:space="preserve">services when required </w:t>
            </w:r>
            <w:r w:rsidRPr="00EF711C">
              <w:rPr>
                <w:rFonts w:cstheme="minorHAnsi"/>
              </w:rPr>
              <w:t>i.e. foot care, nutrition education</w:t>
            </w:r>
            <w:r w:rsidR="009A0EC2" w:rsidRPr="00EF711C">
              <w:rPr>
                <w:rFonts w:cstheme="minorHAnsi"/>
              </w:rPr>
              <w:t xml:space="preserve"> etc.</w:t>
            </w:r>
          </w:p>
          <w:p w14:paraId="334EAD6B" w14:textId="77777777" w:rsidR="00CA46CA" w:rsidRPr="00EF711C" w:rsidRDefault="00CA46CA" w:rsidP="00EF711C">
            <w:pPr>
              <w:jc w:val="both"/>
              <w:rPr>
                <w:rFonts w:cstheme="minorHAnsi"/>
                <w:u w:val="single"/>
              </w:rPr>
            </w:pPr>
          </w:p>
          <w:p w14:paraId="6C5F9F03" w14:textId="77777777" w:rsidR="00B64DD4" w:rsidRPr="00EF711C" w:rsidRDefault="003B1974" w:rsidP="00E95485">
            <w:pPr>
              <w:jc w:val="both"/>
              <w:rPr>
                <w:rFonts w:eastAsia="Times New Roman" w:cstheme="minorHAnsi"/>
                <w:lang w:eastAsia="en-GB"/>
              </w:rPr>
            </w:pPr>
            <w:r w:rsidRPr="00EF711C">
              <w:rPr>
                <w:rFonts w:cstheme="minorHAnsi"/>
                <w:u w:val="single"/>
              </w:rPr>
              <w:t xml:space="preserve">Cardiology care </w:t>
            </w:r>
            <w:r w:rsidR="00B64DD4" w:rsidRPr="00EF711C">
              <w:rPr>
                <w:rFonts w:cstheme="minorHAnsi"/>
              </w:rPr>
              <w:t xml:space="preserve">The </w:t>
            </w:r>
            <w:r w:rsidR="000A53C4">
              <w:rPr>
                <w:rFonts w:cstheme="minorHAnsi"/>
              </w:rPr>
              <w:t>P</w:t>
            </w:r>
            <w:r w:rsidR="00B64DD4" w:rsidRPr="00EF711C">
              <w:rPr>
                <w:rFonts w:cstheme="minorHAnsi"/>
              </w:rPr>
              <w:t xml:space="preserve">rovider will support </w:t>
            </w:r>
            <w:r w:rsidR="0015737B">
              <w:rPr>
                <w:rFonts w:cstheme="minorHAnsi"/>
              </w:rPr>
              <w:t xml:space="preserve">a range of functions in </w:t>
            </w:r>
            <w:r w:rsidR="00B64DD4" w:rsidRPr="00EF711C">
              <w:rPr>
                <w:rFonts w:cstheme="minorHAnsi"/>
              </w:rPr>
              <w:t xml:space="preserve">the delivery </w:t>
            </w:r>
            <w:r w:rsidR="000A53C4">
              <w:rPr>
                <w:rFonts w:cstheme="minorHAnsi"/>
              </w:rPr>
              <w:t xml:space="preserve">of </w:t>
            </w:r>
            <w:r w:rsidR="00B64DD4" w:rsidRPr="00EF711C">
              <w:rPr>
                <w:rFonts w:cstheme="minorHAnsi"/>
              </w:rPr>
              <w:t>c</w:t>
            </w:r>
            <w:r w:rsidR="006532AB">
              <w:rPr>
                <w:rFonts w:cstheme="minorHAnsi"/>
              </w:rPr>
              <w:t>ardiology</w:t>
            </w:r>
            <w:r w:rsidR="00B441D5">
              <w:rPr>
                <w:rFonts w:cstheme="minorHAnsi"/>
              </w:rPr>
              <w:t xml:space="preserve"> care, including </w:t>
            </w:r>
            <w:r w:rsidR="0015737B">
              <w:rPr>
                <w:rFonts w:cstheme="minorHAnsi"/>
              </w:rPr>
              <w:t xml:space="preserve">(but not limited to): </w:t>
            </w:r>
            <w:r w:rsidR="00B441D5">
              <w:rPr>
                <w:rFonts w:cstheme="minorHAnsi"/>
              </w:rPr>
              <w:t xml:space="preserve">diagnosis, treatment and rehabilitation, as well as the </w:t>
            </w:r>
            <w:r w:rsidR="00B64DD4" w:rsidRPr="00EF711C">
              <w:rPr>
                <w:rFonts w:cstheme="minorHAnsi"/>
              </w:rPr>
              <w:t>promotion of lifestyle changes</w:t>
            </w:r>
            <w:r w:rsidR="0015737B">
              <w:rPr>
                <w:rFonts w:cstheme="minorHAnsi"/>
              </w:rPr>
              <w:t xml:space="preserve">.  </w:t>
            </w:r>
            <w:r w:rsidR="00B64DD4" w:rsidRPr="00EF711C">
              <w:rPr>
                <w:rFonts w:cstheme="minorHAnsi"/>
              </w:rPr>
              <w:t xml:space="preserve"> </w:t>
            </w:r>
            <w:r w:rsidR="007D7219">
              <w:rPr>
                <w:rFonts w:cstheme="minorHAnsi"/>
              </w:rPr>
              <w:t xml:space="preserve">Both nursing and therapy staff </w:t>
            </w:r>
            <w:r w:rsidR="00055CEE">
              <w:rPr>
                <w:rFonts w:cstheme="minorHAnsi"/>
              </w:rPr>
              <w:t xml:space="preserve">will work with patients to </w:t>
            </w:r>
            <w:r w:rsidR="00292630" w:rsidRPr="00EF711C">
              <w:rPr>
                <w:rFonts w:cstheme="minorHAnsi"/>
              </w:rPr>
              <w:t>provid</w:t>
            </w:r>
            <w:r w:rsidR="00292630">
              <w:rPr>
                <w:rFonts w:cstheme="minorHAnsi"/>
              </w:rPr>
              <w:t>e health</w:t>
            </w:r>
            <w:r w:rsidR="00B64DD4" w:rsidRPr="00EF711C">
              <w:rPr>
                <w:rFonts w:cstheme="minorHAnsi"/>
              </w:rPr>
              <w:t xml:space="preserve"> education and advice</w:t>
            </w:r>
            <w:r w:rsidR="00292630">
              <w:rPr>
                <w:rFonts w:cstheme="minorHAnsi"/>
              </w:rPr>
              <w:t xml:space="preserve">, and rehabilitation </w:t>
            </w:r>
            <w:r w:rsidR="00B64DD4" w:rsidRPr="00EF711C">
              <w:rPr>
                <w:rFonts w:cstheme="minorHAnsi"/>
              </w:rPr>
              <w:t xml:space="preserve">to patients </w:t>
            </w:r>
            <w:r w:rsidR="00C5417B">
              <w:rPr>
                <w:rFonts w:cstheme="minorHAnsi"/>
              </w:rPr>
              <w:t xml:space="preserve">to improve quality of life and </w:t>
            </w:r>
            <w:r w:rsidR="00085241" w:rsidRPr="00EF711C">
              <w:rPr>
                <w:rFonts w:cstheme="minorHAnsi"/>
              </w:rPr>
              <w:t>reduc</w:t>
            </w:r>
            <w:r w:rsidR="00085241">
              <w:rPr>
                <w:rFonts w:cstheme="minorHAnsi"/>
              </w:rPr>
              <w:t>e the</w:t>
            </w:r>
            <w:r w:rsidR="00B64DD4" w:rsidRPr="00EF711C">
              <w:rPr>
                <w:rFonts w:cstheme="minorHAnsi"/>
              </w:rPr>
              <w:t xml:space="preserve"> risk of further cardiac events and potential cerebrovascular events</w:t>
            </w:r>
            <w:r w:rsidR="00292630">
              <w:rPr>
                <w:rFonts w:cstheme="minorHAnsi"/>
              </w:rPr>
              <w:t xml:space="preserve">.  </w:t>
            </w:r>
            <w:r w:rsidR="00B64DD4" w:rsidRPr="00EF711C">
              <w:rPr>
                <w:rFonts w:cstheme="minorHAnsi"/>
              </w:rPr>
              <w:t>The core staff will work alongside the specialist clinician</w:t>
            </w:r>
            <w:r w:rsidR="00AF6F88">
              <w:rPr>
                <w:rFonts w:cstheme="minorHAnsi"/>
              </w:rPr>
              <w:t>s</w:t>
            </w:r>
            <w:r w:rsidR="00B64DD4" w:rsidRPr="00EF711C">
              <w:rPr>
                <w:rFonts w:cstheme="minorHAnsi"/>
              </w:rPr>
              <w:t xml:space="preserve"> to undertake diagnostic testing to ascertain and confirm the diagnosis of </w:t>
            </w:r>
            <w:r w:rsidR="00AF6F88">
              <w:rPr>
                <w:rFonts w:cstheme="minorHAnsi"/>
              </w:rPr>
              <w:t xml:space="preserve">a number of conditions including but not limited to: </w:t>
            </w:r>
            <w:r w:rsidR="00B64DD4" w:rsidRPr="00EF711C">
              <w:rPr>
                <w:rFonts w:cstheme="minorHAnsi"/>
              </w:rPr>
              <w:t>Arrhythmia</w:t>
            </w:r>
            <w:r w:rsidR="00E95485">
              <w:rPr>
                <w:rFonts w:cstheme="minorHAnsi"/>
              </w:rPr>
              <w:t>, Heart Failure (LVSD) etc.</w:t>
            </w:r>
            <w:r w:rsidR="0059637E" w:rsidRPr="00EF711C">
              <w:rPr>
                <w:rFonts w:cstheme="minorHAnsi"/>
              </w:rPr>
              <w:t xml:space="preserve"> </w:t>
            </w:r>
          </w:p>
          <w:p w14:paraId="2B641853" w14:textId="77777777" w:rsidR="003B1974" w:rsidRPr="00EF711C" w:rsidRDefault="003B1974" w:rsidP="00EF711C">
            <w:pPr>
              <w:jc w:val="both"/>
              <w:rPr>
                <w:rFonts w:cstheme="minorHAnsi"/>
                <w:u w:val="single"/>
              </w:rPr>
            </w:pPr>
          </w:p>
          <w:p w14:paraId="3A05E0B9" w14:textId="77777777" w:rsidR="003B1974" w:rsidRPr="00EF711C" w:rsidRDefault="003B1974" w:rsidP="00EF711C">
            <w:pPr>
              <w:jc w:val="both"/>
              <w:rPr>
                <w:rFonts w:cstheme="minorHAnsi"/>
                <w:u w:val="single"/>
              </w:rPr>
            </w:pPr>
            <w:r w:rsidRPr="00EF711C">
              <w:rPr>
                <w:rFonts w:cstheme="minorHAnsi"/>
                <w:u w:val="single"/>
              </w:rPr>
              <w:t>Respiratory care</w:t>
            </w:r>
          </w:p>
          <w:p w14:paraId="0E8AF85F" w14:textId="77777777" w:rsidR="003B1974" w:rsidRPr="00EF711C" w:rsidRDefault="005B2AC5" w:rsidP="00EF711C">
            <w:pPr>
              <w:jc w:val="both"/>
              <w:rPr>
                <w:rFonts w:cstheme="minorHAnsi"/>
              </w:rPr>
            </w:pPr>
            <w:r w:rsidRPr="00EF711C">
              <w:rPr>
                <w:rFonts w:cstheme="minorHAnsi"/>
              </w:rPr>
              <w:t xml:space="preserve">The Provider will offer support for a range of </w:t>
            </w:r>
            <w:r w:rsidR="000274E7" w:rsidRPr="00EF711C">
              <w:rPr>
                <w:rFonts w:cstheme="minorHAnsi"/>
              </w:rPr>
              <w:t xml:space="preserve">respiratory </w:t>
            </w:r>
            <w:r w:rsidRPr="00EF711C">
              <w:rPr>
                <w:rFonts w:cstheme="minorHAnsi"/>
              </w:rPr>
              <w:t>conditions</w:t>
            </w:r>
            <w:r w:rsidR="000274E7" w:rsidRPr="00EF711C">
              <w:rPr>
                <w:rFonts w:cstheme="minorHAnsi"/>
              </w:rPr>
              <w:t xml:space="preserve"> including (but not limited to): COPD, asthma, emphysema, cystic fibrosis</w:t>
            </w:r>
            <w:r w:rsidR="00DD464D" w:rsidRPr="00EF711C">
              <w:rPr>
                <w:rFonts w:cstheme="minorHAnsi"/>
              </w:rPr>
              <w:t xml:space="preserve">.  </w:t>
            </w:r>
            <w:r w:rsidR="000274E7" w:rsidRPr="00EF711C">
              <w:rPr>
                <w:rFonts w:cstheme="minorHAnsi"/>
              </w:rPr>
              <w:t xml:space="preserve"> </w:t>
            </w:r>
            <w:r w:rsidR="000D78BE" w:rsidRPr="00EF711C">
              <w:rPr>
                <w:rFonts w:cstheme="minorHAnsi"/>
              </w:rPr>
              <w:t xml:space="preserve">The Provider will offer </w:t>
            </w:r>
            <w:r w:rsidR="00C52405" w:rsidRPr="00EF711C">
              <w:rPr>
                <w:rFonts w:cstheme="minorHAnsi"/>
              </w:rPr>
              <w:t xml:space="preserve">pharmacological </w:t>
            </w:r>
            <w:r w:rsidR="00581D45" w:rsidRPr="00EF711C">
              <w:rPr>
                <w:rFonts w:cstheme="minorHAnsi"/>
              </w:rPr>
              <w:t>interventions (inhalers, pulmonary rehabilitation</w:t>
            </w:r>
            <w:r w:rsidR="00FF651C" w:rsidRPr="00EF711C">
              <w:rPr>
                <w:rFonts w:cstheme="minorHAnsi"/>
              </w:rPr>
              <w:t>)</w:t>
            </w:r>
            <w:r w:rsidR="00581D45" w:rsidRPr="00EF711C">
              <w:rPr>
                <w:rFonts w:cstheme="minorHAnsi"/>
              </w:rPr>
              <w:t>, and non-pharmacological interventions (</w:t>
            </w:r>
            <w:r w:rsidR="00B53618" w:rsidRPr="00EF711C">
              <w:rPr>
                <w:rFonts w:cstheme="minorHAnsi"/>
              </w:rPr>
              <w:t xml:space="preserve">smoking cessation advice) </w:t>
            </w:r>
            <w:r w:rsidR="000D78BE" w:rsidRPr="00EF711C">
              <w:rPr>
                <w:rFonts w:cstheme="minorHAnsi"/>
              </w:rPr>
              <w:t xml:space="preserve">spirometry, </w:t>
            </w:r>
            <w:r w:rsidR="00853A02" w:rsidRPr="00EF711C">
              <w:rPr>
                <w:rFonts w:cstheme="minorHAnsi"/>
              </w:rPr>
              <w:t>home oxygen service</w:t>
            </w:r>
            <w:r w:rsidR="00C52405" w:rsidRPr="00EF711C">
              <w:rPr>
                <w:rFonts w:cstheme="minorHAnsi"/>
              </w:rPr>
              <w:t xml:space="preserve">, </w:t>
            </w:r>
            <w:r w:rsidR="00B53618" w:rsidRPr="00EF711C">
              <w:rPr>
                <w:rFonts w:cstheme="minorHAnsi"/>
              </w:rPr>
              <w:t>and inhaler</w:t>
            </w:r>
            <w:r w:rsidR="00C52405" w:rsidRPr="00EF711C">
              <w:rPr>
                <w:rFonts w:cstheme="minorHAnsi"/>
              </w:rPr>
              <w:t xml:space="preserve"> technique training.</w:t>
            </w:r>
          </w:p>
          <w:p w14:paraId="0466FBDA" w14:textId="77777777" w:rsidR="003B1974" w:rsidRPr="00EF711C" w:rsidRDefault="003B1974" w:rsidP="00EF711C">
            <w:pPr>
              <w:jc w:val="both"/>
              <w:rPr>
                <w:rFonts w:cstheme="minorHAnsi"/>
                <w:u w:val="single"/>
              </w:rPr>
            </w:pPr>
          </w:p>
          <w:p w14:paraId="7DD89B88" w14:textId="77777777" w:rsidR="00B53618" w:rsidRPr="00EF711C" w:rsidRDefault="00B53618" w:rsidP="00EF711C">
            <w:pPr>
              <w:jc w:val="both"/>
              <w:rPr>
                <w:rFonts w:cstheme="minorHAnsi"/>
                <w:u w:val="single"/>
              </w:rPr>
            </w:pPr>
            <w:r w:rsidRPr="00EF711C">
              <w:rPr>
                <w:rFonts w:cstheme="minorHAnsi"/>
                <w:u w:val="single"/>
              </w:rPr>
              <w:t>Lymp</w:t>
            </w:r>
            <w:r w:rsidR="00713FB3">
              <w:rPr>
                <w:rFonts w:cstheme="minorHAnsi"/>
                <w:u w:val="single"/>
              </w:rPr>
              <w:t>h</w:t>
            </w:r>
            <w:r w:rsidRPr="00EF711C">
              <w:rPr>
                <w:rFonts w:cstheme="minorHAnsi"/>
                <w:u w:val="single"/>
              </w:rPr>
              <w:t>o</w:t>
            </w:r>
            <w:r w:rsidR="00713FB3">
              <w:rPr>
                <w:rFonts w:cstheme="minorHAnsi"/>
                <w:u w:val="single"/>
              </w:rPr>
              <w:t>e</w:t>
            </w:r>
            <w:r w:rsidRPr="00EF711C">
              <w:rPr>
                <w:rFonts w:cstheme="minorHAnsi"/>
                <w:u w:val="single"/>
              </w:rPr>
              <w:t xml:space="preserve">dema care </w:t>
            </w:r>
          </w:p>
          <w:p w14:paraId="79D3993A" w14:textId="77777777" w:rsidR="00281372" w:rsidRDefault="009A0EC2" w:rsidP="00EF711C">
            <w:pPr>
              <w:jc w:val="both"/>
              <w:rPr>
                <w:rFonts w:cstheme="minorHAnsi"/>
              </w:rPr>
            </w:pPr>
            <w:r w:rsidRPr="00EF711C">
              <w:rPr>
                <w:rFonts w:cstheme="minorHAnsi"/>
              </w:rPr>
              <w:t xml:space="preserve">The Provider will </w:t>
            </w:r>
            <w:r w:rsidR="002B243D">
              <w:rPr>
                <w:rFonts w:cstheme="minorHAnsi"/>
              </w:rPr>
              <w:t xml:space="preserve">of support in the </w:t>
            </w:r>
            <w:r w:rsidR="00281372" w:rsidRPr="00EF711C">
              <w:rPr>
                <w:rFonts w:cstheme="minorHAnsi"/>
              </w:rPr>
              <w:t>reinforce</w:t>
            </w:r>
            <w:r w:rsidR="002B243D">
              <w:rPr>
                <w:rFonts w:cstheme="minorHAnsi"/>
              </w:rPr>
              <w:t xml:space="preserve">ment of </w:t>
            </w:r>
            <w:r w:rsidR="0059637E" w:rsidRPr="00EF711C">
              <w:rPr>
                <w:rFonts w:cstheme="minorHAnsi"/>
              </w:rPr>
              <w:t>all aspects of</w:t>
            </w:r>
            <w:r w:rsidR="00281372" w:rsidRPr="00EF711C">
              <w:rPr>
                <w:rFonts w:cstheme="minorHAnsi"/>
              </w:rPr>
              <w:t xml:space="preserve"> the treatment plan instigated by the specialist support function.  </w:t>
            </w:r>
            <w:r w:rsidR="00E435B2" w:rsidRPr="00EF711C">
              <w:rPr>
                <w:rFonts w:cstheme="minorHAnsi"/>
              </w:rPr>
              <w:t>The</w:t>
            </w:r>
            <w:r w:rsidR="008301BF" w:rsidRPr="00EF711C">
              <w:rPr>
                <w:rFonts w:cstheme="minorHAnsi"/>
              </w:rPr>
              <w:t xml:space="preserve"> core </w:t>
            </w:r>
            <w:r w:rsidR="000E7706">
              <w:rPr>
                <w:rFonts w:cstheme="minorHAnsi"/>
              </w:rPr>
              <w:t xml:space="preserve">nursing function </w:t>
            </w:r>
            <w:r w:rsidR="008301BF" w:rsidRPr="00EF711C">
              <w:rPr>
                <w:rFonts w:cstheme="minorHAnsi"/>
              </w:rPr>
              <w:t xml:space="preserve">will promote self-management and provide advice and education. </w:t>
            </w:r>
            <w:r w:rsidR="00E435B2" w:rsidRPr="00EF711C">
              <w:rPr>
                <w:rFonts w:cstheme="minorHAnsi"/>
              </w:rPr>
              <w:t xml:space="preserve"> </w:t>
            </w:r>
          </w:p>
          <w:p w14:paraId="45AA4AC5" w14:textId="77777777" w:rsidR="002B243D" w:rsidRPr="00EF711C" w:rsidRDefault="002B243D" w:rsidP="00EF711C">
            <w:pPr>
              <w:jc w:val="both"/>
              <w:rPr>
                <w:rFonts w:cstheme="minorHAnsi"/>
              </w:rPr>
            </w:pPr>
          </w:p>
          <w:p w14:paraId="3103356B" w14:textId="77777777" w:rsidR="00B53618" w:rsidRPr="00EF711C" w:rsidRDefault="00B53618" w:rsidP="00EF711C">
            <w:pPr>
              <w:jc w:val="both"/>
              <w:rPr>
                <w:rFonts w:cstheme="minorHAnsi"/>
                <w:u w:val="single"/>
              </w:rPr>
            </w:pPr>
            <w:r w:rsidRPr="00EF711C">
              <w:rPr>
                <w:rFonts w:cstheme="minorHAnsi"/>
                <w:u w:val="single"/>
              </w:rPr>
              <w:t xml:space="preserve">Epilepsy care </w:t>
            </w:r>
          </w:p>
          <w:p w14:paraId="63251925" w14:textId="77777777" w:rsidR="00E000E0" w:rsidRDefault="00785240" w:rsidP="00EF711C">
            <w:pPr>
              <w:jc w:val="both"/>
              <w:rPr>
                <w:rFonts w:cstheme="minorHAnsi"/>
              </w:rPr>
            </w:pPr>
            <w:r w:rsidRPr="00EF711C">
              <w:rPr>
                <w:rFonts w:cstheme="minorHAnsi"/>
              </w:rPr>
              <w:t xml:space="preserve">The Provider will </w:t>
            </w:r>
            <w:r w:rsidR="0009760E" w:rsidRPr="00EF711C">
              <w:rPr>
                <w:rFonts w:cstheme="minorHAnsi"/>
              </w:rPr>
              <w:t xml:space="preserve">support a range of patients including (but not limited to): </w:t>
            </w:r>
            <w:r w:rsidR="00DB3B0B" w:rsidRPr="00EF711C">
              <w:rPr>
                <w:rFonts w:cstheme="minorHAnsi"/>
              </w:rPr>
              <w:t xml:space="preserve">recently diagnosed patients, </w:t>
            </w:r>
            <w:r w:rsidR="0009760E" w:rsidRPr="00EF711C">
              <w:rPr>
                <w:rFonts w:cstheme="minorHAnsi"/>
              </w:rPr>
              <w:t xml:space="preserve">women </w:t>
            </w:r>
            <w:r w:rsidR="00DB3B0B" w:rsidRPr="00EF711C">
              <w:rPr>
                <w:rFonts w:cstheme="minorHAnsi"/>
              </w:rPr>
              <w:t xml:space="preserve">with epilepsy who are pregnant, older people with complex co-morbidities etc. </w:t>
            </w:r>
            <w:r w:rsidR="009B3C69" w:rsidRPr="00EF711C">
              <w:rPr>
                <w:rFonts w:cstheme="minorHAnsi"/>
              </w:rPr>
              <w:t>The</w:t>
            </w:r>
            <w:r w:rsidR="00CE5C39">
              <w:rPr>
                <w:rFonts w:cstheme="minorHAnsi"/>
              </w:rPr>
              <w:t xml:space="preserve"> core nursing staff</w:t>
            </w:r>
            <w:r w:rsidR="009B3C69" w:rsidRPr="00EF711C">
              <w:rPr>
                <w:rFonts w:cstheme="minorHAnsi"/>
              </w:rPr>
              <w:t xml:space="preserve"> will </w:t>
            </w:r>
            <w:r w:rsidRPr="00EF711C">
              <w:rPr>
                <w:rFonts w:cstheme="minorHAnsi"/>
              </w:rPr>
              <w:t>prescribe</w:t>
            </w:r>
            <w:r w:rsidR="00A431A0" w:rsidRPr="00EF711C">
              <w:rPr>
                <w:rFonts w:cstheme="minorHAnsi"/>
              </w:rPr>
              <w:t xml:space="preserve">, </w:t>
            </w:r>
            <w:r w:rsidRPr="00EF711C">
              <w:rPr>
                <w:rFonts w:cstheme="minorHAnsi"/>
              </w:rPr>
              <w:t xml:space="preserve">provide </w:t>
            </w:r>
            <w:r w:rsidR="00A431A0" w:rsidRPr="00EF711C">
              <w:rPr>
                <w:rFonts w:cstheme="minorHAnsi"/>
              </w:rPr>
              <w:t>advi</w:t>
            </w:r>
            <w:r w:rsidRPr="00EF711C">
              <w:rPr>
                <w:rFonts w:cstheme="minorHAnsi"/>
              </w:rPr>
              <w:t xml:space="preserve">ce and </w:t>
            </w:r>
            <w:r w:rsidR="00A431A0" w:rsidRPr="00EF711C">
              <w:rPr>
                <w:rFonts w:cstheme="minorHAnsi"/>
              </w:rPr>
              <w:t>monitor anti-epileptic medication</w:t>
            </w:r>
            <w:r w:rsidR="0009760E" w:rsidRPr="00EF711C">
              <w:rPr>
                <w:rFonts w:cstheme="minorHAnsi"/>
              </w:rPr>
              <w:t>s</w:t>
            </w:r>
            <w:r w:rsidR="009B3C69" w:rsidRPr="00EF711C">
              <w:rPr>
                <w:rFonts w:cstheme="minorHAnsi"/>
              </w:rPr>
              <w:t>.</w:t>
            </w:r>
          </w:p>
          <w:p w14:paraId="21428107" w14:textId="77777777" w:rsidR="00EF711C" w:rsidRPr="00EF711C" w:rsidRDefault="00EF711C" w:rsidP="00EF711C">
            <w:pPr>
              <w:jc w:val="both"/>
              <w:rPr>
                <w:rFonts w:cstheme="minorHAnsi"/>
              </w:rPr>
            </w:pPr>
          </w:p>
          <w:p w14:paraId="0F5CA231" w14:textId="77777777" w:rsidR="00B53618" w:rsidRPr="00EF711C" w:rsidRDefault="00B53618" w:rsidP="00EF711C">
            <w:pPr>
              <w:jc w:val="both"/>
              <w:rPr>
                <w:rFonts w:cstheme="minorHAnsi"/>
                <w:u w:val="single"/>
              </w:rPr>
            </w:pPr>
            <w:r w:rsidRPr="00EF711C">
              <w:rPr>
                <w:rFonts w:cstheme="minorHAnsi"/>
                <w:u w:val="single"/>
              </w:rPr>
              <w:t>End of Life care</w:t>
            </w:r>
          </w:p>
          <w:p w14:paraId="6FC6F190" w14:textId="77777777" w:rsidR="007B410E" w:rsidRPr="00E8310D" w:rsidRDefault="005461F4" w:rsidP="00EF711C">
            <w:pPr>
              <w:jc w:val="both"/>
              <w:rPr>
                <w:rFonts w:cstheme="minorHAnsi"/>
              </w:rPr>
            </w:pPr>
            <w:r w:rsidRPr="00EF711C">
              <w:rPr>
                <w:rFonts w:cstheme="minorHAnsi"/>
              </w:rPr>
              <w:t xml:space="preserve">Nursing staff within the core function will </w:t>
            </w:r>
            <w:r w:rsidR="007B410E" w:rsidRPr="00EF711C">
              <w:rPr>
                <w:rFonts w:cstheme="minorHAnsi"/>
              </w:rPr>
              <w:t>work with the patient’s GP to co</w:t>
            </w:r>
            <w:r w:rsidR="00AD4F09" w:rsidRPr="00EF711C">
              <w:rPr>
                <w:rFonts w:cstheme="minorHAnsi"/>
              </w:rPr>
              <w:t>-</w:t>
            </w:r>
            <w:r w:rsidR="007B410E" w:rsidRPr="00EF711C">
              <w:rPr>
                <w:rFonts w:cstheme="minorHAnsi"/>
              </w:rPr>
              <w:t xml:space="preserve">ordinate the inputs of </w:t>
            </w:r>
            <w:r w:rsidR="00AD4F09" w:rsidRPr="00EF711C">
              <w:rPr>
                <w:rFonts w:cstheme="minorHAnsi"/>
              </w:rPr>
              <w:t xml:space="preserve">specialist palliative care, local hospice and voluntary sector providers </w:t>
            </w:r>
            <w:r w:rsidR="00B54D65" w:rsidRPr="00EF711C">
              <w:rPr>
                <w:rFonts w:cstheme="minorHAnsi"/>
              </w:rPr>
              <w:t>i</w:t>
            </w:r>
            <w:r w:rsidR="007B410E" w:rsidRPr="00EF711C">
              <w:rPr>
                <w:rFonts w:cstheme="minorHAnsi"/>
              </w:rPr>
              <w:t xml:space="preserve">n accordance with clinical need. </w:t>
            </w:r>
            <w:r w:rsidR="00CE5C39">
              <w:rPr>
                <w:rFonts w:cstheme="minorHAnsi"/>
              </w:rPr>
              <w:t xml:space="preserve">The core </w:t>
            </w:r>
            <w:r w:rsidR="00ED6527">
              <w:rPr>
                <w:rFonts w:cstheme="minorHAnsi"/>
              </w:rPr>
              <w:t xml:space="preserve">nursing function </w:t>
            </w:r>
            <w:r w:rsidR="007B410E" w:rsidRPr="00EF711C">
              <w:rPr>
                <w:rFonts w:cstheme="minorHAnsi"/>
              </w:rPr>
              <w:t xml:space="preserve">will provide on-going assessment as required, monitoring deterioration and prognostic indicators as </w:t>
            </w:r>
            <w:r w:rsidR="007B410E" w:rsidRPr="00EF711C">
              <w:rPr>
                <w:rFonts w:cstheme="minorHAnsi"/>
              </w:rPr>
              <w:lastRenderedPageBreak/>
              <w:t>well as providing pain management and symptom control for terminally ill patients.</w:t>
            </w:r>
            <w:r w:rsidR="00B54D65" w:rsidRPr="00EF711C">
              <w:rPr>
                <w:rFonts w:cstheme="minorHAnsi"/>
              </w:rPr>
              <w:t xml:space="preserve"> </w:t>
            </w:r>
            <w:r w:rsidR="007B410E" w:rsidRPr="00ED6527">
              <w:rPr>
                <w:rFonts w:cstheme="minorHAnsi"/>
              </w:rPr>
              <w:t xml:space="preserve">The </w:t>
            </w:r>
            <w:r w:rsidR="00A273A6" w:rsidRPr="00ED6527">
              <w:rPr>
                <w:rFonts w:cstheme="minorHAnsi"/>
              </w:rPr>
              <w:t>P</w:t>
            </w:r>
            <w:r w:rsidR="007B410E" w:rsidRPr="00C11BBF">
              <w:rPr>
                <w:rFonts w:cstheme="minorHAnsi"/>
              </w:rPr>
              <w:t>rovider will deliver end of life care</w:t>
            </w:r>
            <w:r w:rsidR="007B410E" w:rsidRPr="004C55ED">
              <w:rPr>
                <w:rFonts w:cstheme="minorHAnsi"/>
              </w:rPr>
              <w:t xml:space="preserve"> in line with the effective principles of care for different stages of a patients care pathway as set out by Medway and Swale End of Life Programme</w:t>
            </w:r>
            <w:r w:rsidR="00E23016" w:rsidRPr="00E8310D">
              <w:rPr>
                <w:rFonts w:cstheme="minorHAnsi"/>
              </w:rPr>
              <w:t>.</w:t>
            </w:r>
          </w:p>
          <w:p w14:paraId="3E2E1141" w14:textId="77777777" w:rsidR="00A273A6" w:rsidRPr="00E8310D" w:rsidRDefault="00A273A6" w:rsidP="00EF711C">
            <w:pPr>
              <w:jc w:val="both"/>
              <w:rPr>
                <w:rFonts w:cstheme="minorHAnsi"/>
              </w:rPr>
            </w:pPr>
          </w:p>
          <w:p w14:paraId="0858D2D8" w14:textId="77777777" w:rsidR="00F20790" w:rsidRPr="00E8310D" w:rsidRDefault="00F20790" w:rsidP="00EF711C">
            <w:pPr>
              <w:jc w:val="both"/>
              <w:rPr>
                <w:rFonts w:cstheme="minorHAnsi"/>
                <w:u w:val="single"/>
              </w:rPr>
            </w:pPr>
            <w:r w:rsidRPr="00E8310D">
              <w:rPr>
                <w:rFonts w:cstheme="minorHAnsi"/>
                <w:u w:val="single"/>
              </w:rPr>
              <w:t xml:space="preserve">Dementia care </w:t>
            </w:r>
          </w:p>
          <w:p w14:paraId="529D4EFB" w14:textId="77777777" w:rsidR="00751615" w:rsidRPr="00592977" w:rsidRDefault="004C524F" w:rsidP="00EF711C">
            <w:pPr>
              <w:jc w:val="both"/>
              <w:rPr>
                <w:rFonts w:cstheme="minorHAnsi"/>
              </w:rPr>
            </w:pPr>
            <w:r w:rsidRPr="00EF711C">
              <w:rPr>
                <w:rFonts w:cstheme="minorHAnsi"/>
              </w:rPr>
              <w:t>N</w:t>
            </w:r>
            <w:r w:rsidR="007B410E" w:rsidRPr="00EF711C">
              <w:rPr>
                <w:rFonts w:cstheme="minorHAnsi"/>
              </w:rPr>
              <w:t xml:space="preserve">ursing staff </w:t>
            </w:r>
            <w:r w:rsidRPr="00EF711C">
              <w:rPr>
                <w:rFonts w:cstheme="minorHAnsi"/>
              </w:rPr>
              <w:t xml:space="preserve">within the core function will </w:t>
            </w:r>
            <w:r w:rsidR="007B410E" w:rsidRPr="00EF711C">
              <w:rPr>
                <w:rFonts w:cstheme="minorHAnsi"/>
              </w:rPr>
              <w:t xml:space="preserve">have an appropriate level of mental health training and expertise to provide emotional </w:t>
            </w:r>
            <w:r w:rsidRPr="00EF711C">
              <w:rPr>
                <w:rFonts w:cstheme="minorHAnsi"/>
              </w:rPr>
              <w:t xml:space="preserve">and </w:t>
            </w:r>
            <w:r w:rsidR="007B410E" w:rsidRPr="00EF711C">
              <w:rPr>
                <w:rFonts w:cstheme="minorHAnsi"/>
              </w:rPr>
              <w:t>wellbeing support for patients with common mental health conditions</w:t>
            </w:r>
            <w:r w:rsidRPr="00EF711C">
              <w:rPr>
                <w:rFonts w:cstheme="minorHAnsi"/>
              </w:rPr>
              <w:t>, p</w:t>
            </w:r>
            <w:r w:rsidR="007B410E" w:rsidRPr="00EF711C">
              <w:rPr>
                <w:rFonts w:cstheme="minorHAnsi"/>
              </w:rPr>
              <w:t xml:space="preserve">articularly those conditions that correlate with the presence of physical long-term conditions or disability e.g. anxiety and depression and those prevalent in older people such as dementia. </w:t>
            </w:r>
            <w:r w:rsidR="000B35EF" w:rsidRPr="00EF711C">
              <w:rPr>
                <w:rFonts w:cstheme="minorHAnsi"/>
              </w:rPr>
              <w:t>N</w:t>
            </w:r>
            <w:r w:rsidR="007B410E" w:rsidRPr="00EF711C">
              <w:rPr>
                <w:rFonts w:cstheme="minorHAnsi"/>
              </w:rPr>
              <w:t xml:space="preserve">ursing staff </w:t>
            </w:r>
            <w:r w:rsidR="000B35EF" w:rsidRPr="00EF711C">
              <w:rPr>
                <w:rFonts w:cstheme="minorHAnsi"/>
              </w:rPr>
              <w:t xml:space="preserve">will </w:t>
            </w:r>
            <w:r w:rsidR="007B410E" w:rsidRPr="00EF711C">
              <w:rPr>
                <w:rFonts w:cstheme="minorHAnsi"/>
              </w:rPr>
              <w:t>be able to provide basic dementia and depression screening and coordinate a service response from other health service professionals, the voluntary sector or specialist mental health services as required.</w:t>
            </w:r>
          </w:p>
          <w:p w14:paraId="77EBDAF5" w14:textId="77777777" w:rsidR="007B410E" w:rsidRPr="004C55ED" w:rsidRDefault="007B410E" w:rsidP="00EF711C">
            <w:pPr>
              <w:jc w:val="both"/>
              <w:rPr>
                <w:rFonts w:cstheme="minorHAnsi"/>
              </w:rPr>
            </w:pPr>
          </w:p>
          <w:p w14:paraId="2E3BD8CC" w14:textId="77777777" w:rsidR="00751615" w:rsidRPr="00E8310D" w:rsidRDefault="00751615" w:rsidP="00EF711C">
            <w:pPr>
              <w:jc w:val="both"/>
              <w:rPr>
                <w:rFonts w:cstheme="minorHAnsi"/>
                <w:u w:val="single"/>
              </w:rPr>
            </w:pPr>
            <w:r w:rsidRPr="00E8310D">
              <w:rPr>
                <w:rFonts w:cstheme="minorHAnsi"/>
                <w:u w:val="single"/>
              </w:rPr>
              <w:t>Dietetics</w:t>
            </w:r>
          </w:p>
          <w:p w14:paraId="48F8E43F" w14:textId="77777777" w:rsidR="00FD0C3A" w:rsidRPr="00DF55B7" w:rsidRDefault="0052412E" w:rsidP="00EF711C">
            <w:pPr>
              <w:jc w:val="both"/>
              <w:rPr>
                <w:rFonts w:cstheme="minorHAnsi"/>
              </w:rPr>
            </w:pPr>
            <w:r w:rsidRPr="00E8310D">
              <w:rPr>
                <w:rFonts w:cstheme="minorHAnsi"/>
              </w:rPr>
              <w:t xml:space="preserve">The Provider will </w:t>
            </w:r>
            <w:r w:rsidRPr="00DB2731">
              <w:rPr>
                <w:rFonts w:cstheme="minorHAnsi"/>
              </w:rPr>
              <w:t xml:space="preserve">offer support to </w:t>
            </w:r>
            <w:r w:rsidR="00DF55B7">
              <w:rPr>
                <w:rFonts w:cstheme="minorHAnsi"/>
              </w:rPr>
              <w:t xml:space="preserve">a wide range of </w:t>
            </w:r>
            <w:r w:rsidRPr="00DB2731">
              <w:rPr>
                <w:rFonts w:cstheme="minorHAnsi"/>
              </w:rPr>
              <w:t xml:space="preserve">patients </w:t>
            </w:r>
            <w:r w:rsidR="00DF55B7">
              <w:rPr>
                <w:rFonts w:cstheme="minorHAnsi"/>
              </w:rPr>
              <w:t xml:space="preserve">(including but not limited to): those </w:t>
            </w:r>
            <w:r w:rsidR="00FD0C3A" w:rsidRPr="00DB2731">
              <w:rPr>
                <w:rFonts w:cstheme="minorHAnsi"/>
              </w:rPr>
              <w:t xml:space="preserve">who require enteral tube feeding, or those </w:t>
            </w:r>
            <w:r w:rsidRPr="00DF55B7">
              <w:rPr>
                <w:rFonts w:cstheme="minorHAnsi"/>
              </w:rPr>
              <w:t xml:space="preserve">with </w:t>
            </w:r>
            <w:r w:rsidR="005C10ED" w:rsidRPr="00DF55B7">
              <w:rPr>
                <w:rFonts w:cstheme="minorHAnsi"/>
              </w:rPr>
              <w:t xml:space="preserve">disease related malnutrition, management of gastrointestinal problems i.e. irritable bowel syndrome, </w:t>
            </w:r>
            <w:r w:rsidR="00EA55F2" w:rsidRPr="00DF55B7">
              <w:rPr>
                <w:rFonts w:cstheme="minorHAnsi"/>
              </w:rPr>
              <w:t>irritable bowel disorder, diverticulitis, coeliac conditions</w:t>
            </w:r>
            <w:r w:rsidR="00442DBD" w:rsidRPr="00DF55B7">
              <w:rPr>
                <w:rFonts w:cstheme="minorHAnsi"/>
              </w:rPr>
              <w:t xml:space="preserve">, patients with specific diseases i.e. cancer, </w:t>
            </w:r>
            <w:r w:rsidR="005B2051" w:rsidRPr="00DF55B7">
              <w:rPr>
                <w:rFonts w:cstheme="minorHAnsi"/>
              </w:rPr>
              <w:t xml:space="preserve">and those recovering from stroke </w:t>
            </w:r>
            <w:r w:rsidR="00442DBD" w:rsidRPr="00DF55B7">
              <w:rPr>
                <w:rFonts w:cstheme="minorHAnsi"/>
              </w:rPr>
              <w:t xml:space="preserve">or </w:t>
            </w:r>
            <w:r w:rsidR="005B2051" w:rsidRPr="00DF55B7">
              <w:rPr>
                <w:rFonts w:cstheme="minorHAnsi"/>
              </w:rPr>
              <w:t>living with lo</w:t>
            </w:r>
            <w:r w:rsidR="007B410E" w:rsidRPr="00DF55B7">
              <w:rPr>
                <w:rFonts w:cstheme="minorHAnsi"/>
              </w:rPr>
              <w:t xml:space="preserve">ng-term neurological condition. </w:t>
            </w:r>
          </w:p>
          <w:p w14:paraId="0F59326F" w14:textId="77777777" w:rsidR="007B410E" w:rsidRPr="004C55ED" w:rsidRDefault="007B410E" w:rsidP="00EF711C">
            <w:pPr>
              <w:jc w:val="both"/>
              <w:rPr>
                <w:rFonts w:cstheme="minorHAnsi"/>
              </w:rPr>
            </w:pPr>
          </w:p>
          <w:p w14:paraId="6BF0953A" w14:textId="77777777" w:rsidR="008D630A" w:rsidRPr="00E8310D" w:rsidRDefault="008D630A" w:rsidP="00EF711C">
            <w:pPr>
              <w:jc w:val="both"/>
              <w:rPr>
                <w:rFonts w:cstheme="minorHAnsi"/>
                <w:u w:val="single"/>
              </w:rPr>
            </w:pPr>
            <w:r w:rsidRPr="00E8310D">
              <w:rPr>
                <w:rFonts w:cstheme="minorHAnsi"/>
                <w:u w:val="single"/>
              </w:rPr>
              <w:t>SALT</w:t>
            </w:r>
          </w:p>
          <w:p w14:paraId="0799C829" w14:textId="77777777" w:rsidR="004334E1" w:rsidRPr="00DF55B7" w:rsidRDefault="00B30AD1" w:rsidP="00EF711C">
            <w:pPr>
              <w:jc w:val="both"/>
              <w:rPr>
                <w:rFonts w:cstheme="minorHAnsi"/>
              </w:rPr>
            </w:pPr>
            <w:r w:rsidRPr="00E8310D">
              <w:rPr>
                <w:rFonts w:cstheme="minorHAnsi"/>
              </w:rPr>
              <w:t xml:space="preserve">The Provider will offer support and interventions </w:t>
            </w:r>
            <w:r w:rsidR="0052412E" w:rsidRPr="00E8310D">
              <w:rPr>
                <w:rFonts w:cstheme="minorHAnsi"/>
              </w:rPr>
              <w:t>to</w:t>
            </w:r>
            <w:r w:rsidRPr="00E8310D">
              <w:rPr>
                <w:rFonts w:cstheme="minorHAnsi"/>
              </w:rPr>
              <w:t xml:space="preserve"> </w:t>
            </w:r>
            <w:r w:rsidR="00DF55B7">
              <w:rPr>
                <w:rFonts w:cstheme="minorHAnsi"/>
              </w:rPr>
              <w:t xml:space="preserve">a wide range of patients (including but not limited to): </w:t>
            </w:r>
            <w:r w:rsidRPr="00DF55B7">
              <w:rPr>
                <w:rFonts w:cstheme="minorHAnsi"/>
              </w:rPr>
              <w:t xml:space="preserve">patients with acquired disorders </w:t>
            </w:r>
            <w:r w:rsidR="00B3451F" w:rsidRPr="00DF55B7">
              <w:rPr>
                <w:rFonts w:cstheme="minorHAnsi"/>
              </w:rPr>
              <w:t>affecting communication and /or swallowing including progressive and non-progressive conditions, acute disorders,</w:t>
            </w:r>
            <w:r w:rsidR="001651EC" w:rsidRPr="00DF55B7">
              <w:rPr>
                <w:rFonts w:cstheme="minorHAnsi"/>
              </w:rPr>
              <w:t xml:space="preserve"> developmental conditions,</w:t>
            </w:r>
            <w:r w:rsidR="00B3451F" w:rsidRPr="00DF55B7">
              <w:rPr>
                <w:rFonts w:cstheme="minorHAnsi"/>
              </w:rPr>
              <w:t xml:space="preserve"> disorders in voice production and fluency and those with cancer.</w:t>
            </w:r>
            <w:r w:rsidR="000B16CB" w:rsidRPr="00DF55B7">
              <w:rPr>
                <w:rFonts w:cstheme="minorHAnsi"/>
              </w:rPr>
              <w:t xml:space="preserve">  It will also support </w:t>
            </w:r>
            <w:r w:rsidR="00967E66" w:rsidRPr="00DF55B7">
              <w:rPr>
                <w:rFonts w:cstheme="minorHAnsi"/>
              </w:rPr>
              <w:t>patients who have previously suffered a stroke or who have a long-term neurological condition, but no longer require specialist intervention.</w:t>
            </w:r>
          </w:p>
          <w:p w14:paraId="31A08A90" w14:textId="77777777" w:rsidR="008D630A" w:rsidRPr="00DF55B7" w:rsidRDefault="008D630A" w:rsidP="00EF711C">
            <w:pPr>
              <w:jc w:val="both"/>
              <w:rPr>
                <w:rFonts w:cstheme="minorHAnsi"/>
                <w:u w:val="single"/>
              </w:rPr>
            </w:pPr>
          </w:p>
          <w:p w14:paraId="76F07C98" w14:textId="77777777" w:rsidR="008D630A" w:rsidRPr="00DF55B7" w:rsidRDefault="008D630A" w:rsidP="00EF711C">
            <w:pPr>
              <w:jc w:val="both"/>
              <w:rPr>
                <w:rFonts w:cstheme="minorHAnsi"/>
                <w:u w:val="single"/>
              </w:rPr>
            </w:pPr>
            <w:r w:rsidRPr="00DF55B7">
              <w:rPr>
                <w:rFonts w:cstheme="minorHAnsi"/>
                <w:u w:val="single"/>
              </w:rPr>
              <w:t>Podiatry</w:t>
            </w:r>
          </w:p>
          <w:p w14:paraId="02E8BB99" w14:textId="77777777" w:rsidR="00716884" w:rsidRPr="00DF55B7" w:rsidRDefault="00716884" w:rsidP="00DF55B7">
            <w:pPr>
              <w:ind w:left="34"/>
              <w:jc w:val="both"/>
              <w:rPr>
                <w:rFonts w:eastAsia="Times New Roman" w:cstheme="minorHAnsi"/>
              </w:rPr>
            </w:pPr>
            <w:r w:rsidRPr="00DF55B7">
              <w:rPr>
                <w:rFonts w:eastAsia="Times New Roman" w:cstheme="minorHAnsi"/>
              </w:rPr>
              <w:t xml:space="preserve">The </w:t>
            </w:r>
            <w:r w:rsidR="002712E5">
              <w:rPr>
                <w:rFonts w:eastAsia="Times New Roman" w:cstheme="minorHAnsi"/>
              </w:rPr>
              <w:t>P</w:t>
            </w:r>
            <w:r w:rsidRPr="00DF55B7">
              <w:rPr>
                <w:rFonts w:eastAsia="Times New Roman" w:cstheme="minorHAnsi"/>
              </w:rPr>
              <w:t xml:space="preserve">rovider will help with </w:t>
            </w:r>
            <w:r w:rsidR="002712E5">
              <w:rPr>
                <w:rFonts w:eastAsia="Times New Roman" w:cstheme="minorHAnsi"/>
              </w:rPr>
              <w:t xml:space="preserve">(including but not limited to): </w:t>
            </w:r>
            <w:r w:rsidRPr="00DF55B7">
              <w:rPr>
                <w:rFonts w:eastAsia="Times New Roman" w:cstheme="minorHAnsi"/>
              </w:rPr>
              <w:t>the diagnos</w:t>
            </w:r>
            <w:r w:rsidR="002712E5">
              <w:rPr>
                <w:rFonts w:eastAsia="Times New Roman" w:cstheme="minorHAnsi"/>
              </w:rPr>
              <w:t>es</w:t>
            </w:r>
            <w:r w:rsidRPr="00DF55B7">
              <w:rPr>
                <w:rFonts w:eastAsia="Times New Roman" w:cstheme="minorHAnsi"/>
              </w:rPr>
              <w:t xml:space="preserve">, </w:t>
            </w:r>
            <w:r w:rsidR="00006EA9" w:rsidRPr="00DF55B7">
              <w:rPr>
                <w:rFonts w:eastAsia="Times New Roman" w:cstheme="minorHAnsi"/>
              </w:rPr>
              <w:t>treat</w:t>
            </w:r>
            <w:r w:rsidR="00006EA9">
              <w:rPr>
                <w:rFonts w:eastAsia="Times New Roman" w:cstheme="minorHAnsi"/>
              </w:rPr>
              <w:t>ment,</w:t>
            </w:r>
            <w:r w:rsidRPr="00DF55B7">
              <w:rPr>
                <w:rFonts w:eastAsia="Times New Roman" w:cstheme="minorHAnsi"/>
              </w:rPr>
              <w:t xml:space="preserve"> and where applicable </w:t>
            </w:r>
            <w:r w:rsidR="002712E5" w:rsidRPr="00DF55B7">
              <w:rPr>
                <w:rFonts w:eastAsia="Times New Roman" w:cstheme="minorHAnsi"/>
              </w:rPr>
              <w:t>preventi</w:t>
            </w:r>
            <w:r w:rsidR="002712E5">
              <w:rPr>
                <w:rFonts w:eastAsia="Times New Roman" w:cstheme="minorHAnsi"/>
              </w:rPr>
              <w:t xml:space="preserve">on of </w:t>
            </w:r>
            <w:r w:rsidRPr="00DF55B7">
              <w:rPr>
                <w:rFonts w:eastAsia="Times New Roman" w:cstheme="minorHAnsi"/>
              </w:rPr>
              <w:t xml:space="preserve">lower limb disorders. When appropriate it is expected that the core </w:t>
            </w:r>
            <w:r w:rsidR="00006EA9">
              <w:rPr>
                <w:rFonts w:eastAsia="Times New Roman" w:cstheme="minorHAnsi"/>
              </w:rPr>
              <w:t xml:space="preserve">nursing </w:t>
            </w:r>
            <w:r w:rsidRPr="00DF55B7">
              <w:rPr>
                <w:rFonts w:eastAsia="Times New Roman" w:cstheme="minorHAnsi"/>
              </w:rPr>
              <w:t>staff will be able to perform assessment test</w:t>
            </w:r>
            <w:r w:rsidR="00006EA9">
              <w:rPr>
                <w:rFonts w:eastAsia="Times New Roman" w:cstheme="minorHAnsi"/>
              </w:rPr>
              <w:t>s</w:t>
            </w:r>
            <w:r w:rsidRPr="00DF55B7">
              <w:rPr>
                <w:rFonts w:eastAsia="Times New Roman" w:cstheme="minorHAnsi"/>
              </w:rPr>
              <w:t xml:space="preserve"> such as Doppler and measurement of ankle brachial pressure index (ABPI). </w:t>
            </w:r>
            <w:r w:rsidR="00006EA9">
              <w:rPr>
                <w:rFonts w:eastAsia="Times New Roman" w:cstheme="minorHAnsi"/>
              </w:rPr>
              <w:t>The Provider w</w:t>
            </w:r>
            <w:r w:rsidRPr="00DF55B7">
              <w:rPr>
                <w:rFonts w:eastAsia="Times New Roman" w:cstheme="minorHAnsi"/>
              </w:rPr>
              <w:t>ill reinforce appropriate and up-to-date advice and information on all relevant aspects of effective foot care to patients</w:t>
            </w:r>
            <w:r w:rsidR="00C11BBF">
              <w:rPr>
                <w:rFonts w:eastAsia="Times New Roman" w:cstheme="minorHAnsi"/>
              </w:rPr>
              <w:t>.</w:t>
            </w:r>
            <w:r w:rsidRPr="00DF55B7">
              <w:rPr>
                <w:rFonts w:eastAsia="Times New Roman" w:cstheme="minorHAnsi"/>
              </w:rPr>
              <w:t xml:space="preserve"> </w:t>
            </w:r>
          </w:p>
          <w:p w14:paraId="3571911C" w14:textId="77777777" w:rsidR="00716884" w:rsidRPr="00592977" w:rsidRDefault="00716884" w:rsidP="00DF55B7">
            <w:pPr>
              <w:jc w:val="both"/>
              <w:rPr>
                <w:rFonts w:cstheme="minorHAnsi"/>
                <w:u w:val="single"/>
              </w:rPr>
            </w:pPr>
          </w:p>
          <w:p w14:paraId="60D89F50" w14:textId="77777777" w:rsidR="00F20790" w:rsidRPr="00592977" w:rsidRDefault="00F20790" w:rsidP="00DF55B7">
            <w:pPr>
              <w:jc w:val="both"/>
              <w:rPr>
                <w:rFonts w:cstheme="minorHAnsi"/>
                <w:u w:val="single"/>
              </w:rPr>
            </w:pPr>
            <w:r w:rsidRPr="00592977">
              <w:rPr>
                <w:rFonts w:cstheme="minorHAnsi"/>
                <w:u w:val="single"/>
              </w:rPr>
              <w:t>Learning Disabilities</w:t>
            </w:r>
          </w:p>
          <w:p w14:paraId="71649D1F" w14:textId="77777777" w:rsidR="00E8310D" w:rsidRDefault="008301BF" w:rsidP="00E8310D">
            <w:pPr>
              <w:jc w:val="both"/>
              <w:rPr>
                <w:rFonts w:cstheme="minorHAnsi"/>
                <w:color w:val="000000"/>
              </w:rPr>
            </w:pPr>
            <w:r w:rsidRPr="00592977">
              <w:rPr>
                <w:rFonts w:cstheme="minorHAnsi"/>
              </w:rPr>
              <w:t xml:space="preserve">The </w:t>
            </w:r>
            <w:r w:rsidR="00C11BBF">
              <w:rPr>
                <w:rFonts w:cstheme="minorHAnsi"/>
              </w:rPr>
              <w:t>P</w:t>
            </w:r>
            <w:r w:rsidRPr="00592977">
              <w:rPr>
                <w:rFonts w:cstheme="minorHAnsi"/>
              </w:rPr>
              <w:t>rovider will support people with lea</w:t>
            </w:r>
            <w:r w:rsidRPr="00DF55B7">
              <w:rPr>
                <w:rFonts w:cstheme="minorHAnsi"/>
              </w:rPr>
              <w:t xml:space="preserve">rning disabilities, and their families </w:t>
            </w:r>
            <w:r w:rsidR="00DB4CDD">
              <w:rPr>
                <w:rFonts w:cstheme="minorHAnsi"/>
              </w:rPr>
              <w:t xml:space="preserve">to </w:t>
            </w:r>
            <w:r w:rsidRPr="00DF55B7">
              <w:rPr>
                <w:rFonts w:cstheme="minorHAnsi"/>
              </w:rPr>
              <w:t xml:space="preserve">help them to experience improved health and social outcomes. </w:t>
            </w:r>
            <w:r w:rsidR="00DB4CDD">
              <w:rPr>
                <w:rFonts w:cstheme="minorHAnsi"/>
              </w:rPr>
              <w:t xml:space="preserve">This support will include but not be limited to: </w:t>
            </w:r>
            <w:r w:rsidR="00AB698F">
              <w:rPr>
                <w:rFonts w:cstheme="minorHAnsi"/>
              </w:rPr>
              <w:t>i</w:t>
            </w:r>
            <w:r w:rsidR="00AB698F" w:rsidRPr="00AB698F">
              <w:rPr>
                <w:rFonts w:cstheme="minorHAnsi"/>
              </w:rPr>
              <w:t>mproved access to GP and primary care services, and in particular support to access annual health checks,</w:t>
            </w:r>
            <w:r w:rsidR="00814577">
              <w:rPr>
                <w:rFonts w:cstheme="minorHAnsi"/>
              </w:rPr>
              <w:t xml:space="preserve"> NHS Health</w:t>
            </w:r>
            <w:r w:rsidR="00C72874">
              <w:rPr>
                <w:rFonts w:cstheme="minorHAnsi"/>
              </w:rPr>
              <w:t xml:space="preserve"> </w:t>
            </w:r>
            <w:r w:rsidR="00814577">
              <w:rPr>
                <w:rFonts w:cstheme="minorHAnsi"/>
              </w:rPr>
              <w:t>checks,</w:t>
            </w:r>
            <w:r w:rsidR="00AB698F" w:rsidRPr="00AB698F">
              <w:rPr>
                <w:rFonts w:cstheme="minorHAnsi"/>
              </w:rPr>
              <w:t xml:space="preserve"> screening</w:t>
            </w:r>
            <w:r w:rsidR="00814577">
              <w:rPr>
                <w:rFonts w:cstheme="minorHAnsi"/>
              </w:rPr>
              <w:t xml:space="preserve"> and immunisation</w:t>
            </w:r>
            <w:r w:rsidR="00AB698F" w:rsidRPr="00AB698F">
              <w:rPr>
                <w:rFonts w:cstheme="minorHAnsi"/>
              </w:rPr>
              <w:t xml:space="preserve"> services</w:t>
            </w:r>
            <w:r w:rsidR="00814577">
              <w:rPr>
                <w:rFonts w:cstheme="minorHAnsi"/>
              </w:rPr>
              <w:t>, health improvement services such as sexual health services,</w:t>
            </w:r>
            <w:r w:rsidR="00AB698F" w:rsidRPr="00AB698F">
              <w:rPr>
                <w:rFonts w:cstheme="minorHAnsi"/>
              </w:rPr>
              <w:t xml:space="preserve"> medication review</w:t>
            </w:r>
            <w:r w:rsidR="00AB698F">
              <w:rPr>
                <w:rFonts w:cstheme="minorHAnsi"/>
              </w:rPr>
              <w:t>, a</w:t>
            </w:r>
            <w:r w:rsidR="00AB698F" w:rsidRPr="00AB698F">
              <w:rPr>
                <w:rFonts w:cstheme="minorHAnsi"/>
              </w:rPr>
              <w:t>ssistance to better understand specific and general health information</w:t>
            </w:r>
            <w:r w:rsidR="00AB698F">
              <w:rPr>
                <w:rFonts w:cstheme="minorHAnsi"/>
              </w:rPr>
              <w:t xml:space="preserve">, </w:t>
            </w:r>
            <w:r w:rsidR="00B73AA8">
              <w:rPr>
                <w:rFonts w:cstheme="minorHAnsi"/>
              </w:rPr>
              <w:t>a</w:t>
            </w:r>
            <w:r w:rsidR="00B73AA8" w:rsidRPr="00B73AA8">
              <w:rPr>
                <w:rFonts w:cstheme="minorHAnsi"/>
              </w:rPr>
              <w:t>dvocacy to excise choice of service</w:t>
            </w:r>
            <w:r w:rsidR="00AB698F" w:rsidRPr="00AB698F">
              <w:rPr>
                <w:rFonts w:cstheme="minorHAnsi"/>
              </w:rPr>
              <w:t>.</w:t>
            </w:r>
          </w:p>
          <w:p w14:paraId="3BEC9F08" w14:textId="77777777" w:rsidR="00E8310D" w:rsidRDefault="00E8310D" w:rsidP="00E8310D">
            <w:pPr>
              <w:jc w:val="both"/>
              <w:rPr>
                <w:rFonts w:cstheme="minorHAnsi"/>
                <w:color w:val="000000"/>
              </w:rPr>
            </w:pPr>
          </w:p>
          <w:p w14:paraId="7F9DB79D" w14:textId="77777777" w:rsidR="00232A86" w:rsidRDefault="0085381B" w:rsidP="00064F80">
            <w:pPr>
              <w:rPr>
                <w:rFonts w:cstheme="minorHAnsi"/>
                <w:u w:val="single"/>
              </w:rPr>
            </w:pPr>
            <w:r w:rsidRPr="0004038D">
              <w:rPr>
                <w:rFonts w:cstheme="minorHAnsi"/>
                <w:u w:val="single"/>
              </w:rPr>
              <w:t xml:space="preserve">Rehabilitation and </w:t>
            </w:r>
            <w:r w:rsidR="00AF2299" w:rsidRPr="0004038D">
              <w:rPr>
                <w:rFonts w:cstheme="minorHAnsi"/>
                <w:u w:val="single"/>
              </w:rPr>
              <w:t>t</w:t>
            </w:r>
            <w:r w:rsidRPr="0004038D">
              <w:rPr>
                <w:rFonts w:cstheme="minorHAnsi"/>
                <w:u w:val="single"/>
              </w:rPr>
              <w:t>herapy</w:t>
            </w:r>
            <w:r w:rsidR="00AF2299" w:rsidRPr="0004038D">
              <w:rPr>
                <w:rFonts w:cstheme="minorHAnsi"/>
                <w:u w:val="single"/>
              </w:rPr>
              <w:t xml:space="preserve"> </w:t>
            </w:r>
          </w:p>
          <w:p w14:paraId="609A0DB3" w14:textId="77777777" w:rsidR="0004038D" w:rsidRDefault="00281DD7" w:rsidP="00064F80">
            <w:pPr>
              <w:rPr>
                <w:rFonts w:eastAsia="Arial" w:cstheme="minorHAnsi"/>
                <w:lang w:val="en-US" w:bidi="en-US"/>
              </w:rPr>
            </w:pPr>
            <w:r>
              <w:rPr>
                <w:rFonts w:cstheme="minorHAnsi"/>
              </w:rPr>
              <w:t xml:space="preserve">The Provider will ensure that core therapy functions offer </w:t>
            </w:r>
            <w:r w:rsidR="008021BA">
              <w:rPr>
                <w:rFonts w:cstheme="minorHAnsi"/>
              </w:rPr>
              <w:t xml:space="preserve">comprehensive </w:t>
            </w:r>
            <w:r w:rsidR="00C24C57">
              <w:rPr>
                <w:rFonts w:cstheme="minorHAnsi"/>
              </w:rPr>
              <w:t xml:space="preserve">triage, assessment, </w:t>
            </w:r>
            <w:r>
              <w:rPr>
                <w:rFonts w:cstheme="minorHAnsi"/>
              </w:rPr>
              <w:t xml:space="preserve">diagnosis, treatment and rehabilitation for </w:t>
            </w:r>
            <w:r w:rsidR="008138B0">
              <w:rPr>
                <w:rFonts w:cstheme="minorHAnsi"/>
              </w:rPr>
              <w:t>a wide</w:t>
            </w:r>
            <w:r>
              <w:rPr>
                <w:rFonts w:cstheme="minorHAnsi"/>
              </w:rPr>
              <w:t xml:space="preserve"> range of conditions </w:t>
            </w:r>
            <w:r w:rsidR="00400998">
              <w:rPr>
                <w:rFonts w:cstheme="minorHAnsi"/>
              </w:rPr>
              <w:t>(</w:t>
            </w:r>
            <w:r w:rsidR="00D10E3A">
              <w:rPr>
                <w:rFonts w:cstheme="minorHAnsi"/>
              </w:rPr>
              <w:t xml:space="preserve">including </w:t>
            </w:r>
            <w:r w:rsidR="00AF2299" w:rsidRPr="00AF2299">
              <w:rPr>
                <w:rFonts w:cstheme="minorHAnsi"/>
              </w:rPr>
              <w:t>but not limited to</w:t>
            </w:r>
            <w:r w:rsidR="00400998">
              <w:rPr>
                <w:rFonts w:cstheme="minorHAnsi"/>
              </w:rPr>
              <w:t>)</w:t>
            </w:r>
            <w:r w:rsidR="00AF2299" w:rsidRPr="00AF2299">
              <w:rPr>
                <w:rFonts w:cstheme="minorHAnsi"/>
              </w:rPr>
              <w:t>:</w:t>
            </w:r>
            <w:r w:rsidR="00E8310D">
              <w:rPr>
                <w:rFonts w:cstheme="minorHAnsi"/>
              </w:rPr>
              <w:t xml:space="preserve"> </w:t>
            </w:r>
            <w:r w:rsidR="00DF687C">
              <w:rPr>
                <w:rFonts w:cstheme="minorHAnsi"/>
              </w:rPr>
              <w:t xml:space="preserve">musculoskeletal conditions, </w:t>
            </w:r>
            <w:r w:rsidR="00E12739">
              <w:rPr>
                <w:rFonts w:cstheme="minorHAnsi"/>
              </w:rPr>
              <w:t xml:space="preserve">hand therapy, </w:t>
            </w:r>
            <w:r w:rsidR="00D10E3A">
              <w:rPr>
                <w:rFonts w:cstheme="minorHAnsi"/>
              </w:rPr>
              <w:t xml:space="preserve">neurological </w:t>
            </w:r>
            <w:r w:rsidR="008138B0">
              <w:rPr>
                <w:rFonts w:cstheme="minorHAnsi"/>
              </w:rPr>
              <w:t xml:space="preserve">conditions, </w:t>
            </w:r>
            <w:r w:rsidR="004137EA">
              <w:rPr>
                <w:rFonts w:cstheme="minorHAnsi"/>
              </w:rPr>
              <w:t xml:space="preserve">fallers, rheumatology, pain management </w:t>
            </w:r>
            <w:r w:rsidR="00E00E84">
              <w:rPr>
                <w:rFonts w:cstheme="minorHAnsi"/>
              </w:rPr>
              <w:t xml:space="preserve">etc.  </w:t>
            </w:r>
          </w:p>
          <w:p w14:paraId="110C7C0C" w14:textId="77777777" w:rsidR="00EB3903" w:rsidRPr="00E8310D" w:rsidRDefault="00EB3903" w:rsidP="00E8310D">
            <w:pPr>
              <w:jc w:val="both"/>
              <w:rPr>
                <w:rFonts w:cstheme="minorHAnsi"/>
              </w:rPr>
            </w:pPr>
          </w:p>
          <w:p w14:paraId="26FFA10B" w14:textId="77777777" w:rsidR="00622209" w:rsidRDefault="00622209" w:rsidP="00E8310D">
            <w:pPr>
              <w:contextualSpacing/>
              <w:jc w:val="both"/>
              <w:rPr>
                <w:rFonts w:cstheme="minorHAnsi"/>
                <w:b/>
              </w:rPr>
            </w:pPr>
          </w:p>
          <w:p w14:paraId="37D1DDD1" w14:textId="77777777" w:rsidR="004715BD" w:rsidRDefault="004715BD" w:rsidP="00E8310D">
            <w:pPr>
              <w:jc w:val="both"/>
              <w:rPr>
                <w:rFonts w:cstheme="minorHAnsi"/>
              </w:rPr>
            </w:pPr>
          </w:p>
          <w:p w14:paraId="093764F5" w14:textId="77777777" w:rsidR="00713FB3" w:rsidRDefault="00713FB3" w:rsidP="00E8310D">
            <w:pPr>
              <w:jc w:val="both"/>
              <w:rPr>
                <w:rFonts w:cstheme="minorHAnsi"/>
              </w:rPr>
            </w:pPr>
          </w:p>
          <w:p w14:paraId="2D28D02A" w14:textId="77777777" w:rsidR="00713FB3" w:rsidRDefault="00713FB3" w:rsidP="00E8310D">
            <w:pPr>
              <w:jc w:val="both"/>
              <w:rPr>
                <w:rFonts w:cstheme="minorHAnsi"/>
              </w:rPr>
            </w:pPr>
          </w:p>
          <w:p w14:paraId="11C6A7D6" w14:textId="77777777" w:rsidR="004715BD" w:rsidRDefault="004715BD" w:rsidP="00E8310D">
            <w:pPr>
              <w:jc w:val="both"/>
              <w:rPr>
                <w:rFonts w:cstheme="minorHAnsi"/>
              </w:rPr>
            </w:pPr>
          </w:p>
          <w:p w14:paraId="0D2188A6" w14:textId="77777777" w:rsidR="004715BD" w:rsidRPr="00E8310D" w:rsidRDefault="004715BD" w:rsidP="00E8310D">
            <w:pPr>
              <w:jc w:val="both"/>
              <w:rPr>
                <w:rFonts w:cstheme="minorHAnsi"/>
              </w:rPr>
            </w:pPr>
          </w:p>
          <w:p w14:paraId="5A83FBDB" w14:textId="77777777" w:rsidR="000E6662" w:rsidRPr="00E8310D" w:rsidRDefault="000E6662" w:rsidP="00232A86">
            <w:pPr>
              <w:pStyle w:val="ListParagraph"/>
              <w:jc w:val="both"/>
              <w:rPr>
                <w:rFonts w:cstheme="minorHAnsi"/>
              </w:rPr>
            </w:pPr>
          </w:p>
        </w:tc>
      </w:tr>
    </w:tbl>
    <w:tbl>
      <w:tblPr>
        <w:tblStyle w:val="TableGrid2"/>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516"/>
        <w:gridCol w:w="9690"/>
      </w:tblGrid>
      <w:tr w:rsidR="004715BD" w:rsidRPr="004715BD" w14:paraId="44032C59" w14:textId="77777777" w:rsidTr="00A3733D">
        <w:trPr>
          <w:trHeight w:val="284"/>
        </w:trPr>
        <w:tc>
          <w:tcPr>
            <w:tcW w:w="516" w:type="dxa"/>
            <w:shd w:val="clear" w:color="auto" w:fill="A6A6A6" w:themeFill="background1" w:themeFillShade="A6"/>
          </w:tcPr>
          <w:p w14:paraId="08D64ECD" w14:textId="77777777" w:rsidR="004715BD" w:rsidRPr="004715BD" w:rsidRDefault="004715BD" w:rsidP="004715BD">
            <w:pPr>
              <w:rPr>
                <w:b/>
                <w:sz w:val="20"/>
                <w:szCs w:val="20"/>
              </w:rPr>
            </w:pPr>
            <w:r w:rsidRPr="004715BD">
              <w:rPr>
                <w:b/>
                <w:sz w:val="20"/>
                <w:szCs w:val="20"/>
              </w:rPr>
              <w:lastRenderedPageBreak/>
              <w:t>4</w:t>
            </w:r>
          </w:p>
        </w:tc>
        <w:tc>
          <w:tcPr>
            <w:tcW w:w="9690" w:type="dxa"/>
            <w:shd w:val="clear" w:color="auto" w:fill="A6A6A6" w:themeFill="background1" w:themeFillShade="A6"/>
          </w:tcPr>
          <w:p w14:paraId="2099B6B6" w14:textId="77777777" w:rsidR="004715BD" w:rsidRPr="004715BD" w:rsidRDefault="004715BD" w:rsidP="004715BD">
            <w:pPr>
              <w:rPr>
                <w:b/>
              </w:rPr>
            </w:pPr>
            <w:r w:rsidRPr="004715BD">
              <w:rPr>
                <w:b/>
              </w:rPr>
              <w:t>Service standards and best practice</w:t>
            </w:r>
          </w:p>
        </w:tc>
      </w:tr>
      <w:tr w:rsidR="004715BD" w:rsidRPr="004715BD" w14:paraId="388639BC" w14:textId="77777777" w:rsidTr="00A3733D">
        <w:trPr>
          <w:trHeight w:val="284"/>
        </w:trPr>
        <w:tc>
          <w:tcPr>
            <w:tcW w:w="516" w:type="dxa"/>
            <w:shd w:val="clear" w:color="auto" w:fill="D9D9D9" w:themeFill="background1" w:themeFillShade="D9"/>
          </w:tcPr>
          <w:p w14:paraId="48C93011" w14:textId="77777777" w:rsidR="004715BD" w:rsidRPr="004715BD" w:rsidRDefault="004715BD" w:rsidP="004715BD">
            <w:pPr>
              <w:rPr>
                <w:sz w:val="20"/>
                <w:szCs w:val="20"/>
              </w:rPr>
            </w:pPr>
            <w:r w:rsidRPr="004715BD">
              <w:rPr>
                <w:sz w:val="20"/>
                <w:szCs w:val="20"/>
              </w:rPr>
              <w:t>4.1</w:t>
            </w:r>
          </w:p>
        </w:tc>
        <w:tc>
          <w:tcPr>
            <w:tcW w:w="9690" w:type="dxa"/>
            <w:shd w:val="clear" w:color="auto" w:fill="D9D9D9" w:themeFill="background1" w:themeFillShade="D9"/>
          </w:tcPr>
          <w:p w14:paraId="6945DEEE" w14:textId="77777777" w:rsidR="004715BD" w:rsidRPr="004715BD" w:rsidRDefault="004715BD" w:rsidP="004715BD">
            <w:r w:rsidRPr="004715BD">
              <w:t>Standards, guidelines, links to professional bodies and benchmarking</w:t>
            </w:r>
          </w:p>
        </w:tc>
      </w:tr>
      <w:tr w:rsidR="004715BD" w:rsidRPr="004715BD" w14:paraId="62B7C0DF" w14:textId="77777777" w:rsidTr="00A3733D">
        <w:trPr>
          <w:trHeight w:val="284"/>
        </w:trPr>
        <w:tc>
          <w:tcPr>
            <w:tcW w:w="10206" w:type="dxa"/>
            <w:gridSpan w:val="2"/>
            <w:shd w:val="clear" w:color="auto" w:fill="auto"/>
          </w:tcPr>
          <w:p w14:paraId="1061C302" w14:textId="77777777" w:rsidR="004715BD" w:rsidRDefault="004715BD" w:rsidP="004715BD">
            <w:pPr>
              <w:jc w:val="both"/>
              <w:rPr>
                <w:b/>
                <w:color w:val="00B050"/>
              </w:rPr>
            </w:pPr>
            <w:r w:rsidRPr="004715BD">
              <w:rPr>
                <w:b/>
                <w:color w:val="00B050"/>
              </w:rPr>
              <w:t>Please see Generic Service Specification</w:t>
            </w:r>
          </w:p>
          <w:p w14:paraId="1182D1D0" w14:textId="77777777" w:rsidR="00713FB3" w:rsidRPr="004715BD" w:rsidRDefault="00713FB3" w:rsidP="004715BD">
            <w:pPr>
              <w:jc w:val="both"/>
              <w:rPr>
                <w:b/>
              </w:rPr>
            </w:pPr>
          </w:p>
        </w:tc>
      </w:tr>
      <w:tr w:rsidR="004715BD" w:rsidRPr="004715BD" w14:paraId="13FF5996" w14:textId="77777777" w:rsidTr="00A3733D">
        <w:trPr>
          <w:trHeight w:val="284"/>
        </w:trPr>
        <w:tc>
          <w:tcPr>
            <w:tcW w:w="516" w:type="dxa"/>
            <w:shd w:val="clear" w:color="auto" w:fill="A6A6A6" w:themeFill="background1" w:themeFillShade="A6"/>
            <w:vAlign w:val="center"/>
          </w:tcPr>
          <w:p w14:paraId="3E6F2093" w14:textId="77777777" w:rsidR="004715BD" w:rsidRPr="004715BD" w:rsidRDefault="004715BD" w:rsidP="004715BD">
            <w:pPr>
              <w:rPr>
                <w:b/>
                <w:sz w:val="20"/>
                <w:szCs w:val="20"/>
              </w:rPr>
            </w:pPr>
            <w:r w:rsidRPr="004715BD">
              <w:rPr>
                <w:b/>
                <w:sz w:val="20"/>
                <w:szCs w:val="20"/>
              </w:rPr>
              <w:t>5</w:t>
            </w:r>
          </w:p>
        </w:tc>
        <w:tc>
          <w:tcPr>
            <w:tcW w:w="9690" w:type="dxa"/>
            <w:shd w:val="clear" w:color="auto" w:fill="A6A6A6" w:themeFill="background1" w:themeFillShade="A6"/>
          </w:tcPr>
          <w:p w14:paraId="48418104" w14:textId="77777777" w:rsidR="004715BD" w:rsidRPr="004715BD" w:rsidRDefault="004715BD" w:rsidP="004715BD">
            <w:pPr>
              <w:rPr>
                <w:b/>
              </w:rPr>
            </w:pPr>
            <w:r w:rsidRPr="004715BD">
              <w:rPr>
                <w:b/>
              </w:rPr>
              <w:t>Scope and accessibility</w:t>
            </w:r>
          </w:p>
        </w:tc>
      </w:tr>
      <w:tr w:rsidR="004715BD" w:rsidRPr="004715BD" w14:paraId="7BAC3E34" w14:textId="77777777" w:rsidTr="00A3733D">
        <w:trPr>
          <w:trHeight w:val="284"/>
        </w:trPr>
        <w:tc>
          <w:tcPr>
            <w:tcW w:w="516" w:type="dxa"/>
            <w:shd w:val="clear" w:color="auto" w:fill="D9D9D9" w:themeFill="background1" w:themeFillShade="D9"/>
            <w:vAlign w:val="center"/>
          </w:tcPr>
          <w:p w14:paraId="461C8EE2" w14:textId="77777777" w:rsidR="004715BD" w:rsidRPr="004715BD" w:rsidRDefault="004715BD" w:rsidP="004715BD">
            <w:pPr>
              <w:rPr>
                <w:sz w:val="20"/>
                <w:szCs w:val="20"/>
              </w:rPr>
            </w:pPr>
            <w:r w:rsidRPr="004715BD">
              <w:rPr>
                <w:sz w:val="20"/>
                <w:szCs w:val="20"/>
              </w:rPr>
              <w:t>5.1</w:t>
            </w:r>
          </w:p>
        </w:tc>
        <w:tc>
          <w:tcPr>
            <w:tcW w:w="9690" w:type="dxa"/>
            <w:shd w:val="clear" w:color="auto" w:fill="D9D9D9" w:themeFill="background1" w:themeFillShade="D9"/>
          </w:tcPr>
          <w:p w14:paraId="50A24134" w14:textId="77777777" w:rsidR="004715BD" w:rsidRPr="004715BD" w:rsidRDefault="004715BD" w:rsidP="004715BD">
            <w:r w:rsidRPr="004715BD">
              <w:t>Inclusions and exclusions (geographical/ GP register restrictions, age, conditions/ thresholds)</w:t>
            </w:r>
          </w:p>
        </w:tc>
      </w:tr>
      <w:tr w:rsidR="004715BD" w:rsidRPr="004715BD" w14:paraId="2A05C298" w14:textId="77777777" w:rsidTr="00A3733D">
        <w:trPr>
          <w:trHeight w:val="284"/>
        </w:trPr>
        <w:tc>
          <w:tcPr>
            <w:tcW w:w="10206" w:type="dxa"/>
            <w:gridSpan w:val="2"/>
            <w:shd w:val="clear" w:color="auto" w:fill="auto"/>
            <w:vAlign w:val="center"/>
          </w:tcPr>
          <w:p w14:paraId="19DB5AB0" w14:textId="77777777" w:rsidR="004715BD" w:rsidRPr="004715BD" w:rsidRDefault="004715BD" w:rsidP="004715BD">
            <w:pPr>
              <w:jc w:val="both"/>
              <w:rPr>
                <w:b/>
                <w:color w:val="00B050"/>
              </w:rPr>
            </w:pPr>
            <w:r w:rsidRPr="004715BD">
              <w:rPr>
                <w:b/>
                <w:color w:val="00B050"/>
              </w:rPr>
              <w:t>Please see Generic Service Specification</w:t>
            </w:r>
          </w:p>
          <w:p w14:paraId="0F32C6EA" w14:textId="77777777" w:rsidR="004715BD" w:rsidRPr="004715BD" w:rsidRDefault="004715BD" w:rsidP="004715BD">
            <w:pPr>
              <w:jc w:val="both"/>
            </w:pPr>
          </w:p>
        </w:tc>
      </w:tr>
      <w:tr w:rsidR="004715BD" w:rsidRPr="004715BD" w14:paraId="4D05F39E" w14:textId="77777777" w:rsidTr="00A3733D">
        <w:trPr>
          <w:trHeight w:val="284"/>
        </w:trPr>
        <w:tc>
          <w:tcPr>
            <w:tcW w:w="516" w:type="dxa"/>
            <w:shd w:val="clear" w:color="auto" w:fill="A6A6A6" w:themeFill="background1" w:themeFillShade="A6"/>
            <w:vAlign w:val="center"/>
          </w:tcPr>
          <w:p w14:paraId="3A0714EA" w14:textId="77777777" w:rsidR="004715BD" w:rsidRPr="004715BD" w:rsidRDefault="004715BD" w:rsidP="004715BD">
            <w:pPr>
              <w:rPr>
                <w:b/>
                <w:sz w:val="20"/>
                <w:szCs w:val="20"/>
              </w:rPr>
            </w:pPr>
            <w:r w:rsidRPr="004715BD">
              <w:rPr>
                <w:b/>
                <w:sz w:val="20"/>
                <w:szCs w:val="20"/>
              </w:rPr>
              <w:t>6</w:t>
            </w:r>
          </w:p>
        </w:tc>
        <w:tc>
          <w:tcPr>
            <w:tcW w:w="9690" w:type="dxa"/>
            <w:shd w:val="clear" w:color="auto" w:fill="A6A6A6" w:themeFill="background1" w:themeFillShade="A6"/>
          </w:tcPr>
          <w:p w14:paraId="3CBA2ABA" w14:textId="77777777" w:rsidR="004715BD" w:rsidRPr="004715BD" w:rsidRDefault="004715BD" w:rsidP="004715BD">
            <w:pPr>
              <w:rPr>
                <w:b/>
              </w:rPr>
            </w:pPr>
            <w:r w:rsidRPr="004715BD">
              <w:rPr>
                <w:b/>
              </w:rPr>
              <w:t>Interdependencies</w:t>
            </w:r>
          </w:p>
        </w:tc>
      </w:tr>
      <w:tr w:rsidR="004715BD" w:rsidRPr="004715BD" w14:paraId="503F97A3" w14:textId="77777777" w:rsidTr="00A3733D">
        <w:trPr>
          <w:trHeight w:val="284"/>
        </w:trPr>
        <w:tc>
          <w:tcPr>
            <w:tcW w:w="516" w:type="dxa"/>
            <w:shd w:val="clear" w:color="auto" w:fill="D9D9D9" w:themeFill="background1" w:themeFillShade="D9"/>
            <w:vAlign w:val="center"/>
          </w:tcPr>
          <w:p w14:paraId="785FCA43" w14:textId="77777777" w:rsidR="004715BD" w:rsidRPr="004715BD" w:rsidRDefault="004715BD" w:rsidP="004715BD">
            <w:pPr>
              <w:rPr>
                <w:sz w:val="20"/>
                <w:szCs w:val="20"/>
              </w:rPr>
            </w:pPr>
            <w:r w:rsidRPr="004715BD">
              <w:rPr>
                <w:sz w:val="20"/>
                <w:szCs w:val="20"/>
              </w:rPr>
              <w:t>6.1</w:t>
            </w:r>
          </w:p>
        </w:tc>
        <w:tc>
          <w:tcPr>
            <w:tcW w:w="9690" w:type="dxa"/>
            <w:shd w:val="clear" w:color="auto" w:fill="D9D9D9" w:themeFill="background1" w:themeFillShade="D9"/>
          </w:tcPr>
          <w:p w14:paraId="0DDF72B1" w14:textId="77777777" w:rsidR="004715BD" w:rsidRPr="004715BD" w:rsidRDefault="004715BD" w:rsidP="004715BD">
            <w:r w:rsidRPr="004715BD">
              <w:t>Links to the wider system</w:t>
            </w:r>
          </w:p>
        </w:tc>
      </w:tr>
      <w:tr w:rsidR="004715BD" w:rsidRPr="004715BD" w14:paraId="5A1925A3" w14:textId="77777777" w:rsidTr="00A3733D">
        <w:trPr>
          <w:trHeight w:val="284"/>
        </w:trPr>
        <w:tc>
          <w:tcPr>
            <w:tcW w:w="10206" w:type="dxa"/>
            <w:gridSpan w:val="2"/>
            <w:shd w:val="clear" w:color="auto" w:fill="auto"/>
            <w:vAlign w:val="center"/>
          </w:tcPr>
          <w:p w14:paraId="32A92FEB" w14:textId="77777777" w:rsidR="004715BD" w:rsidRDefault="004715BD" w:rsidP="004715BD">
            <w:pPr>
              <w:jc w:val="both"/>
              <w:rPr>
                <w:b/>
                <w:color w:val="00B050"/>
              </w:rPr>
            </w:pPr>
            <w:r w:rsidRPr="004715BD">
              <w:rPr>
                <w:b/>
                <w:color w:val="00B050"/>
              </w:rPr>
              <w:t>Please see Generic Service Specification</w:t>
            </w:r>
          </w:p>
          <w:p w14:paraId="1FA00CD6" w14:textId="77777777" w:rsidR="00713FB3" w:rsidRPr="004715BD" w:rsidRDefault="00713FB3" w:rsidP="004715BD">
            <w:pPr>
              <w:jc w:val="both"/>
              <w:rPr>
                <w:b/>
              </w:rPr>
            </w:pPr>
          </w:p>
        </w:tc>
      </w:tr>
      <w:tr w:rsidR="004715BD" w:rsidRPr="004715BD" w14:paraId="7E5D1DA7" w14:textId="77777777" w:rsidTr="00A3733D">
        <w:trPr>
          <w:trHeight w:val="284"/>
        </w:trPr>
        <w:tc>
          <w:tcPr>
            <w:tcW w:w="516" w:type="dxa"/>
            <w:shd w:val="clear" w:color="auto" w:fill="D9D9D9" w:themeFill="background1" w:themeFillShade="D9"/>
            <w:vAlign w:val="center"/>
          </w:tcPr>
          <w:p w14:paraId="11C5CB63" w14:textId="77777777" w:rsidR="004715BD" w:rsidRPr="004715BD" w:rsidRDefault="004715BD" w:rsidP="004715BD">
            <w:pPr>
              <w:rPr>
                <w:sz w:val="20"/>
                <w:szCs w:val="20"/>
              </w:rPr>
            </w:pPr>
            <w:r w:rsidRPr="004715BD">
              <w:rPr>
                <w:sz w:val="20"/>
                <w:szCs w:val="20"/>
              </w:rPr>
              <w:t>6.2</w:t>
            </w:r>
          </w:p>
        </w:tc>
        <w:tc>
          <w:tcPr>
            <w:tcW w:w="9690" w:type="dxa"/>
            <w:shd w:val="clear" w:color="auto" w:fill="D9D9D9" w:themeFill="background1" w:themeFillShade="D9"/>
          </w:tcPr>
          <w:p w14:paraId="6C186164" w14:textId="77777777" w:rsidR="004715BD" w:rsidRPr="004715BD" w:rsidRDefault="004715BD" w:rsidP="004715BD">
            <w:r w:rsidRPr="004715BD">
              <w:t>Shared care protocols</w:t>
            </w:r>
          </w:p>
        </w:tc>
      </w:tr>
      <w:tr w:rsidR="004715BD" w:rsidRPr="004715BD" w14:paraId="116E5997" w14:textId="77777777" w:rsidTr="00A3733D">
        <w:trPr>
          <w:trHeight w:val="284"/>
        </w:trPr>
        <w:tc>
          <w:tcPr>
            <w:tcW w:w="10206" w:type="dxa"/>
            <w:gridSpan w:val="2"/>
            <w:shd w:val="clear" w:color="auto" w:fill="FFFFFF" w:themeFill="background1"/>
            <w:vAlign w:val="center"/>
          </w:tcPr>
          <w:p w14:paraId="55479843" w14:textId="77777777" w:rsidR="004715BD" w:rsidRPr="004715BD" w:rsidRDefault="004715BD" w:rsidP="004715BD">
            <w:pPr>
              <w:rPr>
                <w:b/>
                <w:color w:val="00B050"/>
              </w:rPr>
            </w:pPr>
            <w:r w:rsidRPr="004715BD">
              <w:rPr>
                <w:b/>
                <w:color w:val="00B050"/>
              </w:rPr>
              <w:t>Please see Generic Service Specification</w:t>
            </w:r>
          </w:p>
          <w:p w14:paraId="36A92146" w14:textId="77777777" w:rsidR="004715BD" w:rsidRPr="004715BD" w:rsidRDefault="004715BD" w:rsidP="004715BD">
            <w:pPr>
              <w:rPr>
                <w:b/>
                <w:color w:val="00B050"/>
              </w:rPr>
            </w:pPr>
          </w:p>
        </w:tc>
      </w:tr>
      <w:tr w:rsidR="004715BD" w:rsidRPr="004715BD" w14:paraId="7A340757" w14:textId="77777777" w:rsidTr="00A3733D">
        <w:trPr>
          <w:trHeight w:val="284"/>
        </w:trPr>
        <w:tc>
          <w:tcPr>
            <w:tcW w:w="516" w:type="dxa"/>
            <w:tcBorders>
              <w:bottom w:val="single" w:sz="4" w:space="0" w:color="808080" w:themeColor="background1" w:themeShade="80"/>
            </w:tcBorders>
            <w:shd w:val="clear" w:color="auto" w:fill="A6A6A6" w:themeFill="background1" w:themeFillShade="A6"/>
          </w:tcPr>
          <w:p w14:paraId="516FC38E" w14:textId="77777777" w:rsidR="004715BD" w:rsidRPr="004715BD" w:rsidRDefault="004715BD" w:rsidP="004715BD">
            <w:pPr>
              <w:rPr>
                <w:b/>
                <w:sz w:val="20"/>
                <w:szCs w:val="20"/>
              </w:rPr>
            </w:pPr>
            <w:r w:rsidRPr="004715BD">
              <w:rPr>
                <w:b/>
                <w:sz w:val="20"/>
                <w:szCs w:val="20"/>
              </w:rPr>
              <w:t>7</w:t>
            </w:r>
          </w:p>
        </w:tc>
        <w:tc>
          <w:tcPr>
            <w:tcW w:w="9690" w:type="dxa"/>
            <w:tcBorders>
              <w:bottom w:val="single" w:sz="4" w:space="0" w:color="808080" w:themeColor="background1" w:themeShade="80"/>
            </w:tcBorders>
            <w:shd w:val="clear" w:color="auto" w:fill="A6A6A6" w:themeFill="background1" w:themeFillShade="A6"/>
          </w:tcPr>
          <w:p w14:paraId="47AE0649" w14:textId="77777777" w:rsidR="004715BD" w:rsidRPr="004715BD" w:rsidRDefault="004715BD" w:rsidP="004715BD">
            <w:pPr>
              <w:rPr>
                <w:b/>
              </w:rPr>
            </w:pPr>
            <w:r w:rsidRPr="004715BD">
              <w:rPr>
                <w:b/>
              </w:rPr>
              <w:t>Prescribing and medicines</w:t>
            </w:r>
          </w:p>
        </w:tc>
      </w:tr>
      <w:tr w:rsidR="004715BD" w:rsidRPr="004715BD" w14:paraId="6AB15DB0" w14:textId="77777777" w:rsidTr="00A3733D">
        <w:trPr>
          <w:trHeight w:val="284"/>
        </w:trPr>
        <w:tc>
          <w:tcPr>
            <w:tcW w:w="516" w:type="dxa"/>
            <w:shd w:val="clear" w:color="auto" w:fill="D9D9D9" w:themeFill="background1" w:themeFillShade="D9"/>
          </w:tcPr>
          <w:p w14:paraId="390A993B" w14:textId="77777777" w:rsidR="004715BD" w:rsidRPr="004715BD" w:rsidRDefault="004715BD" w:rsidP="004715BD">
            <w:pPr>
              <w:rPr>
                <w:sz w:val="20"/>
                <w:szCs w:val="20"/>
              </w:rPr>
            </w:pPr>
            <w:r w:rsidRPr="004715BD">
              <w:rPr>
                <w:sz w:val="20"/>
                <w:szCs w:val="20"/>
              </w:rPr>
              <w:t>7.1</w:t>
            </w:r>
          </w:p>
        </w:tc>
        <w:tc>
          <w:tcPr>
            <w:tcW w:w="9690" w:type="dxa"/>
            <w:shd w:val="clear" w:color="auto" w:fill="D9D9D9" w:themeFill="background1" w:themeFillShade="D9"/>
          </w:tcPr>
          <w:p w14:paraId="66A53363" w14:textId="77777777" w:rsidR="004715BD" w:rsidRPr="004715BD" w:rsidRDefault="004715BD" w:rsidP="004715BD">
            <w:r w:rsidRPr="004715BD">
              <w:t>Prescribing protocol</w:t>
            </w:r>
          </w:p>
        </w:tc>
      </w:tr>
      <w:tr w:rsidR="004715BD" w:rsidRPr="004715BD" w14:paraId="61F4D6DC" w14:textId="77777777" w:rsidTr="00A3733D">
        <w:trPr>
          <w:trHeight w:val="284"/>
        </w:trPr>
        <w:tc>
          <w:tcPr>
            <w:tcW w:w="10206" w:type="dxa"/>
            <w:gridSpan w:val="2"/>
            <w:shd w:val="clear" w:color="auto" w:fill="FFFFFF" w:themeFill="background1"/>
          </w:tcPr>
          <w:p w14:paraId="31642B64" w14:textId="77777777" w:rsidR="004715BD" w:rsidRPr="004715BD" w:rsidRDefault="004715BD" w:rsidP="004715BD">
            <w:pPr>
              <w:tabs>
                <w:tab w:val="left" w:pos="2040"/>
              </w:tabs>
              <w:jc w:val="both"/>
            </w:pPr>
            <w:r w:rsidRPr="004715BD">
              <w:t>The Provider will be expected to adhere to the Medway Prescribing Formulary.</w:t>
            </w:r>
          </w:p>
          <w:p w14:paraId="6AE157DE" w14:textId="77777777" w:rsidR="004715BD" w:rsidRPr="004715BD" w:rsidRDefault="004715BD" w:rsidP="004715BD">
            <w:pPr>
              <w:tabs>
                <w:tab w:val="left" w:pos="2040"/>
              </w:tabs>
              <w:jc w:val="both"/>
            </w:pPr>
          </w:p>
        </w:tc>
      </w:tr>
      <w:tr w:rsidR="004715BD" w:rsidRPr="004715BD" w14:paraId="2A06BC6B" w14:textId="77777777" w:rsidTr="00A3733D">
        <w:trPr>
          <w:trHeight w:val="284"/>
        </w:trPr>
        <w:tc>
          <w:tcPr>
            <w:tcW w:w="516" w:type="dxa"/>
            <w:shd w:val="clear" w:color="auto" w:fill="A6A6A6" w:themeFill="background1" w:themeFillShade="A6"/>
          </w:tcPr>
          <w:p w14:paraId="08E38F77" w14:textId="77777777" w:rsidR="004715BD" w:rsidRPr="004715BD" w:rsidRDefault="004715BD" w:rsidP="004715BD">
            <w:pPr>
              <w:rPr>
                <w:b/>
                <w:sz w:val="20"/>
                <w:szCs w:val="20"/>
              </w:rPr>
            </w:pPr>
            <w:r w:rsidRPr="004715BD">
              <w:rPr>
                <w:b/>
                <w:sz w:val="20"/>
                <w:szCs w:val="20"/>
              </w:rPr>
              <w:t>8</w:t>
            </w:r>
          </w:p>
        </w:tc>
        <w:tc>
          <w:tcPr>
            <w:tcW w:w="9690" w:type="dxa"/>
            <w:shd w:val="clear" w:color="auto" w:fill="A6A6A6" w:themeFill="background1" w:themeFillShade="A6"/>
          </w:tcPr>
          <w:p w14:paraId="1D037E08" w14:textId="77777777" w:rsidR="004715BD" w:rsidRPr="004715BD" w:rsidRDefault="004715BD" w:rsidP="004715BD">
            <w:pPr>
              <w:rPr>
                <w:b/>
              </w:rPr>
            </w:pPr>
            <w:r w:rsidRPr="004715BD">
              <w:rPr>
                <w:b/>
              </w:rPr>
              <w:t>Workforce</w:t>
            </w:r>
          </w:p>
        </w:tc>
      </w:tr>
      <w:tr w:rsidR="004715BD" w:rsidRPr="004715BD" w14:paraId="4D8C34E8" w14:textId="77777777" w:rsidTr="00A3733D">
        <w:trPr>
          <w:trHeight w:val="284"/>
        </w:trPr>
        <w:tc>
          <w:tcPr>
            <w:tcW w:w="516" w:type="dxa"/>
            <w:shd w:val="clear" w:color="auto" w:fill="D9D9D9" w:themeFill="background1" w:themeFillShade="D9"/>
          </w:tcPr>
          <w:p w14:paraId="5F772199" w14:textId="77777777" w:rsidR="004715BD" w:rsidRPr="004715BD" w:rsidRDefault="004715BD" w:rsidP="004715BD">
            <w:pPr>
              <w:rPr>
                <w:sz w:val="20"/>
                <w:szCs w:val="20"/>
              </w:rPr>
            </w:pPr>
            <w:r w:rsidRPr="004715BD">
              <w:rPr>
                <w:sz w:val="20"/>
                <w:szCs w:val="20"/>
              </w:rPr>
              <w:t>8.1</w:t>
            </w:r>
          </w:p>
        </w:tc>
        <w:tc>
          <w:tcPr>
            <w:tcW w:w="9690" w:type="dxa"/>
            <w:shd w:val="clear" w:color="auto" w:fill="D9D9D9" w:themeFill="background1" w:themeFillShade="D9"/>
          </w:tcPr>
          <w:p w14:paraId="7850C46B" w14:textId="77777777" w:rsidR="004715BD" w:rsidRPr="004715BD" w:rsidRDefault="004715BD" w:rsidP="004715BD">
            <w:r w:rsidRPr="004715BD">
              <w:t>Staff competency requirements</w:t>
            </w:r>
          </w:p>
        </w:tc>
      </w:tr>
      <w:tr w:rsidR="004715BD" w:rsidRPr="004715BD" w14:paraId="1958F2A7" w14:textId="77777777" w:rsidTr="00A3733D">
        <w:trPr>
          <w:trHeight w:val="284"/>
        </w:trPr>
        <w:tc>
          <w:tcPr>
            <w:tcW w:w="10206" w:type="dxa"/>
            <w:gridSpan w:val="2"/>
            <w:shd w:val="clear" w:color="auto" w:fill="auto"/>
          </w:tcPr>
          <w:p w14:paraId="16D681D3" w14:textId="77777777" w:rsidR="004715BD" w:rsidRPr="004715BD" w:rsidRDefault="004715BD" w:rsidP="004715BD">
            <w:pPr>
              <w:rPr>
                <w:b/>
                <w:color w:val="00B050"/>
              </w:rPr>
            </w:pPr>
            <w:r w:rsidRPr="004715BD">
              <w:rPr>
                <w:b/>
                <w:color w:val="00B050"/>
              </w:rPr>
              <w:t>Please see Generic Service Specification</w:t>
            </w:r>
          </w:p>
          <w:p w14:paraId="3E3F3174" w14:textId="77777777" w:rsidR="004715BD" w:rsidRPr="004715BD" w:rsidRDefault="004715BD" w:rsidP="004715BD">
            <w:pPr>
              <w:rPr>
                <w:b/>
              </w:rPr>
            </w:pPr>
          </w:p>
        </w:tc>
      </w:tr>
      <w:tr w:rsidR="004715BD" w:rsidRPr="004715BD" w14:paraId="37FA2414" w14:textId="77777777" w:rsidTr="00A3733D">
        <w:trPr>
          <w:trHeight w:val="284"/>
        </w:trPr>
        <w:tc>
          <w:tcPr>
            <w:tcW w:w="516" w:type="dxa"/>
            <w:shd w:val="clear" w:color="auto" w:fill="D9D9D9" w:themeFill="background1" w:themeFillShade="D9"/>
          </w:tcPr>
          <w:p w14:paraId="0461BD66" w14:textId="77777777" w:rsidR="004715BD" w:rsidRPr="004715BD" w:rsidRDefault="004715BD" w:rsidP="004715BD">
            <w:pPr>
              <w:rPr>
                <w:sz w:val="20"/>
                <w:szCs w:val="20"/>
              </w:rPr>
            </w:pPr>
            <w:r w:rsidRPr="004715BD">
              <w:rPr>
                <w:sz w:val="20"/>
                <w:szCs w:val="20"/>
              </w:rPr>
              <w:t>8.2</w:t>
            </w:r>
          </w:p>
        </w:tc>
        <w:tc>
          <w:tcPr>
            <w:tcW w:w="9690" w:type="dxa"/>
            <w:shd w:val="clear" w:color="auto" w:fill="D9D9D9" w:themeFill="background1" w:themeFillShade="D9"/>
          </w:tcPr>
          <w:p w14:paraId="34ABA588" w14:textId="77777777" w:rsidR="004715BD" w:rsidRPr="004715BD" w:rsidRDefault="004715BD" w:rsidP="004715BD">
            <w:r w:rsidRPr="004715BD">
              <w:t>Staffing levels</w:t>
            </w:r>
          </w:p>
        </w:tc>
      </w:tr>
      <w:tr w:rsidR="004715BD" w:rsidRPr="004715BD" w14:paraId="65102ABA" w14:textId="77777777" w:rsidTr="00A3733D">
        <w:trPr>
          <w:trHeight w:val="284"/>
        </w:trPr>
        <w:tc>
          <w:tcPr>
            <w:tcW w:w="10206" w:type="dxa"/>
            <w:gridSpan w:val="2"/>
            <w:shd w:val="clear" w:color="auto" w:fill="auto"/>
          </w:tcPr>
          <w:p w14:paraId="1246ECA8" w14:textId="77777777" w:rsidR="004715BD" w:rsidRDefault="004715BD" w:rsidP="00713FB3">
            <w:pPr>
              <w:rPr>
                <w:b/>
                <w:color w:val="00B050"/>
              </w:rPr>
            </w:pPr>
            <w:r w:rsidRPr="004715BD">
              <w:rPr>
                <w:b/>
                <w:color w:val="00B050"/>
              </w:rPr>
              <w:t>Please see Generic Service Specification</w:t>
            </w:r>
          </w:p>
          <w:p w14:paraId="45F1B742" w14:textId="77777777" w:rsidR="00713FB3" w:rsidRPr="004715BD" w:rsidRDefault="00713FB3" w:rsidP="00713FB3">
            <w:pPr>
              <w:rPr>
                <w:b/>
              </w:rPr>
            </w:pPr>
          </w:p>
        </w:tc>
      </w:tr>
      <w:tr w:rsidR="004715BD" w:rsidRPr="004715BD" w14:paraId="3019B990" w14:textId="77777777" w:rsidTr="00A3733D">
        <w:trPr>
          <w:trHeight w:val="284"/>
        </w:trPr>
        <w:tc>
          <w:tcPr>
            <w:tcW w:w="516" w:type="dxa"/>
            <w:tcBorders>
              <w:bottom w:val="single" w:sz="4" w:space="0" w:color="808080" w:themeColor="background1" w:themeShade="80"/>
            </w:tcBorders>
            <w:shd w:val="clear" w:color="auto" w:fill="A6A6A6" w:themeFill="background1" w:themeFillShade="A6"/>
          </w:tcPr>
          <w:p w14:paraId="384413E9" w14:textId="77777777" w:rsidR="004715BD" w:rsidRPr="004715BD" w:rsidRDefault="004715BD" w:rsidP="004715BD">
            <w:pPr>
              <w:rPr>
                <w:b/>
                <w:sz w:val="20"/>
                <w:szCs w:val="20"/>
              </w:rPr>
            </w:pPr>
            <w:r w:rsidRPr="004715BD">
              <w:rPr>
                <w:b/>
                <w:sz w:val="20"/>
                <w:szCs w:val="20"/>
              </w:rPr>
              <w:t>9</w:t>
            </w:r>
          </w:p>
        </w:tc>
        <w:tc>
          <w:tcPr>
            <w:tcW w:w="9690" w:type="dxa"/>
            <w:tcBorders>
              <w:bottom w:val="single" w:sz="4" w:space="0" w:color="808080" w:themeColor="background1" w:themeShade="80"/>
            </w:tcBorders>
            <w:shd w:val="clear" w:color="auto" w:fill="A6A6A6" w:themeFill="background1" w:themeFillShade="A6"/>
          </w:tcPr>
          <w:p w14:paraId="26BCB287" w14:textId="77777777" w:rsidR="004715BD" w:rsidRPr="004715BD" w:rsidRDefault="004715BD" w:rsidP="004715BD">
            <w:pPr>
              <w:rPr>
                <w:b/>
              </w:rPr>
            </w:pPr>
            <w:r w:rsidRPr="004715BD">
              <w:rPr>
                <w:b/>
              </w:rPr>
              <w:t>Facilities, equipment and ICT</w:t>
            </w:r>
          </w:p>
        </w:tc>
      </w:tr>
      <w:tr w:rsidR="004715BD" w:rsidRPr="004715BD" w14:paraId="65EA479E" w14:textId="77777777" w:rsidTr="00A3733D">
        <w:trPr>
          <w:trHeight w:val="284"/>
        </w:trPr>
        <w:tc>
          <w:tcPr>
            <w:tcW w:w="516" w:type="dxa"/>
            <w:shd w:val="clear" w:color="auto" w:fill="D9D9D9" w:themeFill="background1" w:themeFillShade="D9"/>
          </w:tcPr>
          <w:p w14:paraId="65F09EF4" w14:textId="77777777" w:rsidR="004715BD" w:rsidRPr="004715BD" w:rsidRDefault="004715BD" w:rsidP="004715BD">
            <w:pPr>
              <w:rPr>
                <w:sz w:val="20"/>
                <w:szCs w:val="20"/>
              </w:rPr>
            </w:pPr>
            <w:r w:rsidRPr="004715BD">
              <w:rPr>
                <w:sz w:val="20"/>
                <w:szCs w:val="20"/>
              </w:rPr>
              <w:t>9.1</w:t>
            </w:r>
          </w:p>
        </w:tc>
        <w:tc>
          <w:tcPr>
            <w:tcW w:w="9690" w:type="dxa"/>
            <w:shd w:val="clear" w:color="auto" w:fill="D9D9D9" w:themeFill="background1" w:themeFillShade="D9"/>
          </w:tcPr>
          <w:p w14:paraId="5B0EE815" w14:textId="77777777" w:rsidR="004715BD" w:rsidRPr="004715BD" w:rsidRDefault="004715BD" w:rsidP="004715BD">
            <w:r w:rsidRPr="004715BD">
              <w:t>Location requirements</w:t>
            </w:r>
          </w:p>
        </w:tc>
      </w:tr>
      <w:tr w:rsidR="004715BD" w:rsidRPr="004715BD" w14:paraId="6A170159" w14:textId="77777777" w:rsidTr="00A3733D">
        <w:trPr>
          <w:trHeight w:val="284"/>
        </w:trPr>
        <w:tc>
          <w:tcPr>
            <w:tcW w:w="10206" w:type="dxa"/>
            <w:gridSpan w:val="2"/>
            <w:shd w:val="clear" w:color="auto" w:fill="FFFFFF" w:themeFill="background1"/>
          </w:tcPr>
          <w:p w14:paraId="67CA5801" w14:textId="77777777" w:rsidR="004715BD" w:rsidRDefault="004715BD" w:rsidP="004715BD">
            <w:pPr>
              <w:rPr>
                <w:b/>
                <w:color w:val="00B050"/>
              </w:rPr>
            </w:pPr>
            <w:r w:rsidRPr="004715BD">
              <w:rPr>
                <w:b/>
                <w:color w:val="00B050"/>
              </w:rPr>
              <w:t>Please see Generic Service Specification</w:t>
            </w:r>
          </w:p>
          <w:p w14:paraId="589F15DF" w14:textId="77777777" w:rsidR="00713FB3" w:rsidRPr="004715BD" w:rsidRDefault="00713FB3" w:rsidP="004715BD">
            <w:pPr>
              <w:rPr>
                <w:b/>
              </w:rPr>
            </w:pPr>
          </w:p>
        </w:tc>
      </w:tr>
    </w:tbl>
    <w:p w14:paraId="0F9B9E68" w14:textId="77777777" w:rsidR="004715BD" w:rsidRPr="004715BD" w:rsidRDefault="004715BD" w:rsidP="004715BD">
      <w:pPr>
        <w:spacing w:after="0" w:line="240" w:lineRule="auto"/>
      </w:pPr>
    </w:p>
    <w:p w14:paraId="6018C4E9" w14:textId="77777777" w:rsidR="00B20F5A" w:rsidRDefault="00B20F5A" w:rsidP="00CC5F93">
      <w:pPr>
        <w:pStyle w:val="NoSpacing"/>
      </w:pPr>
    </w:p>
    <w:sectPr w:rsidR="00B20F5A" w:rsidSect="002E4B2E">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851" w:left="851"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83512" w14:textId="77777777" w:rsidR="00064244" w:rsidRDefault="00064244" w:rsidP="00D0640B">
      <w:pPr>
        <w:spacing w:after="0" w:line="240" w:lineRule="auto"/>
      </w:pPr>
      <w:r>
        <w:separator/>
      </w:r>
    </w:p>
  </w:endnote>
  <w:endnote w:type="continuationSeparator" w:id="0">
    <w:p w14:paraId="49BE2299" w14:textId="77777777" w:rsidR="00064244" w:rsidRDefault="00064244" w:rsidP="00D0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5DFD2" w14:textId="77777777" w:rsidR="0053119D" w:rsidRDefault="00531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z w:val="20"/>
        <w:szCs w:val="20"/>
      </w:rPr>
      <w:id w:val="-1737468436"/>
      <w:docPartObj>
        <w:docPartGallery w:val="Page Numbers (Bottom of Page)"/>
        <w:docPartUnique/>
      </w:docPartObj>
    </w:sdtPr>
    <w:sdtEndPr>
      <w:rPr>
        <w:noProof/>
      </w:rPr>
    </w:sdtEndPr>
    <w:sdtContent>
      <w:p w14:paraId="6CFF1C1F" w14:textId="77777777" w:rsidR="00596CAA" w:rsidRPr="0019444F" w:rsidRDefault="00596CAA">
        <w:pPr>
          <w:pStyle w:val="Footer"/>
          <w:jc w:val="center"/>
          <w:rPr>
            <w:color w:val="808080" w:themeColor="background1" w:themeShade="80"/>
            <w:sz w:val="20"/>
            <w:szCs w:val="20"/>
          </w:rPr>
        </w:pPr>
        <w:r w:rsidRPr="0019444F">
          <w:rPr>
            <w:color w:val="808080" w:themeColor="background1" w:themeShade="80"/>
            <w:sz w:val="20"/>
            <w:szCs w:val="20"/>
          </w:rPr>
          <w:fldChar w:fldCharType="begin"/>
        </w:r>
        <w:r w:rsidRPr="0019444F">
          <w:rPr>
            <w:color w:val="808080" w:themeColor="background1" w:themeShade="80"/>
            <w:sz w:val="20"/>
            <w:szCs w:val="20"/>
          </w:rPr>
          <w:instrText xml:space="preserve"> PAGE   \* MERGEFORMAT </w:instrText>
        </w:r>
        <w:r w:rsidRPr="0019444F">
          <w:rPr>
            <w:color w:val="808080" w:themeColor="background1" w:themeShade="80"/>
            <w:sz w:val="20"/>
            <w:szCs w:val="20"/>
          </w:rPr>
          <w:fldChar w:fldCharType="separate"/>
        </w:r>
        <w:r w:rsidR="00DC2AC3">
          <w:rPr>
            <w:noProof/>
            <w:color w:val="808080" w:themeColor="background1" w:themeShade="80"/>
            <w:sz w:val="20"/>
            <w:szCs w:val="20"/>
          </w:rPr>
          <w:t>1</w:t>
        </w:r>
        <w:r w:rsidRPr="0019444F">
          <w:rPr>
            <w:noProof/>
            <w:color w:val="808080" w:themeColor="background1" w:themeShade="80"/>
            <w:sz w:val="20"/>
            <w:szCs w:val="20"/>
          </w:rPr>
          <w:fldChar w:fldCharType="end"/>
        </w:r>
      </w:p>
    </w:sdtContent>
  </w:sdt>
  <w:p w14:paraId="11E6B96A" w14:textId="77777777" w:rsidR="00596CAA" w:rsidRDefault="00596C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EF7BB" w14:textId="77777777" w:rsidR="0053119D" w:rsidRDefault="00531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70346" w14:textId="77777777" w:rsidR="00064244" w:rsidRDefault="00064244" w:rsidP="00D0640B">
      <w:pPr>
        <w:spacing w:after="0" w:line="240" w:lineRule="auto"/>
      </w:pPr>
      <w:r>
        <w:separator/>
      </w:r>
    </w:p>
  </w:footnote>
  <w:footnote w:type="continuationSeparator" w:id="0">
    <w:p w14:paraId="4420C27D" w14:textId="77777777" w:rsidR="00064244" w:rsidRDefault="00064244" w:rsidP="00D06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2ED4B" w14:textId="77777777" w:rsidR="00596CAA" w:rsidRDefault="00DC2AC3">
    <w:pPr>
      <w:pStyle w:val="Header"/>
    </w:pPr>
    <w:r>
      <w:rPr>
        <w:noProof/>
      </w:rPr>
      <w:pict w14:anchorId="4CC90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791" o:spid="_x0000_s2050" type="#_x0000_t136" style="position:absolute;margin-left:0;margin-top:0;width:523.1pt;height:196.15pt;rotation:315;z-index:-251654144;mso-position-horizontal:center;mso-position-horizontal-relative:margin;mso-position-vertical:center;mso-position-vertical-relative:margin" o:allowincell="f" fillcolor="silver" stroked="f">
          <v:fill opacity=".5"/>
          <v:textpath style="font-family:&quot;Calibri&quot;;font-size:1pt" string="Final Outl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EFA95" w14:textId="77777777" w:rsidR="00596CAA" w:rsidRPr="00D0640B" w:rsidRDefault="00DC2AC3" w:rsidP="00D0640B">
    <w:pPr>
      <w:pStyle w:val="Header"/>
      <w:tabs>
        <w:tab w:val="clear" w:pos="4513"/>
        <w:tab w:val="clear" w:pos="9026"/>
        <w:tab w:val="center" w:pos="4820"/>
        <w:tab w:val="right" w:pos="9356"/>
      </w:tabs>
      <w:rPr>
        <w:sz w:val="20"/>
        <w:szCs w:val="20"/>
      </w:rPr>
    </w:pPr>
    <w:r>
      <w:rPr>
        <w:noProof/>
      </w:rPr>
      <w:pict w14:anchorId="5828C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792" o:spid="_x0000_s2051" type="#_x0000_t136" style="position:absolute;margin-left:0;margin-top:0;width:523.1pt;height:196.15pt;rotation:315;z-index:-251652096;mso-position-horizontal:center;mso-position-horizontal-relative:margin;mso-position-vertical:center;mso-position-vertical-relative:margin" o:allowincell="f" fillcolor="silver" stroked="f">
          <v:fill opacity=".5"/>
          <v:textpath style="font-family:&quot;Calibri&quot;;font-size:1pt" string="Final Outline"/>
          <w10:wrap anchorx="margin" anchory="margin"/>
        </v:shape>
      </w:pict>
    </w:r>
    <w:r w:rsidR="00596CAA" w:rsidRPr="00D0640B">
      <w:rPr>
        <w:noProof/>
        <w:color w:val="808080" w:themeColor="background1" w:themeShade="80"/>
        <w:sz w:val="20"/>
        <w:szCs w:val="20"/>
        <w:lang w:eastAsia="en-GB"/>
      </w:rPr>
      <w:drawing>
        <wp:anchor distT="0" distB="0" distL="114300" distR="114300" simplePos="0" relativeHeight="251658240" behindDoc="1" locked="0" layoutInCell="1" allowOverlap="1" wp14:anchorId="2E84C129" wp14:editId="35F31D02">
          <wp:simplePos x="0" y="0"/>
          <wp:positionH relativeFrom="column">
            <wp:posOffset>5233035</wp:posOffset>
          </wp:positionH>
          <wp:positionV relativeFrom="paragraph">
            <wp:posOffset>-241773</wp:posOffset>
          </wp:positionV>
          <wp:extent cx="1294130" cy="55816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596CAA" w:rsidRPr="00D0640B">
      <w:rPr>
        <w:color w:val="808080" w:themeColor="background1" w:themeShade="80"/>
        <w:sz w:val="20"/>
        <w:szCs w:val="20"/>
      </w:rPr>
      <w:t>Version:</w:t>
    </w:r>
    <w:r w:rsidR="00596CAA">
      <w:rPr>
        <w:color w:val="808080" w:themeColor="background1" w:themeShade="80"/>
        <w:sz w:val="20"/>
        <w:szCs w:val="20"/>
      </w:rPr>
      <w:t xml:space="preserve"> 0.1. 08/09/2017</w:t>
    </w:r>
    <w:r w:rsidR="00596CAA" w:rsidRPr="00D0640B">
      <w:rPr>
        <w:color w:val="808080" w:themeColor="background1" w:themeShade="80"/>
        <w:sz w:val="20"/>
        <w:szCs w:val="20"/>
      </w:rPr>
      <w:tab/>
      <w:t>Service Specification</w:t>
    </w:r>
    <w:r w:rsidR="00596CAA" w:rsidRPr="00D0640B">
      <w:rPr>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7D726" w14:textId="77777777" w:rsidR="00596CAA" w:rsidRDefault="00DC2AC3">
    <w:pPr>
      <w:pStyle w:val="Header"/>
    </w:pPr>
    <w:r>
      <w:rPr>
        <w:noProof/>
      </w:rPr>
      <w:pict w14:anchorId="4AACA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790" o:spid="_x0000_s2049" type="#_x0000_t136" style="position:absolute;margin-left:0;margin-top:0;width:523.1pt;height:196.15pt;rotation:315;z-index:-251656192;mso-position-horizontal:center;mso-position-horizontal-relative:margin;mso-position-vertical:center;mso-position-vertical-relative:margin" o:allowincell="f" fillcolor="silver" stroked="f">
          <v:fill opacity=".5"/>
          <v:textpath style="font-family:&quot;Calibri&quot;;font-size:1pt" string="Final Outl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37B"/>
    <w:multiLevelType w:val="multilevel"/>
    <w:tmpl w:val="73481F4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FF76B6"/>
    <w:multiLevelType w:val="hybridMultilevel"/>
    <w:tmpl w:val="003669F4"/>
    <w:lvl w:ilvl="0" w:tplc="1E1C734E">
      <w:numFmt w:val="bullet"/>
      <w:lvlText w:val=""/>
      <w:lvlJc w:val="left"/>
      <w:pPr>
        <w:ind w:left="1019" w:hanging="360"/>
      </w:pPr>
      <w:rPr>
        <w:rFonts w:ascii="Symbol" w:eastAsia="Symbol" w:hAnsi="Symbol" w:cs="Symbol" w:hint="default"/>
        <w:w w:val="100"/>
        <w:sz w:val="24"/>
        <w:szCs w:val="24"/>
        <w:lang w:val="en-US" w:eastAsia="en-US" w:bidi="en-US"/>
      </w:rPr>
    </w:lvl>
    <w:lvl w:ilvl="1" w:tplc="E49A9CF0">
      <w:numFmt w:val="bullet"/>
      <w:lvlText w:val="•"/>
      <w:lvlJc w:val="left"/>
      <w:pPr>
        <w:ind w:left="1830" w:hanging="360"/>
      </w:pPr>
      <w:rPr>
        <w:rFonts w:hint="default"/>
        <w:lang w:val="en-US" w:eastAsia="en-US" w:bidi="en-US"/>
      </w:rPr>
    </w:lvl>
    <w:lvl w:ilvl="2" w:tplc="09A8B456">
      <w:numFmt w:val="bullet"/>
      <w:lvlText w:val="•"/>
      <w:lvlJc w:val="left"/>
      <w:pPr>
        <w:ind w:left="2641" w:hanging="360"/>
      </w:pPr>
      <w:rPr>
        <w:rFonts w:hint="default"/>
        <w:lang w:val="en-US" w:eastAsia="en-US" w:bidi="en-US"/>
      </w:rPr>
    </w:lvl>
    <w:lvl w:ilvl="3" w:tplc="ECAC2A06">
      <w:numFmt w:val="bullet"/>
      <w:lvlText w:val="•"/>
      <w:lvlJc w:val="left"/>
      <w:pPr>
        <w:ind w:left="3451" w:hanging="360"/>
      </w:pPr>
      <w:rPr>
        <w:rFonts w:hint="default"/>
        <w:lang w:val="en-US" w:eastAsia="en-US" w:bidi="en-US"/>
      </w:rPr>
    </w:lvl>
    <w:lvl w:ilvl="4" w:tplc="B4CA4644">
      <w:numFmt w:val="bullet"/>
      <w:lvlText w:val="•"/>
      <w:lvlJc w:val="left"/>
      <w:pPr>
        <w:ind w:left="4262" w:hanging="360"/>
      </w:pPr>
      <w:rPr>
        <w:rFonts w:hint="default"/>
        <w:lang w:val="en-US" w:eastAsia="en-US" w:bidi="en-US"/>
      </w:rPr>
    </w:lvl>
    <w:lvl w:ilvl="5" w:tplc="033091B8">
      <w:numFmt w:val="bullet"/>
      <w:lvlText w:val="•"/>
      <w:lvlJc w:val="left"/>
      <w:pPr>
        <w:ind w:left="5073" w:hanging="360"/>
      </w:pPr>
      <w:rPr>
        <w:rFonts w:hint="default"/>
        <w:lang w:val="en-US" w:eastAsia="en-US" w:bidi="en-US"/>
      </w:rPr>
    </w:lvl>
    <w:lvl w:ilvl="6" w:tplc="BE9AB29C">
      <w:numFmt w:val="bullet"/>
      <w:lvlText w:val="•"/>
      <w:lvlJc w:val="left"/>
      <w:pPr>
        <w:ind w:left="5883" w:hanging="360"/>
      </w:pPr>
      <w:rPr>
        <w:rFonts w:hint="default"/>
        <w:lang w:val="en-US" w:eastAsia="en-US" w:bidi="en-US"/>
      </w:rPr>
    </w:lvl>
    <w:lvl w:ilvl="7" w:tplc="AEC6767E">
      <w:numFmt w:val="bullet"/>
      <w:lvlText w:val="•"/>
      <w:lvlJc w:val="left"/>
      <w:pPr>
        <w:ind w:left="6694" w:hanging="360"/>
      </w:pPr>
      <w:rPr>
        <w:rFonts w:hint="default"/>
        <w:lang w:val="en-US" w:eastAsia="en-US" w:bidi="en-US"/>
      </w:rPr>
    </w:lvl>
    <w:lvl w:ilvl="8" w:tplc="5D5890F2">
      <w:numFmt w:val="bullet"/>
      <w:lvlText w:val="•"/>
      <w:lvlJc w:val="left"/>
      <w:pPr>
        <w:ind w:left="7504" w:hanging="360"/>
      </w:pPr>
      <w:rPr>
        <w:rFonts w:hint="default"/>
        <w:lang w:val="en-US" w:eastAsia="en-US" w:bidi="en-US"/>
      </w:rPr>
    </w:lvl>
  </w:abstractNum>
  <w:abstractNum w:abstractNumId="2">
    <w:nsid w:val="05135592"/>
    <w:multiLevelType w:val="hybridMultilevel"/>
    <w:tmpl w:val="F8206CFA"/>
    <w:lvl w:ilvl="0" w:tplc="0809000F">
      <w:start w:val="1"/>
      <w:numFmt w:val="decimal"/>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99B2B81"/>
    <w:multiLevelType w:val="multilevel"/>
    <w:tmpl w:val="C1D0C118"/>
    <w:lvl w:ilvl="0">
      <w:start w:val="3"/>
      <w:numFmt w:val="decimal"/>
      <w:lvlText w:val="%1"/>
      <w:lvlJc w:val="left"/>
      <w:pPr>
        <w:ind w:left="910" w:hanging="803"/>
      </w:pPr>
      <w:rPr>
        <w:rFonts w:hint="default"/>
        <w:lang w:val="en-US" w:eastAsia="en-US" w:bidi="en-US"/>
      </w:rPr>
    </w:lvl>
    <w:lvl w:ilvl="1">
      <w:start w:val="2"/>
      <w:numFmt w:val="decimal"/>
      <w:lvlText w:val="%1.%2"/>
      <w:lvlJc w:val="left"/>
      <w:pPr>
        <w:ind w:left="910" w:hanging="803"/>
      </w:pPr>
      <w:rPr>
        <w:rFonts w:hint="default"/>
        <w:lang w:val="en-US" w:eastAsia="en-US" w:bidi="en-US"/>
      </w:rPr>
    </w:lvl>
    <w:lvl w:ilvl="2">
      <w:start w:val="6"/>
      <w:numFmt w:val="decimal"/>
      <w:lvlText w:val="%1.%2.%3"/>
      <w:lvlJc w:val="left"/>
      <w:pPr>
        <w:ind w:left="910" w:hanging="803"/>
      </w:pPr>
      <w:rPr>
        <w:rFonts w:hint="default"/>
        <w:lang w:val="en-US" w:eastAsia="en-US" w:bidi="en-US"/>
      </w:rPr>
    </w:lvl>
    <w:lvl w:ilvl="3">
      <w:start w:val="2"/>
      <w:numFmt w:val="decimal"/>
      <w:lvlText w:val="%1.%2.%3.%4"/>
      <w:lvlJc w:val="left"/>
      <w:pPr>
        <w:ind w:left="910" w:hanging="803"/>
      </w:pPr>
      <w:rPr>
        <w:rFonts w:ascii="Arial" w:eastAsia="Arial" w:hAnsi="Arial" w:cs="Arial" w:hint="default"/>
        <w:b/>
        <w:bCs/>
        <w:spacing w:val="-2"/>
        <w:w w:val="99"/>
        <w:sz w:val="24"/>
        <w:szCs w:val="24"/>
        <w:lang w:val="en-US" w:eastAsia="en-US" w:bidi="en-US"/>
      </w:rPr>
    </w:lvl>
    <w:lvl w:ilvl="4">
      <w:numFmt w:val="bullet"/>
      <w:lvlText w:val=""/>
      <w:lvlJc w:val="left"/>
      <w:pPr>
        <w:ind w:left="1019" w:hanging="360"/>
      </w:pPr>
      <w:rPr>
        <w:rFonts w:ascii="Symbol" w:eastAsia="Symbol" w:hAnsi="Symbol" w:cs="Symbol" w:hint="default"/>
        <w:w w:val="100"/>
        <w:sz w:val="24"/>
        <w:szCs w:val="24"/>
        <w:lang w:val="en-US" w:eastAsia="en-US" w:bidi="en-US"/>
      </w:rPr>
    </w:lvl>
    <w:lvl w:ilvl="5">
      <w:numFmt w:val="bullet"/>
      <w:lvlText w:val="•"/>
      <w:lvlJc w:val="left"/>
      <w:pPr>
        <w:ind w:left="4622" w:hanging="360"/>
      </w:pPr>
      <w:rPr>
        <w:rFonts w:hint="default"/>
        <w:lang w:val="en-US" w:eastAsia="en-US" w:bidi="en-US"/>
      </w:rPr>
    </w:lvl>
    <w:lvl w:ilvl="6">
      <w:numFmt w:val="bullet"/>
      <w:lvlText w:val="•"/>
      <w:lvlJc w:val="left"/>
      <w:pPr>
        <w:ind w:left="5523" w:hanging="360"/>
      </w:pPr>
      <w:rPr>
        <w:rFonts w:hint="default"/>
        <w:lang w:val="en-US" w:eastAsia="en-US" w:bidi="en-US"/>
      </w:rPr>
    </w:lvl>
    <w:lvl w:ilvl="7">
      <w:numFmt w:val="bullet"/>
      <w:lvlText w:val="•"/>
      <w:lvlJc w:val="left"/>
      <w:pPr>
        <w:ind w:left="6424" w:hanging="360"/>
      </w:pPr>
      <w:rPr>
        <w:rFonts w:hint="default"/>
        <w:lang w:val="en-US" w:eastAsia="en-US" w:bidi="en-US"/>
      </w:rPr>
    </w:lvl>
    <w:lvl w:ilvl="8">
      <w:numFmt w:val="bullet"/>
      <w:lvlText w:val="•"/>
      <w:lvlJc w:val="left"/>
      <w:pPr>
        <w:ind w:left="7324" w:hanging="360"/>
      </w:pPr>
      <w:rPr>
        <w:rFonts w:hint="default"/>
        <w:lang w:val="en-US" w:eastAsia="en-US" w:bidi="en-US"/>
      </w:rPr>
    </w:lvl>
  </w:abstractNum>
  <w:abstractNum w:abstractNumId="4">
    <w:nsid w:val="0D1A5D02"/>
    <w:multiLevelType w:val="hybridMultilevel"/>
    <w:tmpl w:val="B344B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B082750"/>
    <w:multiLevelType w:val="hybridMultilevel"/>
    <w:tmpl w:val="A2A08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2E6CFA"/>
    <w:multiLevelType w:val="hybridMultilevel"/>
    <w:tmpl w:val="E176FF9C"/>
    <w:lvl w:ilvl="0" w:tplc="C94AC6FE">
      <w:start w:val="17"/>
      <w:numFmt w:val="bullet"/>
      <w:lvlText w:val=""/>
      <w:lvlJc w:val="left"/>
      <w:pPr>
        <w:ind w:left="720" w:hanging="360"/>
      </w:pPr>
      <w:rPr>
        <w:rFonts w:ascii="Symbol" w:eastAsiaTheme="minorHAnsi" w:hAnsi="Symbol"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407BB1"/>
    <w:multiLevelType w:val="hybridMultilevel"/>
    <w:tmpl w:val="C1E27298"/>
    <w:lvl w:ilvl="0" w:tplc="A1A22AAE">
      <w:start w:val="4"/>
      <w:numFmt w:val="decimal"/>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nsid w:val="20E6492D"/>
    <w:multiLevelType w:val="hybridMultilevel"/>
    <w:tmpl w:val="E47E553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7D427AF"/>
    <w:multiLevelType w:val="hybridMultilevel"/>
    <w:tmpl w:val="21E8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536B23"/>
    <w:multiLevelType w:val="hybridMultilevel"/>
    <w:tmpl w:val="BBEA7E36"/>
    <w:lvl w:ilvl="0" w:tplc="058E769C">
      <w:numFmt w:val="bullet"/>
      <w:lvlText w:val=""/>
      <w:lvlJc w:val="left"/>
      <w:pPr>
        <w:ind w:left="1019" w:hanging="360"/>
      </w:pPr>
      <w:rPr>
        <w:rFonts w:ascii="Symbol" w:eastAsia="Symbol" w:hAnsi="Symbol" w:cs="Symbol" w:hint="default"/>
        <w:w w:val="100"/>
        <w:sz w:val="24"/>
        <w:szCs w:val="24"/>
        <w:lang w:val="en-US" w:eastAsia="en-US" w:bidi="en-US"/>
      </w:rPr>
    </w:lvl>
    <w:lvl w:ilvl="1" w:tplc="3B0A42D8">
      <w:numFmt w:val="bullet"/>
      <w:lvlText w:val="•"/>
      <w:lvlJc w:val="left"/>
      <w:pPr>
        <w:ind w:left="1830" w:hanging="360"/>
      </w:pPr>
      <w:rPr>
        <w:rFonts w:hint="default"/>
        <w:color w:val="auto"/>
        <w:lang w:val="en-US" w:eastAsia="en-US" w:bidi="en-US"/>
      </w:rPr>
    </w:lvl>
    <w:lvl w:ilvl="2" w:tplc="C67E6B8C">
      <w:numFmt w:val="bullet"/>
      <w:lvlText w:val="•"/>
      <w:lvlJc w:val="left"/>
      <w:pPr>
        <w:ind w:left="2641" w:hanging="360"/>
      </w:pPr>
      <w:rPr>
        <w:rFonts w:hint="default"/>
        <w:lang w:val="en-US" w:eastAsia="en-US" w:bidi="en-US"/>
      </w:rPr>
    </w:lvl>
    <w:lvl w:ilvl="3" w:tplc="702EF252">
      <w:numFmt w:val="bullet"/>
      <w:lvlText w:val="•"/>
      <w:lvlJc w:val="left"/>
      <w:pPr>
        <w:ind w:left="3451" w:hanging="360"/>
      </w:pPr>
      <w:rPr>
        <w:rFonts w:hint="default"/>
        <w:lang w:val="en-US" w:eastAsia="en-US" w:bidi="en-US"/>
      </w:rPr>
    </w:lvl>
    <w:lvl w:ilvl="4" w:tplc="DC4000D8">
      <w:numFmt w:val="bullet"/>
      <w:lvlText w:val="•"/>
      <w:lvlJc w:val="left"/>
      <w:pPr>
        <w:ind w:left="4262" w:hanging="360"/>
      </w:pPr>
      <w:rPr>
        <w:rFonts w:hint="default"/>
        <w:lang w:val="en-US" w:eastAsia="en-US" w:bidi="en-US"/>
      </w:rPr>
    </w:lvl>
    <w:lvl w:ilvl="5" w:tplc="CEE0214C">
      <w:numFmt w:val="bullet"/>
      <w:lvlText w:val="•"/>
      <w:lvlJc w:val="left"/>
      <w:pPr>
        <w:ind w:left="5073" w:hanging="360"/>
      </w:pPr>
      <w:rPr>
        <w:rFonts w:hint="default"/>
        <w:lang w:val="en-US" w:eastAsia="en-US" w:bidi="en-US"/>
      </w:rPr>
    </w:lvl>
    <w:lvl w:ilvl="6" w:tplc="E6D4E9E0">
      <w:numFmt w:val="bullet"/>
      <w:lvlText w:val="•"/>
      <w:lvlJc w:val="left"/>
      <w:pPr>
        <w:ind w:left="5883" w:hanging="360"/>
      </w:pPr>
      <w:rPr>
        <w:rFonts w:hint="default"/>
        <w:lang w:val="en-US" w:eastAsia="en-US" w:bidi="en-US"/>
      </w:rPr>
    </w:lvl>
    <w:lvl w:ilvl="7" w:tplc="DDF25198">
      <w:numFmt w:val="bullet"/>
      <w:lvlText w:val="•"/>
      <w:lvlJc w:val="left"/>
      <w:pPr>
        <w:ind w:left="6694" w:hanging="360"/>
      </w:pPr>
      <w:rPr>
        <w:rFonts w:hint="default"/>
        <w:lang w:val="en-US" w:eastAsia="en-US" w:bidi="en-US"/>
      </w:rPr>
    </w:lvl>
    <w:lvl w:ilvl="8" w:tplc="A7ACF98C">
      <w:numFmt w:val="bullet"/>
      <w:lvlText w:val="•"/>
      <w:lvlJc w:val="left"/>
      <w:pPr>
        <w:ind w:left="7504" w:hanging="360"/>
      </w:pPr>
      <w:rPr>
        <w:rFonts w:hint="default"/>
        <w:lang w:val="en-US" w:eastAsia="en-US" w:bidi="en-US"/>
      </w:rPr>
    </w:lvl>
  </w:abstractNum>
  <w:abstractNum w:abstractNumId="11">
    <w:nsid w:val="2DB2455C"/>
    <w:multiLevelType w:val="hybridMultilevel"/>
    <w:tmpl w:val="3E70D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3D0729"/>
    <w:multiLevelType w:val="hybridMultilevel"/>
    <w:tmpl w:val="B1C691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EAE0B11"/>
    <w:multiLevelType w:val="hybridMultilevel"/>
    <w:tmpl w:val="FCC82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F65C46"/>
    <w:multiLevelType w:val="hybridMultilevel"/>
    <w:tmpl w:val="8A7C5368"/>
    <w:lvl w:ilvl="0" w:tplc="0809000F">
      <w:start w:val="1"/>
      <w:numFmt w:val="decimal"/>
      <w:lvlText w:val="%1."/>
      <w:lvlJc w:val="left"/>
      <w:pPr>
        <w:ind w:left="720" w:hanging="360"/>
      </w:pPr>
      <w:rPr>
        <w:rFonts w:hint="default"/>
      </w:rPr>
    </w:lvl>
    <w:lvl w:ilvl="1" w:tplc="043CDD20">
      <w:start w:val="1"/>
      <w:numFmt w:val="upperLetter"/>
      <w:lvlText w:val="%2."/>
      <w:lvlJc w:val="left"/>
      <w:pPr>
        <w:ind w:left="1440" w:hanging="360"/>
      </w:pPr>
      <w:rPr>
        <w:rFonts w:asciiTheme="minorHAnsi" w:eastAsiaTheme="minorHAnsi" w:hAnsiTheme="minorHAnsi" w:cstheme="minorBidi"/>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16EA7E9C">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646A9C"/>
    <w:multiLevelType w:val="hybridMultilevel"/>
    <w:tmpl w:val="6FD60508"/>
    <w:lvl w:ilvl="0" w:tplc="32CC216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D805AB"/>
    <w:multiLevelType w:val="hybridMultilevel"/>
    <w:tmpl w:val="7F5C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AD650E"/>
    <w:multiLevelType w:val="hybridMultilevel"/>
    <w:tmpl w:val="694AB328"/>
    <w:lvl w:ilvl="0" w:tplc="6A36368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4D254FB1"/>
    <w:multiLevelType w:val="hybridMultilevel"/>
    <w:tmpl w:val="2F2AB5C4"/>
    <w:lvl w:ilvl="0" w:tplc="08090001">
      <w:start w:val="1"/>
      <w:numFmt w:val="bullet"/>
      <w:lvlText w:val=""/>
      <w:lvlJc w:val="left"/>
      <w:pPr>
        <w:ind w:left="720" w:hanging="360"/>
      </w:pPr>
      <w:rPr>
        <w:rFonts w:ascii="Symbol" w:hAnsi="Symbol" w:hint="default"/>
      </w:rPr>
    </w:lvl>
    <w:lvl w:ilvl="1" w:tplc="32CC216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B67261"/>
    <w:multiLevelType w:val="hybridMultilevel"/>
    <w:tmpl w:val="6F0CAEB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0">
    <w:nsid w:val="4FC75DB5"/>
    <w:multiLevelType w:val="hybridMultilevel"/>
    <w:tmpl w:val="4A7A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932209"/>
    <w:multiLevelType w:val="hybridMultilevel"/>
    <w:tmpl w:val="CDAA670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nsid w:val="5D9F6ADC"/>
    <w:multiLevelType w:val="hybridMultilevel"/>
    <w:tmpl w:val="80DA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1A3046"/>
    <w:multiLevelType w:val="hybridMultilevel"/>
    <w:tmpl w:val="BABC3B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34D160F"/>
    <w:multiLevelType w:val="hybridMultilevel"/>
    <w:tmpl w:val="C97AD9DE"/>
    <w:lvl w:ilvl="0" w:tplc="4038338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4B180C"/>
    <w:multiLevelType w:val="hybridMultilevel"/>
    <w:tmpl w:val="8A822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63B0615"/>
    <w:multiLevelType w:val="hybridMultilevel"/>
    <w:tmpl w:val="0772091A"/>
    <w:lvl w:ilvl="0" w:tplc="32CC216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
  </w:num>
  <w:num w:numId="4">
    <w:abstractNumId w:val="1"/>
  </w:num>
  <w:num w:numId="5">
    <w:abstractNumId w:val="10"/>
  </w:num>
  <w:num w:numId="6">
    <w:abstractNumId w:val="17"/>
  </w:num>
  <w:num w:numId="7">
    <w:abstractNumId w:val="2"/>
  </w:num>
  <w:num w:numId="8">
    <w:abstractNumId w:val="13"/>
  </w:num>
  <w:num w:numId="9">
    <w:abstractNumId w:val="25"/>
  </w:num>
  <w:num w:numId="10">
    <w:abstractNumId w:val="5"/>
  </w:num>
  <w:num w:numId="11">
    <w:abstractNumId w:val="24"/>
  </w:num>
  <w:num w:numId="12">
    <w:abstractNumId w:val="11"/>
  </w:num>
  <w:num w:numId="13">
    <w:abstractNumId w:val="7"/>
  </w:num>
  <w:num w:numId="14">
    <w:abstractNumId w:val="9"/>
  </w:num>
  <w:num w:numId="15">
    <w:abstractNumId w:val="18"/>
  </w:num>
  <w:num w:numId="16">
    <w:abstractNumId w:val="4"/>
  </w:num>
  <w:num w:numId="17">
    <w:abstractNumId w:val="26"/>
  </w:num>
  <w:num w:numId="18">
    <w:abstractNumId w:val="0"/>
  </w:num>
  <w:num w:numId="19">
    <w:abstractNumId w:val="15"/>
  </w:num>
  <w:num w:numId="20">
    <w:abstractNumId w:val="16"/>
  </w:num>
  <w:num w:numId="21">
    <w:abstractNumId w:val="22"/>
  </w:num>
  <w:num w:numId="22">
    <w:abstractNumId w:val="21"/>
  </w:num>
  <w:num w:numId="23">
    <w:abstractNumId w:val="20"/>
  </w:num>
  <w:num w:numId="24">
    <w:abstractNumId w:val="19"/>
  </w:num>
  <w:num w:numId="25">
    <w:abstractNumId w:val="12"/>
  </w:num>
  <w:num w:numId="26">
    <w:abstractNumId w:val="6"/>
  </w:num>
  <w:num w:numId="27">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bberson, clare">
    <w15:presenceInfo w15:providerId="AD" w15:userId="S-1-5-21-1494376522-2119321174-925700815-110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gutterAtTop/>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0B"/>
    <w:rsid w:val="00000F3E"/>
    <w:rsid w:val="00001491"/>
    <w:rsid w:val="00004CAC"/>
    <w:rsid w:val="000068C0"/>
    <w:rsid w:val="00006EA9"/>
    <w:rsid w:val="00013912"/>
    <w:rsid w:val="00015723"/>
    <w:rsid w:val="00022667"/>
    <w:rsid w:val="00024595"/>
    <w:rsid w:val="000274E7"/>
    <w:rsid w:val="000304A7"/>
    <w:rsid w:val="00031179"/>
    <w:rsid w:val="000323AD"/>
    <w:rsid w:val="0003562A"/>
    <w:rsid w:val="000358E0"/>
    <w:rsid w:val="00037E31"/>
    <w:rsid w:val="0004038D"/>
    <w:rsid w:val="0004195D"/>
    <w:rsid w:val="00047E85"/>
    <w:rsid w:val="000507E4"/>
    <w:rsid w:val="00055CEE"/>
    <w:rsid w:val="00057092"/>
    <w:rsid w:val="00060559"/>
    <w:rsid w:val="00060C0C"/>
    <w:rsid w:val="00060DAA"/>
    <w:rsid w:val="00064244"/>
    <w:rsid w:val="00064F80"/>
    <w:rsid w:val="0007279E"/>
    <w:rsid w:val="00083527"/>
    <w:rsid w:val="00084505"/>
    <w:rsid w:val="00084A89"/>
    <w:rsid w:val="00085241"/>
    <w:rsid w:val="00087D4D"/>
    <w:rsid w:val="00087F7B"/>
    <w:rsid w:val="000913D6"/>
    <w:rsid w:val="00092974"/>
    <w:rsid w:val="0009760E"/>
    <w:rsid w:val="00097E0E"/>
    <w:rsid w:val="000A3685"/>
    <w:rsid w:val="000A53C4"/>
    <w:rsid w:val="000A6BF2"/>
    <w:rsid w:val="000A6D4A"/>
    <w:rsid w:val="000B127D"/>
    <w:rsid w:val="000B16CB"/>
    <w:rsid w:val="000B35EF"/>
    <w:rsid w:val="000B4868"/>
    <w:rsid w:val="000C0F33"/>
    <w:rsid w:val="000C1A8C"/>
    <w:rsid w:val="000C61F5"/>
    <w:rsid w:val="000D196C"/>
    <w:rsid w:val="000D234C"/>
    <w:rsid w:val="000D43D6"/>
    <w:rsid w:val="000D78BE"/>
    <w:rsid w:val="000E1CFC"/>
    <w:rsid w:val="000E438A"/>
    <w:rsid w:val="000E4A4F"/>
    <w:rsid w:val="000E6662"/>
    <w:rsid w:val="000E7706"/>
    <w:rsid w:val="000F33A4"/>
    <w:rsid w:val="00103CF7"/>
    <w:rsid w:val="001106B4"/>
    <w:rsid w:val="001161CE"/>
    <w:rsid w:val="00116B54"/>
    <w:rsid w:val="001206E9"/>
    <w:rsid w:val="001218AB"/>
    <w:rsid w:val="00121EF0"/>
    <w:rsid w:val="001225F3"/>
    <w:rsid w:val="00130041"/>
    <w:rsid w:val="00132B97"/>
    <w:rsid w:val="00136749"/>
    <w:rsid w:val="00137457"/>
    <w:rsid w:val="00143611"/>
    <w:rsid w:val="0015737B"/>
    <w:rsid w:val="00160CBA"/>
    <w:rsid w:val="001651EC"/>
    <w:rsid w:val="00167721"/>
    <w:rsid w:val="001708F9"/>
    <w:rsid w:val="00171B92"/>
    <w:rsid w:val="00172233"/>
    <w:rsid w:val="00173F31"/>
    <w:rsid w:val="00175BC4"/>
    <w:rsid w:val="00176592"/>
    <w:rsid w:val="00181CAE"/>
    <w:rsid w:val="00185474"/>
    <w:rsid w:val="00187410"/>
    <w:rsid w:val="001903DB"/>
    <w:rsid w:val="00192598"/>
    <w:rsid w:val="001925E8"/>
    <w:rsid w:val="001932B0"/>
    <w:rsid w:val="0019444F"/>
    <w:rsid w:val="001A33AE"/>
    <w:rsid w:val="001A4053"/>
    <w:rsid w:val="001A6CB5"/>
    <w:rsid w:val="001B35E7"/>
    <w:rsid w:val="001B4925"/>
    <w:rsid w:val="001D0D5F"/>
    <w:rsid w:val="001D4C3D"/>
    <w:rsid w:val="001D7EB3"/>
    <w:rsid w:val="001E6ACE"/>
    <w:rsid w:val="001E7651"/>
    <w:rsid w:val="001E76ED"/>
    <w:rsid w:val="001E7AD9"/>
    <w:rsid w:val="001E7F48"/>
    <w:rsid w:val="001F0C4D"/>
    <w:rsid w:val="001F5636"/>
    <w:rsid w:val="001F5B98"/>
    <w:rsid w:val="0020186F"/>
    <w:rsid w:val="00202ED0"/>
    <w:rsid w:val="00204D2A"/>
    <w:rsid w:val="0021021E"/>
    <w:rsid w:val="00213AF6"/>
    <w:rsid w:val="002151C6"/>
    <w:rsid w:val="00215A54"/>
    <w:rsid w:val="00215F76"/>
    <w:rsid w:val="00225825"/>
    <w:rsid w:val="00230CD7"/>
    <w:rsid w:val="00232437"/>
    <w:rsid w:val="00232A86"/>
    <w:rsid w:val="00232CD3"/>
    <w:rsid w:val="00237A26"/>
    <w:rsid w:val="002405BF"/>
    <w:rsid w:val="002463A7"/>
    <w:rsid w:val="0024649D"/>
    <w:rsid w:val="002520D4"/>
    <w:rsid w:val="00261FC5"/>
    <w:rsid w:val="002673FA"/>
    <w:rsid w:val="00270E18"/>
    <w:rsid w:val="002712E5"/>
    <w:rsid w:val="002722E8"/>
    <w:rsid w:val="00281372"/>
    <w:rsid w:val="00281DD7"/>
    <w:rsid w:val="00281E0E"/>
    <w:rsid w:val="00282690"/>
    <w:rsid w:val="00286E19"/>
    <w:rsid w:val="00291A29"/>
    <w:rsid w:val="0029225D"/>
    <w:rsid w:val="00292630"/>
    <w:rsid w:val="00297070"/>
    <w:rsid w:val="00297944"/>
    <w:rsid w:val="00297F5A"/>
    <w:rsid w:val="002A41B1"/>
    <w:rsid w:val="002A5D82"/>
    <w:rsid w:val="002A61E3"/>
    <w:rsid w:val="002A7D71"/>
    <w:rsid w:val="002B0935"/>
    <w:rsid w:val="002B0DC6"/>
    <w:rsid w:val="002B243D"/>
    <w:rsid w:val="002B6197"/>
    <w:rsid w:val="002C2516"/>
    <w:rsid w:val="002D1E85"/>
    <w:rsid w:val="002D1F7A"/>
    <w:rsid w:val="002D3C6A"/>
    <w:rsid w:val="002D4DD4"/>
    <w:rsid w:val="002E0712"/>
    <w:rsid w:val="002E0ACF"/>
    <w:rsid w:val="002E37E2"/>
    <w:rsid w:val="002E45AD"/>
    <w:rsid w:val="002E4B2E"/>
    <w:rsid w:val="002E6E4E"/>
    <w:rsid w:val="002F0323"/>
    <w:rsid w:val="002F42FD"/>
    <w:rsid w:val="002F4AF6"/>
    <w:rsid w:val="00301901"/>
    <w:rsid w:val="00303F7A"/>
    <w:rsid w:val="003077A4"/>
    <w:rsid w:val="003135DE"/>
    <w:rsid w:val="00322952"/>
    <w:rsid w:val="00323B6B"/>
    <w:rsid w:val="00323E93"/>
    <w:rsid w:val="003253F9"/>
    <w:rsid w:val="00331ADB"/>
    <w:rsid w:val="0033719E"/>
    <w:rsid w:val="003412D8"/>
    <w:rsid w:val="003426FF"/>
    <w:rsid w:val="00346D43"/>
    <w:rsid w:val="00347EFB"/>
    <w:rsid w:val="003536F5"/>
    <w:rsid w:val="00355815"/>
    <w:rsid w:val="00355A74"/>
    <w:rsid w:val="003606F4"/>
    <w:rsid w:val="003622F0"/>
    <w:rsid w:val="00362BB1"/>
    <w:rsid w:val="0036367B"/>
    <w:rsid w:val="00366284"/>
    <w:rsid w:val="00371B18"/>
    <w:rsid w:val="00372A95"/>
    <w:rsid w:val="00373923"/>
    <w:rsid w:val="00381025"/>
    <w:rsid w:val="00381D9B"/>
    <w:rsid w:val="00381EA2"/>
    <w:rsid w:val="0038376B"/>
    <w:rsid w:val="00390E92"/>
    <w:rsid w:val="00395291"/>
    <w:rsid w:val="003A0673"/>
    <w:rsid w:val="003A5E5F"/>
    <w:rsid w:val="003B0677"/>
    <w:rsid w:val="003B1974"/>
    <w:rsid w:val="003C2411"/>
    <w:rsid w:val="003D42EA"/>
    <w:rsid w:val="003D5E4E"/>
    <w:rsid w:val="003E0A6D"/>
    <w:rsid w:val="003E1984"/>
    <w:rsid w:val="003E4442"/>
    <w:rsid w:val="003E5E6B"/>
    <w:rsid w:val="003E61B9"/>
    <w:rsid w:val="003E7294"/>
    <w:rsid w:val="003F07A1"/>
    <w:rsid w:val="003F08E5"/>
    <w:rsid w:val="003F3602"/>
    <w:rsid w:val="003F4B39"/>
    <w:rsid w:val="00400998"/>
    <w:rsid w:val="0040185C"/>
    <w:rsid w:val="0040213D"/>
    <w:rsid w:val="00405121"/>
    <w:rsid w:val="004137EA"/>
    <w:rsid w:val="004177CC"/>
    <w:rsid w:val="00420147"/>
    <w:rsid w:val="00422952"/>
    <w:rsid w:val="004334E1"/>
    <w:rsid w:val="0043581B"/>
    <w:rsid w:val="004360C4"/>
    <w:rsid w:val="00437505"/>
    <w:rsid w:val="004377E6"/>
    <w:rsid w:val="00441608"/>
    <w:rsid w:val="0044194B"/>
    <w:rsid w:val="00442AE7"/>
    <w:rsid w:val="00442DBD"/>
    <w:rsid w:val="00445C93"/>
    <w:rsid w:val="00447AE4"/>
    <w:rsid w:val="004506EF"/>
    <w:rsid w:val="00452D0F"/>
    <w:rsid w:val="00453220"/>
    <w:rsid w:val="004617AE"/>
    <w:rsid w:val="004645ED"/>
    <w:rsid w:val="0046706A"/>
    <w:rsid w:val="004715BD"/>
    <w:rsid w:val="004721A8"/>
    <w:rsid w:val="0047284A"/>
    <w:rsid w:val="00473617"/>
    <w:rsid w:val="00481540"/>
    <w:rsid w:val="004819A9"/>
    <w:rsid w:val="0048214F"/>
    <w:rsid w:val="00483491"/>
    <w:rsid w:val="00485190"/>
    <w:rsid w:val="004906C8"/>
    <w:rsid w:val="004A3A73"/>
    <w:rsid w:val="004A42B1"/>
    <w:rsid w:val="004A5736"/>
    <w:rsid w:val="004A57D3"/>
    <w:rsid w:val="004B50C6"/>
    <w:rsid w:val="004B5EF5"/>
    <w:rsid w:val="004B65EE"/>
    <w:rsid w:val="004C0807"/>
    <w:rsid w:val="004C0E8F"/>
    <w:rsid w:val="004C0EC9"/>
    <w:rsid w:val="004C27E4"/>
    <w:rsid w:val="004C390E"/>
    <w:rsid w:val="004C524F"/>
    <w:rsid w:val="004C55ED"/>
    <w:rsid w:val="004C79E9"/>
    <w:rsid w:val="004D0B19"/>
    <w:rsid w:val="004D1C69"/>
    <w:rsid w:val="004D225D"/>
    <w:rsid w:val="004D6B1B"/>
    <w:rsid w:val="004D779A"/>
    <w:rsid w:val="004E0D7E"/>
    <w:rsid w:val="004E203C"/>
    <w:rsid w:val="004E3337"/>
    <w:rsid w:val="004E6C32"/>
    <w:rsid w:val="004F08E2"/>
    <w:rsid w:val="004F1A61"/>
    <w:rsid w:val="004F1BE3"/>
    <w:rsid w:val="004F245B"/>
    <w:rsid w:val="004F2C94"/>
    <w:rsid w:val="004F6D3A"/>
    <w:rsid w:val="005004CB"/>
    <w:rsid w:val="005048A5"/>
    <w:rsid w:val="0051447D"/>
    <w:rsid w:val="005155CE"/>
    <w:rsid w:val="00520E65"/>
    <w:rsid w:val="0052391A"/>
    <w:rsid w:val="0052412E"/>
    <w:rsid w:val="00524664"/>
    <w:rsid w:val="00525A09"/>
    <w:rsid w:val="005268F2"/>
    <w:rsid w:val="0053119D"/>
    <w:rsid w:val="0054419A"/>
    <w:rsid w:val="00544E60"/>
    <w:rsid w:val="00545F61"/>
    <w:rsid w:val="005461F4"/>
    <w:rsid w:val="00552138"/>
    <w:rsid w:val="00553CB7"/>
    <w:rsid w:val="00555497"/>
    <w:rsid w:val="00557365"/>
    <w:rsid w:val="005618B9"/>
    <w:rsid w:val="0056269C"/>
    <w:rsid w:val="00563CBC"/>
    <w:rsid w:val="0056768C"/>
    <w:rsid w:val="00567FBB"/>
    <w:rsid w:val="00570516"/>
    <w:rsid w:val="00573CFB"/>
    <w:rsid w:val="00577C8F"/>
    <w:rsid w:val="00580A69"/>
    <w:rsid w:val="00581D45"/>
    <w:rsid w:val="0058207F"/>
    <w:rsid w:val="00583731"/>
    <w:rsid w:val="00592977"/>
    <w:rsid w:val="0059637E"/>
    <w:rsid w:val="00596CAA"/>
    <w:rsid w:val="005A0023"/>
    <w:rsid w:val="005A0FF4"/>
    <w:rsid w:val="005A245D"/>
    <w:rsid w:val="005A434E"/>
    <w:rsid w:val="005A47CF"/>
    <w:rsid w:val="005A5EBF"/>
    <w:rsid w:val="005A630F"/>
    <w:rsid w:val="005A6B01"/>
    <w:rsid w:val="005B0530"/>
    <w:rsid w:val="005B2051"/>
    <w:rsid w:val="005B2AC5"/>
    <w:rsid w:val="005B6AB4"/>
    <w:rsid w:val="005B7AA5"/>
    <w:rsid w:val="005C10ED"/>
    <w:rsid w:val="005C6098"/>
    <w:rsid w:val="005C654B"/>
    <w:rsid w:val="005D56B4"/>
    <w:rsid w:val="005D711A"/>
    <w:rsid w:val="005E2EE1"/>
    <w:rsid w:val="005E39F2"/>
    <w:rsid w:val="005E42B3"/>
    <w:rsid w:val="005E4517"/>
    <w:rsid w:val="005E4716"/>
    <w:rsid w:val="005E684E"/>
    <w:rsid w:val="005F159C"/>
    <w:rsid w:val="005F1DD3"/>
    <w:rsid w:val="00601C01"/>
    <w:rsid w:val="00605062"/>
    <w:rsid w:val="006058AA"/>
    <w:rsid w:val="00606F23"/>
    <w:rsid w:val="006142DC"/>
    <w:rsid w:val="00617A0E"/>
    <w:rsid w:val="006207C6"/>
    <w:rsid w:val="00620D51"/>
    <w:rsid w:val="006220AA"/>
    <w:rsid w:val="00622209"/>
    <w:rsid w:val="006247F5"/>
    <w:rsid w:val="00632A5A"/>
    <w:rsid w:val="006343ED"/>
    <w:rsid w:val="00635A2A"/>
    <w:rsid w:val="00635B69"/>
    <w:rsid w:val="00635C03"/>
    <w:rsid w:val="00637B5B"/>
    <w:rsid w:val="00637DA6"/>
    <w:rsid w:val="006403F1"/>
    <w:rsid w:val="00643884"/>
    <w:rsid w:val="00645AA9"/>
    <w:rsid w:val="00650976"/>
    <w:rsid w:val="006532AB"/>
    <w:rsid w:val="006547E6"/>
    <w:rsid w:val="00654EF2"/>
    <w:rsid w:val="006775A7"/>
    <w:rsid w:val="0068139F"/>
    <w:rsid w:val="00682622"/>
    <w:rsid w:val="006831D0"/>
    <w:rsid w:val="00686F31"/>
    <w:rsid w:val="00687603"/>
    <w:rsid w:val="00693F46"/>
    <w:rsid w:val="006945F8"/>
    <w:rsid w:val="006A03E3"/>
    <w:rsid w:val="006A07A1"/>
    <w:rsid w:val="006A0BFE"/>
    <w:rsid w:val="006A4468"/>
    <w:rsid w:val="006A6589"/>
    <w:rsid w:val="006B2478"/>
    <w:rsid w:val="006B510E"/>
    <w:rsid w:val="006B547B"/>
    <w:rsid w:val="006C5AB0"/>
    <w:rsid w:val="006C76C0"/>
    <w:rsid w:val="006D1376"/>
    <w:rsid w:val="006D238B"/>
    <w:rsid w:val="006D6A40"/>
    <w:rsid w:val="006E2C2E"/>
    <w:rsid w:val="006E4856"/>
    <w:rsid w:val="006F4F0B"/>
    <w:rsid w:val="006F6A6A"/>
    <w:rsid w:val="006F7920"/>
    <w:rsid w:val="007017B4"/>
    <w:rsid w:val="0070422E"/>
    <w:rsid w:val="0070544E"/>
    <w:rsid w:val="00707575"/>
    <w:rsid w:val="00707D0A"/>
    <w:rsid w:val="007131AD"/>
    <w:rsid w:val="00713FB3"/>
    <w:rsid w:val="00715769"/>
    <w:rsid w:val="00716884"/>
    <w:rsid w:val="007203E2"/>
    <w:rsid w:val="00720DBE"/>
    <w:rsid w:val="00723596"/>
    <w:rsid w:val="00726ED2"/>
    <w:rsid w:val="00730ECC"/>
    <w:rsid w:val="00731E6F"/>
    <w:rsid w:val="00751615"/>
    <w:rsid w:val="00754A1E"/>
    <w:rsid w:val="007623DA"/>
    <w:rsid w:val="00762A82"/>
    <w:rsid w:val="007633D1"/>
    <w:rsid w:val="00763725"/>
    <w:rsid w:val="007664B9"/>
    <w:rsid w:val="00771000"/>
    <w:rsid w:val="00771CAC"/>
    <w:rsid w:val="00774087"/>
    <w:rsid w:val="0077562B"/>
    <w:rsid w:val="00776B7F"/>
    <w:rsid w:val="00782BF3"/>
    <w:rsid w:val="00784E6C"/>
    <w:rsid w:val="00785240"/>
    <w:rsid w:val="00791C55"/>
    <w:rsid w:val="007922C3"/>
    <w:rsid w:val="00795CE2"/>
    <w:rsid w:val="007A0502"/>
    <w:rsid w:val="007A1490"/>
    <w:rsid w:val="007A167F"/>
    <w:rsid w:val="007A2E7E"/>
    <w:rsid w:val="007A53DF"/>
    <w:rsid w:val="007A7A6E"/>
    <w:rsid w:val="007B40C9"/>
    <w:rsid w:val="007B410E"/>
    <w:rsid w:val="007B6553"/>
    <w:rsid w:val="007B787D"/>
    <w:rsid w:val="007C014B"/>
    <w:rsid w:val="007C02D1"/>
    <w:rsid w:val="007C099B"/>
    <w:rsid w:val="007C3F74"/>
    <w:rsid w:val="007C4FE7"/>
    <w:rsid w:val="007C7CCA"/>
    <w:rsid w:val="007C7F93"/>
    <w:rsid w:val="007D59D0"/>
    <w:rsid w:val="007D7219"/>
    <w:rsid w:val="007E0AC2"/>
    <w:rsid w:val="007E1829"/>
    <w:rsid w:val="007E23AE"/>
    <w:rsid w:val="007E3916"/>
    <w:rsid w:val="007F1BE8"/>
    <w:rsid w:val="007F1E94"/>
    <w:rsid w:val="007F5D4C"/>
    <w:rsid w:val="008021BA"/>
    <w:rsid w:val="00805BA1"/>
    <w:rsid w:val="00805DFB"/>
    <w:rsid w:val="00807178"/>
    <w:rsid w:val="00810272"/>
    <w:rsid w:val="00810922"/>
    <w:rsid w:val="008138B0"/>
    <w:rsid w:val="00814577"/>
    <w:rsid w:val="00816CA5"/>
    <w:rsid w:val="00821230"/>
    <w:rsid w:val="00825478"/>
    <w:rsid w:val="00827172"/>
    <w:rsid w:val="00827C11"/>
    <w:rsid w:val="008301BF"/>
    <w:rsid w:val="00830234"/>
    <w:rsid w:val="0083389F"/>
    <w:rsid w:val="0083447E"/>
    <w:rsid w:val="008349C5"/>
    <w:rsid w:val="00834DA8"/>
    <w:rsid w:val="00841483"/>
    <w:rsid w:val="00843BB5"/>
    <w:rsid w:val="008504C6"/>
    <w:rsid w:val="0085054E"/>
    <w:rsid w:val="0085371E"/>
    <w:rsid w:val="0085381B"/>
    <w:rsid w:val="00853A02"/>
    <w:rsid w:val="00856B83"/>
    <w:rsid w:val="00861050"/>
    <w:rsid w:val="00864C67"/>
    <w:rsid w:val="00866412"/>
    <w:rsid w:val="00867875"/>
    <w:rsid w:val="0087065A"/>
    <w:rsid w:val="00871590"/>
    <w:rsid w:val="008715D9"/>
    <w:rsid w:val="00880B29"/>
    <w:rsid w:val="00880E54"/>
    <w:rsid w:val="0088318E"/>
    <w:rsid w:val="008833F2"/>
    <w:rsid w:val="00885B0C"/>
    <w:rsid w:val="00887225"/>
    <w:rsid w:val="00890163"/>
    <w:rsid w:val="0089221D"/>
    <w:rsid w:val="00897D9D"/>
    <w:rsid w:val="008A5C75"/>
    <w:rsid w:val="008A5EB5"/>
    <w:rsid w:val="008B086B"/>
    <w:rsid w:val="008B0E74"/>
    <w:rsid w:val="008B3E9C"/>
    <w:rsid w:val="008B6671"/>
    <w:rsid w:val="008B6F40"/>
    <w:rsid w:val="008C1B81"/>
    <w:rsid w:val="008C5F1B"/>
    <w:rsid w:val="008C728B"/>
    <w:rsid w:val="008D2086"/>
    <w:rsid w:val="008D2E6D"/>
    <w:rsid w:val="008D3C0A"/>
    <w:rsid w:val="008D58C8"/>
    <w:rsid w:val="008D630A"/>
    <w:rsid w:val="008D6815"/>
    <w:rsid w:val="008E3102"/>
    <w:rsid w:val="008E6F5C"/>
    <w:rsid w:val="008F1A18"/>
    <w:rsid w:val="008F3D3A"/>
    <w:rsid w:val="008F510B"/>
    <w:rsid w:val="009053A3"/>
    <w:rsid w:val="00905BDC"/>
    <w:rsid w:val="00920B86"/>
    <w:rsid w:val="00921934"/>
    <w:rsid w:val="0092332A"/>
    <w:rsid w:val="009253AC"/>
    <w:rsid w:val="009258DC"/>
    <w:rsid w:val="0092602E"/>
    <w:rsid w:val="00926496"/>
    <w:rsid w:val="0093769F"/>
    <w:rsid w:val="00941EFC"/>
    <w:rsid w:val="0094386C"/>
    <w:rsid w:val="0094452E"/>
    <w:rsid w:val="00951001"/>
    <w:rsid w:val="00953222"/>
    <w:rsid w:val="00955B38"/>
    <w:rsid w:val="00957817"/>
    <w:rsid w:val="0096137E"/>
    <w:rsid w:val="00967E66"/>
    <w:rsid w:val="009704A9"/>
    <w:rsid w:val="009725B0"/>
    <w:rsid w:val="00981692"/>
    <w:rsid w:val="00983266"/>
    <w:rsid w:val="009A0D29"/>
    <w:rsid w:val="009A0EC2"/>
    <w:rsid w:val="009A1066"/>
    <w:rsid w:val="009A41D2"/>
    <w:rsid w:val="009A52E9"/>
    <w:rsid w:val="009B3C69"/>
    <w:rsid w:val="009B46F2"/>
    <w:rsid w:val="009B4C32"/>
    <w:rsid w:val="009B4F34"/>
    <w:rsid w:val="009B6F7B"/>
    <w:rsid w:val="009B7CCE"/>
    <w:rsid w:val="009C27FA"/>
    <w:rsid w:val="009C6714"/>
    <w:rsid w:val="009D4920"/>
    <w:rsid w:val="009D5606"/>
    <w:rsid w:val="009D7733"/>
    <w:rsid w:val="009E1942"/>
    <w:rsid w:val="009E4B4C"/>
    <w:rsid w:val="009E59A3"/>
    <w:rsid w:val="009E6468"/>
    <w:rsid w:val="009E74A7"/>
    <w:rsid w:val="009F0982"/>
    <w:rsid w:val="009F15EE"/>
    <w:rsid w:val="009F2235"/>
    <w:rsid w:val="009F3E17"/>
    <w:rsid w:val="009F520C"/>
    <w:rsid w:val="00A016CF"/>
    <w:rsid w:val="00A01F28"/>
    <w:rsid w:val="00A16E24"/>
    <w:rsid w:val="00A174B5"/>
    <w:rsid w:val="00A20E0D"/>
    <w:rsid w:val="00A21AAD"/>
    <w:rsid w:val="00A273A6"/>
    <w:rsid w:val="00A27486"/>
    <w:rsid w:val="00A30926"/>
    <w:rsid w:val="00A311B7"/>
    <w:rsid w:val="00A311D4"/>
    <w:rsid w:val="00A3289B"/>
    <w:rsid w:val="00A3523D"/>
    <w:rsid w:val="00A405F0"/>
    <w:rsid w:val="00A431A0"/>
    <w:rsid w:val="00A45108"/>
    <w:rsid w:val="00A46F1F"/>
    <w:rsid w:val="00A53F5A"/>
    <w:rsid w:val="00A5561A"/>
    <w:rsid w:val="00A64E9C"/>
    <w:rsid w:val="00A66B5C"/>
    <w:rsid w:val="00A67E9C"/>
    <w:rsid w:val="00A70BC2"/>
    <w:rsid w:val="00A7118B"/>
    <w:rsid w:val="00A74DA5"/>
    <w:rsid w:val="00A770F1"/>
    <w:rsid w:val="00A80B0A"/>
    <w:rsid w:val="00A8403F"/>
    <w:rsid w:val="00A84307"/>
    <w:rsid w:val="00A93B2B"/>
    <w:rsid w:val="00A95822"/>
    <w:rsid w:val="00AA20E9"/>
    <w:rsid w:val="00AA3128"/>
    <w:rsid w:val="00AA6C63"/>
    <w:rsid w:val="00AB40DC"/>
    <w:rsid w:val="00AB698F"/>
    <w:rsid w:val="00AC0198"/>
    <w:rsid w:val="00AC0376"/>
    <w:rsid w:val="00AC0FB7"/>
    <w:rsid w:val="00AC10F0"/>
    <w:rsid w:val="00AC231D"/>
    <w:rsid w:val="00AC367B"/>
    <w:rsid w:val="00AC5A83"/>
    <w:rsid w:val="00AD0E70"/>
    <w:rsid w:val="00AD4F09"/>
    <w:rsid w:val="00AD7926"/>
    <w:rsid w:val="00AE2442"/>
    <w:rsid w:val="00AE26C9"/>
    <w:rsid w:val="00AE2A26"/>
    <w:rsid w:val="00AE4061"/>
    <w:rsid w:val="00AF2299"/>
    <w:rsid w:val="00AF3FA7"/>
    <w:rsid w:val="00AF6F88"/>
    <w:rsid w:val="00B04A23"/>
    <w:rsid w:val="00B06019"/>
    <w:rsid w:val="00B0725B"/>
    <w:rsid w:val="00B13517"/>
    <w:rsid w:val="00B20F5A"/>
    <w:rsid w:val="00B214EF"/>
    <w:rsid w:val="00B2494D"/>
    <w:rsid w:val="00B252A8"/>
    <w:rsid w:val="00B26A71"/>
    <w:rsid w:val="00B26ED5"/>
    <w:rsid w:val="00B30AD1"/>
    <w:rsid w:val="00B3451F"/>
    <w:rsid w:val="00B34886"/>
    <w:rsid w:val="00B35999"/>
    <w:rsid w:val="00B367FF"/>
    <w:rsid w:val="00B43C99"/>
    <w:rsid w:val="00B441D5"/>
    <w:rsid w:val="00B53618"/>
    <w:rsid w:val="00B54D65"/>
    <w:rsid w:val="00B54E47"/>
    <w:rsid w:val="00B611BF"/>
    <w:rsid w:val="00B618E7"/>
    <w:rsid w:val="00B64DD4"/>
    <w:rsid w:val="00B65AA4"/>
    <w:rsid w:val="00B66841"/>
    <w:rsid w:val="00B70D26"/>
    <w:rsid w:val="00B7340C"/>
    <w:rsid w:val="00B73AA8"/>
    <w:rsid w:val="00B73AE4"/>
    <w:rsid w:val="00B76945"/>
    <w:rsid w:val="00B80771"/>
    <w:rsid w:val="00B827EF"/>
    <w:rsid w:val="00B84A35"/>
    <w:rsid w:val="00B95C08"/>
    <w:rsid w:val="00B965AA"/>
    <w:rsid w:val="00B96ED2"/>
    <w:rsid w:val="00BA3CF1"/>
    <w:rsid w:val="00BA3ED2"/>
    <w:rsid w:val="00BA42AF"/>
    <w:rsid w:val="00BA4CBE"/>
    <w:rsid w:val="00BB1D3C"/>
    <w:rsid w:val="00BB74D1"/>
    <w:rsid w:val="00BC3E5D"/>
    <w:rsid w:val="00BC457E"/>
    <w:rsid w:val="00BC60FE"/>
    <w:rsid w:val="00BC6175"/>
    <w:rsid w:val="00BD0BB0"/>
    <w:rsid w:val="00BD4607"/>
    <w:rsid w:val="00BE0259"/>
    <w:rsid w:val="00BE536A"/>
    <w:rsid w:val="00BE6B4A"/>
    <w:rsid w:val="00BE71FF"/>
    <w:rsid w:val="00BF7440"/>
    <w:rsid w:val="00C00CD9"/>
    <w:rsid w:val="00C02F6A"/>
    <w:rsid w:val="00C057FF"/>
    <w:rsid w:val="00C07126"/>
    <w:rsid w:val="00C11BBF"/>
    <w:rsid w:val="00C205DA"/>
    <w:rsid w:val="00C21486"/>
    <w:rsid w:val="00C23B06"/>
    <w:rsid w:val="00C242E6"/>
    <w:rsid w:val="00C2446F"/>
    <w:rsid w:val="00C24C57"/>
    <w:rsid w:val="00C274CE"/>
    <w:rsid w:val="00C33E90"/>
    <w:rsid w:val="00C34FB2"/>
    <w:rsid w:val="00C3750A"/>
    <w:rsid w:val="00C37CE6"/>
    <w:rsid w:val="00C40BDC"/>
    <w:rsid w:val="00C42F65"/>
    <w:rsid w:val="00C47B31"/>
    <w:rsid w:val="00C52405"/>
    <w:rsid w:val="00C52825"/>
    <w:rsid w:val="00C5417B"/>
    <w:rsid w:val="00C541EB"/>
    <w:rsid w:val="00C639E6"/>
    <w:rsid w:val="00C66357"/>
    <w:rsid w:val="00C66EFD"/>
    <w:rsid w:val="00C67A90"/>
    <w:rsid w:val="00C70CDA"/>
    <w:rsid w:val="00C70F22"/>
    <w:rsid w:val="00C711CC"/>
    <w:rsid w:val="00C71DD3"/>
    <w:rsid w:val="00C72874"/>
    <w:rsid w:val="00C72EE2"/>
    <w:rsid w:val="00C849E3"/>
    <w:rsid w:val="00C9189C"/>
    <w:rsid w:val="00C93700"/>
    <w:rsid w:val="00C967E3"/>
    <w:rsid w:val="00CA422B"/>
    <w:rsid w:val="00CA46CA"/>
    <w:rsid w:val="00CA4A78"/>
    <w:rsid w:val="00CA50A1"/>
    <w:rsid w:val="00CB077B"/>
    <w:rsid w:val="00CC5F93"/>
    <w:rsid w:val="00CC7F2A"/>
    <w:rsid w:val="00CD2C24"/>
    <w:rsid w:val="00CD2D1B"/>
    <w:rsid w:val="00CE232C"/>
    <w:rsid w:val="00CE4DE0"/>
    <w:rsid w:val="00CE5062"/>
    <w:rsid w:val="00CE5C39"/>
    <w:rsid w:val="00CF0EB7"/>
    <w:rsid w:val="00CF24CA"/>
    <w:rsid w:val="00CF24FC"/>
    <w:rsid w:val="00CF5C52"/>
    <w:rsid w:val="00D018F4"/>
    <w:rsid w:val="00D0640B"/>
    <w:rsid w:val="00D07C66"/>
    <w:rsid w:val="00D07E4C"/>
    <w:rsid w:val="00D10E3A"/>
    <w:rsid w:val="00D32F1A"/>
    <w:rsid w:val="00D33F1E"/>
    <w:rsid w:val="00D34D47"/>
    <w:rsid w:val="00D35CA4"/>
    <w:rsid w:val="00D3657C"/>
    <w:rsid w:val="00D37500"/>
    <w:rsid w:val="00D37FE2"/>
    <w:rsid w:val="00D419EE"/>
    <w:rsid w:val="00D41CCC"/>
    <w:rsid w:val="00D44AF1"/>
    <w:rsid w:val="00D50158"/>
    <w:rsid w:val="00D568C3"/>
    <w:rsid w:val="00D6315A"/>
    <w:rsid w:val="00D63943"/>
    <w:rsid w:val="00D7007C"/>
    <w:rsid w:val="00D74FD4"/>
    <w:rsid w:val="00D81C12"/>
    <w:rsid w:val="00D85B15"/>
    <w:rsid w:val="00D86703"/>
    <w:rsid w:val="00D86D96"/>
    <w:rsid w:val="00D947D2"/>
    <w:rsid w:val="00D97365"/>
    <w:rsid w:val="00DA20E1"/>
    <w:rsid w:val="00DA7202"/>
    <w:rsid w:val="00DB04BD"/>
    <w:rsid w:val="00DB11AF"/>
    <w:rsid w:val="00DB132E"/>
    <w:rsid w:val="00DB2731"/>
    <w:rsid w:val="00DB3B0B"/>
    <w:rsid w:val="00DB4CDD"/>
    <w:rsid w:val="00DB785D"/>
    <w:rsid w:val="00DC1076"/>
    <w:rsid w:val="00DC15BB"/>
    <w:rsid w:val="00DC2248"/>
    <w:rsid w:val="00DC2AC3"/>
    <w:rsid w:val="00DC7D0E"/>
    <w:rsid w:val="00DD384D"/>
    <w:rsid w:val="00DD464D"/>
    <w:rsid w:val="00DD4A81"/>
    <w:rsid w:val="00DE2947"/>
    <w:rsid w:val="00DE2FE7"/>
    <w:rsid w:val="00DE4E4D"/>
    <w:rsid w:val="00DE5A79"/>
    <w:rsid w:val="00DE5F53"/>
    <w:rsid w:val="00DE6486"/>
    <w:rsid w:val="00DF1487"/>
    <w:rsid w:val="00DF1D91"/>
    <w:rsid w:val="00DF3136"/>
    <w:rsid w:val="00DF48D4"/>
    <w:rsid w:val="00DF4A1A"/>
    <w:rsid w:val="00DF4D9E"/>
    <w:rsid w:val="00DF4F66"/>
    <w:rsid w:val="00DF55B7"/>
    <w:rsid w:val="00DF687C"/>
    <w:rsid w:val="00E000E0"/>
    <w:rsid w:val="00E00E84"/>
    <w:rsid w:val="00E02F4F"/>
    <w:rsid w:val="00E0685A"/>
    <w:rsid w:val="00E12739"/>
    <w:rsid w:val="00E22CAC"/>
    <w:rsid w:val="00E23016"/>
    <w:rsid w:val="00E23B40"/>
    <w:rsid w:val="00E40E0F"/>
    <w:rsid w:val="00E4245B"/>
    <w:rsid w:val="00E43372"/>
    <w:rsid w:val="00E435B2"/>
    <w:rsid w:val="00E43AF6"/>
    <w:rsid w:val="00E44331"/>
    <w:rsid w:val="00E46886"/>
    <w:rsid w:val="00E479F3"/>
    <w:rsid w:val="00E50F67"/>
    <w:rsid w:val="00E52704"/>
    <w:rsid w:val="00E549BE"/>
    <w:rsid w:val="00E60899"/>
    <w:rsid w:val="00E62AC3"/>
    <w:rsid w:val="00E64377"/>
    <w:rsid w:val="00E667BB"/>
    <w:rsid w:val="00E71D16"/>
    <w:rsid w:val="00E7443C"/>
    <w:rsid w:val="00E8091E"/>
    <w:rsid w:val="00E8310D"/>
    <w:rsid w:val="00E87CDE"/>
    <w:rsid w:val="00E90C64"/>
    <w:rsid w:val="00E929D7"/>
    <w:rsid w:val="00E95485"/>
    <w:rsid w:val="00E9720B"/>
    <w:rsid w:val="00EA2AA5"/>
    <w:rsid w:val="00EA51BC"/>
    <w:rsid w:val="00EA55F2"/>
    <w:rsid w:val="00EB3903"/>
    <w:rsid w:val="00EB4167"/>
    <w:rsid w:val="00EB43AF"/>
    <w:rsid w:val="00EC2566"/>
    <w:rsid w:val="00EC29B7"/>
    <w:rsid w:val="00EC4C3A"/>
    <w:rsid w:val="00EC7EBB"/>
    <w:rsid w:val="00ED0C94"/>
    <w:rsid w:val="00ED509A"/>
    <w:rsid w:val="00ED556E"/>
    <w:rsid w:val="00ED6527"/>
    <w:rsid w:val="00ED78B2"/>
    <w:rsid w:val="00EE3648"/>
    <w:rsid w:val="00EE470B"/>
    <w:rsid w:val="00EE64AD"/>
    <w:rsid w:val="00EE6E9B"/>
    <w:rsid w:val="00EF4BF2"/>
    <w:rsid w:val="00EF711C"/>
    <w:rsid w:val="00F01D4F"/>
    <w:rsid w:val="00F07C3C"/>
    <w:rsid w:val="00F10C2B"/>
    <w:rsid w:val="00F10C2C"/>
    <w:rsid w:val="00F11ADC"/>
    <w:rsid w:val="00F168EF"/>
    <w:rsid w:val="00F20544"/>
    <w:rsid w:val="00F20790"/>
    <w:rsid w:val="00F22FBA"/>
    <w:rsid w:val="00F246F9"/>
    <w:rsid w:val="00F267B4"/>
    <w:rsid w:val="00F27F68"/>
    <w:rsid w:val="00F317F1"/>
    <w:rsid w:val="00F33348"/>
    <w:rsid w:val="00F3391F"/>
    <w:rsid w:val="00F33D38"/>
    <w:rsid w:val="00F3618D"/>
    <w:rsid w:val="00F5525F"/>
    <w:rsid w:val="00F57B2E"/>
    <w:rsid w:val="00F700E3"/>
    <w:rsid w:val="00F70510"/>
    <w:rsid w:val="00F81961"/>
    <w:rsid w:val="00F8423C"/>
    <w:rsid w:val="00F92C23"/>
    <w:rsid w:val="00FA1146"/>
    <w:rsid w:val="00FA1396"/>
    <w:rsid w:val="00FA2303"/>
    <w:rsid w:val="00FA33D1"/>
    <w:rsid w:val="00FB00CB"/>
    <w:rsid w:val="00FC0264"/>
    <w:rsid w:val="00FC3F01"/>
    <w:rsid w:val="00FC449C"/>
    <w:rsid w:val="00FC6221"/>
    <w:rsid w:val="00FD0C3A"/>
    <w:rsid w:val="00FD3CF4"/>
    <w:rsid w:val="00FD55FA"/>
    <w:rsid w:val="00FD5C84"/>
    <w:rsid w:val="00FD5CE9"/>
    <w:rsid w:val="00FE1B03"/>
    <w:rsid w:val="00FF19C8"/>
    <w:rsid w:val="00FF561D"/>
    <w:rsid w:val="00FF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9C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D9"/>
  </w:style>
  <w:style w:type="paragraph" w:styleId="Heading1">
    <w:name w:val="heading 1"/>
    <w:basedOn w:val="Normal"/>
    <w:next w:val="Normal"/>
    <w:link w:val="Heading1Char"/>
    <w:uiPriority w:val="9"/>
    <w:qFormat/>
    <w:rsid w:val="00BE0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40B"/>
  </w:style>
  <w:style w:type="paragraph" w:styleId="Footer">
    <w:name w:val="footer"/>
    <w:basedOn w:val="Normal"/>
    <w:link w:val="FooterChar"/>
    <w:uiPriority w:val="99"/>
    <w:unhideWhenUsed/>
    <w:rsid w:val="00D06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40B"/>
  </w:style>
  <w:style w:type="paragraph" w:styleId="BalloonText">
    <w:name w:val="Balloon Text"/>
    <w:basedOn w:val="Normal"/>
    <w:link w:val="BalloonTextChar"/>
    <w:uiPriority w:val="99"/>
    <w:semiHidden/>
    <w:unhideWhenUsed/>
    <w:rsid w:val="00D06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0B"/>
    <w:rPr>
      <w:rFonts w:ascii="Tahoma" w:hAnsi="Tahoma" w:cs="Tahoma"/>
      <w:sz w:val="16"/>
      <w:szCs w:val="16"/>
    </w:rPr>
  </w:style>
  <w:style w:type="paragraph" w:styleId="NoSpacing">
    <w:name w:val="No Spacing"/>
    <w:uiPriority w:val="1"/>
    <w:qFormat/>
    <w:rsid w:val="00D0640B"/>
    <w:pPr>
      <w:spacing w:after="0" w:line="240" w:lineRule="auto"/>
    </w:pPr>
  </w:style>
  <w:style w:type="table" w:styleId="TableGrid">
    <w:name w:val="Table Grid"/>
    <w:basedOn w:val="TableNormal"/>
    <w:uiPriority w:val="59"/>
    <w:rsid w:val="002E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261FC5"/>
    <w:pPr>
      <w:spacing w:after="160"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8833F2"/>
    <w:pPr>
      <w:ind w:left="720"/>
      <w:contextualSpacing/>
    </w:pPr>
  </w:style>
  <w:style w:type="character" w:styleId="CommentReference">
    <w:name w:val="annotation reference"/>
    <w:basedOn w:val="DefaultParagraphFont"/>
    <w:uiPriority w:val="99"/>
    <w:semiHidden/>
    <w:unhideWhenUsed/>
    <w:rsid w:val="00524664"/>
    <w:rPr>
      <w:sz w:val="16"/>
      <w:szCs w:val="16"/>
    </w:rPr>
  </w:style>
  <w:style w:type="paragraph" w:styleId="CommentText">
    <w:name w:val="annotation text"/>
    <w:basedOn w:val="Normal"/>
    <w:link w:val="CommentTextChar"/>
    <w:uiPriority w:val="99"/>
    <w:semiHidden/>
    <w:unhideWhenUsed/>
    <w:rsid w:val="00524664"/>
    <w:pPr>
      <w:spacing w:line="240" w:lineRule="auto"/>
    </w:pPr>
    <w:rPr>
      <w:sz w:val="20"/>
      <w:szCs w:val="20"/>
    </w:rPr>
  </w:style>
  <w:style w:type="character" w:customStyle="1" w:styleId="CommentTextChar">
    <w:name w:val="Comment Text Char"/>
    <w:basedOn w:val="DefaultParagraphFont"/>
    <w:link w:val="CommentText"/>
    <w:uiPriority w:val="99"/>
    <w:semiHidden/>
    <w:rsid w:val="00524664"/>
    <w:rPr>
      <w:sz w:val="20"/>
      <w:szCs w:val="20"/>
    </w:rPr>
  </w:style>
  <w:style w:type="paragraph" w:styleId="CommentSubject">
    <w:name w:val="annotation subject"/>
    <w:basedOn w:val="CommentText"/>
    <w:next w:val="CommentText"/>
    <w:link w:val="CommentSubjectChar"/>
    <w:uiPriority w:val="99"/>
    <w:semiHidden/>
    <w:unhideWhenUsed/>
    <w:rsid w:val="00524664"/>
    <w:rPr>
      <w:b/>
      <w:bCs/>
    </w:rPr>
  </w:style>
  <w:style w:type="character" w:customStyle="1" w:styleId="CommentSubjectChar">
    <w:name w:val="Comment Subject Char"/>
    <w:basedOn w:val="CommentTextChar"/>
    <w:link w:val="CommentSubject"/>
    <w:uiPriority w:val="99"/>
    <w:semiHidden/>
    <w:rsid w:val="00524664"/>
    <w:rPr>
      <w:b/>
      <w:bCs/>
      <w:sz w:val="20"/>
      <w:szCs w:val="20"/>
    </w:rPr>
  </w:style>
  <w:style w:type="paragraph" w:customStyle="1" w:styleId="Default">
    <w:name w:val="Default"/>
    <w:rsid w:val="00A67E9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67E9C"/>
    <w:rPr>
      <w:color w:val="0000FF" w:themeColor="hyperlink"/>
      <w:u w:val="single"/>
    </w:rPr>
  </w:style>
  <w:style w:type="paragraph" w:styleId="BodyText">
    <w:name w:val="Body Text"/>
    <w:basedOn w:val="Normal"/>
    <w:link w:val="BodyTextChar"/>
    <w:semiHidden/>
    <w:rsid w:val="0070544E"/>
    <w:pPr>
      <w:spacing w:after="0" w:line="240" w:lineRule="auto"/>
    </w:pPr>
    <w:rPr>
      <w:rFonts w:ascii="Arial" w:eastAsia="Times New Roman" w:hAnsi="Arial" w:cs="Arial"/>
    </w:rPr>
  </w:style>
  <w:style w:type="character" w:customStyle="1" w:styleId="BodyTextChar">
    <w:name w:val="Body Text Char"/>
    <w:basedOn w:val="DefaultParagraphFont"/>
    <w:link w:val="BodyText"/>
    <w:semiHidden/>
    <w:rsid w:val="0070544E"/>
    <w:rPr>
      <w:rFonts w:ascii="Arial" w:eastAsia="Times New Roman" w:hAnsi="Arial" w:cs="Arial"/>
    </w:rPr>
  </w:style>
  <w:style w:type="paragraph" w:styleId="Title">
    <w:name w:val="Title"/>
    <w:basedOn w:val="Normal"/>
    <w:link w:val="TitleChar"/>
    <w:qFormat/>
    <w:rsid w:val="00447AE4"/>
    <w:pPr>
      <w:spacing w:after="0" w:line="240" w:lineRule="auto"/>
      <w:jc w:val="center"/>
    </w:pPr>
    <w:rPr>
      <w:rFonts w:ascii="Tahoma" w:eastAsia="Times New Roman" w:hAnsi="Tahoma" w:cs="Tahoma"/>
      <w:b/>
      <w:bCs/>
      <w:sz w:val="24"/>
      <w:szCs w:val="24"/>
      <w:lang w:val="en-US"/>
    </w:rPr>
  </w:style>
  <w:style w:type="character" w:customStyle="1" w:styleId="TitleChar">
    <w:name w:val="Title Char"/>
    <w:basedOn w:val="DefaultParagraphFont"/>
    <w:link w:val="Title"/>
    <w:rsid w:val="00447AE4"/>
    <w:rPr>
      <w:rFonts w:ascii="Tahoma" w:eastAsia="Times New Roman" w:hAnsi="Tahoma" w:cs="Tahoma"/>
      <w:b/>
      <w:bCs/>
      <w:sz w:val="24"/>
      <w:szCs w:val="24"/>
      <w:lang w:val="en-US"/>
    </w:rPr>
  </w:style>
  <w:style w:type="character" w:customStyle="1" w:styleId="Heading1Char">
    <w:name w:val="Heading 1 Char"/>
    <w:basedOn w:val="DefaultParagraphFont"/>
    <w:link w:val="Heading1"/>
    <w:uiPriority w:val="9"/>
    <w:rsid w:val="00BE025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D0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E6B4A"/>
    <w:rPr>
      <w:i/>
      <w:iCs/>
    </w:rPr>
  </w:style>
  <w:style w:type="character" w:styleId="Strong">
    <w:name w:val="Strong"/>
    <w:basedOn w:val="DefaultParagraphFont"/>
    <w:uiPriority w:val="22"/>
    <w:qFormat/>
    <w:rsid w:val="00BE6B4A"/>
    <w:rPr>
      <w:b/>
      <w:bCs/>
    </w:rPr>
  </w:style>
  <w:style w:type="paragraph" w:styleId="Revision">
    <w:name w:val="Revision"/>
    <w:hidden/>
    <w:uiPriority w:val="99"/>
    <w:semiHidden/>
    <w:rsid w:val="009B6F7B"/>
    <w:pPr>
      <w:spacing w:after="0" w:line="240" w:lineRule="auto"/>
    </w:pPr>
  </w:style>
  <w:style w:type="character" w:styleId="FollowedHyperlink">
    <w:name w:val="FollowedHyperlink"/>
    <w:basedOn w:val="DefaultParagraphFont"/>
    <w:uiPriority w:val="99"/>
    <w:semiHidden/>
    <w:unhideWhenUsed/>
    <w:rsid w:val="00601C01"/>
    <w:rPr>
      <w:color w:val="800080" w:themeColor="followedHyperlink"/>
      <w:u w:val="single"/>
    </w:rPr>
  </w:style>
  <w:style w:type="paragraph" w:customStyle="1" w:styleId="TableParagraph">
    <w:name w:val="Table Paragraph"/>
    <w:basedOn w:val="Normal"/>
    <w:uiPriority w:val="1"/>
    <w:qFormat/>
    <w:rsid w:val="00A30926"/>
    <w:pPr>
      <w:widowControl w:val="0"/>
      <w:autoSpaceDE w:val="0"/>
      <w:autoSpaceDN w:val="0"/>
      <w:spacing w:after="0" w:line="240" w:lineRule="auto"/>
      <w:ind w:left="107"/>
    </w:pPr>
    <w:rPr>
      <w:rFonts w:ascii="Arial" w:eastAsia="Arial" w:hAnsi="Arial" w:cs="Arial"/>
      <w:lang w:val="en-US" w:bidi="en-US"/>
    </w:rPr>
  </w:style>
  <w:style w:type="paragraph" w:styleId="FootnoteText">
    <w:name w:val="footnote text"/>
    <w:basedOn w:val="Normal"/>
    <w:link w:val="FootnoteTextChar"/>
    <w:semiHidden/>
    <w:unhideWhenUsed/>
    <w:rsid w:val="000E6662"/>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semiHidden/>
    <w:rsid w:val="000E6662"/>
    <w:rPr>
      <w:rFonts w:ascii="Calibri" w:eastAsia="Times New Roman" w:hAnsi="Calibri" w:cs="Calibri"/>
      <w:sz w:val="20"/>
      <w:szCs w:val="20"/>
    </w:rPr>
  </w:style>
  <w:style w:type="table" w:customStyle="1" w:styleId="TableGrid1">
    <w:name w:val="Table Grid1"/>
    <w:basedOn w:val="TableNormal"/>
    <w:next w:val="TableGrid"/>
    <w:uiPriority w:val="59"/>
    <w:rsid w:val="001D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D9"/>
  </w:style>
  <w:style w:type="paragraph" w:styleId="Heading1">
    <w:name w:val="heading 1"/>
    <w:basedOn w:val="Normal"/>
    <w:next w:val="Normal"/>
    <w:link w:val="Heading1Char"/>
    <w:uiPriority w:val="9"/>
    <w:qFormat/>
    <w:rsid w:val="00BE0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40B"/>
  </w:style>
  <w:style w:type="paragraph" w:styleId="Footer">
    <w:name w:val="footer"/>
    <w:basedOn w:val="Normal"/>
    <w:link w:val="FooterChar"/>
    <w:uiPriority w:val="99"/>
    <w:unhideWhenUsed/>
    <w:rsid w:val="00D06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40B"/>
  </w:style>
  <w:style w:type="paragraph" w:styleId="BalloonText">
    <w:name w:val="Balloon Text"/>
    <w:basedOn w:val="Normal"/>
    <w:link w:val="BalloonTextChar"/>
    <w:uiPriority w:val="99"/>
    <w:semiHidden/>
    <w:unhideWhenUsed/>
    <w:rsid w:val="00D06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0B"/>
    <w:rPr>
      <w:rFonts w:ascii="Tahoma" w:hAnsi="Tahoma" w:cs="Tahoma"/>
      <w:sz w:val="16"/>
      <w:szCs w:val="16"/>
    </w:rPr>
  </w:style>
  <w:style w:type="paragraph" w:styleId="NoSpacing">
    <w:name w:val="No Spacing"/>
    <w:uiPriority w:val="1"/>
    <w:qFormat/>
    <w:rsid w:val="00D0640B"/>
    <w:pPr>
      <w:spacing w:after="0" w:line="240" w:lineRule="auto"/>
    </w:pPr>
  </w:style>
  <w:style w:type="table" w:styleId="TableGrid">
    <w:name w:val="Table Grid"/>
    <w:basedOn w:val="TableNormal"/>
    <w:uiPriority w:val="59"/>
    <w:rsid w:val="002E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261FC5"/>
    <w:pPr>
      <w:spacing w:after="160"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8833F2"/>
    <w:pPr>
      <w:ind w:left="720"/>
      <w:contextualSpacing/>
    </w:pPr>
  </w:style>
  <w:style w:type="character" w:styleId="CommentReference">
    <w:name w:val="annotation reference"/>
    <w:basedOn w:val="DefaultParagraphFont"/>
    <w:uiPriority w:val="99"/>
    <w:semiHidden/>
    <w:unhideWhenUsed/>
    <w:rsid w:val="00524664"/>
    <w:rPr>
      <w:sz w:val="16"/>
      <w:szCs w:val="16"/>
    </w:rPr>
  </w:style>
  <w:style w:type="paragraph" w:styleId="CommentText">
    <w:name w:val="annotation text"/>
    <w:basedOn w:val="Normal"/>
    <w:link w:val="CommentTextChar"/>
    <w:uiPriority w:val="99"/>
    <w:semiHidden/>
    <w:unhideWhenUsed/>
    <w:rsid w:val="00524664"/>
    <w:pPr>
      <w:spacing w:line="240" w:lineRule="auto"/>
    </w:pPr>
    <w:rPr>
      <w:sz w:val="20"/>
      <w:szCs w:val="20"/>
    </w:rPr>
  </w:style>
  <w:style w:type="character" w:customStyle="1" w:styleId="CommentTextChar">
    <w:name w:val="Comment Text Char"/>
    <w:basedOn w:val="DefaultParagraphFont"/>
    <w:link w:val="CommentText"/>
    <w:uiPriority w:val="99"/>
    <w:semiHidden/>
    <w:rsid w:val="00524664"/>
    <w:rPr>
      <w:sz w:val="20"/>
      <w:szCs w:val="20"/>
    </w:rPr>
  </w:style>
  <w:style w:type="paragraph" w:styleId="CommentSubject">
    <w:name w:val="annotation subject"/>
    <w:basedOn w:val="CommentText"/>
    <w:next w:val="CommentText"/>
    <w:link w:val="CommentSubjectChar"/>
    <w:uiPriority w:val="99"/>
    <w:semiHidden/>
    <w:unhideWhenUsed/>
    <w:rsid w:val="00524664"/>
    <w:rPr>
      <w:b/>
      <w:bCs/>
    </w:rPr>
  </w:style>
  <w:style w:type="character" w:customStyle="1" w:styleId="CommentSubjectChar">
    <w:name w:val="Comment Subject Char"/>
    <w:basedOn w:val="CommentTextChar"/>
    <w:link w:val="CommentSubject"/>
    <w:uiPriority w:val="99"/>
    <w:semiHidden/>
    <w:rsid w:val="00524664"/>
    <w:rPr>
      <w:b/>
      <w:bCs/>
      <w:sz w:val="20"/>
      <w:szCs w:val="20"/>
    </w:rPr>
  </w:style>
  <w:style w:type="paragraph" w:customStyle="1" w:styleId="Default">
    <w:name w:val="Default"/>
    <w:rsid w:val="00A67E9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67E9C"/>
    <w:rPr>
      <w:color w:val="0000FF" w:themeColor="hyperlink"/>
      <w:u w:val="single"/>
    </w:rPr>
  </w:style>
  <w:style w:type="paragraph" w:styleId="BodyText">
    <w:name w:val="Body Text"/>
    <w:basedOn w:val="Normal"/>
    <w:link w:val="BodyTextChar"/>
    <w:semiHidden/>
    <w:rsid w:val="0070544E"/>
    <w:pPr>
      <w:spacing w:after="0" w:line="240" w:lineRule="auto"/>
    </w:pPr>
    <w:rPr>
      <w:rFonts w:ascii="Arial" w:eastAsia="Times New Roman" w:hAnsi="Arial" w:cs="Arial"/>
    </w:rPr>
  </w:style>
  <w:style w:type="character" w:customStyle="1" w:styleId="BodyTextChar">
    <w:name w:val="Body Text Char"/>
    <w:basedOn w:val="DefaultParagraphFont"/>
    <w:link w:val="BodyText"/>
    <w:semiHidden/>
    <w:rsid w:val="0070544E"/>
    <w:rPr>
      <w:rFonts w:ascii="Arial" w:eastAsia="Times New Roman" w:hAnsi="Arial" w:cs="Arial"/>
    </w:rPr>
  </w:style>
  <w:style w:type="paragraph" w:styleId="Title">
    <w:name w:val="Title"/>
    <w:basedOn w:val="Normal"/>
    <w:link w:val="TitleChar"/>
    <w:qFormat/>
    <w:rsid w:val="00447AE4"/>
    <w:pPr>
      <w:spacing w:after="0" w:line="240" w:lineRule="auto"/>
      <w:jc w:val="center"/>
    </w:pPr>
    <w:rPr>
      <w:rFonts w:ascii="Tahoma" w:eastAsia="Times New Roman" w:hAnsi="Tahoma" w:cs="Tahoma"/>
      <w:b/>
      <w:bCs/>
      <w:sz w:val="24"/>
      <w:szCs w:val="24"/>
      <w:lang w:val="en-US"/>
    </w:rPr>
  </w:style>
  <w:style w:type="character" w:customStyle="1" w:styleId="TitleChar">
    <w:name w:val="Title Char"/>
    <w:basedOn w:val="DefaultParagraphFont"/>
    <w:link w:val="Title"/>
    <w:rsid w:val="00447AE4"/>
    <w:rPr>
      <w:rFonts w:ascii="Tahoma" w:eastAsia="Times New Roman" w:hAnsi="Tahoma" w:cs="Tahoma"/>
      <w:b/>
      <w:bCs/>
      <w:sz w:val="24"/>
      <w:szCs w:val="24"/>
      <w:lang w:val="en-US"/>
    </w:rPr>
  </w:style>
  <w:style w:type="character" w:customStyle="1" w:styleId="Heading1Char">
    <w:name w:val="Heading 1 Char"/>
    <w:basedOn w:val="DefaultParagraphFont"/>
    <w:link w:val="Heading1"/>
    <w:uiPriority w:val="9"/>
    <w:rsid w:val="00BE025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D0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E6B4A"/>
    <w:rPr>
      <w:i/>
      <w:iCs/>
    </w:rPr>
  </w:style>
  <w:style w:type="character" w:styleId="Strong">
    <w:name w:val="Strong"/>
    <w:basedOn w:val="DefaultParagraphFont"/>
    <w:uiPriority w:val="22"/>
    <w:qFormat/>
    <w:rsid w:val="00BE6B4A"/>
    <w:rPr>
      <w:b/>
      <w:bCs/>
    </w:rPr>
  </w:style>
  <w:style w:type="paragraph" w:styleId="Revision">
    <w:name w:val="Revision"/>
    <w:hidden/>
    <w:uiPriority w:val="99"/>
    <w:semiHidden/>
    <w:rsid w:val="009B6F7B"/>
    <w:pPr>
      <w:spacing w:after="0" w:line="240" w:lineRule="auto"/>
    </w:pPr>
  </w:style>
  <w:style w:type="character" w:styleId="FollowedHyperlink">
    <w:name w:val="FollowedHyperlink"/>
    <w:basedOn w:val="DefaultParagraphFont"/>
    <w:uiPriority w:val="99"/>
    <w:semiHidden/>
    <w:unhideWhenUsed/>
    <w:rsid w:val="00601C01"/>
    <w:rPr>
      <w:color w:val="800080" w:themeColor="followedHyperlink"/>
      <w:u w:val="single"/>
    </w:rPr>
  </w:style>
  <w:style w:type="paragraph" w:customStyle="1" w:styleId="TableParagraph">
    <w:name w:val="Table Paragraph"/>
    <w:basedOn w:val="Normal"/>
    <w:uiPriority w:val="1"/>
    <w:qFormat/>
    <w:rsid w:val="00A30926"/>
    <w:pPr>
      <w:widowControl w:val="0"/>
      <w:autoSpaceDE w:val="0"/>
      <w:autoSpaceDN w:val="0"/>
      <w:spacing w:after="0" w:line="240" w:lineRule="auto"/>
      <w:ind w:left="107"/>
    </w:pPr>
    <w:rPr>
      <w:rFonts w:ascii="Arial" w:eastAsia="Arial" w:hAnsi="Arial" w:cs="Arial"/>
      <w:lang w:val="en-US" w:bidi="en-US"/>
    </w:rPr>
  </w:style>
  <w:style w:type="paragraph" w:styleId="FootnoteText">
    <w:name w:val="footnote text"/>
    <w:basedOn w:val="Normal"/>
    <w:link w:val="FootnoteTextChar"/>
    <w:semiHidden/>
    <w:unhideWhenUsed/>
    <w:rsid w:val="000E6662"/>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semiHidden/>
    <w:rsid w:val="000E6662"/>
    <w:rPr>
      <w:rFonts w:ascii="Calibri" w:eastAsia="Times New Roman" w:hAnsi="Calibri" w:cs="Calibri"/>
      <w:sz w:val="20"/>
      <w:szCs w:val="20"/>
    </w:rPr>
  </w:style>
  <w:style w:type="table" w:customStyle="1" w:styleId="TableGrid1">
    <w:name w:val="Table Grid1"/>
    <w:basedOn w:val="TableNormal"/>
    <w:next w:val="TableGrid"/>
    <w:uiPriority w:val="59"/>
    <w:rsid w:val="001D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4294">
      <w:bodyDiv w:val="1"/>
      <w:marLeft w:val="0"/>
      <w:marRight w:val="0"/>
      <w:marTop w:val="0"/>
      <w:marBottom w:val="0"/>
      <w:divBdr>
        <w:top w:val="none" w:sz="0" w:space="0" w:color="auto"/>
        <w:left w:val="none" w:sz="0" w:space="0" w:color="auto"/>
        <w:bottom w:val="none" w:sz="0" w:space="0" w:color="auto"/>
        <w:right w:val="none" w:sz="0" w:space="0" w:color="auto"/>
      </w:divBdr>
    </w:div>
    <w:div w:id="493956812">
      <w:bodyDiv w:val="1"/>
      <w:marLeft w:val="0"/>
      <w:marRight w:val="0"/>
      <w:marTop w:val="0"/>
      <w:marBottom w:val="0"/>
      <w:divBdr>
        <w:top w:val="none" w:sz="0" w:space="0" w:color="auto"/>
        <w:left w:val="none" w:sz="0" w:space="0" w:color="auto"/>
        <w:bottom w:val="none" w:sz="0" w:space="0" w:color="auto"/>
        <w:right w:val="none" w:sz="0" w:space="0" w:color="auto"/>
      </w:divBdr>
    </w:div>
    <w:div w:id="1333727969">
      <w:bodyDiv w:val="1"/>
      <w:marLeft w:val="0"/>
      <w:marRight w:val="0"/>
      <w:marTop w:val="0"/>
      <w:marBottom w:val="0"/>
      <w:divBdr>
        <w:top w:val="none" w:sz="0" w:space="0" w:color="auto"/>
        <w:left w:val="none" w:sz="0" w:space="0" w:color="auto"/>
        <w:bottom w:val="none" w:sz="0" w:space="0" w:color="auto"/>
        <w:right w:val="none" w:sz="0" w:space="0" w:color="auto"/>
      </w:divBdr>
    </w:div>
    <w:div w:id="15070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3bb9bf7-f30d-41b4-8fc9-31e240910f34">
      <Terms xmlns="http://schemas.microsoft.com/office/infopath/2007/PartnerControls"/>
    </TaxKeywordTaxHTField>
    <IconOverlay xmlns="http://schemas.microsoft.com/sharepoint/v4" xsi:nil="true"/>
    <TaxCatchAll xmlns="a3bb9bf7-f30d-41b4-8fc9-31e240910f34"/>
    <CCG xmlns="89b70e76-7869-4396-907e-57270fc3cfa7">Medway</CC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KMC Document" ma:contentTypeID="0x010100D69BD41B3D3BD249B918A59F97003A5F00A7D2D12A21D5E14E87B73EAE1D6FB163" ma:contentTypeVersion="322" ma:contentTypeDescription="Create new document with associated metadata" ma:contentTypeScope="" ma:versionID="9aa26482b1521278dcb648fa59d2ccf7">
  <xsd:schema xmlns:xsd="http://www.w3.org/2001/XMLSchema" xmlns:xs="http://www.w3.org/2001/XMLSchema" xmlns:p="http://schemas.microsoft.com/office/2006/metadata/properties" xmlns:ns2="a3bb9bf7-f30d-41b4-8fc9-31e240910f34" xmlns:ns3="89b70e76-7869-4396-907e-57270fc3cfa7" xmlns:ns4="http://schemas.microsoft.com/sharepoint/v4" targetNamespace="http://schemas.microsoft.com/office/2006/metadata/properties" ma:root="true" ma:fieldsID="9c33934922ccc874e47e4b359125f6d6" ns2:_="" ns3:_="" ns4:_="">
    <xsd:import namespace="a3bb9bf7-f30d-41b4-8fc9-31e240910f34"/>
    <xsd:import namespace="89b70e76-7869-4396-907e-57270fc3cfa7"/>
    <xsd:import namespace="http://schemas.microsoft.com/sharepoint/v4"/>
    <xsd:element name="properties">
      <xsd:complexType>
        <xsd:sequence>
          <xsd:element name="documentManagement">
            <xsd:complexType>
              <xsd:all>
                <xsd:element ref="ns2:_dlc_Exempt" minOccurs="0"/>
                <xsd:element ref="ns2:_dlc_ExpireDateSaved" minOccurs="0"/>
                <xsd:element ref="ns2:_dlc_ExpireDate"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3:CCG"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b9bf7-f30d-41b4-8fc9-31e240910f34"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element name="_dlc_ExpireDateSaved" ma:index="9" nillable="true" ma:displayName="Original Expiration Date" ma:description=""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20b4f509-811e-41b5-9419-54197673dce4"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c2db0fa7-31e0-4cde-89f1-fe62254258f9}" ma:internalName="TaxCatchAll" ma:showField="CatchAllData" ma:web="c9eeb844-7786-4a75-8e83-37c05df00c8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c2db0fa7-31e0-4cde-89f1-fe62254258f9}" ma:internalName="TaxCatchAllLabel" ma:readOnly="true" ma:showField="CatchAllDataLabel" ma:web="c9eeb844-7786-4a75-8e83-37c05df00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b70e76-7869-4396-907e-57270fc3cfa7" elementFormDefault="qualified">
    <xsd:import namespace="http://schemas.microsoft.com/office/2006/documentManagement/types"/>
    <xsd:import namespace="http://schemas.microsoft.com/office/infopath/2007/PartnerControls"/>
    <xsd:element name="CCG" ma:index="18" nillable="true" ma:displayName="CCG" ma:internalName="CC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1c6c060b-a8d5-4c04-ba24-3254307eb85d" local="false">
  <p:Name>Document Retention (30 years) </p:Name>
  <p:Description>The fundamental principle of retention/disposal criteria is to identify those file series which can be destroyed at pre-determined dates or which need to be retained for specific reasons. It aims to set down certain parameters for those files which fall in either of the above areas and the general guidelines detail those parameters.</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30</number>
            <property>Modified</property>
            <period>years</period>
          </formula>
          <action type="action" id="Microsoft.Office.RecordsManagement.PolicyFeatures.Expiration.Action.MoveToRecycleBin"/>
        </data>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Default</Synchronization>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10006</Type>
    <SequenceNumber>104</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4BD1F-8CA3-4FC7-8AF0-D4FC0606FD17}">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sharepoint/v4"/>
    <ds:schemaRef ds:uri="http://schemas.microsoft.com/office/2006/metadata/properties"/>
    <ds:schemaRef ds:uri="89b70e76-7869-4396-907e-57270fc3cfa7"/>
    <ds:schemaRef ds:uri="a3bb9bf7-f30d-41b4-8fc9-31e240910f34"/>
    <ds:schemaRef ds:uri="http://www.w3.org/XML/1998/namespace"/>
    <ds:schemaRef ds:uri="http://purl.org/dc/dcmitype/"/>
  </ds:schemaRefs>
</ds:datastoreItem>
</file>

<file path=customXml/itemProps2.xml><?xml version="1.0" encoding="utf-8"?>
<ds:datastoreItem xmlns:ds="http://schemas.openxmlformats.org/officeDocument/2006/customXml" ds:itemID="{3C5E1828-B277-41A0-95E4-28DDA04A55EA}">
  <ds:schemaRefs>
    <ds:schemaRef ds:uri="http://schemas.microsoft.com/sharepoint/v3/contenttype/forms"/>
  </ds:schemaRefs>
</ds:datastoreItem>
</file>

<file path=customXml/itemProps3.xml><?xml version="1.0" encoding="utf-8"?>
<ds:datastoreItem xmlns:ds="http://schemas.openxmlformats.org/officeDocument/2006/customXml" ds:itemID="{65BBAB2D-ECC2-46A7-B566-C3B994DA85D3}">
  <ds:schemaRefs>
    <ds:schemaRef ds:uri="http://schemas.microsoft.com/office/2006/metadata/customXsn"/>
  </ds:schemaRefs>
</ds:datastoreItem>
</file>

<file path=customXml/itemProps4.xml><?xml version="1.0" encoding="utf-8"?>
<ds:datastoreItem xmlns:ds="http://schemas.openxmlformats.org/officeDocument/2006/customXml" ds:itemID="{26CE0052-6C80-4296-B618-E001DC4D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b9bf7-f30d-41b4-8fc9-31e240910f34"/>
    <ds:schemaRef ds:uri="89b70e76-7869-4396-907e-57270fc3cf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0F1556-8AA8-46D9-892B-6784EFF0DFB2}">
  <ds:schemaRefs>
    <ds:schemaRef ds:uri="office.server.policy"/>
  </ds:schemaRefs>
</ds:datastoreItem>
</file>

<file path=customXml/itemProps6.xml><?xml version="1.0" encoding="utf-8"?>
<ds:datastoreItem xmlns:ds="http://schemas.openxmlformats.org/officeDocument/2006/customXml" ds:itemID="{D7FD1BD7-9F7E-40D6-9F6A-E9AE6D4647FB}">
  <ds:schemaRefs>
    <ds:schemaRef ds:uri="http://schemas.microsoft.com/sharepoint/events"/>
  </ds:schemaRefs>
</ds:datastoreItem>
</file>

<file path=customXml/itemProps7.xml><?xml version="1.0" encoding="utf-8"?>
<ds:datastoreItem xmlns:ds="http://schemas.openxmlformats.org/officeDocument/2006/customXml" ds:itemID="{495DF76E-9744-4E09-8991-41C863CA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Cahill</dc:creator>
  <cp:lastModifiedBy>Tracy Bishop</cp:lastModifiedBy>
  <cp:revision>2</cp:revision>
  <cp:lastPrinted>2018-07-06T16:04:00Z</cp:lastPrinted>
  <dcterms:created xsi:type="dcterms:W3CDTF">2018-07-30T09:06:00Z</dcterms:created>
  <dcterms:modified xsi:type="dcterms:W3CDTF">2018-07-30T09:06:00Z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0x010100D69BD41B3D3BD249B918A59F97003A5F00A7D2D12A21D5E14E87B73EAE1D6FB163</vt:lpwstr>
  </property>
  <property fmtid="{D5CDD505-2E9C-101B-9397-08002B2CF9AE}" pid="3" name="TaxKeyword">
    <vt:lpwstr/>
  </property>
  <property fmtid="{D5CDD505-2E9C-101B-9397-08002B2CF9AE}" pid="4" name="ItemRetentionFormula">
    <vt:lpwstr/>
  </property>
  <property fmtid="{D5CDD505-2E9C-101B-9397-08002B2CF9AE}" pid="5" name="_dlc_policyId">
    <vt:lpwstr/>
  </property>
</Properties>
</file>