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3 (Continuous Improvement) </w:t>
      </w: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Buyer’s Rights</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Supplier’s Obligations</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"Continuous Improvement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Buyer's Approval.  The Continuous Improvement Plan must include, as a minimum, proposals:</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the emergence of relevant new and evolving technologies;</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Continuous Improvement Plan for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shall be submitted by the Supplier to the Buyer for Approval within one hundred (100) Working Days of the first Order or six (6) Months following the Start Date, whichever is earlier.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first Continuous Improvement Plan has been Approved in accordance with Paragraph 2.5:</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update the Continuous Improvement Plan as and when required but at least once every Contract Year (after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in accordance with the procedure and timescales set out in Paragraph 2.3.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426" w:right="0" w:hanging="426"/>
        <w:jc w:val="left"/>
        <w:rPr>
          <w:rFonts w:ascii="Arial" w:cs="Arial" w:eastAsia="Arial" w:hAnsi="Arial"/>
          <w:b w:val="1"/>
          <w:i w:val="0"/>
          <w:smallCaps w:val="1"/>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2">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Model Version : v3.0</w:t>
      <w:tab/>
      <w:tab/>
    </w: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3 (Continuous Improvement) – Contract Reference: C23780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Fonts w:ascii="Arial" w:cs="Arial" w:eastAsia="Arial" w:hAnsi="Arial"/>
        <w:sz w:val="20"/>
        <w:szCs w:val="20"/>
        <w:rtl w:val="0"/>
      </w:rPr>
      <w:t xml:space="preserve">C23780/</w:t>
    </w:r>
    <w:r w:rsidDel="00000000" w:rsidR="00000000" w:rsidRPr="00000000">
      <w:rPr>
        <w:rFonts w:ascii="Roboto" w:cs="Roboto" w:eastAsia="Roboto" w:hAnsi="Roboto"/>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2018</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B6a+XhAcsgsVjoCwEoPM+nGpQ==">CgMxLjAyCGguZ2pkZ3hzMgloLjMwajB6bGwyCWguMWZvYjl0ZTIJaC4zem55c2g3MgloLjJldDkycDAyCGgudHlqY3d0OAByITFUbUhMYlkwMkl1RlEycW42dG9oRlVBZXNVOXF5VDZpQQ==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