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color w:val="2B579A"/>
          <w:shd w:val="clear" w:color="auto" w:fill="E6E6E6"/>
        </w:rPr>
        <w:drawing>
          <wp:anchor distT="0" distB="0" distL="114300" distR="114300" simplePos="0" relativeHeight="251658240"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530AD3">
      <w:pPr>
        <w:pStyle w:val="TOC1"/>
      </w:pPr>
      <w:r>
        <w:rPr>
          <w:rFonts w:ascii="Arial" w:eastAsia="Arial" w:hAnsi="Arial" w:cs="Arial"/>
          <w:b w:val="0"/>
          <w:bCs w:val="0"/>
          <w:i w:val="0"/>
          <w:iCs w:val="0"/>
          <w:color w:val="2B579A"/>
          <w:sz w:val="22"/>
          <w:szCs w:val="22"/>
          <w:shd w:val="clear" w:color="auto" w:fill="E6E6E6"/>
        </w:rPr>
        <w:fldChar w:fldCharType="begin"/>
      </w:r>
      <w:r>
        <w:instrText xml:space="preserve"> TOC \o "1-2" \u \h </w:instrText>
      </w:r>
      <w:r>
        <w:rPr>
          <w:rFonts w:ascii="Arial" w:eastAsia="Arial" w:hAnsi="Arial" w:cs="Arial"/>
          <w:b w:val="0"/>
          <w:bCs w:val="0"/>
          <w:i w:val="0"/>
          <w:iCs w:val="0"/>
          <w:color w:val="2B579A"/>
          <w:sz w:val="22"/>
          <w:szCs w:val="22"/>
          <w:shd w:val="clear" w:color="auto" w:fill="E6E6E6"/>
        </w:rPr>
        <w:fldChar w:fldCharType="separate"/>
      </w: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530AD3">
      <w:pPr>
        <w:pageBreakBefore/>
      </w:pPr>
      <w:r>
        <w:rPr>
          <w:rFonts w:ascii="Cambria" w:eastAsia="Cambria" w:hAnsi="Cambria" w:cs="Cambria"/>
          <w:b/>
          <w:bCs/>
          <w:color w:val="2B579A"/>
          <w:shd w:val="clear" w:color="auto" w:fill="E6E6E6"/>
        </w:rPr>
        <w:lastRenderedPageBreak/>
        <w:fldChar w:fldCharType="end"/>
      </w: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12819995">
        <w:trPr>
          <w:trHeight w:val="480"/>
        </w:trPr>
        <w:tc>
          <w:tcPr>
            <w:tcW w:w="4530" w:type="dxa"/>
            <w:tcBorders>
              <w:top w:val="single" w:sz="12"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themeColor="text1"/>
              <w:right w:val="single" w:sz="8" w:space="0" w:color="000000" w:themeColor="text1"/>
            </w:tcBorders>
            <w:tcMar>
              <w:top w:w="100" w:type="dxa"/>
              <w:left w:w="100" w:type="dxa"/>
              <w:bottom w:w="100" w:type="dxa"/>
              <w:right w:w="100" w:type="dxa"/>
            </w:tcMar>
          </w:tcPr>
          <w:p w14:paraId="31F2F00B" w14:textId="07789BB2" w:rsidR="000A3EB6" w:rsidRDefault="002251F1" w:rsidP="12819995">
            <w:pPr>
              <w:spacing w:before="240"/>
            </w:pPr>
            <w:r>
              <w:t>TRN</w:t>
            </w:r>
            <w:r w:rsidR="44BDD89A">
              <w:t xml:space="preserve"> </w:t>
            </w:r>
            <w:r w:rsidR="44BDD89A" w:rsidRPr="12819995">
              <w:rPr>
                <w:b/>
                <w:bCs/>
                <w:color w:val="000000" w:themeColor="text1"/>
              </w:rPr>
              <w:t>5327/09/2021</w:t>
            </w:r>
          </w:p>
        </w:tc>
      </w:tr>
      <w:tr w:rsidR="000A3EB6" w14:paraId="2E861446" w14:textId="77777777" w:rsidTr="12819995">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FA64C5" w14:textId="77777777" w:rsidR="000A3EB6" w:rsidRDefault="00530AD3">
            <w:pPr>
              <w:spacing w:before="240"/>
              <w:rPr>
                <w:b/>
              </w:rPr>
            </w:pPr>
            <w:r>
              <w:rPr>
                <w:b/>
              </w:rPr>
              <w:t>Call-Off Contract title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1BF8B009" w14:textId="05AF0DF3" w:rsidR="000A3EB6" w:rsidRPr="002A502E" w:rsidRDefault="001844A9" w:rsidP="002A502E">
            <w:pPr>
              <w:rPr>
                <w:sz w:val="24"/>
                <w:szCs w:val="24"/>
              </w:rPr>
            </w:pPr>
            <w:r w:rsidRPr="001844A9">
              <w:rPr>
                <w:rStyle w:val="normaltextrun"/>
                <w:sz w:val="24"/>
                <w:szCs w:val="24"/>
              </w:rPr>
              <w:t>Industrial Energy Delivery Digital Technical Support Service</w:t>
            </w:r>
          </w:p>
        </w:tc>
      </w:tr>
      <w:tr w:rsidR="000A3EB6" w14:paraId="0EF29767" w14:textId="77777777" w:rsidTr="12819995">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0A980" w14:textId="77777777" w:rsidR="000A3EB6" w:rsidRDefault="00530AD3">
            <w:pPr>
              <w:spacing w:before="240"/>
              <w:rPr>
                <w:b/>
              </w:rPr>
            </w:pPr>
            <w:r>
              <w:rPr>
                <w:b/>
              </w:rPr>
              <w:t>Start date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B434673" w14:textId="04CE83AA" w:rsidR="000A3EB6" w:rsidRDefault="00D0291C">
            <w:pPr>
              <w:spacing w:before="240"/>
            </w:pPr>
            <w:r>
              <w:t>16</w:t>
            </w:r>
            <w:r w:rsidRPr="00D0291C">
              <w:rPr>
                <w:vertAlign w:val="superscript"/>
              </w:rPr>
              <w:t>th</w:t>
            </w:r>
            <w:r>
              <w:t xml:space="preserve"> September 2021</w:t>
            </w:r>
          </w:p>
        </w:tc>
      </w:tr>
      <w:tr w:rsidR="000A3EB6" w14:paraId="4FF05D1B" w14:textId="77777777" w:rsidTr="12819995">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A6F402" w14:textId="77777777" w:rsidR="000A3EB6" w:rsidRDefault="00530AD3">
            <w:pPr>
              <w:spacing w:before="240"/>
              <w:rPr>
                <w:b/>
              </w:rPr>
            </w:pPr>
            <w:r>
              <w:rPr>
                <w:b/>
              </w:rPr>
              <w:t>Expiry date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1EEB9CF0" w14:textId="03A042DF" w:rsidR="000A3EB6" w:rsidRDefault="00D86517">
            <w:pPr>
              <w:spacing w:before="240"/>
            </w:pPr>
            <w:r>
              <w:t>3</w:t>
            </w:r>
            <w:r w:rsidR="00CE2F61">
              <w:t>1 March 20</w:t>
            </w:r>
            <w:r w:rsidR="001844A9">
              <w:t>22</w:t>
            </w:r>
          </w:p>
        </w:tc>
      </w:tr>
      <w:tr w:rsidR="000A3EB6" w14:paraId="2B54AE5C" w14:textId="77777777" w:rsidTr="12819995">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0BE4F" w14:textId="3F23CC8B" w:rsidR="000A3EB6" w:rsidRDefault="00530AD3">
            <w:pPr>
              <w:spacing w:before="240"/>
              <w:rPr>
                <w:b/>
              </w:rPr>
            </w:pPr>
            <w:r>
              <w:rPr>
                <w:b/>
              </w:rPr>
              <w:t xml:space="preserve">Call-Off Contract </w:t>
            </w:r>
            <w:r w:rsidR="001F5EC5">
              <w:rPr>
                <w:b/>
              </w:rPr>
              <w:t xml:space="preserve">maximum </w:t>
            </w:r>
            <w:r>
              <w:rPr>
                <w:b/>
              </w:rPr>
              <w:t>value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1001ACF3" w14:textId="11171014" w:rsidR="000A3EB6" w:rsidRDefault="4C2A5F44">
            <w:pPr>
              <w:spacing w:before="240"/>
            </w:pPr>
            <w:r>
              <w:t>£</w:t>
            </w:r>
            <w:r w:rsidR="00EB7E65">
              <w:t>1,000,000</w:t>
            </w:r>
            <w:r w:rsidR="060759E1">
              <w:t xml:space="preserve"> excluding VAT</w:t>
            </w:r>
          </w:p>
        </w:tc>
      </w:tr>
      <w:tr w:rsidR="000A3EB6" w14:paraId="18002C22" w14:textId="77777777" w:rsidTr="12819995">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B1CF38" w14:textId="77777777" w:rsidR="000A3EB6" w:rsidRDefault="00530AD3">
            <w:pPr>
              <w:spacing w:before="240"/>
              <w:rPr>
                <w:b/>
              </w:rPr>
            </w:pPr>
            <w:r>
              <w:rPr>
                <w:b/>
              </w:rPr>
              <w:t>Charging method</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42678257" w14:textId="50E52F73" w:rsidR="000A3EB6" w:rsidRDefault="001F5EC5">
            <w:pPr>
              <w:spacing w:before="240"/>
            </w:pPr>
            <w:r>
              <w:t>Payment buy BACS following a correct invoice</w:t>
            </w:r>
          </w:p>
        </w:tc>
      </w:tr>
      <w:tr w:rsidR="000A3EB6" w14:paraId="08924693" w14:textId="77777777" w:rsidTr="12819995">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A9D6BD" w14:textId="77777777" w:rsidR="000A3EB6" w:rsidRDefault="00530AD3">
            <w:pPr>
              <w:spacing w:before="240"/>
              <w:rPr>
                <w:b/>
              </w:rPr>
            </w:pPr>
            <w:r>
              <w:rPr>
                <w:b/>
              </w:rPr>
              <w:t>Purchase order number</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39FE7F3" w14:textId="5FC7CB98" w:rsidR="000A3EB6" w:rsidRDefault="001F5EC5">
            <w:pPr>
              <w:spacing w:before="240"/>
            </w:pPr>
            <w:r>
              <w:t xml:space="preserve">To be supplied </w:t>
            </w:r>
            <w:r w:rsidR="00FB611F">
              <w:t>following signature of the contract</w:t>
            </w:r>
            <w:r w:rsidR="009D7AFF">
              <w:t xml:space="preserve"> by the supplier</w:t>
            </w: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4C1F4B83" w:rsidR="00F503D4" w:rsidRDefault="00530AD3">
      <w:pPr>
        <w:spacing w:before="240"/>
      </w:pPr>
      <w:r>
        <w:t>There are terms in the Call-Off Contract that may be defined in the Order Form. These are identified in the contract with square brackets.</w:t>
      </w:r>
    </w:p>
    <w:p w14:paraId="04964270" w14:textId="77777777" w:rsidR="00F503D4" w:rsidRDefault="00F503D4">
      <w:pPr>
        <w:suppressAutoHyphens w:val="0"/>
      </w:pPr>
    </w:p>
    <w:p w14:paraId="5D82FD56" w14:textId="2DCBF582" w:rsidR="00F503D4" w:rsidRDefault="00F503D4">
      <w:pPr>
        <w:suppressAutoHyphens w:val="0"/>
      </w:pPr>
      <w:r>
        <w:br w:type="page"/>
      </w:r>
    </w:p>
    <w:p w14:paraId="12E258C6" w14:textId="77777777" w:rsidR="000A3EB6" w:rsidRDefault="000A3EB6">
      <w:pPr>
        <w:spacing w:before="240"/>
      </w:pP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rsidTr="12819995">
        <w:trPr>
          <w:trHeight w:val="2188"/>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F552AB" w14:textId="77777777" w:rsidR="000A3EB6" w:rsidRDefault="00530AD3">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713C51" w14:textId="181D75AD" w:rsidR="003C452E" w:rsidRDefault="003C452E" w:rsidP="003C452E">
            <w:pPr>
              <w:spacing w:before="240"/>
            </w:pPr>
            <w:r>
              <w:t xml:space="preserve">Department of Business, </w:t>
            </w:r>
            <w:proofErr w:type="gramStart"/>
            <w:r>
              <w:t>Energy</w:t>
            </w:r>
            <w:proofErr w:type="gramEnd"/>
            <w:r>
              <w:t xml:space="preserve"> </w:t>
            </w:r>
            <w:r w:rsidR="00064C92">
              <w:t>and Industrial Strategy</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rsidTr="12819995">
        <w:trPr>
          <w:trHeight w:val="2207"/>
        </w:trPr>
        <w:tc>
          <w:tcPr>
            <w:tcW w:w="20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themeColor="text1"/>
              <w:right w:val="single" w:sz="8" w:space="0" w:color="000000" w:themeColor="text1"/>
            </w:tcBorders>
            <w:tcMar>
              <w:top w:w="100" w:type="dxa"/>
              <w:left w:w="100" w:type="dxa"/>
              <w:bottom w:w="100" w:type="dxa"/>
              <w:right w:w="100" w:type="dxa"/>
            </w:tcMar>
          </w:tcPr>
          <w:p w14:paraId="140226F5" w14:textId="45536883" w:rsidR="00E21731" w:rsidRDefault="6D777B3F" w:rsidP="00E21731">
            <w:pPr>
              <w:rPr>
                <w:rFonts w:ascii="Helvetica Neue" w:eastAsia="Helvetica Neue" w:hAnsi="Helvetica Neue" w:cs="Helvetica Neue"/>
              </w:rPr>
            </w:pPr>
            <w:r w:rsidRPr="12819995">
              <w:rPr>
                <w:rFonts w:ascii="Helvetica Neue" w:eastAsia="Helvetica Neue" w:hAnsi="Helvetica Neue" w:cs="Helvetica Neue"/>
              </w:rPr>
              <w:t xml:space="preserve">Albany Beck Consultancy </w:t>
            </w:r>
            <w:r w:rsidR="7AC75AE8" w:rsidRPr="12819995">
              <w:rPr>
                <w:rFonts w:ascii="Helvetica Neue" w:eastAsia="Helvetica Neue" w:hAnsi="Helvetica Neue" w:cs="Helvetica Neue"/>
              </w:rPr>
              <w:t>S</w:t>
            </w:r>
            <w:r w:rsidRPr="12819995">
              <w:rPr>
                <w:rFonts w:ascii="Helvetica Neue" w:eastAsia="Helvetica Neue" w:hAnsi="Helvetica Neue" w:cs="Helvetica Neue"/>
              </w:rPr>
              <w:t>ervices Limited,</w:t>
            </w:r>
          </w:p>
          <w:p w14:paraId="319D4E49" w14:textId="77777777" w:rsidR="00E21731" w:rsidRPr="005300C9" w:rsidRDefault="00E21731" w:rsidP="00E21731">
            <w:pPr>
              <w:rPr>
                <w:rFonts w:ascii="Helvetica Neue" w:eastAsia="Helvetica Neue" w:hAnsi="Helvetica Neue" w:cs="Helvetica Neue"/>
              </w:rPr>
            </w:pPr>
            <w:r w:rsidRPr="005300C9">
              <w:rPr>
                <w:color w:val="0B0C0C"/>
                <w:shd w:val="clear" w:color="auto" w:fill="FFFFFF"/>
              </w:rPr>
              <w:t>Castle Chambers, 87a High Street, Berkhamsted, United Kingdom, HP4 2DF</w:t>
            </w:r>
          </w:p>
          <w:p w14:paraId="7AD112B8" w14:textId="77777777" w:rsidR="00E21731" w:rsidRPr="0080403F" w:rsidRDefault="00E21731" w:rsidP="00E21731">
            <w:pPr>
              <w:rPr>
                <w:rFonts w:ascii="Helvetica Neue" w:eastAsia="Helvetica Neue" w:hAnsi="Helvetica Neue" w:cs="Helvetica Neue"/>
              </w:rPr>
            </w:pPr>
          </w:p>
          <w:p w14:paraId="41C812A2" w14:textId="77777777" w:rsidR="00E21731" w:rsidRPr="0080403F" w:rsidRDefault="00E21731" w:rsidP="00E21731">
            <w:pPr>
              <w:rPr>
                <w:rFonts w:ascii="Helvetica Neue" w:eastAsia="Helvetica Neue" w:hAnsi="Helvetica Neue" w:cs="Helvetica Neue"/>
              </w:rPr>
            </w:pPr>
            <w:r w:rsidRPr="0080403F">
              <w:rPr>
                <w:rFonts w:ascii="Helvetica Neue" w:eastAsia="Helvetica Neue" w:hAnsi="Helvetica Neue" w:cs="Helvetica Neue"/>
              </w:rPr>
              <w:t xml:space="preserve">Company number: </w:t>
            </w:r>
          </w:p>
          <w:p w14:paraId="16AD4116" w14:textId="337F9902" w:rsidR="000A3EB6" w:rsidRDefault="00E21731" w:rsidP="00E21731">
            <w:pPr>
              <w:spacing w:before="240"/>
            </w:pPr>
            <w:r w:rsidRPr="005300C9">
              <w:rPr>
                <w:rFonts w:ascii="Helvetica Neue" w:eastAsia="Helvetica Neue" w:hAnsi="Helvetica Neue" w:cs="Helvetica Neue"/>
              </w:rPr>
              <w:t>10483595</w:t>
            </w:r>
          </w:p>
        </w:tc>
      </w:tr>
      <w:tr w:rsidR="000A3EB6" w14:paraId="7503DE6B" w14:textId="77777777" w:rsidTr="12819995">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1D0749EF" w14:textId="77777777" w:rsidR="000A3EB6" w:rsidRDefault="00530AD3">
      <w:pPr>
        <w:pStyle w:val="Heading3"/>
        <w:rPr>
          <w:color w:val="auto"/>
        </w:rPr>
      </w:pPr>
      <w:r>
        <w:rPr>
          <w:color w:val="auto"/>
        </w:rPr>
        <w:t>Principal contact details</w:t>
      </w:r>
    </w:p>
    <w:p w14:paraId="3BAC294C" w14:textId="77777777" w:rsidR="000A3EB6" w:rsidRDefault="00530AD3">
      <w:pPr>
        <w:spacing w:before="240" w:after="120" w:line="480" w:lineRule="auto"/>
        <w:rPr>
          <w:b/>
        </w:rPr>
      </w:pPr>
      <w:r>
        <w:rPr>
          <w:b/>
        </w:rPr>
        <w:t>For the Buyer:</w:t>
      </w:r>
    </w:p>
    <w:p w14:paraId="13AB52A6" w14:textId="0369104F" w:rsidR="000A3EB6" w:rsidRPr="00472FE9" w:rsidRDefault="00530AD3">
      <w:pPr>
        <w:spacing w:after="120" w:line="240" w:lineRule="auto"/>
      </w:pPr>
      <w:r w:rsidRPr="00472FE9">
        <w:t xml:space="preserve">Name: </w:t>
      </w:r>
      <w:r w:rsidR="001828BB">
        <w:t>[redacted]</w:t>
      </w:r>
    </w:p>
    <w:p w14:paraId="2E8E58B0" w14:textId="3FF4D3BE" w:rsidR="000A3EB6" w:rsidRPr="00472FE9" w:rsidRDefault="00530AD3">
      <w:pPr>
        <w:spacing w:after="120" w:line="240" w:lineRule="auto"/>
      </w:pPr>
      <w:r w:rsidRPr="00472FE9">
        <w:t xml:space="preserve">Email: </w:t>
      </w:r>
      <w:r w:rsidR="001828BB">
        <w:t>[redacted]</w:t>
      </w:r>
    </w:p>
    <w:p w14:paraId="10E1028A" w14:textId="7E327267" w:rsidR="00A448A6" w:rsidRDefault="00530AD3" w:rsidP="00A448A6">
      <w:pPr>
        <w:spacing w:after="120" w:line="360" w:lineRule="auto"/>
      </w:pPr>
      <w:r w:rsidRPr="00472FE9">
        <w:t xml:space="preserve">Phone: </w:t>
      </w:r>
      <w:r w:rsidR="001828BB">
        <w:t>[redacted]</w:t>
      </w:r>
    </w:p>
    <w:p w14:paraId="480E3E80" w14:textId="77777777" w:rsidR="00A448A6" w:rsidRDefault="00A448A6" w:rsidP="00A448A6">
      <w:pPr>
        <w:spacing w:after="120" w:line="360" w:lineRule="auto"/>
      </w:pPr>
    </w:p>
    <w:p w14:paraId="43CC02B8" w14:textId="232B1D42" w:rsidR="000A3EB6" w:rsidRDefault="00530AD3" w:rsidP="00A448A6">
      <w:pPr>
        <w:spacing w:after="120" w:line="360" w:lineRule="auto"/>
        <w:rPr>
          <w:b/>
        </w:rPr>
      </w:pPr>
      <w:r>
        <w:rPr>
          <w:b/>
        </w:rPr>
        <w:t>For the Supplier:</w:t>
      </w:r>
    </w:p>
    <w:p w14:paraId="168D9747" w14:textId="0FA42FE8" w:rsidR="00271715" w:rsidRPr="00271715" w:rsidRDefault="00271715" w:rsidP="00271715">
      <w:pPr>
        <w:pStyle w:val="Heading3"/>
        <w:rPr>
          <w:color w:val="auto"/>
          <w:sz w:val="22"/>
          <w:szCs w:val="22"/>
        </w:rPr>
      </w:pPr>
      <w:r w:rsidRPr="00271715">
        <w:rPr>
          <w:color w:val="auto"/>
          <w:sz w:val="22"/>
          <w:szCs w:val="22"/>
        </w:rPr>
        <w:t xml:space="preserve">Name: </w:t>
      </w:r>
      <w:r w:rsidR="001828BB" w:rsidRPr="001828BB">
        <w:rPr>
          <w:sz w:val="22"/>
          <w:szCs w:val="22"/>
        </w:rPr>
        <w:t>[redacted]</w:t>
      </w:r>
    </w:p>
    <w:p w14:paraId="50F14560" w14:textId="0C1ED06C" w:rsidR="00271715" w:rsidRPr="00271715" w:rsidRDefault="00271715" w:rsidP="00271715">
      <w:pPr>
        <w:pStyle w:val="Heading3"/>
        <w:rPr>
          <w:color w:val="auto"/>
          <w:sz w:val="22"/>
          <w:szCs w:val="22"/>
        </w:rPr>
      </w:pPr>
      <w:r w:rsidRPr="00271715">
        <w:rPr>
          <w:color w:val="auto"/>
          <w:sz w:val="22"/>
          <w:szCs w:val="22"/>
        </w:rPr>
        <w:t xml:space="preserve">Email: </w:t>
      </w:r>
      <w:r w:rsidR="001828BB" w:rsidRPr="001828BB">
        <w:rPr>
          <w:sz w:val="22"/>
          <w:szCs w:val="22"/>
        </w:rPr>
        <w:t>[redacted]</w:t>
      </w:r>
    </w:p>
    <w:p w14:paraId="4E0C02A7" w14:textId="30FC4CEA" w:rsidR="00271715" w:rsidRDefault="00271715" w:rsidP="00271715">
      <w:pPr>
        <w:pStyle w:val="Heading3"/>
        <w:rPr>
          <w:color w:val="auto"/>
          <w:sz w:val="22"/>
          <w:szCs w:val="22"/>
        </w:rPr>
      </w:pPr>
      <w:r w:rsidRPr="00271715">
        <w:rPr>
          <w:color w:val="auto"/>
          <w:sz w:val="22"/>
          <w:szCs w:val="22"/>
        </w:rPr>
        <w:t xml:space="preserve">Phone: </w:t>
      </w:r>
      <w:r w:rsidR="001828BB" w:rsidRPr="001828BB">
        <w:rPr>
          <w:sz w:val="22"/>
          <w:szCs w:val="22"/>
        </w:rPr>
        <w:t>[redacted]</w:t>
      </w:r>
    </w:p>
    <w:p w14:paraId="50868F01" w14:textId="27F0702C" w:rsidR="000A3EB6" w:rsidRDefault="00530AD3" w:rsidP="0027171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5D1FAF" w14:textId="4931C63C" w:rsidR="00A4469D" w:rsidRDefault="00530AD3" w:rsidP="00A4469D">
            <w:pPr>
              <w:spacing w:before="240"/>
            </w:pPr>
            <w:r>
              <w:t xml:space="preserve">This Call-Off Contract Starts </w:t>
            </w:r>
            <w:r w:rsidR="007B503A">
              <w:t>on 16</w:t>
            </w:r>
            <w:r w:rsidR="007B503A" w:rsidRPr="007B503A">
              <w:rPr>
                <w:vertAlign w:val="superscript"/>
              </w:rPr>
              <w:t>th</w:t>
            </w:r>
            <w:r w:rsidR="007B503A">
              <w:t xml:space="preserve"> September</w:t>
            </w:r>
            <w:r>
              <w:t xml:space="preserve"> and is valid </w:t>
            </w:r>
            <w:r w:rsidR="00A4469D">
              <w:t>up to and including</w:t>
            </w:r>
            <w:r w:rsidR="00CE2F61">
              <w:t xml:space="preserve"> 31 March 202</w:t>
            </w:r>
            <w:r w:rsidR="00271715">
              <w:t>2</w:t>
            </w:r>
            <w:r w:rsidR="00CE2F61">
              <w:t>.</w:t>
            </w:r>
          </w:p>
          <w:p w14:paraId="52954D6C" w14:textId="33BF41CD" w:rsidR="000A3EB6" w:rsidRDefault="000A3EB6">
            <w:pPr>
              <w:spacing w:before="240"/>
            </w:pP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r>
              <w:rPr>
                <w:b/>
              </w:rPr>
              <w:lastRenderedPageBreak/>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12B7ABE2" w:rsidR="000A3EB6" w:rsidRDefault="00530AD3">
            <w:pPr>
              <w:spacing w:before="240"/>
            </w:pPr>
            <w:r>
              <w:t xml:space="preserve">The notice period for the Supplier needed for Ending the Call-Off Contract is </w:t>
            </w:r>
            <w:r w:rsidR="00AF49A3">
              <w:t>9</w:t>
            </w:r>
            <w:r w:rsidR="00A4469D">
              <w:t>0</w:t>
            </w:r>
            <w:r>
              <w:rPr>
                <w:b/>
              </w:rPr>
              <w:t xml:space="preserve"> </w:t>
            </w:r>
            <w:r>
              <w:t>Working Days from the date of written notice for undisputed sums (as per clause 18.6).</w:t>
            </w:r>
          </w:p>
          <w:p w14:paraId="78DF8CF4" w14:textId="7B4B320A" w:rsidR="000A3EB6" w:rsidRDefault="00530AD3">
            <w:pPr>
              <w:spacing w:before="240"/>
            </w:pPr>
            <w:r>
              <w:t xml:space="preserve">The notice period for the Buyer is </w:t>
            </w:r>
            <w:r w:rsidR="00452C3E">
              <w:t xml:space="preserve">30 </w:t>
            </w:r>
            <w:r>
              <w:t>days from the date of written notice for Ending without cause (as per clause 18.1).</w:t>
            </w:r>
          </w:p>
        </w:tc>
      </w:tr>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6AD8BF67"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2F18C6">
              <w:t xml:space="preserve">24 </w:t>
            </w:r>
            <w:r>
              <w:t>months by giving the Supplier</w:t>
            </w:r>
            <w:r w:rsidR="000139A1">
              <w:t xml:space="preserve"> one </w:t>
            </w:r>
            <w:proofErr w:type="gramStart"/>
            <w:r w:rsidR="000139A1">
              <w:t>month</w:t>
            </w:r>
            <w:r w:rsidR="00AC2BE3">
              <w:t>’</w:t>
            </w:r>
            <w:r w:rsidR="000139A1">
              <w:t xml:space="preserve">s </w:t>
            </w:r>
            <w:r>
              <w:t xml:space="preserve"> written</w:t>
            </w:r>
            <w:proofErr w:type="gramEnd"/>
            <w:r>
              <w:t xml:space="preserve"> notice before its expiry. The extension periods are subject to clauses 1.3 and 1.4 in Part B below.</w:t>
            </w:r>
          </w:p>
          <w:p w14:paraId="30BAA922" w14:textId="77777777" w:rsidR="000A3EB6" w:rsidRDefault="00530AD3">
            <w:pPr>
              <w:spacing w:before="240"/>
            </w:pPr>
            <w:r>
              <w:t>Extensions which extend the Term beyond 24 months are only permitted if the Supplier complies with the additional exit plan requirements at clauses 21.3 to 21.8.</w:t>
            </w:r>
          </w:p>
          <w:p w14:paraId="03F73DCB" w14:textId="275A7166" w:rsidR="000A3EB6" w:rsidRDefault="00530AD3">
            <w:pPr>
              <w:spacing w:before="240"/>
            </w:pPr>
            <w:r>
              <w:t>The extension period after 24 months should not exceed the maximum permitted under the Framework Agreement which is 2 periods of up to 12 months each.</w:t>
            </w:r>
          </w:p>
          <w:p w14:paraId="3F0A5051" w14:textId="77777777" w:rsidR="000A3EB6" w:rsidRDefault="00530AD3">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09B7F66A" w14:textId="77777777" w:rsidR="000A3EB6" w:rsidRDefault="003059F9">
            <w:pPr>
              <w:spacing w:before="240"/>
            </w:pPr>
            <w:hyperlink r:id="rId12" w:history="1">
              <w:r w:rsidR="00530AD3">
                <w:rPr>
                  <w:rStyle w:val="Hyperlink"/>
                  <w:color w:val="auto"/>
                </w:rPr>
                <w:t>https://www.gov.uk/service-manual/agile-delivery/spend-controls-check-if-you-need-approval-to-spend-money-on-a-service</w:t>
              </w:r>
            </w:hyperlink>
          </w:p>
        </w:tc>
      </w:tr>
    </w:tbl>
    <w:p w14:paraId="7B6EDCAE" w14:textId="77777777" w:rsidR="00FC0D36" w:rsidRDefault="00FC0D36">
      <w:pPr>
        <w:pStyle w:val="Heading3"/>
        <w:rPr>
          <w:color w:val="auto"/>
        </w:rPr>
      </w:pPr>
    </w:p>
    <w:p w14:paraId="29AEB8C8" w14:textId="77777777" w:rsidR="00FC0D36" w:rsidRDefault="00FC0D36">
      <w:pPr>
        <w:pStyle w:val="Heading3"/>
        <w:rPr>
          <w:color w:val="auto"/>
        </w:rPr>
      </w:pPr>
    </w:p>
    <w:p w14:paraId="5173E341" w14:textId="77777777" w:rsidR="00FC0D36" w:rsidRDefault="00FC0D36">
      <w:pPr>
        <w:pStyle w:val="Heading3"/>
        <w:rPr>
          <w:color w:val="auto"/>
        </w:rPr>
      </w:pPr>
    </w:p>
    <w:p w14:paraId="04799F32" w14:textId="77777777" w:rsidR="00FC0D36" w:rsidRDefault="00FC0D36">
      <w:pPr>
        <w:suppressAutoHyphens w:val="0"/>
        <w:rPr>
          <w:sz w:val="28"/>
          <w:szCs w:val="28"/>
        </w:rPr>
      </w:pPr>
      <w:r>
        <w:br w:type="page"/>
      </w:r>
    </w:p>
    <w:p w14:paraId="30FA029D" w14:textId="60D27259" w:rsidR="000A3EB6" w:rsidRDefault="00530AD3">
      <w:pPr>
        <w:pStyle w:val="Heading3"/>
        <w:rPr>
          <w:color w:val="auto"/>
        </w:rPr>
      </w:pPr>
      <w:r>
        <w:rPr>
          <w:color w:val="auto"/>
        </w:rPr>
        <w:lastRenderedPageBreak/>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A3EB6" w14:paraId="1BD8B6B8" w14:textId="77777777" w:rsidTr="35657C9F">
        <w:trPr>
          <w:trHeight w:val="3600"/>
        </w:trPr>
        <w:tc>
          <w:tcPr>
            <w:tcW w:w="2606" w:type="dxa"/>
            <w:tcBorders>
              <w:top w:val="single" w:sz="12"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CD8323" w14:textId="77777777" w:rsidR="000A3EB6" w:rsidRDefault="00530AD3">
            <w:pPr>
              <w:spacing w:before="240"/>
              <w:rPr>
                <w:b/>
              </w:rPr>
            </w:pPr>
            <w:r>
              <w:rPr>
                <w:b/>
              </w:rPr>
              <w:t>G-Cloud services required</w:t>
            </w:r>
          </w:p>
        </w:tc>
        <w:tc>
          <w:tcPr>
            <w:tcW w:w="6289" w:type="dxa"/>
            <w:gridSpan w:val="2"/>
            <w:tcBorders>
              <w:top w:val="single" w:sz="12" w:space="0" w:color="auto"/>
              <w:bottom w:val="single" w:sz="8" w:space="0" w:color="000000" w:themeColor="text1"/>
              <w:right w:val="single" w:sz="8" w:space="0" w:color="000000" w:themeColor="text1"/>
            </w:tcBorders>
            <w:tcMar>
              <w:top w:w="100" w:type="dxa"/>
              <w:left w:w="100" w:type="dxa"/>
              <w:bottom w:w="100" w:type="dxa"/>
              <w:right w:w="100" w:type="dxa"/>
            </w:tcMar>
          </w:tcPr>
          <w:p w14:paraId="1489A334" w14:textId="77777777" w:rsidR="00F503D4" w:rsidRPr="006C20B0" w:rsidRDefault="00F503D4" w:rsidP="00F503D4">
            <w:pPr>
              <w:rPr>
                <w:rFonts w:eastAsia="Helvetica Neue"/>
              </w:rPr>
            </w:pPr>
            <w:r w:rsidRPr="006C20B0">
              <w:rPr>
                <w:rFonts w:eastAsia="Helvetica Neue"/>
              </w:rPr>
              <w:t>The Services to be provided by the Supplier are listed in Framework Section 2 and outlined below, the Specification</w:t>
            </w:r>
            <w:r>
              <w:rPr>
                <w:rFonts w:eastAsia="Helvetica Neue"/>
              </w:rPr>
              <w:t>.</w:t>
            </w:r>
            <w:bookmarkStart w:id="3" w:name="_1ksv4uv" w:colFirst="0" w:colLast="0"/>
            <w:bookmarkEnd w:id="3"/>
            <w:r>
              <w:rPr>
                <w:rFonts w:eastAsia="Helvetica Neue"/>
              </w:rPr>
              <w:t xml:space="preserve"> </w:t>
            </w:r>
          </w:p>
          <w:p w14:paraId="7F46BDAE" w14:textId="77777777" w:rsidR="00F503D4" w:rsidRDefault="00F503D4" w:rsidP="00F503D4">
            <w:pPr>
              <w:tabs>
                <w:tab w:val="left" w:pos="-720"/>
              </w:tabs>
              <w:spacing w:line="240" w:lineRule="auto"/>
              <w:rPr>
                <w:rStyle w:val="normaltextrun"/>
                <w:rFonts w:eastAsiaTheme="minorHAnsi"/>
              </w:rPr>
            </w:pPr>
          </w:p>
          <w:p w14:paraId="5B29E901" w14:textId="77777777" w:rsidR="000671EE" w:rsidRPr="000671EE" w:rsidRDefault="000671EE" w:rsidP="000671EE">
            <w:pPr>
              <w:tabs>
                <w:tab w:val="left" w:pos="-720"/>
              </w:tabs>
              <w:spacing w:line="240" w:lineRule="auto"/>
            </w:pPr>
            <w:r w:rsidRPr="000671EE">
              <w:t>The service provider will be required to provide specialist digital analysis and project management services to support Industrial Energy Directorate Projects, including:</w:t>
            </w:r>
          </w:p>
          <w:p w14:paraId="71DCACB1" w14:textId="77777777" w:rsidR="000671EE" w:rsidRPr="000671EE" w:rsidRDefault="000671EE" w:rsidP="000671EE">
            <w:pPr>
              <w:numPr>
                <w:ilvl w:val="0"/>
                <w:numId w:val="39"/>
              </w:numPr>
              <w:tabs>
                <w:tab w:val="left" w:pos="-720"/>
              </w:tabs>
              <w:spacing w:line="240" w:lineRule="auto"/>
            </w:pPr>
            <w:r w:rsidRPr="000671EE">
              <w:t>Ensure that permitting, monitoring, reporting and verification (PMRV) system outcomes are aligned with service vision and business strategy by contributing to the link between current and future PMRV business models and delivering to the business architecture.</w:t>
            </w:r>
          </w:p>
          <w:p w14:paraId="39DA00A1" w14:textId="77777777" w:rsidR="000671EE" w:rsidRPr="000671EE" w:rsidRDefault="000671EE" w:rsidP="000671EE">
            <w:pPr>
              <w:numPr>
                <w:ilvl w:val="0"/>
                <w:numId w:val="39"/>
              </w:numPr>
              <w:tabs>
                <w:tab w:val="left" w:pos="-720"/>
              </w:tabs>
              <w:spacing w:line="240" w:lineRule="auto"/>
            </w:pPr>
            <w:r w:rsidRPr="000671EE">
              <w:t xml:space="preserve">Working closely with </w:t>
            </w:r>
            <w:r w:rsidRPr="000671EE">
              <w:rPr>
                <w:b/>
                <w:bCs/>
              </w:rPr>
              <w:t xml:space="preserve">stakeholders </w:t>
            </w:r>
            <w:r w:rsidRPr="000671EE">
              <w:t>in requirements gathering, solution design, configuration, testing, user acceptance, implementation, and documentation for the PMRV system.</w:t>
            </w:r>
          </w:p>
          <w:p w14:paraId="7B5703EA" w14:textId="77777777" w:rsidR="000671EE" w:rsidRPr="000671EE" w:rsidRDefault="000671EE" w:rsidP="000671EE">
            <w:pPr>
              <w:numPr>
                <w:ilvl w:val="0"/>
                <w:numId w:val="39"/>
              </w:numPr>
              <w:tabs>
                <w:tab w:val="left" w:pos="-720"/>
              </w:tabs>
              <w:spacing w:line="240" w:lineRule="auto"/>
            </w:pPr>
            <w:r w:rsidRPr="000671EE">
              <w:t xml:space="preserve">Ensure IT products are built to an appropriate level of quality for the stage of the project (Alpha/beta/production) </w:t>
            </w:r>
            <w:r w:rsidRPr="000671EE">
              <w:rPr>
                <w:b/>
                <w:bCs/>
              </w:rPr>
              <w:t>and meet agile delivery standards</w:t>
            </w:r>
            <w:r w:rsidRPr="000671EE">
              <w:t>.</w:t>
            </w:r>
          </w:p>
          <w:p w14:paraId="543E29A2" w14:textId="77777777" w:rsidR="000671EE" w:rsidRPr="000671EE" w:rsidRDefault="000671EE" w:rsidP="000671EE">
            <w:pPr>
              <w:numPr>
                <w:ilvl w:val="0"/>
                <w:numId w:val="39"/>
              </w:numPr>
              <w:tabs>
                <w:tab w:val="left" w:pos="-720"/>
              </w:tabs>
              <w:spacing w:line="240" w:lineRule="auto"/>
            </w:pPr>
            <w:r w:rsidRPr="000671EE">
              <w:t xml:space="preserve">Manage </w:t>
            </w:r>
            <w:r w:rsidRPr="000671EE">
              <w:rPr>
                <w:b/>
                <w:bCs/>
              </w:rPr>
              <w:t>digital delivery strategy</w:t>
            </w:r>
            <w:r w:rsidRPr="000671EE">
              <w:t xml:space="preserve">, with a clear set of objectives, </w:t>
            </w:r>
            <w:proofErr w:type="gramStart"/>
            <w:r w:rsidRPr="000671EE">
              <w:t>benefits</w:t>
            </w:r>
            <w:proofErr w:type="gramEnd"/>
            <w:r w:rsidRPr="000671EE">
              <w:t xml:space="preserve"> and governance, and develop a programme plan.</w:t>
            </w:r>
          </w:p>
          <w:p w14:paraId="6FD00EFB" w14:textId="77777777" w:rsidR="000671EE" w:rsidRPr="000671EE" w:rsidRDefault="000671EE" w:rsidP="000671EE">
            <w:pPr>
              <w:numPr>
                <w:ilvl w:val="0"/>
                <w:numId w:val="39"/>
              </w:numPr>
              <w:tabs>
                <w:tab w:val="left" w:pos="-720"/>
              </w:tabs>
              <w:spacing w:line="240" w:lineRule="auto"/>
            </w:pPr>
            <w:r w:rsidRPr="000671EE">
              <w:t xml:space="preserve">Develop and manage </w:t>
            </w:r>
            <w:r w:rsidRPr="000671EE">
              <w:rPr>
                <w:b/>
                <w:bCs/>
              </w:rPr>
              <w:t>operational readiness strategies</w:t>
            </w:r>
            <w:r w:rsidRPr="000671EE">
              <w:t xml:space="preserve"> to ensure all delivery partners and stakeholders are ready to deliver.</w:t>
            </w:r>
          </w:p>
          <w:p w14:paraId="1BDB98F0" w14:textId="77777777" w:rsidR="000671EE" w:rsidRPr="000671EE" w:rsidRDefault="000671EE" w:rsidP="000671EE">
            <w:pPr>
              <w:numPr>
                <w:ilvl w:val="0"/>
                <w:numId w:val="39"/>
              </w:numPr>
              <w:tabs>
                <w:tab w:val="left" w:pos="-720"/>
              </w:tabs>
              <w:spacing w:line="240" w:lineRule="auto"/>
            </w:pPr>
            <w:r w:rsidRPr="000671EE">
              <w:t xml:space="preserve">Working with projects to agree and collect an </w:t>
            </w:r>
            <w:r w:rsidRPr="000671EE">
              <w:rPr>
                <w:b/>
                <w:bCs/>
              </w:rPr>
              <w:t xml:space="preserve">appropriate and timely set of </w:t>
            </w:r>
            <w:proofErr w:type="gramStart"/>
            <w:r w:rsidRPr="000671EE">
              <w:rPr>
                <w:b/>
                <w:bCs/>
              </w:rPr>
              <w:t>MI</w:t>
            </w:r>
            <w:proofErr w:type="gramEnd"/>
            <w:r w:rsidRPr="000671EE">
              <w:t xml:space="preserve"> so that the SROs can effectively manage the programme and assess whether the programme is meeting/ contributing to the necessary overarching objectives including carbon budgets and trajectory to net zero;</w:t>
            </w:r>
          </w:p>
          <w:p w14:paraId="193EDE09" w14:textId="4CFEA475" w:rsidR="000A3EB6" w:rsidRDefault="000671EE" w:rsidP="00F503D4">
            <w:pPr>
              <w:numPr>
                <w:ilvl w:val="0"/>
                <w:numId w:val="39"/>
              </w:numPr>
              <w:tabs>
                <w:tab w:val="left" w:pos="-720"/>
              </w:tabs>
              <w:spacing w:line="240" w:lineRule="auto"/>
            </w:pPr>
            <w:r w:rsidRPr="000671EE">
              <w:t xml:space="preserve">Co-ordinating the Directorate’s responses and input into </w:t>
            </w:r>
            <w:r w:rsidRPr="000671EE">
              <w:rPr>
                <w:b/>
                <w:bCs/>
              </w:rPr>
              <w:t>business planning processes</w:t>
            </w:r>
            <w:r w:rsidRPr="000671EE">
              <w:t xml:space="preserve">, </w:t>
            </w:r>
            <w:proofErr w:type="gramStart"/>
            <w:r w:rsidRPr="000671EE">
              <w:t>reviews</w:t>
            </w:r>
            <w:proofErr w:type="gramEnd"/>
            <w:r w:rsidRPr="000671EE">
              <w:t xml:space="preserve"> and initiatives (such as Budget, Spending Reviews, the Net Zero Cost Review, carbon budgets).</w:t>
            </w:r>
          </w:p>
        </w:tc>
      </w:tr>
      <w:tr w:rsidR="000A3EB6" w14:paraId="22057022" w14:textId="77777777" w:rsidTr="35657C9F">
        <w:trPr>
          <w:trHeight w:val="1422"/>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3B8DDF" w14:textId="77777777" w:rsidR="000A3EB6" w:rsidRDefault="00530AD3">
            <w:pPr>
              <w:spacing w:before="240"/>
              <w:rPr>
                <w:b/>
              </w:rPr>
            </w:pPr>
            <w:r>
              <w:rPr>
                <w:b/>
              </w:rPr>
              <w:t>Location</w:t>
            </w:r>
          </w:p>
        </w:tc>
        <w:tc>
          <w:tcPr>
            <w:tcW w:w="6289"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14:paraId="18C6E9D6" w14:textId="53BD166B" w:rsidR="000A3EB6" w:rsidRDefault="00530AD3" w:rsidP="00AB61E3">
            <w:pPr>
              <w:spacing w:before="240"/>
            </w:pPr>
            <w:r w:rsidRPr="00AB61E3">
              <w:t xml:space="preserve">The Services will be delivered to </w:t>
            </w:r>
            <w:r w:rsidR="006A442A" w:rsidRPr="00AB61E3">
              <w:t>the Department for Business Energy and Industrial Strategy offices</w:t>
            </w:r>
            <w:r w:rsidR="00EC3289" w:rsidRPr="00AB61E3">
              <w:t>, 1</w:t>
            </w:r>
            <w:r w:rsidR="00AB61E3" w:rsidRPr="00AB61E3">
              <w:t xml:space="preserve"> Victoria Street,</w:t>
            </w:r>
            <w:r w:rsidR="00F503D4">
              <w:t xml:space="preserve"> </w:t>
            </w:r>
            <w:r w:rsidR="00AB61E3" w:rsidRPr="00AB61E3">
              <w:t>London SW1H0ET unless otherwise stated in the specification</w:t>
            </w:r>
            <w:r w:rsidRPr="00AB61E3">
              <w:t>.</w:t>
            </w:r>
          </w:p>
        </w:tc>
      </w:tr>
      <w:tr w:rsidR="000A3EB6" w14:paraId="530FA5AF" w14:textId="77777777" w:rsidTr="35657C9F">
        <w:trPr>
          <w:trHeight w:val="7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AB9FD0" w14:textId="77777777" w:rsidR="000A3EB6" w:rsidRDefault="00530AD3">
            <w:pPr>
              <w:spacing w:before="240"/>
              <w:rPr>
                <w:b/>
              </w:rPr>
            </w:pPr>
            <w:r>
              <w:rPr>
                <w:b/>
              </w:rPr>
              <w:t>Quality standards</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0AA7B85B" w14:textId="351D59D9" w:rsidR="000A3EB6" w:rsidRDefault="00530AD3" w:rsidP="00AB61E3">
            <w:pPr>
              <w:spacing w:before="240"/>
            </w:pPr>
            <w:r>
              <w:t xml:space="preserve">The quality standards required for this Call-Off Contract are </w:t>
            </w:r>
            <w:r w:rsidR="00AB61E3">
              <w:t>as listed in the specification.</w:t>
            </w:r>
          </w:p>
        </w:tc>
        <w:tc>
          <w:tcPr>
            <w:tcW w:w="46" w:type="dxa"/>
          </w:tcPr>
          <w:p w14:paraId="5F5821A5" w14:textId="77777777" w:rsidR="000A3EB6" w:rsidRDefault="000A3EB6">
            <w:pPr>
              <w:spacing w:before="240"/>
            </w:pPr>
          </w:p>
        </w:tc>
      </w:tr>
      <w:tr w:rsidR="000A3EB6" w14:paraId="487AC935" w14:textId="77777777" w:rsidTr="35657C9F">
        <w:trPr>
          <w:trHeight w:val="887"/>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541640" w14:textId="77777777" w:rsidR="000A3EB6" w:rsidRDefault="00530AD3">
            <w:pPr>
              <w:spacing w:before="240"/>
              <w:rPr>
                <w:b/>
              </w:rPr>
            </w:pPr>
            <w:r>
              <w:rPr>
                <w:b/>
              </w:rPr>
              <w:t>Technical standards:</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9AB813" w14:textId="68BEECF3" w:rsidR="000A3EB6" w:rsidRDefault="00530AD3" w:rsidP="002F4023">
            <w:pPr>
              <w:spacing w:before="240"/>
            </w:pPr>
            <w:r>
              <w:t>The technical standards used as a requirement for this Call-Off Contract ar</w:t>
            </w:r>
            <w:r w:rsidR="00AB61E3">
              <w:t>e as listed in the specification</w:t>
            </w:r>
            <w:r w:rsidR="002F4023">
              <w:t>.</w:t>
            </w:r>
          </w:p>
        </w:tc>
        <w:tc>
          <w:tcPr>
            <w:tcW w:w="46" w:type="dxa"/>
          </w:tcPr>
          <w:p w14:paraId="2994B1EE" w14:textId="77777777" w:rsidR="000A3EB6" w:rsidRDefault="000A3EB6">
            <w:pPr>
              <w:spacing w:before="240"/>
            </w:pPr>
          </w:p>
        </w:tc>
      </w:tr>
      <w:tr w:rsidR="000A3EB6" w14:paraId="1C851D2C" w14:textId="77777777" w:rsidTr="35657C9F">
        <w:trPr>
          <w:trHeight w:val="19"/>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37ED32" w14:textId="77777777" w:rsidR="000A3EB6" w:rsidRDefault="00530AD3">
            <w:pPr>
              <w:spacing w:before="240"/>
              <w:rPr>
                <w:b/>
              </w:rPr>
            </w:pPr>
            <w:r>
              <w:rPr>
                <w:b/>
              </w:rPr>
              <w:lastRenderedPageBreak/>
              <w:t>Limit on Parties’ liability</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9345C5" w14:textId="075561BA" w:rsidR="000A3EB6" w:rsidRDefault="00530AD3">
            <w:pPr>
              <w:spacing w:before="240"/>
            </w:pPr>
            <w:r>
              <w:t>The annual total liability of either Party for all Property Defaults will not exceed</w:t>
            </w:r>
            <w:r w:rsidR="002F4023">
              <w:t xml:space="preserve"> £1</w:t>
            </w:r>
            <w:r w:rsidR="004258C8">
              <w:t>million.</w:t>
            </w:r>
          </w:p>
          <w:p w14:paraId="24E86FA8" w14:textId="1D552214" w:rsidR="000A3EB6" w:rsidRDefault="00530AD3">
            <w:pPr>
              <w:spacing w:before="240"/>
            </w:pPr>
            <w:r>
              <w:t xml:space="preserve">The annual total liability for Buyer Data Defaults will not exceed </w:t>
            </w:r>
            <w:r w:rsidR="005555C4">
              <w:t xml:space="preserve">£1million </w:t>
            </w:r>
            <w:r>
              <w:t xml:space="preserve">or </w:t>
            </w:r>
            <w:r w:rsidR="009D0501">
              <w:t>150</w:t>
            </w:r>
            <w:r>
              <w:rPr>
                <w:b/>
              </w:rPr>
              <w:t xml:space="preserve">% </w:t>
            </w:r>
            <w:r w:rsidR="009D0501">
              <w:rPr>
                <w:b/>
              </w:rPr>
              <w:t>o</w:t>
            </w:r>
            <w:r>
              <w:t>f the Charges payable by the Buyer to the Supplier during the Call-Off Contract Term (whichever is the greater).</w:t>
            </w:r>
          </w:p>
          <w:p w14:paraId="060981EC" w14:textId="37D3829F" w:rsidR="00FC0D36" w:rsidRDefault="00530AD3" w:rsidP="001239D9">
            <w:pPr>
              <w:spacing w:before="240"/>
            </w:pPr>
            <w:r>
              <w:t xml:space="preserve">The annual total liability for all other Defaults will not exceed the greater of </w:t>
            </w:r>
            <w:r w:rsidR="001B5528">
              <w:t xml:space="preserve">£1million </w:t>
            </w:r>
            <w:r>
              <w:t xml:space="preserve">or </w:t>
            </w:r>
            <w:r w:rsidR="001B5528">
              <w:t>150</w:t>
            </w:r>
            <w:r w:rsidR="001239D9">
              <w:t xml:space="preserve">% </w:t>
            </w:r>
            <w:r>
              <w:t>of the Charges payable by the Buyer to the Supplier during the Call-Off Contract Term (whichever is the greater).</w:t>
            </w:r>
          </w:p>
        </w:tc>
        <w:tc>
          <w:tcPr>
            <w:tcW w:w="46" w:type="dxa"/>
          </w:tcPr>
          <w:p w14:paraId="35C9DF37" w14:textId="77777777" w:rsidR="000A3EB6" w:rsidRDefault="000A3EB6">
            <w:pPr>
              <w:spacing w:before="240"/>
            </w:pPr>
          </w:p>
        </w:tc>
      </w:tr>
      <w:tr w:rsidR="000A3EB6" w14:paraId="43287204" w14:textId="77777777" w:rsidTr="35657C9F">
        <w:trPr>
          <w:trHeight w:val="4174"/>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BCEBEA" w14:textId="77777777" w:rsidR="000A3EB6" w:rsidRDefault="00530AD3">
            <w:pPr>
              <w:spacing w:before="240"/>
              <w:rPr>
                <w:b/>
              </w:rPr>
            </w:pPr>
            <w:r>
              <w:rPr>
                <w:b/>
              </w:rPr>
              <w:t>Insurance</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1FB33C10" w14:textId="77777777" w:rsidR="000A3EB6" w:rsidRDefault="00530AD3">
            <w:pPr>
              <w:spacing w:before="240"/>
            </w:pPr>
            <w:r>
              <w:t>The insurance(s) required will be:</w:t>
            </w:r>
          </w:p>
          <w:p w14:paraId="3A13F34D" w14:textId="6A755615" w:rsidR="000A3EB6" w:rsidRDefault="00530AD3">
            <w:pPr>
              <w:numPr>
                <w:ilvl w:val="0"/>
                <w:numId w:val="6"/>
              </w:numPr>
            </w:pPr>
            <w:r>
              <w:rPr>
                <w:sz w:val="14"/>
                <w:szCs w:val="14"/>
              </w:rPr>
              <w:t xml:space="preserve"> </w:t>
            </w:r>
            <w:r>
              <w:t>a minimum insurance period of 6 years</w:t>
            </w:r>
            <w:r w:rsidR="00E97D06">
              <w:t xml:space="preserve"> </w:t>
            </w:r>
            <w:r>
              <w:t>following the expiration or Ending of this Call-Off Contract</w:t>
            </w:r>
          </w:p>
          <w:p w14:paraId="2A69A15F" w14:textId="361E1471" w:rsidR="000A3EB6" w:rsidRDefault="00530AD3">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06F1BF6" w14:textId="22A0E7D7" w:rsidR="000A3EB6" w:rsidRDefault="00530AD3" w:rsidP="00E97D06">
            <w:pPr>
              <w:numPr>
                <w:ilvl w:val="0"/>
                <w:numId w:val="6"/>
              </w:numPr>
            </w:pPr>
            <w:r>
              <w:rPr>
                <w:sz w:val="14"/>
                <w:szCs w:val="14"/>
              </w:rPr>
              <w:t xml:space="preserve"> </w:t>
            </w:r>
            <w:r>
              <w:t>employers' liability insurance with a minimum limit of £5,000,000 or any higher minimum limit required by Law</w:t>
            </w:r>
          </w:p>
        </w:tc>
        <w:tc>
          <w:tcPr>
            <w:tcW w:w="46" w:type="dxa"/>
          </w:tcPr>
          <w:p w14:paraId="2190981E" w14:textId="77777777" w:rsidR="000A3EB6" w:rsidRDefault="000A3EB6">
            <w:pPr>
              <w:spacing w:before="240"/>
            </w:pPr>
          </w:p>
        </w:tc>
      </w:tr>
      <w:tr w:rsidR="000A3EB6" w14:paraId="415610A2" w14:textId="77777777" w:rsidTr="35657C9F">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AAE95C" w14:textId="77777777" w:rsidR="000A3EB6" w:rsidRDefault="00530AD3">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72319" w14:textId="4C24354D" w:rsidR="000A3EB6" w:rsidRDefault="00530AD3">
            <w:pPr>
              <w:spacing w:before="240"/>
            </w:pPr>
            <w:r>
              <w:t>A Party may End this Call-Off Contract if the Other Party is affected by a Force Majeure Event that lasts for more than</w:t>
            </w:r>
            <w:r w:rsidR="001239D9">
              <w:t xml:space="preserve"> </w:t>
            </w:r>
            <w:r w:rsidR="79968398">
              <w:t>30</w:t>
            </w:r>
            <w:r w:rsidR="001239D9">
              <w:t xml:space="preserve"> </w:t>
            </w:r>
            <w:r>
              <w:t>consecutive days.</w:t>
            </w:r>
          </w:p>
          <w:p w14:paraId="369A4429" w14:textId="4404B643" w:rsidR="000A3EB6" w:rsidRDefault="000A3EB6">
            <w:pPr>
              <w:spacing w:before="240"/>
            </w:pPr>
          </w:p>
        </w:tc>
        <w:tc>
          <w:tcPr>
            <w:tcW w:w="46" w:type="dxa"/>
          </w:tcPr>
          <w:p w14:paraId="5735ADB6" w14:textId="77777777" w:rsidR="000A3EB6" w:rsidRDefault="000A3EB6">
            <w:pPr>
              <w:spacing w:before="240"/>
            </w:pPr>
          </w:p>
        </w:tc>
      </w:tr>
      <w:tr w:rsidR="000A3EB6" w14:paraId="4687F242" w14:textId="77777777" w:rsidTr="35657C9F">
        <w:trPr>
          <w:trHeight w:val="2009"/>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C8F7D0" w14:textId="77777777" w:rsidR="000A3EB6" w:rsidRDefault="00530AD3">
            <w:pPr>
              <w:spacing w:before="240"/>
              <w:rPr>
                <w:b/>
              </w:rPr>
            </w:pPr>
            <w:r>
              <w:rPr>
                <w:b/>
              </w:rPr>
              <w:t>Audit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41D79BB0" w14:textId="4537EE95" w:rsidR="00792397" w:rsidRDefault="00226059" w:rsidP="00792397">
            <w:pPr>
              <w:spacing w:before="240"/>
            </w:pPr>
            <w:r>
              <w:t>A</w:t>
            </w:r>
            <w:r w:rsidR="00530AD3">
              <w:t>udit provisions will be incorporated under clause 2.1 of this Call-Off Contract to enable the Buyer to carry out audits</w:t>
            </w:r>
            <w:r>
              <w:t>.</w:t>
            </w:r>
            <w:r w:rsidR="00530AD3">
              <w:t xml:space="preserve"> </w:t>
            </w:r>
          </w:p>
          <w:p w14:paraId="077C8077" w14:textId="50B38CFC" w:rsidR="000A3EB6" w:rsidRDefault="000A3EB6">
            <w:pPr>
              <w:spacing w:before="240"/>
            </w:pPr>
          </w:p>
        </w:tc>
        <w:tc>
          <w:tcPr>
            <w:tcW w:w="46" w:type="dxa"/>
          </w:tcPr>
          <w:p w14:paraId="4E58FA52" w14:textId="77777777" w:rsidR="000A3EB6" w:rsidRDefault="000A3EB6">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rsidTr="12819995">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70D5F3" w14:textId="77777777" w:rsidR="000A3EB6" w:rsidRDefault="00530AD3">
            <w:pPr>
              <w:spacing w:before="240"/>
              <w:rPr>
                <w:b/>
              </w:rPr>
            </w:pPr>
            <w:r>
              <w:rPr>
                <w:b/>
              </w:rPr>
              <w:lastRenderedPageBreak/>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rsidTr="12819995">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19F0FE" w14:textId="77777777" w:rsidR="000A3EB6" w:rsidRDefault="00530AD3">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46FF7" w14:textId="77777777" w:rsidR="009B6F68" w:rsidRDefault="00530AD3">
            <w:pPr>
              <w:spacing w:before="240"/>
            </w:pPr>
            <w:r>
              <w:t xml:space="preserve">The payment profile for this Call-Off Contract is </w:t>
            </w:r>
            <w:r w:rsidR="00351264">
              <w:t>that payment will be made following completion of the contract</w:t>
            </w:r>
            <w:r w:rsidR="009B6F68">
              <w:t>.</w:t>
            </w:r>
          </w:p>
          <w:p w14:paraId="3A4580EB" w14:textId="0CFADA46" w:rsidR="009B6F68" w:rsidRDefault="009B6F68">
            <w:pPr>
              <w:spacing w:before="240"/>
            </w:pPr>
            <w:r>
              <w:t xml:space="preserve">Payments may also be made on completion of </w:t>
            </w:r>
            <w:r w:rsidR="00FC0DD6">
              <w:t>milestones or monthly as listed in the specification.</w:t>
            </w:r>
          </w:p>
          <w:p w14:paraId="12853AE7" w14:textId="66CD7AC6" w:rsidR="000A3EB6" w:rsidRDefault="000A3EB6">
            <w:pPr>
              <w:spacing w:before="240"/>
            </w:pPr>
          </w:p>
        </w:tc>
      </w:tr>
      <w:tr w:rsidR="000A3EB6" w14:paraId="3B18F891" w14:textId="77777777" w:rsidTr="12819995">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C3434" w14:textId="77777777" w:rsidR="00DD63E9" w:rsidRDefault="00530AD3">
            <w:pPr>
              <w:spacing w:before="240"/>
            </w:pPr>
            <w:r>
              <w:t xml:space="preserve">Invoices will be sent </w:t>
            </w:r>
            <w:proofErr w:type="gramStart"/>
            <w:r>
              <w:t>to</w:t>
            </w:r>
            <w:r w:rsidR="00DD63E9">
              <w:t>;</w:t>
            </w:r>
            <w:proofErr w:type="gramEnd"/>
          </w:p>
          <w:p w14:paraId="5AF39863" w14:textId="77777777" w:rsidR="00DD63E9" w:rsidRDefault="00DD63E9" w:rsidP="00DD63E9">
            <w:pPr>
              <w:spacing w:after="120" w:line="240" w:lineRule="auto"/>
            </w:pPr>
          </w:p>
          <w:p w14:paraId="6B18BC89" w14:textId="0212B7B9" w:rsidR="00DD63E9" w:rsidRPr="00472FE9" w:rsidRDefault="00DD63E9" w:rsidP="00DD63E9">
            <w:pPr>
              <w:spacing w:after="120" w:line="240" w:lineRule="auto"/>
            </w:pPr>
            <w:r w:rsidRPr="00472FE9">
              <w:t xml:space="preserve">Name: </w:t>
            </w:r>
            <w:r w:rsidR="001828BB" w:rsidRPr="001828BB">
              <w:t>[redacted]</w:t>
            </w:r>
          </w:p>
          <w:p w14:paraId="2F05CD01" w14:textId="70F3558B" w:rsidR="00DD63E9" w:rsidRPr="00472FE9" w:rsidRDefault="00DD63E9" w:rsidP="00DD63E9">
            <w:pPr>
              <w:spacing w:after="120" w:line="240" w:lineRule="auto"/>
            </w:pPr>
            <w:r w:rsidRPr="00472FE9">
              <w:t xml:space="preserve">Email: </w:t>
            </w:r>
            <w:r w:rsidR="001828BB" w:rsidRPr="001828BB">
              <w:t>[redacted]</w:t>
            </w:r>
          </w:p>
          <w:p w14:paraId="529862F3" w14:textId="39542165" w:rsidR="000A3EB6" w:rsidRDefault="00DD63E9" w:rsidP="00DD63E9">
            <w:pPr>
              <w:spacing w:after="120" w:line="360" w:lineRule="auto"/>
            </w:pPr>
            <w:r w:rsidRPr="00472FE9">
              <w:t xml:space="preserve">Phone: </w:t>
            </w:r>
            <w:r w:rsidR="001828BB" w:rsidRPr="001828BB">
              <w:t>[redacted]</w:t>
            </w:r>
          </w:p>
        </w:tc>
      </w:tr>
      <w:tr w:rsidR="000A3EB6" w14:paraId="2788B086" w14:textId="77777777" w:rsidTr="12819995">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722599C3" w14:textId="70098195" w:rsidR="00387F39" w:rsidRDefault="002251F1" w:rsidP="12819995">
            <w:pPr>
              <w:spacing w:before="240"/>
            </w:pPr>
            <w:r>
              <w:t>TRN</w:t>
            </w:r>
            <w:r w:rsidR="7C73C62F">
              <w:t xml:space="preserve"> </w:t>
            </w:r>
            <w:r w:rsidR="7C73C62F" w:rsidRPr="12819995">
              <w:rPr>
                <w:b/>
                <w:bCs/>
                <w:color w:val="000000" w:themeColor="text1"/>
              </w:rPr>
              <w:t>5327/09/2021</w:t>
            </w:r>
          </w:p>
        </w:tc>
      </w:tr>
      <w:tr w:rsidR="000A3EB6" w14:paraId="59C59D5E" w14:textId="77777777" w:rsidTr="12819995">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0AA76B" w14:textId="1D1E9CCC" w:rsidR="000A3EB6" w:rsidRDefault="00530AD3">
            <w:pPr>
              <w:spacing w:before="240"/>
            </w:pPr>
            <w:r>
              <w:t>The total value of this Call-Off Contract is</w:t>
            </w:r>
            <w:r w:rsidR="060759E1">
              <w:t xml:space="preserve"> </w:t>
            </w:r>
            <w:r w:rsidR="007B503A">
              <w:t>£</w:t>
            </w:r>
            <w:r w:rsidR="00EB3CEC">
              <w:t>1,000,000</w:t>
            </w:r>
            <w:r w:rsidR="060759E1">
              <w:t xml:space="preserve"> excluding VAT</w:t>
            </w:r>
          </w:p>
        </w:tc>
      </w:tr>
    </w:tbl>
    <w:p w14:paraId="30854DE4" w14:textId="3E0916A4" w:rsidR="000A3EB6" w:rsidRDefault="000A3EB6"/>
    <w:p w14:paraId="7DB65EE7" w14:textId="5863AF24" w:rsidR="004C2E56" w:rsidRDefault="004C2E56"/>
    <w:p w14:paraId="546945EB" w14:textId="1A85FD8B" w:rsidR="000A3EB6" w:rsidRDefault="00530AD3" w:rsidP="00AD33A8">
      <w:pPr>
        <w:pStyle w:val="Heading3"/>
      </w:pPr>
      <w:r>
        <w:rPr>
          <w:color w:val="auto"/>
        </w:rPr>
        <w:t>Additional Buyer terms</w:t>
      </w:r>
      <w:r>
        <w:t xml:space="preserve"> </w:t>
      </w:r>
    </w:p>
    <w:p w14:paraId="287D17C1" w14:textId="6205151D" w:rsidR="00AD33A8" w:rsidRDefault="00AD33A8" w:rsidP="00AD33A8"/>
    <w:tbl>
      <w:tblPr>
        <w:tblpPr w:leftFromText="180" w:rightFromText="180" w:vertAnchor="text" w:horzAnchor="page" w:tblpX="1303" w:tblpY="18"/>
        <w:tblW w:w="8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6079"/>
      </w:tblGrid>
      <w:tr w:rsidR="004C2E56" w:rsidRPr="0080403F" w14:paraId="2D1018A9" w14:textId="77777777" w:rsidTr="001828BB">
        <w:tc>
          <w:tcPr>
            <w:tcW w:w="2655" w:type="dxa"/>
          </w:tcPr>
          <w:p w14:paraId="315D9873" w14:textId="77777777" w:rsidR="004C2E56" w:rsidRPr="0080403F" w:rsidRDefault="004C2E56" w:rsidP="00F503D4">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6079" w:type="dxa"/>
          </w:tcPr>
          <w:p w14:paraId="6EAE3ABB" w14:textId="77777777" w:rsidR="004C2E56" w:rsidRPr="00FF254A" w:rsidRDefault="004C2E56" w:rsidP="00F503D4">
            <w:pPr>
              <w:spacing w:line="240" w:lineRule="auto"/>
              <w:rPr>
                <w:rFonts w:eastAsia="Helvetica Neue"/>
              </w:rPr>
            </w:pPr>
            <w:r w:rsidRPr="00FF254A">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w:t>
            </w:r>
            <w:proofErr w:type="gramStart"/>
            <w:r w:rsidRPr="00FF254A">
              <w:t>Energy</w:t>
            </w:r>
            <w:proofErr w:type="gramEnd"/>
            <w:r w:rsidRPr="00FF254A">
              <w:t xml:space="preserve"> and Industrial Strategy</w:t>
            </w:r>
            <w:r>
              <w:t>.</w:t>
            </w:r>
          </w:p>
        </w:tc>
      </w:tr>
    </w:tbl>
    <w:p w14:paraId="7807D6BE" w14:textId="5FC635BA" w:rsidR="00AD33A8" w:rsidRDefault="00AD33A8" w:rsidP="00AD33A8"/>
    <w:p w14:paraId="794FC591" w14:textId="77777777" w:rsidR="00AD33A8" w:rsidRPr="00AD33A8" w:rsidRDefault="00AD33A8" w:rsidP="00AD33A8"/>
    <w:p w14:paraId="5B74B8B0" w14:textId="77777777" w:rsidR="001828BB" w:rsidRDefault="001828BB">
      <w:pPr>
        <w:pStyle w:val="Heading3"/>
        <w:rPr>
          <w:color w:val="auto"/>
        </w:rPr>
      </w:pPr>
    </w:p>
    <w:p w14:paraId="0E8D8342" w14:textId="77777777" w:rsidR="001828BB" w:rsidRDefault="001828BB">
      <w:pPr>
        <w:pStyle w:val="Heading3"/>
        <w:rPr>
          <w:color w:val="auto"/>
        </w:rPr>
      </w:pPr>
    </w:p>
    <w:p w14:paraId="40A65159" w14:textId="77777777" w:rsidR="001828BB" w:rsidRDefault="001828BB">
      <w:pPr>
        <w:pStyle w:val="Heading3"/>
        <w:rPr>
          <w:color w:val="auto"/>
        </w:rPr>
      </w:pPr>
    </w:p>
    <w:p w14:paraId="65AC238F" w14:textId="6BE80F78" w:rsidR="000A3EB6" w:rsidRDefault="00530AD3">
      <w:pPr>
        <w:pStyle w:val="Heading3"/>
        <w:rPr>
          <w:color w:val="auto"/>
        </w:rPr>
      </w:pPr>
      <w:r>
        <w:rPr>
          <w:color w:val="auto"/>
        </w:rPr>
        <w:t>1</w:t>
      </w:r>
      <w:r w:rsidR="001828BB">
        <w:rPr>
          <w:color w:val="auto"/>
        </w:rPr>
        <w:t xml:space="preserve">. </w:t>
      </w:r>
      <w:r>
        <w:rPr>
          <w:color w:val="auto"/>
        </w:rPr>
        <w:t>Formation of contract</w:t>
      </w:r>
    </w:p>
    <w:p w14:paraId="17DD00F7" w14:textId="77777777" w:rsidR="000A3EB6" w:rsidRDefault="00530AD3">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47AB94F" w14:textId="77777777" w:rsidR="000A3EB6" w:rsidRDefault="000A3EB6">
      <w:pPr>
        <w:ind w:firstLine="720"/>
      </w:pPr>
    </w:p>
    <w:p w14:paraId="4323BA4E" w14:textId="77777777" w:rsidR="000A3EB6" w:rsidRDefault="00530AD3">
      <w:pPr>
        <w:ind w:left="720" w:hanging="720"/>
      </w:pPr>
      <w:r>
        <w:lastRenderedPageBreak/>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0D06" w14:textId="77777777" w:rsidR="000A3EB6" w:rsidRDefault="00530AD3">
            <w:pPr>
              <w:spacing w:before="240"/>
            </w:pPr>
            <w:r>
              <w:t>Buyer</w:t>
            </w:r>
          </w:p>
        </w:tc>
      </w:tr>
      <w:tr w:rsidR="00E97D06" w14:paraId="4A4731B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135D" w14:textId="77777777" w:rsidR="00E97D06" w:rsidRDefault="00E97D06" w:rsidP="00E97D06">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BABD" w14:textId="50E141D2" w:rsidR="00E97D06" w:rsidRDefault="001828BB" w:rsidP="00E97D06">
            <w:pPr>
              <w:spacing w:before="240"/>
            </w:pPr>
            <w:r w:rsidRPr="001828BB">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8CA56" w14:textId="321851AB" w:rsidR="00E97D06" w:rsidRDefault="001828BB" w:rsidP="00E97D06">
            <w:pPr>
              <w:spacing w:before="240"/>
            </w:pPr>
            <w:r w:rsidRPr="001828BB">
              <w:t>[redacted]</w:t>
            </w:r>
          </w:p>
        </w:tc>
      </w:tr>
      <w:tr w:rsidR="00E97D06" w14:paraId="39779CB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FA1A" w14:textId="77777777" w:rsidR="00E97D06" w:rsidRDefault="00E97D06" w:rsidP="00E97D06">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67424" w14:textId="59CC26B2" w:rsidR="00E97D06" w:rsidRDefault="001828BB" w:rsidP="00E97D06">
            <w:pPr>
              <w:spacing w:before="240"/>
            </w:pPr>
            <w:r w:rsidRPr="001828BB">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4180" w14:textId="61C7ADEC" w:rsidR="00E97D06" w:rsidRDefault="001828BB" w:rsidP="00E97D06">
            <w:pPr>
              <w:spacing w:before="240"/>
            </w:pPr>
            <w:r w:rsidRPr="001828BB">
              <w:t>[redacted]</w:t>
            </w:r>
          </w:p>
        </w:tc>
      </w:tr>
      <w:tr w:rsidR="000A3EB6" w14:paraId="32A78C4B"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07C1" w14:textId="07F5607F" w:rsidR="000A3EB6" w:rsidRDefault="001828BB">
            <w:r w:rsidRPr="001828BB">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66FB" w14:textId="25C66906" w:rsidR="000A3EB6" w:rsidRDefault="000A3EB6">
            <w:pPr>
              <w:widowControl w:val="0"/>
            </w:pPr>
          </w:p>
        </w:tc>
      </w:tr>
      <w:tr w:rsidR="000A3EB6" w14:paraId="184EED7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98BFA" w14:textId="48B0F78E"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BE862" w14:textId="79F1B4C6" w:rsidR="000A3EB6" w:rsidRDefault="000A3EB6">
            <w:pPr>
              <w:spacing w:before="240"/>
            </w:pPr>
          </w:p>
        </w:tc>
      </w:tr>
    </w:tbl>
    <w:p w14:paraId="26F8BD5B" w14:textId="77777777" w:rsidR="000A3EB6" w:rsidRDefault="00530AD3">
      <w:pPr>
        <w:spacing w:before="240"/>
        <w:rPr>
          <w:b/>
        </w:rPr>
      </w:pPr>
      <w:r>
        <w:rPr>
          <w:b/>
        </w:rPr>
        <w:t xml:space="preserve"> </w:t>
      </w:r>
    </w:p>
    <w:p w14:paraId="2F851EB5" w14:textId="77777777" w:rsidR="000A3EB6" w:rsidRDefault="00530AD3">
      <w:pPr>
        <w:pStyle w:val="Heading2"/>
      </w:pPr>
      <w:bookmarkStart w:id="4" w:name="_Toc33176233"/>
      <w:r>
        <w:t>Schedule 1: Services</w:t>
      </w:r>
      <w:bookmarkEnd w:id="4"/>
    </w:p>
    <w:p w14:paraId="115695A1" w14:textId="74F2D714" w:rsidR="000A3EB6" w:rsidRDefault="00177F0C">
      <w:pPr>
        <w:spacing w:before="240"/>
        <w:rPr>
          <w:b/>
        </w:rPr>
      </w:pPr>
      <w:r>
        <w:t>The services required are as listed in the supplier</w:t>
      </w:r>
      <w:r w:rsidR="002251F1">
        <w:t>’</w:t>
      </w:r>
      <w:r>
        <w:t>s proposal.</w:t>
      </w:r>
    </w:p>
    <w:p w14:paraId="41B7060C" w14:textId="77777777" w:rsidR="000A3EB6" w:rsidRDefault="00530AD3">
      <w:pPr>
        <w:pStyle w:val="Heading2"/>
      </w:pPr>
      <w:bookmarkStart w:id="5" w:name="_Toc33176234"/>
      <w:r>
        <w:t>Schedule 2: Call-Off Contract charges</w:t>
      </w:r>
      <w:bookmarkEnd w:id="5"/>
    </w:p>
    <w:p w14:paraId="4197B86B" w14:textId="00207836" w:rsidR="000A3EB6" w:rsidRDefault="008C3653" w:rsidP="00177F0C">
      <w:r>
        <w:t>The Call off contract charges are as listed in the supplier</w:t>
      </w:r>
      <w:r w:rsidR="002E19E3">
        <w:t>’</w:t>
      </w:r>
      <w:r>
        <w:t xml:space="preserve">s </w:t>
      </w:r>
      <w:proofErr w:type="gramStart"/>
      <w:r w:rsidR="00310008">
        <w:t>proposal;</w:t>
      </w:r>
      <w:proofErr w:type="gramEnd"/>
    </w:p>
    <w:p w14:paraId="4954E3F2" w14:textId="58B98DC9" w:rsidR="00412D5B" w:rsidRDefault="00412D5B" w:rsidP="00177F0C"/>
    <w:p w14:paraId="36731939" w14:textId="70F0A41C" w:rsidR="002251F1" w:rsidRDefault="002251F1" w:rsidP="002251F1">
      <w:pPr>
        <w:numPr>
          <w:ilvl w:val="0"/>
          <w:numId w:val="38"/>
        </w:numPr>
        <w:suppressAutoHyphens w:val="0"/>
        <w:autoSpaceDN/>
        <w:spacing w:after="240" w:line="240" w:lineRule="auto"/>
        <w:textAlignment w:val="auto"/>
        <w:rPr>
          <w:rFonts w:eastAsia="Calibri"/>
          <w:noProof/>
        </w:rPr>
      </w:pPr>
      <w:r>
        <w:rPr>
          <w:rFonts w:eastAsia="Calibri"/>
          <w:noProof/>
        </w:rPr>
        <w:t xml:space="preserve">the suppliers proposal, text file; </w:t>
      </w:r>
      <w:r w:rsidR="001828BB" w:rsidRPr="001828BB">
        <w:t>[redacted]</w:t>
      </w:r>
    </w:p>
    <w:p w14:paraId="472F9998" w14:textId="77777777" w:rsidR="00DB6DEE" w:rsidRDefault="00DB6DEE" w:rsidP="00DB6DEE">
      <w:pPr>
        <w:suppressAutoHyphens w:val="0"/>
        <w:autoSpaceDN/>
        <w:spacing w:after="240" w:line="240" w:lineRule="auto"/>
        <w:ind w:left="770"/>
        <w:textAlignment w:val="auto"/>
        <w:rPr>
          <w:rFonts w:eastAsia="Calibri"/>
          <w:noProof/>
        </w:rPr>
      </w:pPr>
    </w:p>
    <w:p w14:paraId="0646EB08" w14:textId="77777777" w:rsidR="000A3EB6" w:rsidRDefault="000A3EB6">
      <w:pPr>
        <w:rPr>
          <w:sz w:val="32"/>
          <w:szCs w:val="32"/>
        </w:rPr>
      </w:pPr>
    </w:p>
    <w:p w14:paraId="69B335F2" w14:textId="77777777" w:rsidR="000A3EB6" w:rsidRDefault="000A3EB6">
      <w:pPr>
        <w:rPr>
          <w:sz w:val="32"/>
          <w:szCs w:val="32"/>
        </w:rPr>
      </w:pPr>
    </w:p>
    <w:p w14:paraId="1B296CEB" w14:textId="77777777" w:rsidR="000A3EB6" w:rsidRDefault="000A3EB6">
      <w:bookmarkStart w:id="6" w:name="_Toc33176235"/>
    </w:p>
    <w:p w14:paraId="1F442B58" w14:textId="77777777" w:rsidR="000A3EB6" w:rsidRDefault="00530AD3">
      <w:pPr>
        <w:pStyle w:val="Heading2"/>
        <w:pageBreakBefore/>
      </w:pPr>
      <w:r>
        <w:lastRenderedPageBreak/>
        <w:t>Part B: Terms and conditions</w:t>
      </w:r>
      <w:bookmarkEnd w:id="6"/>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pPr>
        <w:pStyle w:val="ListParagraph"/>
        <w:numPr>
          <w:ilvl w:val="0"/>
          <w:numId w:val="9"/>
        </w:numPr>
      </w:pPr>
      <w:r>
        <w:rPr>
          <w:sz w:val="14"/>
          <w:szCs w:val="14"/>
        </w:rPr>
        <w:t xml:space="preserve"> </w:t>
      </w:r>
      <w:r>
        <w:t>4.1 (Warranties and representations)</w:t>
      </w:r>
    </w:p>
    <w:p w14:paraId="34C47862" w14:textId="77777777" w:rsidR="000A3EB6" w:rsidRDefault="00530AD3">
      <w:pPr>
        <w:pStyle w:val="ListParagraph"/>
        <w:numPr>
          <w:ilvl w:val="0"/>
          <w:numId w:val="9"/>
        </w:numPr>
      </w:pPr>
      <w:r>
        <w:t>4.2 to 4.7 (Liability)</w:t>
      </w:r>
    </w:p>
    <w:p w14:paraId="704B26C2" w14:textId="77777777" w:rsidR="000A3EB6" w:rsidRDefault="00530AD3">
      <w:pPr>
        <w:pStyle w:val="ListParagraph"/>
        <w:numPr>
          <w:ilvl w:val="0"/>
          <w:numId w:val="9"/>
        </w:numPr>
      </w:pPr>
      <w:r>
        <w:t>4.11 to 4.12 (IR35)</w:t>
      </w:r>
    </w:p>
    <w:p w14:paraId="0E1AD48B" w14:textId="77777777" w:rsidR="000A3EB6" w:rsidRDefault="00530AD3">
      <w:pPr>
        <w:pStyle w:val="ListParagraph"/>
        <w:numPr>
          <w:ilvl w:val="0"/>
          <w:numId w:val="9"/>
        </w:numPr>
      </w:pPr>
      <w:r>
        <w:t>5.4 to 5.5 (Force majeure)</w:t>
      </w:r>
    </w:p>
    <w:p w14:paraId="365899E9" w14:textId="77777777" w:rsidR="000A3EB6" w:rsidRDefault="00530AD3">
      <w:pPr>
        <w:pStyle w:val="ListParagraph"/>
        <w:numPr>
          <w:ilvl w:val="0"/>
          <w:numId w:val="9"/>
        </w:numPr>
      </w:pPr>
      <w:r>
        <w:t>5.8 (Continuing rights)</w:t>
      </w:r>
    </w:p>
    <w:p w14:paraId="00154914" w14:textId="77777777" w:rsidR="000A3EB6" w:rsidRDefault="00530AD3">
      <w:pPr>
        <w:pStyle w:val="ListParagraph"/>
        <w:numPr>
          <w:ilvl w:val="0"/>
          <w:numId w:val="9"/>
        </w:numPr>
      </w:pPr>
      <w:r>
        <w:t>5.9 to 5.11 (Change of control)</w:t>
      </w:r>
    </w:p>
    <w:p w14:paraId="4BA1380A" w14:textId="77777777" w:rsidR="000A3EB6" w:rsidRDefault="00530AD3">
      <w:pPr>
        <w:pStyle w:val="ListParagraph"/>
        <w:numPr>
          <w:ilvl w:val="0"/>
          <w:numId w:val="9"/>
        </w:numPr>
      </w:pPr>
      <w:r>
        <w:t>5.12 (Fraud)</w:t>
      </w:r>
    </w:p>
    <w:p w14:paraId="02EFC52F" w14:textId="77777777" w:rsidR="000A3EB6" w:rsidRDefault="00530AD3">
      <w:pPr>
        <w:pStyle w:val="ListParagraph"/>
        <w:numPr>
          <w:ilvl w:val="0"/>
          <w:numId w:val="9"/>
        </w:numPr>
      </w:pPr>
      <w:r>
        <w:t>5.13 (Notice of fraud)</w:t>
      </w:r>
    </w:p>
    <w:p w14:paraId="436C4C41" w14:textId="77777777" w:rsidR="000A3EB6" w:rsidRDefault="00530AD3">
      <w:pPr>
        <w:pStyle w:val="ListParagraph"/>
        <w:numPr>
          <w:ilvl w:val="0"/>
          <w:numId w:val="9"/>
        </w:numPr>
      </w:pPr>
      <w:r>
        <w:t>7.1 to 7.2 (Transparency)</w:t>
      </w:r>
    </w:p>
    <w:p w14:paraId="2CB62B97" w14:textId="77777777" w:rsidR="000A3EB6" w:rsidRDefault="00530AD3">
      <w:pPr>
        <w:pStyle w:val="ListParagraph"/>
        <w:numPr>
          <w:ilvl w:val="0"/>
          <w:numId w:val="9"/>
        </w:numPr>
      </w:pPr>
      <w:r>
        <w:t>8.3 (Order of precedence)</w:t>
      </w:r>
    </w:p>
    <w:p w14:paraId="63B2FF65" w14:textId="77777777" w:rsidR="000A3EB6" w:rsidRDefault="00530AD3">
      <w:pPr>
        <w:pStyle w:val="ListParagraph"/>
        <w:numPr>
          <w:ilvl w:val="0"/>
          <w:numId w:val="9"/>
        </w:numPr>
      </w:pPr>
      <w:r>
        <w:t>8.6 (Relationship)</w:t>
      </w:r>
    </w:p>
    <w:p w14:paraId="64FCA0BA" w14:textId="77777777" w:rsidR="000A3EB6" w:rsidRDefault="00530AD3">
      <w:pPr>
        <w:pStyle w:val="ListParagraph"/>
        <w:numPr>
          <w:ilvl w:val="0"/>
          <w:numId w:val="9"/>
        </w:numPr>
      </w:pPr>
      <w:r>
        <w:t>8.9 to 8.11 (Entire agreement)</w:t>
      </w:r>
    </w:p>
    <w:p w14:paraId="4AAEF402" w14:textId="77777777" w:rsidR="000A3EB6" w:rsidRDefault="00530AD3">
      <w:pPr>
        <w:pStyle w:val="ListParagraph"/>
        <w:numPr>
          <w:ilvl w:val="0"/>
          <w:numId w:val="9"/>
        </w:numPr>
      </w:pPr>
      <w:r>
        <w:t>8.12 (Law and jurisdiction)</w:t>
      </w:r>
    </w:p>
    <w:p w14:paraId="34D3D4E8" w14:textId="77777777" w:rsidR="000A3EB6" w:rsidRDefault="00530AD3">
      <w:pPr>
        <w:pStyle w:val="ListParagraph"/>
        <w:numPr>
          <w:ilvl w:val="0"/>
          <w:numId w:val="9"/>
        </w:numPr>
      </w:pPr>
      <w:r>
        <w:t>8.13 to 8.14 (Legislative change)</w:t>
      </w:r>
    </w:p>
    <w:p w14:paraId="3D9B9C80" w14:textId="77777777" w:rsidR="000A3EB6" w:rsidRDefault="00530AD3">
      <w:pPr>
        <w:pStyle w:val="ListParagraph"/>
        <w:numPr>
          <w:ilvl w:val="0"/>
          <w:numId w:val="9"/>
        </w:numPr>
      </w:pPr>
      <w:r>
        <w:t>8.15 to 8.19 (Bribery and corruption)</w:t>
      </w:r>
    </w:p>
    <w:p w14:paraId="15CFBAA3" w14:textId="77777777" w:rsidR="000A3EB6" w:rsidRDefault="00530AD3">
      <w:pPr>
        <w:pStyle w:val="ListParagraph"/>
        <w:numPr>
          <w:ilvl w:val="0"/>
          <w:numId w:val="9"/>
        </w:numPr>
      </w:pPr>
      <w:r>
        <w:t>8.20 to 8.29 (Freedom of Information Act)</w:t>
      </w:r>
    </w:p>
    <w:p w14:paraId="5D37B46A" w14:textId="77777777" w:rsidR="000A3EB6" w:rsidRDefault="00530AD3">
      <w:pPr>
        <w:pStyle w:val="ListParagraph"/>
        <w:numPr>
          <w:ilvl w:val="0"/>
          <w:numId w:val="9"/>
        </w:numPr>
      </w:pPr>
      <w:r>
        <w:t>8.30 to 8.31 (Promoting tax compliance)</w:t>
      </w:r>
    </w:p>
    <w:p w14:paraId="3D111F00" w14:textId="77777777" w:rsidR="000A3EB6" w:rsidRDefault="00530AD3">
      <w:pPr>
        <w:pStyle w:val="ListParagraph"/>
        <w:numPr>
          <w:ilvl w:val="0"/>
          <w:numId w:val="9"/>
        </w:numPr>
      </w:pPr>
      <w:r>
        <w:t>8.32 to 8.33 (Official Secrets Act)</w:t>
      </w:r>
    </w:p>
    <w:p w14:paraId="54DF0A55" w14:textId="77777777" w:rsidR="000A3EB6" w:rsidRDefault="00530AD3">
      <w:pPr>
        <w:pStyle w:val="ListParagraph"/>
        <w:numPr>
          <w:ilvl w:val="0"/>
          <w:numId w:val="9"/>
        </w:numPr>
      </w:pPr>
      <w:r>
        <w:t>8.34 to 8.37 (Transfer and subcontracting)</w:t>
      </w:r>
    </w:p>
    <w:p w14:paraId="0B9C35B9" w14:textId="77777777" w:rsidR="000A3EB6" w:rsidRDefault="00530AD3">
      <w:pPr>
        <w:pStyle w:val="ListParagraph"/>
        <w:numPr>
          <w:ilvl w:val="0"/>
          <w:numId w:val="9"/>
        </w:numPr>
      </w:pPr>
      <w:r>
        <w:t>8.40 to 8.43 (Complaints handling and resolution)</w:t>
      </w:r>
    </w:p>
    <w:p w14:paraId="02C5C1B1" w14:textId="77777777" w:rsidR="000A3EB6" w:rsidRDefault="00530AD3">
      <w:pPr>
        <w:pStyle w:val="ListParagraph"/>
        <w:numPr>
          <w:ilvl w:val="0"/>
          <w:numId w:val="9"/>
        </w:numPr>
      </w:pPr>
      <w:r>
        <w:t>8.44 to 8.50 (Conflicts of interest and ethical walls)</w:t>
      </w:r>
    </w:p>
    <w:p w14:paraId="77A461B7" w14:textId="77777777" w:rsidR="000A3EB6" w:rsidRDefault="00530AD3">
      <w:pPr>
        <w:pStyle w:val="ListParagraph"/>
        <w:numPr>
          <w:ilvl w:val="0"/>
          <w:numId w:val="9"/>
        </w:numPr>
      </w:pPr>
      <w:r>
        <w:t>8.51 to 8.53 (Publicity and branding)</w:t>
      </w:r>
    </w:p>
    <w:p w14:paraId="78458F15" w14:textId="77777777" w:rsidR="000A3EB6" w:rsidRDefault="00530AD3">
      <w:pPr>
        <w:pStyle w:val="ListParagraph"/>
        <w:numPr>
          <w:ilvl w:val="0"/>
          <w:numId w:val="9"/>
        </w:numPr>
      </w:pPr>
      <w:r>
        <w:t>8.54 to 8.56 (Equality and diversity)</w:t>
      </w:r>
    </w:p>
    <w:p w14:paraId="1F8F153D" w14:textId="77777777" w:rsidR="000A3EB6" w:rsidRDefault="00530AD3">
      <w:pPr>
        <w:pStyle w:val="ListParagraph"/>
        <w:numPr>
          <w:ilvl w:val="0"/>
          <w:numId w:val="9"/>
        </w:numPr>
      </w:pPr>
      <w:r>
        <w:t>8.59 to 8.60 (Data protection</w:t>
      </w:r>
    </w:p>
    <w:p w14:paraId="4F2E7B55" w14:textId="77777777" w:rsidR="000A3EB6" w:rsidRDefault="00530AD3">
      <w:pPr>
        <w:pStyle w:val="ListParagraph"/>
        <w:numPr>
          <w:ilvl w:val="0"/>
          <w:numId w:val="9"/>
        </w:numPr>
      </w:pPr>
      <w:r>
        <w:t>8.64 to 8.65 (Severability)</w:t>
      </w:r>
    </w:p>
    <w:p w14:paraId="453E523B" w14:textId="77777777" w:rsidR="000A3EB6" w:rsidRDefault="00530AD3">
      <w:pPr>
        <w:pStyle w:val="ListParagraph"/>
        <w:numPr>
          <w:ilvl w:val="0"/>
          <w:numId w:val="9"/>
        </w:numPr>
      </w:pPr>
      <w:r>
        <w:lastRenderedPageBreak/>
        <w:t>8.66 to 8.69 (Managing disputes and Mediation)</w:t>
      </w:r>
    </w:p>
    <w:p w14:paraId="02E57FEC" w14:textId="77777777" w:rsidR="000A3EB6" w:rsidRDefault="00530AD3">
      <w:pPr>
        <w:pStyle w:val="ListParagraph"/>
        <w:numPr>
          <w:ilvl w:val="0"/>
          <w:numId w:val="9"/>
        </w:numPr>
      </w:pPr>
      <w:r>
        <w:t>8.80 to 8.88 (Confidentiality)</w:t>
      </w:r>
    </w:p>
    <w:p w14:paraId="39693616" w14:textId="77777777" w:rsidR="000A3EB6" w:rsidRDefault="00530AD3">
      <w:pPr>
        <w:pStyle w:val="ListParagraph"/>
        <w:numPr>
          <w:ilvl w:val="0"/>
          <w:numId w:val="9"/>
        </w:numPr>
      </w:pPr>
      <w:r>
        <w:t>8.89 to 8.90 (Waiver and cumulative remedies)</w:t>
      </w:r>
    </w:p>
    <w:p w14:paraId="144CAA10" w14:textId="77777777" w:rsidR="000A3EB6" w:rsidRDefault="00530AD3">
      <w:pPr>
        <w:pStyle w:val="ListParagraph"/>
        <w:numPr>
          <w:ilvl w:val="0"/>
          <w:numId w:val="9"/>
        </w:numPr>
      </w:pPr>
      <w:r>
        <w:t>8.91 to 8.101 (Corporate Social Responsibility)</w:t>
      </w:r>
    </w:p>
    <w:p w14:paraId="5C24D78A" w14:textId="77777777" w:rsidR="000A3EB6" w:rsidRDefault="00530AD3">
      <w:pPr>
        <w:pStyle w:val="ListParagraph"/>
        <w:numPr>
          <w:ilvl w:val="0"/>
          <w:numId w:val="9"/>
        </w:numPr>
      </w:pPr>
      <w:r>
        <w:t>paragraphs 1 to 10 of the Framework Agreement glossary and interpretation</w:t>
      </w:r>
    </w:p>
    <w:p w14:paraId="0C6DBE06" w14:textId="77777777" w:rsidR="000A3EB6" w:rsidRDefault="00530AD3">
      <w:pPr>
        <w:pStyle w:val="ListParagraph"/>
        <w:numPr>
          <w:ilvl w:val="0"/>
          <w:numId w:val="10"/>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 xml:space="preserve">be appropriately experienced, </w:t>
      </w:r>
      <w:proofErr w:type="gramStart"/>
      <w:r>
        <w:t>qualified</w:t>
      </w:r>
      <w:proofErr w:type="gramEnd"/>
      <w:r>
        <w:t xml:space="preserve"> and trained to supply the Services</w:t>
      </w:r>
    </w:p>
    <w:p w14:paraId="087A6248" w14:textId="77777777" w:rsidR="000A3EB6" w:rsidRDefault="000A3EB6"/>
    <w:p w14:paraId="5A190978" w14:textId="77777777" w:rsidR="000A3EB6" w:rsidRDefault="00530AD3">
      <w:pPr>
        <w:ind w:firstLine="720"/>
      </w:pPr>
      <w:r>
        <w:t>4.1.2</w:t>
      </w:r>
      <w:r>
        <w:tab/>
        <w:t xml:space="preserve">apply all due skill, </w:t>
      </w:r>
      <w:proofErr w:type="gramStart"/>
      <w:r>
        <w:t>care</w:t>
      </w:r>
      <w:proofErr w:type="gramEnd"/>
      <w:r>
        <w:t xml:space="preserv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 xml:space="preserve">Both Parties agree that when </w:t>
      </w:r>
      <w:proofErr w:type="gramStart"/>
      <w:r>
        <w:t>entering into</w:t>
      </w:r>
      <w:proofErr w:type="gramEnd"/>
      <w:r>
        <w:t xml:space="preserve">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 xml:space="preserve">have </w:t>
      </w:r>
      <w:proofErr w:type="gramStart"/>
      <w:r>
        <w:t>entered into</w:t>
      </w:r>
      <w:proofErr w:type="gramEnd"/>
      <w:r>
        <w:t xml:space="preserve">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Unless otherwise specified in this Call-Off Contract, a Party will not acquire any right, title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the use of data supplied by the Buyer which the Supplier isn’t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The Supplier will not store or use Buyer Data except if necessary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3" w:history="1">
        <w:r>
          <w:rPr>
            <w:u w:val="single"/>
          </w:rPr>
          <w:t xml:space="preserve"> </w:t>
        </w:r>
      </w:hyperlink>
    </w:p>
    <w:p w14:paraId="58E615C4" w14:textId="77777777" w:rsidR="000A3EB6" w:rsidRDefault="003059F9">
      <w:pPr>
        <w:ind w:left="1440"/>
      </w:pPr>
      <w:hyperlink r:id="rId14"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3059F9">
      <w:pPr>
        <w:ind w:left="720" w:firstLine="720"/>
      </w:pPr>
      <w:hyperlink r:id="rId15"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6" w:history="1">
        <w:r>
          <w:rPr>
            <w:u w:val="single"/>
          </w:rPr>
          <w:t xml:space="preserve"> </w:t>
        </w:r>
      </w:hyperlink>
    </w:p>
    <w:p w14:paraId="31411073" w14:textId="77777777" w:rsidR="000A3EB6" w:rsidRDefault="003059F9">
      <w:pPr>
        <w:ind w:left="720" w:firstLine="720"/>
      </w:pPr>
      <w:hyperlink r:id="rId17"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3059F9">
      <w:pPr>
        <w:ind w:left="720" w:firstLine="720"/>
      </w:pPr>
      <w:hyperlink r:id="rId18"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3059F9">
      <w:pPr>
        <w:ind w:left="1440"/>
      </w:pPr>
      <w:hyperlink r:id="rId19"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74ECE164" w14:textId="77777777" w:rsidR="000A3EB6" w:rsidRDefault="003059F9">
      <w:pPr>
        <w:ind w:left="720" w:firstLine="720"/>
      </w:pPr>
      <w:hyperlink r:id="rId21"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540411FB" w14:textId="77777777" w:rsidR="000A3EB6" w:rsidRDefault="003059F9">
      <w:pPr>
        <w:ind w:left="720"/>
      </w:pPr>
      <w:hyperlink r:id="rId23"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5769121E" w14:textId="77777777" w:rsidR="000A3EB6" w:rsidRDefault="003059F9">
      <w:pPr>
        <w:ind w:left="720"/>
      </w:pPr>
      <w:hyperlink r:id="rId25"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A Party who isn’t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pPr>
        <w:pStyle w:val="ListParagraph"/>
        <w:numPr>
          <w:ilvl w:val="1"/>
          <w:numId w:val="10"/>
        </w:numPr>
      </w:pPr>
      <w:r>
        <w:t>7 (Payment, VAT and Call-Off Contract charges)</w:t>
      </w:r>
    </w:p>
    <w:p w14:paraId="78DFAF8D" w14:textId="77777777" w:rsidR="000A3EB6" w:rsidRDefault="00530AD3">
      <w:pPr>
        <w:pStyle w:val="ListParagraph"/>
        <w:numPr>
          <w:ilvl w:val="1"/>
          <w:numId w:val="10"/>
        </w:numPr>
      </w:pPr>
      <w:r>
        <w:t>8 (Recovery of sums due and right of set-off)</w:t>
      </w:r>
    </w:p>
    <w:p w14:paraId="385EBCAB" w14:textId="77777777" w:rsidR="000A3EB6" w:rsidRDefault="00530AD3">
      <w:pPr>
        <w:pStyle w:val="ListParagraph"/>
        <w:numPr>
          <w:ilvl w:val="1"/>
          <w:numId w:val="10"/>
        </w:numPr>
      </w:pPr>
      <w:r>
        <w:t>9 (Insurance)</w:t>
      </w:r>
    </w:p>
    <w:p w14:paraId="2578BD1F" w14:textId="77777777" w:rsidR="000A3EB6" w:rsidRDefault="00530AD3">
      <w:pPr>
        <w:pStyle w:val="ListParagraph"/>
        <w:numPr>
          <w:ilvl w:val="1"/>
          <w:numId w:val="10"/>
        </w:numPr>
      </w:pPr>
      <w:r>
        <w:t>10 (Confidentiality)</w:t>
      </w:r>
    </w:p>
    <w:p w14:paraId="23FC0F4D" w14:textId="77777777" w:rsidR="000A3EB6" w:rsidRDefault="00530AD3">
      <w:pPr>
        <w:pStyle w:val="ListParagraph"/>
        <w:numPr>
          <w:ilvl w:val="1"/>
          <w:numId w:val="10"/>
        </w:numPr>
      </w:pPr>
      <w:r>
        <w:t>11 (Intellectual property rights)</w:t>
      </w:r>
    </w:p>
    <w:p w14:paraId="17E3C9ED" w14:textId="77777777" w:rsidR="000A3EB6" w:rsidRDefault="00530AD3">
      <w:pPr>
        <w:pStyle w:val="ListParagraph"/>
        <w:numPr>
          <w:ilvl w:val="1"/>
          <w:numId w:val="10"/>
        </w:numPr>
      </w:pPr>
      <w:r>
        <w:t>12 (Protection of information)</w:t>
      </w:r>
    </w:p>
    <w:p w14:paraId="18C6517B" w14:textId="77777777" w:rsidR="000A3EB6" w:rsidRDefault="00530AD3">
      <w:pPr>
        <w:pStyle w:val="ListParagraph"/>
        <w:numPr>
          <w:ilvl w:val="1"/>
          <w:numId w:val="10"/>
        </w:numPr>
      </w:pPr>
      <w:r>
        <w:t>13 (Buyer data)</w:t>
      </w:r>
    </w:p>
    <w:p w14:paraId="0B30A0FF" w14:textId="77777777" w:rsidR="000A3EB6" w:rsidRDefault="00530AD3">
      <w:pPr>
        <w:pStyle w:val="ListParagraph"/>
        <w:numPr>
          <w:ilvl w:val="1"/>
          <w:numId w:val="10"/>
        </w:numPr>
      </w:pPr>
      <w:r>
        <w:t>19 (Consequences of suspension, ending and expiry)</w:t>
      </w:r>
    </w:p>
    <w:p w14:paraId="639D0AC9" w14:textId="77777777" w:rsidR="000A3EB6" w:rsidRDefault="00530AD3">
      <w:pPr>
        <w:pStyle w:val="ListParagraph"/>
        <w:numPr>
          <w:ilvl w:val="1"/>
          <w:numId w:val="10"/>
        </w:numPr>
      </w:pPr>
      <w:r>
        <w:t>24 (Liability); incorporated Framework Agreement clauses: 4.2 to 4.7 (Liability)</w:t>
      </w:r>
    </w:p>
    <w:p w14:paraId="1AB3AB0C" w14:textId="77777777" w:rsidR="000A3EB6" w:rsidRDefault="00530AD3">
      <w:pPr>
        <w:pStyle w:val="ListParagraph"/>
        <w:numPr>
          <w:ilvl w:val="1"/>
          <w:numId w:val="10"/>
        </w:numPr>
      </w:pPr>
      <w:r>
        <w:t>8.44 to 8.50 (Conflicts of interest and ethical walls)</w:t>
      </w:r>
    </w:p>
    <w:p w14:paraId="79B59FA8" w14:textId="77777777" w:rsidR="000A3EB6" w:rsidRDefault="00530AD3">
      <w:pPr>
        <w:pStyle w:val="ListParagraph"/>
        <w:numPr>
          <w:ilvl w:val="1"/>
          <w:numId w:val="10"/>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4A9C185" w14:textId="77777777" w:rsidR="000A3EB6" w:rsidRDefault="000A3EB6">
      <w:pPr>
        <w:ind w:left="720" w:hanging="720"/>
      </w:pPr>
    </w:p>
    <w:p w14:paraId="7F71B8DF" w14:textId="77777777" w:rsidR="000A3EB6" w:rsidRDefault="00530AD3">
      <w:pPr>
        <w:pStyle w:val="ListParagraph"/>
        <w:numPr>
          <w:ilvl w:val="0"/>
          <w:numId w:val="11"/>
        </w:numPr>
        <w:spacing w:after="120" w:line="360" w:lineRule="auto"/>
      </w:pPr>
      <w:r>
        <w:t>Manner of delivery: email</w:t>
      </w:r>
    </w:p>
    <w:p w14:paraId="48CE2DA2" w14:textId="77777777" w:rsidR="000A3EB6" w:rsidRDefault="00530AD3">
      <w:pPr>
        <w:pStyle w:val="ListParagraph"/>
        <w:numPr>
          <w:ilvl w:val="0"/>
          <w:numId w:val="11"/>
        </w:numPr>
        <w:spacing w:line="360" w:lineRule="auto"/>
      </w:pPr>
      <w:r>
        <w:t>Deemed time of delivery: 9am on the first Working Day after sending</w:t>
      </w:r>
    </w:p>
    <w:p w14:paraId="28B98BFA" w14:textId="77777777" w:rsidR="000A3EB6" w:rsidRDefault="00530AD3">
      <w:pPr>
        <w:pStyle w:val="ListParagraph"/>
        <w:numPr>
          <w:ilvl w:val="0"/>
          <w:numId w:val="11"/>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 xml:space="preserve">it enables the Buyer to meet its obligations under the Technology Code </w:t>
      </w:r>
      <w:proofErr w:type="gramStart"/>
      <w:r>
        <w:t>Of</w:t>
      </w:r>
      <w:proofErr w:type="gramEnd"/>
      <w:r>
        <w:t xml:space="preserve">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 xml:space="preserve">salary, </w:t>
      </w:r>
      <w:proofErr w:type="gramStart"/>
      <w:r>
        <w:t>benefits</w:t>
      </w:r>
      <w:proofErr w:type="gramEnd"/>
      <w:r>
        <w:t xml:space="preserve">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The Buyer can request in writing a change to this Call-Off Contract if it isn’t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7" w:name="_Toc33176237"/>
      <w:r>
        <w:t>Schedule 4: Alternative clauses</w:t>
      </w:r>
      <w:bookmarkEnd w:id="7"/>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04767C74" w14:textId="77777777" w:rsidR="000A3EB6" w:rsidRDefault="000A3EB6">
      <w:pPr>
        <w:ind w:left="1440"/>
      </w:pPr>
    </w:p>
    <w:p w14:paraId="50910F2F" w14:textId="77777777" w:rsidR="000A3EB6" w:rsidRDefault="00530AD3">
      <w:pPr>
        <w:pStyle w:val="ListParagraph"/>
        <w:numPr>
          <w:ilvl w:val="0"/>
          <w:numId w:val="13"/>
        </w:numPr>
      </w:pPr>
      <w:r>
        <w:t>Employment (Northern Ireland) Order 2002</w:t>
      </w:r>
    </w:p>
    <w:p w14:paraId="68005BE2" w14:textId="77777777" w:rsidR="000A3EB6" w:rsidRDefault="00530AD3">
      <w:pPr>
        <w:pStyle w:val="ListParagraph"/>
        <w:numPr>
          <w:ilvl w:val="0"/>
          <w:numId w:val="13"/>
        </w:numPr>
      </w:pPr>
      <w:r>
        <w:t>Fair Employment and Treatment (Northern Ireland) Order 1998</w:t>
      </w:r>
    </w:p>
    <w:p w14:paraId="70D1D6D3" w14:textId="77777777" w:rsidR="000A3EB6" w:rsidRDefault="00530AD3">
      <w:pPr>
        <w:pStyle w:val="ListParagraph"/>
        <w:numPr>
          <w:ilvl w:val="0"/>
          <w:numId w:val="13"/>
        </w:numPr>
      </w:pPr>
      <w:r>
        <w:t>Sex Discrimination (Northern Ireland) Order 1976 and 1988</w:t>
      </w:r>
    </w:p>
    <w:p w14:paraId="3D2B41CE" w14:textId="77777777" w:rsidR="000A3EB6" w:rsidRDefault="00530AD3">
      <w:pPr>
        <w:pStyle w:val="ListParagraph"/>
        <w:numPr>
          <w:ilvl w:val="0"/>
          <w:numId w:val="13"/>
        </w:numPr>
      </w:pPr>
      <w:r>
        <w:t>Employment Equality (Sexual   Orientation) Regulations (Northern Ireland) 2003</w:t>
      </w:r>
    </w:p>
    <w:p w14:paraId="3F885E11" w14:textId="77777777" w:rsidR="000A3EB6" w:rsidRDefault="00530AD3">
      <w:pPr>
        <w:pStyle w:val="ListParagraph"/>
        <w:numPr>
          <w:ilvl w:val="0"/>
          <w:numId w:val="13"/>
        </w:numPr>
      </w:pPr>
      <w:r>
        <w:t>Equal Pay Act (Northern Ireland) 1970</w:t>
      </w:r>
    </w:p>
    <w:p w14:paraId="6D8D9108" w14:textId="77777777" w:rsidR="000A3EB6" w:rsidRDefault="00530AD3">
      <w:pPr>
        <w:pStyle w:val="ListParagraph"/>
        <w:numPr>
          <w:ilvl w:val="0"/>
          <w:numId w:val="13"/>
        </w:numPr>
      </w:pPr>
      <w:r>
        <w:t>Disability Discrimination Act 1995</w:t>
      </w:r>
    </w:p>
    <w:p w14:paraId="6B01DE75" w14:textId="77777777" w:rsidR="000A3EB6" w:rsidRDefault="00530AD3">
      <w:pPr>
        <w:pStyle w:val="ListParagraph"/>
        <w:numPr>
          <w:ilvl w:val="0"/>
          <w:numId w:val="13"/>
        </w:numPr>
      </w:pPr>
      <w:r>
        <w:t>Race Relations (Northern Ireland) Order 1997</w:t>
      </w:r>
    </w:p>
    <w:p w14:paraId="41C026C4" w14:textId="77777777" w:rsidR="000A3EB6" w:rsidRDefault="00530AD3">
      <w:pPr>
        <w:pStyle w:val="ListParagraph"/>
        <w:numPr>
          <w:ilvl w:val="0"/>
          <w:numId w:val="13"/>
        </w:numPr>
      </w:pPr>
      <w:r>
        <w:t>Employment Relations (Northern Ireland) Order 1999 and Employment Rights (Northern Ireland) Order 1996</w:t>
      </w:r>
    </w:p>
    <w:p w14:paraId="039BF537" w14:textId="77777777" w:rsidR="000A3EB6" w:rsidRDefault="00530AD3">
      <w:pPr>
        <w:pStyle w:val="ListParagraph"/>
        <w:numPr>
          <w:ilvl w:val="0"/>
          <w:numId w:val="13"/>
        </w:numPr>
      </w:pPr>
      <w:r>
        <w:t>Employment Equality (Age) Regulations (Northern Ireland) 2006</w:t>
      </w:r>
    </w:p>
    <w:p w14:paraId="111AE173" w14:textId="77777777" w:rsidR="000A3EB6" w:rsidRDefault="00530AD3">
      <w:pPr>
        <w:pStyle w:val="ListParagraph"/>
        <w:numPr>
          <w:ilvl w:val="0"/>
          <w:numId w:val="13"/>
        </w:numPr>
      </w:pPr>
      <w:r>
        <w:t>Part-time Workers (Prevention of less Favourable Treatment) Regulation 2000</w:t>
      </w:r>
    </w:p>
    <w:p w14:paraId="4F47C188" w14:textId="77777777" w:rsidR="000A3EB6" w:rsidRDefault="00530AD3">
      <w:pPr>
        <w:pStyle w:val="ListParagraph"/>
        <w:numPr>
          <w:ilvl w:val="0"/>
          <w:numId w:val="13"/>
        </w:numPr>
      </w:pPr>
      <w:r>
        <w:t>Fixed-term Employees (Prevention of Less Favourable Treatment) Regulations 2002</w:t>
      </w:r>
    </w:p>
    <w:p w14:paraId="0ED8668F" w14:textId="77777777" w:rsidR="000A3EB6" w:rsidRDefault="00530AD3">
      <w:pPr>
        <w:pStyle w:val="ListParagraph"/>
        <w:numPr>
          <w:ilvl w:val="0"/>
          <w:numId w:val="13"/>
        </w:numPr>
      </w:pPr>
      <w:r>
        <w:t>The Disability Discrimination (Northern Ireland) Order 2006</w:t>
      </w:r>
    </w:p>
    <w:p w14:paraId="1EE341DC" w14:textId="77777777" w:rsidR="000A3EB6" w:rsidRDefault="00530AD3">
      <w:pPr>
        <w:pStyle w:val="ListParagraph"/>
        <w:numPr>
          <w:ilvl w:val="0"/>
          <w:numId w:val="13"/>
        </w:numPr>
      </w:pPr>
      <w:r>
        <w:t>The Employment Relations (Northern Ireland) Order 2004</w:t>
      </w:r>
    </w:p>
    <w:p w14:paraId="0F625A75" w14:textId="77777777" w:rsidR="000A3EB6" w:rsidRDefault="00530AD3">
      <w:pPr>
        <w:pStyle w:val="ListParagraph"/>
        <w:numPr>
          <w:ilvl w:val="0"/>
          <w:numId w:val="13"/>
        </w:numPr>
      </w:pPr>
      <w:r>
        <w:t>Equality Act (Sexual Orientation) Regulations (Northern Ireland) 2006</w:t>
      </w:r>
    </w:p>
    <w:p w14:paraId="4B35038F" w14:textId="77777777" w:rsidR="000A3EB6" w:rsidRDefault="00530AD3">
      <w:pPr>
        <w:pStyle w:val="ListParagraph"/>
        <w:numPr>
          <w:ilvl w:val="0"/>
          <w:numId w:val="13"/>
        </w:numPr>
      </w:pPr>
      <w:r>
        <w:t>Employment Relations (Northern Ireland) Order 2004</w:t>
      </w:r>
    </w:p>
    <w:p w14:paraId="4BD6629C" w14:textId="77777777" w:rsidR="000A3EB6" w:rsidRDefault="00530AD3">
      <w:pPr>
        <w:pStyle w:val="ListParagraph"/>
        <w:numPr>
          <w:ilvl w:val="0"/>
          <w:numId w:val="13"/>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 xml:space="preserve">the inclusion of the topic of equality as an agenda item at team, </w:t>
      </w:r>
      <w:proofErr w:type="gramStart"/>
      <w:r>
        <w:t>management</w:t>
      </w:r>
      <w:proofErr w:type="gramEnd"/>
      <w:r>
        <w:t xml:space="preserve">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8" w:name="_Toc33176238"/>
    </w:p>
    <w:p w14:paraId="451827C8" w14:textId="77777777" w:rsidR="000A3EB6" w:rsidRDefault="00530AD3">
      <w:pPr>
        <w:pStyle w:val="Heading2"/>
      </w:pPr>
      <w:bookmarkStart w:id="9" w:name="_Toc33176239"/>
      <w:bookmarkEnd w:id="8"/>
      <w:r>
        <w:t>Schedule 6: Glossary and interpretations</w:t>
      </w:r>
      <w:bookmarkEnd w:id="9"/>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41151E2" w14:textId="77777777" w:rsidR="000A3EB6" w:rsidRDefault="00530AD3">
            <w:pPr>
              <w:pStyle w:val="ListParagraph"/>
              <w:numPr>
                <w:ilvl w:val="0"/>
                <w:numId w:val="22"/>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9FBB39A" w14:textId="77777777" w:rsidR="000A3EB6" w:rsidRDefault="00530AD3">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pPr>
              <w:pStyle w:val="ListParagraph"/>
              <w:numPr>
                <w:ilvl w:val="0"/>
                <w:numId w:val="24"/>
              </w:numPr>
              <w:rPr>
                <w:sz w:val="20"/>
                <w:szCs w:val="20"/>
              </w:rPr>
            </w:pPr>
            <w:r>
              <w:rPr>
                <w:sz w:val="20"/>
                <w:szCs w:val="20"/>
              </w:rPr>
              <w:t>breach of the obligations of the Supplier (including any fundamental breach or breach of a fundamental term)</w:t>
            </w:r>
          </w:p>
          <w:p w14:paraId="51A5CC99" w14:textId="77777777" w:rsidR="000A3EB6" w:rsidRDefault="00530AD3">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3059F9">
            <w:hyperlink r:id="rId27"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3876E06C" w14:textId="77777777" w:rsidR="000A3EB6" w:rsidRDefault="00530AD3">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438C6E78" w14:textId="77777777" w:rsidR="000A3EB6" w:rsidRDefault="00530AD3">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7D76C642" w14:textId="77777777" w:rsidR="000A3EB6" w:rsidRDefault="00530AD3">
            <w:pPr>
              <w:pStyle w:val="ListParagraph"/>
              <w:numPr>
                <w:ilvl w:val="0"/>
                <w:numId w:val="28"/>
              </w:numPr>
            </w:pPr>
            <w:r>
              <w:rPr>
                <w:sz w:val="14"/>
                <w:szCs w:val="14"/>
              </w:rPr>
              <w:t xml:space="preserve"> </w:t>
            </w:r>
            <w:r>
              <w:rPr>
                <w:sz w:val="20"/>
                <w:szCs w:val="20"/>
              </w:rPr>
              <w:t>fire, flood or disaster and any failure or shortage of power or fuel</w:t>
            </w:r>
          </w:p>
          <w:p w14:paraId="50A0DBEB" w14:textId="77777777" w:rsidR="000A3EB6" w:rsidRDefault="00530AD3">
            <w:pPr>
              <w:pStyle w:val="ListParagraph"/>
              <w:numPr>
                <w:ilvl w:val="0"/>
                <w:numId w:val="29"/>
              </w:numPr>
              <w:rPr>
                <w:sz w:val="20"/>
                <w:szCs w:val="20"/>
              </w:rPr>
            </w:pPr>
            <w:r>
              <w:rPr>
                <w:sz w:val="20"/>
                <w:szCs w:val="20"/>
              </w:rPr>
              <w:t>industrial dispute affecting a third party for which a substitute third party isn’t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35EA166D" w14:textId="77777777" w:rsidR="000A3EB6" w:rsidRDefault="00530A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lastRenderedPageBreak/>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pPr>
              <w:pStyle w:val="ListParagraph"/>
              <w:numPr>
                <w:ilvl w:val="0"/>
                <w:numId w:val="31"/>
              </w:numPr>
            </w:pPr>
            <w:r>
              <w:rPr>
                <w:sz w:val="14"/>
                <w:szCs w:val="14"/>
              </w:rPr>
              <w:t xml:space="preserve"> </w:t>
            </w:r>
            <w:r>
              <w:rPr>
                <w:sz w:val="20"/>
                <w:szCs w:val="20"/>
              </w:rPr>
              <w:t>a voluntary arrangement</w:t>
            </w:r>
          </w:p>
          <w:p w14:paraId="667DAEBD" w14:textId="77777777" w:rsidR="000A3EB6" w:rsidRDefault="00530AD3">
            <w:pPr>
              <w:pStyle w:val="ListParagraph"/>
              <w:numPr>
                <w:ilvl w:val="0"/>
                <w:numId w:val="31"/>
              </w:numPr>
              <w:rPr>
                <w:sz w:val="20"/>
                <w:szCs w:val="20"/>
              </w:rPr>
            </w:pPr>
            <w:r>
              <w:rPr>
                <w:sz w:val="20"/>
                <w:szCs w:val="20"/>
              </w:rPr>
              <w:t>a winding-up petition</w:t>
            </w:r>
          </w:p>
          <w:p w14:paraId="7EA58377" w14:textId="77777777" w:rsidR="000A3EB6" w:rsidRDefault="00530AD3">
            <w:pPr>
              <w:pStyle w:val="ListParagraph"/>
              <w:numPr>
                <w:ilvl w:val="0"/>
                <w:numId w:val="31"/>
              </w:numPr>
              <w:rPr>
                <w:sz w:val="20"/>
                <w:szCs w:val="20"/>
              </w:rPr>
            </w:pPr>
            <w:r>
              <w:rPr>
                <w:sz w:val="20"/>
                <w:szCs w:val="20"/>
              </w:rPr>
              <w:t>the appointment of a receiver or administrator</w:t>
            </w:r>
          </w:p>
          <w:p w14:paraId="2EB16145" w14:textId="77777777" w:rsidR="000A3EB6" w:rsidRDefault="00530AD3">
            <w:pPr>
              <w:pStyle w:val="ListParagraph"/>
              <w:numPr>
                <w:ilvl w:val="0"/>
                <w:numId w:val="31"/>
              </w:numPr>
              <w:rPr>
                <w:sz w:val="20"/>
                <w:szCs w:val="20"/>
              </w:rPr>
            </w:pPr>
            <w:r>
              <w:rPr>
                <w:sz w:val="20"/>
                <w:szCs w:val="20"/>
              </w:rPr>
              <w:lastRenderedPageBreak/>
              <w:t>an unresolved statutory demand</w:t>
            </w:r>
          </w:p>
          <w:p w14:paraId="65ED636A" w14:textId="77777777" w:rsidR="000A3EB6" w:rsidRDefault="00530AD3">
            <w:pPr>
              <w:pStyle w:val="ListParagraph"/>
              <w:numPr>
                <w:ilvl w:val="0"/>
                <w:numId w:val="31"/>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1AA47DF6" w14:textId="77777777" w:rsidR="000A3EB6" w:rsidRDefault="00530A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pPr>
              <w:pStyle w:val="ListParagraph"/>
              <w:numPr>
                <w:ilvl w:val="0"/>
                <w:numId w:val="32"/>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pPr>
              <w:pStyle w:val="ListParagraph"/>
              <w:numPr>
                <w:ilvl w:val="0"/>
                <w:numId w:val="33"/>
              </w:numPr>
              <w:rPr>
                <w:sz w:val="20"/>
                <w:szCs w:val="20"/>
              </w:rPr>
            </w:pPr>
            <w:r>
              <w:rPr>
                <w:sz w:val="20"/>
                <w:szCs w:val="20"/>
              </w:rPr>
              <w:t>the supplier's own limited company</w:t>
            </w:r>
          </w:p>
          <w:p w14:paraId="104EB59F" w14:textId="77777777" w:rsidR="000A3EB6" w:rsidRDefault="00530AD3">
            <w:pPr>
              <w:pStyle w:val="ListParagraph"/>
              <w:numPr>
                <w:ilvl w:val="0"/>
                <w:numId w:val="33"/>
              </w:numPr>
              <w:rPr>
                <w:sz w:val="20"/>
                <w:szCs w:val="20"/>
              </w:rPr>
            </w:pPr>
            <w:r>
              <w:rPr>
                <w:sz w:val="20"/>
                <w:szCs w:val="20"/>
              </w:rPr>
              <w:t>a service or a personal service company</w:t>
            </w:r>
          </w:p>
          <w:p w14:paraId="369A5846" w14:textId="77777777" w:rsidR="000A3EB6" w:rsidRDefault="00530AD3">
            <w:pPr>
              <w:pStyle w:val="ListParagraph"/>
              <w:numPr>
                <w:ilvl w:val="0"/>
                <w:numId w:val="33"/>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pPr>
              <w:pStyle w:val="ListParagraph"/>
              <w:numPr>
                <w:ilvl w:val="0"/>
                <w:numId w:val="34"/>
              </w:numPr>
              <w:rPr>
                <w:sz w:val="20"/>
                <w:szCs w:val="20"/>
              </w:rPr>
            </w:pPr>
            <w:r>
              <w:rPr>
                <w:sz w:val="20"/>
                <w:szCs w:val="20"/>
              </w:rPr>
              <w:t>induce that person to perform improperly a relevant function or activity</w:t>
            </w:r>
          </w:p>
          <w:p w14:paraId="50A76B11" w14:textId="77777777" w:rsidR="000A3EB6" w:rsidRDefault="00530AD3">
            <w:pPr>
              <w:pStyle w:val="ListParagraph"/>
              <w:numPr>
                <w:ilvl w:val="0"/>
                <w:numId w:val="34"/>
              </w:numPr>
              <w:rPr>
                <w:sz w:val="20"/>
                <w:szCs w:val="20"/>
              </w:rPr>
            </w:pPr>
            <w:r>
              <w:rPr>
                <w:sz w:val="20"/>
                <w:szCs w:val="20"/>
              </w:rPr>
              <w:t>reward that person for improper performance of a relevant function or activity</w:t>
            </w:r>
          </w:p>
          <w:p w14:paraId="41C358F2" w14:textId="77777777" w:rsidR="000A3EB6" w:rsidRDefault="00530AD3">
            <w:pPr>
              <w:pStyle w:val="ListParagraph"/>
              <w:numPr>
                <w:ilvl w:val="0"/>
                <w:numId w:val="34"/>
              </w:numPr>
              <w:rPr>
                <w:sz w:val="20"/>
                <w:szCs w:val="20"/>
              </w:rPr>
            </w:pPr>
            <w:r>
              <w:rPr>
                <w:sz w:val="20"/>
                <w:szCs w:val="20"/>
              </w:rPr>
              <w:t>commit any offence:</w:t>
            </w:r>
          </w:p>
          <w:p w14:paraId="7E3819B9" w14:textId="77777777" w:rsidR="000A3EB6" w:rsidRDefault="00530AD3">
            <w:pPr>
              <w:pStyle w:val="ListParagraph"/>
              <w:numPr>
                <w:ilvl w:val="1"/>
                <w:numId w:val="34"/>
              </w:numPr>
              <w:rPr>
                <w:sz w:val="20"/>
                <w:szCs w:val="20"/>
              </w:rPr>
            </w:pPr>
            <w:r>
              <w:rPr>
                <w:sz w:val="20"/>
                <w:szCs w:val="20"/>
              </w:rPr>
              <w:t>under the Bribery Act 2010</w:t>
            </w:r>
          </w:p>
          <w:p w14:paraId="493FB7EE" w14:textId="77777777" w:rsidR="000A3EB6" w:rsidRDefault="00530AD3">
            <w:pPr>
              <w:pStyle w:val="ListParagraph"/>
              <w:numPr>
                <w:ilvl w:val="1"/>
                <w:numId w:val="34"/>
              </w:numPr>
              <w:rPr>
                <w:sz w:val="20"/>
                <w:szCs w:val="20"/>
              </w:rPr>
            </w:pPr>
            <w:r>
              <w:rPr>
                <w:sz w:val="20"/>
                <w:szCs w:val="20"/>
              </w:rPr>
              <w:t>under legislation creating offences concerning Fraud</w:t>
            </w:r>
          </w:p>
          <w:p w14:paraId="2C800AB1" w14:textId="77777777" w:rsidR="000A3EB6" w:rsidRDefault="00530AD3">
            <w:pPr>
              <w:pStyle w:val="ListParagraph"/>
              <w:numPr>
                <w:ilvl w:val="1"/>
                <w:numId w:val="34"/>
              </w:numPr>
            </w:pPr>
            <w:r>
              <w:t>at common Law concerning Fraud</w:t>
            </w:r>
          </w:p>
          <w:p w14:paraId="4726EAFD" w14:textId="77777777" w:rsidR="000A3EB6" w:rsidRDefault="00530AD3">
            <w:pPr>
              <w:pStyle w:val="ListParagraph"/>
              <w:numPr>
                <w:ilvl w:val="1"/>
                <w:numId w:val="34"/>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10" w:name="_Toc33176240"/>
      <w:r>
        <w:t>Schedule 7: GDPR Information</w:t>
      </w:r>
      <w:bookmarkEnd w:id="10"/>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77777777" w:rsidR="000A3EB6" w:rsidRDefault="00530AD3">
      <w:r>
        <w:t>1.2</w:t>
      </w:r>
      <w:r>
        <w:tab/>
        <w:t>The contact details of the Supplier’s Data Protection Officer are: [</w:t>
      </w:r>
      <w:r>
        <w:rPr>
          <w:b/>
        </w:rPr>
        <w:t>Insert Contact details</w:t>
      </w:r>
      <w:r>
        <w:t>]</w:t>
      </w:r>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 xml:space="preserve">The Buyer is </w:t>
            </w:r>
            <w:proofErr w:type="gramStart"/>
            <w:r>
              <w:rPr>
                <w:b/>
              </w:rPr>
              <w:t>Controller</w:t>
            </w:r>
            <w:proofErr w:type="gramEnd"/>
            <w:r>
              <w:rPr>
                <w:b/>
              </w:rPr>
              <w:t xml:space="preserve">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 xml:space="preserve">The Supplier is </w:t>
            </w:r>
            <w:proofErr w:type="gramStart"/>
            <w:r>
              <w:rPr>
                <w:b/>
              </w:rPr>
              <w:t>Controller</w:t>
            </w:r>
            <w:proofErr w:type="gramEnd"/>
            <w:r>
              <w:rPr>
                <w:b/>
              </w:rPr>
              <w:t xml:space="preserve">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pPr>
              <w:numPr>
                <w:ilvl w:val="0"/>
                <w:numId w:val="37"/>
              </w:numPr>
              <w:spacing w:line="240" w:lineRule="auto"/>
            </w:pPr>
            <w:r>
              <w:t>Business contact details of Supplier Personnel for which the Supplier is the Controller</w:t>
            </w:r>
          </w:p>
          <w:p w14:paraId="1462A207" w14:textId="77777777" w:rsidR="000A3EB6" w:rsidRDefault="00530AD3">
            <w:pPr>
              <w:numPr>
                <w:ilvl w:val="0"/>
                <w:numId w:val="37"/>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30"/>
      <w:headerReference w:type="default" r:id="rId31"/>
      <w:footerReference w:type="even" r:id="rId32"/>
      <w:footerReference w:type="default" r:id="rId33"/>
      <w:headerReference w:type="first" r:id="rId34"/>
      <w:footerReference w:type="firs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6122" w14:textId="77777777" w:rsidR="003059F9" w:rsidRDefault="003059F9">
      <w:pPr>
        <w:spacing w:line="240" w:lineRule="auto"/>
      </w:pPr>
      <w:r>
        <w:separator/>
      </w:r>
    </w:p>
  </w:endnote>
  <w:endnote w:type="continuationSeparator" w:id="0">
    <w:p w14:paraId="379B0CC5" w14:textId="77777777" w:rsidR="003059F9" w:rsidRDefault="003059F9">
      <w:pPr>
        <w:spacing w:line="240" w:lineRule="auto"/>
      </w:pPr>
      <w:r>
        <w:continuationSeparator/>
      </w:r>
    </w:p>
  </w:endnote>
  <w:endnote w:type="continuationNotice" w:id="1">
    <w:p w14:paraId="5575F602" w14:textId="77777777" w:rsidR="003059F9" w:rsidRDefault="003059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8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F503D4" w:rsidRDefault="00F50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F503D4" w:rsidRDefault="00F503D4">
    <w:pPr>
      <w:pStyle w:val="Footer"/>
      <w:ind w:right="360"/>
    </w:pPr>
    <w:r>
      <w:rPr>
        <w:noProof/>
        <w:color w:val="2B579A"/>
        <w:shd w:val="clear" w:color="auto" w:fill="E6E6E6"/>
      </w:rPr>
      <mc:AlternateContent>
        <mc:Choice Requires="wps">
          <w:drawing>
            <wp:anchor distT="0" distB="0" distL="114300" distR="114300" simplePos="0" relativeHeight="251658240"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F503D4" w:rsidRDefault="00F503D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F503D4" w:rsidRDefault="00F503D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F503D4" w:rsidRDefault="00F5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94E6" w14:textId="77777777" w:rsidR="003059F9" w:rsidRDefault="003059F9">
      <w:pPr>
        <w:spacing w:line="240" w:lineRule="auto"/>
      </w:pPr>
      <w:r>
        <w:rPr>
          <w:color w:val="000000"/>
        </w:rPr>
        <w:separator/>
      </w:r>
    </w:p>
  </w:footnote>
  <w:footnote w:type="continuationSeparator" w:id="0">
    <w:p w14:paraId="24DE881A" w14:textId="77777777" w:rsidR="003059F9" w:rsidRDefault="003059F9">
      <w:pPr>
        <w:spacing w:line="240" w:lineRule="auto"/>
      </w:pPr>
      <w:r>
        <w:continuationSeparator/>
      </w:r>
    </w:p>
  </w:footnote>
  <w:footnote w:type="continuationNotice" w:id="1">
    <w:p w14:paraId="21463197" w14:textId="77777777" w:rsidR="003059F9" w:rsidRDefault="003059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F503D4" w:rsidRDefault="00F50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F503D4" w:rsidRDefault="00F5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F503D4" w:rsidRDefault="00F5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235"/>
    <w:multiLevelType w:val="multilevel"/>
    <w:tmpl w:val="CBE009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47D4D11"/>
    <w:multiLevelType w:val="multilevel"/>
    <w:tmpl w:val="7F880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0670E"/>
    <w:multiLevelType w:val="multilevel"/>
    <w:tmpl w:val="940895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6B91E8B"/>
    <w:multiLevelType w:val="hybridMultilevel"/>
    <w:tmpl w:val="814245DC"/>
    <w:lvl w:ilvl="0" w:tplc="A05C740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75315A"/>
    <w:multiLevelType w:val="hybridMultilevel"/>
    <w:tmpl w:val="3600F458"/>
    <w:lvl w:ilvl="0" w:tplc="08090001">
      <w:start w:val="1"/>
      <w:numFmt w:val="bullet"/>
      <w:lvlText w:val=""/>
      <w:lvlJc w:val="left"/>
      <w:pPr>
        <w:ind w:left="720" w:hanging="360"/>
      </w:pPr>
      <w:rPr>
        <w:rFonts w:ascii="Symbol" w:hAnsi="Symbol" w:hint="default"/>
      </w:rPr>
    </w:lvl>
    <w:lvl w:ilvl="1" w:tplc="706685B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461"/>
    <w:multiLevelType w:val="multilevel"/>
    <w:tmpl w:val="579C90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10F1B59"/>
    <w:multiLevelType w:val="multilevel"/>
    <w:tmpl w:val="A9E2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E546A1"/>
    <w:multiLevelType w:val="multilevel"/>
    <w:tmpl w:val="C3D0B3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E321C69"/>
    <w:multiLevelType w:val="hybridMultilevel"/>
    <w:tmpl w:val="2C0ADC1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0" w15:restartNumberingAfterBreak="0">
    <w:nsid w:val="1FA06B3E"/>
    <w:multiLevelType w:val="multilevel"/>
    <w:tmpl w:val="0E52D2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33C6A88"/>
    <w:multiLevelType w:val="multilevel"/>
    <w:tmpl w:val="60B806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3EC3C7A"/>
    <w:multiLevelType w:val="multilevel"/>
    <w:tmpl w:val="8BF80C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D041BE"/>
    <w:multiLevelType w:val="multilevel"/>
    <w:tmpl w:val="D3841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37973F3"/>
    <w:multiLevelType w:val="multilevel"/>
    <w:tmpl w:val="15C0C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5B94838"/>
    <w:multiLevelType w:val="multilevel"/>
    <w:tmpl w:val="B6A2F6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49DB2AA7"/>
    <w:multiLevelType w:val="multilevel"/>
    <w:tmpl w:val="E75C3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AE74DEF"/>
    <w:multiLevelType w:val="multilevel"/>
    <w:tmpl w:val="0D969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9486915"/>
    <w:multiLevelType w:val="multilevel"/>
    <w:tmpl w:val="30F6B4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B6F0D8B"/>
    <w:multiLevelType w:val="multilevel"/>
    <w:tmpl w:val="70829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4D21810"/>
    <w:multiLevelType w:val="multilevel"/>
    <w:tmpl w:val="8F205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8420AD5"/>
    <w:multiLevelType w:val="multilevel"/>
    <w:tmpl w:val="9FE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A394C93"/>
    <w:multiLevelType w:val="hybridMultilevel"/>
    <w:tmpl w:val="F5A2E8AC"/>
    <w:lvl w:ilvl="0" w:tplc="78944B82">
      <w:numFmt w:val="bullet"/>
      <w:lvlText w:val=""/>
      <w:lvlJc w:val="left"/>
      <w:pPr>
        <w:ind w:left="1080" w:hanging="360"/>
      </w:pPr>
      <w:rPr>
        <w:rFonts w:ascii="Symbol" w:hAnsi="Symbol"/>
      </w:rPr>
    </w:lvl>
    <w:lvl w:ilvl="1" w:tplc="415242D6">
      <w:numFmt w:val="bullet"/>
      <w:lvlText w:val="o"/>
      <w:lvlJc w:val="left"/>
      <w:pPr>
        <w:ind w:left="1800" w:hanging="360"/>
      </w:pPr>
      <w:rPr>
        <w:rFonts w:ascii="Courier New" w:hAnsi="Courier New" w:cs="Courier New"/>
      </w:rPr>
    </w:lvl>
    <w:lvl w:ilvl="2" w:tplc="677EC496">
      <w:numFmt w:val="bullet"/>
      <w:lvlText w:val=""/>
      <w:lvlJc w:val="left"/>
      <w:pPr>
        <w:ind w:left="2520" w:hanging="360"/>
      </w:pPr>
      <w:rPr>
        <w:rFonts w:ascii="Wingdings" w:hAnsi="Wingdings"/>
      </w:rPr>
    </w:lvl>
    <w:lvl w:ilvl="3" w:tplc="52EC9A00">
      <w:numFmt w:val="bullet"/>
      <w:lvlText w:val=""/>
      <w:lvlJc w:val="left"/>
      <w:pPr>
        <w:ind w:left="3240" w:hanging="360"/>
      </w:pPr>
      <w:rPr>
        <w:rFonts w:ascii="Symbol" w:hAnsi="Symbol"/>
      </w:rPr>
    </w:lvl>
    <w:lvl w:ilvl="4" w:tplc="91DAE238">
      <w:numFmt w:val="bullet"/>
      <w:lvlText w:val="o"/>
      <w:lvlJc w:val="left"/>
      <w:pPr>
        <w:ind w:left="3960" w:hanging="360"/>
      </w:pPr>
      <w:rPr>
        <w:rFonts w:ascii="Courier New" w:hAnsi="Courier New" w:cs="Courier New"/>
      </w:rPr>
    </w:lvl>
    <w:lvl w:ilvl="5" w:tplc="034266A4">
      <w:numFmt w:val="bullet"/>
      <w:lvlText w:val=""/>
      <w:lvlJc w:val="left"/>
      <w:pPr>
        <w:ind w:left="4680" w:hanging="360"/>
      </w:pPr>
      <w:rPr>
        <w:rFonts w:ascii="Wingdings" w:hAnsi="Wingdings"/>
      </w:rPr>
    </w:lvl>
    <w:lvl w:ilvl="6" w:tplc="0CD2569C">
      <w:numFmt w:val="bullet"/>
      <w:lvlText w:val=""/>
      <w:lvlJc w:val="left"/>
      <w:pPr>
        <w:ind w:left="5400" w:hanging="360"/>
      </w:pPr>
      <w:rPr>
        <w:rFonts w:ascii="Symbol" w:hAnsi="Symbol"/>
      </w:rPr>
    </w:lvl>
    <w:lvl w:ilvl="7" w:tplc="EF7865B2">
      <w:numFmt w:val="bullet"/>
      <w:lvlText w:val="o"/>
      <w:lvlJc w:val="left"/>
      <w:pPr>
        <w:ind w:left="6120" w:hanging="360"/>
      </w:pPr>
      <w:rPr>
        <w:rFonts w:ascii="Courier New" w:hAnsi="Courier New" w:cs="Courier New"/>
      </w:rPr>
    </w:lvl>
    <w:lvl w:ilvl="8" w:tplc="EB64DDE4">
      <w:numFmt w:val="bullet"/>
      <w:lvlText w:val=""/>
      <w:lvlJc w:val="left"/>
      <w:pPr>
        <w:ind w:left="6840" w:hanging="360"/>
      </w:pPr>
      <w:rPr>
        <w:rFonts w:ascii="Wingdings" w:hAnsi="Wingdings"/>
      </w:rPr>
    </w:lvl>
  </w:abstractNum>
  <w:abstractNum w:abstractNumId="39" w15:restartNumberingAfterBreak="0">
    <w:nsid w:val="6AB44E8D"/>
    <w:multiLevelType w:val="hybridMultilevel"/>
    <w:tmpl w:val="675C8A36"/>
    <w:lvl w:ilvl="0" w:tplc="65EEE1CE">
      <w:numFmt w:val="bullet"/>
      <w:lvlText w:val=""/>
      <w:lvlJc w:val="left"/>
      <w:pPr>
        <w:ind w:left="720" w:hanging="360"/>
      </w:pPr>
      <w:rPr>
        <w:rFonts w:ascii="Symbol" w:hAnsi="Symbol"/>
      </w:rPr>
    </w:lvl>
    <w:lvl w:ilvl="1" w:tplc="4C9A0FF4">
      <w:numFmt w:val="bullet"/>
      <w:lvlText w:val=""/>
      <w:lvlJc w:val="left"/>
      <w:pPr>
        <w:ind w:left="1440" w:hanging="360"/>
      </w:pPr>
      <w:rPr>
        <w:rFonts w:ascii="Symbol" w:hAnsi="Symbol"/>
      </w:rPr>
    </w:lvl>
    <w:lvl w:ilvl="2" w:tplc="43C2F7B0">
      <w:numFmt w:val="bullet"/>
      <w:lvlText w:val=""/>
      <w:lvlJc w:val="left"/>
      <w:pPr>
        <w:ind w:left="2160" w:hanging="360"/>
      </w:pPr>
      <w:rPr>
        <w:rFonts w:ascii="Wingdings" w:hAnsi="Wingdings"/>
      </w:rPr>
    </w:lvl>
    <w:lvl w:ilvl="3" w:tplc="C6646922">
      <w:numFmt w:val="bullet"/>
      <w:lvlText w:val=""/>
      <w:lvlJc w:val="left"/>
      <w:pPr>
        <w:ind w:left="2880" w:hanging="360"/>
      </w:pPr>
      <w:rPr>
        <w:rFonts w:ascii="Symbol" w:hAnsi="Symbol"/>
      </w:rPr>
    </w:lvl>
    <w:lvl w:ilvl="4" w:tplc="CDB88C58">
      <w:numFmt w:val="bullet"/>
      <w:lvlText w:val="o"/>
      <w:lvlJc w:val="left"/>
      <w:pPr>
        <w:ind w:left="3600" w:hanging="360"/>
      </w:pPr>
      <w:rPr>
        <w:rFonts w:ascii="Courier New" w:hAnsi="Courier New" w:cs="Courier New"/>
      </w:rPr>
    </w:lvl>
    <w:lvl w:ilvl="5" w:tplc="8836E62A">
      <w:numFmt w:val="bullet"/>
      <w:lvlText w:val=""/>
      <w:lvlJc w:val="left"/>
      <w:pPr>
        <w:ind w:left="4320" w:hanging="360"/>
      </w:pPr>
      <w:rPr>
        <w:rFonts w:ascii="Wingdings" w:hAnsi="Wingdings"/>
      </w:rPr>
    </w:lvl>
    <w:lvl w:ilvl="6" w:tplc="7BAE5A70">
      <w:numFmt w:val="bullet"/>
      <w:lvlText w:val=""/>
      <w:lvlJc w:val="left"/>
      <w:pPr>
        <w:ind w:left="5040" w:hanging="360"/>
      </w:pPr>
      <w:rPr>
        <w:rFonts w:ascii="Symbol" w:hAnsi="Symbol"/>
      </w:rPr>
    </w:lvl>
    <w:lvl w:ilvl="7" w:tplc="05A283E2">
      <w:numFmt w:val="bullet"/>
      <w:lvlText w:val="o"/>
      <w:lvlJc w:val="left"/>
      <w:pPr>
        <w:ind w:left="5760" w:hanging="360"/>
      </w:pPr>
      <w:rPr>
        <w:rFonts w:ascii="Courier New" w:hAnsi="Courier New" w:cs="Courier New"/>
      </w:rPr>
    </w:lvl>
    <w:lvl w:ilvl="8" w:tplc="08749114">
      <w:numFmt w:val="bullet"/>
      <w:lvlText w:val=""/>
      <w:lvlJc w:val="left"/>
      <w:pPr>
        <w:ind w:left="6480" w:hanging="360"/>
      </w:pPr>
      <w:rPr>
        <w:rFonts w:ascii="Wingdings" w:hAnsi="Wingdings"/>
      </w:rPr>
    </w:lvl>
  </w:abstractNum>
  <w:abstractNum w:abstractNumId="40" w15:restartNumberingAfterBreak="0">
    <w:nsid w:val="6CE027DB"/>
    <w:multiLevelType w:val="hybridMultilevel"/>
    <w:tmpl w:val="A14E9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6"/>
  </w:num>
  <w:num w:numId="2">
    <w:abstractNumId w:val="26"/>
  </w:num>
  <w:num w:numId="3">
    <w:abstractNumId w:val="0"/>
  </w:num>
  <w:num w:numId="4">
    <w:abstractNumId w:val="33"/>
  </w:num>
  <w:num w:numId="5">
    <w:abstractNumId w:val="6"/>
  </w:num>
  <w:num w:numId="6">
    <w:abstractNumId w:val="20"/>
  </w:num>
  <w:num w:numId="7">
    <w:abstractNumId w:val="1"/>
  </w:num>
  <w:num w:numId="8">
    <w:abstractNumId w:val="37"/>
  </w:num>
  <w:num w:numId="9">
    <w:abstractNumId w:val="18"/>
  </w:num>
  <w:num w:numId="10">
    <w:abstractNumId w:val="39"/>
  </w:num>
  <w:num w:numId="11">
    <w:abstractNumId w:val="38"/>
  </w:num>
  <w:num w:numId="12">
    <w:abstractNumId w:val="25"/>
  </w:num>
  <w:num w:numId="13">
    <w:abstractNumId w:val="24"/>
  </w:num>
  <w:num w:numId="14">
    <w:abstractNumId w:val="12"/>
  </w:num>
  <w:num w:numId="15">
    <w:abstractNumId w:val="8"/>
  </w:num>
  <w:num w:numId="16">
    <w:abstractNumId w:val="5"/>
  </w:num>
  <w:num w:numId="17">
    <w:abstractNumId w:val="13"/>
  </w:num>
  <w:num w:numId="18">
    <w:abstractNumId w:val="21"/>
  </w:num>
  <w:num w:numId="19">
    <w:abstractNumId w:val="29"/>
  </w:num>
  <w:num w:numId="20">
    <w:abstractNumId w:val="19"/>
  </w:num>
  <w:num w:numId="21">
    <w:abstractNumId w:val="2"/>
  </w:num>
  <w:num w:numId="22">
    <w:abstractNumId w:val="15"/>
  </w:num>
  <w:num w:numId="23">
    <w:abstractNumId w:val="7"/>
  </w:num>
  <w:num w:numId="24">
    <w:abstractNumId w:val="27"/>
  </w:num>
  <w:num w:numId="25">
    <w:abstractNumId w:val="41"/>
  </w:num>
  <w:num w:numId="26">
    <w:abstractNumId w:val="11"/>
  </w:num>
  <w:num w:numId="27">
    <w:abstractNumId w:val="23"/>
  </w:num>
  <w:num w:numId="28">
    <w:abstractNumId w:val="32"/>
  </w:num>
  <w:num w:numId="29">
    <w:abstractNumId w:val="31"/>
  </w:num>
  <w:num w:numId="30">
    <w:abstractNumId w:val="14"/>
  </w:num>
  <w:num w:numId="31">
    <w:abstractNumId w:val="22"/>
  </w:num>
  <w:num w:numId="32">
    <w:abstractNumId w:val="34"/>
  </w:num>
  <w:num w:numId="33">
    <w:abstractNumId w:val="17"/>
  </w:num>
  <w:num w:numId="34">
    <w:abstractNumId w:val="36"/>
  </w:num>
  <w:num w:numId="35">
    <w:abstractNumId w:val="28"/>
  </w:num>
  <w:num w:numId="36">
    <w:abstractNumId w:val="10"/>
  </w:num>
  <w:num w:numId="37">
    <w:abstractNumId w:val="35"/>
  </w:num>
  <w:num w:numId="38">
    <w:abstractNumId w:val="9"/>
  </w:num>
  <w:num w:numId="39">
    <w:abstractNumId w:val="4"/>
  </w:num>
  <w:num w:numId="40">
    <w:abstractNumId w:val="40"/>
  </w:num>
  <w:num w:numId="41">
    <w:abstractNumId w:val="30"/>
  </w:num>
  <w:num w:numId="42">
    <w:abstractNumId w:val="3"/>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20651"/>
    <w:rsid w:val="000224D8"/>
    <w:rsid w:val="0002712D"/>
    <w:rsid w:val="00051E32"/>
    <w:rsid w:val="00062F92"/>
    <w:rsid w:val="00064C92"/>
    <w:rsid w:val="000671EE"/>
    <w:rsid w:val="00096DB7"/>
    <w:rsid w:val="000A3EB6"/>
    <w:rsid w:val="00107F67"/>
    <w:rsid w:val="001239D9"/>
    <w:rsid w:val="00127312"/>
    <w:rsid w:val="0013534E"/>
    <w:rsid w:val="00146DFD"/>
    <w:rsid w:val="00167408"/>
    <w:rsid w:val="00175DC7"/>
    <w:rsid w:val="00177F0C"/>
    <w:rsid w:val="00180FD7"/>
    <w:rsid w:val="001828BB"/>
    <w:rsid w:val="001844A9"/>
    <w:rsid w:val="001B252B"/>
    <w:rsid w:val="001B5528"/>
    <w:rsid w:val="001C10CF"/>
    <w:rsid w:val="001D3B9F"/>
    <w:rsid w:val="001F5EC5"/>
    <w:rsid w:val="002251F1"/>
    <w:rsid w:val="00226059"/>
    <w:rsid w:val="002622DB"/>
    <w:rsid w:val="00271715"/>
    <w:rsid w:val="00296C11"/>
    <w:rsid w:val="002A502E"/>
    <w:rsid w:val="002E19E3"/>
    <w:rsid w:val="002F18C6"/>
    <w:rsid w:val="002F4023"/>
    <w:rsid w:val="00300B8D"/>
    <w:rsid w:val="003059F9"/>
    <w:rsid w:val="00310008"/>
    <w:rsid w:val="00313A93"/>
    <w:rsid w:val="003324BB"/>
    <w:rsid w:val="0033797B"/>
    <w:rsid w:val="00351264"/>
    <w:rsid w:val="00370BC5"/>
    <w:rsid w:val="00387F39"/>
    <w:rsid w:val="003A71FC"/>
    <w:rsid w:val="003B2409"/>
    <w:rsid w:val="003C452E"/>
    <w:rsid w:val="003D0669"/>
    <w:rsid w:val="003D1789"/>
    <w:rsid w:val="00412D5B"/>
    <w:rsid w:val="00425535"/>
    <w:rsid w:val="004258C8"/>
    <w:rsid w:val="00452C3E"/>
    <w:rsid w:val="00472FE9"/>
    <w:rsid w:val="004A0BB7"/>
    <w:rsid w:val="004C2E56"/>
    <w:rsid w:val="004D73C0"/>
    <w:rsid w:val="004E588D"/>
    <w:rsid w:val="005043B2"/>
    <w:rsid w:val="0051541F"/>
    <w:rsid w:val="00530AD3"/>
    <w:rsid w:val="00541EAF"/>
    <w:rsid w:val="005555C4"/>
    <w:rsid w:val="0056527E"/>
    <w:rsid w:val="0056592B"/>
    <w:rsid w:val="005B1F33"/>
    <w:rsid w:val="005B4C93"/>
    <w:rsid w:val="005F78E1"/>
    <w:rsid w:val="006A442A"/>
    <w:rsid w:val="006C44ED"/>
    <w:rsid w:val="006C6721"/>
    <w:rsid w:val="006E5666"/>
    <w:rsid w:val="006F4CAD"/>
    <w:rsid w:val="00730562"/>
    <w:rsid w:val="00737C5E"/>
    <w:rsid w:val="00762911"/>
    <w:rsid w:val="00792397"/>
    <w:rsid w:val="007B503A"/>
    <w:rsid w:val="007F488A"/>
    <w:rsid w:val="00842F94"/>
    <w:rsid w:val="008C3653"/>
    <w:rsid w:val="008D5C91"/>
    <w:rsid w:val="00901954"/>
    <w:rsid w:val="0092152B"/>
    <w:rsid w:val="00924D6A"/>
    <w:rsid w:val="00945684"/>
    <w:rsid w:val="009647CC"/>
    <w:rsid w:val="00965DF6"/>
    <w:rsid w:val="009B2DCE"/>
    <w:rsid w:val="009B6F68"/>
    <w:rsid w:val="009D0501"/>
    <w:rsid w:val="009D7AFF"/>
    <w:rsid w:val="00A4469D"/>
    <w:rsid w:val="00A448A6"/>
    <w:rsid w:val="00A76ACF"/>
    <w:rsid w:val="00A9584C"/>
    <w:rsid w:val="00AB51FA"/>
    <w:rsid w:val="00AB61E3"/>
    <w:rsid w:val="00AC2BE3"/>
    <w:rsid w:val="00AD33A8"/>
    <w:rsid w:val="00AF49A3"/>
    <w:rsid w:val="00B3159C"/>
    <w:rsid w:val="00B367C9"/>
    <w:rsid w:val="00B628DF"/>
    <w:rsid w:val="00BB443D"/>
    <w:rsid w:val="00BC259D"/>
    <w:rsid w:val="00C16391"/>
    <w:rsid w:val="00C2398E"/>
    <w:rsid w:val="00C44198"/>
    <w:rsid w:val="00C552B7"/>
    <w:rsid w:val="00C77132"/>
    <w:rsid w:val="00C83DFF"/>
    <w:rsid w:val="00CA0976"/>
    <w:rsid w:val="00CB167B"/>
    <w:rsid w:val="00CB2C66"/>
    <w:rsid w:val="00CE2F61"/>
    <w:rsid w:val="00CF48AB"/>
    <w:rsid w:val="00D0291C"/>
    <w:rsid w:val="00D2647B"/>
    <w:rsid w:val="00D54837"/>
    <w:rsid w:val="00D63608"/>
    <w:rsid w:val="00D731B2"/>
    <w:rsid w:val="00D85BF9"/>
    <w:rsid w:val="00D86517"/>
    <w:rsid w:val="00D90673"/>
    <w:rsid w:val="00DB6DEE"/>
    <w:rsid w:val="00DD08EC"/>
    <w:rsid w:val="00DD63E9"/>
    <w:rsid w:val="00DF210A"/>
    <w:rsid w:val="00E05FFA"/>
    <w:rsid w:val="00E10C2E"/>
    <w:rsid w:val="00E21731"/>
    <w:rsid w:val="00E97D06"/>
    <w:rsid w:val="00EB3CEC"/>
    <w:rsid w:val="00EB7E65"/>
    <w:rsid w:val="00EC3289"/>
    <w:rsid w:val="00ED3744"/>
    <w:rsid w:val="00F0729E"/>
    <w:rsid w:val="00F34403"/>
    <w:rsid w:val="00F41803"/>
    <w:rsid w:val="00F503D4"/>
    <w:rsid w:val="00FA4F20"/>
    <w:rsid w:val="00FB611F"/>
    <w:rsid w:val="00FC0D36"/>
    <w:rsid w:val="00FC0DD6"/>
    <w:rsid w:val="00FF5A03"/>
    <w:rsid w:val="00FF79A5"/>
    <w:rsid w:val="058F7A7B"/>
    <w:rsid w:val="060759E1"/>
    <w:rsid w:val="12819995"/>
    <w:rsid w:val="12F91E2F"/>
    <w:rsid w:val="212CDA1C"/>
    <w:rsid w:val="35657C9F"/>
    <w:rsid w:val="38F90CF5"/>
    <w:rsid w:val="3DB88494"/>
    <w:rsid w:val="40D0996D"/>
    <w:rsid w:val="41286588"/>
    <w:rsid w:val="44BDD89A"/>
    <w:rsid w:val="479E0000"/>
    <w:rsid w:val="4939D061"/>
    <w:rsid w:val="4C2A5F44"/>
    <w:rsid w:val="4D070F07"/>
    <w:rsid w:val="570790C6"/>
    <w:rsid w:val="5EE20746"/>
    <w:rsid w:val="68CFE348"/>
    <w:rsid w:val="68F2FC0A"/>
    <w:rsid w:val="6D777B3F"/>
    <w:rsid w:val="70A6B597"/>
    <w:rsid w:val="79968398"/>
    <w:rsid w:val="7AC75AE8"/>
    <w:rsid w:val="7C73C6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E0AA"/>
  <w15:docId w15:val="{5E6BBAAB-C0D7-4CBC-95E9-6C05C461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2A502E"/>
  </w:style>
  <w:style w:type="paragraph" w:customStyle="1" w:styleId="contact-details-block">
    <w:name w:val="contact-details-block"/>
    <w:basedOn w:val="Normal"/>
    <w:rsid w:val="003D1789"/>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6391"/>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255558">
      <w:bodyDiv w:val="1"/>
      <w:marLeft w:val="0"/>
      <w:marRight w:val="0"/>
      <w:marTop w:val="0"/>
      <w:marBottom w:val="0"/>
      <w:divBdr>
        <w:top w:val="none" w:sz="0" w:space="0" w:color="auto"/>
        <w:left w:val="none" w:sz="0" w:space="0" w:color="auto"/>
        <w:bottom w:val="none" w:sz="0" w:space="0" w:color="auto"/>
        <w:right w:val="none" w:sz="0" w:space="0" w:color="auto"/>
      </w:divBdr>
    </w:div>
    <w:div w:id="1225070686">
      <w:bodyDiv w:val="1"/>
      <w:marLeft w:val="0"/>
      <w:marRight w:val="0"/>
      <w:marTop w:val="0"/>
      <w:marBottom w:val="0"/>
      <w:divBdr>
        <w:top w:val="none" w:sz="0" w:space="0" w:color="auto"/>
        <w:left w:val="none" w:sz="0" w:space="0" w:color="auto"/>
        <w:bottom w:val="none" w:sz="0" w:space="0" w:color="auto"/>
        <w:right w:val="none" w:sz="0" w:space="0" w:color="auto"/>
      </w:divBdr>
    </w:div>
    <w:div w:id="1271009107">
      <w:bodyDiv w:val="1"/>
      <w:marLeft w:val="0"/>
      <w:marRight w:val="0"/>
      <w:marTop w:val="0"/>
      <w:marBottom w:val="0"/>
      <w:divBdr>
        <w:top w:val="none" w:sz="0" w:space="0" w:color="auto"/>
        <w:left w:val="none" w:sz="0" w:space="0" w:color="auto"/>
        <w:bottom w:val="none" w:sz="0" w:space="0" w:color="auto"/>
        <w:right w:val="none" w:sz="0" w:space="0" w:color="auto"/>
      </w:divBdr>
    </w:div>
    <w:div w:id="151650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2021-09-10T10:01:23+00:00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TaxCatchAll xmlns="0063f72e-ace3-48fb-9c1f-5b513408b31f">
      <Value>521</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UK ETS Delivery</TermName>
          <TermId xmlns="http://schemas.microsoft.com/office/infopath/2007/PartnerControls">1788b8e5-6d0a-4cde-aaf0-425d3e6d5788</TermId>
        </TermInfo>
      </Terms>
    </m975189f4ba442ecbf67d4147307b177>
    <_dlc_DocId xmlns="0063f72e-ace3-48fb-9c1f-5b513408b31f">2QFN7KK647Q6-1508220509-63136</_dlc_DocId>
    <_dlc_DocIdUrl xmlns="0063f72e-ace3-48fb-9c1f-5b513408b31f">
      <Url>https://beisgov.sharepoint.com/sites/beis/205/_layouts/15/DocIdRedir.aspx?ID=2QFN7KK647Q6-1508220509-63136</Url>
      <Description>2QFN7KK647Q6-1508220509-63136</Description>
    </_dlc_DocIdUrl>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Folder xmlns="236339c9-72aa-4b4d-b629-41cb8f8725a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0CE25-E902-49C2-82C2-4DF605D3BB7A}"/>
</file>

<file path=customXml/itemProps2.xml><?xml version="1.0" encoding="utf-8"?>
<ds:datastoreItem xmlns:ds="http://schemas.openxmlformats.org/officeDocument/2006/customXml" ds:itemID="{212D5B9F-8FC7-4EA0-8867-EE07FD0EB2D9}">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15e6204a-d2eb-4ebd-9daf-11f8a8d10234"/>
    <ds:schemaRef ds:uri="a8f60570-4bd3-4f2b-950b-a996de8ab151"/>
  </ds:schemaRefs>
</ds:datastoreItem>
</file>

<file path=customXml/itemProps3.xml><?xml version="1.0" encoding="utf-8"?>
<ds:datastoreItem xmlns:ds="http://schemas.openxmlformats.org/officeDocument/2006/customXml" ds:itemID="{DD40B585-7AB3-4425-B071-15D958446DE4}">
  <ds:schemaRefs>
    <ds:schemaRef ds:uri="http://schemas.microsoft.com/sharepoint/events"/>
  </ds:schemaRefs>
</ds:datastoreItem>
</file>

<file path=customXml/itemProps4.xml><?xml version="1.0" encoding="utf-8"?>
<ds:datastoreItem xmlns:ds="http://schemas.openxmlformats.org/officeDocument/2006/customXml" ds:itemID="{96C8FC54-1452-4F00-B9CE-C512CFA32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12885</Words>
  <Characters>73446</Characters>
  <Application>Microsoft Office Word</Application>
  <DocSecurity>0</DocSecurity>
  <Lines>612</Lines>
  <Paragraphs>172</Paragraphs>
  <ScaleCrop>false</ScaleCrop>
  <Company/>
  <LinksUpToDate>false</LinksUpToDate>
  <CharactersWithSpaces>86159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Wisby, Felix (Commercial)</cp:lastModifiedBy>
  <cp:revision>3</cp:revision>
  <cp:lastPrinted>2021-09-15T11:22:00Z</cp:lastPrinted>
  <dcterms:created xsi:type="dcterms:W3CDTF">2021-09-20T08:46:00Z</dcterms:created>
  <dcterms:modified xsi:type="dcterms:W3CDTF">2021-09-20T08:48:00Z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ContentTypeId">
    <vt:lpwstr>0x01010027B6D0DFEE2B924BB3DA44ADB5FFCB77</vt:lpwstr>
  </property>
  <property fmtid="{D5CDD505-2E9C-101B-9397-08002B2CF9AE}" pid="10" name="Business Unit">
    <vt:lpwstr>521;#UK ETS Delivery|1788b8e5-6d0a-4cde-aaf0-425d3e6d5788</vt:lpwstr>
  </property>
  <property fmtid="{D5CDD505-2E9C-101B-9397-08002B2CF9AE}" pid="11" name="_dlc_DocIdItemGuid">
    <vt:lpwstr>c921181d-e3a6-44b1-9ef9-2f9386d5a9e2</vt:lpwstr>
  </property>
</Properties>
</file>