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w:t>
      </w:r>
      <w:r w:rsidR="00A44825">
        <w:rPr>
          <w:rFonts w:cs="Arial"/>
          <w:b/>
        </w:rPr>
        <w:t>FQ147 Room Fire IT Equipment Replacement</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34" w:rsidRDefault="00B22E3B">
      <w:pPr>
        <w:spacing w:before="0" w:after="0" w:line="240" w:lineRule="auto"/>
      </w:pPr>
      <w:r>
        <w:separator/>
      </w:r>
    </w:p>
  </w:endnote>
  <w:endnote w:type="continuationSeparator" w:id="0">
    <w:p w:rsidR="00E86E34"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34" w:rsidRDefault="00B22E3B">
      <w:pPr>
        <w:spacing w:before="0" w:after="0" w:line="240" w:lineRule="auto"/>
      </w:pPr>
      <w:r>
        <w:separator/>
      </w:r>
    </w:p>
  </w:footnote>
  <w:footnote w:type="continuationSeparator" w:id="0">
    <w:p w:rsidR="00E86E34"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A4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A44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270980"/>
    <w:rsid w:val="002B0B9E"/>
    <w:rsid w:val="00A44825"/>
    <w:rsid w:val="00B22E3B"/>
    <w:rsid w:val="00C5759C"/>
    <w:rsid w:val="00D40C05"/>
    <w:rsid w:val="00D94486"/>
    <w:rsid w:val="00E86E3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4319"/>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AEEB2-F0F6-403C-B738-A545FC75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Angela Bailey</cp:lastModifiedBy>
  <cp:revision>4</cp:revision>
  <dcterms:created xsi:type="dcterms:W3CDTF">2020-07-24T07:10:00Z</dcterms:created>
  <dcterms:modified xsi:type="dcterms:W3CDTF">2020-07-30T05:52:00Z</dcterms:modified>
</cp:coreProperties>
</file>