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20BD" w:rsidP="008A20BD" w:rsidRDefault="008A20BD" w14:paraId="26B7A4B6" w14:textId="31E38C0A">
      <w:pPr>
        <w:pStyle w:val="Schedule1"/>
      </w:pPr>
      <w:r>
        <w:t>SCHEDULE 6</w:t>
      </w:r>
    </w:p>
    <w:p w:rsidR="008A20BD" w:rsidP="008A20BD" w:rsidRDefault="008A20BD" w14:paraId="6E3691F0" w14:textId="77777777">
      <w:pPr>
        <w:pStyle w:val="Schedule2"/>
      </w:pPr>
      <w:r>
        <w:t>Governance, Management Information, Reports, Records and Audit</w:t>
      </w:r>
    </w:p>
    <w:p w:rsidR="008A20BD" w:rsidP="000D50A3" w:rsidRDefault="008A20BD" w14:paraId="3E898A64" w14:textId="77777777">
      <w:pPr>
        <w:pStyle w:val="Schedule2"/>
        <w:keepNext/>
      </w:pPr>
      <w:r w:rsidRPr="008A20BD">
        <w:t>Part A: Governance</w:t>
      </w:r>
    </w:p>
    <w:p w:rsidR="008A20BD" w:rsidP="008A20BD" w:rsidRDefault="008A20BD" w14:paraId="3D8EEEE0" w14:textId="77777777">
      <w:pPr>
        <w:pStyle w:val="Simple1"/>
        <w:keepNext/>
        <w:rPr>
          <w:b/>
        </w:rPr>
      </w:pPr>
      <w:r w:rsidRPr="008A20BD">
        <w:rPr>
          <w:b/>
        </w:rPr>
        <w:t>INTRODUCTION</w:t>
      </w:r>
    </w:p>
    <w:p w:rsidRPr="00D328F0" w:rsidR="00D328F0" w:rsidP="3A17B66E" w:rsidRDefault="00D328F0" w14:paraId="2F6EEB55" w14:textId="15D9F449">
      <w:pPr>
        <w:pStyle w:val="Simple1"/>
        <w:keepNext w:val="1"/>
        <w:numPr>
          <w:numId w:val="0"/>
        </w:numPr>
        <w:ind w:left="709"/>
        <w:rPr>
          <w:b w:val="1"/>
          <w:bCs w:val="1"/>
          <w:i w:val="1"/>
          <w:iCs w:val="1"/>
        </w:rPr>
      </w:pPr>
      <w:r w:rsidRPr="3A17B66E" w:rsidR="1E0FE128">
        <w:rPr>
          <w:b w:val="1"/>
          <w:bCs w:val="1"/>
          <w:i w:val="1"/>
          <w:iCs w:val="1"/>
        </w:rPr>
        <w:t>[</w:t>
      </w:r>
      <w:r w:rsidRPr="3A17B66E" w:rsidR="6D4B00CC">
        <w:rPr>
          <w:b w:val="1"/>
          <w:bCs w:val="1"/>
          <w:i w:val="1"/>
          <w:iCs w:val="1"/>
        </w:rPr>
        <w:t>Note to Tenderers</w:t>
      </w:r>
      <w:r w:rsidRPr="3A17B66E" w:rsidR="1E0FE128">
        <w:rPr>
          <w:b w:val="1"/>
          <w:bCs w:val="1"/>
          <w:i w:val="1"/>
          <w:iCs w:val="1"/>
        </w:rPr>
        <w:t xml:space="preserve">: Timings of governance boards and timeframes </w:t>
      </w:r>
      <w:proofErr w:type="gramStart"/>
      <w:r w:rsidRPr="3A17B66E" w:rsidR="1E0FE128">
        <w:rPr>
          <w:b w:val="1"/>
          <w:bCs w:val="1"/>
          <w:i w:val="1"/>
          <w:iCs w:val="1"/>
        </w:rPr>
        <w:t>for the production of</w:t>
      </w:r>
      <w:proofErr w:type="gramEnd"/>
      <w:r w:rsidRPr="3A17B66E" w:rsidR="1E0FE128">
        <w:rPr>
          <w:b w:val="1"/>
          <w:bCs w:val="1"/>
          <w:i w:val="1"/>
          <w:iCs w:val="1"/>
        </w:rPr>
        <w:t xml:space="preserve"> MI and data to feed into each of the meetings will be discussed with </w:t>
      </w:r>
      <w:r w:rsidRPr="3A17B66E" w:rsidR="6D4B00CC">
        <w:rPr>
          <w:b w:val="1"/>
          <w:bCs w:val="1"/>
          <w:i w:val="1"/>
          <w:iCs w:val="1"/>
        </w:rPr>
        <w:t>Tenderer</w:t>
      </w:r>
      <w:r w:rsidRPr="3A17B66E" w:rsidR="33737DD8">
        <w:rPr>
          <w:b w:val="1"/>
          <w:bCs w:val="1"/>
          <w:i w:val="1"/>
          <w:iCs w:val="1"/>
        </w:rPr>
        <w:t>s</w:t>
      </w:r>
      <w:r w:rsidRPr="3A17B66E" w:rsidR="1E0FE128">
        <w:rPr>
          <w:b w:val="1"/>
          <w:bCs w:val="1"/>
          <w:i w:val="1"/>
          <w:iCs w:val="1"/>
        </w:rPr>
        <w:t xml:space="preserve"> during negotiation.]</w:t>
      </w:r>
      <w:r w:rsidRPr="3A17B66E" w:rsidR="1C74FE4B">
        <w:rPr>
          <w:b w:val="1"/>
          <w:bCs w:val="1"/>
          <w:i w:val="1"/>
          <w:iCs w:val="1"/>
        </w:rPr>
        <w:t xml:space="preserve"> </w:t>
      </w:r>
    </w:p>
    <w:p w:rsidRPr="00531CE8" w:rsidR="008A20BD" w:rsidP="007E46AF" w:rsidRDefault="008A20BD" w14:paraId="4D46DB31" w14:textId="77777777">
      <w:pPr>
        <w:pStyle w:val="Simple2"/>
        <w:keepNext/>
        <w:numPr>
          <w:ilvl w:val="0"/>
          <w:numId w:val="0"/>
        </w:numPr>
        <w:ind w:left="709"/>
      </w:pPr>
      <w:r w:rsidRPr="008A20BD">
        <w:rPr>
          <w:b/>
        </w:rPr>
        <w:t>Overview</w:t>
      </w:r>
      <w:r w:rsidRPr="00531CE8">
        <w:t xml:space="preserve"> </w:t>
      </w:r>
    </w:p>
    <w:p w:rsidR="008A20BD" w:rsidP="00B951B9" w:rsidRDefault="008A20BD" w14:paraId="3253D34C" w14:textId="77777777">
      <w:pPr>
        <w:pStyle w:val="Simple2"/>
        <w:tabs>
          <w:tab w:val="left" w:pos="2977"/>
        </w:tabs>
      </w:pPr>
      <w:r>
        <w:t xml:space="preserve">This </w:t>
      </w:r>
      <w:r w:rsidRPr="00A92B4E">
        <w:t>Schedule details the meetings, roles and responsibilities, information provision and the processes and procedures which are required to be followed by the Parties to facilitate management of the Contract.</w:t>
      </w:r>
    </w:p>
    <w:p w:rsidR="008A20BD" w:rsidP="007E46AF" w:rsidRDefault="008A20BD" w14:paraId="54DDE50C" w14:textId="77777777">
      <w:pPr>
        <w:pStyle w:val="Simple2"/>
      </w:pPr>
      <w:r>
        <w:t>The governance structure for this Contract comprises of the following boards:</w:t>
      </w:r>
    </w:p>
    <w:p w:rsidR="008A20BD" w:rsidP="007E46AF" w:rsidRDefault="008A20BD" w14:paraId="5FA8E06A" w14:textId="53BD1113">
      <w:pPr>
        <w:pStyle w:val="Simple3"/>
      </w:pPr>
      <w:r>
        <w:t>the Strategic Board</w:t>
      </w:r>
      <w:r w:rsidR="00A775B2">
        <w:t xml:space="preserve">, as more fully described in </w:t>
      </w:r>
      <w:r w:rsidR="00B761F0">
        <w:t>paragraph</w:t>
      </w:r>
      <w:r w:rsidR="00B74F29">
        <w:t xml:space="preserve"> </w:t>
      </w:r>
      <w:r w:rsidR="00A775B2">
        <w:t>2</w:t>
      </w:r>
      <w:r>
        <w:t>;</w:t>
      </w:r>
    </w:p>
    <w:p w:rsidR="008A20BD" w:rsidP="007E46AF" w:rsidRDefault="008A20BD" w14:paraId="6CB6214A" w14:textId="2E36B038">
      <w:pPr>
        <w:pStyle w:val="Simple3"/>
      </w:pPr>
      <w:r>
        <w:t>the Monthly Performance Review Board</w:t>
      </w:r>
      <w:r w:rsidR="00A775B2">
        <w:t xml:space="preserve">, as more fully described in </w:t>
      </w:r>
      <w:r w:rsidR="00B761F0">
        <w:t>paragraph</w:t>
      </w:r>
      <w:r w:rsidR="00B74F29">
        <w:t xml:space="preserve"> </w:t>
      </w:r>
      <w:r w:rsidR="00A775B2">
        <w:t>3</w:t>
      </w:r>
      <w:r>
        <w:t xml:space="preserve">; </w:t>
      </w:r>
    </w:p>
    <w:p w:rsidR="0081002D" w:rsidP="007E46AF" w:rsidRDefault="008A20BD" w14:paraId="22280B78" w14:textId="0F2DB1CA">
      <w:pPr>
        <w:pStyle w:val="Simple3"/>
      </w:pPr>
      <w:r>
        <w:t xml:space="preserve">the Local </w:t>
      </w:r>
      <w:r w:rsidRPr="00EE463D">
        <w:t>P</w:t>
      </w:r>
      <w:r>
        <w:t>erformance Working Groups</w:t>
      </w:r>
      <w:r w:rsidR="00A775B2">
        <w:t xml:space="preserve">, as more fully described in </w:t>
      </w:r>
      <w:r w:rsidR="00B761F0">
        <w:t>paragraph</w:t>
      </w:r>
      <w:r w:rsidR="00B74F29">
        <w:t xml:space="preserve"> </w:t>
      </w:r>
      <w:r w:rsidR="00A775B2">
        <w:t>4</w:t>
      </w:r>
      <w:r w:rsidR="0081002D">
        <w:t>,</w:t>
      </w:r>
    </w:p>
    <w:p w:rsidR="0081002D" w:rsidP="0081002D" w:rsidRDefault="0081002D" w14:paraId="754CD089" w14:textId="77777777">
      <w:pPr>
        <w:pStyle w:val="Simple3"/>
        <w:numPr>
          <w:ilvl w:val="0"/>
          <w:numId w:val="0"/>
        </w:numPr>
        <w:ind w:left="709"/>
      </w:pPr>
      <w:r>
        <w:t>in accordance with Schedule 6 (</w:t>
      </w:r>
      <w:r w:rsidRPr="009E3732">
        <w:t xml:space="preserve">Governance, Management Information, </w:t>
      </w:r>
      <w:r>
        <w:t xml:space="preserve">Reports, Records and </w:t>
      </w:r>
      <w:r w:rsidRPr="009E3732">
        <w:t>Audit</w:t>
      </w:r>
      <w:r>
        <w:t>); and</w:t>
      </w:r>
    </w:p>
    <w:p w:rsidR="008A20BD" w:rsidP="006D6E5F" w:rsidRDefault="0081002D" w14:paraId="1EE8FEB9" w14:textId="3A378AEE">
      <w:pPr>
        <w:pStyle w:val="Simple3"/>
      </w:pPr>
      <w:r>
        <w:t>the Exit Steering Group in accordance with Schedule 21 (Exit Management).</w:t>
      </w:r>
    </w:p>
    <w:p w:rsidRPr="00531CE8" w:rsidR="008A20BD" w:rsidP="007E46AF" w:rsidRDefault="00533935" w14:paraId="6B80C8DC" w14:textId="69CF76FA">
      <w:pPr>
        <w:pStyle w:val="Simple2"/>
        <w:keepNext/>
        <w:numPr>
          <w:ilvl w:val="0"/>
          <w:numId w:val="0"/>
        </w:numPr>
        <w:ind w:left="709"/>
      </w:pPr>
      <w:r>
        <w:rPr>
          <w:b/>
        </w:rPr>
        <w:t xml:space="preserve">Governance </w:t>
      </w:r>
      <w:r w:rsidRPr="008A20BD" w:rsidR="008A20BD">
        <w:rPr>
          <w:b/>
        </w:rPr>
        <w:t>Meetings</w:t>
      </w:r>
      <w:r w:rsidRPr="00531CE8" w:rsidR="008A20BD">
        <w:t xml:space="preserve"> </w:t>
      </w:r>
    </w:p>
    <w:p w:rsidR="008A20BD" w:rsidP="007E46AF" w:rsidRDefault="008A20BD" w14:paraId="46A68EF7" w14:textId="05FD581D">
      <w:pPr>
        <w:pStyle w:val="Simple2"/>
      </w:pPr>
      <w:r w:rsidRPr="009E3732">
        <w:t xml:space="preserve">The Contractor and the Authority shall attend and shall procure the attendance of their respective representatives as required, or in the case of the Contractor as requested by the Authority, at the meetings set out </w:t>
      </w:r>
      <w:r w:rsidR="00A775B2">
        <w:t xml:space="preserve">in the table below, as more fully described </w:t>
      </w:r>
      <w:r w:rsidRPr="009E3732">
        <w:t xml:space="preserve">in </w:t>
      </w:r>
      <w:r w:rsidR="00A775B2">
        <w:t xml:space="preserve">the remainder of this </w:t>
      </w:r>
      <w:r w:rsidRPr="009E3732">
        <w:t xml:space="preserve">Part A to this Schedule </w:t>
      </w:r>
      <w:r>
        <w:t>6</w:t>
      </w:r>
      <w:r w:rsidRPr="009E3732">
        <w:t xml:space="preserve"> (Governance, Management Information, </w:t>
      </w:r>
      <w:r>
        <w:t xml:space="preserve">Reports, Records and </w:t>
      </w:r>
      <w:r w:rsidRPr="009E3732">
        <w:t xml:space="preserve">Audit).  </w:t>
      </w:r>
    </w:p>
    <w:tbl>
      <w:tblPr>
        <w:tblStyle w:val="TableGrid"/>
        <w:tblW w:w="0" w:type="auto"/>
        <w:tblInd w:w="709" w:type="dxa"/>
        <w:tblLook w:val="04A0" w:firstRow="1" w:lastRow="0" w:firstColumn="1" w:lastColumn="0" w:noHBand="0" w:noVBand="1"/>
      </w:tblPr>
      <w:tblGrid>
        <w:gridCol w:w="4153"/>
        <w:gridCol w:w="4154"/>
      </w:tblGrid>
      <w:tr w:rsidR="009D3932" w:rsidTr="00533935" w14:paraId="38DD0F2D" w14:textId="77777777">
        <w:tc>
          <w:tcPr>
            <w:tcW w:w="4153" w:type="dxa"/>
          </w:tcPr>
          <w:p w:rsidRPr="009D3932" w:rsidR="009D3932" w:rsidP="009D3932" w:rsidRDefault="009D3932" w14:paraId="678535BB" w14:textId="057BD494">
            <w:pPr>
              <w:pStyle w:val="Simple2"/>
              <w:numPr>
                <w:ilvl w:val="0"/>
                <w:numId w:val="0"/>
              </w:numPr>
              <w:jc w:val="center"/>
              <w:rPr>
                <w:b/>
              </w:rPr>
            </w:pPr>
            <w:r w:rsidRPr="009D3932">
              <w:rPr>
                <w:b/>
              </w:rPr>
              <w:t>Governing body</w:t>
            </w:r>
          </w:p>
        </w:tc>
        <w:tc>
          <w:tcPr>
            <w:tcW w:w="4154" w:type="dxa"/>
          </w:tcPr>
          <w:p w:rsidRPr="009D3932" w:rsidR="009D3932" w:rsidP="009D3932" w:rsidRDefault="009D3932" w14:paraId="7C6B3BAB" w14:textId="2FC91062">
            <w:pPr>
              <w:pStyle w:val="Simple2"/>
              <w:numPr>
                <w:ilvl w:val="0"/>
                <w:numId w:val="0"/>
              </w:numPr>
              <w:jc w:val="center"/>
              <w:rPr>
                <w:b/>
              </w:rPr>
            </w:pPr>
            <w:r w:rsidRPr="009D3932">
              <w:rPr>
                <w:b/>
              </w:rPr>
              <w:t>Summary of meeting requirement</w:t>
            </w:r>
          </w:p>
        </w:tc>
      </w:tr>
      <w:tr w:rsidR="009D3932" w:rsidTr="00533935" w14:paraId="138E29B6" w14:textId="77777777">
        <w:tc>
          <w:tcPr>
            <w:tcW w:w="4153" w:type="dxa"/>
          </w:tcPr>
          <w:p w:rsidR="009D3932" w:rsidP="00A775B2" w:rsidRDefault="009D3932" w14:paraId="139BF529" w14:textId="3E623312">
            <w:pPr>
              <w:pStyle w:val="Simple2"/>
              <w:numPr>
                <w:ilvl w:val="0"/>
                <w:numId w:val="0"/>
              </w:numPr>
            </w:pPr>
            <w:r>
              <w:t>Strategic Board</w:t>
            </w:r>
          </w:p>
        </w:tc>
        <w:tc>
          <w:tcPr>
            <w:tcW w:w="4154" w:type="dxa"/>
          </w:tcPr>
          <w:p w:rsidR="009D3932" w:rsidP="00B64FCB" w:rsidRDefault="009D3932" w14:paraId="6118E821" w14:textId="00F57A69">
            <w:pPr>
              <w:pStyle w:val="Simple2"/>
              <w:numPr>
                <w:ilvl w:val="0"/>
                <w:numId w:val="0"/>
              </w:numPr>
            </w:pPr>
            <w:r>
              <w:t xml:space="preserve">Every six (6) months, and on an ad hoc basis as required, as set out in </w:t>
            </w:r>
            <w:r w:rsidR="00B761F0">
              <w:t>paragraph</w:t>
            </w:r>
            <w:r w:rsidR="00B74F29">
              <w:t xml:space="preserve"> </w:t>
            </w:r>
            <w:r w:rsidR="00E83B57">
              <w:t>2.1</w:t>
            </w:r>
            <w:r w:rsidR="00B64FCB">
              <w:t>0</w:t>
            </w:r>
            <w:r>
              <w:t>.</w:t>
            </w:r>
          </w:p>
        </w:tc>
      </w:tr>
      <w:tr w:rsidR="009D3932" w:rsidTr="00533935" w14:paraId="4238B9F3" w14:textId="77777777">
        <w:tc>
          <w:tcPr>
            <w:tcW w:w="4153" w:type="dxa"/>
          </w:tcPr>
          <w:p w:rsidR="009D3932" w:rsidP="00A775B2" w:rsidRDefault="009D3932" w14:paraId="4FE2D7EC" w14:textId="3FC6C5CE">
            <w:pPr>
              <w:pStyle w:val="Simple2"/>
              <w:numPr>
                <w:ilvl w:val="0"/>
                <w:numId w:val="0"/>
              </w:numPr>
            </w:pPr>
            <w:r>
              <w:t>Monthly Performance Review Board</w:t>
            </w:r>
          </w:p>
        </w:tc>
        <w:tc>
          <w:tcPr>
            <w:tcW w:w="4154" w:type="dxa"/>
          </w:tcPr>
          <w:p w:rsidR="009D3932" w:rsidP="00E83B57" w:rsidRDefault="009D3932" w14:paraId="4C826A66" w14:textId="7D8C7D67">
            <w:pPr>
              <w:pStyle w:val="Simple2"/>
              <w:numPr>
                <w:ilvl w:val="0"/>
                <w:numId w:val="0"/>
              </w:numPr>
            </w:pPr>
            <w:r>
              <w:t xml:space="preserve">Every month, as set out in </w:t>
            </w:r>
            <w:r w:rsidR="00B761F0">
              <w:t>paragraph</w:t>
            </w:r>
            <w:r w:rsidR="00B74F29">
              <w:t xml:space="preserve"> </w:t>
            </w:r>
            <w:r>
              <w:t>3.3.</w:t>
            </w:r>
          </w:p>
        </w:tc>
      </w:tr>
      <w:tr w:rsidR="009D3932" w:rsidTr="00533935" w14:paraId="259E650D" w14:textId="77777777">
        <w:tc>
          <w:tcPr>
            <w:tcW w:w="4153" w:type="dxa"/>
          </w:tcPr>
          <w:p w:rsidR="009D3932" w:rsidP="00A775B2" w:rsidRDefault="009D3932" w14:paraId="15427287" w14:textId="4274429D">
            <w:pPr>
              <w:pStyle w:val="Simple2"/>
              <w:numPr>
                <w:ilvl w:val="0"/>
                <w:numId w:val="0"/>
              </w:numPr>
            </w:pPr>
            <w:r>
              <w:t xml:space="preserve">Local </w:t>
            </w:r>
            <w:r w:rsidRPr="00EE463D">
              <w:t>P</w:t>
            </w:r>
            <w:r>
              <w:t>erformance Working Groups</w:t>
            </w:r>
          </w:p>
        </w:tc>
        <w:tc>
          <w:tcPr>
            <w:tcW w:w="4154" w:type="dxa"/>
          </w:tcPr>
          <w:p w:rsidR="009D3932" w:rsidP="00E83B57" w:rsidRDefault="00E435D0" w14:paraId="313050F4" w14:textId="387680F2">
            <w:pPr>
              <w:pStyle w:val="Simple2"/>
              <w:numPr>
                <w:ilvl w:val="0"/>
                <w:numId w:val="0"/>
              </w:numPr>
            </w:pPr>
            <w:r>
              <w:t xml:space="preserve">Every month, as set out in </w:t>
            </w:r>
            <w:r w:rsidR="00B761F0">
              <w:t>paragraph</w:t>
            </w:r>
            <w:r w:rsidR="00B74F29">
              <w:t xml:space="preserve"> </w:t>
            </w:r>
            <w:r>
              <w:t>4.3.</w:t>
            </w:r>
          </w:p>
        </w:tc>
      </w:tr>
      <w:tr w:rsidR="009D3932" w:rsidTr="00533935" w14:paraId="1979733B" w14:textId="77777777">
        <w:tc>
          <w:tcPr>
            <w:tcW w:w="4153" w:type="dxa"/>
          </w:tcPr>
          <w:p w:rsidR="009D3932" w:rsidP="00A775B2" w:rsidRDefault="00E435D0" w14:paraId="5336A158" w14:textId="20DA2E41">
            <w:pPr>
              <w:pStyle w:val="Simple2"/>
              <w:numPr>
                <w:ilvl w:val="0"/>
                <w:numId w:val="0"/>
              </w:numPr>
            </w:pPr>
            <w:r>
              <w:t>Exit Steering Group</w:t>
            </w:r>
          </w:p>
        </w:tc>
        <w:tc>
          <w:tcPr>
            <w:tcW w:w="4154" w:type="dxa"/>
          </w:tcPr>
          <w:p w:rsidR="009D3932" w:rsidP="00E435D0" w:rsidRDefault="00E435D0" w14:paraId="71D87E7D" w14:textId="05B25F28">
            <w:pPr>
              <w:pStyle w:val="Simple2"/>
              <w:numPr>
                <w:ilvl w:val="0"/>
                <w:numId w:val="0"/>
              </w:numPr>
            </w:pPr>
            <w:r>
              <w:t xml:space="preserve">As set out in the Exit </w:t>
            </w:r>
            <w:r w:rsidR="00B64FCB">
              <w:t xml:space="preserve">Management </w:t>
            </w:r>
            <w:r>
              <w:t>Plan.</w:t>
            </w:r>
          </w:p>
        </w:tc>
      </w:tr>
    </w:tbl>
    <w:p w:rsidR="00A775B2" w:rsidP="00533935" w:rsidRDefault="00A775B2" w14:paraId="632A06A2" w14:textId="040F4686">
      <w:pPr>
        <w:pStyle w:val="Simple2"/>
        <w:numPr>
          <w:ilvl w:val="0"/>
          <w:numId w:val="0"/>
        </w:numPr>
        <w:ind w:left="709"/>
      </w:pPr>
    </w:p>
    <w:p w:rsidR="00204EA7" w:rsidP="00770397" w:rsidRDefault="0081115F" w14:paraId="6631A6B0" w14:textId="77777777">
      <w:pPr>
        <w:pStyle w:val="Simple2"/>
      </w:pPr>
      <w:bookmarkStart w:name="_Ref114736065" w:id="0"/>
      <w:r w:rsidRPr="009E3732">
        <w:t>The</w:t>
      </w:r>
      <w:r>
        <w:t xml:space="preserve"> Contractor shall ensure that its representatives, at all board</w:t>
      </w:r>
      <w:r w:rsidR="00204EA7">
        <w:t>s:</w:t>
      </w:r>
      <w:bookmarkEnd w:id="0"/>
    </w:p>
    <w:p w:rsidR="00204EA7" w:rsidP="00770397" w:rsidRDefault="0081115F" w14:paraId="2D146ABA" w14:textId="77777777">
      <w:pPr>
        <w:pStyle w:val="Simple3"/>
      </w:pPr>
      <w:r>
        <w:t>have an appropriate level of seniority, expertise and experience</w:t>
      </w:r>
      <w:r w:rsidR="00204EA7">
        <w:t>;</w:t>
      </w:r>
    </w:p>
    <w:p w:rsidR="00204EA7" w:rsidP="00770397" w:rsidRDefault="00204EA7" w14:paraId="191EB869" w14:textId="0E344872">
      <w:pPr>
        <w:pStyle w:val="Simple3"/>
      </w:pPr>
      <w:r>
        <w:t>attend all meetings as required by this Schedule 6 (</w:t>
      </w:r>
      <w:r w:rsidRPr="009E3732">
        <w:t xml:space="preserve">Governance, Management Information, </w:t>
      </w:r>
      <w:r>
        <w:t xml:space="preserve">Reports, Records and </w:t>
      </w:r>
      <w:r w:rsidRPr="009E3732">
        <w:t>Audit</w:t>
      </w:r>
      <w:r>
        <w:t>); and</w:t>
      </w:r>
    </w:p>
    <w:p w:rsidR="0081115F" w:rsidP="00770397" w:rsidRDefault="0081115F" w14:paraId="59113302" w14:textId="28286504">
      <w:pPr>
        <w:pStyle w:val="Simple3"/>
      </w:pPr>
      <w:r>
        <w:t xml:space="preserve">are fully briefed and prepared for any meeting. </w:t>
      </w:r>
    </w:p>
    <w:p w:rsidRPr="00533935" w:rsidR="00533935" w:rsidP="00533935" w:rsidRDefault="00533935" w14:paraId="6135140C" w14:textId="3CA377C0">
      <w:pPr>
        <w:pStyle w:val="Simple2"/>
        <w:numPr>
          <w:ilvl w:val="0"/>
          <w:numId w:val="0"/>
        </w:numPr>
        <w:ind w:left="709"/>
        <w:rPr>
          <w:b/>
        </w:rPr>
      </w:pPr>
      <w:r>
        <w:rPr>
          <w:b/>
        </w:rPr>
        <w:t>Other Meetings</w:t>
      </w:r>
    </w:p>
    <w:p w:rsidRPr="009E3732" w:rsidR="00533935" w:rsidP="00533935" w:rsidRDefault="00533935" w14:paraId="069F2D88" w14:textId="007261AB">
      <w:pPr>
        <w:pStyle w:val="Simple2"/>
      </w:pPr>
      <w:bookmarkStart w:name="_Ref110456396" w:id="1"/>
      <w:r w:rsidRPr="009E3732">
        <w:t>The Contractor</w:t>
      </w:r>
      <w:r>
        <w:t xml:space="preserve"> acknowledges that </w:t>
      </w:r>
      <w:r w:rsidR="00FA2D74">
        <w:t xml:space="preserve">it </w:t>
      </w:r>
      <w:r>
        <w:t>is required to attend other meetings and committees (including for operational</w:t>
      </w:r>
      <w:r w:rsidR="004D6CA7">
        <w:t>,</w:t>
      </w:r>
      <w:r>
        <w:t xml:space="preserve"> planning</w:t>
      </w:r>
      <w:r w:rsidR="004D6CA7">
        <w:t xml:space="preserve"> and stakeholder management</w:t>
      </w:r>
      <w:r>
        <w:t xml:space="preserve"> purposes) as set out in Sched</w:t>
      </w:r>
      <w:r w:rsidR="00BD2380">
        <w:t>ule 2 (Statement of Requirement</w:t>
      </w:r>
      <w:r>
        <w:t>), and the Contractor shall attend all such meetings as required.</w:t>
      </w:r>
      <w:bookmarkEnd w:id="1"/>
    </w:p>
    <w:p w:rsidRPr="008A20BD" w:rsidR="008A20BD" w:rsidP="008A20BD" w:rsidRDefault="008A20BD" w14:paraId="7EC77B0F" w14:textId="77777777">
      <w:pPr>
        <w:pStyle w:val="Simple1"/>
        <w:keepNext/>
        <w:rPr>
          <w:b/>
        </w:rPr>
      </w:pPr>
      <w:r w:rsidRPr="008A20BD">
        <w:rPr>
          <w:b/>
        </w:rPr>
        <w:t>STRATEGIC BOARD</w:t>
      </w:r>
    </w:p>
    <w:p w:rsidRPr="008A20BD" w:rsidR="008A20BD" w:rsidP="008A20BD" w:rsidRDefault="008A20BD" w14:paraId="45C8ECC7" w14:textId="77777777">
      <w:pPr>
        <w:pStyle w:val="Body2"/>
        <w:keepNext/>
        <w:rPr>
          <w:b/>
        </w:rPr>
      </w:pPr>
      <w:r w:rsidRPr="008A20BD">
        <w:rPr>
          <w:b/>
        </w:rPr>
        <w:t>Constitution of the Strategic Board</w:t>
      </w:r>
    </w:p>
    <w:p w:rsidRPr="00BA2095" w:rsidR="008A20BD" w:rsidP="008A20BD" w:rsidRDefault="008A20BD" w14:paraId="483071B9" w14:textId="77777777">
      <w:pPr>
        <w:pStyle w:val="Simple2"/>
        <w:keepNext/>
      </w:pPr>
      <w:bookmarkStart w:name="_Hlk29222978" w:id="2"/>
      <w:r w:rsidRPr="008A20BD">
        <w:rPr>
          <w:b/>
        </w:rPr>
        <w:t>Authority</w:t>
      </w:r>
      <w:r w:rsidR="007E46AF">
        <w:rPr>
          <w:b/>
        </w:rPr>
        <w:t>:</w:t>
      </w:r>
    </w:p>
    <w:p w:rsidRPr="0088250E" w:rsidR="008A20BD" w:rsidP="008A20BD" w:rsidRDefault="008A20BD" w14:paraId="0587A179" w14:textId="77777777">
      <w:pPr>
        <w:pStyle w:val="Simple3"/>
      </w:pPr>
      <w:r>
        <w:t>[</w:t>
      </w:r>
      <w:r w:rsidRPr="0088250E">
        <w:t xml:space="preserve">Authority Senior User (NBC(P)); </w:t>
      </w:r>
    </w:p>
    <w:p w:rsidRPr="0088250E" w:rsidR="008A20BD" w:rsidP="008A20BD" w:rsidRDefault="008A20BD" w14:paraId="3F4A5B93" w14:textId="77777777">
      <w:pPr>
        <w:pStyle w:val="Simple3"/>
      </w:pPr>
      <w:r w:rsidRPr="0088250E">
        <w:t xml:space="preserve">DMS TL; </w:t>
      </w:r>
    </w:p>
    <w:p w:rsidRPr="0088250E" w:rsidR="008A20BD" w:rsidP="008A20BD" w:rsidRDefault="008A20BD" w14:paraId="22A7EE38" w14:textId="77777777">
      <w:pPr>
        <w:pStyle w:val="Simple3"/>
      </w:pPr>
      <w:r w:rsidRPr="0088250E">
        <w:t xml:space="preserve">Head NC Commercial; </w:t>
      </w:r>
    </w:p>
    <w:p w:rsidRPr="00594E18" w:rsidR="008A20BD" w:rsidP="008A20BD" w:rsidRDefault="008A20BD" w14:paraId="1F6AAFB0" w14:textId="77777777">
      <w:pPr>
        <w:pStyle w:val="Simple3"/>
      </w:pPr>
      <w:r w:rsidRPr="0088250E">
        <w:t>Finance Head.</w:t>
      </w:r>
      <w:r>
        <w:t>]</w:t>
      </w:r>
      <w:r w:rsidRPr="0088250E">
        <w:t xml:space="preserve"> </w:t>
      </w:r>
    </w:p>
    <w:bookmarkEnd w:id="2"/>
    <w:p w:rsidRPr="00BA2095" w:rsidR="008A20BD" w:rsidP="008A20BD" w:rsidRDefault="008A20BD" w14:paraId="5AE2C881" w14:textId="77777777">
      <w:pPr>
        <w:pStyle w:val="Simple2"/>
        <w:keepNext/>
      </w:pPr>
      <w:r w:rsidRPr="008A20BD">
        <w:rPr>
          <w:b/>
        </w:rPr>
        <w:t>Contractor</w:t>
      </w:r>
      <w:r w:rsidR="007E46AF">
        <w:rPr>
          <w:b/>
        </w:rPr>
        <w:t>:</w:t>
      </w:r>
      <w:r w:rsidRPr="00BA2095">
        <w:t xml:space="preserve"> </w:t>
      </w:r>
    </w:p>
    <w:p w:rsidR="008A20BD" w:rsidP="008A20BD" w:rsidRDefault="008A20BD" w14:paraId="4932E756" w14:textId="77777777">
      <w:pPr>
        <w:pStyle w:val="Simple3"/>
      </w:pPr>
      <w:r>
        <w:t>[XXX</w:t>
      </w:r>
      <w:r w:rsidRPr="0088250E">
        <w:t>;</w:t>
      </w:r>
    </w:p>
    <w:p w:rsidR="008A20BD" w:rsidP="008A20BD" w:rsidRDefault="008A20BD" w14:paraId="40E1AC5A" w14:textId="77777777">
      <w:pPr>
        <w:pStyle w:val="Simple3"/>
      </w:pPr>
      <w:r>
        <w:t>XXX;</w:t>
      </w:r>
    </w:p>
    <w:p w:rsidR="008A20BD" w:rsidP="008A20BD" w:rsidRDefault="008A20BD" w14:paraId="2C9DD7EE" w14:textId="77777777">
      <w:pPr>
        <w:pStyle w:val="Simple3"/>
      </w:pPr>
      <w:r>
        <w:t>XXX;</w:t>
      </w:r>
    </w:p>
    <w:p w:rsidR="00AD1B64" w:rsidP="008A20BD" w:rsidRDefault="008A20BD" w14:paraId="5B8C4043" w14:textId="77777777">
      <w:pPr>
        <w:pStyle w:val="Simple3"/>
      </w:pPr>
      <w:r>
        <w:t>XXX]</w:t>
      </w:r>
      <w:r w:rsidRPr="0088250E">
        <w:t xml:space="preserve"> </w:t>
      </w:r>
    </w:p>
    <w:p w:rsidRPr="00594E18" w:rsidR="008A20BD" w:rsidP="3A17B66E" w:rsidRDefault="008A20BD" w14:paraId="3E719A21" w14:textId="542D0B69">
      <w:pPr>
        <w:pStyle w:val="Simple3"/>
        <w:numPr>
          <w:numId w:val="0"/>
        </w:numPr>
        <w:ind w:left="1417"/>
        <w:rPr>
          <w:b w:val="1"/>
          <w:bCs w:val="1"/>
          <w:i w:val="1"/>
          <w:iCs w:val="1"/>
        </w:rPr>
      </w:pPr>
      <w:r w:rsidRPr="3A17B66E" w:rsidR="2862D6B1">
        <w:rPr>
          <w:b w:val="1"/>
          <w:bCs w:val="1"/>
          <w:i w:val="1"/>
          <w:iCs w:val="1"/>
        </w:rPr>
        <w:t>[</w:t>
      </w:r>
      <w:r w:rsidRPr="3A17B66E" w:rsidR="6D4B00CC">
        <w:rPr>
          <w:b w:val="1"/>
          <w:bCs w:val="1"/>
          <w:i w:val="1"/>
          <w:iCs w:val="1"/>
        </w:rPr>
        <w:t>Note to Tenderers</w:t>
      </w:r>
      <w:r w:rsidRPr="3A17B66E" w:rsidR="2862D6B1">
        <w:rPr>
          <w:b w:val="1"/>
          <w:bCs w:val="1"/>
          <w:i w:val="1"/>
          <w:iCs w:val="1"/>
        </w:rPr>
        <w:t>: Contractor</w:t>
      </w:r>
      <w:r w:rsidRPr="3A17B66E" w:rsidR="7EF28FA3">
        <w:rPr>
          <w:b w:val="1"/>
          <w:bCs w:val="1"/>
          <w:i w:val="1"/>
          <w:iCs w:val="1"/>
        </w:rPr>
        <w:t>'</w:t>
      </w:r>
      <w:r w:rsidRPr="3A17B66E" w:rsidR="2862D6B1">
        <w:rPr>
          <w:b w:val="1"/>
          <w:bCs w:val="1"/>
          <w:i w:val="1"/>
          <w:iCs w:val="1"/>
        </w:rPr>
        <w:t xml:space="preserve">s Strategic Board members to be proposed by </w:t>
      </w:r>
      <w:r w:rsidRPr="3A17B66E" w:rsidR="6D4B00CC">
        <w:rPr>
          <w:b w:val="1"/>
          <w:bCs w:val="1"/>
          <w:i w:val="1"/>
          <w:iCs w:val="1"/>
        </w:rPr>
        <w:t>Tenderer</w:t>
      </w:r>
      <w:r w:rsidRPr="3A17B66E" w:rsidR="33737DD8">
        <w:rPr>
          <w:b w:val="1"/>
          <w:bCs w:val="1"/>
          <w:i w:val="1"/>
          <w:iCs w:val="1"/>
        </w:rPr>
        <w:t>s</w:t>
      </w:r>
      <w:r w:rsidRPr="3A17B66E" w:rsidR="2862D6B1">
        <w:rPr>
          <w:b w:val="1"/>
          <w:bCs w:val="1"/>
          <w:i w:val="1"/>
          <w:iCs w:val="1"/>
        </w:rPr>
        <w:t xml:space="preserve"> in response to the ITN. Note that there should be an equal number of Contractor members to Authority members</w:t>
      </w:r>
      <w:r w:rsidRPr="3A17B66E" w:rsidR="699780F6">
        <w:rPr>
          <w:b w:val="1"/>
          <w:bCs w:val="1"/>
          <w:i w:val="1"/>
          <w:iCs w:val="1"/>
        </w:rPr>
        <w:t xml:space="preserve">, and the Contractor is required to provide a secretary as set out in </w:t>
      </w:r>
      <w:r w:rsidRPr="3A17B66E" w:rsidR="6D4B00CC">
        <w:rPr>
          <w:b w:val="1"/>
          <w:bCs w:val="1"/>
          <w:i w:val="1"/>
          <w:iCs w:val="1"/>
        </w:rPr>
        <w:t>paragraph</w:t>
      </w:r>
      <w:r w:rsidRPr="3A17B66E" w:rsidR="2C89B51C">
        <w:rPr>
          <w:b w:val="1"/>
          <w:bCs w:val="1"/>
          <w:i w:val="1"/>
          <w:iCs w:val="1"/>
        </w:rPr>
        <w:t xml:space="preserve"> </w:t>
      </w:r>
      <w:r w:rsidRPr="3A17B66E" w:rsidR="004F0C4F">
        <w:rPr>
          <w:b w:val="1"/>
          <w:bCs w:val="1"/>
          <w:i w:val="1"/>
          <w:iCs w:val="1"/>
          <w:highlight w:val="green"/>
        </w:rPr>
        <w:fldChar w:fldCharType="begin"/>
      </w:r>
      <w:r w:rsidRPr="3A17B66E" w:rsidR="004F0C4F">
        <w:rPr>
          <w:b w:val="1"/>
          <w:bCs w:val="1"/>
          <w:i w:val="1"/>
          <w:iCs w:val="1"/>
          <w:highlight w:val="green"/>
        </w:rPr>
        <w:instrText xml:space="preserve"> REF _Ref114736875 \r \h </w:instrText>
      </w:r>
      <w:r w:rsidR="004F0C4F">
        <w:rPr>
          <w:b/>
          <w:i/>
          <w:highlight w:val="green"/>
        </w:rPr>
      </w:r>
      <w:r w:rsidRPr="3A17B66E" w:rsidR="004F0C4F">
        <w:rPr>
          <w:b w:val="1"/>
          <w:bCs w:val="1"/>
          <w:i w:val="1"/>
          <w:iCs w:val="1"/>
          <w:highlight w:val="green"/>
        </w:rPr>
        <w:fldChar w:fldCharType="separate"/>
      </w:r>
      <w:r w:rsidRPr="3A17B66E" w:rsidR="1C1A52A2">
        <w:rPr>
          <w:b w:val="1"/>
          <w:bCs w:val="1"/>
          <w:i w:val="1"/>
          <w:iCs w:val="1"/>
          <w:highlight w:val="green"/>
        </w:rPr>
        <w:t>2.12</w:t>
      </w:r>
      <w:r w:rsidRPr="3A17B66E" w:rsidR="004F0C4F">
        <w:rPr>
          <w:b w:val="1"/>
          <w:bCs w:val="1"/>
          <w:i w:val="1"/>
          <w:iCs w:val="1"/>
          <w:highlight w:val="green"/>
        </w:rPr>
        <w:fldChar w:fldCharType="end"/>
      </w:r>
      <w:r w:rsidRPr="3A17B66E" w:rsidR="699780F6">
        <w:rPr>
          <w:b w:val="1"/>
          <w:bCs w:val="1"/>
          <w:i w:val="1"/>
          <w:iCs w:val="1"/>
        </w:rPr>
        <w:t xml:space="preserve"> and the secretary will also n</w:t>
      </w:r>
      <w:r w:rsidRPr="3A17B66E" w:rsidR="3CF6FB39">
        <w:rPr>
          <w:b w:val="1"/>
          <w:bCs w:val="1"/>
          <w:i w:val="1"/>
          <w:iCs w:val="1"/>
        </w:rPr>
        <w:t>e</w:t>
      </w:r>
      <w:r w:rsidRPr="3A17B66E" w:rsidR="699780F6">
        <w:rPr>
          <w:b w:val="1"/>
          <w:bCs w:val="1"/>
          <w:i w:val="1"/>
          <w:iCs w:val="1"/>
        </w:rPr>
        <w:t>ed to attend the meetings</w:t>
      </w:r>
      <w:r w:rsidRPr="3A17B66E" w:rsidR="2862D6B1">
        <w:rPr>
          <w:b w:val="1"/>
          <w:bCs w:val="1"/>
          <w:i w:val="1"/>
          <w:iCs w:val="1"/>
        </w:rPr>
        <w:t>.]</w:t>
      </w:r>
    </w:p>
    <w:p w:rsidRPr="004B4FFE" w:rsidR="008A20BD" w:rsidP="008A20BD" w:rsidRDefault="008A20BD" w14:paraId="2732C792" w14:textId="7415BEBB">
      <w:pPr>
        <w:pStyle w:val="Simple2"/>
      </w:pPr>
      <w:r w:rsidRPr="004B4FFE">
        <w:t>The Strategic Board shall be chaired by a senior</w:t>
      </w:r>
      <w:r w:rsidR="0062197E">
        <w:t xml:space="preserve"> representative of the</w:t>
      </w:r>
      <w:r w:rsidRPr="004B4FFE">
        <w:t xml:space="preserve"> Authority (the </w:t>
      </w:r>
      <w:r w:rsidR="008E7807">
        <w:rPr>
          <w:b/>
        </w:rPr>
        <w:t>"</w:t>
      </w:r>
      <w:r w:rsidRPr="00BA2095">
        <w:rPr>
          <w:b/>
        </w:rPr>
        <w:t>Strategic Board Chair</w:t>
      </w:r>
      <w:r w:rsidR="008E7807">
        <w:rPr>
          <w:b/>
        </w:rPr>
        <w:t>"</w:t>
      </w:r>
      <w:r w:rsidRPr="004B4FFE">
        <w:t xml:space="preserve">) appointed from time to time by the Authority.  </w:t>
      </w:r>
    </w:p>
    <w:p w:rsidR="008A20BD" w:rsidP="008A20BD" w:rsidRDefault="008A20BD" w14:paraId="621EEEE0" w14:textId="77777777">
      <w:pPr>
        <w:pStyle w:val="Simple2"/>
      </w:pPr>
      <w:bookmarkStart w:name="_Hlk95805815" w:id="3"/>
      <w:bookmarkStart w:name="_Ref364082009" w:id="4"/>
      <w:r w:rsidRPr="004B4FFE">
        <w:t>Where the Strategic Board cannot reach agreement by a simple majority vote of all members, the Strategic Board Chair shall have the casting vote.</w:t>
      </w:r>
    </w:p>
    <w:p w:rsidR="00204EA7" w:rsidP="008A20BD" w:rsidRDefault="008A20BD" w14:paraId="7C99F9F8" w14:textId="0537F0FB">
      <w:pPr>
        <w:pStyle w:val="Simple2"/>
      </w:pPr>
      <w:bookmarkStart w:name="_Ref99398240" w:id="5"/>
      <w:bookmarkEnd w:id="3"/>
      <w:r>
        <w:t>E</w:t>
      </w:r>
      <w:r w:rsidRPr="004B4FFE">
        <w:t>ach Party shall be entitled to remove and replace any member appointed by it who has resigned from office provided that</w:t>
      </w:r>
      <w:r w:rsidR="00204EA7">
        <w:t>:</w:t>
      </w:r>
    </w:p>
    <w:p w:rsidR="00204EA7" w:rsidP="00770397" w:rsidRDefault="00204EA7" w14:paraId="492EB605" w14:textId="41C4A6FC">
      <w:pPr>
        <w:pStyle w:val="Simple3"/>
      </w:pPr>
      <w:r>
        <w:t xml:space="preserve">where such Party is the Contractor, it has </w:t>
      </w:r>
      <w:r w:rsidR="004C6C64">
        <w:t xml:space="preserve">confirmed that such replacement </w:t>
      </w:r>
      <w:r w:rsidR="003C1E85">
        <w:t xml:space="preserve">will </w:t>
      </w:r>
      <w:r w:rsidR="004C6C64">
        <w:t>satisf</w:t>
      </w:r>
      <w:r w:rsidR="003C1E85">
        <w:t>y</w:t>
      </w:r>
      <w:r w:rsidR="004C6C64">
        <w:t xml:space="preserve"> the requirements of </w:t>
      </w:r>
      <w:r w:rsidR="00B761F0">
        <w:t>paragraph</w:t>
      </w:r>
      <w:r w:rsidR="00B74F29">
        <w:t xml:space="preserve"> </w:t>
      </w:r>
      <w:r w:rsidR="004C6C64">
        <w:fldChar w:fldCharType="begin"/>
      </w:r>
      <w:r w:rsidR="004C6C64">
        <w:instrText xml:space="preserve"> REF _Ref114736065 \r \h </w:instrText>
      </w:r>
      <w:r w:rsidR="004C6C64">
        <w:fldChar w:fldCharType="separate"/>
      </w:r>
      <w:r w:rsidR="00E8541C">
        <w:t>1.4</w:t>
      </w:r>
      <w:r w:rsidR="004C6C64">
        <w:fldChar w:fldCharType="end"/>
      </w:r>
      <w:r w:rsidR="003C1E85">
        <w:t xml:space="preserve"> and has</w:t>
      </w:r>
      <w:r w:rsidR="004C6C64">
        <w:t xml:space="preserve"> </w:t>
      </w:r>
      <w:r>
        <w:t>obtained the prior written consent of the Authority (such consent not to be unreasonably withheld or delayed) in respect of such replacement;</w:t>
      </w:r>
    </w:p>
    <w:p w:rsidR="00204EA7" w:rsidP="00770397" w:rsidRDefault="004C6C64" w14:paraId="2B3C4478" w14:textId="3E8DA462">
      <w:pPr>
        <w:pStyle w:val="Simple3"/>
      </w:pPr>
      <w:r>
        <w:t xml:space="preserve">where such Party is the Authority, it notifies the Contractor of </w:t>
      </w:r>
      <w:r w:rsidRPr="004B4FFE">
        <w:t>such replacement within two</w:t>
      </w:r>
      <w:r>
        <w:t xml:space="preserve"> (2)</w:t>
      </w:r>
      <w:r w:rsidRPr="004B4FFE">
        <w:t xml:space="preserve"> Business Days of the replacement or before the next meeting of the Strategic Board, whichever is the sooner</w:t>
      </w:r>
      <w:r w:rsidR="00B02289">
        <w:t>.</w:t>
      </w:r>
    </w:p>
    <w:bookmarkEnd w:id="4"/>
    <w:bookmarkEnd w:id="5"/>
    <w:p w:rsidR="008A20BD" w:rsidP="008A20BD" w:rsidRDefault="008A20BD" w14:paraId="50F54B1A" w14:textId="5FEB2AA2">
      <w:pPr>
        <w:pStyle w:val="Simple2"/>
      </w:pPr>
      <w:r w:rsidRPr="009061C4">
        <w:t xml:space="preserve">Each Party may appoint a person to act as </w:t>
      </w:r>
      <w:r w:rsidRPr="009061C4" w:rsidR="003C1E85">
        <w:t>a</w:t>
      </w:r>
      <w:r w:rsidR="003C1E85">
        <w:t xml:space="preserve"> temporary</w:t>
      </w:r>
      <w:r w:rsidRPr="009061C4" w:rsidR="003C1E85">
        <w:t xml:space="preserve"> </w:t>
      </w:r>
      <w:r w:rsidRPr="009061C4">
        <w:t xml:space="preserve">alternate to its Strategic Board member at any meeting of the Strategic Board, and may revoke any such appointment. Written notice of any such appointment or revocation shall be given to the other Party in the manner specified in </w:t>
      </w:r>
      <w:r w:rsidR="00B761F0">
        <w:t>paragraph</w:t>
      </w:r>
      <w:r w:rsidR="00B74F29">
        <w:t xml:space="preserve"> </w:t>
      </w:r>
      <w:r w:rsidR="00423651">
        <w:fldChar w:fldCharType="begin"/>
      </w:r>
      <w:r w:rsidR="00423651">
        <w:instrText xml:space="preserve"> REF _Ref99398240 \r \h </w:instrText>
      </w:r>
      <w:r w:rsidR="00423651">
        <w:fldChar w:fldCharType="separate"/>
      </w:r>
      <w:r w:rsidR="00E8541C">
        <w:t>2.5</w:t>
      </w:r>
      <w:r w:rsidR="00423651">
        <w:fldChar w:fldCharType="end"/>
      </w:r>
      <w:r w:rsidR="00650F63">
        <w:t>.</w:t>
      </w:r>
    </w:p>
    <w:p w:rsidRPr="009061C4" w:rsidR="008A20BD" w:rsidP="008A20BD" w:rsidRDefault="00704011" w14:paraId="6D4EF2BE" w14:textId="03500C04">
      <w:pPr>
        <w:pStyle w:val="Simple2"/>
      </w:pPr>
      <w:r>
        <w:t>The Authority</w:t>
      </w:r>
      <w:r w:rsidRPr="009061C4">
        <w:t xml:space="preserve"> may invite any other person or persons (including any Key Sub</w:t>
      </w:r>
      <w:r>
        <w:t>-C</w:t>
      </w:r>
      <w:r w:rsidRPr="009061C4">
        <w:t>ontractor) to attend any meeting of the Strategic Board</w:t>
      </w:r>
      <w:r>
        <w:t>.</w:t>
      </w:r>
      <w:r w:rsidRPr="009061C4">
        <w:t xml:space="preserve"> </w:t>
      </w:r>
      <w:r>
        <w:t>Each additional attendee must</w:t>
      </w:r>
      <w:r w:rsidRPr="009061C4">
        <w:t xml:space="preserve"> </w:t>
      </w:r>
      <w:r>
        <w:t xml:space="preserve">sign </w:t>
      </w:r>
      <w:r w:rsidRPr="009061C4">
        <w:t xml:space="preserve">an undertaking with the Authority confirming that </w:t>
      </w:r>
      <w:r>
        <w:t>they</w:t>
      </w:r>
      <w:r w:rsidRPr="009061C4">
        <w:t xml:space="preserve"> agree to be bound by the provisions of </w:t>
      </w:r>
      <w:r>
        <w:t>C</w:t>
      </w:r>
      <w:r w:rsidRPr="009061C4">
        <w:t xml:space="preserve">lause </w:t>
      </w:r>
      <w:r>
        <w:t>40</w:t>
      </w:r>
      <w:r w:rsidRPr="009061C4">
        <w:t xml:space="preserve"> (Confidentiality) (with all necessary changes having been made) before attending the meeting and </w:t>
      </w:r>
      <w:r>
        <w:t>that they will comply</w:t>
      </w:r>
      <w:r w:rsidRPr="009061C4">
        <w:t xml:space="preserve"> with all</w:t>
      </w:r>
      <w:r>
        <w:t xml:space="preserve"> relevant security requirements.</w:t>
      </w:r>
    </w:p>
    <w:p w:rsidRPr="009061C4" w:rsidR="008A20BD" w:rsidP="008A20BD" w:rsidRDefault="008A20BD" w14:paraId="08C35C1C" w14:textId="68D3B951">
      <w:pPr>
        <w:pStyle w:val="Simple2"/>
      </w:pPr>
      <w:r w:rsidRPr="009061C4">
        <w:t>No business shall be transacted at any meeting of the Strategic Board unless a quorum is present. The quorum for meetings o</w:t>
      </w:r>
      <w:r w:rsidR="00AB4C11">
        <w:t xml:space="preserve">f the Strategic Board shall be </w:t>
      </w:r>
      <w:r w:rsidRPr="009061C4">
        <w:t xml:space="preserve">6, to comprise </w:t>
      </w:r>
      <w:r w:rsidR="00377290">
        <w:t xml:space="preserve">of </w:t>
      </w:r>
      <w:r w:rsidRPr="009061C4">
        <w:t xml:space="preserve">3 </w:t>
      </w:r>
      <w:r>
        <w:t>C</w:t>
      </w:r>
      <w:r w:rsidRPr="009061C4">
        <w:t>ontractor</w:t>
      </w:r>
      <w:r>
        <w:t xml:space="preserve"> members</w:t>
      </w:r>
      <w:r w:rsidRPr="009061C4">
        <w:t xml:space="preserve"> and 3 </w:t>
      </w:r>
      <w:r>
        <w:t>A</w:t>
      </w:r>
      <w:r w:rsidRPr="009061C4">
        <w:t>uthority</w:t>
      </w:r>
      <w:r>
        <w:t xml:space="preserve"> members</w:t>
      </w:r>
      <w:r w:rsidRPr="009061C4">
        <w:t>.</w:t>
      </w:r>
    </w:p>
    <w:p w:rsidR="008A20BD" w:rsidP="008A20BD" w:rsidRDefault="008A20BD" w14:paraId="49B16607" w14:textId="77777777">
      <w:pPr>
        <w:pStyle w:val="Simple2"/>
      </w:pPr>
      <w:r w:rsidRPr="009061C4">
        <w:t>Subject to the above provisions, the Strategic Board may otherwise regulate the conduct of its meetings as it considers appropriate.</w:t>
      </w:r>
    </w:p>
    <w:p w:rsidRPr="008A20BD" w:rsidR="008A20BD" w:rsidP="008A20BD" w:rsidRDefault="008A20BD" w14:paraId="6EFFB878" w14:textId="77777777">
      <w:pPr>
        <w:pStyle w:val="Body2"/>
        <w:keepNext/>
        <w:rPr>
          <w:b/>
        </w:rPr>
      </w:pPr>
      <w:bookmarkStart w:name="_Hlk95807111" w:id="6"/>
      <w:r w:rsidRPr="008A20BD">
        <w:rPr>
          <w:b/>
        </w:rPr>
        <w:t>F</w:t>
      </w:r>
      <w:r w:rsidR="002C5177">
        <w:rPr>
          <w:b/>
        </w:rPr>
        <w:t>requency,</w:t>
      </w:r>
      <w:r w:rsidRPr="008A20BD">
        <w:rPr>
          <w:b/>
        </w:rPr>
        <w:t xml:space="preserve"> Timing </w:t>
      </w:r>
      <w:r w:rsidR="002C5177">
        <w:rPr>
          <w:b/>
        </w:rPr>
        <w:t xml:space="preserve">and Location </w:t>
      </w:r>
      <w:r w:rsidRPr="008A20BD">
        <w:rPr>
          <w:b/>
        </w:rPr>
        <w:t xml:space="preserve">of the Strategic Board Meetings </w:t>
      </w:r>
    </w:p>
    <w:bookmarkEnd w:id="6"/>
    <w:p w:rsidR="008A20BD" w:rsidP="008A20BD" w:rsidRDefault="008A20BD" w14:paraId="6354BAFE" w14:textId="77777777">
      <w:pPr>
        <w:pStyle w:val="Simple2"/>
      </w:pPr>
      <w:r>
        <w:t>A</w:t>
      </w:r>
      <w:r w:rsidRPr="002C2052">
        <w:t xml:space="preserve"> Strategic Board meeting shall take place</w:t>
      </w:r>
      <w:r>
        <w:t xml:space="preserve">: </w:t>
      </w:r>
    </w:p>
    <w:p w:rsidR="00213091" w:rsidP="008A20BD" w:rsidRDefault="008A20BD" w14:paraId="44969597" w14:textId="081243A9">
      <w:pPr>
        <w:pStyle w:val="Simple3"/>
      </w:pPr>
      <w:r>
        <w:t xml:space="preserve">on a date agreed in writing between the Parties, such date to be no later than three (3) months after the Effective Date, and </w:t>
      </w:r>
      <w:r w:rsidR="003C1E85">
        <w:t xml:space="preserve">at least </w:t>
      </w:r>
      <w:r>
        <w:t>every six (6) months thereafter for the remainder of the Contract Term;</w:t>
      </w:r>
      <w:r w:rsidRPr="002C2052">
        <w:t xml:space="preserve"> </w:t>
      </w:r>
    </w:p>
    <w:p w:rsidR="008A20BD" w:rsidP="008A20BD" w:rsidRDefault="00213091" w14:paraId="5FF58A3C" w14:textId="77777777">
      <w:pPr>
        <w:pStyle w:val="Simple3"/>
      </w:pPr>
      <w:r>
        <w:t xml:space="preserve">on or around the Service Commencement Date, the exact date to be determined by the Strategic Board Chair; </w:t>
      </w:r>
      <w:r w:rsidR="008A20BD">
        <w:t xml:space="preserve">and </w:t>
      </w:r>
    </w:p>
    <w:p w:rsidR="008A20BD" w:rsidP="008A20BD" w:rsidRDefault="008A20BD" w14:paraId="69C50B77" w14:textId="3E46A010">
      <w:pPr>
        <w:pStyle w:val="Simple3"/>
      </w:pPr>
      <w:r>
        <w:t xml:space="preserve">on any such date as required by the Strategic Board Chair, pursuant to paragraphs </w:t>
      </w:r>
      <w:r>
        <w:fldChar w:fldCharType="begin"/>
      </w:r>
      <w:r>
        <w:instrText xml:space="preserve"> REF _Ref97819814 \r \h </w:instrText>
      </w:r>
      <w:r>
        <w:fldChar w:fldCharType="separate"/>
      </w:r>
      <w:r w:rsidR="00E8541C">
        <w:t>2.17</w:t>
      </w:r>
      <w:r>
        <w:fldChar w:fldCharType="end"/>
      </w:r>
      <w:r>
        <w:t xml:space="preserve"> and </w:t>
      </w:r>
      <w:r>
        <w:fldChar w:fldCharType="begin"/>
      </w:r>
      <w:r>
        <w:instrText xml:space="preserve"> REF _Ref97819816 \r \h </w:instrText>
      </w:r>
      <w:r>
        <w:fldChar w:fldCharType="separate"/>
      </w:r>
      <w:r w:rsidR="00E8541C">
        <w:t>2.18</w:t>
      </w:r>
      <w:r>
        <w:fldChar w:fldCharType="end"/>
      </w:r>
      <w:r>
        <w:t xml:space="preserve">. </w:t>
      </w:r>
    </w:p>
    <w:p w:rsidRPr="008A20BD" w:rsidR="008A20BD" w:rsidP="3A17B66E" w:rsidRDefault="008A20BD" w14:paraId="4755D51B" w14:textId="14184607">
      <w:pPr>
        <w:pStyle w:val="Body2"/>
        <w:rPr>
          <w:b w:val="1"/>
          <w:bCs w:val="1"/>
          <w:i w:val="1"/>
          <w:iCs w:val="1"/>
        </w:rPr>
      </w:pPr>
      <w:r w:rsidRPr="3A17B66E" w:rsidR="2862D6B1">
        <w:rPr>
          <w:b w:val="1"/>
          <w:bCs w:val="1"/>
          <w:i w:val="1"/>
          <w:iCs w:val="1"/>
        </w:rPr>
        <w:t>[</w:t>
      </w:r>
      <w:r w:rsidRPr="3A17B66E" w:rsidR="6D4B00CC">
        <w:rPr>
          <w:b w:val="1"/>
          <w:bCs w:val="1"/>
          <w:i w:val="1"/>
          <w:iCs w:val="1"/>
        </w:rPr>
        <w:t>Note to Tenderers</w:t>
      </w:r>
      <w:r w:rsidRPr="3A17B66E" w:rsidR="2862D6B1">
        <w:rPr>
          <w:b w:val="1"/>
          <w:bCs w:val="1"/>
          <w:i w:val="1"/>
          <w:iCs w:val="1"/>
        </w:rPr>
        <w:t>: Frequency</w:t>
      </w:r>
      <w:r w:rsidRPr="3A17B66E" w:rsidR="7A6040AE">
        <w:rPr>
          <w:b w:val="1"/>
          <w:bCs w:val="1"/>
          <w:i w:val="1"/>
          <w:iCs w:val="1"/>
        </w:rPr>
        <w:t xml:space="preserve"> and timing</w:t>
      </w:r>
      <w:r w:rsidRPr="3A17B66E" w:rsidR="2862D6B1">
        <w:rPr>
          <w:b w:val="1"/>
          <w:bCs w:val="1"/>
          <w:i w:val="1"/>
          <w:iCs w:val="1"/>
        </w:rPr>
        <w:t xml:space="preserve"> of meetings throughout the Contract Term to be discussed during negotiations.</w:t>
      </w:r>
      <w:r w:rsidRPr="3A17B66E" w:rsidR="2BF71963">
        <w:rPr>
          <w:b w:val="1"/>
          <w:bCs w:val="1"/>
          <w:i w:val="1"/>
          <w:iCs w:val="1"/>
        </w:rPr>
        <w:t xml:space="preserve"> </w:t>
      </w:r>
      <w:r w:rsidRPr="3A17B66E" w:rsidR="4871EC0C">
        <w:rPr>
          <w:b w:val="1"/>
          <w:bCs w:val="1"/>
          <w:i w:val="1"/>
          <w:iCs w:val="1"/>
        </w:rPr>
        <w:t>The e</w:t>
      </w:r>
      <w:r w:rsidRPr="3A17B66E" w:rsidR="2BF71963">
        <w:rPr>
          <w:b w:val="1"/>
          <w:bCs w:val="1"/>
          <w:i w:val="1"/>
          <w:iCs w:val="1"/>
        </w:rPr>
        <w:t xml:space="preserve">xpectation is that there will be a Strategic Board within </w:t>
      </w:r>
      <w:r w:rsidRPr="3A17B66E" w:rsidR="4871EC0C">
        <w:rPr>
          <w:b w:val="1"/>
          <w:bCs w:val="1"/>
          <w:i w:val="1"/>
          <w:iCs w:val="1"/>
        </w:rPr>
        <w:t xml:space="preserve">1 </w:t>
      </w:r>
      <w:r w:rsidRPr="3A17B66E" w:rsidR="7A6040AE">
        <w:rPr>
          <w:b w:val="1"/>
          <w:bCs w:val="1"/>
          <w:i w:val="1"/>
          <w:iCs w:val="1"/>
        </w:rPr>
        <w:t xml:space="preserve">to 3 </w:t>
      </w:r>
      <w:r w:rsidRPr="3A17B66E" w:rsidR="4871EC0C">
        <w:rPr>
          <w:b w:val="1"/>
          <w:bCs w:val="1"/>
          <w:i w:val="1"/>
          <w:iCs w:val="1"/>
        </w:rPr>
        <w:t>month</w:t>
      </w:r>
      <w:r w:rsidRPr="3A17B66E" w:rsidR="7A6040AE">
        <w:rPr>
          <w:b w:val="1"/>
          <w:bCs w:val="1"/>
          <w:i w:val="1"/>
          <w:iCs w:val="1"/>
        </w:rPr>
        <w:t>s</w:t>
      </w:r>
      <w:r w:rsidRPr="3A17B66E" w:rsidR="4871EC0C">
        <w:rPr>
          <w:b w:val="1"/>
          <w:bCs w:val="1"/>
          <w:i w:val="1"/>
          <w:iCs w:val="1"/>
        </w:rPr>
        <w:t xml:space="preserve"> of the end of each Financial Year to review the </w:t>
      </w:r>
      <w:r w:rsidRPr="3A17B66E" w:rsidR="4871EC0C">
        <w:rPr>
          <w:b w:val="1"/>
          <w:bCs w:val="1"/>
          <w:i w:val="1"/>
          <w:iCs w:val="1"/>
        </w:rPr>
        <w:t>Annual Performance and Activity Report</w:t>
      </w:r>
      <w:r w:rsidRPr="3A17B66E" w:rsidR="4871EC0C">
        <w:rPr>
          <w:b w:val="1"/>
          <w:bCs w:val="1"/>
          <w:i w:val="1"/>
          <w:iCs w:val="1"/>
        </w:rPr>
        <w:t>.</w:t>
      </w:r>
      <w:r w:rsidRPr="3A17B66E" w:rsidR="2862D6B1">
        <w:rPr>
          <w:b w:val="1"/>
          <w:bCs w:val="1"/>
          <w:i w:val="1"/>
          <w:iCs w:val="1"/>
        </w:rPr>
        <w:t>]</w:t>
      </w:r>
    </w:p>
    <w:p w:rsidR="002C5177" w:rsidP="008A20BD" w:rsidRDefault="002C5177" w14:paraId="42DD56D5" w14:textId="2E42A10F">
      <w:pPr>
        <w:pStyle w:val="Simple2"/>
      </w:pPr>
      <w:bookmarkStart w:name="_Ref97820523" w:id="7"/>
      <w:r>
        <w:t>Strategic Board meetings shall be held in-person (or</w:t>
      </w:r>
      <w:r w:rsidR="007E5647">
        <w:t>, by exception,</w:t>
      </w:r>
      <w:r>
        <w:t xml:space="preserve"> </w:t>
      </w:r>
      <w:r w:rsidR="003C1E85">
        <w:t xml:space="preserve">virtually or </w:t>
      </w:r>
      <w:r>
        <w:t>on a hybrid basis) as agreed between the Strategic Board members from time to time provided</w:t>
      </w:r>
      <w:r w:rsidR="009759F1">
        <w:t xml:space="preserve"> that, if the members cannot agree, the Strategic Board Chair's decision shall be final.</w:t>
      </w:r>
    </w:p>
    <w:p w:rsidR="008A20BD" w:rsidP="008A20BD" w:rsidRDefault="007E5647" w14:paraId="4059040B" w14:textId="6B673706">
      <w:pPr>
        <w:pStyle w:val="Simple2"/>
      </w:pPr>
      <w:bookmarkStart w:name="_Ref114736875" w:id="8"/>
      <w:r>
        <w:t>The Contractor shall appoint a nominated secretary to manage the administration related to the Strategic Board</w:t>
      </w:r>
      <w:r w:rsidR="004F0C4F">
        <w:t xml:space="preserve">. </w:t>
      </w:r>
      <w:r w:rsidR="008A20BD">
        <w:t>In respect of each Strategic Board Meeting the Contractor</w:t>
      </w:r>
      <w:r w:rsidR="004F0C4F">
        <w:t xml:space="preserve"> shall ensure that its secretary</w:t>
      </w:r>
      <w:r w:rsidR="008A20BD">
        <w:t xml:space="preserve"> shall:</w:t>
      </w:r>
      <w:bookmarkEnd w:id="7"/>
      <w:bookmarkEnd w:id="8"/>
      <w:r w:rsidR="008A20BD">
        <w:t xml:space="preserve">  </w:t>
      </w:r>
      <w:r w:rsidRPr="002A20F6" w:rsidR="008A20BD">
        <w:t xml:space="preserve"> </w:t>
      </w:r>
    </w:p>
    <w:p w:rsidR="008A20BD" w:rsidP="008A20BD" w:rsidRDefault="008A20BD" w14:paraId="31FCEB98" w14:textId="77777777">
      <w:pPr>
        <w:pStyle w:val="Simple3"/>
      </w:pPr>
      <w:r w:rsidRPr="003F3344">
        <w:t>issue a calling notice to each member of the Strategic Board at least one (1) month before the scheduled date of the meeting</w:t>
      </w:r>
      <w:r>
        <w:t>;</w:t>
      </w:r>
      <w:r w:rsidRPr="003F3344">
        <w:t xml:space="preserve"> </w:t>
      </w:r>
    </w:p>
    <w:p w:rsidR="008A20BD" w:rsidP="008A20BD" w:rsidRDefault="008A20BD" w14:paraId="4EE6F8A4" w14:textId="3EAB3E18">
      <w:pPr>
        <w:pStyle w:val="Simple3"/>
      </w:pPr>
      <w:bookmarkStart w:name="_Ref97820514" w:id="9"/>
      <w:r w:rsidRPr="003F3344">
        <w:t>issue the agenda</w:t>
      </w:r>
      <w:r>
        <w:t xml:space="preserve"> (to include any matters specified by the Authority pursuant to </w:t>
      </w:r>
      <w:r w:rsidR="00B761F0">
        <w:t>paragraph</w:t>
      </w:r>
      <w:r w:rsidR="00B74F29">
        <w:t xml:space="preserve"> </w:t>
      </w:r>
      <w:r>
        <w:fldChar w:fldCharType="begin"/>
      </w:r>
      <w:r>
        <w:instrText xml:space="preserve"> REF _Ref97820394 \r \h </w:instrText>
      </w:r>
      <w:r>
        <w:fldChar w:fldCharType="separate"/>
      </w:r>
      <w:r w:rsidR="00E8541C">
        <w:t>2.13</w:t>
      </w:r>
      <w:r>
        <w:fldChar w:fldCharType="end"/>
      </w:r>
      <w:r>
        <w:t>),</w:t>
      </w:r>
      <w:r w:rsidRPr="003F3344">
        <w:t xml:space="preserve"> together with any accompanying papers</w:t>
      </w:r>
      <w:r>
        <w:t>,</w:t>
      </w:r>
      <w:r w:rsidRPr="003F3344">
        <w:t xml:space="preserve"> to each member of the Strategic Board at least (10) Business Days before the scheduled date of the meeting</w:t>
      </w:r>
      <w:r>
        <w:t>;</w:t>
      </w:r>
      <w:bookmarkEnd w:id="9"/>
      <w:r w:rsidRPr="003F3344">
        <w:t xml:space="preserve"> </w:t>
      </w:r>
    </w:p>
    <w:p w:rsidRPr="00974D1C" w:rsidR="008A20BD" w:rsidP="0002655B" w:rsidRDefault="00E85A62" w14:paraId="0DDD7DED" w14:textId="01B94409">
      <w:pPr>
        <w:pStyle w:val="Simple3"/>
      </w:pPr>
      <w:r>
        <w:t>n</w:t>
      </w:r>
      <w:r w:rsidRPr="00974D1C" w:rsidR="008A20BD">
        <w:t xml:space="preserve">ot less than ten (10) Business Days before each Strategic Board meeting the Contractor shall provide the Authority with </w:t>
      </w:r>
      <w:r w:rsidR="0002655B">
        <w:t xml:space="preserve">the </w:t>
      </w:r>
      <w:r w:rsidR="00771139">
        <w:t xml:space="preserve">Annual </w:t>
      </w:r>
      <w:r w:rsidRPr="0002655B" w:rsidR="00771139">
        <w:t>Performance and Activity Report</w:t>
      </w:r>
      <w:r w:rsidR="00ED77F5">
        <w:t xml:space="preserve"> (RR08)</w:t>
      </w:r>
      <w:r w:rsidR="00771139">
        <w:t xml:space="preserve"> </w:t>
      </w:r>
      <w:r w:rsidR="0002655B">
        <w:t>(where the Strategic Board meeting is the first to be held following the end of a Contract Year)</w:t>
      </w:r>
      <w:r w:rsidR="008A20BD">
        <w:t>; and</w:t>
      </w:r>
      <w:r w:rsidRPr="00974D1C" w:rsidR="008A20BD">
        <w:t xml:space="preserve"> </w:t>
      </w:r>
    </w:p>
    <w:p w:rsidRPr="003F3344" w:rsidR="008A20BD" w:rsidP="008A20BD" w:rsidRDefault="008A20BD" w14:paraId="0534B87B" w14:textId="45DF4500">
      <w:pPr>
        <w:pStyle w:val="Simple3"/>
      </w:pPr>
      <w:r w:rsidRPr="003F3344">
        <w:t xml:space="preserve">issue the </w:t>
      </w:r>
      <w:r>
        <w:t>draft</w:t>
      </w:r>
      <w:r w:rsidRPr="003F3344">
        <w:t xml:space="preserve"> minutes </w:t>
      </w:r>
      <w:r>
        <w:t xml:space="preserve">of each Strategic Board meeting </w:t>
      </w:r>
      <w:r w:rsidRPr="003F3344">
        <w:t>to each member of the Strategic Board with</w:t>
      </w:r>
      <w:r w:rsidR="00E03010">
        <w:t>in</w:t>
      </w:r>
      <w:r w:rsidRPr="003F3344">
        <w:t xml:space="preserve"> </w:t>
      </w:r>
      <w:r w:rsidR="00433C00">
        <w:t>five (5</w:t>
      </w:r>
      <w:r w:rsidRPr="003F3344">
        <w:t>) Business Days of the meeting</w:t>
      </w:r>
      <w:r>
        <w:t xml:space="preserve"> and, following approval by the Strategic Board Chair in accordance with </w:t>
      </w:r>
      <w:r w:rsidR="00B761F0">
        <w:t>paragraph</w:t>
      </w:r>
      <w:r w:rsidR="00B74F29">
        <w:t xml:space="preserve"> </w:t>
      </w:r>
      <w:r>
        <w:fldChar w:fldCharType="begin"/>
      </w:r>
      <w:r>
        <w:instrText xml:space="preserve"> REF _Ref97836140 \r \h </w:instrText>
      </w:r>
      <w:r>
        <w:fldChar w:fldCharType="separate"/>
      </w:r>
      <w:r w:rsidR="00E8541C">
        <w:t>2.15</w:t>
      </w:r>
      <w:r>
        <w:fldChar w:fldCharType="end"/>
      </w:r>
      <w:r>
        <w:t xml:space="preserve">, the Contractor shall issue the final minutes of the meeting </w:t>
      </w:r>
      <w:r w:rsidRPr="003F3344">
        <w:t xml:space="preserve">to each member of the Strategic Board with </w:t>
      </w:r>
      <w:r>
        <w:t>three (3</w:t>
      </w:r>
      <w:r w:rsidRPr="003F3344">
        <w:t>) Business Days of</w:t>
      </w:r>
      <w:r>
        <w:t xml:space="preserve"> such approval.</w:t>
      </w:r>
      <w:r w:rsidRPr="003F3344">
        <w:t xml:space="preserve"> </w:t>
      </w:r>
    </w:p>
    <w:p w:rsidR="008A20BD" w:rsidP="008A20BD" w:rsidRDefault="008A20BD" w14:paraId="5295EFD2" w14:textId="0188EB98">
      <w:pPr>
        <w:pStyle w:val="Simple2"/>
      </w:pPr>
      <w:bookmarkStart w:name="_Ref97820394" w:id="10"/>
      <w:r>
        <w:t xml:space="preserve">The Authority may notify the Contractor of any matters it wishes to be included on the agenda for a Strategic Board meeting and the Contractor shall include such matters on the agenda, provided such notification is given at least two (2) Business Days prior to the issue of the agenda pursuant to </w:t>
      </w:r>
      <w:r w:rsidR="00B761F0">
        <w:t>paragraph</w:t>
      </w:r>
      <w:r w:rsidR="00B74F29">
        <w:t xml:space="preserve"> </w:t>
      </w:r>
      <w:r>
        <w:fldChar w:fldCharType="begin"/>
      </w:r>
      <w:r>
        <w:instrText xml:space="preserve"> REF _Ref97820514 \r \h </w:instrText>
      </w:r>
      <w:r>
        <w:fldChar w:fldCharType="separate"/>
      </w:r>
      <w:r w:rsidR="00E8541C">
        <w:t>2.12(b)</w:t>
      </w:r>
      <w:r>
        <w:fldChar w:fldCharType="end"/>
      </w:r>
      <w:r>
        <w:t>.</w:t>
      </w:r>
      <w:bookmarkEnd w:id="10"/>
    </w:p>
    <w:p w:rsidR="008A20BD" w:rsidP="008A20BD" w:rsidRDefault="008A20BD" w14:paraId="5D1E1A69" w14:textId="77777777">
      <w:pPr>
        <w:pStyle w:val="Simple2"/>
      </w:pPr>
      <w:r w:rsidRPr="00974D1C">
        <w:t xml:space="preserve">Meetings of the Strategic Board shall take place at such locations as the Strategic Board Chair may notify to the Strategic Board from time to time. </w:t>
      </w:r>
    </w:p>
    <w:p w:rsidRPr="00974D1C" w:rsidR="008A20BD" w:rsidP="008A20BD" w:rsidRDefault="008A20BD" w14:paraId="66E82727" w14:textId="77777777">
      <w:pPr>
        <w:pStyle w:val="Simple2"/>
      </w:pPr>
      <w:bookmarkStart w:name="_Ref97836140" w:id="11"/>
      <w:r>
        <w:t>The minutes of each Strategic Board meeting shall be considered final only once they have been approved by the Strategic Board Chair.</w:t>
      </w:r>
      <w:bookmarkEnd w:id="11"/>
    </w:p>
    <w:p w:rsidRPr="008A20BD" w:rsidR="008A20BD" w:rsidP="008A20BD" w:rsidRDefault="008A20BD" w14:paraId="7332EA6B" w14:textId="77777777">
      <w:pPr>
        <w:pStyle w:val="Body2"/>
        <w:keepNext/>
        <w:rPr>
          <w:b/>
        </w:rPr>
      </w:pPr>
      <w:r w:rsidRPr="008A20BD">
        <w:rPr>
          <w:b/>
        </w:rPr>
        <w:t>F</w:t>
      </w:r>
      <w:r w:rsidR="00371C7C">
        <w:rPr>
          <w:b/>
        </w:rPr>
        <w:t>unctions of the Strategic Board</w:t>
      </w:r>
    </w:p>
    <w:p w:rsidRPr="00A92B4E" w:rsidR="008A20BD" w:rsidP="008A20BD" w:rsidRDefault="008A20BD" w14:paraId="0357F041" w14:textId="77777777">
      <w:pPr>
        <w:pStyle w:val="Simple2"/>
      </w:pPr>
      <w:r w:rsidRPr="00A92B4E">
        <w:t xml:space="preserve">The functions of the Strategic Board shall include reviewing and advising senior representatives of the </w:t>
      </w:r>
      <w:r>
        <w:t>Contractor and the Authority on:</w:t>
      </w:r>
    </w:p>
    <w:p w:rsidRPr="006D6E5F" w:rsidR="008A20BD" w:rsidP="00E123AE" w:rsidRDefault="008A20BD" w14:paraId="5FA897F2" w14:textId="77777777">
      <w:pPr>
        <w:pStyle w:val="Simple3"/>
      </w:pPr>
      <w:r w:rsidRPr="003F3344">
        <w:t>the operation and management of the Project at a strategic level and the provision of the Services by the Contractor including during the Transition Period</w:t>
      </w:r>
      <w:r w:rsidR="00213091">
        <w:t xml:space="preserve">, and </w:t>
      </w:r>
      <w:r w:rsidRPr="003F3344">
        <w:t xml:space="preserve">progress </w:t>
      </w:r>
      <w:r w:rsidRPr="006D6E5F">
        <w:t>against the transition milestones set out in Schedule 5 (Transition);</w:t>
      </w:r>
    </w:p>
    <w:p w:rsidRPr="006D6E5F" w:rsidR="00820FF5" w:rsidP="00820FF5" w:rsidRDefault="00820FF5" w14:paraId="61DA10CE" w14:textId="41914D39">
      <w:pPr>
        <w:pStyle w:val="Simple3"/>
      </w:pPr>
      <w:r w:rsidRPr="006D6E5F">
        <w:t xml:space="preserve">reviewing the Annual Performance and Activity Report </w:t>
      </w:r>
      <w:r w:rsidRPr="006D6E5F" w:rsidR="00ED77F5">
        <w:t xml:space="preserve">(RR08) </w:t>
      </w:r>
      <w:r w:rsidRPr="006D6E5F">
        <w:t>for the previous Contract Year;</w:t>
      </w:r>
    </w:p>
    <w:p w:rsidRPr="006D6E5F" w:rsidR="008A20BD" w:rsidP="008A20BD" w:rsidRDefault="008A20BD" w14:paraId="3F897075" w14:textId="77777777">
      <w:pPr>
        <w:pStyle w:val="Simple3"/>
      </w:pPr>
      <w:r w:rsidRPr="006D6E5F">
        <w:t xml:space="preserve">interfaces between the Project and other projects ensuring that the Project remains aligned with wider defence policy, objectives and initiatives; </w:t>
      </w:r>
    </w:p>
    <w:p w:rsidR="00725CA2" w:rsidP="008A20BD" w:rsidRDefault="008A20BD" w14:paraId="16AC18B7" w14:textId="5A75ED6C">
      <w:pPr>
        <w:pStyle w:val="Simple3"/>
      </w:pPr>
      <w:r w:rsidRPr="006D6E5F">
        <w:t>considering</w:t>
      </w:r>
      <w:r w:rsidRPr="003F3344">
        <w:t xml:space="preserve"> </w:t>
      </w:r>
      <w:r w:rsidR="00E85A62">
        <w:t xml:space="preserve">and </w:t>
      </w:r>
      <w:r w:rsidRPr="003F3344">
        <w:t xml:space="preserve">resolving </w:t>
      </w:r>
      <w:r w:rsidR="00725CA2">
        <w:t>an</w:t>
      </w:r>
      <w:r w:rsidR="00E85A62">
        <w:t>y</w:t>
      </w:r>
      <w:r w:rsidR="00725CA2">
        <w:t xml:space="preserve"> issues referred to it by the </w:t>
      </w:r>
      <w:r w:rsidRPr="003F3344" w:rsidR="00E85A62">
        <w:t>M</w:t>
      </w:r>
      <w:r w:rsidR="00E85A62">
        <w:t>PRB</w:t>
      </w:r>
      <w:r w:rsidR="00213091">
        <w:t xml:space="preserve">, including any </w:t>
      </w:r>
      <w:r w:rsidRPr="00863B35" w:rsidR="007E50D5">
        <w:t>risks, issues and opportunities which may affect the Services</w:t>
      </w:r>
      <w:r w:rsidR="007E50D5">
        <w:t xml:space="preserve">, and </w:t>
      </w:r>
      <w:r w:rsidR="00213091">
        <w:t>issues relating to collaborative working and/or stakeholder and relationship management</w:t>
      </w:r>
      <w:r w:rsidR="00161B5D">
        <w:t>;</w:t>
      </w:r>
      <w:r w:rsidR="005159F7">
        <w:t xml:space="preserve"> and</w:t>
      </w:r>
    </w:p>
    <w:p w:rsidR="00161B5D" w:rsidP="00F87B55" w:rsidRDefault="00E85A62" w14:paraId="3E28CE90" w14:textId="0F31DE31">
      <w:pPr>
        <w:pStyle w:val="Simple3"/>
      </w:pPr>
      <w:bookmarkStart w:name="_Ref103769374" w:id="12"/>
      <w:r>
        <w:t>considering and, where possible, resolving any D</w:t>
      </w:r>
      <w:r w:rsidRPr="003F3344" w:rsidR="008A20BD">
        <w:t xml:space="preserve">isputes referred to it </w:t>
      </w:r>
      <w:r w:rsidR="00725CA2">
        <w:t xml:space="preserve">in accordance with </w:t>
      </w:r>
      <w:r w:rsidRPr="003F3344" w:rsidR="008A20BD">
        <w:t>the Dispute Resolution Procedure</w:t>
      </w:r>
      <w:r>
        <w:t xml:space="preserve"> (and the Parties agree that, for the purposes of activities pursuant to this limb </w:t>
      </w:r>
      <w:r w:rsidR="00E60089">
        <w:fldChar w:fldCharType="begin"/>
      </w:r>
      <w:r w:rsidR="00E60089">
        <w:instrText xml:space="preserve"> REF _Ref103769374 \r \h </w:instrText>
      </w:r>
      <w:r w:rsidR="00E60089">
        <w:fldChar w:fldCharType="separate"/>
      </w:r>
      <w:r w:rsidR="00E8541C">
        <w:t>(e)</w:t>
      </w:r>
      <w:r w:rsidR="00E60089">
        <w:fldChar w:fldCharType="end"/>
      </w:r>
      <w:r>
        <w:t xml:space="preserve"> only, t</w:t>
      </w:r>
      <w:r w:rsidRPr="004B4FFE">
        <w:t>he Strategic Board Chair</w:t>
      </w:r>
      <w:r>
        <w:t>'s</w:t>
      </w:r>
      <w:r w:rsidRPr="004B4FFE">
        <w:t xml:space="preserve"> casting vote</w:t>
      </w:r>
      <w:r>
        <w:t xml:space="preserve"> will be suspended)</w:t>
      </w:r>
      <w:r w:rsidR="005159F7">
        <w:t>.</w:t>
      </w:r>
    </w:p>
    <w:p w:rsidRPr="008A20BD" w:rsidR="008A20BD" w:rsidP="008A20BD" w:rsidRDefault="008A20BD" w14:paraId="318314AD" w14:textId="1FB68C83">
      <w:pPr>
        <w:pStyle w:val="Body2"/>
        <w:keepNext/>
        <w:rPr>
          <w:b/>
        </w:rPr>
      </w:pPr>
      <w:bookmarkStart w:name="_Toc369720907" w:id="13"/>
      <w:bookmarkStart w:name="_Toc369721290" w:id="14"/>
      <w:bookmarkEnd w:id="12"/>
      <w:r w:rsidRPr="008A20BD">
        <w:rPr>
          <w:b/>
        </w:rPr>
        <w:t>Ad Hoc Strategic Board Meetings</w:t>
      </w:r>
      <w:bookmarkEnd w:id="13"/>
      <w:bookmarkEnd w:id="14"/>
    </w:p>
    <w:p w:rsidRPr="000F5BC7" w:rsidR="008A20BD" w:rsidP="008A20BD" w:rsidRDefault="008A20BD" w14:paraId="0CBCF88F" w14:textId="77777777">
      <w:pPr>
        <w:pStyle w:val="Simple2"/>
      </w:pPr>
      <w:bookmarkStart w:name="_Ref97819814" w:id="15"/>
      <w:r w:rsidRPr="000F5BC7">
        <w:t xml:space="preserve">Any member of the Strategic Board may request the Strategic Board Chair to call an unscheduled meeting (an </w:t>
      </w:r>
      <w:r w:rsidR="008E7807">
        <w:rPr>
          <w:b/>
        </w:rPr>
        <w:t>"</w:t>
      </w:r>
      <w:r w:rsidRPr="007958FA">
        <w:rPr>
          <w:b/>
        </w:rPr>
        <w:t>Ad Hoc Strategic Board Meeting</w:t>
      </w:r>
      <w:r w:rsidR="008E7807">
        <w:rPr>
          <w:b/>
        </w:rPr>
        <w:t>"</w:t>
      </w:r>
      <w:r w:rsidRPr="000F5BC7">
        <w:t>) by serving a minimum of five (5) Business Day</w:t>
      </w:r>
      <w:r>
        <w:t>s</w:t>
      </w:r>
      <w:r w:rsidR="008E7807">
        <w:t>'</w:t>
      </w:r>
      <w:r>
        <w:t xml:space="preserve"> notice on all other members </w:t>
      </w:r>
      <w:r w:rsidRPr="000F5BC7">
        <w:t>setting out the reasons why the Ad Hoc Strategic Board Meeting has been called and the issues to be discussed or resolved in it. Any such request shall require approval by the Strategic Board Chair</w:t>
      </w:r>
      <w:r>
        <w:t xml:space="preserve"> in order to proceed</w:t>
      </w:r>
      <w:r w:rsidRPr="000F5BC7">
        <w:t>.</w:t>
      </w:r>
      <w:bookmarkEnd w:id="15"/>
      <w:r w:rsidRPr="000F5BC7">
        <w:t xml:space="preserve"> </w:t>
      </w:r>
    </w:p>
    <w:p w:rsidRPr="000F5BC7" w:rsidR="008A20BD" w:rsidP="008A20BD" w:rsidRDefault="008A20BD" w14:paraId="489832E8" w14:textId="1F3E3DC1">
      <w:pPr>
        <w:pStyle w:val="Simple2"/>
      </w:pPr>
      <w:bookmarkStart w:name="_Ref97819816" w:id="16"/>
      <w:r w:rsidRPr="000F5BC7">
        <w:t>An Ad Hoc Strategic Board Meeting shall be called in connection with the following circumstances</w:t>
      </w:r>
      <w:r>
        <w:t>,</w:t>
      </w:r>
      <w:r w:rsidRPr="000F5BC7">
        <w:t xml:space="preserve"> includ</w:t>
      </w:r>
      <w:r>
        <w:t>ing:</w:t>
      </w:r>
      <w:bookmarkEnd w:id="16"/>
    </w:p>
    <w:p w:rsidRPr="00A83A8A" w:rsidR="00C1151F" w:rsidP="00C1151F" w:rsidRDefault="00C1151F" w14:paraId="11E5C786" w14:textId="77777777">
      <w:pPr>
        <w:pStyle w:val="Simple3"/>
      </w:pPr>
      <w:r w:rsidRPr="00A83A8A">
        <w:t>a</w:t>
      </w:r>
      <w:r w:rsidR="00AB4246">
        <w:t>ny</w:t>
      </w:r>
      <w:r w:rsidRPr="00A83A8A">
        <w:t xml:space="preserve"> incident</w:t>
      </w:r>
      <w:r w:rsidR="00AB4246">
        <w:t xml:space="preserve"> or</w:t>
      </w:r>
      <w:r w:rsidRPr="00A83A8A">
        <w:t xml:space="preserve"> interruption of any of the Services which is considered to be significant by the member of the Strategic Board calling the meeting;</w:t>
      </w:r>
    </w:p>
    <w:p w:rsidR="008A20BD" w:rsidP="008A20BD" w:rsidRDefault="008A20BD" w14:paraId="37241FF8" w14:textId="77777777">
      <w:pPr>
        <w:pStyle w:val="Simple3"/>
      </w:pPr>
      <w:r w:rsidRPr="00A83A8A">
        <w:t xml:space="preserve">clause 50 (Step-in Rights); </w:t>
      </w:r>
    </w:p>
    <w:p w:rsidR="00ED5DCC" w:rsidP="008A20BD" w:rsidRDefault="008A20BD" w14:paraId="7FEB4116" w14:textId="77777777">
      <w:pPr>
        <w:pStyle w:val="Simple3"/>
      </w:pPr>
      <w:r w:rsidRPr="00A83A8A">
        <w:t xml:space="preserve">clause 51 (Measures in a Crisis); </w:t>
      </w:r>
    </w:p>
    <w:p w:rsidRPr="00A83A8A" w:rsidR="008A20BD" w:rsidP="008A20BD" w:rsidRDefault="00ED5DCC" w14:paraId="7F2CDA94" w14:textId="5056C628">
      <w:pPr>
        <w:pStyle w:val="Simple3"/>
      </w:pPr>
      <w:r>
        <w:t xml:space="preserve">facilitating the smooth delivery of the Exit Management Services, including the implementation of the Exit </w:t>
      </w:r>
      <w:r w:rsidR="00B64FCB">
        <w:t xml:space="preserve">Management </w:t>
      </w:r>
      <w:r>
        <w:t xml:space="preserve">Plan; </w:t>
      </w:r>
      <w:r w:rsidRPr="00A83A8A" w:rsidR="008A20BD">
        <w:t>or</w:t>
      </w:r>
    </w:p>
    <w:p w:rsidR="003A5F50" w:rsidP="008A20BD" w:rsidRDefault="008A20BD" w14:paraId="6A9D5AAE" w14:textId="342D5476">
      <w:pPr>
        <w:pStyle w:val="Simple3"/>
      </w:pPr>
      <w:r w:rsidRPr="00A83A8A">
        <w:t xml:space="preserve">termination </w:t>
      </w:r>
      <w:r w:rsidR="00B91606">
        <w:t>or partial termination in accordance with clause</w:t>
      </w:r>
      <w:r w:rsidRPr="00A83A8A">
        <w:t xml:space="preserve"> 56 (Termination for Contractor Default), </w:t>
      </w:r>
      <w:r w:rsidR="00B91606">
        <w:t xml:space="preserve">or termination in accordance with clauses </w:t>
      </w:r>
      <w:r w:rsidRPr="00A83A8A">
        <w:t>57 (Termination for Authority Default) or 58 (Termination for Prohibited Acts)</w:t>
      </w:r>
      <w:r w:rsidR="003A5F50">
        <w:t>,</w:t>
      </w:r>
    </w:p>
    <w:p w:rsidR="003A5F50" w:rsidP="008A24A0" w:rsidRDefault="008A20BD" w14:paraId="3A7319DD" w14:textId="7B023AD7">
      <w:pPr>
        <w:pStyle w:val="Simple3"/>
        <w:numPr>
          <w:ilvl w:val="0"/>
          <w:numId w:val="0"/>
        </w:numPr>
        <w:ind w:left="709"/>
      </w:pPr>
      <w:r w:rsidRPr="00531CE8">
        <w:t>where the Strategic Board Chair considers that it is needed in order to address a matter which requires urgent consideration</w:t>
      </w:r>
      <w:r w:rsidR="003A5F50">
        <w:t>;</w:t>
      </w:r>
      <w:r>
        <w:t xml:space="preserve"> </w:t>
      </w:r>
      <w:r w:rsidR="003A5F50">
        <w:t>or</w:t>
      </w:r>
    </w:p>
    <w:p w:rsidRPr="00A83A8A" w:rsidR="003A5F50" w:rsidP="003A5F50" w:rsidRDefault="003A5F50" w14:paraId="6CB40F25" w14:textId="58DC378A">
      <w:pPr>
        <w:pStyle w:val="Simple3"/>
      </w:pPr>
      <w:r>
        <w:t>for any other reason deemed appropriate by the Authority.</w:t>
      </w:r>
    </w:p>
    <w:p w:rsidR="007E46AF" w:rsidP="009D2CA2" w:rsidRDefault="007E46AF" w14:paraId="4EECE687" w14:textId="77777777">
      <w:pPr>
        <w:pStyle w:val="Body2"/>
      </w:pPr>
    </w:p>
    <w:p w:rsidR="00F50641" w:rsidRDefault="00F50641" w14:paraId="59E54E27" w14:textId="77777777">
      <w:pPr>
        <w:rPr>
          <w:b/>
        </w:rPr>
      </w:pPr>
      <w:r>
        <w:rPr>
          <w:b/>
        </w:rPr>
        <w:br w:type="page"/>
      </w:r>
    </w:p>
    <w:p w:rsidRPr="008A20BD" w:rsidR="008A20BD" w:rsidP="007E46AF" w:rsidRDefault="008A20BD" w14:paraId="7154A1FB" w14:textId="126222FF">
      <w:pPr>
        <w:pStyle w:val="Simple1"/>
        <w:keepNext/>
        <w:rPr>
          <w:b/>
        </w:rPr>
      </w:pPr>
      <w:r w:rsidRPr="008A20BD">
        <w:rPr>
          <w:b/>
        </w:rPr>
        <w:t xml:space="preserve">MONTHLY PERFORMANCE REVIEW BOARD </w:t>
      </w:r>
    </w:p>
    <w:p w:rsidRPr="008A20BD" w:rsidR="008A20BD" w:rsidP="008A20BD" w:rsidRDefault="008A20BD" w14:paraId="56D70B53" w14:textId="77777777">
      <w:pPr>
        <w:pStyle w:val="Body2"/>
        <w:keepNext/>
        <w:rPr>
          <w:b/>
        </w:rPr>
      </w:pPr>
      <w:r w:rsidRPr="008A20BD">
        <w:rPr>
          <w:b/>
        </w:rPr>
        <w:t>Constitution of the Mo</w:t>
      </w:r>
      <w:r>
        <w:rPr>
          <w:b/>
        </w:rPr>
        <w:t>nthly Performance Review Board</w:t>
      </w:r>
    </w:p>
    <w:p w:rsidRPr="0085360B" w:rsidR="008A20BD" w:rsidP="008A20BD" w:rsidRDefault="008A20BD" w14:paraId="12DA53C9" w14:textId="77777777">
      <w:pPr>
        <w:pStyle w:val="Simple2"/>
        <w:keepNext/>
      </w:pPr>
      <w:r w:rsidRPr="008A20BD">
        <w:rPr>
          <w:b/>
        </w:rPr>
        <w:t>Authority</w:t>
      </w:r>
      <w:r w:rsidR="007E46AF">
        <w:rPr>
          <w:b/>
        </w:rPr>
        <w:t>:</w:t>
      </w:r>
    </w:p>
    <w:p w:rsidRPr="002F2273" w:rsidR="008A20BD" w:rsidP="008A20BD" w:rsidRDefault="008A20BD" w14:paraId="5CCCF752" w14:textId="068E82A3">
      <w:pPr>
        <w:pStyle w:val="Simple3"/>
      </w:pPr>
      <w:r>
        <w:t xml:space="preserve">[Chair - </w:t>
      </w:r>
      <w:r w:rsidR="003A384A">
        <w:t>Delivery SL</w:t>
      </w:r>
      <w:r w:rsidR="00010764">
        <w:t>;</w:t>
      </w:r>
    </w:p>
    <w:p w:rsidR="008A20BD" w:rsidP="008A20BD" w:rsidRDefault="008A20BD" w14:paraId="29BE35C3" w14:textId="77777777">
      <w:pPr>
        <w:pStyle w:val="Simple3"/>
      </w:pPr>
      <w:r w:rsidRPr="002F2273">
        <w:t>HSEQ Manager</w:t>
      </w:r>
      <w:r w:rsidR="00010764">
        <w:t>;</w:t>
      </w:r>
      <w:r w:rsidRPr="002F2273">
        <w:t xml:space="preserve"> </w:t>
      </w:r>
    </w:p>
    <w:p w:rsidRPr="002F2273" w:rsidR="008A20BD" w:rsidP="008A20BD" w:rsidRDefault="008A20BD" w14:paraId="01213D34" w14:textId="653B13A5">
      <w:pPr>
        <w:pStyle w:val="Simple3"/>
        <w:rPr/>
      </w:pPr>
      <w:r w:rsidR="2862D6B1">
        <w:rPr/>
        <w:t>Commercial Manager</w:t>
      </w:r>
      <w:r w:rsidR="24273BC4">
        <w:rPr/>
        <w:t>;</w:t>
      </w:r>
      <w:r w:rsidR="2862D6B1">
        <w:rPr/>
        <w:t xml:space="preserve"> </w:t>
      </w:r>
      <w:r w:rsidRPr="3A17B66E" w:rsidR="7580193A">
        <w:rPr>
          <w:b w:val="1"/>
          <w:bCs w:val="1"/>
          <w:i w:val="1"/>
          <w:iCs w:val="1"/>
        </w:rPr>
        <w:t>[</w:t>
      </w:r>
      <w:r w:rsidRPr="3A17B66E" w:rsidR="6D4B00CC">
        <w:rPr>
          <w:b w:val="1"/>
          <w:bCs w:val="1"/>
          <w:i w:val="1"/>
          <w:iCs w:val="1"/>
        </w:rPr>
        <w:t>Note to Tenderers</w:t>
      </w:r>
      <w:r w:rsidRPr="3A17B66E" w:rsidR="7580193A">
        <w:rPr>
          <w:b w:val="1"/>
          <w:bCs w:val="1"/>
          <w:i w:val="1"/>
          <w:iCs w:val="1"/>
        </w:rPr>
        <w:t xml:space="preserve">: </w:t>
      </w:r>
      <w:r w:rsidRPr="3A17B66E" w:rsidR="7580193A">
        <w:rPr>
          <w:b w:val="1"/>
          <w:bCs w:val="1"/>
          <w:i w:val="1"/>
          <w:iCs w:val="1"/>
        </w:rPr>
        <w:t xml:space="preserve">Starting point is that the Commercial Manager is the Authority's Representative for the purposes of the </w:t>
      </w:r>
      <w:r w:rsidRPr="3A17B66E" w:rsidR="7580193A">
        <w:rPr>
          <w:b w:val="1"/>
          <w:bCs w:val="1"/>
          <w:i w:val="1"/>
          <w:iCs w:val="1"/>
        </w:rPr>
        <w:t>C</w:t>
      </w:r>
      <w:r w:rsidRPr="3A17B66E" w:rsidR="7580193A">
        <w:rPr>
          <w:b w:val="1"/>
          <w:bCs w:val="1"/>
          <w:i w:val="1"/>
          <w:iCs w:val="1"/>
        </w:rPr>
        <w:t>ont</w:t>
      </w:r>
      <w:r w:rsidRPr="3A17B66E" w:rsidR="7580193A">
        <w:rPr>
          <w:b w:val="1"/>
          <w:bCs w:val="1"/>
          <w:i w:val="1"/>
          <w:iCs w:val="1"/>
        </w:rPr>
        <w:t>ract</w:t>
      </w:r>
      <w:r w:rsidRPr="3A17B66E" w:rsidR="7580193A">
        <w:rPr>
          <w:b w:val="1"/>
          <w:bCs w:val="1"/>
          <w:i w:val="1"/>
          <w:iCs w:val="1"/>
        </w:rPr>
        <w:t>.]</w:t>
      </w:r>
    </w:p>
    <w:p w:rsidR="008A20BD" w:rsidP="008A20BD" w:rsidRDefault="00010764" w14:paraId="7335B2AE" w14:textId="77777777">
      <w:pPr>
        <w:pStyle w:val="Simple3"/>
      </w:pPr>
      <w:r>
        <w:t>Finance Officer; and</w:t>
      </w:r>
    </w:p>
    <w:p w:rsidRPr="002F2273" w:rsidR="008A20BD" w:rsidP="008A20BD" w:rsidRDefault="008A20BD" w14:paraId="6E149F4A" w14:textId="77777777">
      <w:pPr>
        <w:pStyle w:val="Simple3"/>
      </w:pPr>
      <w:r>
        <w:t>Contract Designated Officer</w:t>
      </w:r>
      <w:r w:rsidR="00010764">
        <w:t>.</w:t>
      </w:r>
      <w:r>
        <w:t>]</w:t>
      </w:r>
    </w:p>
    <w:p w:rsidRPr="0085360B" w:rsidR="008A20BD" w:rsidP="008A20BD" w:rsidRDefault="008A20BD" w14:paraId="282FDCC9" w14:textId="77777777">
      <w:pPr>
        <w:pStyle w:val="Simple2"/>
        <w:keepNext/>
      </w:pPr>
      <w:r w:rsidRPr="008A20BD">
        <w:rPr>
          <w:b/>
        </w:rPr>
        <w:t>Contractor</w:t>
      </w:r>
      <w:r w:rsidR="007E46AF">
        <w:rPr>
          <w:b/>
        </w:rPr>
        <w:t>:</w:t>
      </w:r>
    </w:p>
    <w:p w:rsidRPr="002F2273" w:rsidR="008A20BD" w:rsidP="008A20BD" w:rsidRDefault="008A20BD" w14:paraId="4F35CB15" w14:textId="77777777">
      <w:pPr>
        <w:pStyle w:val="Simple3"/>
      </w:pPr>
      <w:r>
        <w:t>[</w:t>
      </w:r>
      <w:r w:rsidRPr="002F2273">
        <w:t xml:space="preserve">Contract Manager; </w:t>
      </w:r>
    </w:p>
    <w:p w:rsidRPr="002F2273" w:rsidR="008A20BD" w:rsidP="008A20BD" w:rsidRDefault="008A20BD" w14:paraId="5DBCCA15" w14:textId="77777777">
      <w:pPr>
        <w:pStyle w:val="Simple3"/>
      </w:pPr>
      <w:r w:rsidRPr="002F2273">
        <w:t xml:space="preserve">Head of Technical; </w:t>
      </w:r>
    </w:p>
    <w:p w:rsidRPr="002F2273" w:rsidR="008A20BD" w:rsidP="008A20BD" w:rsidRDefault="008A20BD" w14:paraId="2EA15F39" w14:textId="77777777">
      <w:pPr>
        <w:pStyle w:val="Simple3"/>
      </w:pPr>
      <w:r w:rsidRPr="002F2273">
        <w:t xml:space="preserve">Head of Safety; </w:t>
      </w:r>
    </w:p>
    <w:p w:rsidRPr="002F2273" w:rsidR="008A20BD" w:rsidP="008A20BD" w:rsidRDefault="008A20BD" w14:paraId="7FCECE24" w14:textId="77777777">
      <w:pPr>
        <w:pStyle w:val="Simple3"/>
      </w:pPr>
      <w:r w:rsidRPr="002F2273">
        <w:t xml:space="preserve">Commercial Lead; </w:t>
      </w:r>
      <w:r w:rsidR="00010764">
        <w:t>and</w:t>
      </w:r>
    </w:p>
    <w:p w:rsidR="00AD1B64" w:rsidP="008A20BD" w:rsidRDefault="008A20BD" w14:paraId="7E18264A" w14:textId="77777777">
      <w:pPr>
        <w:pStyle w:val="Simple3"/>
      </w:pPr>
      <w:r w:rsidRPr="002F2273">
        <w:t>Business Support or Head of PM</w:t>
      </w:r>
      <w:r>
        <w:t>]</w:t>
      </w:r>
      <w:r w:rsidRPr="002F2273">
        <w:t>.</w:t>
      </w:r>
      <w:r>
        <w:t xml:space="preserve"> </w:t>
      </w:r>
    </w:p>
    <w:p w:rsidRPr="002F2273" w:rsidR="008A20BD" w:rsidP="3A17B66E" w:rsidRDefault="008A20BD" w14:paraId="3BC74360" w14:textId="2EB337BD">
      <w:pPr>
        <w:pStyle w:val="Simple3"/>
        <w:numPr>
          <w:numId w:val="0"/>
        </w:numPr>
        <w:ind w:left="1417"/>
        <w:rPr>
          <w:b w:val="1"/>
          <w:bCs w:val="1"/>
          <w:i w:val="1"/>
          <w:iCs w:val="1"/>
        </w:rPr>
      </w:pPr>
      <w:r w:rsidRPr="3A17B66E" w:rsidR="2862D6B1">
        <w:rPr>
          <w:b w:val="1"/>
          <w:bCs w:val="1"/>
          <w:i w:val="1"/>
          <w:iCs w:val="1"/>
        </w:rPr>
        <w:t>[</w:t>
      </w:r>
      <w:r w:rsidRPr="3A17B66E" w:rsidR="6D4B00CC">
        <w:rPr>
          <w:b w:val="1"/>
          <w:bCs w:val="1"/>
          <w:i w:val="1"/>
          <w:iCs w:val="1"/>
        </w:rPr>
        <w:t>Note to Tenderers</w:t>
      </w:r>
      <w:r w:rsidRPr="3A17B66E" w:rsidR="2862D6B1">
        <w:rPr>
          <w:b w:val="1"/>
          <w:bCs w:val="1"/>
          <w:i w:val="1"/>
          <w:iCs w:val="1"/>
        </w:rPr>
        <w:t>: Contractor</w:t>
      </w:r>
      <w:r w:rsidRPr="3A17B66E" w:rsidR="7EF28FA3">
        <w:rPr>
          <w:b w:val="1"/>
          <w:bCs w:val="1"/>
          <w:i w:val="1"/>
          <w:iCs w:val="1"/>
        </w:rPr>
        <w:t>'</w:t>
      </w:r>
      <w:r w:rsidRPr="3A17B66E" w:rsidR="2862D6B1">
        <w:rPr>
          <w:b w:val="1"/>
          <w:bCs w:val="1"/>
          <w:i w:val="1"/>
          <w:iCs w:val="1"/>
        </w:rPr>
        <w:t xml:space="preserve">s Monthly Performance Review Board members to be proposed by </w:t>
      </w:r>
      <w:r w:rsidRPr="3A17B66E" w:rsidR="6D4B00CC">
        <w:rPr>
          <w:b w:val="1"/>
          <w:bCs w:val="1"/>
          <w:i w:val="1"/>
          <w:iCs w:val="1"/>
        </w:rPr>
        <w:t>Tenderer</w:t>
      </w:r>
      <w:r w:rsidRPr="3A17B66E" w:rsidR="33737DD8">
        <w:rPr>
          <w:b w:val="1"/>
          <w:bCs w:val="1"/>
          <w:i w:val="1"/>
          <w:iCs w:val="1"/>
        </w:rPr>
        <w:t>s</w:t>
      </w:r>
      <w:r w:rsidRPr="3A17B66E" w:rsidR="2862D6B1">
        <w:rPr>
          <w:b w:val="1"/>
          <w:bCs w:val="1"/>
          <w:i w:val="1"/>
          <w:iCs w:val="1"/>
        </w:rPr>
        <w:t xml:space="preserve"> in response to the ITN. </w:t>
      </w:r>
      <w:r w:rsidRPr="3A17B66E" w:rsidR="6DED7B05">
        <w:rPr>
          <w:b w:val="1"/>
          <w:bCs w:val="1"/>
          <w:i w:val="1"/>
          <w:iCs w:val="1"/>
        </w:rPr>
        <w:t>The</w:t>
      </w:r>
      <w:r w:rsidRPr="3A17B66E" w:rsidR="3051F2E1">
        <w:rPr>
          <w:b w:val="1"/>
          <w:bCs w:val="1"/>
          <w:i w:val="1"/>
          <w:iCs w:val="1"/>
        </w:rPr>
        <w:t xml:space="preserve"> Contractor's Representative</w:t>
      </w:r>
      <w:r w:rsidRPr="3A17B66E" w:rsidR="6DED7B05">
        <w:rPr>
          <w:b w:val="1"/>
          <w:bCs w:val="1"/>
          <w:i w:val="1"/>
          <w:iCs w:val="1"/>
        </w:rPr>
        <w:t xml:space="preserve"> (as defined in Schedule 1)</w:t>
      </w:r>
      <w:r w:rsidRPr="3A17B66E" w:rsidR="3051F2E1">
        <w:rPr>
          <w:b w:val="1"/>
          <w:bCs w:val="1"/>
          <w:i w:val="1"/>
          <w:iCs w:val="1"/>
        </w:rPr>
        <w:t xml:space="preserve"> </w:t>
      </w:r>
      <w:r w:rsidRPr="3A17B66E" w:rsidR="6DED7B05">
        <w:rPr>
          <w:b w:val="1"/>
          <w:bCs w:val="1"/>
          <w:i w:val="1"/>
          <w:iCs w:val="1"/>
        </w:rPr>
        <w:t xml:space="preserve">is expected </w:t>
      </w:r>
      <w:r w:rsidRPr="3A17B66E" w:rsidR="3051F2E1">
        <w:rPr>
          <w:b w:val="1"/>
          <w:bCs w:val="1"/>
          <w:i w:val="1"/>
          <w:iCs w:val="1"/>
        </w:rPr>
        <w:t xml:space="preserve">to sit on the MPRB. </w:t>
      </w:r>
      <w:r w:rsidRPr="3A17B66E" w:rsidR="2862D6B1">
        <w:rPr>
          <w:b w:val="1"/>
          <w:bCs w:val="1"/>
          <w:i w:val="1"/>
          <w:iCs w:val="1"/>
        </w:rPr>
        <w:t>Note that there should be an equal number of Contractor members to Authority members</w:t>
      </w:r>
      <w:r w:rsidRPr="3A17B66E" w:rsidR="3CF6FB39">
        <w:rPr>
          <w:b w:val="1"/>
          <w:bCs w:val="1"/>
          <w:i w:val="1"/>
          <w:iCs w:val="1"/>
        </w:rPr>
        <w:t xml:space="preserve">, and the Contractor is required to provide a secretary as set out in </w:t>
      </w:r>
      <w:r w:rsidRPr="3A17B66E" w:rsidR="6D4B00CC">
        <w:rPr>
          <w:b w:val="1"/>
          <w:bCs w:val="1"/>
          <w:i w:val="1"/>
          <w:iCs w:val="1"/>
        </w:rPr>
        <w:t>paragraph</w:t>
      </w:r>
      <w:r w:rsidRPr="3A17B66E" w:rsidR="2C89B51C">
        <w:rPr>
          <w:b w:val="1"/>
          <w:bCs w:val="1"/>
          <w:i w:val="1"/>
          <w:iCs w:val="1"/>
        </w:rPr>
        <w:t xml:space="preserve"> </w:t>
      </w:r>
      <w:r w:rsidRPr="3A17B66E" w:rsidR="00853F79">
        <w:rPr>
          <w:b w:val="1"/>
          <w:bCs w:val="1"/>
          <w:i w:val="1"/>
          <w:iCs w:val="1"/>
          <w:highlight w:val="green"/>
        </w:rPr>
        <w:fldChar w:fldCharType="begin"/>
      </w:r>
      <w:r w:rsidRPr="3A17B66E" w:rsidR="00853F79">
        <w:rPr>
          <w:b w:val="1"/>
          <w:bCs w:val="1"/>
          <w:i w:val="1"/>
          <w:iCs w:val="1"/>
          <w:highlight w:val="green"/>
        </w:rPr>
        <w:instrText xml:space="preserve"> REF _Ref114738016 \r \h </w:instrText>
      </w:r>
      <w:r w:rsidR="00853F79">
        <w:rPr>
          <w:b/>
          <w:i/>
          <w:highlight w:val="green"/>
        </w:rPr>
      </w:r>
      <w:r w:rsidRPr="3A17B66E" w:rsidR="00853F79">
        <w:rPr>
          <w:b w:val="1"/>
          <w:bCs w:val="1"/>
          <w:i w:val="1"/>
          <w:iCs w:val="1"/>
          <w:highlight w:val="green"/>
        </w:rPr>
        <w:fldChar w:fldCharType="separate"/>
      </w:r>
      <w:r w:rsidRPr="3A17B66E" w:rsidR="1C1A52A2">
        <w:rPr>
          <w:b w:val="1"/>
          <w:bCs w:val="1"/>
          <w:i w:val="1"/>
          <w:iCs w:val="1"/>
          <w:highlight w:val="green"/>
        </w:rPr>
        <w:t>3.5</w:t>
      </w:r>
      <w:r w:rsidRPr="3A17B66E" w:rsidR="00853F79">
        <w:rPr>
          <w:b w:val="1"/>
          <w:bCs w:val="1"/>
          <w:i w:val="1"/>
          <w:iCs w:val="1"/>
          <w:highlight w:val="green"/>
        </w:rPr>
        <w:fldChar w:fldCharType="end"/>
      </w:r>
      <w:r w:rsidRPr="3A17B66E" w:rsidR="3CF6FB39">
        <w:rPr>
          <w:b w:val="1"/>
          <w:bCs w:val="1"/>
          <w:i w:val="1"/>
          <w:iCs w:val="1"/>
        </w:rPr>
        <w:t xml:space="preserve"> and the secretary will also need to attend the meetings</w:t>
      </w:r>
      <w:r w:rsidRPr="3A17B66E" w:rsidR="2862D6B1">
        <w:rPr>
          <w:b w:val="1"/>
          <w:bCs w:val="1"/>
          <w:i w:val="1"/>
          <w:iCs w:val="1"/>
        </w:rPr>
        <w:t>.]</w:t>
      </w:r>
    </w:p>
    <w:p w:rsidRPr="008A20BD" w:rsidR="008A20BD" w:rsidP="008A20BD" w:rsidRDefault="008A20BD" w14:paraId="66707CEF" w14:textId="77777777">
      <w:pPr>
        <w:pStyle w:val="Body2"/>
        <w:keepNext/>
        <w:rPr>
          <w:b/>
        </w:rPr>
      </w:pPr>
      <w:r w:rsidRPr="008A20BD">
        <w:rPr>
          <w:b/>
        </w:rPr>
        <w:t>F</w:t>
      </w:r>
      <w:r w:rsidR="00C6638F">
        <w:rPr>
          <w:b/>
        </w:rPr>
        <w:t xml:space="preserve">requency, </w:t>
      </w:r>
      <w:r w:rsidRPr="008A20BD">
        <w:rPr>
          <w:b/>
        </w:rPr>
        <w:t>Timing</w:t>
      </w:r>
      <w:r w:rsidR="00C6638F">
        <w:rPr>
          <w:b/>
        </w:rPr>
        <w:t xml:space="preserve"> and Location</w:t>
      </w:r>
      <w:r w:rsidRPr="008A20BD">
        <w:rPr>
          <w:b/>
        </w:rPr>
        <w:t xml:space="preserve"> of the Monthly Performance Review Board Meetings </w:t>
      </w:r>
    </w:p>
    <w:p w:rsidRPr="00AC0199" w:rsidR="008A20BD" w:rsidP="008A20BD" w:rsidRDefault="008A20BD" w14:paraId="0475CC79" w14:textId="48B34DAE">
      <w:pPr>
        <w:pStyle w:val="Simple2"/>
      </w:pPr>
      <w:r>
        <w:t>With effect from the Service Commencement Date</w:t>
      </w:r>
      <w:r w:rsidR="00AF5244">
        <w:t>,</w:t>
      </w:r>
      <w:r>
        <w:t xml:space="preserve"> the </w:t>
      </w:r>
      <w:r w:rsidR="00AF5244">
        <w:t>P</w:t>
      </w:r>
      <w:r>
        <w:t xml:space="preserve">arties shall hold a </w:t>
      </w:r>
      <w:bookmarkStart w:name="_Hlk95808214" w:id="17"/>
      <w:r>
        <w:t xml:space="preserve">Monthly Performance Review Board </w:t>
      </w:r>
      <w:bookmarkEnd w:id="17"/>
      <w:r w:rsidRPr="00AC0199" w:rsidR="00536D27">
        <w:t>on or around the day which falls forty-five (45) calendar day</w:t>
      </w:r>
      <w:r w:rsidRPr="00AC0199" w:rsidR="00156801">
        <w:t>s</w:t>
      </w:r>
      <w:r w:rsidRPr="00AC0199" w:rsidR="00536D27">
        <w:t xml:space="preserve"> after the end of each Relevant Contract Month</w:t>
      </w:r>
      <w:r w:rsidRPr="00AC0199">
        <w:t xml:space="preserve">. </w:t>
      </w:r>
    </w:p>
    <w:p w:rsidRPr="00AC0199" w:rsidR="00C6638F" w:rsidP="00C6638F" w:rsidRDefault="00B74487" w14:paraId="3631E3CC" w14:textId="78528A02">
      <w:pPr>
        <w:pStyle w:val="Simple2"/>
      </w:pPr>
      <w:r w:rsidRPr="00AC0199">
        <w:t xml:space="preserve">Monthly Performance Review Board </w:t>
      </w:r>
      <w:r w:rsidRPr="00AC0199" w:rsidR="00C6638F">
        <w:t>meetings shall be held virtually or in-person (or on a hybrid basis) as agreed between the Monthly Performance Review Board members from time to time provided that, if the members cannot agree, the Authority's decision shall be final.</w:t>
      </w:r>
    </w:p>
    <w:p w:rsidRPr="00AC0199" w:rsidR="008A20BD" w:rsidP="008A20BD" w:rsidRDefault="00853F79" w14:paraId="32FCD889" w14:textId="587DB71A">
      <w:pPr>
        <w:pStyle w:val="Simple2"/>
      </w:pPr>
      <w:bookmarkStart w:name="_Ref114738016" w:id="18"/>
      <w:r w:rsidRPr="00AC0199">
        <w:t xml:space="preserve">The Contractor shall appoint a nominated secretary to manage the administration related to the Monthly Performance Review Board. </w:t>
      </w:r>
      <w:r w:rsidRPr="00AC0199" w:rsidR="008A20BD">
        <w:t>In respect of each Monthly Performance Review Board Meeting the Contractor shall</w:t>
      </w:r>
      <w:r w:rsidRPr="00AC0199">
        <w:t xml:space="preserve"> ensure that its secretary shall</w:t>
      </w:r>
      <w:r w:rsidRPr="00AC0199" w:rsidR="008A20BD">
        <w:t>:</w:t>
      </w:r>
      <w:bookmarkEnd w:id="18"/>
      <w:r w:rsidRPr="00AC0199" w:rsidR="008A20BD">
        <w:t xml:space="preserve">   </w:t>
      </w:r>
    </w:p>
    <w:p w:rsidRPr="00AC0199" w:rsidR="008A20BD" w:rsidP="008A20BD" w:rsidRDefault="008A20BD" w14:paraId="290BC7ED" w14:textId="0665076F">
      <w:pPr>
        <w:pStyle w:val="Simple3"/>
      </w:pPr>
      <w:bookmarkStart w:name="_Ref99398632" w:id="19"/>
      <w:r w:rsidRPr="00AC0199">
        <w:t xml:space="preserve">issue the agenda (to include any matters specified by the Authority pursuant to </w:t>
      </w:r>
      <w:r w:rsidR="00B761F0">
        <w:t>paragraph</w:t>
      </w:r>
      <w:r w:rsidR="00B74F29">
        <w:t xml:space="preserve"> </w:t>
      </w:r>
      <w:r w:rsidRPr="00AC0199" w:rsidR="00EA4D7A">
        <w:fldChar w:fldCharType="begin"/>
      </w:r>
      <w:r w:rsidRPr="00AC0199" w:rsidR="00EA4D7A">
        <w:instrText xml:space="preserve"> REF _Ref99398527 \r \h </w:instrText>
      </w:r>
      <w:r w:rsidRPr="00AC0199" w:rsidR="00EA4D7A">
        <w:fldChar w:fldCharType="separate"/>
      </w:r>
      <w:r w:rsidR="00E8541C">
        <w:t>3.6</w:t>
      </w:r>
      <w:r w:rsidRPr="00AC0199" w:rsidR="00EA4D7A">
        <w:fldChar w:fldCharType="end"/>
      </w:r>
      <w:r w:rsidRPr="00AC0199">
        <w:t>) together with any accompanying papers to each member of the Monthly Performance Review Board at least (10) Business Days before the scheduled date of the meeting;</w:t>
      </w:r>
      <w:bookmarkEnd w:id="19"/>
      <w:r w:rsidRPr="00AC0199">
        <w:t xml:space="preserve"> </w:t>
      </w:r>
    </w:p>
    <w:p w:rsidRPr="00AC0199" w:rsidR="008A20BD" w:rsidP="008A20BD" w:rsidRDefault="008A20BD" w14:paraId="4401A5DD" w14:textId="6054B2D9">
      <w:pPr>
        <w:pStyle w:val="Simple3"/>
      </w:pPr>
      <w:r w:rsidRPr="00AC0199">
        <w:t xml:space="preserve">not less than ten (10) Business Days before each Monthly Performance Review Board meeting the Contractor shall provide the Authority with the </w:t>
      </w:r>
      <w:r w:rsidRPr="00AC0199" w:rsidR="00771139">
        <w:t>MPRB MI</w:t>
      </w:r>
      <w:r w:rsidRPr="00AC0199" w:rsidR="00536D27">
        <w:t xml:space="preserve"> for the Relevant Contract Month</w:t>
      </w:r>
      <w:r w:rsidRPr="00AC0199">
        <w:t xml:space="preserve">; and </w:t>
      </w:r>
    </w:p>
    <w:p w:rsidRPr="00AC0199" w:rsidR="008A20BD" w:rsidP="008A20BD" w:rsidRDefault="008A20BD" w14:paraId="0E44F62A" w14:textId="22709B59">
      <w:pPr>
        <w:pStyle w:val="Simple3"/>
      </w:pPr>
      <w:r w:rsidRPr="00AC0199">
        <w:t>issue the draft minutes of each Monthly Performance Review Board meeting to each member of the Monthly Performance Review Board with</w:t>
      </w:r>
      <w:r w:rsidRPr="00AC0199" w:rsidR="00536D27">
        <w:t>in</w:t>
      </w:r>
      <w:r w:rsidRPr="00AC0199">
        <w:t xml:space="preserve"> </w:t>
      </w:r>
      <w:r w:rsidRPr="00AC0199" w:rsidR="004C31C3">
        <w:t>five (5</w:t>
      </w:r>
      <w:r w:rsidRPr="00AC0199">
        <w:t>) Business Days of the meeting and, follo</w:t>
      </w:r>
      <w:r w:rsidRPr="00AC0199" w:rsidR="00771139">
        <w:t>wing approval by the Authority</w:t>
      </w:r>
      <w:r w:rsidRPr="00AC0199">
        <w:t xml:space="preserve"> in accordance with </w:t>
      </w:r>
      <w:r w:rsidR="00B761F0">
        <w:t>paragraph</w:t>
      </w:r>
      <w:r w:rsidR="00B74F29">
        <w:t xml:space="preserve"> </w:t>
      </w:r>
      <w:r w:rsidRPr="00AC0199" w:rsidR="00EA4D7A">
        <w:fldChar w:fldCharType="begin"/>
      </w:r>
      <w:r w:rsidRPr="00AC0199" w:rsidR="00EA4D7A">
        <w:instrText xml:space="preserve"> REF _Ref99398551 \r \h </w:instrText>
      </w:r>
      <w:r w:rsidRPr="00AC0199" w:rsidR="00EA4D7A">
        <w:fldChar w:fldCharType="separate"/>
      </w:r>
      <w:r w:rsidR="00E8541C">
        <w:t>3.8</w:t>
      </w:r>
      <w:r w:rsidRPr="00AC0199" w:rsidR="00EA4D7A">
        <w:fldChar w:fldCharType="end"/>
      </w:r>
      <w:r w:rsidRPr="00AC0199">
        <w:t xml:space="preserve">, the Contractor shall issue the final minutes of the meeting to each member of the Monthly Performance Review Board with three (3) Business Days of such approval. </w:t>
      </w:r>
    </w:p>
    <w:p w:rsidRPr="00AC0199" w:rsidR="008A20BD" w:rsidP="008A20BD" w:rsidRDefault="008A20BD" w14:paraId="06A46BCC" w14:textId="2467FC82">
      <w:pPr>
        <w:pStyle w:val="Simple2"/>
      </w:pPr>
      <w:bookmarkStart w:name="_Ref99398527" w:id="20"/>
      <w:r w:rsidRPr="00AC0199">
        <w:t xml:space="preserve">The Authority may notify the Contractor of any matters it wishes to be included on the agenda for a Monthly Performance Review meeting and the Contractor shall include such matters on the agenda, provided such notification is given at least two (2) Business Days prior to the issue of the agenda pursuant to </w:t>
      </w:r>
      <w:r w:rsidR="00B761F0">
        <w:t>paragraph</w:t>
      </w:r>
      <w:r w:rsidR="00B74F29">
        <w:t xml:space="preserve"> </w:t>
      </w:r>
      <w:r w:rsidRPr="00AC0199" w:rsidR="00C54553">
        <w:fldChar w:fldCharType="begin"/>
      </w:r>
      <w:r w:rsidRPr="00AC0199" w:rsidR="00C54553">
        <w:instrText xml:space="preserve"> REF _Ref99398632 \r \h </w:instrText>
      </w:r>
      <w:r w:rsidRPr="00AC0199" w:rsidR="00C54553">
        <w:fldChar w:fldCharType="separate"/>
      </w:r>
      <w:r w:rsidR="00E8541C">
        <w:t>3.5(a)</w:t>
      </w:r>
      <w:r w:rsidRPr="00AC0199" w:rsidR="00C54553">
        <w:fldChar w:fldCharType="end"/>
      </w:r>
      <w:r w:rsidRPr="00AC0199">
        <w:t>.</w:t>
      </w:r>
      <w:bookmarkEnd w:id="20"/>
    </w:p>
    <w:p w:rsidRPr="00AC0199" w:rsidR="008A20BD" w:rsidP="008A20BD" w:rsidRDefault="008A20BD" w14:paraId="6CC82FF9" w14:textId="77777777">
      <w:pPr>
        <w:pStyle w:val="Simple2"/>
      </w:pPr>
      <w:r w:rsidRPr="00AC0199">
        <w:t xml:space="preserve">Meetings of the Monthly Performance Review Board shall take place at such locations as </w:t>
      </w:r>
      <w:r w:rsidRPr="00AC0199" w:rsidR="00C54553">
        <w:t>the Authority</w:t>
      </w:r>
      <w:r w:rsidRPr="00AC0199">
        <w:t xml:space="preserve"> may notify the </w:t>
      </w:r>
      <w:r w:rsidRPr="00AC0199" w:rsidR="00C54553">
        <w:t>Contractor</w:t>
      </w:r>
      <w:r w:rsidRPr="00AC0199">
        <w:t xml:space="preserve"> from time to time.</w:t>
      </w:r>
    </w:p>
    <w:p w:rsidRPr="00AC0199" w:rsidR="008A20BD" w:rsidP="008A20BD" w:rsidRDefault="008A20BD" w14:paraId="56E54C81" w14:textId="77777777">
      <w:pPr>
        <w:pStyle w:val="Simple2"/>
      </w:pPr>
      <w:bookmarkStart w:name="_Ref99398551" w:id="21"/>
      <w:r w:rsidRPr="00AC0199">
        <w:t>The minutes of each Monthly Performance Review Board meeting shall be considered final only once they have been approved by the Authority.</w:t>
      </w:r>
      <w:bookmarkEnd w:id="21"/>
    </w:p>
    <w:p w:rsidRPr="00AC0199" w:rsidR="008A20BD" w:rsidP="008A20BD" w:rsidRDefault="008A20BD" w14:paraId="35B4E42E" w14:textId="77777777">
      <w:pPr>
        <w:pStyle w:val="Body2"/>
        <w:keepNext/>
        <w:rPr>
          <w:b/>
        </w:rPr>
      </w:pPr>
      <w:r w:rsidRPr="00AC0199">
        <w:rPr>
          <w:b/>
        </w:rPr>
        <w:t>Functions of the M</w:t>
      </w:r>
      <w:r w:rsidRPr="00AC0199" w:rsidR="00364B8C">
        <w:rPr>
          <w:b/>
        </w:rPr>
        <w:t>onthly Performance Review Board</w:t>
      </w:r>
    </w:p>
    <w:p w:rsidRPr="00AC0199" w:rsidR="008A20BD" w:rsidP="008A20BD" w:rsidRDefault="008A20BD" w14:paraId="77A28117" w14:textId="77777777">
      <w:pPr>
        <w:pStyle w:val="Simple2"/>
      </w:pPr>
      <w:r w:rsidRPr="00AC0199">
        <w:t>The functions of the Monthly Performance Review Board shall include:</w:t>
      </w:r>
    </w:p>
    <w:p w:rsidRPr="00AC0199" w:rsidR="00741CB9" w:rsidP="00C1151F" w:rsidRDefault="00741CB9" w14:paraId="7836EFAB" w14:textId="71061518">
      <w:pPr>
        <w:pStyle w:val="Simple3"/>
      </w:pPr>
      <w:r w:rsidRPr="00AC0199">
        <w:t>recommending</w:t>
      </w:r>
      <w:r w:rsidRPr="00AC0199" w:rsidR="0039082C">
        <w:t xml:space="preserve"> to the Authority </w:t>
      </w:r>
      <w:r w:rsidRPr="00AC0199">
        <w:t>the proposed Total Monthly Payment for that month</w:t>
      </w:r>
      <w:r w:rsidR="00BD2380">
        <w:t xml:space="preserve"> calculated in accordance with </w:t>
      </w:r>
      <w:r w:rsidR="00B761F0">
        <w:t>paragraph</w:t>
      </w:r>
      <w:r w:rsidR="00B74F29">
        <w:t xml:space="preserve"> </w:t>
      </w:r>
      <w:r w:rsidRPr="00AC0199">
        <w:t>2.1 of Schedule 4 (Payment, Performance and Incentivisation Mechanism), taking account of:</w:t>
      </w:r>
    </w:p>
    <w:p w:rsidRPr="00AC0199" w:rsidR="009F16B1" w:rsidP="00741CB9" w:rsidRDefault="00C1151F" w14:paraId="76D9BB2D" w14:textId="6BDB74A8">
      <w:pPr>
        <w:pStyle w:val="Simple4"/>
      </w:pPr>
      <w:r w:rsidRPr="00AC0199">
        <w:t>the Monthly Performance and Activity Report (RR01)</w:t>
      </w:r>
      <w:r w:rsidRPr="00AC0199" w:rsidR="00536D27">
        <w:t xml:space="preserve"> for the Relevant Contract Month</w:t>
      </w:r>
      <w:r w:rsidRPr="00AC0199" w:rsidR="00A121D8">
        <w:t>,</w:t>
      </w:r>
      <w:r w:rsidRPr="00AC0199">
        <w:t xml:space="preserve"> </w:t>
      </w:r>
    </w:p>
    <w:p w:rsidRPr="00AC0199" w:rsidR="00741CB9" w:rsidP="001E6C67" w:rsidRDefault="00741CB9" w14:paraId="727C8DD0" w14:textId="69E56A1C">
      <w:pPr>
        <w:pStyle w:val="Simple4"/>
      </w:pPr>
      <w:r w:rsidRPr="00AC0199">
        <w:t>the Fuel Usage Report (RR04)</w:t>
      </w:r>
      <w:r w:rsidRPr="00AC0199" w:rsidR="00D50FED">
        <w:t xml:space="preserve"> </w:t>
      </w:r>
      <w:r w:rsidRPr="00AC0199" w:rsidR="00536D27">
        <w:t>for the Relevant Contract Month</w:t>
      </w:r>
      <w:r w:rsidRPr="00AC0199">
        <w:t>; and</w:t>
      </w:r>
    </w:p>
    <w:p w:rsidRPr="00AC0199" w:rsidR="00AB454F" w:rsidP="00AB454F" w:rsidRDefault="00D50FED" w14:paraId="452BED80" w14:textId="002D363C">
      <w:pPr>
        <w:pStyle w:val="Simple4"/>
      </w:pPr>
      <w:r w:rsidRPr="00AC0199">
        <w:t>any recommendations made by the LPWG</w:t>
      </w:r>
      <w:r w:rsidRPr="00AC0199" w:rsidR="00F80588">
        <w:t>, including any commentary from the</w:t>
      </w:r>
      <w:r w:rsidRPr="00AC0199">
        <w:t xml:space="preserve"> </w:t>
      </w:r>
      <w:r w:rsidRPr="00AC0199" w:rsidR="00F80588">
        <w:t xml:space="preserve">LPWG on the timeliness and/or quality of the </w:t>
      </w:r>
      <w:r w:rsidRPr="00AC0199" w:rsidR="00AB454F">
        <w:t>Local Monthly Performance and Activity Repo</w:t>
      </w:r>
      <w:r w:rsidRPr="00AC0199" w:rsidR="006D6E5F">
        <w:t>rt</w:t>
      </w:r>
      <w:r w:rsidRPr="00AC0199" w:rsidR="001E6C67">
        <w:t xml:space="preserve"> for the Relevant Contract Month</w:t>
      </w:r>
      <w:r w:rsidRPr="00AC0199" w:rsidR="006D6E5F">
        <w:t>,</w:t>
      </w:r>
    </w:p>
    <w:p w:rsidRPr="00AC0199" w:rsidR="0039082C" w:rsidP="0039082C" w:rsidRDefault="0039082C" w14:paraId="427FEC34" w14:textId="4CB8A85C">
      <w:pPr>
        <w:pStyle w:val="Simple4"/>
        <w:numPr>
          <w:ilvl w:val="0"/>
          <w:numId w:val="0"/>
        </w:numPr>
        <w:ind w:left="1417"/>
      </w:pPr>
      <w:r w:rsidRPr="00AC0199">
        <w:t>provided that the final determination of the Total Monthly Payment shall be at the Authority's sole discretio</w:t>
      </w:r>
      <w:r w:rsidR="00EA3660">
        <w:t xml:space="preserve">n in accordance with </w:t>
      </w:r>
      <w:r w:rsidR="00B761F0">
        <w:t>paragraph</w:t>
      </w:r>
      <w:r w:rsidR="00B74F29">
        <w:t xml:space="preserve"> </w:t>
      </w:r>
      <w:r w:rsidR="00EA3660">
        <w:t>2</w:t>
      </w:r>
      <w:r w:rsidRPr="00AC0199" w:rsidR="008E414B">
        <w:t>.1</w:t>
      </w:r>
      <w:r w:rsidRPr="00AC0199">
        <w:t xml:space="preserve"> of Schedule 4 (Payment, Performance and Incentivisation Mechanism);</w:t>
      </w:r>
    </w:p>
    <w:p w:rsidR="00EA3660" w:rsidP="00EA3660" w:rsidRDefault="00EA3660" w14:paraId="07FDB886" w14:textId="533BC104">
      <w:pPr>
        <w:pStyle w:val="Simple3"/>
      </w:pPr>
      <w:r>
        <w:t xml:space="preserve">reviewing the ATVR and </w:t>
      </w:r>
      <w:r w:rsidRPr="00AC0199">
        <w:t xml:space="preserve">recommending to the Authority </w:t>
      </w:r>
      <w:r>
        <w:t>the proposed annual adjustment for the previous Contract Year in accordance with Schedule 4 (</w:t>
      </w:r>
      <w:r w:rsidRPr="00741CB9">
        <w:t>Payment, Performance and Incentivisation Mechanism</w:t>
      </w:r>
      <w:r>
        <w:t xml:space="preserve">), </w:t>
      </w:r>
      <w:r w:rsidRPr="00AC0199">
        <w:t>provided that the final determination of</w:t>
      </w:r>
      <w:r>
        <w:t xml:space="preserve"> the annual adjustment sh</w:t>
      </w:r>
      <w:r w:rsidRPr="00AC0199">
        <w:t xml:space="preserve">all be at the Authority's sole discretion in accordance with </w:t>
      </w:r>
      <w:r w:rsidR="00B761F0">
        <w:t>paragraph</w:t>
      </w:r>
      <w:r w:rsidR="00B74F29">
        <w:t xml:space="preserve"> </w:t>
      </w:r>
      <w:r>
        <w:t>2.6</w:t>
      </w:r>
      <w:r w:rsidRPr="00AC0199">
        <w:t xml:space="preserve"> of Schedule 4 (Payment, Performance </w:t>
      </w:r>
      <w:r>
        <w:t>and Incentivisation Mechanism)</w:t>
      </w:r>
      <w:r w:rsidRPr="00AC0199">
        <w:t>;</w:t>
      </w:r>
    </w:p>
    <w:p w:rsidRPr="00AC0199" w:rsidR="004D624F" w:rsidP="002E4253" w:rsidRDefault="008A20BD" w14:paraId="04C85623" w14:textId="064E6177">
      <w:pPr>
        <w:pStyle w:val="Simple3"/>
      </w:pPr>
      <w:r w:rsidRPr="00AC0199">
        <w:t xml:space="preserve">reviewing </w:t>
      </w:r>
      <w:r w:rsidRPr="00AC0199" w:rsidR="00A121D8">
        <w:t xml:space="preserve">and approving </w:t>
      </w:r>
      <w:r w:rsidRPr="00AC0199">
        <w:t xml:space="preserve">the </w:t>
      </w:r>
      <w:r w:rsidRPr="00AC0199" w:rsidR="00A30DEC">
        <w:t>Health Safe</w:t>
      </w:r>
      <w:r w:rsidRPr="00AC0199" w:rsidR="00DB1644">
        <w:t>ty and Environmental Protection</w:t>
      </w:r>
      <w:r w:rsidRPr="00AC0199" w:rsidR="00A30DEC">
        <w:t xml:space="preserve"> Report </w:t>
      </w:r>
      <w:r w:rsidRPr="00AC0199">
        <w:t>(RR02)</w:t>
      </w:r>
      <w:r w:rsidRPr="00AC0199" w:rsidR="00E435D0">
        <w:t xml:space="preserve"> </w:t>
      </w:r>
      <w:r w:rsidRPr="00AC0199" w:rsidR="001E6C67">
        <w:t>for the Relevant Contract Month</w:t>
      </w:r>
      <w:r w:rsidRPr="00AC0199" w:rsidR="004D624F">
        <w:t>;</w:t>
      </w:r>
    </w:p>
    <w:p w:rsidRPr="00AC0199" w:rsidR="008A20BD" w:rsidP="002E4253" w:rsidRDefault="004D624F" w14:paraId="149D20FC" w14:textId="57ECFFA3">
      <w:pPr>
        <w:pStyle w:val="Simple3"/>
      </w:pPr>
      <w:r w:rsidRPr="00AC0199">
        <w:t>reviewing and approving the Affected Services Report (RR03)</w:t>
      </w:r>
      <w:r w:rsidRPr="00AC0199" w:rsidR="00E435D0">
        <w:t xml:space="preserve"> </w:t>
      </w:r>
      <w:r w:rsidRPr="00AC0199" w:rsidR="001E6C67">
        <w:t>for the Relevant Contract Month</w:t>
      </w:r>
      <w:r w:rsidRPr="00AC0199" w:rsidR="002E4253">
        <w:t xml:space="preserve">; </w:t>
      </w:r>
    </w:p>
    <w:p w:rsidRPr="00AC0199" w:rsidR="008A20BD" w:rsidP="008A20BD" w:rsidRDefault="008A20BD" w14:paraId="6B0713B9" w14:textId="18039573">
      <w:pPr>
        <w:pStyle w:val="Simple3"/>
      </w:pPr>
      <w:r w:rsidRPr="00AC0199">
        <w:t>reviewing</w:t>
      </w:r>
      <w:r w:rsidRPr="00AC0199" w:rsidR="00A121D8">
        <w:t xml:space="preserve"> and approving</w:t>
      </w:r>
      <w:r w:rsidRPr="00AC0199">
        <w:t xml:space="preserve"> the </w:t>
      </w:r>
      <w:r w:rsidRPr="00AC0199" w:rsidR="005C50B7">
        <w:t xml:space="preserve">Fuel Usage </w:t>
      </w:r>
      <w:r w:rsidRPr="00AC0199">
        <w:t>Report (RR0</w:t>
      </w:r>
      <w:r w:rsidRPr="00AC0199" w:rsidR="004D624F">
        <w:t>4</w:t>
      </w:r>
      <w:r w:rsidRPr="00AC0199">
        <w:t>)</w:t>
      </w:r>
      <w:r w:rsidRPr="00AC0199" w:rsidR="00E435D0">
        <w:t xml:space="preserve"> </w:t>
      </w:r>
      <w:r w:rsidRPr="00AC0199" w:rsidR="001E6C67">
        <w:t>for the Relevant Contract Month</w:t>
      </w:r>
      <w:r w:rsidRPr="00AC0199">
        <w:t>;</w:t>
      </w:r>
    </w:p>
    <w:p w:rsidRPr="00AC0199" w:rsidR="008A20BD" w:rsidP="008A20BD" w:rsidRDefault="008A20BD" w14:paraId="098C988C" w14:textId="3D4B57FC">
      <w:pPr>
        <w:pStyle w:val="Simple3"/>
      </w:pPr>
      <w:r w:rsidRPr="00AC0199">
        <w:t xml:space="preserve">reviewing </w:t>
      </w:r>
      <w:r w:rsidRPr="00AC0199" w:rsidR="00A121D8">
        <w:t xml:space="preserve">and approving </w:t>
      </w:r>
      <w:r w:rsidRPr="00AC0199">
        <w:t>the HR and Training Report (RR0</w:t>
      </w:r>
      <w:r w:rsidRPr="00AC0199" w:rsidR="00A121D8">
        <w:t>5</w:t>
      </w:r>
      <w:r w:rsidRPr="00AC0199">
        <w:t>)</w:t>
      </w:r>
      <w:r w:rsidRPr="00AC0199" w:rsidR="00E50842">
        <w:t xml:space="preserve"> for the previous Quarter</w:t>
      </w:r>
      <w:r w:rsidRPr="00AC0199" w:rsidR="007617AA">
        <w:t xml:space="preserve"> (where applicable)</w:t>
      </w:r>
      <w:r w:rsidRPr="00AC0199">
        <w:t>;</w:t>
      </w:r>
    </w:p>
    <w:p w:rsidR="008A20BD" w:rsidP="008A20BD" w:rsidRDefault="008A20BD" w14:paraId="68F38DD2" w14:textId="77777777">
      <w:pPr>
        <w:pStyle w:val="Simple3"/>
      </w:pPr>
      <w:r w:rsidRPr="00AC0199">
        <w:t>addressing any issues relating to Schedule 2 (Statement of Requirement</w:t>
      </w:r>
      <w:r w:rsidR="00364B8C">
        <w:t>);</w:t>
      </w:r>
    </w:p>
    <w:p w:rsidRPr="005C5D2E" w:rsidR="008A20BD" w:rsidP="008A20BD" w:rsidRDefault="008A20BD" w14:paraId="6294A38E" w14:textId="79F6B8B1">
      <w:pPr>
        <w:pStyle w:val="Simple3"/>
      </w:pPr>
      <w:r>
        <w:t xml:space="preserve">reviewing any potential </w:t>
      </w:r>
      <w:r w:rsidR="007F21C4">
        <w:t xml:space="preserve">future </w:t>
      </w:r>
      <w:r>
        <w:t>Change Requests, and identifying those potential Changes of a significant and/or strategic nature which will need to be referred to the Strategic Board;</w:t>
      </w:r>
      <w:r w:rsidRPr="003F3344">
        <w:t xml:space="preserve"> </w:t>
      </w:r>
    </w:p>
    <w:p w:rsidRPr="00863B35" w:rsidR="008A20BD" w:rsidP="008A20BD" w:rsidRDefault="008A20BD" w14:paraId="7B53587F" w14:textId="77777777">
      <w:pPr>
        <w:pStyle w:val="Simple3"/>
      </w:pPr>
      <w:r w:rsidRPr="00863B35">
        <w:t xml:space="preserve">reviewing the </w:t>
      </w:r>
      <w:r w:rsidR="00C73F65">
        <w:t xml:space="preserve">joint </w:t>
      </w:r>
      <w:r w:rsidRPr="00863B35">
        <w:t>risks, issues and opportunities which may affect the Services</w:t>
      </w:r>
      <w:r>
        <w:t>;</w:t>
      </w:r>
      <w:r w:rsidRPr="00863B35">
        <w:t xml:space="preserve"> </w:t>
      </w:r>
    </w:p>
    <w:p w:rsidR="008A20BD" w:rsidP="008A20BD" w:rsidRDefault="008A20BD" w14:paraId="4776FF24" w14:textId="77777777">
      <w:pPr>
        <w:pStyle w:val="Simple3"/>
      </w:pPr>
      <w:r w:rsidRPr="00863B35">
        <w:t xml:space="preserve">reviewing the outcome of remedial actions </w:t>
      </w:r>
      <w:r w:rsidR="00150370">
        <w:t xml:space="preserve">pursued </w:t>
      </w:r>
      <w:r w:rsidRPr="00863B35">
        <w:t xml:space="preserve">in accordance with </w:t>
      </w:r>
      <w:r w:rsidR="00245F92">
        <w:t>C</w:t>
      </w:r>
      <w:r w:rsidRPr="00863B35">
        <w:t>lause</w:t>
      </w:r>
      <w:r>
        <w:t xml:space="preserve"> 49 (Contactor Default and Rectification Plan Process);</w:t>
      </w:r>
    </w:p>
    <w:p w:rsidR="00E854D6" w:rsidP="00E854D6" w:rsidRDefault="00150370" w14:paraId="3B26DD6C" w14:textId="77777777">
      <w:pPr>
        <w:pStyle w:val="Simple3"/>
      </w:pPr>
      <w:r>
        <w:t xml:space="preserve">reviewing any </w:t>
      </w:r>
      <w:r w:rsidR="00E60089">
        <w:t xml:space="preserve">progress </w:t>
      </w:r>
      <w:r w:rsidR="00EB3A9B">
        <w:t>and activity in relation to c</w:t>
      </w:r>
      <w:r w:rsidR="00E60089">
        <w:t>onti</w:t>
      </w:r>
      <w:r w:rsidR="00E854D6">
        <w:t xml:space="preserve">nuous </w:t>
      </w:r>
      <w:r w:rsidR="00EB3A9B">
        <w:t>i</w:t>
      </w:r>
      <w:r w:rsidR="00E854D6">
        <w:t>mprovement</w:t>
      </w:r>
      <w:r w:rsidR="00EB3A9B">
        <w:t xml:space="preserve"> of the Services</w:t>
      </w:r>
      <w:r w:rsidR="00E854D6">
        <w:t>;</w:t>
      </w:r>
    </w:p>
    <w:p w:rsidR="00B5446E" w:rsidP="008A20BD" w:rsidRDefault="009C089A" w14:paraId="54E65489" w14:textId="384C8CB1">
      <w:pPr>
        <w:pStyle w:val="Simple3"/>
      </w:pPr>
      <w:r>
        <w:t>reviewing any</w:t>
      </w:r>
      <w:r w:rsidRPr="007729A7">
        <w:t xml:space="preserve"> non-conformities identified in any audit that has taken place</w:t>
      </w:r>
      <w:r>
        <w:t xml:space="preserve"> and </w:t>
      </w:r>
      <w:r w:rsidR="007C7A2A">
        <w:t>agree</w:t>
      </w:r>
      <w:r w:rsidR="00150370">
        <w:t>ing an</w:t>
      </w:r>
      <w:r w:rsidR="007C7A2A">
        <w:t xml:space="preserve"> action plan to deal with any </w:t>
      </w:r>
      <w:r w:rsidR="00276CC4">
        <w:t>major</w:t>
      </w:r>
      <w:r w:rsidR="007C7A2A">
        <w:t xml:space="preserve"> non-confor</w:t>
      </w:r>
      <w:r w:rsidR="00276CC4">
        <w:t>mities identified in an</w:t>
      </w:r>
      <w:r w:rsidR="007C7A2A">
        <w:t xml:space="preserve"> audit report;</w:t>
      </w:r>
      <w:r w:rsidR="00B831B5">
        <w:t xml:space="preserve"> </w:t>
      </w:r>
    </w:p>
    <w:p w:rsidR="007C7A2A" w:rsidP="00B5446E" w:rsidRDefault="00B5446E" w14:paraId="5D094DCD" w14:textId="5531A207">
      <w:pPr>
        <w:pStyle w:val="Simple3"/>
      </w:pPr>
      <w:r>
        <w:t>considering and, where possible, resolving any D</w:t>
      </w:r>
      <w:r w:rsidRPr="003F3344">
        <w:t xml:space="preserve">isputes referred to it </w:t>
      </w:r>
      <w:r>
        <w:t xml:space="preserve">in accordance with </w:t>
      </w:r>
      <w:r w:rsidRPr="003F3344">
        <w:t>the Dispute Resolution Procedure</w:t>
      </w:r>
      <w:r w:rsidR="009964AB">
        <w:t>;</w:t>
      </w:r>
    </w:p>
    <w:p w:rsidR="00A07477" w:rsidP="00F118D1" w:rsidRDefault="008A20BD" w14:paraId="48FA9BF2" w14:textId="3926CB63">
      <w:pPr>
        <w:pStyle w:val="Simple3"/>
      </w:pPr>
      <w:r w:rsidRPr="00863B35">
        <w:t xml:space="preserve">considering </w:t>
      </w:r>
      <w:r w:rsidR="00BC3420">
        <w:t>any updates proposed</w:t>
      </w:r>
      <w:r w:rsidRPr="00863B35">
        <w:t xml:space="preserve"> to the Service De</w:t>
      </w:r>
      <w:r w:rsidR="00BC3420">
        <w:t xml:space="preserve">livery Plan by the </w:t>
      </w:r>
      <w:r w:rsidR="00A07477">
        <w:t>Cont</w:t>
      </w:r>
      <w:r w:rsidR="008A7D5D">
        <w:t xml:space="preserve">ractor </w:t>
      </w:r>
      <w:r w:rsidR="00A07477">
        <w:t>as part of its annual revi</w:t>
      </w:r>
      <w:r w:rsidR="008A7D5D">
        <w:t>ew of the Service Delivery Plan</w:t>
      </w:r>
      <w:r w:rsidR="00A07477">
        <w:t xml:space="preserve"> </w:t>
      </w:r>
      <w:r w:rsidR="008A7D5D">
        <w:t>(</w:t>
      </w:r>
      <w:r w:rsidR="00A07477">
        <w:t xml:space="preserve">submitted on an annual basis with a Monthly </w:t>
      </w:r>
      <w:r w:rsidRPr="00A07477" w:rsidR="00A07477">
        <w:t>Performance and Activity Report</w:t>
      </w:r>
      <w:r w:rsidR="00A07477">
        <w:t xml:space="preserve"> as set out in Part B (Management Information) of this Schedule 6</w:t>
      </w:r>
      <w:r w:rsidR="008A7D5D">
        <w:t>)</w:t>
      </w:r>
      <w:r w:rsidR="00BC3420">
        <w:t xml:space="preserve"> in accordance with C</w:t>
      </w:r>
      <w:r w:rsidR="00BA5FDE">
        <w:t xml:space="preserve">lause </w:t>
      </w:r>
      <w:r w:rsidR="00BC3420">
        <w:t>28.5 (Change),</w:t>
      </w:r>
      <w:r w:rsidR="00954A2B">
        <w:t xml:space="preserve"> and making recommendations in this regard</w:t>
      </w:r>
      <w:r w:rsidR="008A7D5D">
        <w:t>, p</w:t>
      </w:r>
      <w:r w:rsidRPr="00863B35" w:rsidR="00A07477">
        <w:t>rovided that it shall be at the Authority</w:t>
      </w:r>
      <w:r w:rsidR="00A07477">
        <w:t>'</w:t>
      </w:r>
      <w:r w:rsidRPr="00863B35" w:rsidR="00A07477">
        <w:t xml:space="preserve">s sole discretion whether or not any such amendments </w:t>
      </w:r>
      <w:r w:rsidR="00A07477">
        <w:t xml:space="preserve">shall </w:t>
      </w:r>
      <w:r w:rsidRPr="00863B35" w:rsidR="00A07477">
        <w:t>be implemented</w:t>
      </w:r>
      <w:r w:rsidR="009964AB">
        <w:t>; and</w:t>
      </w:r>
    </w:p>
    <w:p w:rsidRPr="00863B35" w:rsidR="009964AB" w:rsidP="00F23372" w:rsidRDefault="00140414" w14:paraId="3A51E30F" w14:textId="5CFA68D8">
      <w:pPr>
        <w:pStyle w:val="Simple3"/>
      </w:pPr>
      <w:r>
        <w:t>review</w:t>
      </w:r>
      <w:r w:rsidR="009964AB">
        <w:t xml:space="preserve">ing any </w:t>
      </w:r>
      <w:r w:rsidR="00E92C6B">
        <w:t xml:space="preserve">proposed </w:t>
      </w:r>
      <w:r w:rsidR="009964AB">
        <w:t xml:space="preserve">updates to the IPR </w:t>
      </w:r>
      <w:r w:rsidR="0010693D">
        <w:t>Register</w:t>
      </w:r>
      <w:r>
        <w:t xml:space="preserve"> identified by the Authority from time to time, or by the Contractor as part</w:t>
      </w:r>
      <w:r w:rsidR="0010693D">
        <w:t xml:space="preserve"> of its biannual review of the </w:t>
      </w:r>
      <w:r>
        <w:t xml:space="preserve">IPR </w:t>
      </w:r>
      <w:r w:rsidR="0010693D">
        <w:t>Register</w:t>
      </w:r>
      <w:r>
        <w:t xml:space="preserve"> </w:t>
      </w:r>
      <w:r w:rsidR="00AB4C11">
        <w:t xml:space="preserve">in accordance with </w:t>
      </w:r>
      <w:r w:rsidR="0010693D">
        <w:t>Clause 35.19</w:t>
      </w:r>
      <w:r>
        <w:t xml:space="preserve"> (Intellectual Property Rights), and agreeing such updates, provided that</w:t>
      </w:r>
      <w:r w:rsidR="00F23372">
        <w:t xml:space="preserve"> any updates to the IPR Register agreed by the Monthly Performance Review Board shall then be managed in accordance with the Change Control Procedure and no such update shall be considered a Change to the Contract unless and until it is formally deemed to be effective in accordance with the terms of the Change Control Procedure.</w:t>
      </w:r>
    </w:p>
    <w:p w:rsidR="00F50641" w:rsidRDefault="00F50641" w14:paraId="68155F13" w14:textId="77777777">
      <w:pPr>
        <w:rPr>
          <w:b/>
        </w:rPr>
      </w:pPr>
      <w:r>
        <w:rPr>
          <w:b/>
        </w:rPr>
        <w:br w:type="page"/>
      </w:r>
    </w:p>
    <w:p w:rsidRPr="008A20BD" w:rsidR="008A20BD" w:rsidP="008A20BD" w:rsidRDefault="008A20BD" w14:paraId="513D7106" w14:textId="5DE59ED2">
      <w:pPr>
        <w:pStyle w:val="Simple1"/>
        <w:keepNext/>
        <w:rPr>
          <w:b/>
        </w:rPr>
      </w:pPr>
      <w:r w:rsidRPr="008A20BD">
        <w:rPr>
          <w:b/>
        </w:rPr>
        <w:t xml:space="preserve">LOCAL PERFORMANCE WORKING GROUP (LOCAL </w:t>
      </w:r>
      <w:r w:rsidR="0032024D">
        <w:rPr>
          <w:b/>
        </w:rPr>
        <w:t>TO</w:t>
      </w:r>
      <w:r w:rsidRPr="008A20BD">
        <w:rPr>
          <w:b/>
        </w:rPr>
        <w:t xml:space="preserve"> EACH </w:t>
      </w:r>
      <w:r w:rsidR="0032024D">
        <w:rPr>
          <w:b/>
        </w:rPr>
        <w:t>SDA</w:t>
      </w:r>
      <w:r w:rsidRPr="008A20BD">
        <w:rPr>
          <w:b/>
        </w:rPr>
        <w:t>)</w:t>
      </w:r>
    </w:p>
    <w:p w:rsidRPr="00276CC4" w:rsidR="008A20BD" w:rsidP="00276CC4" w:rsidRDefault="008A20BD" w14:paraId="3D25D26A" w14:textId="534651BD">
      <w:pPr>
        <w:pStyle w:val="Body1"/>
        <w:keepNext/>
        <w:rPr>
          <w:b/>
          <w:i/>
          <w:highlight w:val="yellow"/>
        </w:rPr>
      </w:pPr>
      <w:r w:rsidRPr="008A20BD">
        <w:rPr>
          <w:b/>
        </w:rPr>
        <w:t>Constitution of the LPWG</w:t>
      </w:r>
      <w:r w:rsidR="00925492">
        <w:rPr>
          <w:b/>
        </w:rPr>
        <w:t xml:space="preserve"> for each </w:t>
      </w:r>
      <w:r w:rsidR="00276CC4">
        <w:rPr>
          <w:b/>
        </w:rPr>
        <w:t>SDA</w:t>
      </w:r>
      <w:r w:rsidRPr="008A20BD">
        <w:rPr>
          <w:b/>
        </w:rPr>
        <w:t xml:space="preserve"> </w:t>
      </w:r>
    </w:p>
    <w:p w:rsidRPr="00FD4661" w:rsidR="008A20BD" w:rsidP="008A20BD" w:rsidRDefault="008A20BD" w14:paraId="6F06012D" w14:textId="77777777">
      <w:pPr>
        <w:pStyle w:val="Simple2"/>
        <w:keepNext/>
      </w:pPr>
      <w:r w:rsidRPr="008A20BD">
        <w:rPr>
          <w:b/>
        </w:rPr>
        <w:t>Authority</w:t>
      </w:r>
      <w:r w:rsidR="007E46AF">
        <w:rPr>
          <w:b/>
        </w:rPr>
        <w:t>:</w:t>
      </w:r>
    </w:p>
    <w:p w:rsidRPr="00E669BB" w:rsidR="008A20BD" w:rsidP="008A20BD" w:rsidRDefault="008A20BD" w14:paraId="5467FEED" w14:textId="3A6BDD66">
      <w:pPr>
        <w:pStyle w:val="Simple3"/>
      </w:pPr>
      <w:r>
        <w:t>[</w:t>
      </w:r>
      <w:r w:rsidR="002E19F9">
        <w:t>Chair:</w:t>
      </w:r>
      <w:r w:rsidRPr="00E669BB">
        <w:t xml:space="preserve"> MSS</w:t>
      </w:r>
      <w:r w:rsidR="002E19F9">
        <w:t xml:space="preserve"> OOP</w:t>
      </w:r>
    </w:p>
    <w:p w:rsidR="002E19F9" w:rsidP="008A20BD" w:rsidRDefault="008A20BD" w14:paraId="24CD7260" w14:textId="77777777">
      <w:pPr>
        <w:pStyle w:val="Simple3"/>
      </w:pPr>
      <w:r>
        <w:t>MS HSEQ Officer</w:t>
      </w:r>
    </w:p>
    <w:p w:rsidRPr="00E669BB" w:rsidR="008A20BD" w:rsidP="008A20BD" w:rsidRDefault="002E19F9" w14:paraId="7AD803A5" w14:textId="28A52275">
      <w:pPr>
        <w:pStyle w:val="Simple3"/>
      </w:pPr>
      <w:r>
        <w:t>MSO with responsibility for the SDA</w:t>
      </w:r>
      <w:r w:rsidR="008A20BD">
        <w:t>]</w:t>
      </w:r>
    </w:p>
    <w:p w:rsidRPr="000714AE" w:rsidR="008A20BD" w:rsidP="008A20BD" w:rsidRDefault="008A20BD" w14:paraId="4C10D0FE" w14:textId="77777777">
      <w:pPr>
        <w:pStyle w:val="Body2"/>
      </w:pPr>
      <w:r w:rsidRPr="006B0893">
        <w:t xml:space="preserve">The Contract Designated Officer and the </w:t>
      </w:r>
      <w:r w:rsidRPr="000714AE">
        <w:t>Commercial Manager may also attend on an as required basis.</w:t>
      </w:r>
    </w:p>
    <w:p w:rsidRPr="000714AE" w:rsidR="008A20BD" w:rsidP="008A20BD" w:rsidRDefault="008A20BD" w14:paraId="3C2E8A73" w14:textId="77777777">
      <w:pPr>
        <w:pStyle w:val="Simple2"/>
        <w:keepNext/>
      </w:pPr>
      <w:r w:rsidRPr="000714AE">
        <w:rPr>
          <w:b/>
        </w:rPr>
        <w:t>Contractor</w:t>
      </w:r>
      <w:r w:rsidRPr="000714AE" w:rsidR="007E46AF">
        <w:rPr>
          <w:b/>
        </w:rPr>
        <w:t>:</w:t>
      </w:r>
    </w:p>
    <w:p w:rsidRPr="000714AE" w:rsidR="008A20BD" w:rsidP="008E7807" w:rsidRDefault="008A20BD" w14:paraId="7B1302CE" w14:textId="77777777">
      <w:pPr>
        <w:pStyle w:val="Simple3"/>
        <w:rPr>
          <w:rFonts w:cs="Arial"/>
        </w:rPr>
      </w:pPr>
      <w:r w:rsidRPr="000714AE">
        <w:rPr>
          <w:rFonts w:cs="Arial"/>
        </w:rPr>
        <w:t>Technical Manager (TM)</w:t>
      </w:r>
    </w:p>
    <w:p w:rsidRPr="000714AE" w:rsidR="008A20BD" w:rsidP="008E7807" w:rsidRDefault="008A20BD" w14:paraId="235F925F" w14:textId="77777777">
      <w:pPr>
        <w:pStyle w:val="Simple3"/>
        <w:rPr>
          <w:rFonts w:cs="Arial"/>
        </w:rPr>
      </w:pPr>
      <w:r w:rsidRPr="000714AE">
        <w:rPr>
          <w:rFonts w:cs="Arial"/>
        </w:rPr>
        <w:t>HSEQ Manager</w:t>
      </w:r>
    </w:p>
    <w:p w:rsidRPr="000714AE" w:rsidR="008A20BD" w:rsidP="008E7807" w:rsidRDefault="008A20BD" w14:paraId="247F11F7" w14:textId="77777777">
      <w:pPr>
        <w:pStyle w:val="Simple3"/>
        <w:rPr>
          <w:rFonts w:cs="Arial"/>
        </w:rPr>
      </w:pPr>
      <w:r w:rsidRPr="000714AE">
        <w:rPr>
          <w:rFonts w:cs="Arial"/>
        </w:rPr>
        <w:t>Marine Superintendent</w:t>
      </w:r>
    </w:p>
    <w:p w:rsidR="00AD1B64" w:rsidP="008E7807" w:rsidRDefault="008A20BD" w14:paraId="24AFF40B" w14:textId="54BB4861">
      <w:pPr>
        <w:pStyle w:val="Simple3"/>
        <w:rPr>
          <w:rFonts w:cs="Arial"/>
        </w:rPr>
      </w:pPr>
      <w:r w:rsidRPr="000714AE">
        <w:rPr>
          <w:rFonts w:cs="Arial"/>
        </w:rPr>
        <w:t>Operations Manager</w:t>
      </w:r>
      <w:r w:rsidRPr="000714AE" w:rsidR="002E19F9">
        <w:rPr>
          <w:rFonts w:cs="Arial"/>
        </w:rPr>
        <w:t xml:space="preserve"> for the relevant SDA</w:t>
      </w:r>
      <w:r w:rsidRPr="000714AE">
        <w:rPr>
          <w:rFonts w:cs="Arial"/>
        </w:rPr>
        <w:t xml:space="preserve"> </w:t>
      </w:r>
    </w:p>
    <w:p w:rsidRPr="000714AE" w:rsidR="008A20BD" w:rsidP="00AD1B64" w:rsidRDefault="008A20BD" w14:paraId="39E10733" w14:textId="5BE54277">
      <w:pPr>
        <w:pStyle w:val="Simple3"/>
        <w:numPr>
          <w:numId w:val="0"/>
        </w:numPr>
        <w:ind w:left="1417"/>
        <w:rPr>
          <w:rFonts w:cs="Arial"/>
        </w:rPr>
      </w:pPr>
      <w:r w:rsidRPr="3A17B66E" w:rsidR="2862D6B1">
        <w:rPr>
          <w:rFonts w:cs="Arial"/>
          <w:b w:val="1"/>
          <w:bCs w:val="1"/>
          <w:i w:val="1"/>
          <w:iCs w:val="1"/>
        </w:rPr>
        <w:t>[</w:t>
      </w:r>
      <w:r w:rsidRPr="3A17B66E" w:rsidR="6D4B00CC">
        <w:rPr>
          <w:b w:val="1"/>
          <w:bCs w:val="1"/>
          <w:i w:val="1"/>
          <w:iCs w:val="1"/>
        </w:rPr>
        <w:t>Note to Tenderers</w:t>
      </w:r>
      <w:r w:rsidRPr="3A17B66E" w:rsidR="2862D6B1">
        <w:rPr>
          <w:rFonts w:cs="Arial"/>
          <w:b w:val="1"/>
          <w:bCs w:val="1"/>
          <w:i w:val="1"/>
          <w:iCs w:val="1"/>
        </w:rPr>
        <w:t>: Contractor</w:t>
      </w:r>
      <w:r w:rsidRPr="3A17B66E" w:rsidR="7EF28FA3">
        <w:rPr>
          <w:rFonts w:cs="Arial"/>
          <w:b w:val="1"/>
          <w:bCs w:val="1"/>
          <w:i w:val="1"/>
          <w:iCs w:val="1"/>
        </w:rPr>
        <w:t>'</w:t>
      </w:r>
      <w:r w:rsidRPr="3A17B66E" w:rsidR="2862D6B1">
        <w:rPr>
          <w:rFonts w:cs="Arial"/>
          <w:b w:val="1"/>
          <w:bCs w:val="1"/>
          <w:i w:val="1"/>
          <w:iCs w:val="1"/>
        </w:rPr>
        <w:t xml:space="preserve">s Local Performance Working Group members to be proposed by </w:t>
      </w:r>
      <w:r w:rsidRPr="3A17B66E" w:rsidR="6D4B00CC">
        <w:rPr>
          <w:rFonts w:cs="Arial"/>
          <w:b w:val="1"/>
          <w:bCs w:val="1"/>
          <w:i w:val="1"/>
          <w:iCs w:val="1"/>
        </w:rPr>
        <w:t>Tenderer</w:t>
      </w:r>
      <w:r w:rsidRPr="3A17B66E" w:rsidR="33737DD8">
        <w:rPr>
          <w:rFonts w:cs="Arial"/>
          <w:b w:val="1"/>
          <w:bCs w:val="1"/>
          <w:i w:val="1"/>
          <w:iCs w:val="1"/>
        </w:rPr>
        <w:t>s</w:t>
      </w:r>
      <w:r w:rsidRPr="3A17B66E" w:rsidR="2862D6B1">
        <w:rPr>
          <w:rFonts w:cs="Arial"/>
          <w:b w:val="1"/>
          <w:bCs w:val="1"/>
          <w:i w:val="1"/>
          <w:iCs w:val="1"/>
        </w:rPr>
        <w:t xml:space="preserve"> in response to the ITN. Note that there should be an equal number of Contractor members to Authority members</w:t>
      </w:r>
      <w:r w:rsidRPr="3A17B66E" w:rsidR="4C9D7365">
        <w:rPr>
          <w:rFonts w:cs="Arial"/>
          <w:b w:val="1"/>
          <w:bCs w:val="1"/>
          <w:i w:val="1"/>
          <w:iCs w:val="1"/>
        </w:rPr>
        <w:t xml:space="preserve"> </w:t>
      </w:r>
      <w:r w:rsidRPr="3A17B66E" w:rsidR="4C9D7365">
        <w:rPr>
          <w:b w:val="1"/>
          <w:bCs w:val="1"/>
          <w:i w:val="1"/>
          <w:iCs w:val="1"/>
        </w:rPr>
        <w:t xml:space="preserve">and the Contractor is required to provide a secretary as set out in </w:t>
      </w:r>
      <w:r w:rsidRPr="3A17B66E" w:rsidR="6D4B00CC">
        <w:rPr>
          <w:b w:val="1"/>
          <w:bCs w:val="1"/>
          <w:i w:val="1"/>
          <w:iCs w:val="1"/>
        </w:rPr>
        <w:t>paragraph</w:t>
      </w:r>
      <w:r w:rsidRPr="3A17B66E" w:rsidR="2C89B51C">
        <w:rPr>
          <w:b w:val="1"/>
          <w:bCs w:val="1"/>
          <w:i w:val="1"/>
          <w:iCs w:val="1"/>
        </w:rPr>
        <w:t xml:space="preserve"> </w:t>
      </w:r>
      <w:r w:rsidRPr="3A17B66E" w:rsidR="004E25EB">
        <w:rPr>
          <w:b w:val="1"/>
          <w:bCs w:val="1"/>
          <w:i w:val="1"/>
          <w:iCs w:val="1"/>
          <w:highlight w:val="green"/>
        </w:rPr>
        <w:fldChar w:fldCharType="begin"/>
      </w:r>
      <w:r w:rsidRPr="3A17B66E" w:rsidR="004E25EB">
        <w:rPr>
          <w:b w:val="1"/>
          <w:bCs w:val="1"/>
          <w:i w:val="1"/>
          <w:iCs w:val="1"/>
          <w:highlight w:val="green"/>
        </w:rPr>
        <w:instrText xml:space="preserve"> REF _Ref99398747 \r \h </w:instrText>
      </w:r>
      <w:r w:rsidRPr="000714AE" w:rsidR="004E25EB">
        <w:rPr>
          <w:b/>
          <w:i/>
          <w:highlight w:val="green"/>
        </w:rPr>
      </w:r>
      <w:r w:rsidRPr="3A17B66E" w:rsidR="004E25EB">
        <w:rPr>
          <w:b w:val="1"/>
          <w:bCs w:val="1"/>
          <w:i w:val="1"/>
          <w:iCs w:val="1"/>
          <w:highlight w:val="green"/>
        </w:rPr>
        <w:fldChar w:fldCharType="separate"/>
      </w:r>
      <w:r w:rsidRPr="3A17B66E" w:rsidR="1C1A52A2">
        <w:rPr>
          <w:b w:val="1"/>
          <w:bCs w:val="1"/>
          <w:i w:val="1"/>
          <w:iCs w:val="1"/>
          <w:highlight w:val="green"/>
        </w:rPr>
        <w:t>4.4</w:t>
      </w:r>
      <w:r w:rsidRPr="3A17B66E" w:rsidR="004E25EB">
        <w:rPr>
          <w:b w:val="1"/>
          <w:bCs w:val="1"/>
          <w:i w:val="1"/>
          <w:iCs w:val="1"/>
          <w:highlight w:val="green"/>
        </w:rPr>
        <w:fldChar w:fldCharType="end"/>
      </w:r>
      <w:r w:rsidRPr="3A17B66E" w:rsidR="4C9D7365">
        <w:rPr>
          <w:b w:val="1"/>
          <w:bCs w:val="1"/>
          <w:i w:val="1"/>
          <w:iCs w:val="1"/>
        </w:rPr>
        <w:t xml:space="preserve"> and the secretary will also need to attend the meetings</w:t>
      </w:r>
      <w:r w:rsidRPr="3A17B66E" w:rsidR="2862D6B1">
        <w:rPr>
          <w:rFonts w:cs="Arial"/>
          <w:b w:val="1"/>
          <w:bCs w:val="1"/>
          <w:i w:val="1"/>
          <w:iCs w:val="1"/>
        </w:rPr>
        <w:t>.]</w:t>
      </w:r>
    </w:p>
    <w:p w:rsidRPr="000714AE" w:rsidR="008A20BD" w:rsidP="008A20BD" w:rsidRDefault="008A20BD" w14:paraId="08DDFA89" w14:textId="77777777">
      <w:pPr>
        <w:pStyle w:val="Body2"/>
        <w:keepNext/>
        <w:rPr>
          <w:b/>
        </w:rPr>
      </w:pPr>
      <w:r w:rsidRPr="000714AE">
        <w:rPr>
          <w:b/>
        </w:rPr>
        <w:t>Frequency and Timing of the Local Performance Working Groups</w:t>
      </w:r>
    </w:p>
    <w:p w:rsidRPr="000714AE" w:rsidR="008A20BD" w:rsidP="008A20BD" w:rsidRDefault="008A20BD" w14:paraId="46E1066D" w14:textId="1FE6E322">
      <w:pPr>
        <w:pStyle w:val="Simple2"/>
      </w:pPr>
      <w:r w:rsidRPr="000714AE">
        <w:t xml:space="preserve">With effect from the Service Commencement Date the parties shall hold a meeting of the Local Performance Working Group </w:t>
      </w:r>
      <w:r w:rsidRPr="000714AE" w:rsidR="001E6C67">
        <w:t>no later than twenty-five (25) calendar days after the end of each Relevant Contract Month</w:t>
      </w:r>
      <w:r w:rsidRPr="000714AE">
        <w:t xml:space="preserve">. </w:t>
      </w:r>
    </w:p>
    <w:p w:rsidRPr="000714AE" w:rsidR="008A20BD" w:rsidP="008A20BD" w:rsidRDefault="004E25EB" w14:paraId="41C06754" w14:textId="60FD86E1">
      <w:pPr>
        <w:pStyle w:val="Simple2"/>
        <w:keepNext/>
      </w:pPr>
      <w:bookmarkStart w:name="_Ref99398747" w:id="22"/>
      <w:r w:rsidRPr="000714AE">
        <w:t xml:space="preserve">The Contractor shall appoint a nominated secretary to manage the administration related to the Local Performance Working Group. </w:t>
      </w:r>
      <w:r w:rsidRPr="000714AE" w:rsidR="008A20BD">
        <w:t>In respect of each Local Performance Working Group Meeting the Contractor shall</w:t>
      </w:r>
      <w:r w:rsidRPr="000714AE">
        <w:t xml:space="preserve"> ensure that its secretary shall</w:t>
      </w:r>
      <w:r w:rsidRPr="000714AE" w:rsidR="008A20BD">
        <w:t>:</w:t>
      </w:r>
      <w:bookmarkEnd w:id="22"/>
      <w:r w:rsidRPr="000714AE" w:rsidR="008A20BD">
        <w:t xml:space="preserve">   </w:t>
      </w:r>
    </w:p>
    <w:p w:rsidRPr="000714AE" w:rsidR="008A20BD" w:rsidP="008A20BD" w:rsidRDefault="008A20BD" w14:paraId="0D48D24B" w14:textId="39A15AA9">
      <w:pPr>
        <w:pStyle w:val="Simple3"/>
      </w:pPr>
      <w:bookmarkStart w:name="_Ref99398739" w:id="23"/>
      <w:r w:rsidRPr="000714AE">
        <w:t xml:space="preserve">issue the agenda (to include any matters specified by the Authority pursuant to </w:t>
      </w:r>
      <w:r w:rsidR="00B761F0">
        <w:t>paragraph</w:t>
      </w:r>
      <w:r w:rsidR="00B74F29">
        <w:t xml:space="preserve"> </w:t>
      </w:r>
      <w:r w:rsidRPr="000714AE" w:rsidR="00C54553">
        <w:fldChar w:fldCharType="begin"/>
      </w:r>
      <w:r w:rsidRPr="000714AE" w:rsidR="00C54553">
        <w:instrText xml:space="preserve"> REF _Ref99398711 \r \h </w:instrText>
      </w:r>
      <w:r w:rsidRPr="000714AE" w:rsidR="00C54553">
        <w:fldChar w:fldCharType="separate"/>
      </w:r>
      <w:r w:rsidR="00E8541C">
        <w:t>4.5</w:t>
      </w:r>
      <w:r w:rsidRPr="000714AE" w:rsidR="00C54553">
        <w:fldChar w:fldCharType="end"/>
      </w:r>
      <w:r w:rsidRPr="000714AE">
        <w:t xml:space="preserve">) together with any accompanying papers to each member of the Local Performance Working Group at least </w:t>
      </w:r>
      <w:r w:rsidRPr="000714AE" w:rsidR="001E6C67">
        <w:t>ten</w:t>
      </w:r>
      <w:r w:rsidRPr="000714AE">
        <w:t xml:space="preserve"> (</w:t>
      </w:r>
      <w:r w:rsidRPr="000714AE" w:rsidR="001E6C67">
        <w:t>10</w:t>
      </w:r>
      <w:r w:rsidRPr="000714AE">
        <w:t>) Business Days before the scheduled date of the meeting</w:t>
      </w:r>
      <w:bookmarkEnd w:id="23"/>
      <w:r w:rsidRPr="000714AE" w:rsidR="00C54553">
        <w:t>;</w:t>
      </w:r>
      <w:r w:rsidRPr="000714AE">
        <w:t xml:space="preserve"> </w:t>
      </w:r>
    </w:p>
    <w:p w:rsidRPr="000714AE" w:rsidR="008A20BD" w:rsidP="008A20BD" w:rsidRDefault="008A20BD" w14:paraId="3DB83361" w14:textId="6E6E55F1">
      <w:pPr>
        <w:pStyle w:val="Simple3"/>
      </w:pPr>
      <w:r w:rsidRPr="000714AE">
        <w:t xml:space="preserve">not less than </w:t>
      </w:r>
      <w:r w:rsidRPr="000714AE" w:rsidR="001E6C67">
        <w:t>ten (10</w:t>
      </w:r>
      <w:r w:rsidRPr="000714AE">
        <w:t>) Business Days before each Local Performance Working Group meeting the Contractor shall provide the Authority with the Local Performance Working Group MI</w:t>
      </w:r>
      <w:r w:rsidRPr="000714AE" w:rsidR="001E6C67">
        <w:t xml:space="preserve"> (relating to the Relevant Contract Month)</w:t>
      </w:r>
      <w:r w:rsidRPr="000714AE" w:rsidR="00C54553">
        <w:t>; and</w:t>
      </w:r>
      <w:r w:rsidRPr="000714AE">
        <w:t xml:space="preserve"> </w:t>
      </w:r>
    </w:p>
    <w:p w:rsidRPr="000714AE" w:rsidR="008A20BD" w:rsidP="008A20BD" w:rsidRDefault="008A20BD" w14:paraId="5E97E98D" w14:textId="265F6282">
      <w:pPr>
        <w:pStyle w:val="Simple3"/>
      </w:pPr>
      <w:r w:rsidRPr="000714AE">
        <w:t>issue the draft minutes of each Local Performance Working Group meeting to each member of the Local Performance Working Group with</w:t>
      </w:r>
      <w:r w:rsidRPr="000714AE" w:rsidR="00E03010">
        <w:t>in</w:t>
      </w:r>
      <w:r w:rsidRPr="000714AE">
        <w:t xml:space="preserve"> </w:t>
      </w:r>
      <w:r w:rsidRPr="000714AE" w:rsidR="00433C00">
        <w:t>five (5</w:t>
      </w:r>
      <w:r w:rsidRPr="000714AE">
        <w:t>) Business Days of the meeting and, following approval by the Authority</w:t>
      </w:r>
      <w:r w:rsidRPr="000714AE" w:rsidR="00C54553">
        <w:t xml:space="preserve"> in accordance with </w:t>
      </w:r>
      <w:r w:rsidR="00B761F0">
        <w:t>paragraph</w:t>
      </w:r>
      <w:r w:rsidR="00B74F29">
        <w:t xml:space="preserve"> </w:t>
      </w:r>
      <w:r w:rsidRPr="000714AE" w:rsidR="00C54553">
        <w:fldChar w:fldCharType="begin"/>
      </w:r>
      <w:r w:rsidRPr="000714AE" w:rsidR="00C54553">
        <w:instrText xml:space="preserve"> REF _Ref99398724 \r \h </w:instrText>
      </w:r>
      <w:r w:rsidRPr="000714AE" w:rsidR="00C54553">
        <w:fldChar w:fldCharType="separate"/>
      </w:r>
      <w:r w:rsidR="00E8541C">
        <w:t>4.7</w:t>
      </w:r>
      <w:r w:rsidRPr="000714AE" w:rsidR="00C54553">
        <w:fldChar w:fldCharType="end"/>
      </w:r>
      <w:r w:rsidRPr="000714AE">
        <w:t xml:space="preserve">, the Contractor shall issue the final minutes of the meeting to each member of the Local Performance Working Group with three (3) Business Days of such approval. </w:t>
      </w:r>
    </w:p>
    <w:p w:rsidRPr="000714AE" w:rsidR="008A20BD" w:rsidP="008A20BD" w:rsidRDefault="008A20BD" w14:paraId="04E7B3D9" w14:textId="68B65E5E">
      <w:pPr>
        <w:pStyle w:val="Simple2"/>
      </w:pPr>
      <w:bookmarkStart w:name="_Ref99398711" w:id="24"/>
      <w:r w:rsidRPr="000714AE">
        <w:t xml:space="preserve">The Authority may notify the Contractor of any matters it wishes to be included on the agenda for a Local Performance Working Group meeting and the Contractor shall include such matters on the agenda, provided such notification is given at least two (2) Business Days prior to the issue of the agenda pursuant to </w:t>
      </w:r>
      <w:r w:rsidR="00B761F0">
        <w:t>paragraph</w:t>
      </w:r>
      <w:r w:rsidR="00B74F29">
        <w:t xml:space="preserve"> </w:t>
      </w:r>
      <w:r w:rsidRPr="000714AE" w:rsidR="00C54553">
        <w:fldChar w:fldCharType="begin"/>
      </w:r>
      <w:r w:rsidRPr="000714AE" w:rsidR="00C54553">
        <w:instrText xml:space="preserve"> REF _Ref99398739 \r \h </w:instrText>
      </w:r>
      <w:r w:rsidRPr="000714AE" w:rsidR="00C54553">
        <w:fldChar w:fldCharType="separate"/>
      </w:r>
      <w:r w:rsidR="00E8541C">
        <w:t>4.4(a)</w:t>
      </w:r>
      <w:r w:rsidRPr="000714AE" w:rsidR="00C54553">
        <w:fldChar w:fldCharType="end"/>
      </w:r>
      <w:r w:rsidRPr="000714AE">
        <w:t>.</w:t>
      </w:r>
      <w:bookmarkEnd w:id="24"/>
    </w:p>
    <w:p w:rsidRPr="000714AE" w:rsidR="008A20BD" w:rsidP="008A20BD" w:rsidRDefault="008A20BD" w14:paraId="47EB3558" w14:textId="77777777">
      <w:pPr>
        <w:pStyle w:val="Simple2"/>
      </w:pPr>
      <w:r w:rsidRPr="000714AE">
        <w:t>Meetings of the Local Performance Working Group shall take place at s</w:t>
      </w:r>
      <w:r w:rsidRPr="000714AE" w:rsidR="00C54553">
        <w:t>uch locations as the Authority</w:t>
      </w:r>
      <w:r w:rsidRPr="000714AE">
        <w:t xml:space="preserve"> may notify </w:t>
      </w:r>
      <w:r w:rsidRPr="000714AE" w:rsidR="00C54553">
        <w:t>the Contractor from time to time.</w:t>
      </w:r>
      <w:r w:rsidRPr="000714AE">
        <w:t xml:space="preserve"> </w:t>
      </w:r>
    </w:p>
    <w:p w:rsidRPr="000714AE" w:rsidR="008A20BD" w:rsidP="008A20BD" w:rsidRDefault="008A20BD" w14:paraId="256A3C93" w14:textId="69891A0C">
      <w:pPr>
        <w:pStyle w:val="Simple2"/>
      </w:pPr>
      <w:bookmarkStart w:name="_Ref99398724" w:id="25"/>
      <w:r w:rsidRPr="000714AE">
        <w:t xml:space="preserve">The minutes of each Local Performance Working Group meeting shall be considered final only once they have </w:t>
      </w:r>
      <w:r w:rsidRPr="000714AE" w:rsidR="00A30DEC">
        <w:t>been approved by the Authority</w:t>
      </w:r>
      <w:r w:rsidRPr="000714AE" w:rsidR="009C089A">
        <w:t>, such approval to take place at the next meeting of the Local Performance Working Group</w:t>
      </w:r>
      <w:r w:rsidRPr="000714AE">
        <w:t>.</w:t>
      </w:r>
      <w:bookmarkEnd w:id="25"/>
    </w:p>
    <w:p w:rsidRPr="000714AE" w:rsidR="008A20BD" w:rsidP="008A20BD" w:rsidRDefault="008A20BD" w14:paraId="77A29171" w14:textId="77777777">
      <w:pPr>
        <w:pStyle w:val="Body2"/>
        <w:keepNext/>
        <w:rPr>
          <w:b/>
        </w:rPr>
      </w:pPr>
      <w:r w:rsidRPr="000714AE">
        <w:rPr>
          <w:b/>
        </w:rPr>
        <w:t>Functions of the L</w:t>
      </w:r>
      <w:r w:rsidRPr="000714AE" w:rsidR="00616E02">
        <w:rPr>
          <w:b/>
        </w:rPr>
        <w:t>ocal Performance Working Groups</w:t>
      </w:r>
    </w:p>
    <w:p w:rsidRPr="000714AE" w:rsidR="008A20BD" w:rsidP="008A20BD" w:rsidRDefault="008A20BD" w14:paraId="32B2852D" w14:textId="77777777">
      <w:pPr>
        <w:pStyle w:val="Simple2"/>
        <w:keepNext/>
      </w:pPr>
      <w:bookmarkStart w:name="_Ref103856294" w:id="26"/>
      <w:r w:rsidRPr="000714AE">
        <w:t xml:space="preserve">The functions of the </w:t>
      </w:r>
      <w:bookmarkStart w:name="_Hlk95809645" w:id="27"/>
      <w:r w:rsidRPr="000714AE">
        <w:t xml:space="preserve">Local Performance Working Group </w:t>
      </w:r>
      <w:bookmarkEnd w:id="27"/>
      <w:r w:rsidRPr="000714AE">
        <w:t xml:space="preserve">shall include: </w:t>
      </w:r>
      <w:bookmarkEnd w:id="26"/>
    </w:p>
    <w:p w:rsidRPr="000714AE" w:rsidR="008A20BD" w:rsidP="001B05AF" w:rsidRDefault="008A20BD" w14:paraId="05ABE332" w14:textId="3C4C0D97">
      <w:pPr>
        <w:pStyle w:val="Simple3"/>
      </w:pPr>
      <w:r w:rsidRPr="000714AE">
        <w:t>using the</w:t>
      </w:r>
      <w:r w:rsidRPr="000714AE" w:rsidR="001B05AF">
        <w:t xml:space="preserve"> Local Monthly Performance and Activity Report</w:t>
      </w:r>
      <w:r w:rsidRPr="000714AE">
        <w:t xml:space="preserve"> </w:t>
      </w:r>
      <w:r w:rsidRPr="000714AE" w:rsidR="00616E02">
        <w:t>(</w:t>
      </w:r>
      <w:r w:rsidRPr="000714AE">
        <w:t>RR01</w:t>
      </w:r>
      <w:r w:rsidR="00BF6515">
        <w:t xml:space="preserve">L4 for SDA 4, </w:t>
      </w:r>
      <w:r w:rsidRPr="000714AE" w:rsidR="00BF6515">
        <w:t>RR01</w:t>
      </w:r>
      <w:r w:rsidR="00BF6515">
        <w:t xml:space="preserve">L5 for SDA 5 and </w:t>
      </w:r>
      <w:r w:rsidRPr="000714AE" w:rsidR="00BF6515">
        <w:t>RR01</w:t>
      </w:r>
      <w:r w:rsidR="00BF6515">
        <w:t xml:space="preserve">L7 for SDA 7) </w:t>
      </w:r>
      <w:r w:rsidRPr="000714AE" w:rsidR="001B05AF">
        <w:t xml:space="preserve"> </w:t>
      </w:r>
      <w:r w:rsidRPr="000714AE" w:rsidR="00E435D0">
        <w:t>to review</w:t>
      </w:r>
      <w:r w:rsidRPr="000714AE">
        <w:t xml:space="preserve"> the Contractor</w:t>
      </w:r>
      <w:r w:rsidRPr="000714AE" w:rsidR="008E7807">
        <w:t>'</w:t>
      </w:r>
      <w:r w:rsidRPr="000714AE">
        <w:t>s performance in each Service Delivery Area against the KPIs</w:t>
      </w:r>
      <w:r w:rsidRPr="000714AE" w:rsidR="00E50842">
        <w:t xml:space="preserve"> for the </w:t>
      </w:r>
      <w:r w:rsidRPr="000714AE" w:rsidR="001E6C67">
        <w:t>Relevant Contract Month</w:t>
      </w:r>
      <w:r w:rsidRPr="000714AE">
        <w:t>;</w:t>
      </w:r>
    </w:p>
    <w:p w:rsidRPr="000714AE" w:rsidR="008A20BD" w:rsidP="001B05AF" w:rsidRDefault="008A20BD" w14:paraId="2E37B275" w14:textId="651561EB">
      <w:pPr>
        <w:pStyle w:val="Simple3"/>
      </w:pPr>
      <w:r w:rsidRPr="000714AE">
        <w:t xml:space="preserve">reviewing </w:t>
      </w:r>
      <w:r w:rsidRPr="000714AE" w:rsidR="00925492">
        <w:t xml:space="preserve">the </w:t>
      </w:r>
      <w:r w:rsidRPr="000714AE" w:rsidR="001B05AF">
        <w:t>Health Safety and Environmental Protection Report (</w:t>
      </w:r>
      <w:r w:rsidRPr="000714AE" w:rsidR="00BF6515">
        <w:t>RR0</w:t>
      </w:r>
      <w:r w:rsidR="00BF6515">
        <w:t xml:space="preserve">2L4 for SDA 4, </w:t>
      </w:r>
      <w:r w:rsidRPr="000714AE" w:rsidR="00BF6515">
        <w:t>RR0</w:t>
      </w:r>
      <w:r w:rsidR="00BF6515">
        <w:t xml:space="preserve">2L5 for SDA 5 and </w:t>
      </w:r>
      <w:r w:rsidRPr="000714AE" w:rsidR="00BF6515">
        <w:t>RR0</w:t>
      </w:r>
      <w:r w:rsidR="00BF6515">
        <w:t>2L7 for SDA 7)</w:t>
      </w:r>
      <w:r w:rsidRPr="000714AE" w:rsidR="007617AA">
        <w:rPr>
          <w:b/>
          <w:i/>
        </w:rPr>
        <w:t xml:space="preserve"> </w:t>
      </w:r>
      <w:r w:rsidRPr="000714AE" w:rsidR="001E6C67">
        <w:t>for the Relevant Contract Month</w:t>
      </w:r>
      <w:r w:rsidRPr="000714AE" w:rsidR="007617AA">
        <w:t>;</w:t>
      </w:r>
    </w:p>
    <w:p w:rsidRPr="000714AE" w:rsidR="008A20BD" w:rsidP="004D624F" w:rsidRDefault="004D624F" w14:paraId="29C5FC4F" w14:textId="032759C7">
      <w:pPr>
        <w:pStyle w:val="Simple3"/>
      </w:pPr>
      <w:r w:rsidRPr="000714AE">
        <w:t xml:space="preserve">reviewing the </w:t>
      </w:r>
      <w:r w:rsidRPr="000714AE" w:rsidR="001B05AF">
        <w:t xml:space="preserve">Local </w:t>
      </w:r>
      <w:r w:rsidRPr="000714AE">
        <w:t>Affected Services Report</w:t>
      </w:r>
      <w:r w:rsidR="00BF6515">
        <w:t xml:space="preserve"> </w:t>
      </w:r>
      <w:r w:rsidRPr="000714AE" w:rsidR="00BF6515">
        <w:t>(RR0</w:t>
      </w:r>
      <w:r w:rsidR="00BF6515">
        <w:t xml:space="preserve">3L4 for SDA 4, </w:t>
      </w:r>
      <w:r w:rsidRPr="000714AE" w:rsidR="00BF6515">
        <w:t>RR0</w:t>
      </w:r>
      <w:r w:rsidR="00BF6515">
        <w:t xml:space="preserve">3L5 for SDA 5 and </w:t>
      </w:r>
      <w:r w:rsidRPr="000714AE" w:rsidR="00BF6515">
        <w:t>RR0</w:t>
      </w:r>
      <w:r w:rsidR="00BF6515">
        <w:t>3L7 for SDA 7)</w:t>
      </w:r>
      <w:r w:rsidRPr="000714AE">
        <w:t xml:space="preserve"> </w:t>
      </w:r>
      <w:r w:rsidRPr="000714AE" w:rsidR="001E6C67">
        <w:t>for the Relevant Contract Month</w:t>
      </w:r>
      <w:r w:rsidRPr="000714AE" w:rsidR="007617AA">
        <w:t>;</w:t>
      </w:r>
    </w:p>
    <w:p w:rsidRPr="000714AE" w:rsidR="008A20BD" w:rsidP="008A20BD" w:rsidRDefault="008A20BD" w14:paraId="2B6D3951" w14:textId="40BA4EF2">
      <w:pPr>
        <w:pStyle w:val="Simple3"/>
      </w:pPr>
      <w:bookmarkStart w:name="_Hlk90304761" w:id="28"/>
      <w:r w:rsidRPr="000714AE">
        <w:t>revi</w:t>
      </w:r>
      <w:r w:rsidRPr="000714AE" w:rsidR="00616E02">
        <w:t xml:space="preserve">ewing the </w:t>
      </w:r>
      <w:r w:rsidRPr="000714AE" w:rsidR="007617AA">
        <w:t>Local</w:t>
      </w:r>
      <w:r w:rsidRPr="000714AE" w:rsidR="00257C51">
        <w:t xml:space="preserve"> </w:t>
      </w:r>
      <w:r w:rsidRPr="000714AE" w:rsidR="00616E02">
        <w:t xml:space="preserve">Fuel </w:t>
      </w:r>
      <w:r w:rsidRPr="000714AE" w:rsidR="005C50B7">
        <w:t xml:space="preserve">Usage </w:t>
      </w:r>
      <w:r w:rsidRPr="000714AE" w:rsidR="00616E02">
        <w:t xml:space="preserve">Report </w:t>
      </w:r>
      <w:r w:rsidRPr="000714AE" w:rsidR="00BF6515">
        <w:t>(RR0</w:t>
      </w:r>
      <w:r w:rsidR="00BF6515">
        <w:t xml:space="preserve">4L4 for SDA 4, </w:t>
      </w:r>
      <w:r w:rsidRPr="000714AE" w:rsidR="00BF6515">
        <w:t>RR0</w:t>
      </w:r>
      <w:r w:rsidR="00BF6515">
        <w:t xml:space="preserve">4L5 for SDA 5 and </w:t>
      </w:r>
      <w:r w:rsidRPr="000714AE" w:rsidR="00BF6515">
        <w:t>RR0</w:t>
      </w:r>
      <w:r w:rsidR="00BF6515">
        <w:t>4L7 for SDA 7)</w:t>
      </w:r>
      <w:r w:rsidRPr="000714AE" w:rsidR="00BF6515">
        <w:t xml:space="preserve"> </w:t>
      </w:r>
      <w:bookmarkEnd w:id="28"/>
      <w:r w:rsidRPr="000714AE" w:rsidR="001E6C67">
        <w:t>for the Relevant Contract Month</w:t>
      </w:r>
      <w:r w:rsidRPr="000714AE" w:rsidR="007617AA">
        <w:t>;</w:t>
      </w:r>
    </w:p>
    <w:p w:rsidRPr="000714AE" w:rsidR="008E4B3B" w:rsidP="008E4B3B" w:rsidRDefault="008E4B3B" w14:paraId="183CB15E" w14:textId="34EA6D95">
      <w:pPr>
        <w:pStyle w:val="Simple3"/>
      </w:pPr>
      <w:r w:rsidRPr="000714AE">
        <w:t>review the</w:t>
      </w:r>
      <w:r w:rsidRPr="000714AE" w:rsidR="00257C51">
        <w:t xml:space="preserve"> </w:t>
      </w:r>
      <w:r w:rsidRPr="000714AE" w:rsidR="007617AA">
        <w:t>Local</w:t>
      </w:r>
      <w:r w:rsidRPr="000714AE">
        <w:t xml:space="preserve"> </w:t>
      </w:r>
      <w:r w:rsidRPr="000714AE" w:rsidR="007617AA">
        <w:t>Human Resource and Training</w:t>
      </w:r>
      <w:r w:rsidRPr="000714AE">
        <w:t xml:space="preserve"> Report </w:t>
      </w:r>
      <w:r w:rsidRPr="000714AE" w:rsidR="00BF6515">
        <w:t>(RR0</w:t>
      </w:r>
      <w:r w:rsidR="00BF6515">
        <w:t xml:space="preserve">5L4 for SDA 4, </w:t>
      </w:r>
      <w:r w:rsidRPr="000714AE" w:rsidR="00BF6515">
        <w:t>RR0</w:t>
      </w:r>
      <w:r w:rsidR="00BF6515">
        <w:t xml:space="preserve">5L5 for SDA 5 and </w:t>
      </w:r>
      <w:r w:rsidRPr="000714AE" w:rsidR="00BF6515">
        <w:t>RR0</w:t>
      </w:r>
      <w:r w:rsidR="00BF6515">
        <w:t>5L7 for SDA 7)</w:t>
      </w:r>
      <w:r w:rsidRPr="000714AE" w:rsidR="00BF6515">
        <w:t xml:space="preserve"> </w:t>
      </w:r>
      <w:r w:rsidRPr="000714AE" w:rsidR="00E50842">
        <w:t>for the previous Quarter</w:t>
      </w:r>
      <w:r w:rsidRPr="000714AE" w:rsidR="007617AA">
        <w:t xml:space="preserve"> (where applicable)</w:t>
      </w:r>
      <w:r w:rsidRPr="000714AE">
        <w:t xml:space="preserve">; </w:t>
      </w:r>
    </w:p>
    <w:p w:rsidRPr="000714AE" w:rsidR="008E4B3B" w:rsidP="008E4B3B" w:rsidRDefault="008E4B3B" w14:paraId="6B6D2DED" w14:textId="231DDF12">
      <w:pPr>
        <w:pStyle w:val="Simple3"/>
      </w:pPr>
      <w:r w:rsidRPr="000714AE">
        <w:t xml:space="preserve">reviewing the programme of activity </w:t>
      </w:r>
      <w:r w:rsidRPr="000714AE" w:rsidR="00AA3EEC">
        <w:t xml:space="preserve">and </w:t>
      </w:r>
      <w:r w:rsidRPr="000714AE" w:rsidR="00AF4B04">
        <w:t>T</w:t>
      </w:r>
      <w:r w:rsidRPr="000714AE" w:rsidR="00AA3EEC">
        <w:t xml:space="preserve">asking </w:t>
      </w:r>
      <w:r w:rsidRPr="000714AE">
        <w:t>(</w:t>
      </w:r>
      <w:r w:rsidRPr="000714AE" w:rsidR="00AA3EEC">
        <w:t xml:space="preserve">for last month and next month), and considering and </w:t>
      </w:r>
      <w:r w:rsidR="00BF6515">
        <w:t>(where possible) resolving</w:t>
      </w:r>
      <w:r w:rsidRPr="000714AE" w:rsidR="00AA3EEC">
        <w:t xml:space="preserve"> any </w:t>
      </w:r>
      <w:r w:rsidRPr="000714AE">
        <w:t>issues;</w:t>
      </w:r>
      <w:r w:rsidRPr="000714AE" w:rsidR="006D6E5F">
        <w:t xml:space="preserve"> and</w:t>
      </w:r>
    </w:p>
    <w:p w:rsidR="008A20BD" w:rsidP="00616E02" w:rsidRDefault="00616E02" w14:paraId="311A1492" w14:textId="77777777">
      <w:pPr>
        <w:pStyle w:val="Simple3"/>
      </w:pPr>
      <w:r w:rsidRPr="00863B35">
        <w:t>addressing any</w:t>
      </w:r>
      <w:r>
        <w:t xml:space="preserve"> issues relating to </w:t>
      </w:r>
      <w:r w:rsidRPr="00863B35">
        <w:t xml:space="preserve">Schedule 2 </w:t>
      </w:r>
      <w:r>
        <w:t>(</w:t>
      </w:r>
      <w:r w:rsidRPr="00863B35">
        <w:t>Statement of Requirement</w:t>
      </w:r>
      <w:r>
        <w:t>)</w:t>
      </w:r>
      <w:r w:rsidR="008A20BD">
        <w:t xml:space="preserve">. </w:t>
      </w:r>
      <w:r w:rsidRPr="00306DF0" w:rsidR="008A20BD">
        <w:t xml:space="preserve"> </w:t>
      </w:r>
    </w:p>
    <w:p w:rsidR="00FB5E29" w:rsidP="008A20BD" w:rsidRDefault="008A20BD" w14:paraId="6D4A19EB" w14:textId="36BCADE9">
      <w:pPr>
        <w:pStyle w:val="Simple2"/>
      </w:pPr>
      <w:r>
        <w:t>Following the review of the Contractor</w:t>
      </w:r>
      <w:r w:rsidR="008E7807">
        <w:t>'</w:t>
      </w:r>
      <w:r>
        <w:t xml:space="preserve">s performance in accordance with </w:t>
      </w:r>
      <w:r w:rsidR="00B761F0">
        <w:t>paragraph</w:t>
      </w:r>
      <w:r w:rsidR="00B74F29">
        <w:t xml:space="preserve"> </w:t>
      </w:r>
      <w:r w:rsidR="00257C51">
        <w:fldChar w:fldCharType="begin"/>
      </w:r>
      <w:r w:rsidR="00257C51">
        <w:instrText xml:space="preserve"> REF _Ref103856294 \r \h </w:instrText>
      </w:r>
      <w:r w:rsidR="00257C51">
        <w:fldChar w:fldCharType="separate"/>
      </w:r>
      <w:r w:rsidR="00E8541C">
        <w:t>4.8</w:t>
      </w:r>
      <w:r w:rsidR="00257C51">
        <w:fldChar w:fldCharType="end"/>
      </w:r>
      <w:r>
        <w:t xml:space="preserve"> above</w:t>
      </w:r>
      <w:r w:rsidR="00257C51">
        <w:t>,</w:t>
      </w:r>
      <w:r>
        <w:t xml:space="preserve"> the </w:t>
      </w:r>
      <w:r w:rsidRPr="003C0E05">
        <w:t xml:space="preserve">Local Performance Working Group </w:t>
      </w:r>
      <w:r>
        <w:t>shall</w:t>
      </w:r>
      <w:r w:rsidRPr="00FB5E29" w:rsidR="00FB5E29">
        <w:t xml:space="preserve"> </w:t>
      </w:r>
      <w:r w:rsidR="00FB5E29">
        <w:t>make recommendations to the Monthly Performance Review Board:</w:t>
      </w:r>
      <w:r>
        <w:t xml:space="preserve"> </w:t>
      </w:r>
    </w:p>
    <w:p w:rsidR="00FB5E29" w:rsidP="00FB5E29" w:rsidRDefault="00FB5E29" w14:paraId="63BA7E78" w14:textId="68FEABC8">
      <w:pPr>
        <w:pStyle w:val="Simple3"/>
      </w:pPr>
      <w:r>
        <w:t xml:space="preserve">as to whether the reports set out in </w:t>
      </w:r>
      <w:r w:rsidR="00B761F0">
        <w:t>paragraph</w:t>
      </w:r>
      <w:r w:rsidR="00B74F29">
        <w:t xml:space="preserve"> </w:t>
      </w:r>
      <w:r>
        <w:fldChar w:fldCharType="begin"/>
      </w:r>
      <w:r>
        <w:instrText xml:space="preserve"> REF _Ref103856294 \r \h </w:instrText>
      </w:r>
      <w:r>
        <w:fldChar w:fldCharType="separate"/>
      </w:r>
      <w:r w:rsidR="00E8541C">
        <w:t>4.8</w:t>
      </w:r>
      <w:r>
        <w:fldChar w:fldCharType="end"/>
      </w:r>
      <w:r>
        <w:t xml:space="preserve"> above should be approved and/or whether revisions are required to such reports;</w:t>
      </w:r>
    </w:p>
    <w:p w:rsidR="00FB5E29" w:rsidP="00FB5E29" w:rsidRDefault="008A20BD" w14:paraId="73C4A4C4" w14:textId="0DFCC535">
      <w:pPr>
        <w:pStyle w:val="Simple3"/>
      </w:pPr>
      <w:r>
        <w:t>on</w:t>
      </w:r>
      <w:r w:rsidR="00F50641">
        <w:t xml:space="preserve"> any</w:t>
      </w:r>
      <w:r>
        <w:t xml:space="preserve"> Non</w:t>
      </w:r>
      <w:r w:rsidR="006948AA">
        <w:t>-</w:t>
      </w:r>
      <w:r>
        <w:t>Performances and Non</w:t>
      </w:r>
      <w:r w:rsidR="006948AA">
        <w:t>-</w:t>
      </w:r>
      <w:r>
        <w:t>Performance Points</w:t>
      </w:r>
      <w:r w:rsidR="00FB5E29">
        <w:t xml:space="preserve"> to be applied.</w:t>
      </w:r>
    </w:p>
    <w:p w:rsidR="00F50641" w:rsidP="00F50641" w:rsidRDefault="00F50641" w14:paraId="6E3B9D04" w14:textId="77777777">
      <w:pPr>
        <w:pStyle w:val="Simple3"/>
        <w:numPr>
          <w:ilvl w:val="0"/>
          <w:numId w:val="0"/>
        </w:numPr>
        <w:ind w:left="709"/>
      </w:pPr>
    </w:p>
    <w:p w:rsidRPr="00AF4B04" w:rsidR="008A20BD" w:rsidP="008A20BD" w:rsidRDefault="008A20BD" w14:paraId="582A34F8" w14:textId="4DCD7D41">
      <w:pPr>
        <w:rPr>
          <w:b/>
        </w:rPr>
      </w:pPr>
      <w:r>
        <w:rPr>
          <w:rFonts w:cs="Arial"/>
          <w:b/>
          <w:bCs/>
          <w:sz w:val="24"/>
          <w:szCs w:val="24"/>
        </w:rPr>
        <w:br w:type="page"/>
      </w:r>
    </w:p>
    <w:p w:rsidR="00257C51" w:rsidP="008A20BD" w:rsidRDefault="00257C51" w14:paraId="663EFF3C" w14:textId="77777777">
      <w:pPr>
        <w:pStyle w:val="Schedule2"/>
        <w:sectPr w:rsidR="00257C51" w:rsidSect="006D6E5F">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1440" w:right="1440" w:bottom="1440" w:left="1440" w:header="709" w:footer="709" w:gutter="0"/>
          <w:cols w:space="708"/>
          <w:docGrid w:linePitch="360"/>
        </w:sectPr>
      </w:pPr>
    </w:p>
    <w:p w:rsidR="008A20BD" w:rsidP="008A20BD" w:rsidRDefault="008A20BD" w14:paraId="19D28547" w14:textId="77777777">
      <w:pPr>
        <w:pStyle w:val="Schedule2"/>
      </w:pPr>
      <w:r w:rsidRPr="00A23F68">
        <w:t xml:space="preserve">Part </w:t>
      </w:r>
      <w:r>
        <w:t xml:space="preserve">B: </w:t>
      </w:r>
      <w:r w:rsidRPr="00A23F68">
        <w:t>Management Information</w:t>
      </w:r>
    </w:p>
    <w:p w:rsidRPr="00FB376F" w:rsidR="00BD76A0" w:rsidP="3A17B66E" w:rsidRDefault="006513C6" w14:paraId="657FBD30" w14:textId="5DE2EEC4">
      <w:pPr>
        <w:pStyle w:val="BodyText"/>
        <w:rPr>
          <w:b w:val="1"/>
          <w:bCs w:val="1"/>
          <w:i w:val="1"/>
          <w:iCs w:val="1"/>
        </w:rPr>
      </w:pPr>
      <w:r w:rsidR="75F65ECF">
        <w:rPr/>
        <w:t>The Contractor shall prepare</w:t>
      </w:r>
      <w:r w:rsidR="7842F864">
        <w:rPr/>
        <w:t>, and provide to the Authority,</w:t>
      </w:r>
      <w:r w:rsidR="75F65ECF">
        <w:rPr/>
        <w:t xml:space="preserve"> the Management Information</w:t>
      </w:r>
      <w:r w:rsidR="74CFA7B3">
        <w:rPr/>
        <w:t xml:space="preserve"> by uploading such Management Information to the Shared Data Environment</w:t>
      </w:r>
      <w:r w:rsidR="75F65ECF">
        <w:rPr/>
        <w:t xml:space="preserve"> as set out below:</w:t>
      </w:r>
      <w:r w:rsidR="1D28037D">
        <w:rPr/>
        <w:t xml:space="preserve"> </w:t>
      </w:r>
      <w:r w:rsidRPr="3A17B66E" w:rsidR="213D3966">
        <w:rPr>
          <w:b w:val="1"/>
          <w:bCs w:val="1"/>
          <w:i w:val="1"/>
          <w:iCs w:val="1"/>
        </w:rPr>
        <w:t>[Note to Tenderers: Templates for the MI reports set out below to be proposed by Ten</w:t>
      </w:r>
      <w:r w:rsidRPr="3A17B66E" w:rsidR="19BBF61A">
        <w:rPr>
          <w:b w:val="1"/>
          <w:bCs w:val="1"/>
          <w:i w:val="1"/>
          <w:iCs w:val="1"/>
        </w:rPr>
        <w:t>derers as part of the Governance Management Plan proposal.]</w:t>
      </w:r>
    </w:p>
    <w:tbl>
      <w:tblPr>
        <w:tblStyle w:val="TableGrid"/>
        <w:tblW w:w="14737" w:type="dxa"/>
        <w:tblLook w:val="04A0" w:firstRow="1" w:lastRow="0" w:firstColumn="1" w:lastColumn="0" w:noHBand="0" w:noVBand="1"/>
      </w:tblPr>
      <w:tblGrid>
        <w:gridCol w:w="2393"/>
        <w:gridCol w:w="1711"/>
        <w:gridCol w:w="9358"/>
        <w:gridCol w:w="1275"/>
      </w:tblGrid>
      <w:tr w:rsidRPr="008A20BD" w:rsidR="00D550A8" w:rsidTr="00D550A8" w14:paraId="7B3E74DB" w14:textId="77777777">
        <w:tc>
          <w:tcPr>
            <w:tcW w:w="2393" w:type="dxa"/>
          </w:tcPr>
          <w:p w:rsidRPr="00132E6B" w:rsidR="00D550A8" w:rsidP="0024050C" w:rsidRDefault="00D550A8" w14:paraId="5A4CEA54" w14:textId="0E5CEF9B">
            <w:pPr>
              <w:pStyle w:val="BodyText"/>
              <w:rPr>
                <w:b/>
              </w:rPr>
            </w:pPr>
            <w:r>
              <w:rPr>
                <w:b/>
              </w:rPr>
              <w:t>Management Information</w:t>
            </w:r>
          </w:p>
        </w:tc>
        <w:tc>
          <w:tcPr>
            <w:tcW w:w="1711" w:type="dxa"/>
          </w:tcPr>
          <w:p w:rsidRPr="00132E6B" w:rsidR="00D550A8" w:rsidP="00D550A8" w:rsidRDefault="00D550A8" w14:paraId="53C67593" w14:textId="77777777">
            <w:pPr>
              <w:pStyle w:val="BodyText"/>
              <w:jc w:val="center"/>
              <w:rPr>
                <w:b/>
              </w:rPr>
            </w:pPr>
            <w:r w:rsidRPr="00132E6B">
              <w:rPr>
                <w:b/>
              </w:rPr>
              <w:t>Frequency</w:t>
            </w:r>
          </w:p>
        </w:tc>
        <w:tc>
          <w:tcPr>
            <w:tcW w:w="9358" w:type="dxa"/>
          </w:tcPr>
          <w:p w:rsidRPr="00132E6B" w:rsidR="00D550A8" w:rsidP="00D550A8" w:rsidRDefault="00D550A8" w14:paraId="7F99792A" w14:textId="77777777">
            <w:pPr>
              <w:pStyle w:val="BodyText"/>
              <w:jc w:val="center"/>
              <w:rPr>
                <w:b/>
              </w:rPr>
            </w:pPr>
            <w:r w:rsidRPr="00132E6B">
              <w:rPr>
                <w:b/>
              </w:rPr>
              <w:t>Content</w:t>
            </w:r>
          </w:p>
        </w:tc>
        <w:tc>
          <w:tcPr>
            <w:tcW w:w="1275" w:type="dxa"/>
          </w:tcPr>
          <w:p w:rsidRPr="00132E6B" w:rsidR="00D550A8" w:rsidP="00D550A8" w:rsidRDefault="00D550A8" w14:paraId="15370819" w14:textId="77777777">
            <w:pPr>
              <w:pStyle w:val="BodyText"/>
              <w:jc w:val="center"/>
              <w:rPr>
                <w:b/>
              </w:rPr>
            </w:pPr>
            <w:r w:rsidRPr="00132E6B">
              <w:rPr>
                <w:b/>
              </w:rPr>
              <w:t>For which Board?</w:t>
            </w:r>
          </w:p>
        </w:tc>
      </w:tr>
      <w:tr w:rsidR="00D550A8" w:rsidTr="00D550A8" w14:paraId="37DA1F56" w14:textId="77777777">
        <w:trPr>
          <w:trHeight w:val="980"/>
        </w:trPr>
        <w:tc>
          <w:tcPr>
            <w:tcW w:w="2393" w:type="dxa"/>
            <w:vMerge w:val="restart"/>
          </w:tcPr>
          <w:p w:rsidRPr="00132E6B" w:rsidR="00D550A8" w:rsidP="00A848FD" w:rsidRDefault="00D550A8" w14:paraId="2615E43B" w14:textId="77777777">
            <w:pPr>
              <w:pStyle w:val="BodyText"/>
              <w:spacing w:after="0"/>
            </w:pPr>
            <w:r w:rsidRPr="00132E6B">
              <w:t>Monthly Performance and Activity Report</w:t>
            </w:r>
          </w:p>
          <w:p w:rsidRPr="00132E6B" w:rsidR="00D550A8" w:rsidP="00A848FD" w:rsidRDefault="00D550A8" w14:paraId="30E169DA" w14:textId="77777777">
            <w:pPr>
              <w:pStyle w:val="BodyText"/>
              <w:spacing w:after="0"/>
            </w:pPr>
            <w:r w:rsidRPr="00132E6B">
              <w:t>(MPAR)</w:t>
            </w:r>
          </w:p>
          <w:p w:rsidRPr="00132E6B" w:rsidR="00D550A8" w:rsidP="00A848FD" w:rsidRDefault="00D550A8" w14:paraId="52A68F6F" w14:textId="77777777">
            <w:pPr>
              <w:pStyle w:val="BodyText"/>
              <w:spacing w:after="0"/>
            </w:pPr>
            <w:r w:rsidRPr="00132E6B">
              <w:t>RR01</w:t>
            </w:r>
          </w:p>
        </w:tc>
        <w:tc>
          <w:tcPr>
            <w:tcW w:w="1711" w:type="dxa"/>
            <w:vMerge w:val="restart"/>
          </w:tcPr>
          <w:p w:rsidRPr="0024050C" w:rsidR="00D550A8" w:rsidP="004E1BCB" w:rsidRDefault="00D550A8" w14:paraId="5AD97ADA" w14:textId="734E4081">
            <w:pPr>
              <w:pStyle w:val="BodyText"/>
              <w:spacing w:after="0"/>
              <w:rPr>
                <w:i/>
              </w:rPr>
            </w:pPr>
            <w:r w:rsidRPr="0024050C">
              <w:rPr>
                <w:i/>
              </w:rPr>
              <w:t>Monthly</w:t>
            </w:r>
            <w:r>
              <w:rPr>
                <w:i/>
              </w:rPr>
              <w:t xml:space="preserve"> (note that item </w:t>
            </w:r>
            <w:r w:rsidR="004E1BCB">
              <w:rPr>
                <w:i/>
              </w:rPr>
              <w:t>2</w:t>
            </w:r>
            <w:r>
              <w:rPr>
                <w:i/>
              </w:rPr>
              <w:t xml:space="preserve"> only is an annual requirement</w:t>
            </w:r>
            <w:r w:rsidR="004E1BCB">
              <w:rPr>
                <w:i/>
              </w:rPr>
              <w:t>, and item 3 only is a biannual requirement</w:t>
            </w:r>
            <w:r>
              <w:rPr>
                <w:i/>
              </w:rPr>
              <w:t>)</w:t>
            </w:r>
          </w:p>
        </w:tc>
        <w:tc>
          <w:tcPr>
            <w:tcW w:w="9358" w:type="dxa"/>
            <w:vMerge w:val="restart"/>
          </w:tcPr>
          <w:p w:rsidRPr="00A848FD" w:rsidR="00D550A8" w:rsidP="000341B8" w:rsidRDefault="00D550A8" w14:paraId="7D277C4A" w14:textId="3106D233">
            <w:pPr>
              <w:pStyle w:val="BodyText"/>
              <w:numPr>
                <w:ilvl w:val="0"/>
                <w:numId w:val="15"/>
              </w:numPr>
              <w:spacing w:after="0"/>
            </w:pPr>
            <w:r>
              <w:t xml:space="preserve">The </w:t>
            </w:r>
            <w:r w:rsidRPr="00A848FD">
              <w:t>MPA</w:t>
            </w:r>
            <w:r>
              <w:t>R shall contain the following data</w:t>
            </w:r>
            <w:r w:rsidRPr="00A848FD">
              <w:t xml:space="preserve"> for the previous </w:t>
            </w:r>
            <w:r w:rsidR="00C85DA9">
              <w:t>Contract M</w:t>
            </w:r>
            <w:r w:rsidRPr="00A848FD">
              <w:t>onth</w:t>
            </w:r>
            <w:r w:rsidR="00740C75">
              <w:t xml:space="preserve"> for each SDA</w:t>
            </w:r>
            <w:r w:rsidRPr="00A848FD">
              <w:t>:</w:t>
            </w:r>
          </w:p>
          <w:p w:rsidR="00D550A8" w:rsidP="000341B8" w:rsidRDefault="00D550A8" w14:paraId="43A18161" w14:textId="6FE63156">
            <w:pPr>
              <w:pStyle w:val="BodyText"/>
              <w:numPr>
                <w:ilvl w:val="1"/>
                <w:numId w:val="15"/>
              </w:numPr>
              <w:spacing w:after="0"/>
            </w:pPr>
            <w:r>
              <w:t xml:space="preserve">numbers of passengers (for passenger transport and scheduled ferry </w:t>
            </w:r>
            <w:r w:rsidR="00F271E2">
              <w:t>Tasks</w:t>
            </w:r>
            <w:r>
              <w:t>) and Special Person</w:t>
            </w:r>
            <w:r w:rsidR="00AC0199">
              <w:t>nel</w:t>
            </w:r>
            <w:r>
              <w:t xml:space="preserve"> </w:t>
            </w:r>
            <w:r w:rsidR="007F72E5">
              <w:t xml:space="preserve">numbers </w:t>
            </w:r>
            <w:r>
              <w:t>for Affected Services, details require</w:t>
            </w:r>
            <w:r w:rsidR="006D6E5F">
              <w:t>d for souls on board recording;</w:t>
            </w:r>
          </w:p>
          <w:p w:rsidR="00D550A8" w:rsidP="000341B8" w:rsidRDefault="00D550A8" w14:paraId="175BCC7D" w14:textId="6CFFA61A">
            <w:pPr>
              <w:pStyle w:val="BodyText"/>
              <w:numPr>
                <w:ilvl w:val="1"/>
                <w:numId w:val="15"/>
              </w:numPr>
              <w:spacing w:after="0"/>
            </w:pPr>
            <w:r>
              <w:t xml:space="preserve">information on Vessel re-location times, refuelling, maintenance and Vessel surveys (each as applicable), and when and why Vessels were not available for </w:t>
            </w:r>
            <w:r w:rsidR="00F271E2">
              <w:t>Tasking</w:t>
            </w:r>
            <w:r>
              <w:t xml:space="preserve">; </w:t>
            </w:r>
          </w:p>
          <w:p w:rsidR="00D550A8" w:rsidP="000341B8" w:rsidRDefault="00D550A8" w14:paraId="37C085DE" w14:textId="77777777">
            <w:pPr>
              <w:pStyle w:val="BodyText"/>
              <w:numPr>
                <w:ilvl w:val="1"/>
                <w:numId w:val="15"/>
              </w:numPr>
              <w:spacing w:after="0"/>
            </w:pPr>
            <w:r>
              <w:t xml:space="preserve">a section on detailed fleet data to demonstrate that the Services were delivered efficiently to include (without limitation): </w:t>
            </w:r>
          </w:p>
          <w:p w:rsidR="00D550A8" w:rsidP="000341B8" w:rsidRDefault="00D550A8" w14:paraId="6FDC60CD" w14:textId="77777777">
            <w:pPr>
              <w:pStyle w:val="BodyText"/>
              <w:numPr>
                <w:ilvl w:val="2"/>
                <w:numId w:val="15"/>
              </w:numPr>
              <w:spacing w:after="0"/>
            </w:pPr>
            <w:r>
              <w:t>Vessel preparation time;</w:t>
            </w:r>
          </w:p>
          <w:p w:rsidR="00D550A8" w:rsidP="000341B8" w:rsidRDefault="00D550A8" w14:paraId="747A796D" w14:textId="77777777">
            <w:pPr>
              <w:pStyle w:val="BodyText"/>
              <w:numPr>
                <w:ilvl w:val="2"/>
                <w:numId w:val="15"/>
              </w:numPr>
              <w:spacing w:after="0"/>
            </w:pPr>
            <w:r>
              <w:t>passage time;</w:t>
            </w:r>
          </w:p>
          <w:p w:rsidR="00D550A8" w:rsidP="000341B8" w:rsidRDefault="00F271E2" w14:paraId="19914C9A" w14:textId="26942902">
            <w:pPr>
              <w:pStyle w:val="BodyText"/>
              <w:numPr>
                <w:ilvl w:val="2"/>
                <w:numId w:val="15"/>
              </w:numPr>
              <w:spacing w:after="0"/>
            </w:pPr>
            <w:r>
              <w:t xml:space="preserve">Task </w:t>
            </w:r>
            <w:r w:rsidR="00D550A8">
              <w:t>start and stop times;</w:t>
            </w:r>
          </w:p>
          <w:p w:rsidR="00D550A8" w:rsidP="000341B8" w:rsidRDefault="00D550A8" w14:paraId="7634691D" w14:textId="77777777">
            <w:pPr>
              <w:pStyle w:val="BodyText"/>
              <w:numPr>
                <w:ilvl w:val="2"/>
                <w:numId w:val="15"/>
              </w:numPr>
              <w:spacing w:after="0"/>
            </w:pPr>
            <w:r>
              <w:t>loitering time;</w:t>
            </w:r>
          </w:p>
          <w:p w:rsidR="00D550A8" w:rsidP="000341B8" w:rsidRDefault="00D550A8" w14:paraId="53B16E14" w14:textId="77777777">
            <w:pPr>
              <w:pStyle w:val="BodyText"/>
              <w:numPr>
                <w:ilvl w:val="2"/>
                <w:numId w:val="15"/>
              </w:numPr>
              <w:spacing w:after="0"/>
            </w:pPr>
            <w:r>
              <w:t>Vessel shutdown time;</w:t>
            </w:r>
          </w:p>
          <w:p w:rsidR="00D550A8" w:rsidP="000341B8" w:rsidRDefault="00F271E2" w14:paraId="58D8C883" w14:textId="1CF60B6B">
            <w:pPr>
              <w:pStyle w:val="BodyText"/>
              <w:numPr>
                <w:ilvl w:val="2"/>
                <w:numId w:val="15"/>
              </w:numPr>
              <w:spacing w:after="0"/>
            </w:pPr>
            <w:r>
              <w:t xml:space="preserve">Tasks </w:t>
            </w:r>
            <w:r w:rsidR="00D550A8">
              <w:t>cancelled;</w:t>
            </w:r>
          </w:p>
          <w:p w:rsidR="00D550A8" w:rsidP="000341B8" w:rsidRDefault="00D550A8" w14:paraId="0F911BDD" w14:textId="77777777">
            <w:pPr>
              <w:pStyle w:val="BodyText"/>
              <w:numPr>
                <w:ilvl w:val="2"/>
                <w:numId w:val="15"/>
              </w:numPr>
              <w:spacing w:after="0"/>
            </w:pPr>
            <w:r>
              <w:t>delays (recorded as either caused by the Authority or Contractor); and</w:t>
            </w:r>
          </w:p>
          <w:p w:rsidR="00D550A8" w:rsidP="000341B8" w:rsidRDefault="00D550A8" w14:paraId="4CE6B1B2" w14:textId="2620CB9C">
            <w:pPr>
              <w:pStyle w:val="BodyText"/>
              <w:numPr>
                <w:ilvl w:val="2"/>
                <w:numId w:val="15"/>
              </w:numPr>
              <w:spacing w:after="0"/>
            </w:pPr>
            <w:r>
              <w:t xml:space="preserve">concurrent </w:t>
            </w:r>
            <w:r w:rsidR="00F271E2">
              <w:t xml:space="preserve">Tasks </w:t>
            </w:r>
            <w:r>
              <w:t>for one vessel;</w:t>
            </w:r>
          </w:p>
          <w:p w:rsidR="00D550A8" w:rsidP="000341B8" w:rsidRDefault="00D550A8" w14:paraId="0302CD3E" w14:textId="5AA134EB">
            <w:pPr>
              <w:pStyle w:val="BodyText"/>
              <w:numPr>
                <w:ilvl w:val="1"/>
                <w:numId w:val="15"/>
              </w:numPr>
              <w:spacing w:after="0"/>
            </w:pPr>
            <w:r>
              <w:t>a summary of all non-conformities identified in any audit that has taken place;</w:t>
            </w:r>
          </w:p>
          <w:p w:rsidR="00D550A8" w:rsidP="000341B8" w:rsidRDefault="00D550A8" w14:paraId="3BAB40B9" w14:textId="44012320">
            <w:pPr>
              <w:pStyle w:val="BodyText"/>
              <w:numPr>
                <w:ilvl w:val="1"/>
                <w:numId w:val="15"/>
              </w:numPr>
              <w:spacing w:after="0"/>
            </w:pPr>
            <w:r>
              <w:t xml:space="preserve">a summary of </w:t>
            </w:r>
            <w:r w:rsidR="009E75B4">
              <w:t>End User Questionnaires</w:t>
            </w:r>
            <w:r>
              <w:t xml:space="preserve"> sent/responses received in the relevant month</w:t>
            </w:r>
            <w:r w:rsidR="006D6E5F">
              <w:t xml:space="preserve"> (if applicable for such month)</w:t>
            </w:r>
            <w:r>
              <w:t xml:space="preserve">; </w:t>
            </w:r>
          </w:p>
          <w:p w:rsidR="001549B9" w:rsidP="000341B8" w:rsidRDefault="00D550A8" w14:paraId="28CCEE6B" w14:textId="48E736F8">
            <w:pPr>
              <w:pStyle w:val="BodyText"/>
              <w:numPr>
                <w:ilvl w:val="1"/>
                <w:numId w:val="15"/>
              </w:numPr>
              <w:spacing w:after="0"/>
            </w:pPr>
            <w:r>
              <w:t xml:space="preserve">a summary of </w:t>
            </w:r>
            <w:r w:rsidRPr="00921601">
              <w:t xml:space="preserve">progress against any </w:t>
            </w:r>
            <w:r>
              <w:t xml:space="preserve">current </w:t>
            </w:r>
            <w:r w:rsidRPr="00921601">
              <w:t>Q</w:t>
            </w:r>
            <w:r>
              <w:t>uality Rectification Plans</w:t>
            </w:r>
            <w:r w:rsidR="000341B8">
              <w:t>;</w:t>
            </w:r>
          </w:p>
          <w:p w:rsidR="000341B8" w:rsidP="000341B8" w:rsidRDefault="001549B9" w14:paraId="5A683FB6" w14:textId="77777777">
            <w:pPr>
              <w:pStyle w:val="BodyText"/>
              <w:numPr>
                <w:ilvl w:val="1"/>
                <w:numId w:val="15"/>
              </w:numPr>
              <w:spacing w:after="0"/>
            </w:pPr>
            <w:r>
              <w:t>an update as to progress made against the Social Value Plan and each social value KPI</w:t>
            </w:r>
            <w:r w:rsidR="004F5B2B">
              <w:t xml:space="preserve"> (see Appendix 5 (</w:t>
            </w:r>
            <w:r w:rsidRPr="004F5B2B" w:rsidR="004F5B2B">
              <w:t xml:space="preserve">Social Value Measurement </w:t>
            </w:r>
            <w:r w:rsidR="004F5B2B">
              <w:t>a</w:t>
            </w:r>
            <w:r w:rsidRPr="004F5B2B" w:rsidR="004F5B2B">
              <w:t>nd Reporting</w:t>
            </w:r>
            <w:r w:rsidR="004F5B2B">
              <w:t>))</w:t>
            </w:r>
            <w:r w:rsidR="000341B8">
              <w:t>; and</w:t>
            </w:r>
          </w:p>
          <w:p w:rsidR="00740C75" w:rsidP="000341B8" w:rsidRDefault="000341B8" w14:paraId="7CB75C44" w14:textId="34D9EE6A">
            <w:pPr>
              <w:pStyle w:val="BodyText"/>
              <w:numPr>
                <w:ilvl w:val="1"/>
                <w:numId w:val="15"/>
              </w:numPr>
              <w:spacing w:after="0"/>
            </w:pPr>
            <w:r>
              <w:t xml:space="preserve">an updated list of the identified </w:t>
            </w:r>
            <w:r w:rsidRPr="00863B35">
              <w:t xml:space="preserve">risks, issues and opportunities </w:t>
            </w:r>
            <w:r>
              <w:t>affecting</w:t>
            </w:r>
            <w:r w:rsidRPr="00863B35">
              <w:t xml:space="preserve"> the Services</w:t>
            </w:r>
            <w:r w:rsidR="00A62EA8">
              <w:t>, identified in accordance with the Governance Management Plan</w:t>
            </w:r>
            <w:r w:rsidR="00740C75">
              <w:t>,</w:t>
            </w:r>
          </w:p>
          <w:p w:rsidR="00D550A8" w:rsidP="00770397" w:rsidRDefault="00740C75" w14:paraId="163F3846" w14:textId="71166080">
            <w:pPr>
              <w:pStyle w:val="BodyText"/>
              <w:spacing w:after="0"/>
            </w:pPr>
            <w:r>
              <w:t xml:space="preserve">and shall contain a summary of the above </w:t>
            </w:r>
            <w:r w:rsidR="00570978">
              <w:t>across all SDAs</w:t>
            </w:r>
            <w:r w:rsidR="00D550A8">
              <w:t>.</w:t>
            </w:r>
          </w:p>
          <w:p w:rsidR="00D550A8" w:rsidP="00204CAD" w:rsidRDefault="00D550A8" w14:paraId="125E853D" w14:textId="77777777">
            <w:pPr>
              <w:pStyle w:val="BodyText"/>
              <w:spacing w:after="0"/>
            </w:pPr>
            <w:r>
              <w:t xml:space="preserve"> </w:t>
            </w:r>
          </w:p>
          <w:p w:rsidR="0062074D" w:rsidP="000341B8" w:rsidRDefault="00D550A8" w14:paraId="1A33A85F" w14:textId="711D1783">
            <w:pPr>
              <w:pStyle w:val="BodyText"/>
              <w:numPr>
                <w:ilvl w:val="0"/>
                <w:numId w:val="15"/>
              </w:numPr>
              <w:spacing w:after="0"/>
            </w:pPr>
            <w:r>
              <w:t>The MPAR issued immediately following the end of each Contract Year shall contain the Contractor's proposed d</w:t>
            </w:r>
            <w:r w:rsidRPr="006513C6">
              <w:t>raft updates to the S</w:t>
            </w:r>
            <w:r>
              <w:t>ervice Delivery Plan produced as an outcome of the Contractor's review conducted pursuant to Clause 28.5 (Change)</w:t>
            </w:r>
            <w:r w:rsidR="0062074D">
              <w:t>.</w:t>
            </w:r>
          </w:p>
          <w:p w:rsidR="0062074D" w:rsidP="0062074D" w:rsidRDefault="0062074D" w14:paraId="041BF767" w14:textId="77777777">
            <w:pPr>
              <w:pStyle w:val="BodyText"/>
              <w:spacing w:after="0"/>
              <w:ind w:left="273"/>
            </w:pPr>
          </w:p>
          <w:p w:rsidR="00D550A8" w:rsidP="000341B8" w:rsidRDefault="0062074D" w14:paraId="4F2A244A" w14:textId="059B40E7">
            <w:pPr>
              <w:pStyle w:val="BodyText"/>
              <w:numPr>
                <w:ilvl w:val="0"/>
                <w:numId w:val="15"/>
              </w:numPr>
              <w:spacing w:after="0"/>
            </w:pPr>
            <w:r>
              <w:t xml:space="preserve">The </w:t>
            </w:r>
            <w:r w:rsidRPr="00445465">
              <w:t>Monthly Performance and Activity Report</w:t>
            </w:r>
            <w:r>
              <w:t xml:space="preserve"> issued: (i) immediately following the end of each Contract Year; and (ii) six (6) months into each Contract Year, shall contain the Contractor's proposed d</w:t>
            </w:r>
            <w:r w:rsidRPr="006513C6">
              <w:t xml:space="preserve">raft updates to the </w:t>
            </w:r>
            <w:r>
              <w:t>IPR Register identified by the Contractor as an outcome of the review conducted pursuant to clause 35</w:t>
            </w:r>
            <w:r w:rsidR="00A47348">
              <w:t>.19</w:t>
            </w:r>
            <w:r>
              <w:t xml:space="preserve"> (Intellectual Property Rights).</w:t>
            </w:r>
          </w:p>
          <w:p w:rsidR="00D550A8" w:rsidP="00204CAD" w:rsidRDefault="00D550A8" w14:paraId="108FB13B" w14:textId="5CF7E3BD">
            <w:pPr>
              <w:pStyle w:val="BodyText"/>
              <w:spacing w:after="0"/>
            </w:pPr>
          </w:p>
          <w:p w:rsidR="00CF728E" w:rsidP="000341B8" w:rsidRDefault="00CF728E" w14:paraId="49A672AE" w14:textId="702F281E">
            <w:pPr>
              <w:pStyle w:val="BodyText"/>
              <w:numPr>
                <w:ilvl w:val="0"/>
                <w:numId w:val="15"/>
              </w:numPr>
              <w:spacing w:after="0"/>
            </w:pPr>
            <w:r>
              <w:t xml:space="preserve">The MPAR shall include the current Monthly Financial Report, prepared in accordance with Schedule 31 (Transparency </w:t>
            </w:r>
            <w:r w:rsidR="008E1D91">
              <w:t>and Financial Models).</w:t>
            </w:r>
          </w:p>
          <w:p w:rsidR="00CF728E" w:rsidP="008E1D91" w:rsidRDefault="00CF728E" w14:paraId="127831D7" w14:textId="77777777">
            <w:pPr>
              <w:pStyle w:val="ListParagraph"/>
              <w:spacing w:after="0"/>
            </w:pPr>
          </w:p>
          <w:p w:rsidRPr="000D171E" w:rsidR="008636AB" w:rsidP="000341B8" w:rsidRDefault="008636AB" w14:paraId="29CCF36C" w14:textId="68A62A02">
            <w:pPr>
              <w:pStyle w:val="BodyText"/>
              <w:numPr>
                <w:ilvl w:val="0"/>
                <w:numId w:val="15"/>
              </w:numPr>
              <w:spacing w:after="0"/>
            </w:pPr>
            <w:r>
              <w:t>For</w:t>
            </w:r>
            <w:r w:rsidRPr="00445465" w:rsidR="007A4A8D">
              <w:t xml:space="preserve"> </w:t>
            </w:r>
            <w:r w:rsidRPr="00795251">
              <w:t xml:space="preserve">that </w:t>
            </w:r>
            <w:r w:rsidRPr="000D171E">
              <w:t>Contract Month, the Monthly Performance and Activity Report shall, in relation to the Services Availability KPI, as a minimum:</w:t>
            </w:r>
          </w:p>
          <w:p w:rsidRPr="00D96C59" w:rsidR="008636AB" w:rsidP="000341B8" w:rsidRDefault="008636AB" w14:paraId="36A349B5" w14:textId="4534F996">
            <w:pPr>
              <w:pStyle w:val="BodyText"/>
              <w:numPr>
                <w:ilvl w:val="1"/>
                <w:numId w:val="15"/>
              </w:numPr>
              <w:spacing w:after="0"/>
            </w:pPr>
            <w:r w:rsidRPr="000D171E">
              <w:t xml:space="preserve">list all Tasks </w:t>
            </w:r>
            <w:r w:rsidR="00BF0016">
              <w:t xml:space="preserve">issued by the Tasking Authority in accordance with the </w:t>
            </w:r>
            <w:r w:rsidR="0020593F">
              <w:t>Tasking Procedures</w:t>
            </w:r>
            <w:r w:rsidRPr="00D96C59">
              <w:t>;</w:t>
            </w:r>
          </w:p>
          <w:p w:rsidRPr="000D171E" w:rsidR="008636AB" w:rsidP="000341B8" w:rsidRDefault="008636AB" w14:paraId="314F6591" w14:textId="11E95A1D">
            <w:pPr>
              <w:pStyle w:val="BodyText"/>
              <w:numPr>
                <w:ilvl w:val="1"/>
                <w:numId w:val="15"/>
              </w:numPr>
              <w:spacing w:after="0"/>
            </w:pPr>
            <w:r w:rsidRPr="000D171E">
              <w:t>identify those Tasks that</w:t>
            </w:r>
            <w:r>
              <w:t xml:space="preserve"> were completed On Time In Full</w:t>
            </w:r>
            <w:r w:rsidR="0020593F">
              <w:t>;</w:t>
            </w:r>
          </w:p>
          <w:p w:rsidRPr="000D171E" w:rsidR="008636AB" w:rsidP="000341B8" w:rsidRDefault="008636AB" w14:paraId="4DF84A16" w14:textId="7A505055">
            <w:pPr>
              <w:pStyle w:val="BodyText"/>
              <w:numPr>
                <w:ilvl w:val="1"/>
                <w:numId w:val="15"/>
              </w:numPr>
              <w:spacing w:after="0"/>
            </w:pPr>
            <w:r w:rsidRPr="000D171E">
              <w:t>identify those Tasks that were not completed On Time In Full (i.e. Non-Performances), with:</w:t>
            </w:r>
          </w:p>
          <w:p w:rsidRPr="000D171E" w:rsidR="008636AB" w:rsidP="000341B8" w:rsidRDefault="008636AB" w14:paraId="493F02BC" w14:textId="77777777">
            <w:pPr>
              <w:pStyle w:val="BodyText"/>
              <w:numPr>
                <w:ilvl w:val="2"/>
                <w:numId w:val="15"/>
              </w:numPr>
              <w:spacing w:after="0"/>
            </w:pPr>
            <w:r w:rsidRPr="000D171E">
              <w:t>the status of those Tasks not completed (e.g. cancelled, delayed, rescheduled)</w:t>
            </w:r>
            <w:r>
              <w:t>;</w:t>
            </w:r>
          </w:p>
          <w:p w:rsidRPr="000D171E" w:rsidR="008636AB" w:rsidP="000341B8" w:rsidRDefault="008636AB" w14:paraId="1158D0D9" w14:textId="77777777">
            <w:pPr>
              <w:pStyle w:val="BodyText"/>
              <w:numPr>
                <w:ilvl w:val="2"/>
                <w:numId w:val="15"/>
              </w:numPr>
              <w:spacing w:after="0"/>
            </w:pPr>
            <w:r w:rsidRPr="000D171E">
              <w:t>the identification of that aspect of the On Time In Full definition which was not met</w:t>
            </w:r>
            <w:r>
              <w:t>;</w:t>
            </w:r>
          </w:p>
          <w:p w:rsidRPr="000D171E" w:rsidR="008636AB" w:rsidP="000341B8" w:rsidRDefault="008636AB" w14:paraId="1750D38D" w14:textId="77777777">
            <w:pPr>
              <w:pStyle w:val="BodyText"/>
              <w:numPr>
                <w:ilvl w:val="2"/>
                <w:numId w:val="15"/>
              </w:numPr>
              <w:spacing w:after="0"/>
            </w:pPr>
            <w:r w:rsidRPr="000D171E">
              <w:t>the cause for the Task not being completed (for example, through an act or omission by the Contractor or the Authority)</w:t>
            </w:r>
            <w:r>
              <w:t>;</w:t>
            </w:r>
          </w:p>
          <w:p w:rsidRPr="000D171E" w:rsidR="008636AB" w:rsidP="000341B8" w:rsidRDefault="008636AB" w14:paraId="12D07CFA" w14:textId="77777777">
            <w:pPr>
              <w:pStyle w:val="BodyText"/>
              <w:numPr>
                <w:ilvl w:val="2"/>
                <w:numId w:val="15"/>
              </w:numPr>
              <w:spacing w:after="0"/>
            </w:pPr>
            <w:r w:rsidRPr="000D171E">
              <w:t>whether the Non-Performance is a Significant or Minor Non-Performance</w:t>
            </w:r>
            <w:r>
              <w:t>; and</w:t>
            </w:r>
          </w:p>
          <w:p w:rsidRPr="000D171E" w:rsidR="008636AB" w:rsidP="000341B8" w:rsidRDefault="008636AB" w14:paraId="63573180" w14:textId="430D173E">
            <w:pPr>
              <w:pStyle w:val="BodyText"/>
              <w:numPr>
                <w:ilvl w:val="2"/>
                <w:numId w:val="15"/>
              </w:numPr>
              <w:spacing w:after="0"/>
            </w:pPr>
            <w:r w:rsidRPr="000D171E">
              <w:t>evidence to support that a particular Non-Performance</w:t>
            </w:r>
            <w:r w:rsidR="006948AA">
              <w:t xml:space="preserve"> should be classified Minor Non-</w:t>
            </w:r>
            <w:r w:rsidRPr="000D171E">
              <w:t>Performances (e.g. agreement from the End User that training outcomes were still achieved)</w:t>
            </w:r>
            <w:r>
              <w:t>;</w:t>
            </w:r>
          </w:p>
          <w:p w:rsidRPr="000D171E" w:rsidR="008636AB" w:rsidP="000341B8" w:rsidRDefault="008636AB" w14:paraId="2312DB8F" w14:textId="62052613">
            <w:pPr>
              <w:pStyle w:val="BodyText"/>
              <w:numPr>
                <w:ilvl w:val="1"/>
                <w:numId w:val="15"/>
              </w:numPr>
              <w:spacing w:after="0"/>
            </w:pPr>
            <w:r w:rsidRPr="000D171E">
              <w:t>confirmation from the Authority Representative that the Monthly Performance and Activity Report is a fair reflection of the status of performance against the Service</w:t>
            </w:r>
            <w:r w:rsidR="0020593F">
              <w:t>s</w:t>
            </w:r>
            <w:r w:rsidRPr="000D171E">
              <w:t xml:space="preserve"> Availability KPI</w:t>
            </w:r>
            <w:r>
              <w:t>;</w:t>
            </w:r>
          </w:p>
          <w:p w:rsidRPr="000D171E" w:rsidR="008636AB" w:rsidP="000341B8" w:rsidRDefault="008636AB" w14:paraId="257DD18C" w14:textId="4547508A">
            <w:pPr>
              <w:pStyle w:val="BodyText"/>
              <w:numPr>
                <w:ilvl w:val="1"/>
                <w:numId w:val="15"/>
              </w:numPr>
              <w:spacing w:after="0"/>
            </w:pPr>
            <w:r w:rsidRPr="000D171E">
              <w:t>the impact of any Non-Performances on the application of the Services Availability KPI (e.g. the calculation of NPPs)</w:t>
            </w:r>
            <w:r>
              <w:t>;</w:t>
            </w:r>
          </w:p>
          <w:p w:rsidRPr="000D171E" w:rsidR="008636AB" w:rsidP="000341B8" w:rsidRDefault="008636AB" w14:paraId="66DC9E1B" w14:textId="77777777">
            <w:pPr>
              <w:pStyle w:val="BodyText"/>
              <w:numPr>
                <w:ilvl w:val="1"/>
                <w:numId w:val="15"/>
              </w:numPr>
              <w:spacing w:after="0"/>
            </w:pPr>
            <w:r w:rsidRPr="000D171E">
              <w:t>any multipliers applied to Non-Performance Points as a result of persistent non-performance</w:t>
            </w:r>
            <w:r>
              <w:t>; and</w:t>
            </w:r>
          </w:p>
          <w:p w:rsidRPr="000D171E" w:rsidR="008636AB" w:rsidP="000341B8" w:rsidRDefault="008636AB" w14:paraId="38AA5F21" w14:textId="77777777">
            <w:pPr>
              <w:pStyle w:val="BodyText"/>
              <w:numPr>
                <w:ilvl w:val="1"/>
                <w:numId w:val="15"/>
              </w:numPr>
              <w:spacing w:after="0"/>
            </w:pPr>
            <w:r w:rsidRPr="000D171E">
              <w:t xml:space="preserve">where relevant, the requirement for / status of any Rectification Plans as a result of persistent non-performance and the cause of </w:t>
            </w:r>
            <w:r>
              <w:t>that persistent non-performance.</w:t>
            </w:r>
          </w:p>
          <w:p w:rsidRPr="000D171E" w:rsidR="008636AB" w:rsidP="008636AB" w:rsidRDefault="008636AB" w14:paraId="7B104F59" w14:textId="77777777">
            <w:pPr>
              <w:pStyle w:val="BodyText"/>
              <w:spacing w:after="0"/>
            </w:pPr>
          </w:p>
          <w:p w:rsidRPr="000D171E" w:rsidR="008636AB" w:rsidP="000341B8" w:rsidRDefault="008636AB" w14:paraId="3BC10BC8" w14:textId="77777777">
            <w:pPr>
              <w:pStyle w:val="BodyText"/>
              <w:numPr>
                <w:ilvl w:val="0"/>
                <w:numId w:val="15"/>
              </w:numPr>
              <w:spacing w:after="0"/>
            </w:pPr>
            <w:r w:rsidRPr="000D171E">
              <w:t>The Monthly Performance and Activity Report shall, in relation to the Management Information KPI, as a minimum:</w:t>
            </w:r>
          </w:p>
          <w:p w:rsidRPr="000D171E" w:rsidR="008636AB" w:rsidP="000341B8" w:rsidRDefault="008636AB" w14:paraId="77EDDAA2" w14:textId="77777777">
            <w:pPr>
              <w:pStyle w:val="BodyText"/>
              <w:numPr>
                <w:ilvl w:val="1"/>
                <w:numId w:val="15"/>
              </w:numPr>
              <w:spacing w:after="0"/>
            </w:pPr>
            <w:r w:rsidRPr="000D171E">
              <w:t>identify the Management Information reports required in that Contract Month</w:t>
            </w:r>
            <w:r>
              <w:t>;</w:t>
            </w:r>
          </w:p>
          <w:p w:rsidRPr="000D171E" w:rsidR="008636AB" w:rsidP="000341B8" w:rsidRDefault="008636AB" w14:paraId="7AE97707" w14:textId="77777777">
            <w:pPr>
              <w:pStyle w:val="BodyText"/>
              <w:numPr>
                <w:ilvl w:val="1"/>
                <w:numId w:val="15"/>
              </w:numPr>
              <w:spacing w:after="0"/>
            </w:pPr>
            <w:r w:rsidRPr="000D171E">
              <w:t>summarise any status of those Management Information reports, e.g.:</w:t>
            </w:r>
          </w:p>
          <w:p w:rsidRPr="000D171E" w:rsidR="008636AB" w:rsidP="000341B8" w:rsidRDefault="008636AB" w14:paraId="6988433F" w14:textId="77777777">
            <w:pPr>
              <w:pStyle w:val="BodyText"/>
              <w:numPr>
                <w:ilvl w:val="2"/>
                <w:numId w:val="15"/>
              </w:numPr>
              <w:spacing w:after="0"/>
            </w:pPr>
            <w:r w:rsidRPr="000D171E">
              <w:t>date submitted</w:t>
            </w:r>
            <w:r>
              <w:t>; and</w:t>
            </w:r>
          </w:p>
          <w:p w:rsidRPr="000D171E" w:rsidR="008636AB" w:rsidP="000341B8" w:rsidRDefault="008636AB" w14:paraId="2B88C3E5" w14:textId="77777777">
            <w:pPr>
              <w:pStyle w:val="BodyText"/>
              <w:numPr>
                <w:ilvl w:val="2"/>
                <w:numId w:val="15"/>
              </w:numPr>
              <w:spacing w:after="0"/>
            </w:pPr>
            <w:r w:rsidRPr="000D171E">
              <w:t>acceptance by the Authority’s representative</w:t>
            </w:r>
            <w:r>
              <w:t>;</w:t>
            </w:r>
          </w:p>
          <w:p w:rsidRPr="000D171E" w:rsidR="008636AB" w:rsidP="000341B8" w:rsidRDefault="008636AB" w14:paraId="38CFF345" w14:textId="77777777">
            <w:pPr>
              <w:pStyle w:val="BodyText"/>
              <w:numPr>
                <w:ilvl w:val="1"/>
                <w:numId w:val="15"/>
              </w:numPr>
              <w:spacing w:after="0"/>
            </w:pPr>
            <w:r w:rsidRPr="000D171E">
              <w:t>any failures against any of the Management Information KPI performance measures</w:t>
            </w:r>
            <w:r>
              <w:t>;</w:t>
            </w:r>
          </w:p>
          <w:p w:rsidRPr="000D171E" w:rsidR="008636AB" w:rsidP="000341B8" w:rsidRDefault="008636AB" w14:paraId="1CB4780F" w14:textId="77777777">
            <w:pPr>
              <w:pStyle w:val="BodyText"/>
              <w:numPr>
                <w:ilvl w:val="1"/>
                <w:numId w:val="15"/>
              </w:numPr>
              <w:spacing w:after="0"/>
            </w:pPr>
            <w:r w:rsidRPr="000D171E">
              <w:t>the cause of any failures against the Management Information KPI (for example, through an act or omission by the Contractor or the Authority)</w:t>
            </w:r>
          </w:p>
          <w:p w:rsidRPr="000D171E" w:rsidR="008636AB" w:rsidP="000341B8" w:rsidRDefault="008636AB" w14:paraId="526E90B2" w14:textId="77777777">
            <w:pPr>
              <w:pStyle w:val="BodyText"/>
              <w:numPr>
                <w:ilvl w:val="1"/>
                <w:numId w:val="15"/>
              </w:numPr>
              <w:spacing w:after="0"/>
            </w:pPr>
            <w:r w:rsidRPr="000D171E">
              <w:t>any mitigations put forward by the Contractor</w:t>
            </w:r>
            <w:r>
              <w:t>;</w:t>
            </w:r>
          </w:p>
          <w:p w:rsidRPr="000D171E" w:rsidR="008636AB" w:rsidP="000341B8" w:rsidRDefault="008636AB" w14:paraId="76B1CDCF" w14:textId="77777777">
            <w:pPr>
              <w:pStyle w:val="BodyText"/>
              <w:numPr>
                <w:ilvl w:val="1"/>
                <w:numId w:val="15"/>
              </w:numPr>
              <w:spacing w:after="0"/>
            </w:pPr>
            <w:r w:rsidRPr="000D171E">
              <w:t>confirmation from the Authority Representative that the Monthly Performance and Activity Report is a fair reflection of the status of performance against the Management Information KPI</w:t>
            </w:r>
            <w:r>
              <w:t>;</w:t>
            </w:r>
          </w:p>
          <w:p w:rsidRPr="000D171E" w:rsidR="008636AB" w:rsidP="000341B8" w:rsidRDefault="008636AB" w14:paraId="1E31738A" w14:textId="77777777">
            <w:pPr>
              <w:pStyle w:val="BodyText"/>
              <w:numPr>
                <w:ilvl w:val="1"/>
                <w:numId w:val="15"/>
              </w:numPr>
              <w:spacing w:after="0"/>
            </w:pPr>
            <w:r w:rsidRPr="000D171E">
              <w:t>the impact of any failures on the application of the Management Information KPI (e.g. the calculation of NPPs)</w:t>
            </w:r>
            <w:r>
              <w:t>;</w:t>
            </w:r>
          </w:p>
          <w:p w:rsidRPr="000D171E" w:rsidR="008636AB" w:rsidP="000341B8" w:rsidRDefault="008636AB" w14:paraId="6A2A39FD" w14:textId="77777777">
            <w:pPr>
              <w:pStyle w:val="BodyText"/>
              <w:numPr>
                <w:ilvl w:val="1"/>
                <w:numId w:val="15"/>
              </w:numPr>
              <w:spacing w:after="0"/>
            </w:pPr>
            <w:r w:rsidRPr="000D171E">
              <w:t xml:space="preserve">any multipliers applied to Non-Performance Points as a result of persistent </w:t>
            </w:r>
            <w:r>
              <w:t>non-performance; and</w:t>
            </w:r>
          </w:p>
          <w:p w:rsidRPr="000D171E" w:rsidR="008636AB" w:rsidP="000341B8" w:rsidRDefault="008636AB" w14:paraId="70FF9C56" w14:textId="77777777">
            <w:pPr>
              <w:pStyle w:val="BodyText"/>
              <w:numPr>
                <w:ilvl w:val="1"/>
                <w:numId w:val="15"/>
              </w:numPr>
              <w:spacing w:after="0"/>
            </w:pPr>
            <w:r w:rsidRPr="000D171E">
              <w:t xml:space="preserve">where relevant, the requirement for / status of any Rectification Plans as a result of persistent non-performance and the cause of </w:t>
            </w:r>
            <w:r>
              <w:t>that persistent non-performance.</w:t>
            </w:r>
          </w:p>
          <w:p w:rsidR="008636AB" w:rsidP="008636AB" w:rsidRDefault="008636AB" w14:paraId="191D91FF" w14:textId="77777777">
            <w:pPr>
              <w:pStyle w:val="BodyText"/>
              <w:spacing w:after="0"/>
            </w:pPr>
          </w:p>
          <w:p w:rsidRPr="000D171E" w:rsidR="008636AB" w:rsidP="000341B8" w:rsidRDefault="008636AB" w14:paraId="1E7695C4" w14:textId="09D1FF50">
            <w:pPr>
              <w:pStyle w:val="BodyText"/>
              <w:numPr>
                <w:ilvl w:val="0"/>
                <w:numId w:val="15"/>
              </w:numPr>
              <w:spacing w:after="0"/>
            </w:pPr>
            <w:r w:rsidRPr="000D171E">
              <w:t xml:space="preserve">The Monthly Performance and Activity Report shall, in relation to the </w:t>
            </w:r>
            <w:r w:rsidRPr="008D6DE5" w:rsidR="004B3D28">
              <w:rPr>
                <w:rFonts w:eastAsia="Times New Roman" w:cs="Arial"/>
                <w:lang w:eastAsia="en-GB"/>
              </w:rPr>
              <w:t xml:space="preserve">One-Off </w:t>
            </w:r>
            <w:r w:rsidRPr="000D171E">
              <w:t>Additional Services, as a minimum:</w:t>
            </w:r>
          </w:p>
          <w:p w:rsidRPr="000D171E" w:rsidR="008636AB" w:rsidP="000341B8" w:rsidRDefault="008636AB" w14:paraId="465C4789" w14:textId="47C402D4">
            <w:pPr>
              <w:pStyle w:val="BodyText"/>
              <w:numPr>
                <w:ilvl w:val="1"/>
                <w:numId w:val="15"/>
              </w:numPr>
              <w:spacing w:after="0"/>
            </w:pPr>
            <w:r w:rsidRPr="000D171E">
              <w:t xml:space="preserve">list all </w:t>
            </w:r>
            <w:r w:rsidRPr="008D6DE5" w:rsidR="004B3D28">
              <w:rPr>
                <w:rFonts w:eastAsia="Times New Roman" w:cs="Arial"/>
                <w:lang w:eastAsia="en-GB"/>
              </w:rPr>
              <w:t xml:space="preserve">One-Off </w:t>
            </w:r>
            <w:r w:rsidRPr="000D171E">
              <w:t>Additional Services requested by the Authority for that Contract Month in accordance with th</w:t>
            </w:r>
            <w:r w:rsidRPr="006F3B88">
              <w:t xml:space="preserve">e </w:t>
            </w:r>
            <w:r w:rsidR="004B3D28">
              <w:t>Change Control Procedure</w:t>
            </w:r>
            <w:r w:rsidRPr="006F3B88">
              <w:t>;</w:t>
            </w:r>
            <w:r w:rsidR="004B3D28">
              <w:t xml:space="preserve"> and</w:t>
            </w:r>
          </w:p>
          <w:p w:rsidRPr="000D171E" w:rsidR="008636AB" w:rsidP="000341B8" w:rsidRDefault="008636AB" w14:paraId="5D31299C" w14:textId="390269E6">
            <w:pPr>
              <w:pStyle w:val="BodyText"/>
              <w:numPr>
                <w:ilvl w:val="1"/>
                <w:numId w:val="15"/>
              </w:numPr>
              <w:spacing w:after="0"/>
            </w:pPr>
            <w:r w:rsidRPr="000D171E">
              <w:t xml:space="preserve">identify those </w:t>
            </w:r>
            <w:r w:rsidRPr="008D6DE5" w:rsidR="004B3D28">
              <w:rPr>
                <w:rFonts w:eastAsia="Times New Roman" w:cs="Arial"/>
                <w:lang w:eastAsia="en-GB"/>
              </w:rPr>
              <w:t xml:space="preserve">One-Off </w:t>
            </w:r>
            <w:r w:rsidRPr="000D171E">
              <w:t xml:space="preserve">Additional Services requested where the Contractor did not respond in accordance with the </w:t>
            </w:r>
            <w:r w:rsidR="004B3D28">
              <w:t>Change Control Procedure.</w:t>
            </w:r>
          </w:p>
          <w:p w:rsidRPr="000D171E" w:rsidR="008636AB" w:rsidP="008636AB" w:rsidRDefault="008636AB" w14:paraId="7BE05E8C" w14:textId="77777777">
            <w:pPr>
              <w:pStyle w:val="BodyText"/>
              <w:spacing w:after="0"/>
            </w:pPr>
          </w:p>
          <w:p w:rsidR="00A428A0" w:rsidP="000341B8" w:rsidRDefault="00A428A0" w14:paraId="584B685E" w14:textId="63EC68AA">
            <w:pPr>
              <w:pStyle w:val="BodyText"/>
              <w:numPr>
                <w:ilvl w:val="0"/>
                <w:numId w:val="15"/>
              </w:numPr>
              <w:spacing w:after="0"/>
            </w:pPr>
            <w:r>
              <w:t>T</w:t>
            </w:r>
            <w:r w:rsidRPr="000C0C26">
              <w:t>he</w:t>
            </w:r>
            <w:r w:rsidR="00B709B4">
              <w:t xml:space="preserve"> Contractor shall include the</w:t>
            </w:r>
            <w:r w:rsidRPr="000C0C26">
              <w:t xml:space="preserve"> estimated Total Monthly Payment </w:t>
            </w:r>
            <w:r>
              <w:t>calculated and presented in accordance with Schedule 4 (</w:t>
            </w:r>
            <w:r w:rsidR="001F54CC">
              <w:t>Payment, Performance and Incentivisation Mechanism</w:t>
            </w:r>
            <w:r>
              <w:t>).</w:t>
            </w:r>
          </w:p>
          <w:p w:rsidR="00A428A0" w:rsidP="00445465" w:rsidRDefault="00A428A0" w14:paraId="39354B36" w14:textId="77777777">
            <w:pPr>
              <w:pStyle w:val="BodyText"/>
              <w:spacing w:after="0"/>
            </w:pPr>
          </w:p>
          <w:p w:rsidR="00C85DA9" w:rsidP="000341B8" w:rsidRDefault="007A4A8D" w14:paraId="0E4B32D1" w14:textId="107A26F5">
            <w:pPr>
              <w:pStyle w:val="BodyText"/>
              <w:numPr>
                <w:ilvl w:val="0"/>
                <w:numId w:val="15"/>
              </w:numPr>
              <w:spacing w:after="0"/>
            </w:pPr>
            <w:r w:rsidRPr="00C85DA9">
              <w:t>The Monthly Performance and Activity Report shall be provided to the Authority no more than five (5) Business Days after the end of the Contract Month to which it relates</w:t>
            </w:r>
            <w:r w:rsidRPr="00C85DA9" w:rsidR="00C85DA9">
              <w:t>.</w:t>
            </w:r>
          </w:p>
          <w:p w:rsidRPr="00E67A3C" w:rsidR="00D550A8" w:rsidP="00445465" w:rsidRDefault="00D550A8" w14:paraId="1EBF0E64" w14:textId="7FA8EAF8">
            <w:pPr>
              <w:pStyle w:val="BodyText"/>
              <w:spacing w:after="0"/>
            </w:pPr>
            <w:r w:rsidRPr="00882F45">
              <w:t xml:space="preserve"> </w:t>
            </w:r>
          </w:p>
        </w:tc>
        <w:tc>
          <w:tcPr>
            <w:tcW w:w="1275" w:type="dxa"/>
          </w:tcPr>
          <w:p w:rsidR="00D550A8" w:rsidP="00A848FD" w:rsidRDefault="00D550A8" w14:paraId="5F025B31" w14:textId="77777777">
            <w:pPr>
              <w:pStyle w:val="BodyText"/>
              <w:spacing w:after="0"/>
              <w:rPr>
                <w:i/>
              </w:rPr>
            </w:pPr>
            <w:r w:rsidRPr="0024050C">
              <w:rPr>
                <w:i/>
              </w:rPr>
              <w:t>MPRB</w:t>
            </w:r>
          </w:p>
          <w:p w:rsidR="00CF728E" w:rsidP="00A848FD" w:rsidRDefault="00CF728E" w14:paraId="2F68AA88" w14:textId="77777777">
            <w:pPr>
              <w:pStyle w:val="BodyText"/>
              <w:spacing w:after="0"/>
              <w:rPr>
                <w:i/>
              </w:rPr>
            </w:pPr>
          </w:p>
          <w:p w:rsidR="00CF728E" w:rsidP="00A848FD" w:rsidRDefault="00CF728E" w14:paraId="30A003AD" w14:textId="77777777">
            <w:pPr>
              <w:pStyle w:val="BodyText"/>
              <w:spacing w:after="0"/>
              <w:rPr>
                <w:i/>
              </w:rPr>
            </w:pPr>
          </w:p>
          <w:p w:rsidR="00CF728E" w:rsidP="00A848FD" w:rsidRDefault="00CF728E" w14:paraId="39E7B8D3" w14:textId="77777777">
            <w:pPr>
              <w:pStyle w:val="BodyText"/>
              <w:spacing w:after="0"/>
              <w:rPr>
                <w:i/>
              </w:rPr>
            </w:pPr>
          </w:p>
          <w:p w:rsidR="00CF728E" w:rsidP="00A848FD" w:rsidRDefault="00CF728E" w14:paraId="5403C080" w14:textId="77777777">
            <w:pPr>
              <w:pStyle w:val="BodyText"/>
              <w:spacing w:after="0"/>
              <w:rPr>
                <w:i/>
              </w:rPr>
            </w:pPr>
          </w:p>
          <w:p w:rsidR="00CF728E" w:rsidP="00A848FD" w:rsidRDefault="00CF728E" w14:paraId="7CE4D6A8" w14:textId="77777777">
            <w:pPr>
              <w:pStyle w:val="BodyText"/>
              <w:spacing w:after="0"/>
              <w:rPr>
                <w:i/>
              </w:rPr>
            </w:pPr>
          </w:p>
          <w:p w:rsidR="00CF728E" w:rsidP="00A848FD" w:rsidRDefault="00CF728E" w14:paraId="3F00F2E4" w14:textId="77777777">
            <w:pPr>
              <w:pStyle w:val="BodyText"/>
              <w:spacing w:after="0"/>
              <w:rPr>
                <w:i/>
              </w:rPr>
            </w:pPr>
          </w:p>
          <w:p w:rsidR="00CF728E" w:rsidP="00A848FD" w:rsidRDefault="00CF728E" w14:paraId="4DE6A06C" w14:textId="77777777">
            <w:pPr>
              <w:pStyle w:val="BodyText"/>
              <w:spacing w:after="0"/>
              <w:rPr>
                <w:i/>
              </w:rPr>
            </w:pPr>
          </w:p>
          <w:p w:rsidR="00CF728E" w:rsidP="00A848FD" w:rsidRDefault="00CF728E" w14:paraId="56022F07" w14:textId="77777777">
            <w:pPr>
              <w:pStyle w:val="BodyText"/>
              <w:spacing w:after="0"/>
              <w:rPr>
                <w:i/>
              </w:rPr>
            </w:pPr>
          </w:p>
          <w:p w:rsidR="00CF728E" w:rsidP="00A848FD" w:rsidRDefault="00CF728E" w14:paraId="7B931B07" w14:textId="77777777">
            <w:pPr>
              <w:pStyle w:val="BodyText"/>
              <w:spacing w:after="0"/>
              <w:rPr>
                <w:i/>
              </w:rPr>
            </w:pPr>
          </w:p>
          <w:p w:rsidR="00CF728E" w:rsidP="00A848FD" w:rsidRDefault="00CF728E" w14:paraId="2EC87DC3" w14:textId="77777777">
            <w:pPr>
              <w:pStyle w:val="BodyText"/>
              <w:spacing w:after="0"/>
              <w:rPr>
                <w:i/>
              </w:rPr>
            </w:pPr>
          </w:p>
          <w:p w:rsidR="00CF728E" w:rsidP="00A848FD" w:rsidRDefault="00CF728E" w14:paraId="6AD97B3B" w14:textId="77777777">
            <w:pPr>
              <w:pStyle w:val="BodyText"/>
              <w:spacing w:after="0"/>
              <w:rPr>
                <w:i/>
              </w:rPr>
            </w:pPr>
          </w:p>
          <w:p w:rsidR="00CF728E" w:rsidP="00A848FD" w:rsidRDefault="00CF728E" w14:paraId="26C97CD2" w14:textId="77777777">
            <w:pPr>
              <w:pStyle w:val="BodyText"/>
              <w:spacing w:after="0"/>
              <w:rPr>
                <w:i/>
              </w:rPr>
            </w:pPr>
          </w:p>
          <w:p w:rsidR="00CF728E" w:rsidP="00A848FD" w:rsidRDefault="00CF728E" w14:paraId="5340A48E" w14:textId="77777777">
            <w:pPr>
              <w:pStyle w:val="BodyText"/>
              <w:spacing w:after="0"/>
              <w:rPr>
                <w:i/>
              </w:rPr>
            </w:pPr>
          </w:p>
          <w:p w:rsidR="00CF728E" w:rsidP="00A848FD" w:rsidRDefault="00CF728E" w14:paraId="33C579F6" w14:textId="77777777">
            <w:pPr>
              <w:pStyle w:val="BodyText"/>
              <w:spacing w:after="0"/>
              <w:rPr>
                <w:i/>
              </w:rPr>
            </w:pPr>
          </w:p>
          <w:p w:rsidR="00CF728E" w:rsidP="00A848FD" w:rsidRDefault="00CF728E" w14:paraId="538FC569" w14:textId="77777777">
            <w:pPr>
              <w:pStyle w:val="BodyText"/>
              <w:spacing w:after="0"/>
              <w:rPr>
                <w:i/>
              </w:rPr>
            </w:pPr>
          </w:p>
          <w:p w:rsidR="00CF728E" w:rsidP="00A848FD" w:rsidRDefault="00CF728E" w14:paraId="314FF8DD" w14:textId="77777777">
            <w:pPr>
              <w:pStyle w:val="BodyText"/>
              <w:spacing w:after="0"/>
              <w:rPr>
                <w:i/>
              </w:rPr>
            </w:pPr>
          </w:p>
          <w:p w:rsidR="00CF728E" w:rsidP="00A848FD" w:rsidRDefault="00CF728E" w14:paraId="0D64AF53" w14:textId="77777777">
            <w:pPr>
              <w:pStyle w:val="BodyText"/>
              <w:spacing w:after="0"/>
              <w:rPr>
                <w:i/>
              </w:rPr>
            </w:pPr>
          </w:p>
          <w:p w:rsidRPr="0024050C" w:rsidR="00CF728E" w:rsidP="00A848FD" w:rsidRDefault="00CF728E" w14:paraId="6588455E" w14:textId="6FD86420">
            <w:pPr>
              <w:pStyle w:val="BodyText"/>
              <w:spacing w:after="0"/>
              <w:rPr>
                <w:i/>
              </w:rPr>
            </w:pPr>
          </w:p>
        </w:tc>
      </w:tr>
      <w:tr w:rsidR="00D550A8" w:rsidTr="00D550A8" w14:paraId="182FAF83" w14:textId="77777777">
        <w:trPr>
          <w:trHeight w:val="980"/>
        </w:trPr>
        <w:tc>
          <w:tcPr>
            <w:tcW w:w="2393" w:type="dxa"/>
            <w:vMerge/>
          </w:tcPr>
          <w:p w:rsidRPr="00132E6B" w:rsidR="00D550A8" w:rsidP="00A848FD" w:rsidRDefault="00D550A8" w14:paraId="45F0E734" w14:textId="77777777">
            <w:pPr>
              <w:pStyle w:val="BodyText"/>
              <w:spacing w:after="0"/>
            </w:pPr>
          </w:p>
        </w:tc>
        <w:tc>
          <w:tcPr>
            <w:tcW w:w="1711" w:type="dxa"/>
            <w:vMerge/>
          </w:tcPr>
          <w:p w:rsidRPr="0024050C" w:rsidR="00D550A8" w:rsidP="00A848FD" w:rsidRDefault="00D550A8" w14:paraId="45E2A23D" w14:textId="77777777">
            <w:pPr>
              <w:pStyle w:val="BodyText"/>
              <w:spacing w:after="0"/>
              <w:rPr>
                <w:i/>
              </w:rPr>
            </w:pPr>
          </w:p>
        </w:tc>
        <w:tc>
          <w:tcPr>
            <w:tcW w:w="9358" w:type="dxa"/>
            <w:vMerge/>
          </w:tcPr>
          <w:p w:rsidRPr="00E67A3C" w:rsidR="00D550A8" w:rsidP="00A848FD" w:rsidRDefault="00D550A8" w14:paraId="2276CAAA" w14:textId="77777777">
            <w:pPr>
              <w:pStyle w:val="BodyText"/>
              <w:spacing w:after="0"/>
            </w:pPr>
          </w:p>
        </w:tc>
        <w:tc>
          <w:tcPr>
            <w:tcW w:w="1275" w:type="dxa"/>
          </w:tcPr>
          <w:p w:rsidRPr="0024050C" w:rsidR="00D550A8" w:rsidP="00A848FD" w:rsidRDefault="00D550A8" w14:paraId="1DA68457" w14:textId="77777777">
            <w:pPr>
              <w:pStyle w:val="BodyText"/>
              <w:spacing w:after="0"/>
              <w:rPr>
                <w:i/>
              </w:rPr>
            </w:pPr>
          </w:p>
        </w:tc>
      </w:tr>
      <w:tr w:rsidR="00D550A8" w:rsidTr="00D550A8" w14:paraId="7D2100F3" w14:textId="77777777">
        <w:trPr>
          <w:trHeight w:val="980"/>
        </w:trPr>
        <w:tc>
          <w:tcPr>
            <w:tcW w:w="2393" w:type="dxa"/>
          </w:tcPr>
          <w:p w:rsidRPr="00132E6B" w:rsidR="00D550A8" w:rsidP="00F16724" w:rsidRDefault="00D550A8" w14:paraId="786CE703" w14:textId="40E819CF">
            <w:pPr>
              <w:pStyle w:val="BodyText"/>
              <w:spacing w:after="0"/>
            </w:pPr>
            <w:r>
              <w:t>Local</w:t>
            </w:r>
            <w:r w:rsidRPr="00132E6B">
              <w:t xml:space="preserve"> </w:t>
            </w:r>
            <w:r>
              <w:t xml:space="preserve">Monthly </w:t>
            </w:r>
            <w:r w:rsidRPr="00132E6B">
              <w:t>Performance and Activity Report</w:t>
            </w:r>
          </w:p>
          <w:p w:rsidRPr="00132E6B" w:rsidR="00D550A8" w:rsidP="00F16724" w:rsidRDefault="00D550A8" w14:paraId="04E767AA" w14:textId="3D651ABC">
            <w:pPr>
              <w:pStyle w:val="BodyText"/>
              <w:spacing w:after="0"/>
            </w:pPr>
            <w:r>
              <w:t>(LM</w:t>
            </w:r>
            <w:r w:rsidRPr="00132E6B">
              <w:t>PAR)</w:t>
            </w:r>
          </w:p>
          <w:p w:rsidR="00D550A8" w:rsidP="00A47348" w:rsidRDefault="00A47348" w14:paraId="57B061EF" w14:textId="77777777">
            <w:pPr>
              <w:pStyle w:val="BodyText"/>
              <w:spacing w:after="0"/>
            </w:pPr>
            <w:r w:rsidRPr="000714AE">
              <w:t>(RR0</w:t>
            </w:r>
            <w:r>
              <w:t xml:space="preserve">1L4 for SDA 4, </w:t>
            </w:r>
            <w:r w:rsidRPr="000714AE">
              <w:t>RR0</w:t>
            </w:r>
            <w:r>
              <w:t xml:space="preserve">1L5 for SDA 5 and </w:t>
            </w:r>
            <w:r w:rsidRPr="000714AE">
              <w:t>RR0</w:t>
            </w:r>
            <w:r>
              <w:t>1L7 for SDA 7</w:t>
            </w:r>
          </w:p>
          <w:p w:rsidRPr="008E3BBC" w:rsidR="00A47348" w:rsidP="00A47348" w:rsidRDefault="00A47348" w14:paraId="3C8084C1" w14:textId="7EDF4D96">
            <w:pPr>
              <w:pStyle w:val="BodyText"/>
              <w:spacing w:after="0"/>
              <w:rPr>
                <w:b/>
                <w:i/>
              </w:rPr>
            </w:pPr>
          </w:p>
        </w:tc>
        <w:tc>
          <w:tcPr>
            <w:tcW w:w="1711" w:type="dxa"/>
          </w:tcPr>
          <w:p w:rsidRPr="0024050C" w:rsidR="00D550A8" w:rsidP="00F16724" w:rsidRDefault="00D550A8" w14:paraId="2971A918" w14:textId="77777777">
            <w:pPr>
              <w:pStyle w:val="BodyText"/>
              <w:spacing w:after="0"/>
              <w:rPr>
                <w:i/>
              </w:rPr>
            </w:pPr>
            <w:r w:rsidRPr="0024050C">
              <w:rPr>
                <w:i/>
              </w:rPr>
              <w:t>Monthly</w:t>
            </w:r>
            <w:r>
              <w:rPr>
                <w:i/>
              </w:rPr>
              <w:t xml:space="preserve"> (note that item 3 only is an annual requirement)</w:t>
            </w:r>
          </w:p>
        </w:tc>
        <w:tc>
          <w:tcPr>
            <w:tcW w:w="9358" w:type="dxa"/>
          </w:tcPr>
          <w:p w:rsidRPr="00E67A3C" w:rsidR="00D550A8" w:rsidP="001D7A6E" w:rsidRDefault="00D550A8" w14:paraId="0870D46A" w14:textId="77777777">
            <w:pPr>
              <w:pStyle w:val="BodyText"/>
              <w:spacing w:after="0"/>
            </w:pPr>
            <w:r>
              <w:t>As per the MPAR, for the applicable SDA.</w:t>
            </w:r>
          </w:p>
        </w:tc>
        <w:tc>
          <w:tcPr>
            <w:tcW w:w="1275" w:type="dxa"/>
          </w:tcPr>
          <w:p w:rsidR="00D550A8" w:rsidP="00F16724" w:rsidRDefault="00D550A8" w14:paraId="4CB5FFBE" w14:textId="77777777">
            <w:pPr>
              <w:pStyle w:val="BodyText"/>
              <w:spacing w:after="0"/>
              <w:rPr>
                <w:i/>
              </w:rPr>
            </w:pPr>
            <w:r>
              <w:rPr>
                <w:i/>
              </w:rPr>
              <w:t>LPWG</w:t>
            </w:r>
          </w:p>
        </w:tc>
      </w:tr>
      <w:tr w:rsidR="00D550A8" w:rsidTr="00D550A8" w14:paraId="2F74FD2F" w14:textId="77777777">
        <w:trPr>
          <w:trHeight w:val="980"/>
        </w:trPr>
        <w:tc>
          <w:tcPr>
            <w:tcW w:w="2393" w:type="dxa"/>
          </w:tcPr>
          <w:p w:rsidR="00D550A8" w:rsidP="003718AE" w:rsidRDefault="00D550A8" w14:paraId="36460A08" w14:textId="77777777">
            <w:pPr>
              <w:pStyle w:val="BodyText"/>
              <w:spacing w:after="0"/>
            </w:pPr>
            <w:r w:rsidRPr="00132E6B">
              <w:t>Health Safety and Environmental Protection</w:t>
            </w:r>
            <w:r>
              <w:t xml:space="preserve"> Report</w:t>
            </w:r>
          </w:p>
          <w:p w:rsidR="00D550A8" w:rsidP="003718AE" w:rsidRDefault="00D550A8" w14:paraId="37FBAB99" w14:textId="77777777">
            <w:pPr>
              <w:pStyle w:val="BodyText"/>
              <w:spacing w:after="0"/>
            </w:pPr>
            <w:r>
              <w:t>(HSEP)</w:t>
            </w:r>
          </w:p>
          <w:p w:rsidR="00D550A8" w:rsidP="003718AE" w:rsidRDefault="00D550A8" w14:paraId="129F8A38" w14:textId="4CF2EC7D">
            <w:pPr>
              <w:pStyle w:val="BodyText"/>
              <w:spacing w:after="0"/>
            </w:pPr>
            <w:r w:rsidRPr="00132E6B">
              <w:t>RR02</w:t>
            </w:r>
          </w:p>
        </w:tc>
        <w:tc>
          <w:tcPr>
            <w:tcW w:w="1711" w:type="dxa"/>
          </w:tcPr>
          <w:p w:rsidRPr="0024050C" w:rsidR="00D550A8" w:rsidP="003718AE" w:rsidRDefault="00D550A8" w14:paraId="0D863494" w14:textId="1E67646F">
            <w:pPr>
              <w:pStyle w:val="BodyText"/>
              <w:spacing w:after="0"/>
              <w:rPr>
                <w:i/>
              </w:rPr>
            </w:pPr>
            <w:r w:rsidRPr="0024050C">
              <w:rPr>
                <w:i/>
              </w:rPr>
              <w:t>Monthly</w:t>
            </w:r>
          </w:p>
        </w:tc>
        <w:tc>
          <w:tcPr>
            <w:tcW w:w="9358" w:type="dxa"/>
          </w:tcPr>
          <w:p w:rsidR="00D550A8" w:rsidP="00AC0199" w:rsidRDefault="00D550A8" w14:paraId="146D8AC4" w14:textId="77777777">
            <w:pPr>
              <w:pStyle w:val="BodyText"/>
              <w:numPr>
                <w:ilvl w:val="0"/>
                <w:numId w:val="19"/>
              </w:numPr>
              <w:spacing w:after="0"/>
              <w:ind w:left="263" w:hanging="263"/>
            </w:pPr>
            <w:r w:rsidRPr="002D0B0B">
              <w:t xml:space="preserve">The HSEP </w:t>
            </w:r>
            <w:r>
              <w:t xml:space="preserve">report </w:t>
            </w:r>
            <w:r w:rsidRPr="002D0B0B">
              <w:t>shall summarise safety and environmental compliance, performance, incidents recorded, safety observations, near misses, assurance and audit activities in the previous month</w:t>
            </w:r>
            <w:r>
              <w:t>.</w:t>
            </w:r>
          </w:p>
          <w:p w:rsidR="00D550A8" w:rsidP="003718AE" w:rsidRDefault="00D550A8" w14:paraId="49713BB9" w14:textId="77777777">
            <w:pPr>
              <w:pStyle w:val="BodyText"/>
              <w:spacing w:after="0"/>
              <w:ind w:left="263"/>
            </w:pPr>
          </w:p>
          <w:p w:rsidR="00D550A8" w:rsidP="00AC0199" w:rsidRDefault="00D550A8" w14:paraId="180CFCBB" w14:textId="77777777">
            <w:pPr>
              <w:pStyle w:val="BodyText"/>
              <w:numPr>
                <w:ilvl w:val="0"/>
                <w:numId w:val="19"/>
              </w:numPr>
              <w:spacing w:after="0"/>
              <w:ind w:left="263" w:hanging="263"/>
            </w:pPr>
            <w:r>
              <w:t>The HSEP report shall include the following for the previous month:</w:t>
            </w:r>
          </w:p>
          <w:p w:rsidRPr="00085925" w:rsidR="00D550A8" w:rsidP="00AC0199" w:rsidRDefault="00D550A8" w14:paraId="45484137" w14:textId="23D8DB9A">
            <w:pPr>
              <w:pStyle w:val="BodyText"/>
              <w:numPr>
                <w:ilvl w:val="1"/>
                <w:numId w:val="19"/>
              </w:numPr>
              <w:spacing w:after="0"/>
            </w:pPr>
            <w:r>
              <w:t>a summary of</w:t>
            </w:r>
            <w:r w:rsidRPr="00085925">
              <w:t xml:space="preserve"> the </w:t>
            </w:r>
            <w:r>
              <w:t xml:space="preserve">ALARP and BPEO </w:t>
            </w:r>
            <w:r w:rsidRPr="00085925">
              <w:t xml:space="preserve">status for each of the three SDAs; </w:t>
            </w:r>
          </w:p>
          <w:p w:rsidRPr="00085925" w:rsidR="00D550A8" w:rsidP="00AC0199" w:rsidRDefault="00D550A8" w14:paraId="7FFAA60E" w14:textId="77777777">
            <w:pPr>
              <w:pStyle w:val="BodyText"/>
              <w:numPr>
                <w:ilvl w:val="1"/>
                <w:numId w:val="19"/>
              </w:numPr>
              <w:spacing w:after="0"/>
            </w:pPr>
            <w:r>
              <w:t>m</w:t>
            </w:r>
            <w:r w:rsidRPr="00085925">
              <w:t>inutes and actions from the previous meeting</w:t>
            </w:r>
            <w:r>
              <w:t>, together with a progress update against any actions which were outstanding at the date of the previous report</w:t>
            </w:r>
            <w:r w:rsidRPr="00085925">
              <w:t>;</w:t>
            </w:r>
          </w:p>
          <w:p w:rsidRPr="00085925" w:rsidR="00D550A8" w:rsidP="00AC0199" w:rsidRDefault="00D550A8" w14:paraId="4DC16770" w14:textId="77777777">
            <w:pPr>
              <w:pStyle w:val="BodyText"/>
              <w:numPr>
                <w:ilvl w:val="1"/>
                <w:numId w:val="19"/>
              </w:numPr>
              <w:spacing w:after="0"/>
            </w:pPr>
            <w:r>
              <w:t>a s</w:t>
            </w:r>
            <w:r w:rsidRPr="00085925">
              <w:t>ummary of incidents, accidents, near misses, observations, positive indicators and events;</w:t>
            </w:r>
          </w:p>
          <w:p w:rsidRPr="00085925" w:rsidR="00D550A8" w:rsidP="00AC0199" w:rsidRDefault="00D550A8" w14:paraId="0FAA1360" w14:textId="77777777">
            <w:pPr>
              <w:pStyle w:val="BodyText"/>
              <w:numPr>
                <w:ilvl w:val="1"/>
                <w:numId w:val="19"/>
              </w:numPr>
              <w:spacing w:after="0"/>
            </w:pPr>
            <w:r>
              <w:t>a summary of c</w:t>
            </w:r>
            <w:r w:rsidRPr="00085925">
              <w:t xml:space="preserve">hanges to </w:t>
            </w:r>
            <w:r>
              <w:t>health, safety and environmental protection Law</w:t>
            </w:r>
            <w:r w:rsidRPr="00085925">
              <w:t xml:space="preserve"> and consideration of the implications </w:t>
            </w:r>
            <w:r>
              <w:t xml:space="preserve">of such changes </w:t>
            </w:r>
            <w:r w:rsidRPr="00085925">
              <w:t>for the Contract;</w:t>
            </w:r>
          </w:p>
          <w:p w:rsidRPr="00085925" w:rsidR="00D550A8" w:rsidP="00AC0199" w:rsidRDefault="00D550A8" w14:paraId="0AB5FBA2" w14:textId="0C60E934">
            <w:pPr>
              <w:pStyle w:val="BodyText"/>
              <w:numPr>
                <w:ilvl w:val="1"/>
                <w:numId w:val="19"/>
              </w:numPr>
              <w:spacing w:after="0"/>
            </w:pPr>
            <w:r>
              <w:t>o</w:t>
            </w:r>
            <w:r w:rsidRPr="00085925">
              <w:t xml:space="preserve">verview </w:t>
            </w:r>
            <w:r>
              <w:t xml:space="preserve">of, </w:t>
            </w:r>
            <w:r w:rsidRPr="00085925">
              <w:t>and tracked progress against</w:t>
            </w:r>
            <w:r>
              <w:t>,</w:t>
            </w:r>
            <w:r w:rsidRPr="00085925">
              <w:t xml:space="preserve"> </w:t>
            </w:r>
            <w:r>
              <w:t>first, second and third party a</w:t>
            </w:r>
            <w:r w:rsidRPr="00085925">
              <w:t xml:space="preserve">udit and assurance activities </w:t>
            </w:r>
            <w:r>
              <w:t>against any c</w:t>
            </w:r>
            <w:r w:rsidRPr="00085925">
              <w:t xml:space="preserve">ivilian and </w:t>
            </w:r>
            <w:r>
              <w:t>d</w:t>
            </w:r>
            <w:r w:rsidRPr="00085925">
              <w:t xml:space="preserve">efence </w:t>
            </w:r>
            <w:r>
              <w:t>c</w:t>
            </w:r>
            <w:r w:rsidRPr="00085925">
              <w:t>ertification</w:t>
            </w:r>
            <w:r>
              <w:t xml:space="preserve"> requirements;</w:t>
            </w:r>
          </w:p>
          <w:p w:rsidRPr="00085925" w:rsidR="00D550A8" w:rsidP="00AC0199" w:rsidRDefault="00D550A8" w14:paraId="02831A59" w14:textId="77777777">
            <w:pPr>
              <w:pStyle w:val="BodyText"/>
              <w:numPr>
                <w:ilvl w:val="1"/>
                <w:numId w:val="19"/>
              </w:numPr>
              <w:spacing w:after="0"/>
            </w:pPr>
            <w:r>
              <w:t>a summary of a</w:t>
            </w:r>
            <w:r w:rsidRPr="00085925">
              <w:t>ssurance and interfacing activities on and w</w:t>
            </w:r>
            <w:r>
              <w:t>ith Sub-C</w:t>
            </w:r>
            <w:r w:rsidRPr="00085925">
              <w:t>ontractors</w:t>
            </w:r>
            <w:r>
              <w:t xml:space="preserve"> and any other relevant third parties;</w:t>
            </w:r>
          </w:p>
          <w:p w:rsidRPr="00085925" w:rsidR="00D550A8" w:rsidP="00AC0199" w:rsidRDefault="00D550A8" w14:paraId="7A96670D" w14:textId="77777777">
            <w:pPr>
              <w:pStyle w:val="BodyText"/>
              <w:numPr>
                <w:ilvl w:val="1"/>
                <w:numId w:val="19"/>
              </w:numPr>
              <w:spacing w:after="0"/>
            </w:pPr>
            <w:r>
              <w:t>p</w:t>
            </w:r>
            <w:r w:rsidRPr="00085925">
              <w:t xml:space="preserve">erformance </w:t>
            </w:r>
            <w:r>
              <w:t xml:space="preserve">against, </w:t>
            </w:r>
            <w:r w:rsidRPr="00085925">
              <w:t xml:space="preserve">and </w:t>
            </w:r>
            <w:r>
              <w:t>a</w:t>
            </w:r>
            <w:r w:rsidRPr="00085925">
              <w:t>ssurance on</w:t>
            </w:r>
            <w:r>
              <w:t>,</w:t>
            </w:r>
            <w:r w:rsidRPr="00085925">
              <w:t xml:space="preserve"> specialist activities </w:t>
            </w:r>
            <w:r>
              <w:t>including</w:t>
            </w:r>
            <w:r w:rsidRPr="00085925">
              <w:t>;</w:t>
            </w:r>
          </w:p>
          <w:p w:rsidRPr="00085925" w:rsidR="00D550A8" w:rsidP="00AC0199" w:rsidRDefault="00D550A8" w14:paraId="76FC49B2" w14:textId="77777777">
            <w:pPr>
              <w:pStyle w:val="BodyText"/>
              <w:numPr>
                <w:ilvl w:val="2"/>
                <w:numId w:val="19"/>
              </w:numPr>
              <w:spacing w:after="0"/>
            </w:pPr>
            <w:r>
              <w:t>c</w:t>
            </w:r>
            <w:r w:rsidRPr="00085925">
              <w:t xml:space="preserve">onfined </w:t>
            </w:r>
            <w:r>
              <w:t>and</w:t>
            </w:r>
            <w:r w:rsidRPr="00085925">
              <w:t xml:space="preserve"> enclosed space</w:t>
            </w:r>
            <w:r>
              <w:t xml:space="preserve"> working;</w:t>
            </w:r>
          </w:p>
          <w:p w:rsidRPr="00085925" w:rsidR="00D550A8" w:rsidP="00AC0199" w:rsidRDefault="00D550A8" w14:paraId="47A418B1" w14:textId="77777777">
            <w:pPr>
              <w:pStyle w:val="BodyText"/>
              <w:numPr>
                <w:ilvl w:val="2"/>
                <w:numId w:val="19"/>
              </w:numPr>
              <w:spacing w:after="0"/>
            </w:pPr>
            <w:r>
              <w:t>tank preparation;</w:t>
            </w:r>
          </w:p>
          <w:p w:rsidRPr="00085925" w:rsidR="00D550A8" w:rsidP="00AC0199" w:rsidRDefault="00D550A8" w14:paraId="7D540ED8" w14:textId="77777777">
            <w:pPr>
              <w:pStyle w:val="BodyText"/>
              <w:numPr>
                <w:ilvl w:val="2"/>
                <w:numId w:val="19"/>
              </w:numPr>
              <w:spacing w:after="0"/>
            </w:pPr>
            <w:r>
              <w:t>d</w:t>
            </w:r>
            <w:r w:rsidRPr="00085925">
              <w:t xml:space="preserve">ocking </w:t>
            </w:r>
            <w:r>
              <w:t>and refit; and</w:t>
            </w:r>
          </w:p>
          <w:p w:rsidRPr="00085925" w:rsidR="00D550A8" w:rsidP="00AC0199" w:rsidRDefault="00D550A8" w14:paraId="1CCA7ECA" w14:textId="77777777">
            <w:pPr>
              <w:pStyle w:val="BodyText"/>
              <w:numPr>
                <w:ilvl w:val="2"/>
                <w:numId w:val="19"/>
              </w:numPr>
              <w:spacing w:after="0"/>
            </w:pPr>
            <w:r>
              <w:t>diving; and</w:t>
            </w:r>
          </w:p>
          <w:p w:rsidR="00D550A8" w:rsidP="00AC0199" w:rsidRDefault="00D550A8" w14:paraId="1F6ECAD9" w14:textId="77777777">
            <w:pPr>
              <w:pStyle w:val="BodyText"/>
              <w:numPr>
                <w:ilvl w:val="1"/>
                <w:numId w:val="19"/>
              </w:numPr>
              <w:spacing w:after="0"/>
            </w:pPr>
            <w:r>
              <w:t>r</w:t>
            </w:r>
            <w:r w:rsidRPr="00085925">
              <w:t xml:space="preserve">eviewing the top safety and environmental protection priorities across </w:t>
            </w:r>
            <w:r>
              <w:t>each SDA</w:t>
            </w:r>
            <w:r w:rsidRPr="00085925">
              <w:t>.</w:t>
            </w:r>
          </w:p>
          <w:p w:rsidRPr="00085925" w:rsidR="00D550A8" w:rsidP="003718AE" w:rsidRDefault="00D550A8" w14:paraId="7868BAE6" w14:textId="77777777">
            <w:pPr>
              <w:pStyle w:val="BodyText"/>
              <w:spacing w:after="0"/>
              <w:ind w:left="720"/>
            </w:pPr>
          </w:p>
          <w:p w:rsidR="00D550A8" w:rsidP="00AC0199" w:rsidRDefault="00D550A8" w14:paraId="64D7021D" w14:textId="77777777">
            <w:pPr>
              <w:pStyle w:val="BodyText"/>
              <w:numPr>
                <w:ilvl w:val="0"/>
                <w:numId w:val="19"/>
              </w:numPr>
              <w:spacing w:after="0"/>
              <w:ind w:left="263" w:hanging="263"/>
            </w:pPr>
            <w:r w:rsidRPr="0033717A">
              <w:t>The</w:t>
            </w:r>
            <w:r>
              <w:t xml:space="preserve"> HSEP report shall include the</w:t>
            </w:r>
            <w:r w:rsidRPr="0033717A">
              <w:t xml:space="preserve"> following injury and incident reports for the previous month:</w:t>
            </w:r>
          </w:p>
          <w:p w:rsidR="00D550A8" w:rsidP="00AC0199" w:rsidRDefault="00D550A8" w14:paraId="2778F66B" w14:textId="77777777">
            <w:pPr>
              <w:pStyle w:val="BodyText"/>
              <w:numPr>
                <w:ilvl w:val="1"/>
                <w:numId w:val="19"/>
              </w:numPr>
              <w:spacing w:after="0"/>
            </w:pPr>
            <w:r>
              <w:t xml:space="preserve">any HSE work-related </w:t>
            </w:r>
            <w:r w:rsidRPr="0033717A">
              <w:t>reportable injuries reported in accordance with Reporting of Injuries, Diseases and Dangerous Occurrences Regulations (2013) (as amended);</w:t>
            </w:r>
          </w:p>
          <w:p w:rsidR="00D550A8" w:rsidP="00AC0199" w:rsidRDefault="00D550A8" w14:paraId="66921F37" w14:textId="77777777">
            <w:pPr>
              <w:pStyle w:val="BodyText"/>
              <w:numPr>
                <w:ilvl w:val="1"/>
                <w:numId w:val="19"/>
              </w:numPr>
              <w:spacing w:after="0"/>
            </w:pPr>
            <w:r>
              <w:t xml:space="preserve">any </w:t>
            </w:r>
            <w:r w:rsidRPr="003242A8">
              <w:t>marine incident or marine casualty reported in accordance with The Merchant Shipping (Accident Reporting and Investigation) Regulations 2012 (as amended) and subsequent Marine Guidance Note 564; and</w:t>
            </w:r>
          </w:p>
          <w:p w:rsidR="00D550A8" w:rsidP="00AC0199" w:rsidRDefault="00D550A8" w14:paraId="0EC4719A" w14:textId="77777777">
            <w:pPr>
              <w:pStyle w:val="BodyText"/>
              <w:numPr>
                <w:ilvl w:val="1"/>
                <w:numId w:val="19"/>
              </w:numPr>
              <w:spacing w:after="0"/>
            </w:pPr>
            <w:r>
              <w:t xml:space="preserve">any report </w:t>
            </w:r>
            <w:r w:rsidRPr="00776D92">
              <w:t>on non-compliance with Environmental Law, including environmental protection risks and issues, and a summary of any environmental breaches/incidents including oil spills.</w:t>
            </w:r>
          </w:p>
          <w:p w:rsidR="00D550A8" w:rsidP="003718AE" w:rsidRDefault="00D550A8" w14:paraId="2146D4A6" w14:textId="77777777">
            <w:pPr>
              <w:pStyle w:val="BodyText"/>
              <w:spacing w:after="0"/>
            </w:pPr>
          </w:p>
          <w:p w:rsidR="00D550A8" w:rsidP="00AC0199" w:rsidRDefault="00D550A8" w14:paraId="3558A485" w14:textId="3B9EC414">
            <w:pPr>
              <w:pStyle w:val="BodyText"/>
              <w:numPr>
                <w:ilvl w:val="0"/>
                <w:numId w:val="19"/>
              </w:numPr>
              <w:spacing w:after="0"/>
              <w:ind w:left="263" w:hanging="263"/>
            </w:pPr>
            <w:r>
              <w:t xml:space="preserve">The HSEP report shall include a summary of any proposed </w:t>
            </w:r>
            <w:r w:rsidRPr="002D0B0B">
              <w:t xml:space="preserve">changes to the </w:t>
            </w:r>
            <w:r>
              <w:t xml:space="preserve">HSEP Management Plan </w:t>
            </w:r>
            <w:r w:rsidRPr="002D0B0B">
              <w:t>in Schedule 3 (Service Delivery Plan)</w:t>
            </w:r>
            <w:r>
              <w:t>.</w:t>
            </w:r>
            <w:r w:rsidRPr="002D0B0B">
              <w:t xml:space="preserve"> </w:t>
            </w:r>
          </w:p>
          <w:p w:rsidR="00D550A8" w:rsidP="003718AE" w:rsidRDefault="00D550A8" w14:paraId="709BC803" w14:textId="77777777">
            <w:pPr>
              <w:pStyle w:val="BodyText"/>
              <w:spacing w:after="0"/>
            </w:pPr>
          </w:p>
        </w:tc>
        <w:tc>
          <w:tcPr>
            <w:tcW w:w="1275" w:type="dxa"/>
          </w:tcPr>
          <w:p w:rsidR="00D550A8" w:rsidP="003718AE" w:rsidRDefault="00D550A8" w14:paraId="76E13684" w14:textId="77777777">
            <w:pPr>
              <w:pStyle w:val="BodyText"/>
              <w:spacing w:after="0"/>
              <w:rPr>
                <w:i/>
              </w:rPr>
            </w:pPr>
            <w:r w:rsidRPr="0024050C">
              <w:rPr>
                <w:i/>
              </w:rPr>
              <w:t>MPRB</w:t>
            </w:r>
          </w:p>
          <w:p w:rsidR="00D550A8" w:rsidP="003718AE" w:rsidRDefault="00D550A8" w14:paraId="10307E96" w14:textId="77777777">
            <w:pPr>
              <w:pStyle w:val="BodyText"/>
              <w:spacing w:after="0"/>
              <w:rPr>
                <w:i/>
              </w:rPr>
            </w:pPr>
          </w:p>
        </w:tc>
      </w:tr>
      <w:tr w:rsidR="00D550A8" w:rsidTr="00D550A8" w14:paraId="4453E951" w14:textId="77777777">
        <w:trPr>
          <w:trHeight w:val="980"/>
        </w:trPr>
        <w:tc>
          <w:tcPr>
            <w:tcW w:w="2393" w:type="dxa"/>
          </w:tcPr>
          <w:p w:rsidR="00D550A8" w:rsidP="00036771" w:rsidRDefault="00D550A8" w14:paraId="462BF1B1" w14:textId="7C4666BC">
            <w:pPr>
              <w:pStyle w:val="BodyText"/>
              <w:spacing w:after="0"/>
            </w:pPr>
            <w:r>
              <w:t xml:space="preserve">Local </w:t>
            </w:r>
            <w:r w:rsidRPr="00132E6B">
              <w:t>Health Safety and Environmental Protection</w:t>
            </w:r>
            <w:r>
              <w:t xml:space="preserve"> Report</w:t>
            </w:r>
          </w:p>
          <w:p w:rsidR="00D550A8" w:rsidP="00036771" w:rsidRDefault="00D550A8" w14:paraId="1EE3EA25" w14:textId="77777777">
            <w:pPr>
              <w:pStyle w:val="BodyText"/>
              <w:spacing w:after="0"/>
            </w:pPr>
            <w:r>
              <w:t>(HSEP)</w:t>
            </w:r>
          </w:p>
          <w:p w:rsidR="00D550A8" w:rsidP="00036771" w:rsidRDefault="00A47348" w14:paraId="6BAB573E" w14:textId="690E9A3F">
            <w:pPr>
              <w:pStyle w:val="BodyText"/>
              <w:spacing w:after="0"/>
            </w:pPr>
            <w:r w:rsidRPr="000714AE">
              <w:t>RR0</w:t>
            </w:r>
            <w:r>
              <w:t xml:space="preserve">2L4 for SDA 4, </w:t>
            </w:r>
            <w:r w:rsidRPr="000714AE">
              <w:t>RR0</w:t>
            </w:r>
            <w:r>
              <w:t xml:space="preserve">2L5 for SDA 5 and </w:t>
            </w:r>
            <w:r w:rsidRPr="000714AE">
              <w:t>RR0</w:t>
            </w:r>
            <w:r>
              <w:t>2L7 for SDA 7</w:t>
            </w:r>
          </w:p>
          <w:p w:rsidR="00A47348" w:rsidP="00036771" w:rsidRDefault="00A47348" w14:paraId="452FCDD0" w14:textId="5F236375">
            <w:pPr>
              <w:pStyle w:val="BodyText"/>
              <w:spacing w:after="0"/>
            </w:pPr>
          </w:p>
        </w:tc>
        <w:tc>
          <w:tcPr>
            <w:tcW w:w="1711" w:type="dxa"/>
          </w:tcPr>
          <w:p w:rsidRPr="0024050C" w:rsidR="00D550A8" w:rsidP="003718AE" w:rsidRDefault="00D550A8" w14:paraId="55F777CF" w14:textId="58A4F6E3">
            <w:pPr>
              <w:pStyle w:val="BodyText"/>
              <w:spacing w:after="0"/>
              <w:rPr>
                <w:i/>
              </w:rPr>
            </w:pPr>
            <w:r w:rsidRPr="0024050C">
              <w:rPr>
                <w:i/>
              </w:rPr>
              <w:t>Monthly</w:t>
            </w:r>
          </w:p>
        </w:tc>
        <w:tc>
          <w:tcPr>
            <w:tcW w:w="9358" w:type="dxa"/>
          </w:tcPr>
          <w:p w:rsidR="00D550A8" w:rsidP="006270DB" w:rsidRDefault="00D550A8" w14:paraId="11BC1279" w14:textId="6CF52BBA">
            <w:pPr>
              <w:pStyle w:val="BodyText"/>
              <w:spacing w:after="0"/>
            </w:pPr>
            <w:r>
              <w:t>As per the HSEP report, for the applicable SDA.</w:t>
            </w:r>
          </w:p>
        </w:tc>
        <w:tc>
          <w:tcPr>
            <w:tcW w:w="1275" w:type="dxa"/>
          </w:tcPr>
          <w:p w:rsidR="00D550A8" w:rsidP="003718AE" w:rsidRDefault="00D550A8" w14:paraId="3F6C99C5" w14:textId="634C108F">
            <w:pPr>
              <w:pStyle w:val="BodyText"/>
              <w:spacing w:after="0"/>
              <w:rPr>
                <w:i/>
              </w:rPr>
            </w:pPr>
            <w:r>
              <w:rPr>
                <w:i/>
              </w:rPr>
              <w:t>LPWG</w:t>
            </w:r>
          </w:p>
        </w:tc>
      </w:tr>
      <w:tr w:rsidR="00D550A8" w:rsidTr="00D550A8" w14:paraId="26487091" w14:textId="77777777">
        <w:trPr>
          <w:trHeight w:val="980"/>
        </w:trPr>
        <w:tc>
          <w:tcPr>
            <w:tcW w:w="2393" w:type="dxa"/>
          </w:tcPr>
          <w:p w:rsidR="00D550A8" w:rsidP="00036771" w:rsidRDefault="00D550A8" w14:paraId="275D3B38" w14:textId="77777777">
            <w:pPr>
              <w:pStyle w:val="BodyText"/>
              <w:spacing w:after="0"/>
            </w:pPr>
            <w:r>
              <w:t>Affected Services Report</w:t>
            </w:r>
          </w:p>
          <w:p w:rsidR="00D550A8" w:rsidP="00036771" w:rsidRDefault="00D550A8" w14:paraId="3EB58B77" w14:textId="77777777">
            <w:pPr>
              <w:pStyle w:val="BodyText"/>
              <w:spacing w:after="0"/>
            </w:pPr>
            <w:r>
              <w:t>RR03</w:t>
            </w:r>
          </w:p>
          <w:p w:rsidR="00D550A8" w:rsidP="00036771" w:rsidRDefault="00D550A8" w14:paraId="6405114E" w14:textId="77777777">
            <w:pPr>
              <w:pStyle w:val="BodyText"/>
              <w:spacing w:after="0"/>
            </w:pPr>
          </w:p>
        </w:tc>
        <w:tc>
          <w:tcPr>
            <w:tcW w:w="1711" w:type="dxa"/>
          </w:tcPr>
          <w:p w:rsidRPr="0024050C" w:rsidR="00D550A8" w:rsidP="00036771" w:rsidRDefault="00D550A8" w14:paraId="3175CE8E" w14:textId="55B42FF1">
            <w:pPr>
              <w:pStyle w:val="BodyText"/>
              <w:spacing w:after="0"/>
              <w:rPr>
                <w:i/>
              </w:rPr>
            </w:pPr>
            <w:r>
              <w:rPr>
                <w:i/>
              </w:rPr>
              <w:t>Monthly</w:t>
            </w:r>
          </w:p>
        </w:tc>
        <w:tc>
          <w:tcPr>
            <w:tcW w:w="9358" w:type="dxa"/>
          </w:tcPr>
          <w:p w:rsidR="00D550A8" w:rsidP="00525713" w:rsidRDefault="00D550A8" w14:paraId="7CA016F9" w14:textId="77777777">
            <w:pPr>
              <w:pStyle w:val="BodyText"/>
              <w:numPr>
                <w:ilvl w:val="0"/>
                <w:numId w:val="20"/>
              </w:numPr>
              <w:spacing w:after="0"/>
              <w:ind w:left="263" w:hanging="263"/>
            </w:pPr>
            <w:r w:rsidRPr="002D0B0B">
              <w:t xml:space="preserve">The </w:t>
            </w:r>
            <w:r>
              <w:t xml:space="preserve">Affected Services </w:t>
            </w:r>
            <w:r w:rsidRPr="00776D92">
              <w:t>Report shall summarise</w:t>
            </w:r>
            <w:r>
              <w:t xml:space="preserve"> and demonstrate compliance with</w:t>
            </w:r>
            <w:r w:rsidRPr="00776D92">
              <w:t xml:space="preserve"> </w:t>
            </w:r>
            <w:r>
              <w:t>the DSA</w:t>
            </w:r>
            <w:r w:rsidRPr="00776D92">
              <w:t>02</w:t>
            </w:r>
            <w:r>
              <w:t>-</w:t>
            </w:r>
            <w:r w:rsidRPr="00776D92">
              <w:t xml:space="preserve">DMR </w:t>
            </w:r>
            <w:r>
              <w:t>(</w:t>
            </w:r>
            <w:r w:rsidRPr="00AB2DF1">
              <w:rPr>
                <w:lang w:val="x-none"/>
              </w:rPr>
              <w:t>Defence Maritime</w:t>
            </w:r>
            <w:r>
              <w:t xml:space="preserve"> </w:t>
            </w:r>
            <w:r w:rsidRPr="00AB2DF1">
              <w:rPr>
                <w:lang w:val="x-none"/>
              </w:rPr>
              <w:t>Regulations for Health, Safety and</w:t>
            </w:r>
            <w:r>
              <w:t xml:space="preserve"> </w:t>
            </w:r>
            <w:r w:rsidRPr="00AB2DF1">
              <w:rPr>
                <w:lang w:val="x-none"/>
              </w:rPr>
              <w:t>Environmental Protection</w:t>
            </w:r>
            <w:r>
              <w:t>) and the Memorandum of Understanding.</w:t>
            </w:r>
          </w:p>
          <w:p w:rsidR="00D550A8" w:rsidP="00036771" w:rsidRDefault="00D550A8" w14:paraId="249E5A46" w14:textId="77777777">
            <w:pPr>
              <w:pStyle w:val="BodyText"/>
              <w:spacing w:after="0"/>
              <w:ind w:left="263"/>
            </w:pPr>
          </w:p>
          <w:p w:rsidR="00D550A8" w:rsidP="00525713" w:rsidRDefault="00D550A8" w14:paraId="69FA072B" w14:textId="77777777">
            <w:pPr>
              <w:pStyle w:val="BodyText"/>
              <w:numPr>
                <w:ilvl w:val="0"/>
                <w:numId w:val="20"/>
              </w:numPr>
              <w:spacing w:after="0"/>
              <w:ind w:left="263" w:hanging="263"/>
            </w:pPr>
            <w:r>
              <w:t>The Affected Services Report shall also include for the previous month:</w:t>
            </w:r>
          </w:p>
          <w:p w:rsidR="00D550A8" w:rsidP="00525713" w:rsidRDefault="00D550A8" w14:paraId="37F1F15C" w14:textId="77777777">
            <w:pPr>
              <w:pStyle w:val="BodyText"/>
              <w:numPr>
                <w:ilvl w:val="1"/>
                <w:numId w:val="20"/>
              </w:numPr>
              <w:spacing w:after="0"/>
            </w:pPr>
            <w:r>
              <w:t>a summary of minutes and actions from the previous meeting;</w:t>
            </w:r>
          </w:p>
          <w:p w:rsidR="00D550A8" w:rsidP="00525713" w:rsidRDefault="00D550A8" w14:paraId="57C5301C" w14:textId="77777777">
            <w:pPr>
              <w:pStyle w:val="BodyText"/>
              <w:numPr>
                <w:ilvl w:val="1"/>
                <w:numId w:val="20"/>
              </w:numPr>
              <w:spacing w:after="0"/>
            </w:pPr>
            <w:r>
              <w:t>a summary of the status of each affected SDA area;</w:t>
            </w:r>
          </w:p>
          <w:p w:rsidR="00D550A8" w:rsidP="00525713" w:rsidRDefault="00D550A8" w14:paraId="42D38C45" w14:textId="691AB5C7">
            <w:pPr>
              <w:pStyle w:val="BodyText"/>
              <w:numPr>
                <w:ilvl w:val="1"/>
                <w:numId w:val="20"/>
              </w:numPr>
              <w:spacing w:after="0"/>
            </w:pPr>
            <w:r>
              <w:t xml:space="preserve">a summary of </w:t>
            </w:r>
            <w:r w:rsidR="00F271E2">
              <w:t xml:space="preserve">Taskings </w:t>
            </w:r>
            <w:r>
              <w:t>and numbers;</w:t>
            </w:r>
          </w:p>
          <w:p w:rsidR="00D550A8" w:rsidP="00525713" w:rsidRDefault="00D550A8" w14:paraId="48B914B3" w14:textId="77777777">
            <w:pPr>
              <w:pStyle w:val="BodyText"/>
              <w:numPr>
                <w:ilvl w:val="1"/>
                <w:numId w:val="20"/>
              </w:numPr>
              <w:spacing w:after="0"/>
            </w:pPr>
            <w:r>
              <w:t>GSBE Flag Status Changes;</w:t>
            </w:r>
          </w:p>
          <w:p w:rsidR="00D550A8" w:rsidP="00525713" w:rsidRDefault="00D550A8" w14:paraId="7F5BE480" w14:textId="1AB9EE1B">
            <w:pPr>
              <w:pStyle w:val="BodyText"/>
              <w:numPr>
                <w:ilvl w:val="1"/>
                <w:numId w:val="20"/>
              </w:numPr>
              <w:spacing w:after="0"/>
            </w:pPr>
            <w:r>
              <w:t>temporary additions and assurance and interfacing activities on and with third parties and Sub-Contractors;</w:t>
            </w:r>
          </w:p>
          <w:p w:rsidR="00D550A8" w:rsidP="00525713" w:rsidRDefault="00D550A8" w14:paraId="0359FBAA" w14:textId="77777777">
            <w:pPr>
              <w:pStyle w:val="BodyText"/>
              <w:numPr>
                <w:ilvl w:val="1"/>
                <w:numId w:val="20"/>
              </w:numPr>
              <w:spacing w:after="0"/>
            </w:pPr>
            <w:r>
              <w:t>Affected Services incidents, accidents, near misses, observations, positive indicators and events from the reporting period;</w:t>
            </w:r>
          </w:p>
          <w:p w:rsidR="00D550A8" w:rsidP="00525713" w:rsidRDefault="00D550A8" w14:paraId="2E18514C" w14:textId="77777777">
            <w:pPr>
              <w:pStyle w:val="BodyText"/>
              <w:numPr>
                <w:ilvl w:val="1"/>
                <w:numId w:val="20"/>
              </w:numPr>
              <w:spacing w:after="0"/>
            </w:pPr>
            <w:r>
              <w:t>changes to Law and consideration of the implications for Affected Services;</w:t>
            </w:r>
          </w:p>
          <w:p w:rsidR="00D550A8" w:rsidP="00525713" w:rsidRDefault="00172BDA" w14:paraId="75F38E59" w14:textId="128D00FF">
            <w:pPr>
              <w:pStyle w:val="BodyText"/>
              <w:numPr>
                <w:ilvl w:val="1"/>
                <w:numId w:val="20"/>
              </w:numPr>
              <w:spacing w:after="0"/>
            </w:pPr>
            <w:r>
              <w:t>C</w:t>
            </w:r>
            <w:r w:rsidR="00D550A8">
              <w:t xml:space="preserve">odes of </w:t>
            </w:r>
            <w:r>
              <w:t>P</w:t>
            </w:r>
            <w:r w:rsidR="00D550A8">
              <w:t>ractice and risk assessments and method statements relating to the operation of the Affected Services;</w:t>
            </w:r>
          </w:p>
          <w:p w:rsidR="00D550A8" w:rsidP="00525713" w:rsidRDefault="00D550A8" w14:paraId="1BA8DFF3" w14:textId="77777777">
            <w:pPr>
              <w:pStyle w:val="BodyText"/>
              <w:numPr>
                <w:ilvl w:val="1"/>
                <w:numId w:val="20"/>
              </w:numPr>
              <w:spacing w:after="0"/>
            </w:pPr>
            <w:r>
              <w:t>review and endorsement of the SEC(R); and</w:t>
            </w:r>
          </w:p>
          <w:p w:rsidR="00D550A8" w:rsidP="00525713" w:rsidRDefault="00D550A8" w14:paraId="38A42B3E" w14:textId="77777777">
            <w:pPr>
              <w:pStyle w:val="BodyText"/>
              <w:numPr>
                <w:ilvl w:val="1"/>
                <w:numId w:val="20"/>
              </w:numPr>
              <w:spacing w:after="0"/>
            </w:pPr>
            <w:r>
              <w:t>o</w:t>
            </w:r>
            <w:r w:rsidRPr="00085925">
              <w:t xml:space="preserve">verview </w:t>
            </w:r>
            <w:r>
              <w:t xml:space="preserve">of, </w:t>
            </w:r>
            <w:r w:rsidRPr="00085925">
              <w:t>and tracked progress against</w:t>
            </w:r>
            <w:r>
              <w:t>,</w:t>
            </w:r>
            <w:r w:rsidRPr="00085925">
              <w:t xml:space="preserve"> </w:t>
            </w:r>
            <w:r>
              <w:t>first, second and third party a</w:t>
            </w:r>
            <w:r w:rsidRPr="00085925">
              <w:t>udit and assurance activities</w:t>
            </w:r>
            <w:r>
              <w:t xml:space="preserve"> relating to Affected Services; and</w:t>
            </w:r>
          </w:p>
          <w:p w:rsidR="00D550A8" w:rsidP="00036771" w:rsidRDefault="00D550A8" w14:paraId="0F81E2AC" w14:textId="4A263ADC">
            <w:pPr>
              <w:pStyle w:val="BodyText"/>
              <w:numPr>
                <w:ilvl w:val="1"/>
                <w:numId w:val="20"/>
              </w:numPr>
              <w:spacing w:after="0"/>
            </w:pPr>
            <w:r>
              <w:t>an update and summary of trials and any future requests.</w:t>
            </w:r>
          </w:p>
        </w:tc>
        <w:tc>
          <w:tcPr>
            <w:tcW w:w="1275" w:type="dxa"/>
          </w:tcPr>
          <w:p w:rsidR="00D550A8" w:rsidP="00036771" w:rsidRDefault="00D550A8" w14:paraId="5FADB6BE" w14:textId="23891483">
            <w:pPr>
              <w:pStyle w:val="BodyText"/>
              <w:spacing w:after="0"/>
              <w:rPr>
                <w:i/>
              </w:rPr>
            </w:pPr>
            <w:r>
              <w:rPr>
                <w:i/>
              </w:rPr>
              <w:t>MPRB</w:t>
            </w:r>
          </w:p>
        </w:tc>
      </w:tr>
      <w:tr w:rsidR="00D550A8" w:rsidTr="00D550A8" w14:paraId="1F6EDAF3" w14:textId="77777777">
        <w:trPr>
          <w:trHeight w:val="980"/>
        </w:trPr>
        <w:tc>
          <w:tcPr>
            <w:tcW w:w="2393" w:type="dxa"/>
          </w:tcPr>
          <w:p w:rsidR="00D550A8" w:rsidP="00F80588" w:rsidRDefault="00D550A8" w14:paraId="4264BDDD" w14:textId="68953F92">
            <w:pPr>
              <w:pStyle w:val="BodyText"/>
              <w:spacing w:after="0"/>
            </w:pPr>
            <w:r>
              <w:t>Local Affected Services Report</w:t>
            </w:r>
          </w:p>
          <w:p w:rsidR="00D550A8" w:rsidP="00A47348" w:rsidRDefault="00A47348" w14:paraId="5FD13CFC" w14:textId="3FCEF6B4">
            <w:pPr>
              <w:pStyle w:val="BodyText"/>
              <w:spacing w:after="0"/>
            </w:pPr>
            <w:r w:rsidRPr="000714AE">
              <w:t>RR0</w:t>
            </w:r>
            <w:r>
              <w:t xml:space="preserve">3L4 for SDA 4, </w:t>
            </w:r>
            <w:r w:rsidRPr="000714AE">
              <w:t>RR0</w:t>
            </w:r>
            <w:r>
              <w:t xml:space="preserve">3L5 for SDA 5 and </w:t>
            </w:r>
            <w:r w:rsidRPr="000714AE">
              <w:t>RR0</w:t>
            </w:r>
            <w:r>
              <w:t>3L7 for SDA 7</w:t>
            </w:r>
          </w:p>
          <w:p w:rsidR="00A47348" w:rsidP="00A47348" w:rsidRDefault="00A47348" w14:paraId="27ADD51A" w14:textId="35BAF18B">
            <w:pPr>
              <w:pStyle w:val="BodyText"/>
              <w:spacing w:after="0"/>
            </w:pPr>
          </w:p>
        </w:tc>
        <w:tc>
          <w:tcPr>
            <w:tcW w:w="1711" w:type="dxa"/>
          </w:tcPr>
          <w:p w:rsidRPr="0024050C" w:rsidR="00D550A8" w:rsidP="00F80588" w:rsidRDefault="00D550A8" w14:paraId="52D500BD" w14:textId="4FEE690A">
            <w:pPr>
              <w:pStyle w:val="BodyText"/>
              <w:spacing w:after="0"/>
              <w:rPr>
                <w:i/>
              </w:rPr>
            </w:pPr>
            <w:r>
              <w:rPr>
                <w:i/>
              </w:rPr>
              <w:t>Monthly</w:t>
            </w:r>
          </w:p>
        </w:tc>
        <w:tc>
          <w:tcPr>
            <w:tcW w:w="9358" w:type="dxa"/>
          </w:tcPr>
          <w:p w:rsidR="00D550A8" w:rsidP="00F80588" w:rsidRDefault="00D550A8" w14:paraId="508A38A3" w14:textId="4C00CFE3">
            <w:pPr>
              <w:pStyle w:val="BodyText"/>
              <w:spacing w:after="0"/>
            </w:pPr>
            <w:r>
              <w:t xml:space="preserve">As per the Affected Services </w:t>
            </w:r>
            <w:r w:rsidRPr="00776D92">
              <w:t>Report</w:t>
            </w:r>
            <w:r>
              <w:t>, for the applicable SDA.</w:t>
            </w:r>
          </w:p>
        </w:tc>
        <w:tc>
          <w:tcPr>
            <w:tcW w:w="1275" w:type="dxa"/>
          </w:tcPr>
          <w:p w:rsidR="00D550A8" w:rsidP="00F80588" w:rsidRDefault="00D550A8" w14:paraId="113AFFAA" w14:textId="2F70A2A0">
            <w:pPr>
              <w:pStyle w:val="BodyText"/>
              <w:spacing w:after="0"/>
              <w:rPr>
                <w:i/>
              </w:rPr>
            </w:pPr>
            <w:r>
              <w:rPr>
                <w:i/>
              </w:rPr>
              <w:t>LPWG</w:t>
            </w:r>
          </w:p>
        </w:tc>
      </w:tr>
      <w:tr w:rsidR="00D550A8" w:rsidTr="00352E11" w14:paraId="2729CBEF" w14:textId="77777777">
        <w:trPr>
          <w:trHeight w:val="587"/>
        </w:trPr>
        <w:tc>
          <w:tcPr>
            <w:tcW w:w="2393" w:type="dxa"/>
          </w:tcPr>
          <w:p w:rsidRPr="00132E6B" w:rsidR="00D550A8" w:rsidP="00F80588" w:rsidRDefault="00D550A8" w14:paraId="7EE87956" w14:textId="77777777">
            <w:pPr>
              <w:pStyle w:val="BodyText"/>
              <w:spacing w:after="0"/>
            </w:pPr>
            <w:r>
              <w:t>Fuel Usage</w:t>
            </w:r>
            <w:r w:rsidRPr="00132E6B">
              <w:t xml:space="preserve"> Report</w:t>
            </w:r>
          </w:p>
          <w:p w:rsidR="00D550A8" w:rsidP="00F80588" w:rsidRDefault="00D550A8" w14:paraId="2C454FCF" w14:textId="3783DF44">
            <w:pPr>
              <w:pStyle w:val="BodyText"/>
              <w:spacing w:after="0"/>
            </w:pPr>
            <w:r w:rsidRPr="00132E6B">
              <w:t>RR0</w:t>
            </w:r>
            <w:r>
              <w:t>4</w:t>
            </w:r>
          </w:p>
        </w:tc>
        <w:tc>
          <w:tcPr>
            <w:tcW w:w="1711" w:type="dxa"/>
          </w:tcPr>
          <w:p w:rsidR="00D550A8" w:rsidP="00F80588" w:rsidRDefault="00D550A8" w14:paraId="7A139448" w14:textId="5918F377">
            <w:pPr>
              <w:pStyle w:val="BodyText"/>
              <w:spacing w:after="0"/>
              <w:rPr>
                <w:i/>
              </w:rPr>
            </w:pPr>
            <w:r w:rsidRPr="0024050C">
              <w:rPr>
                <w:i/>
              </w:rPr>
              <w:t>Monthly</w:t>
            </w:r>
          </w:p>
        </w:tc>
        <w:tc>
          <w:tcPr>
            <w:tcW w:w="9358" w:type="dxa"/>
          </w:tcPr>
          <w:p w:rsidRPr="00F31239" w:rsidR="00D550A8" w:rsidP="00525713" w:rsidRDefault="00D550A8" w14:paraId="2D410C2D" w14:textId="77777777">
            <w:pPr>
              <w:pStyle w:val="BodyText"/>
              <w:numPr>
                <w:ilvl w:val="0"/>
                <w:numId w:val="22"/>
              </w:numPr>
              <w:spacing w:after="0"/>
              <w:ind w:left="316" w:hanging="316"/>
            </w:pPr>
            <w:r>
              <w:t xml:space="preserve">The </w:t>
            </w:r>
            <w:r w:rsidRPr="00F31239">
              <w:t xml:space="preserve">Fuel </w:t>
            </w:r>
            <w:r>
              <w:t xml:space="preserve">Usage </w:t>
            </w:r>
            <w:r w:rsidRPr="00F31239">
              <w:t>Report shall set out for the previous month:</w:t>
            </w:r>
          </w:p>
          <w:p w:rsidRPr="00F31239" w:rsidR="00D550A8" w:rsidP="00445CDF" w:rsidRDefault="00D550A8" w14:paraId="337CDC10" w14:textId="77777777">
            <w:pPr>
              <w:pStyle w:val="BodyText"/>
              <w:numPr>
                <w:ilvl w:val="1"/>
                <w:numId w:val="17"/>
              </w:numPr>
              <w:spacing w:after="0"/>
            </w:pPr>
            <w:r w:rsidRPr="00F31239">
              <w:t>the total fuel used;</w:t>
            </w:r>
          </w:p>
          <w:p w:rsidR="003B5E02" w:rsidP="00753F55" w:rsidRDefault="00D550A8" w14:paraId="55E972B9" w14:textId="77777777">
            <w:pPr>
              <w:pStyle w:val="BodyText"/>
              <w:numPr>
                <w:ilvl w:val="1"/>
                <w:numId w:val="17"/>
              </w:numPr>
              <w:spacing w:after="0"/>
            </w:pPr>
            <w:r>
              <w:t xml:space="preserve">details of the </w:t>
            </w:r>
            <w:r w:rsidRPr="00F31239">
              <w:t>fuel usage per Vessel and per Task (automa</w:t>
            </w:r>
            <w:r w:rsidR="00753F55">
              <w:t>ted recording) and its cost</w:t>
            </w:r>
            <w:r>
              <w:t xml:space="preserve">; </w:t>
            </w:r>
          </w:p>
          <w:p w:rsidR="00D550A8" w:rsidP="00753F55" w:rsidRDefault="003B5E02" w14:paraId="6E7685C4" w14:textId="4708F2EF">
            <w:pPr>
              <w:pStyle w:val="BodyText"/>
              <w:numPr>
                <w:ilvl w:val="1"/>
                <w:numId w:val="17"/>
              </w:numPr>
              <w:spacing w:after="0"/>
            </w:pPr>
            <w:r>
              <w:t>a breakdown of the cost of fuel per cubic metre, to be reconcilable with invoices (and such invoices to be presented as evidence)</w:t>
            </w:r>
            <w:r w:rsidR="00047F77">
              <w:t>, such cost to fully</w:t>
            </w:r>
            <w:r>
              <w:t xml:space="preserve"> </w:t>
            </w:r>
            <w:r w:rsidR="00047F77">
              <w:t xml:space="preserve">reflect any corporate discounts or buying arrangements; </w:t>
            </w:r>
            <w:r w:rsidR="00D550A8">
              <w:t>and</w:t>
            </w:r>
          </w:p>
          <w:p w:rsidR="00D550A8" w:rsidP="00445CDF" w:rsidRDefault="00D550A8" w14:paraId="53F69F3F" w14:textId="3F8C006D">
            <w:pPr>
              <w:pStyle w:val="BodyText"/>
              <w:numPr>
                <w:ilvl w:val="1"/>
                <w:numId w:val="17"/>
              </w:numPr>
              <w:spacing w:after="0"/>
            </w:pPr>
            <w:r>
              <w:t>any other information required in</w:t>
            </w:r>
            <w:r w:rsidR="00352E11">
              <w:t xml:space="preserve"> accordance with</w:t>
            </w:r>
            <w:r>
              <w:t xml:space="preserve"> Sched</w:t>
            </w:r>
            <w:r w:rsidR="00BD2380">
              <w:t>ule 2 (Statement of Requirement</w:t>
            </w:r>
            <w:r>
              <w:t>).</w:t>
            </w:r>
          </w:p>
          <w:p w:rsidR="003B5E02" w:rsidP="00F80588" w:rsidRDefault="003B5E02" w14:paraId="31FDEDB0" w14:textId="0666B873">
            <w:pPr>
              <w:pStyle w:val="BodyText"/>
              <w:spacing w:after="0"/>
            </w:pPr>
          </w:p>
          <w:p w:rsidR="00E854BD" w:rsidP="00EE0141" w:rsidRDefault="00E854BD" w14:paraId="380CDC5D" w14:textId="572BFBAA">
            <w:pPr>
              <w:pStyle w:val="BodyText"/>
              <w:numPr>
                <w:ilvl w:val="0"/>
                <w:numId w:val="30"/>
              </w:numPr>
              <w:spacing w:after="0"/>
            </w:pPr>
            <w:r w:rsidRPr="002E3015">
              <w:t xml:space="preserve">The </w:t>
            </w:r>
            <w:r>
              <w:t>Fuel Usage Report shall include a signed representation from</w:t>
            </w:r>
            <w:r w:rsidRPr="00981259">
              <w:t xml:space="preserve"> the Contractor’s Finance Director (or equivalent) </w:t>
            </w:r>
            <w:r>
              <w:t>confirming that:</w:t>
            </w:r>
          </w:p>
          <w:p w:rsidR="00E854BD" w:rsidP="00EE0141" w:rsidRDefault="00E854BD" w14:paraId="606EB399" w14:textId="3F8BF04E">
            <w:pPr>
              <w:pStyle w:val="BodyText"/>
              <w:numPr>
                <w:ilvl w:val="1"/>
                <w:numId w:val="31"/>
              </w:numPr>
              <w:spacing w:after="0"/>
            </w:pPr>
            <w:r>
              <w:t xml:space="preserve">the fuel costs passed through to the Authority are a true reflection of the cost paid by the Contractor for such fuel; </w:t>
            </w:r>
          </w:p>
          <w:p w:rsidR="00E854BD" w:rsidP="00EE0141" w:rsidRDefault="00E854BD" w14:paraId="7D9CF8F8" w14:textId="77777777">
            <w:pPr>
              <w:pStyle w:val="BodyText"/>
              <w:numPr>
                <w:ilvl w:val="1"/>
                <w:numId w:val="31"/>
              </w:numPr>
              <w:spacing w:after="0"/>
            </w:pPr>
            <w:r>
              <w:t>any discounts, buying arrangements and/or corporate arrangements for fuel have been fully disclosed and the full benefits have been passed through to the Authority; and</w:t>
            </w:r>
          </w:p>
          <w:p w:rsidR="003B5E02" w:rsidP="00EE0141" w:rsidRDefault="00E854BD" w14:paraId="5C2C976C" w14:textId="3A5D571E">
            <w:pPr>
              <w:pStyle w:val="BodyText"/>
              <w:numPr>
                <w:ilvl w:val="1"/>
                <w:numId w:val="31"/>
              </w:numPr>
              <w:spacing w:after="0"/>
            </w:pPr>
            <w:r>
              <w:t>Clause 25.2 (Fuel and Utilities) has been fully complied with.</w:t>
            </w:r>
          </w:p>
        </w:tc>
        <w:tc>
          <w:tcPr>
            <w:tcW w:w="1275" w:type="dxa"/>
          </w:tcPr>
          <w:p w:rsidR="00D550A8" w:rsidP="00F80588" w:rsidRDefault="00D550A8" w14:paraId="0382627F" w14:textId="77777777">
            <w:pPr>
              <w:pStyle w:val="BodyText"/>
              <w:spacing w:after="0"/>
              <w:rPr>
                <w:i/>
              </w:rPr>
            </w:pPr>
            <w:r w:rsidRPr="0024050C">
              <w:rPr>
                <w:i/>
              </w:rPr>
              <w:t>MPRB</w:t>
            </w:r>
          </w:p>
          <w:p w:rsidR="00D550A8" w:rsidP="00F80588" w:rsidRDefault="00D550A8" w14:paraId="3BD64BE1" w14:textId="77777777">
            <w:pPr>
              <w:pStyle w:val="BodyText"/>
              <w:spacing w:after="0"/>
              <w:rPr>
                <w:i/>
              </w:rPr>
            </w:pPr>
          </w:p>
        </w:tc>
      </w:tr>
      <w:tr w:rsidR="00D550A8" w:rsidTr="00D550A8" w14:paraId="189DA1B6" w14:textId="77777777">
        <w:trPr>
          <w:trHeight w:val="980"/>
        </w:trPr>
        <w:tc>
          <w:tcPr>
            <w:tcW w:w="2393" w:type="dxa"/>
          </w:tcPr>
          <w:p w:rsidRPr="00132E6B" w:rsidR="00D550A8" w:rsidP="00F80588" w:rsidRDefault="00D550A8" w14:paraId="2E4DFBDF" w14:textId="77777777">
            <w:pPr>
              <w:pStyle w:val="BodyText"/>
              <w:spacing w:after="0"/>
            </w:pPr>
            <w:r>
              <w:t>Local Fuel Usage</w:t>
            </w:r>
            <w:r w:rsidRPr="00132E6B">
              <w:t xml:space="preserve"> Report</w:t>
            </w:r>
          </w:p>
          <w:p w:rsidR="00D550A8" w:rsidP="00F80588" w:rsidRDefault="00A47348" w14:paraId="618E6B33" w14:textId="465708A2">
            <w:pPr>
              <w:pStyle w:val="BodyText"/>
              <w:spacing w:after="0"/>
            </w:pPr>
            <w:r w:rsidRPr="000714AE">
              <w:t>RR0</w:t>
            </w:r>
            <w:r>
              <w:t xml:space="preserve">4L4 for SDA 4, </w:t>
            </w:r>
            <w:r w:rsidRPr="000714AE">
              <w:t>RR0</w:t>
            </w:r>
            <w:r>
              <w:t xml:space="preserve">4L5 for SDA 5 and </w:t>
            </w:r>
            <w:r w:rsidRPr="000714AE">
              <w:t>RR0</w:t>
            </w:r>
            <w:r>
              <w:t>4L7 for SDA 7</w:t>
            </w:r>
          </w:p>
          <w:p w:rsidR="00A47348" w:rsidP="00F80588" w:rsidRDefault="00A47348" w14:paraId="180641B2" w14:textId="0FDB0D00">
            <w:pPr>
              <w:pStyle w:val="BodyText"/>
              <w:spacing w:after="0"/>
            </w:pPr>
          </w:p>
        </w:tc>
        <w:tc>
          <w:tcPr>
            <w:tcW w:w="1711" w:type="dxa"/>
          </w:tcPr>
          <w:p w:rsidR="00D550A8" w:rsidP="00F80588" w:rsidRDefault="00D550A8" w14:paraId="4312FBA4" w14:textId="0B23DEBA">
            <w:pPr>
              <w:pStyle w:val="BodyText"/>
              <w:spacing w:after="0"/>
              <w:rPr>
                <w:i/>
              </w:rPr>
            </w:pPr>
            <w:r w:rsidRPr="0024050C">
              <w:rPr>
                <w:i/>
              </w:rPr>
              <w:t>Monthly</w:t>
            </w:r>
          </w:p>
        </w:tc>
        <w:tc>
          <w:tcPr>
            <w:tcW w:w="9358" w:type="dxa"/>
          </w:tcPr>
          <w:p w:rsidR="00D550A8" w:rsidP="006270DB" w:rsidRDefault="00D550A8" w14:paraId="4A4CA256" w14:textId="177455F1">
            <w:pPr>
              <w:pStyle w:val="BodyText"/>
              <w:spacing w:after="0"/>
            </w:pPr>
            <w:r>
              <w:t>As per the Fuel Usage Report, for the applicable SDA.</w:t>
            </w:r>
          </w:p>
        </w:tc>
        <w:tc>
          <w:tcPr>
            <w:tcW w:w="1275" w:type="dxa"/>
          </w:tcPr>
          <w:p w:rsidR="00D550A8" w:rsidP="00F80588" w:rsidRDefault="00D550A8" w14:paraId="0E060940" w14:textId="1CF6AC96">
            <w:pPr>
              <w:pStyle w:val="BodyText"/>
              <w:spacing w:after="0"/>
              <w:rPr>
                <w:i/>
              </w:rPr>
            </w:pPr>
            <w:r>
              <w:rPr>
                <w:i/>
              </w:rPr>
              <w:t>LPWG</w:t>
            </w:r>
          </w:p>
        </w:tc>
      </w:tr>
      <w:tr w:rsidR="00D550A8" w:rsidTr="00D550A8" w14:paraId="7B84F6E5" w14:textId="77777777">
        <w:trPr>
          <w:trHeight w:val="980"/>
        </w:trPr>
        <w:tc>
          <w:tcPr>
            <w:tcW w:w="2393" w:type="dxa"/>
          </w:tcPr>
          <w:p w:rsidRPr="00132E6B" w:rsidR="00D550A8" w:rsidP="00F80588" w:rsidRDefault="00D550A8" w14:paraId="4FCE659D" w14:textId="77777777">
            <w:pPr>
              <w:pStyle w:val="BodyText"/>
              <w:spacing w:after="0"/>
            </w:pPr>
            <w:r w:rsidRPr="00132E6B">
              <w:t>Human Resource and Training Report</w:t>
            </w:r>
          </w:p>
          <w:p w:rsidR="00D550A8" w:rsidP="00F80588" w:rsidRDefault="00D550A8" w14:paraId="3C1D232F" w14:textId="6D8CFF8C">
            <w:pPr>
              <w:pStyle w:val="BodyText"/>
              <w:spacing w:after="0"/>
            </w:pPr>
            <w:r>
              <w:t>(HR and</w:t>
            </w:r>
            <w:r w:rsidRPr="00132E6B">
              <w:t xml:space="preserve"> Training Report)</w:t>
            </w:r>
          </w:p>
          <w:p w:rsidR="00D550A8" w:rsidP="00F80588" w:rsidRDefault="00D550A8" w14:paraId="7B7738BB" w14:textId="44DB922C">
            <w:pPr>
              <w:pStyle w:val="BodyText"/>
              <w:spacing w:after="0"/>
            </w:pPr>
            <w:r>
              <w:t>RR05</w:t>
            </w:r>
          </w:p>
        </w:tc>
        <w:tc>
          <w:tcPr>
            <w:tcW w:w="1711" w:type="dxa"/>
          </w:tcPr>
          <w:p w:rsidR="00D550A8" w:rsidP="00F80588" w:rsidRDefault="00D550A8" w14:paraId="27C85479" w14:textId="3683827E">
            <w:pPr>
              <w:pStyle w:val="BodyText"/>
              <w:spacing w:after="0"/>
              <w:rPr>
                <w:i/>
              </w:rPr>
            </w:pPr>
            <w:r w:rsidRPr="0024050C">
              <w:rPr>
                <w:i/>
              </w:rPr>
              <w:t>Quarterly</w:t>
            </w:r>
          </w:p>
        </w:tc>
        <w:tc>
          <w:tcPr>
            <w:tcW w:w="9358" w:type="dxa"/>
          </w:tcPr>
          <w:p w:rsidRPr="00F31239" w:rsidR="00D550A8" w:rsidP="00525713" w:rsidRDefault="00D550A8" w14:paraId="6E31F3D0" w14:textId="42CFD189">
            <w:pPr>
              <w:pStyle w:val="BodyText"/>
              <w:numPr>
                <w:ilvl w:val="0"/>
                <w:numId w:val="18"/>
              </w:numPr>
              <w:spacing w:after="0"/>
            </w:pPr>
            <w:r>
              <w:t xml:space="preserve">The </w:t>
            </w:r>
            <w:r w:rsidRPr="00F31239">
              <w:t xml:space="preserve">HR </w:t>
            </w:r>
            <w:r>
              <w:t>and</w:t>
            </w:r>
            <w:r w:rsidRPr="00F31239">
              <w:t xml:space="preserve"> Training Report shall include</w:t>
            </w:r>
            <w:r>
              <w:t xml:space="preserve"> for the previous Quarter</w:t>
            </w:r>
            <w:r w:rsidRPr="00F31239">
              <w:t>:</w:t>
            </w:r>
          </w:p>
          <w:p w:rsidRPr="00F31239" w:rsidR="00D550A8" w:rsidP="00445CDF" w:rsidRDefault="00D550A8" w14:paraId="0D635CD0" w14:textId="77777777">
            <w:pPr>
              <w:pStyle w:val="BodyText"/>
              <w:numPr>
                <w:ilvl w:val="1"/>
                <w:numId w:val="16"/>
              </w:numPr>
              <w:spacing w:after="0"/>
            </w:pPr>
            <w:r w:rsidRPr="00F31239">
              <w:t>details of training, certification, experience for</w:t>
            </w:r>
            <w:r>
              <w:t xml:space="preserve"> each role (ashore and afloat), </w:t>
            </w:r>
            <w:r w:rsidRPr="00F31239">
              <w:t>training shortfalls and rectification plan for such shortfalls;</w:t>
            </w:r>
          </w:p>
          <w:p w:rsidRPr="00F31239" w:rsidR="00D550A8" w:rsidP="00445CDF" w:rsidRDefault="00D550A8" w14:paraId="37EC60EB" w14:textId="77777777">
            <w:pPr>
              <w:pStyle w:val="BodyText"/>
              <w:numPr>
                <w:ilvl w:val="1"/>
                <w:numId w:val="16"/>
              </w:numPr>
              <w:spacing w:after="0"/>
            </w:pPr>
            <w:r w:rsidRPr="00F31239">
              <w:t xml:space="preserve">details of all relevant maritime qualifications and the date of certification for each seafarer, and the date of expiry of such certification; </w:t>
            </w:r>
          </w:p>
          <w:p w:rsidRPr="00F31239" w:rsidR="00D550A8" w:rsidP="00445CDF" w:rsidRDefault="00D550A8" w14:paraId="024EEA8C" w14:textId="4C472726">
            <w:pPr>
              <w:pStyle w:val="BodyText"/>
              <w:numPr>
                <w:ilvl w:val="1"/>
                <w:numId w:val="16"/>
              </w:numPr>
              <w:spacing w:after="0"/>
            </w:pPr>
            <w:r w:rsidRPr="00F31239">
              <w:t xml:space="preserve">a copy of the up-to-date record of familiarisation and mandatory training of seafarers in respect of each Vessel; </w:t>
            </w:r>
          </w:p>
          <w:p w:rsidR="00B94E01" w:rsidP="00445CDF" w:rsidRDefault="00D550A8" w14:paraId="06DDCE8F" w14:textId="77777777">
            <w:pPr>
              <w:pStyle w:val="BodyText"/>
              <w:numPr>
                <w:ilvl w:val="1"/>
                <w:numId w:val="16"/>
              </w:numPr>
              <w:spacing w:after="0"/>
            </w:pPr>
            <w:r w:rsidRPr="00F31239">
              <w:t>security clearance status for all Contractor Personnel</w:t>
            </w:r>
            <w:r>
              <w:t>, flagging where action is required in relation to any clearances which are approaching expiry</w:t>
            </w:r>
            <w:r w:rsidR="00B94E01">
              <w:t>; and</w:t>
            </w:r>
          </w:p>
          <w:p w:rsidRPr="00A848FD" w:rsidR="00D550A8" w:rsidP="00445CDF" w:rsidRDefault="00B94E01" w14:paraId="2888A1CD" w14:textId="7768C99C">
            <w:pPr>
              <w:pStyle w:val="BodyText"/>
              <w:numPr>
                <w:ilvl w:val="1"/>
                <w:numId w:val="16"/>
              </w:numPr>
              <w:spacing w:after="0"/>
            </w:pPr>
            <w:r>
              <w:t>an update as to progress made against the Human Resources Management Plan</w:t>
            </w:r>
            <w:r w:rsidRPr="00F31239" w:rsidR="00D550A8">
              <w:t xml:space="preserve">.   </w:t>
            </w:r>
          </w:p>
          <w:p w:rsidR="00D550A8" w:rsidP="00F80588" w:rsidRDefault="00D550A8" w14:paraId="46E031E5" w14:textId="6B415EF7">
            <w:pPr>
              <w:pStyle w:val="BodyText"/>
              <w:spacing w:after="0"/>
            </w:pPr>
          </w:p>
          <w:p w:rsidR="00D550A8" w:rsidP="00525713" w:rsidRDefault="00D550A8" w14:paraId="4024569D" w14:textId="1FB87710">
            <w:pPr>
              <w:pStyle w:val="BodyText"/>
              <w:numPr>
                <w:ilvl w:val="0"/>
                <w:numId w:val="18"/>
              </w:numPr>
              <w:spacing w:after="0"/>
            </w:pPr>
            <w:r w:rsidRPr="007E2D13">
              <w:t xml:space="preserve">The </w:t>
            </w:r>
            <w:r w:rsidRPr="00F31239">
              <w:t xml:space="preserve">HR </w:t>
            </w:r>
            <w:r>
              <w:t>and</w:t>
            </w:r>
            <w:r w:rsidRPr="00F31239">
              <w:t xml:space="preserve"> Training Report</w:t>
            </w:r>
            <w:r w:rsidRPr="007E2D13">
              <w:t xml:space="preserve"> is to be submitted to the Authority</w:t>
            </w:r>
            <w:r>
              <w:t>'s Representative</w:t>
            </w:r>
            <w:r w:rsidRPr="007E2D13">
              <w:t xml:space="preserve"> </w:t>
            </w:r>
            <w:r>
              <w:t>within five</w:t>
            </w:r>
            <w:r w:rsidRPr="007E2D13">
              <w:t xml:space="preserve"> </w:t>
            </w:r>
            <w:r>
              <w:t>(5) Business Days</w:t>
            </w:r>
            <w:r w:rsidRPr="007E2D13">
              <w:t xml:space="preserve"> </w:t>
            </w:r>
            <w:r>
              <w:t>of</w:t>
            </w:r>
            <w:r w:rsidRPr="007E2D13">
              <w:t xml:space="preserve"> the end of </w:t>
            </w:r>
            <w:r>
              <w:t>each Quarter</w:t>
            </w:r>
            <w:r w:rsidRPr="007E2D13">
              <w:t>.</w:t>
            </w:r>
          </w:p>
          <w:p w:rsidR="00D550A8" w:rsidP="00F80588" w:rsidRDefault="00D550A8" w14:paraId="4B5D729C" w14:textId="77777777">
            <w:pPr>
              <w:pStyle w:val="BodyText"/>
              <w:spacing w:after="0"/>
            </w:pPr>
          </w:p>
        </w:tc>
        <w:tc>
          <w:tcPr>
            <w:tcW w:w="1275" w:type="dxa"/>
          </w:tcPr>
          <w:p w:rsidR="00D550A8" w:rsidP="00F80588" w:rsidRDefault="00D550A8" w14:paraId="6A368CA2" w14:textId="77777777">
            <w:pPr>
              <w:pStyle w:val="BodyText"/>
              <w:spacing w:after="0"/>
              <w:rPr>
                <w:i/>
              </w:rPr>
            </w:pPr>
            <w:r w:rsidRPr="0024050C">
              <w:rPr>
                <w:i/>
              </w:rPr>
              <w:t>MPRB</w:t>
            </w:r>
          </w:p>
          <w:p w:rsidR="00D550A8" w:rsidP="00F80588" w:rsidRDefault="00D550A8" w14:paraId="0E62B34B" w14:textId="77777777">
            <w:pPr>
              <w:pStyle w:val="BodyText"/>
              <w:spacing w:after="0"/>
              <w:rPr>
                <w:i/>
              </w:rPr>
            </w:pPr>
          </w:p>
        </w:tc>
      </w:tr>
      <w:tr w:rsidR="00D550A8" w:rsidTr="00D550A8" w14:paraId="3915A03B" w14:textId="77777777">
        <w:trPr>
          <w:trHeight w:val="980"/>
        </w:trPr>
        <w:tc>
          <w:tcPr>
            <w:tcW w:w="2393" w:type="dxa"/>
          </w:tcPr>
          <w:p w:rsidR="00D550A8" w:rsidP="00F80588" w:rsidRDefault="00D550A8" w14:paraId="1F303F77" w14:textId="50BAC475">
            <w:pPr>
              <w:pStyle w:val="BodyText"/>
              <w:spacing w:after="0"/>
            </w:pPr>
            <w:r>
              <w:t xml:space="preserve">Local </w:t>
            </w:r>
            <w:r w:rsidRPr="00132E6B">
              <w:t>Human Resource and Training Report</w:t>
            </w:r>
          </w:p>
          <w:p w:rsidR="00A47348" w:rsidP="00A47348" w:rsidRDefault="00A47348" w14:paraId="554906BA" w14:textId="181B7C51">
            <w:pPr>
              <w:pStyle w:val="BodyText"/>
              <w:spacing w:after="0"/>
            </w:pPr>
            <w:r w:rsidRPr="000714AE">
              <w:t>RR0</w:t>
            </w:r>
            <w:r>
              <w:t xml:space="preserve">5L4 for SDA 4, </w:t>
            </w:r>
            <w:r w:rsidRPr="000714AE">
              <w:t>RR0</w:t>
            </w:r>
            <w:r>
              <w:t xml:space="preserve">5L5 for SDA 5 and </w:t>
            </w:r>
            <w:r w:rsidRPr="000714AE">
              <w:t>RR0</w:t>
            </w:r>
            <w:r>
              <w:t>5L7 for SDA 7</w:t>
            </w:r>
          </w:p>
          <w:p w:rsidR="00D550A8" w:rsidP="00F80588" w:rsidRDefault="00D550A8" w14:paraId="4F5F1B19" w14:textId="77777777">
            <w:pPr>
              <w:pStyle w:val="BodyText"/>
              <w:spacing w:after="0"/>
            </w:pPr>
          </w:p>
        </w:tc>
        <w:tc>
          <w:tcPr>
            <w:tcW w:w="1711" w:type="dxa"/>
          </w:tcPr>
          <w:p w:rsidR="00D550A8" w:rsidP="00F80588" w:rsidRDefault="00D550A8" w14:paraId="0E9F636E" w14:textId="77777777">
            <w:pPr>
              <w:pStyle w:val="BodyText"/>
              <w:spacing w:after="0"/>
              <w:rPr>
                <w:i/>
              </w:rPr>
            </w:pPr>
          </w:p>
        </w:tc>
        <w:tc>
          <w:tcPr>
            <w:tcW w:w="9358" w:type="dxa"/>
          </w:tcPr>
          <w:p w:rsidR="00D550A8" w:rsidP="00F80588" w:rsidRDefault="00D550A8" w14:paraId="13B6222B" w14:textId="61EED731">
            <w:pPr>
              <w:pStyle w:val="BodyText"/>
              <w:spacing w:after="0"/>
            </w:pPr>
            <w:r>
              <w:t>As per the HR and</w:t>
            </w:r>
            <w:r w:rsidRPr="00132E6B">
              <w:t xml:space="preserve"> Training Report</w:t>
            </w:r>
            <w:r>
              <w:t>, for the applicable SDA.</w:t>
            </w:r>
          </w:p>
        </w:tc>
        <w:tc>
          <w:tcPr>
            <w:tcW w:w="1275" w:type="dxa"/>
          </w:tcPr>
          <w:p w:rsidR="00D550A8" w:rsidP="00F80588" w:rsidRDefault="00D550A8" w14:paraId="1A1BD70C" w14:textId="0FEA27F5">
            <w:pPr>
              <w:pStyle w:val="BodyText"/>
              <w:spacing w:after="0"/>
              <w:rPr>
                <w:i/>
              </w:rPr>
            </w:pPr>
            <w:r>
              <w:rPr>
                <w:i/>
              </w:rPr>
              <w:t>LPWG</w:t>
            </w:r>
          </w:p>
        </w:tc>
      </w:tr>
      <w:tr w:rsidR="004E1BCB" w:rsidTr="00D550A8" w14:paraId="718ACAFD" w14:textId="77777777">
        <w:trPr>
          <w:trHeight w:val="980"/>
        </w:trPr>
        <w:tc>
          <w:tcPr>
            <w:tcW w:w="2393" w:type="dxa"/>
          </w:tcPr>
          <w:p w:rsidR="004E1BCB" w:rsidP="00F80588" w:rsidRDefault="00A80558" w14:paraId="17E4B4B2" w14:textId="621664FD">
            <w:pPr>
              <w:pStyle w:val="BodyText"/>
              <w:spacing w:after="0"/>
            </w:pPr>
            <w:r>
              <w:t>Annual Tasking Volume Report (ATVR)</w:t>
            </w:r>
          </w:p>
          <w:p w:rsidR="00A80558" w:rsidP="00F80588" w:rsidRDefault="00A80558" w14:paraId="0AF5955D" w14:textId="59DF92CE">
            <w:pPr>
              <w:pStyle w:val="BodyText"/>
              <w:spacing w:after="0"/>
            </w:pPr>
            <w:r>
              <w:t>RR06</w:t>
            </w:r>
          </w:p>
        </w:tc>
        <w:tc>
          <w:tcPr>
            <w:tcW w:w="1711" w:type="dxa"/>
          </w:tcPr>
          <w:p w:rsidR="004E1BCB" w:rsidP="00F80588" w:rsidRDefault="00A80558" w14:paraId="0A6FD6C6" w14:textId="240A2D0C">
            <w:pPr>
              <w:pStyle w:val="BodyText"/>
              <w:spacing w:after="0"/>
              <w:rPr>
                <w:i/>
              </w:rPr>
            </w:pPr>
            <w:r>
              <w:rPr>
                <w:i/>
              </w:rPr>
              <w:t>Annual</w:t>
            </w:r>
          </w:p>
        </w:tc>
        <w:tc>
          <w:tcPr>
            <w:tcW w:w="9358" w:type="dxa"/>
          </w:tcPr>
          <w:p w:rsidR="00A80558" w:rsidP="00EE0141" w:rsidRDefault="00A80558" w14:paraId="48BB84AD" w14:textId="2C8E91A5">
            <w:pPr>
              <w:pStyle w:val="BodyText"/>
              <w:numPr>
                <w:ilvl w:val="0"/>
                <w:numId w:val="32"/>
              </w:numPr>
              <w:spacing w:after="0"/>
            </w:pPr>
            <w:r w:rsidRPr="002E3015">
              <w:t xml:space="preserve">The </w:t>
            </w:r>
            <w:r>
              <w:t>Contractor shall prepare the Annual Tasking Volume Report for the previous Contract Year in accordance with Schedule 4 (</w:t>
            </w:r>
            <w:r w:rsidRPr="00741CB9">
              <w:t>Payment, Performance and Incentivisation Mechanism</w:t>
            </w:r>
            <w:r>
              <w:t>).</w:t>
            </w:r>
          </w:p>
          <w:p w:rsidR="004E1BCB" w:rsidP="00F80588" w:rsidRDefault="004E1BCB" w14:paraId="7F8F1011" w14:textId="77777777">
            <w:pPr>
              <w:pStyle w:val="BodyText"/>
              <w:spacing w:after="0"/>
            </w:pPr>
          </w:p>
        </w:tc>
        <w:tc>
          <w:tcPr>
            <w:tcW w:w="1275" w:type="dxa"/>
          </w:tcPr>
          <w:p w:rsidR="004E1BCB" w:rsidP="00F80588" w:rsidRDefault="00A80558" w14:paraId="2E684779" w14:textId="0ADDDE3C">
            <w:pPr>
              <w:pStyle w:val="BodyText"/>
              <w:spacing w:after="0"/>
              <w:rPr>
                <w:i/>
              </w:rPr>
            </w:pPr>
            <w:r w:rsidRPr="0024050C">
              <w:rPr>
                <w:i/>
              </w:rPr>
              <w:t>MPRB</w:t>
            </w:r>
          </w:p>
        </w:tc>
      </w:tr>
      <w:tr w:rsidR="00D550A8" w:rsidTr="00D550A8" w14:paraId="4021B627" w14:textId="77777777">
        <w:tc>
          <w:tcPr>
            <w:tcW w:w="2393" w:type="dxa"/>
          </w:tcPr>
          <w:p w:rsidRPr="009C24F3" w:rsidR="00D550A8" w:rsidP="00F80588" w:rsidRDefault="004E6171" w14:paraId="17A2688B" w14:textId="304B4F0C">
            <w:pPr>
              <w:pStyle w:val="BodyText"/>
              <w:spacing w:after="0"/>
            </w:pPr>
            <w:r>
              <w:t xml:space="preserve">Annual Financial </w:t>
            </w:r>
            <w:r w:rsidR="00B164B6">
              <w:t>Report</w:t>
            </w:r>
            <w:r w:rsidRPr="009C24F3" w:rsidR="00D550A8">
              <w:t xml:space="preserve"> </w:t>
            </w:r>
          </w:p>
          <w:p w:rsidRPr="00132E6B" w:rsidR="00D550A8" w:rsidP="00F80588" w:rsidRDefault="00D550A8" w14:paraId="4C914C13" w14:textId="025B6F91">
            <w:pPr>
              <w:pStyle w:val="BodyText"/>
              <w:spacing w:after="0"/>
            </w:pPr>
            <w:r w:rsidRPr="00132E6B">
              <w:t>RR0</w:t>
            </w:r>
            <w:r>
              <w:t>7</w:t>
            </w:r>
          </w:p>
        </w:tc>
        <w:tc>
          <w:tcPr>
            <w:tcW w:w="1711" w:type="dxa"/>
          </w:tcPr>
          <w:p w:rsidRPr="0024050C" w:rsidR="00D550A8" w:rsidP="00F80588" w:rsidRDefault="00D550A8" w14:paraId="7D205BDA" w14:textId="7BA2E80C">
            <w:pPr>
              <w:pStyle w:val="BodyText"/>
              <w:spacing w:after="0"/>
              <w:rPr>
                <w:i/>
              </w:rPr>
            </w:pPr>
            <w:r>
              <w:rPr>
                <w:i/>
              </w:rPr>
              <w:t>Annual</w:t>
            </w:r>
          </w:p>
        </w:tc>
        <w:tc>
          <w:tcPr>
            <w:tcW w:w="9358" w:type="dxa"/>
          </w:tcPr>
          <w:p w:rsidR="0000181A" w:rsidP="00EE0141" w:rsidRDefault="00D550A8" w14:paraId="053B659B" w14:textId="73791390">
            <w:pPr>
              <w:pStyle w:val="BodyText"/>
              <w:numPr>
                <w:ilvl w:val="0"/>
                <w:numId w:val="37"/>
              </w:numPr>
              <w:spacing w:after="0"/>
            </w:pPr>
            <w:r w:rsidRPr="002E3015">
              <w:t xml:space="preserve">The </w:t>
            </w:r>
            <w:r w:rsidR="0000181A">
              <w:t xml:space="preserve">Contractor shall prepare the </w:t>
            </w:r>
            <w:r w:rsidR="00C20691">
              <w:t>Annual</w:t>
            </w:r>
            <w:r w:rsidR="004E6171">
              <w:t xml:space="preserve"> Financial </w:t>
            </w:r>
            <w:r w:rsidR="00B164B6">
              <w:t>Report</w:t>
            </w:r>
            <w:r w:rsidR="004E6171">
              <w:t xml:space="preserve"> </w:t>
            </w:r>
            <w:r w:rsidR="0000181A">
              <w:t>f</w:t>
            </w:r>
            <w:r>
              <w:t>or the previous Contract Year</w:t>
            </w:r>
            <w:r w:rsidR="0000181A">
              <w:t xml:space="preserve"> in accordance with Schedule 31 (</w:t>
            </w:r>
            <w:r w:rsidR="00C20691">
              <w:t xml:space="preserve">Transparency and </w:t>
            </w:r>
            <w:r w:rsidR="0000181A">
              <w:t>Financial Model</w:t>
            </w:r>
            <w:r w:rsidR="00C20691">
              <w:t>s</w:t>
            </w:r>
            <w:r w:rsidR="0000181A">
              <w:t>).</w:t>
            </w:r>
          </w:p>
          <w:p w:rsidRPr="002E3015" w:rsidR="00D550A8" w:rsidP="0000181A" w:rsidRDefault="0000181A" w14:paraId="1A5C3599" w14:textId="21724278">
            <w:pPr>
              <w:pStyle w:val="BodyText"/>
              <w:spacing w:after="0"/>
              <w:ind w:left="360"/>
            </w:pPr>
            <w:r w:rsidRPr="002E3015">
              <w:t xml:space="preserve"> </w:t>
            </w:r>
          </w:p>
          <w:p w:rsidR="00D550A8" w:rsidP="00EE0141" w:rsidRDefault="00D550A8" w14:paraId="5290411E" w14:textId="38784417">
            <w:pPr>
              <w:pStyle w:val="BodyText"/>
              <w:numPr>
                <w:ilvl w:val="0"/>
                <w:numId w:val="37"/>
              </w:numPr>
              <w:spacing w:after="0"/>
            </w:pPr>
            <w:r w:rsidRPr="002E3015">
              <w:t xml:space="preserve">The </w:t>
            </w:r>
            <w:r w:rsidR="004E6171">
              <w:t xml:space="preserve">Annual Financial </w:t>
            </w:r>
            <w:r w:rsidR="00B164B6">
              <w:t>Report</w:t>
            </w:r>
            <w:r w:rsidRPr="002E3015">
              <w:t xml:space="preserve"> </w:t>
            </w:r>
            <w:r>
              <w:t xml:space="preserve">shall be </w:t>
            </w:r>
            <w:r w:rsidRPr="00981259">
              <w:t>signed off by the Contractor’s Finance Director (or equivalent) as a true and fair reflection of the financial performance of the Contract</w:t>
            </w:r>
            <w:r w:rsidR="00AA3D76">
              <w:t xml:space="preserve"> and shall </w:t>
            </w:r>
            <w:r w:rsidRPr="003C0CE6" w:rsidR="00AA3D76">
              <w:t xml:space="preserve">include a statement </w:t>
            </w:r>
            <w:r w:rsidR="00AA3D76">
              <w:t xml:space="preserve">to confirm </w:t>
            </w:r>
            <w:r w:rsidRPr="003C0CE6" w:rsidR="00AA3D76">
              <w:t>that</w:t>
            </w:r>
            <w:r w:rsidR="00AA3D76">
              <w:t xml:space="preserve"> any discounts, buying arrangements and/or corporate arrangements have been fully disclosed and the full benefits have been passed through to the Authority</w:t>
            </w:r>
            <w:r w:rsidRPr="003C0CE6" w:rsidR="00AA3D76">
              <w:t>.</w:t>
            </w:r>
          </w:p>
          <w:p w:rsidR="00D550A8" w:rsidP="00981259" w:rsidRDefault="00D550A8" w14:paraId="0F11731C" w14:textId="77777777">
            <w:pPr>
              <w:pStyle w:val="BodyText"/>
              <w:spacing w:after="0"/>
              <w:ind w:left="360"/>
            </w:pPr>
          </w:p>
          <w:p w:rsidR="00D550A8" w:rsidP="00EE0141" w:rsidRDefault="00D550A8" w14:paraId="2982F775" w14:textId="66B011C4">
            <w:pPr>
              <w:pStyle w:val="BodyText"/>
              <w:numPr>
                <w:ilvl w:val="0"/>
                <w:numId w:val="37"/>
              </w:numPr>
              <w:spacing w:after="0"/>
            </w:pPr>
            <w:r w:rsidRPr="007E2D13">
              <w:t xml:space="preserve">The </w:t>
            </w:r>
            <w:r w:rsidR="00C20691">
              <w:t xml:space="preserve">Annual </w:t>
            </w:r>
            <w:r w:rsidR="004E6171">
              <w:t xml:space="preserve">Financial </w:t>
            </w:r>
            <w:r w:rsidR="00B164B6">
              <w:t>Report</w:t>
            </w:r>
            <w:r w:rsidRPr="007E2D13" w:rsidR="004E6171">
              <w:t xml:space="preserve"> </w:t>
            </w:r>
            <w:r w:rsidRPr="007E2D13">
              <w:t>is to be submitted to the Authority</w:t>
            </w:r>
            <w:r>
              <w:t>'s Representative</w:t>
            </w:r>
            <w:r w:rsidRPr="007E2D13">
              <w:t xml:space="preserve"> </w:t>
            </w:r>
            <w:r>
              <w:t xml:space="preserve">within </w:t>
            </w:r>
            <w:r w:rsidR="00C215C7">
              <w:t>ten</w:t>
            </w:r>
            <w:r w:rsidR="00AD247F">
              <w:t xml:space="preserve"> (</w:t>
            </w:r>
            <w:r w:rsidR="00C215C7">
              <w:t>10</w:t>
            </w:r>
            <w:r w:rsidR="00AD247F">
              <w:t>)</w:t>
            </w:r>
            <w:r w:rsidRPr="007E2D13" w:rsidR="00AD247F">
              <w:t xml:space="preserve"> </w:t>
            </w:r>
            <w:r>
              <w:t>Business Days</w:t>
            </w:r>
            <w:r w:rsidRPr="007E2D13">
              <w:t xml:space="preserve"> </w:t>
            </w:r>
            <w:r>
              <w:t>of</w:t>
            </w:r>
            <w:r w:rsidRPr="007E2D13">
              <w:t xml:space="preserve"> the end of </w:t>
            </w:r>
            <w:r w:rsidR="009B0831">
              <w:t>each Contract Year</w:t>
            </w:r>
            <w:r w:rsidRPr="007E2D13">
              <w:t>.</w:t>
            </w:r>
          </w:p>
          <w:p w:rsidRPr="00E67A3C" w:rsidR="00D550A8" w:rsidP="00981259" w:rsidRDefault="00D550A8" w14:paraId="5B822CED" w14:textId="59B01130">
            <w:pPr>
              <w:pStyle w:val="BodyText"/>
              <w:spacing w:after="0"/>
            </w:pPr>
          </w:p>
        </w:tc>
        <w:tc>
          <w:tcPr>
            <w:tcW w:w="1275" w:type="dxa"/>
          </w:tcPr>
          <w:p w:rsidRPr="0024050C" w:rsidR="00D550A8" w:rsidP="00F80588" w:rsidRDefault="00D550A8" w14:paraId="752C50B9" w14:textId="77777777">
            <w:pPr>
              <w:pStyle w:val="BodyText"/>
              <w:spacing w:after="0"/>
              <w:rPr>
                <w:i/>
              </w:rPr>
            </w:pPr>
            <w:r w:rsidRPr="0024050C">
              <w:rPr>
                <w:i/>
              </w:rPr>
              <w:t>MPRB</w:t>
            </w:r>
          </w:p>
        </w:tc>
      </w:tr>
      <w:tr w:rsidR="00D550A8" w:rsidTr="00D550A8" w14:paraId="062BEC2D" w14:textId="77777777">
        <w:tc>
          <w:tcPr>
            <w:tcW w:w="2393" w:type="dxa"/>
          </w:tcPr>
          <w:p w:rsidRPr="00132E6B" w:rsidR="00D550A8" w:rsidP="00F80588" w:rsidRDefault="00D550A8" w14:paraId="6855D433" w14:textId="77777777">
            <w:pPr>
              <w:pStyle w:val="BodyText"/>
              <w:spacing w:after="0"/>
            </w:pPr>
            <w:r w:rsidRPr="00132E6B">
              <w:t>Annual Performance and Activity Report (APAR)</w:t>
            </w:r>
          </w:p>
          <w:p w:rsidRPr="00132E6B" w:rsidR="00D550A8" w:rsidP="00F80588" w:rsidRDefault="00D550A8" w14:paraId="3FBAA728" w14:textId="301564C6">
            <w:pPr>
              <w:pStyle w:val="BodyText"/>
              <w:spacing w:after="0"/>
            </w:pPr>
            <w:r w:rsidRPr="00132E6B">
              <w:t>RR0</w:t>
            </w:r>
            <w:r>
              <w:t>8</w:t>
            </w:r>
          </w:p>
        </w:tc>
        <w:tc>
          <w:tcPr>
            <w:tcW w:w="1711" w:type="dxa"/>
          </w:tcPr>
          <w:p w:rsidRPr="0024050C" w:rsidR="00D550A8" w:rsidP="00F80588" w:rsidRDefault="00D550A8" w14:paraId="76AB8251" w14:textId="77777777">
            <w:pPr>
              <w:pStyle w:val="BodyText"/>
              <w:spacing w:after="0"/>
              <w:rPr>
                <w:rStyle w:val="CommentReference"/>
                <w:i/>
              </w:rPr>
            </w:pPr>
            <w:r w:rsidRPr="0024050C">
              <w:rPr>
                <w:i/>
              </w:rPr>
              <w:t>Annual</w:t>
            </w:r>
          </w:p>
        </w:tc>
        <w:tc>
          <w:tcPr>
            <w:tcW w:w="9358" w:type="dxa"/>
          </w:tcPr>
          <w:p w:rsidR="00D550A8" w:rsidP="00EE0141" w:rsidRDefault="00D550A8" w14:paraId="2CB366FF" w14:textId="645F040F">
            <w:pPr>
              <w:pStyle w:val="BodyText"/>
              <w:numPr>
                <w:ilvl w:val="0"/>
                <w:numId w:val="33"/>
              </w:numPr>
              <w:spacing w:after="0"/>
            </w:pPr>
            <w:r>
              <w:t xml:space="preserve">The </w:t>
            </w:r>
            <w:r w:rsidRPr="00357764">
              <w:t xml:space="preserve">APAR </w:t>
            </w:r>
            <w:r>
              <w:t>shall</w:t>
            </w:r>
            <w:r w:rsidRPr="00357764">
              <w:t xml:space="preserve"> contain a general overview of the</w:t>
            </w:r>
            <w:r w:rsidR="009B0831">
              <w:t xml:space="preserve"> activity in the previous </w:t>
            </w:r>
            <w:r>
              <w:t>Contract Y</w:t>
            </w:r>
            <w:r w:rsidRPr="00357764">
              <w:t>ear</w:t>
            </w:r>
            <w:r>
              <w:t>, including:</w:t>
            </w:r>
            <w:r w:rsidRPr="00357764">
              <w:t xml:space="preserve"> </w:t>
            </w:r>
          </w:p>
          <w:p w:rsidR="00D550A8" w:rsidP="00EE0141" w:rsidRDefault="00D550A8" w14:paraId="79830AFE" w14:textId="2C765D34">
            <w:pPr>
              <w:pStyle w:val="BodyText"/>
              <w:numPr>
                <w:ilvl w:val="1"/>
                <w:numId w:val="33"/>
              </w:numPr>
              <w:spacing w:after="0"/>
            </w:pPr>
            <w:r w:rsidRPr="00357764">
              <w:t xml:space="preserve">an executive summary of </w:t>
            </w:r>
            <w:r>
              <w:t>the monthly Management Information provided to the Monthly Performanc</w:t>
            </w:r>
            <w:r w:rsidR="009B0831">
              <w:t>e Review Board in the previous Contract Year</w:t>
            </w:r>
            <w:r>
              <w:t xml:space="preserve"> including any commendations, </w:t>
            </w:r>
            <w:r w:rsidRPr="00357764">
              <w:t xml:space="preserve">shortcomings </w:t>
            </w:r>
            <w:r>
              <w:t>and</w:t>
            </w:r>
            <w:r w:rsidRPr="00357764">
              <w:t xml:space="preserve"> non-conformities</w:t>
            </w:r>
            <w:r>
              <w:t xml:space="preserve"> and a summary and explanation of</w:t>
            </w:r>
            <w:r w:rsidRPr="00357764">
              <w:t xml:space="preserve"> any major issues arising</w:t>
            </w:r>
            <w:r>
              <w:t>;</w:t>
            </w:r>
          </w:p>
          <w:p w:rsidR="00D550A8" w:rsidP="00EE0141" w:rsidRDefault="00D550A8" w14:paraId="3349A19E" w14:textId="34D921EB">
            <w:pPr>
              <w:pStyle w:val="BodyText"/>
              <w:numPr>
                <w:ilvl w:val="1"/>
                <w:numId w:val="33"/>
              </w:numPr>
              <w:spacing w:after="0"/>
            </w:pPr>
            <w:r>
              <w:t xml:space="preserve">a summary of </w:t>
            </w:r>
            <w:r w:rsidRPr="00357764">
              <w:t>aims, issues</w:t>
            </w:r>
            <w:r w:rsidR="009B0831">
              <w:t xml:space="preserve"> and objectives for the coming </w:t>
            </w:r>
            <w:r>
              <w:t>Contract Y</w:t>
            </w:r>
            <w:r w:rsidRPr="00357764">
              <w:t>ear</w:t>
            </w:r>
            <w:r>
              <w:t xml:space="preserve">; </w:t>
            </w:r>
          </w:p>
          <w:p w:rsidR="001549B9" w:rsidP="00EE0141" w:rsidRDefault="00D550A8" w14:paraId="3B5C4121" w14:textId="77777777">
            <w:pPr>
              <w:pStyle w:val="BodyText"/>
              <w:numPr>
                <w:ilvl w:val="1"/>
                <w:numId w:val="33"/>
              </w:numPr>
              <w:spacing w:after="0"/>
            </w:pPr>
            <w:r>
              <w:t xml:space="preserve">an excerpt of the Change Register to show all Changes made to the Contract in the previous Contract Year; </w:t>
            </w:r>
          </w:p>
          <w:p w:rsidR="00D550A8" w:rsidP="00EE0141" w:rsidRDefault="001549B9" w14:paraId="2ACA013E" w14:textId="44DFEFD8">
            <w:pPr>
              <w:pStyle w:val="BodyText"/>
              <w:numPr>
                <w:ilvl w:val="1"/>
                <w:numId w:val="33"/>
              </w:numPr>
              <w:spacing w:after="0"/>
            </w:pPr>
            <w:r>
              <w:t>an update as to progress made against the Social Value Plan and each social value KPI</w:t>
            </w:r>
            <w:r w:rsidR="004F5B2B">
              <w:t xml:space="preserve"> (see Appendix 5 (</w:t>
            </w:r>
            <w:r w:rsidRPr="004F5B2B" w:rsidR="004F5B2B">
              <w:t xml:space="preserve">Social Value Measurement </w:t>
            </w:r>
            <w:r w:rsidR="004F5B2B">
              <w:t>a</w:t>
            </w:r>
            <w:r w:rsidRPr="004F5B2B" w:rsidR="004F5B2B">
              <w:t>nd Reporting</w:t>
            </w:r>
            <w:r w:rsidR="004F5B2B">
              <w:t>))</w:t>
            </w:r>
            <w:r>
              <w:t xml:space="preserve">; </w:t>
            </w:r>
            <w:r w:rsidR="00D550A8">
              <w:t>and</w:t>
            </w:r>
          </w:p>
          <w:p w:rsidR="00D550A8" w:rsidP="00EE0141" w:rsidRDefault="00D550A8" w14:paraId="229E6F02" w14:textId="27D838C5">
            <w:pPr>
              <w:pStyle w:val="BodyText"/>
              <w:numPr>
                <w:ilvl w:val="1"/>
                <w:numId w:val="33"/>
              </w:numPr>
              <w:spacing w:after="0"/>
            </w:pPr>
            <w:r>
              <w:t>a</w:t>
            </w:r>
            <w:r w:rsidR="00DE4D7B">
              <w:t xml:space="preserve"> summary of any issues identified in any End User Quest</w:t>
            </w:r>
            <w:r w:rsidR="009B0831">
              <w:t xml:space="preserve">ionnaire, and actions taken to </w:t>
            </w:r>
            <w:r w:rsidR="00DE4D7B">
              <w:t>rectify such issues</w:t>
            </w:r>
            <w:r w:rsidRPr="007E2D13">
              <w:t xml:space="preserve"> (when</w:t>
            </w:r>
            <w:r>
              <w:t xml:space="preserve"> and where</w:t>
            </w:r>
            <w:r w:rsidRPr="007E2D13">
              <w:t xml:space="preserve"> applicable</w:t>
            </w:r>
            <w:r>
              <w:t>).</w:t>
            </w:r>
          </w:p>
          <w:p w:rsidRPr="00357764" w:rsidR="00D550A8" w:rsidP="00F80588" w:rsidRDefault="00D550A8" w14:paraId="33155E25" w14:textId="77777777">
            <w:pPr>
              <w:pStyle w:val="BodyText"/>
              <w:spacing w:after="0"/>
              <w:ind w:left="720"/>
            </w:pPr>
          </w:p>
          <w:p w:rsidRPr="00357764" w:rsidR="00D550A8" w:rsidP="00EE0141" w:rsidRDefault="00D550A8" w14:paraId="55C970AE" w14:textId="1580D4B5">
            <w:pPr>
              <w:pStyle w:val="BodyText"/>
              <w:numPr>
                <w:ilvl w:val="0"/>
                <w:numId w:val="33"/>
              </w:numPr>
              <w:spacing w:after="0"/>
            </w:pPr>
            <w:r>
              <w:t xml:space="preserve">The APAR shall </w:t>
            </w:r>
            <w:r w:rsidRPr="00357764">
              <w:t xml:space="preserve">include as </w:t>
            </w:r>
            <w:r>
              <w:t>a</w:t>
            </w:r>
            <w:r w:rsidRPr="00357764">
              <w:t xml:space="preserve">nnexes or </w:t>
            </w:r>
            <w:r>
              <w:t>e</w:t>
            </w:r>
            <w:r w:rsidR="00525713">
              <w:t>nclosures:</w:t>
            </w:r>
          </w:p>
          <w:p w:rsidRPr="00357764" w:rsidR="00D550A8" w:rsidP="00EE0141" w:rsidRDefault="00D550A8" w14:paraId="2BF4A8BE" w14:textId="7F1AB943">
            <w:pPr>
              <w:pStyle w:val="BodyText"/>
              <w:numPr>
                <w:ilvl w:val="1"/>
                <w:numId w:val="33"/>
              </w:numPr>
              <w:spacing w:after="0"/>
            </w:pPr>
            <w:r w:rsidRPr="00357764">
              <w:t>Annual A</w:t>
            </w:r>
            <w:r>
              <w:t>ctivity Report (</w:t>
            </w:r>
            <w:r w:rsidRPr="00357764">
              <w:t xml:space="preserve">based on </w:t>
            </w:r>
            <w:r>
              <w:t xml:space="preserve">the </w:t>
            </w:r>
            <w:r w:rsidRPr="00D80898">
              <w:t>Monthly Performance and Activity Report</w:t>
            </w:r>
            <w:r>
              <w:t>s</w:t>
            </w:r>
            <w:r w:rsidRPr="00357764">
              <w:t xml:space="preserve"> (RR01)</w:t>
            </w:r>
            <w:r>
              <w:t xml:space="preserve"> issued in</w:t>
            </w:r>
            <w:r w:rsidR="00AB4C11">
              <w:t xml:space="preserve"> the previous </w:t>
            </w:r>
            <w:r w:rsidR="00A80558">
              <w:t>Contract Year);</w:t>
            </w:r>
          </w:p>
          <w:p w:rsidR="00D550A8" w:rsidP="00EE0141" w:rsidRDefault="00D550A8" w14:paraId="63FA3938" w14:textId="1F2DA63A">
            <w:pPr>
              <w:pStyle w:val="BodyText"/>
              <w:numPr>
                <w:ilvl w:val="1"/>
                <w:numId w:val="33"/>
              </w:numPr>
              <w:spacing w:after="0"/>
            </w:pPr>
            <w:r w:rsidRPr="00357764">
              <w:t xml:space="preserve">Annual </w:t>
            </w:r>
            <w:r w:rsidRPr="00D80898">
              <w:t>Health Safety and Environmental Protection Report</w:t>
            </w:r>
            <w:r w:rsidRPr="00357764">
              <w:t xml:space="preserve"> </w:t>
            </w:r>
            <w:r w:rsidRPr="00D80898">
              <w:t xml:space="preserve">(based on the </w:t>
            </w:r>
            <w:r>
              <w:t>m</w:t>
            </w:r>
            <w:r w:rsidRPr="00D80898">
              <w:t>onthly Health Safety and Environmental Protection Report</w:t>
            </w:r>
            <w:r>
              <w:t>s (RR02</w:t>
            </w:r>
            <w:r w:rsidR="00481BF0">
              <w:t>) issued in the previous Contract Year</w:t>
            </w:r>
            <w:r w:rsidRPr="00D80898">
              <w:t xml:space="preserve">); </w:t>
            </w:r>
          </w:p>
          <w:p w:rsidR="00D550A8" w:rsidP="00EE0141" w:rsidRDefault="00D550A8" w14:paraId="1171FC07" w14:textId="715EBE20">
            <w:pPr>
              <w:pStyle w:val="BodyText"/>
              <w:numPr>
                <w:ilvl w:val="1"/>
                <w:numId w:val="33"/>
              </w:numPr>
              <w:spacing w:after="0"/>
            </w:pPr>
            <w:r>
              <w:t xml:space="preserve">Annual </w:t>
            </w:r>
            <w:r w:rsidRPr="007E2D13">
              <w:t>Fuel Report</w:t>
            </w:r>
            <w:r>
              <w:t xml:space="preserve"> </w:t>
            </w:r>
            <w:r w:rsidRPr="00D80898">
              <w:t xml:space="preserve">(based on the </w:t>
            </w:r>
            <w:r>
              <w:t>Fuel</w:t>
            </w:r>
            <w:r w:rsidRPr="00D80898">
              <w:t xml:space="preserve"> </w:t>
            </w:r>
            <w:r>
              <w:t xml:space="preserve">Usage </w:t>
            </w:r>
            <w:r w:rsidRPr="00D80898">
              <w:t>Report</w:t>
            </w:r>
            <w:r>
              <w:t>s (RR04</w:t>
            </w:r>
            <w:r w:rsidR="00481BF0">
              <w:t>) issued in the previous Contract Year</w:t>
            </w:r>
            <w:r w:rsidRPr="00D80898">
              <w:t>)</w:t>
            </w:r>
            <w:r>
              <w:t>;</w:t>
            </w:r>
          </w:p>
          <w:p w:rsidR="00D550A8" w:rsidP="00EE0141" w:rsidRDefault="00D550A8" w14:paraId="5CDE547C" w14:textId="0C9A1324">
            <w:pPr>
              <w:pStyle w:val="BodyText"/>
              <w:numPr>
                <w:ilvl w:val="1"/>
                <w:numId w:val="33"/>
              </w:numPr>
              <w:spacing w:after="0"/>
            </w:pPr>
            <w:r>
              <w:t>Annual Human Resource and Training Report (</w:t>
            </w:r>
            <w:r w:rsidRPr="007E2D13">
              <w:t xml:space="preserve">based on </w:t>
            </w:r>
            <w:r>
              <w:t xml:space="preserve">the </w:t>
            </w:r>
            <w:r w:rsidRPr="00802D8B">
              <w:t>Quarterly Human Resource and Training Report</w:t>
            </w:r>
            <w:r>
              <w:t xml:space="preserve">s (RR05) issued in the previous </w:t>
            </w:r>
            <w:r w:rsidR="00481BF0">
              <w:t>Contract Year</w:t>
            </w:r>
            <w:r>
              <w:t>);</w:t>
            </w:r>
            <w:r w:rsidR="00525713">
              <w:t xml:space="preserve"> and</w:t>
            </w:r>
          </w:p>
          <w:p w:rsidR="00D550A8" w:rsidP="00EE0141" w:rsidRDefault="00D550A8" w14:paraId="2A0E5630" w14:textId="1F7F705F">
            <w:pPr>
              <w:pStyle w:val="BodyText"/>
              <w:numPr>
                <w:ilvl w:val="1"/>
                <w:numId w:val="33"/>
              </w:numPr>
              <w:spacing w:after="0"/>
            </w:pPr>
            <w:r>
              <w:t>Annual</w:t>
            </w:r>
            <w:r w:rsidR="004E6171">
              <w:t xml:space="preserve"> Financial </w:t>
            </w:r>
            <w:r w:rsidR="00B164B6">
              <w:t>Report</w:t>
            </w:r>
            <w:r w:rsidRPr="007E2D13">
              <w:t xml:space="preserve"> </w:t>
            </w:r>
            <w:r w:rsidR="002F1815">
              <w:t>for the previous Contract Year prepared in accordance with Schedule 31 (</w:t>
            </w:r>
            <w:r w:rsidR="00C20691">
              <w:t xml:space="preserve">Transparency and </w:t>
            </w:r>
            <w:r w:rsidR="002F1815">
              <w:t>Financial Model</w:t>
            </w:r>
            <w:r w:rsidR="00C20691">
              <w:t>s</w:t>
            </w:r>
            <w:r w:rsidR="002F1815">
              <w:t>).</w:t>
            </w:r>
          </w:p>
          <w:p w:rsidR="00D550A8" w:rsidP="00EE0141" w:rsidRDefault="00D550A8" w14:paraId="030D4948" w14:textId="732FD67F">
            <w:pPr>
              <w:pStyle w:val="BodyText"/>
              <w:numPr>
                <w:ilvl w:val="0"/>
                <w:numId w:val="33"/>
              </w:numPr>
              <w:spacing w:after="0"/>
            </w:pPr>
            <w:r w:rsidRPr="007E2D13">
              <w:t>The APAR is to be submitted to the Authority</w:t>
            </w:r>
            <w:r w:rsidR="00481BF0">
              <w:t>'s Representative</w:t>
            </w:r>
            <w:r w:rsidRPr="007E2D13">
              <w:t xml:space="preserve"> </w:t>
            </w:r>
            <w:r w:rsidR="00481BF0">
              <w:t xml:space="preserve">within </w:t>
            </w:r>
            <w:r>
              <w:t>five (5)</w:t>
            </w:r>
            <w:r w:rsidRPr="007E2D13">
              <w:t xml:space="preserve"> </w:t>
            </w:r>
            <w:r>
              <w:t>Business Days</w:t>
            </w:r>
            <w:r w:rsidRPr="007E2D13">
              <w:t xml:space="preserve"> </w:t>
            </w:r>
            <w:r>
              <w:t xml:space="preserve">of </w:t>
            </w:r>
            <w:r w:rsidRPr="007E2D13">
              <w:t xml:space="preserve">the end of the </w:t>
            </w:r>
            <w:r>
              <w:t>Contract</w:t>
            </w:r>
            <w:r w:rsidRPr="007E2D13">
              <w:t xml:space="preserve"> Year.</w:t>
            </w:r>
          </w:p>
          <w:p w:rsidRPr="00731394" w:rsidR="00D550A8" w:rsidP="00F80588" w:rsidRDefault="00D550A8" w14:paraId="2FC0FA77" w14:textId="77777777">
            <w:pPr>
              <w:pStyle w:val="BodyText"/>
              <w:spacing w:after="0"/>
            </w:pPr>
          </w:p>
        </w:tc>
        <w:tc>
          <w:tcPr>
            <w:tcW w:w="1275" w:type="dxa"/>
          </w:tcPr>
          <w:p w:rsidR="00D550A8" w:rsidP="00F80588" w:rsidRDefault="00D550A8" w14:paraId="003438FE" w14:textId="77777777">
            <w:pPr>
              <w:pStyle w:val="BodyText"/>
              <w:spacing w:after="0"/>
              <w:rPr>
                <w:i/>
              </w:rPr>
            </w:pPr>
            <w:r w:rsidRPr="0024050C">
              <w:rPr>
                <w:i/>
              </w:rPr>
              <w:t xml:space="preserve">SB </w:t>
            </w:r>
            <w:r>
              <w:rPr>
                <w:i/>
              </w:rPr>
              <w:t>(for t</w:t>
            </w:r>
            <w:r w:rsidRPr="0024050C">
              <w:rPr>
                <w:i/>
              </w:rPr>
              <w:t xml:space="preserve">he SB </w:t>
            </w:r>
            <w:r>
              <w:rPr>
                <w:i/>
              </w:rPr>
              <w:t>meeting first held following the end of a Contract Year)</w:t>
            </w:r>
          </w:p>
          <w:p w:rsidRPr="0024050C" w:rsidR="00D550A8" w:rsidP="00F80588" w:rsidRDefault="00D550A8" w14:paraId="6E7B2AF5" w14:textId="77777777">
            <w:pPr>
              <w:pStyle w:val="BodyText"/>
              <w:spacing w:after="0"/>
              <w:rPr>
                <w:i/>
              </w:rPr>
            </w:pPr>
          </w:p>
        </w:tc>
      </w:tr>
      <w:tr w:rsidR="00D550A8" w:rsidTr="00D550A8" w14:paraId="23DC6BCE" w14:textId="77777777">
        <w:tc>
          <w:tcPr>
            <w:tcW w:w="2393" w:type="dxa"/>
          </w:tcPr>
          <w:p w:rsidR="00D550A8" w:rsidP="00F80588" w:rsidRDefault="00D550A8" w14:paraId="5472853F" w14:textId="77777777">
            <w:pPr>
              <w:pStyle w:val="BodyText"/>
              <w:spacing w:after="0"/>
            </w:pPr>
            <w:r>
              <w:t>Minutes of Governance Meetings</w:t>
            </w:r>
          </w:p>
          <w:p w:rsidRPr="00132E6B" w:rsidR="00D550A8" w:rsidP="00F80588" w:rsidRDefault="000C74F8" w14:paraId="097CFB08" w14:textId="614BE55D">
            <w:pPr>
              <w:pStyle w:val="BodyText"/>
              <w:spacing w:after="0"/>
            </w:pPr>
            <w:r>
              <w:t>RR09</w:t>
            </w:r>
          </w:p>
        </w:tc>
        <w:tc>
          <w:tcPr>
            <w:tcW w:w="1711" w:type="dxa"/>
          </w:tcPr>
          <w:p w:rsidR="00D550A8" w:rsidP="00F80588" w:rsidRDefault="000C74F8" w14:paraId="378277BD" w14:textId="77777777">
            <w:pPr>
              <w:pStyle w:val="BodyText"/>
              <w:spacing w:after="0"/>
              <w:rPr>
                <w:i/>
              </w:rPr>
            </w:pPr>
            <w:r>
              <w:rPr>
                <w:i/>
              </w:rPr>
              <w:t>In accordance with the meeting frequency specified in this Schedule 6 (</w:t>
            </w:r>
            <w:r w:rsidRPr="000C74F8">
              <w:rPr>
                <w:i/>
              </w:rPr>
              <w:t xml:space="preserve">Governance, Management Information, Reports, </w:t>
            </w:r>
            <w:r>
              <w:rPr>
                <w:i/>
              </w:rPr>
              <w:t>Records and Audit)</w:t>
            </w:r>
          </w:p>
          <w:p w:rsidRPr="0024050C" w:rsidR="000C74F8" w:rsidP="00F80588" w:rsidRDefault="000C74F8" w14:paraId="1AB72545" w14:textId="60EB21F4">
            <w:pPr>
              <w:pStyle w:val="BodyText"/>
              <w:spacing w:after="0"/>
              <w:rPr>
                <w:i/>
              </w:rPr>
            </w:pPr>
          </w:p>
        </w:tc>
        <w:tc>
          <w:tcPr>
            <w:tcW w:w="9358" w:type="dxa"/>
          </w:tcPr>
          <w:p w:rsidR="00D550A8" w:rsidP="00EE0141" w:rsidRDefault="00D550A8" w14:paraId="6634D242" w14:textId="6BEAB510">
            <w:pPr>
              <w:pStyle w:val="BodyText"/>
              <w:numPr>
                <w:ilvl w:val="0"/>
                <w:numId w:val="27"/>
              </w:numPr>
              <w:spacing w:after="0"/>
            </w:pPr>
            <w:r>
              <w:t>The Contractor shall draft minutes for all meetings of the Strategic Board, Monthly Performance Review Board and Local Performance Working Group in accordance with the requirements of Part A (Governance) of this Schedule 6 (Governance, Management Information, Reports, Records and Audit)), such draft minutes shall present a full and accurate representation of the meeting in question.</w:t>
            </w:r>
          </w:p>
          <w:p w:rsidR="00D550A8" w:rsidP="00DE417A" w:rsidRDefault="00D550A8" w14:paraId="7F1D86DA" w14:textId="22385580">
            <w:pPr>
              <w:pStyle w:val="BodyText"/>
              <w:spacing w:after="0"/>
              <w:ind w:left="360"/>
            </w:pPr>
          </w:p>
        </w:tc>
        <w:tc>
          <w:tcPr>
            <w:tcW w:w="1275" w:type="dxa"/>
          </w:tcPr>
          <w:p w:rsidRPr="0024050C" w:rsidR="00D550A8" w:rsidP="00F80588" w:rsidRDefault="00D550A8" w14:paraId="576DA193" w14:textId="77777777">
            <w:pPr>
              <w:pStyle w:val="BodyText"/>
              <w:spacing w:after="0"/>
              <w:rPr>
                <w:i/>
              </w:rPr>
            </w:pPr>
          </w:p>
        </w:tc>
      </w:tr>
      <w:tr w:rsidR="00E24D87" w:rsidTr="00D550A8" w14:paraId="3AB1BCF4" w14:textId="77777777">
        <w:tc>
          <w:tcPr>
            <w:tcW w:w="2393" w:type="dxa"/>
          </w:tcPr>
          <w:p w:rsidR="00E24D87" w:rsidP="00E24D87" w:rsidRDefault="000862F4" w14:paraId="3799FEE2" w14:textId="3BB855AB">
            <w:pPr>
              <w:pStyle w:val="BodyText"/>
              <w:spacing w:after="0"/>
            </w:pPr>
            <w:r>
              <w:t>Baseline Financial Report / Updated Baseline Financial Report</w:t>
            </w:r>
          </w:p>
          <w:p w:rsidR="00E24D87" w:rsidP="00E24D87" w:rsidRDefault="000C74F8" w14:paraId="1E922ACC" w14:textId="715D9F53">
            <w:pPr>
              <w:pStyle w:val="BodyText"/>
              <w:spacing w:after="0"/>
            </w:pPr>
            <w:r>
              <w:t>RR10</w:t>
            </w:r>
          </w:p>
          <w:p w:rsidRPr="00132E6B" w:rsidR="00E24D87" w:rsidP="00E24D87" w:rsidRDefault="00E24D87" w14:paraId="7486B7A6" w14:textId="67BF7936">
            <w:pPr>
              <w:pStyle w:val="BodyText"/>
              <w:spacing w:after="0"/>
            </w:pPr>
          </w:p>
        </w:tc>
        <w:tc>
          <w:tcPr>
            <w:tcW w:w="1711" w:type="dxa"/>
          </w:tcPr>
          <w:p w:rsidRPr="0024050C" w:rsidR="00E24D87" w:rsidP="00847371" w:rsidRDefault="00847371" w14:paraId="6F405A4F" w14:textId="3D43A3D2">
            <w:pPr>
              <w:pStyle w:val="BodyText"/>
              <w:spacing w:after="0"/>
              <w:rPr>
                <w:i/>
              </w:rPr>
            </w:pPr>
            <w:r>
              <w:rPr>
                <w:i/>
              </w:rPr>
              <w:t>In accordance with Schedule 31 (Financial Model)</w:t>
            </w:r>
          </w:p>
        </w:tc>
        <w:tc>
          <w:tcPr>
            <w:tcW w:w="9358" w:type="dxa"/>
          </w:tcPr>
          <w:p w:rsidR="00D32F3D" w:rsidP="00E24D87" w:rsidRDefault="00D32F3D" w14:paraId="7E8B3F80" w14:textId="7D77FF45">
            <w:pPr>
              <w:pStyle w:val="BodyText"/>
              <w:spacing w:after="0"/>
              <w:rPr>
                <w:b/>
                <w:i/>
                <w:highlight w:val="yellow"/>
              </w:rPr>
            </w:pPr>
            <w:r>
              <w:t xml:space="preserve">The Contractor shall upload to the Shared Data Environment </w:t>
            </w:r>
            <w:r w:rsidR="00C20691">
              <w:t>the</w:t>
            </w:r>
            <w:r>
              <w:t xml:space="preserve"> </w:t>
            </w:r>
            <w:r w:rsidR="000862F4">
              <w:t>Baseline</w:t>
            </w:r>
            <w:r>
              <w:t xml:space="preserve"> Financial </w:t>
            </w:r>
            <w:r w:rsidR="000862F4">
              <w:t>Report, and any Updated Baseline Financial Model</w:t>
            </w:r>
            <w:r>
              <w:t xml:space="preserve"> </w:t>
            </w:r>
            <w:r w:rsidR="000E68B0">
              <w:t xml:space="preserve">and/or Updated Baseline Operational Model </w:t>
            </w:r>
            <w:r w:rsidR="00C20691">
              <w:t>prepared and agreed pursuant to</w:t>
            </w:r>
            <w:r>
              <w:t xml:space="preserve"> Schedule 31 (</w:t>
            </w:r>
            <w:r w:rsidR="00C20691">
              <w:t xml:space="preserve">Transparency and </w:t>
            </w:r>
            <w:r>
              <w:t>Financial Model</w:t>
            </w:r>
            <w:r w:rsidR="00C20691">
              <w:t>s</w:t>
            </w:r>
            <w:r>
              <w:t>)</w:t>
            </w:r>
            <w:r w:rsidR="000862F4">
              <w:t>, and such reports shall be presented to the MPRB at the next MPRB meeting following such upload</w:t>
            </w:r>
            <w:r>
              <w:t>.</w:t>
            </w:r>
          </w:p>
          <w:p w:rsidRPr="00E24D87" w:rsidR="00E24D87" w:rsidP="00770397" w:rsidRDefault="00E24D87" w14:paraId="12D56C6F" w14:textId="13EA1C35">
            <w:pPr>
              <w:pStyle w:val="BodyText"/>
              <w:spacing w:after="0"/>
              <w:rPr>
                <w:b/>
                <w:i/>
                <w:highlight w:val="yellow"/>
              </w:rPr>
            </w:pPr>
          </w:p>
        </w:tc>
        <w:tc>
          <w:tcPr>
            <w:tcW w:w="1275" w:type="dxa"/>
          </w:tcPr>
          <w:p w:rsidRPr="0024050C" w:rsidR="00E24D87" w:rsidP="00E24D87" w:rsidRDefault="00D32F3D" w14:paraId="3C6646AA" w14:textId="18E1E502">
            <w:pPr>
              <w:pStyle w:val="BodyText"/>
              <w:spacing w:after="0"/>
              <w:rPr>
                <w:i/>
              </w:rPr>
            </w:pPr>
            <w:r w:rsidRPr="0024050C">
              <w:rPr>
                <w:i/>
              </w:rPr>
              <w:t>MPRB</w:t>
            </w:r>
          </w:p>
        </w:tc>
      </w:tr>
      <w:tr w:rsidR="00D550A8" w:rsidTr="00D550A8" w14:paraId="10C640EA" w14:textId="77777777">
        <w:tc>
          <w:tcPr>
            <w:tcW w:w="2393" w:type="dxa"/>
          </w:tcPr>
          <w:p w:rsidR="00D550A8" w:rsidP="00F80588" w:rsidRDefault="00D550A8" w14:paraId="41433A69" w14:textId="77777777">
            <w:pPr>
              <w:pStyle w:val="BodyText"/>
              <w:spacing w:after="0"/>
            </w:pPr>
            <w:r w:rsidRPr="00921601">
              <w:t>Q</w:t>
            </w:r>
            <w:r>
              <w:t>uality Rectification Plan</w:t>
            </w:r>
          </w:p>
          <w:p w:rsidR="00D550A8" w:rsidP="00F80588" w:rsidRDefault="000C74F8" w14:paraId="78686A43" w14:textId="3674E36B">
            <w:pPr>
              <w:pStyle w:val="BodyText"/>
              <w:spacing w:after="0"/>
            </w:pPr>
            <w:r>
              <w:t>RR11</w:t>
            </w:r>
          </w:p>
        </w:tc>
        <w:tc>
          <w:tcPr>
            <w:tcW w:w="1711" w:type="dxa"/>
          </w:tcPr>
          <w:p w:rsidRPr="0024050C" w:rsidR="00D550A8" w:rsidP="00F80588" w:rsidRDefault="000C74F8" w14:paraId="58C185F3" w14:textId="0DB4C133">
            <w:pPr>
              <w:pStyle w:val="BodyText"/>
              <w:spacing w:after="0"/>
              <w:rPr>
                <w:i/>
              </w:rPr>
            </w:pPr>
            <w:r>
              <w:rPr>
                <w:i/>
              </w:rPr>
              <w:t>Monthly (when a QRP is in place)</w:t>
            </w:r>
          </w:p>
        </w:tc>
        <w:tc>
          <w:tcPr>
            <w:tcW w:w="9358" w:type="dxa"/>
          </w:tcPr>
          <w:p w:rsidR="00CF2113" w:rsidP="00EE0141" w:rsidRDefault="00CF2113" w14:paraId="55BF7C56" w14:textId="40BF0FF1">
            <w:pPr>
              <w:pStyle w:val="BodyText"/>
              <w:numPr>
                <w:ilvl w:val="0"/>
                <w:numId w:val="29"/>
              </w:numPr>
              <w:spacing w:after="0"/>
            </w:pPr>
            <w:r>
              <w:t xml:space="preserve">As required by the Authority, the Contractor shall deliver a QRP in accordance with the requirements set out in </w:t>
            </w:r>
            <w:r w:rsidR="00B81980">
              <w:t>Schedule 4 (</w:t>
            </w:r>
            <w:r w:rsidRPr="00741CB9" w:rsidR="00B81980">
              <w:t>Payment, Performance and Incentivisation Mechanism</w:t>
            </w:r>
            <w:r w:rsidR="00B81980">
              <w:t>)</w:t>
            </w:r>
            <w:r>
              <w:t>.</w:t>
            </w:r>
          </w:p>
          <w:p w:rsidR="00CF2113" w:rsidP="00770397" w:rsidRDefault="00CF2113" w14:paraId="15B51131" w14:textId="77777777">
            <w:pPr>
              <w:pStyle w:val="BodyText"/>
              <w:spacing w:after="0"/>
              <w:ind w:left="360"/>
            </w:pPr>
          </w:p>
          <w:p w:rsidR="00AA5834" w:rsidP="00EE0141" w:rsidRDefault="00B81980" w14:paraId="5781EA50" w14:textId="2ADA3E2A">
            <w:pPr>
              <w:pStyle w:val="BodyText"/>
              <w:numPr>
                <w:ilvl w:val="0"/>
                <w:numId w:val="29"/>
              </w:numPr>
              <w:spacing w:after="0"/>
            </w:pPr>
            <w:r>
              <w:t>For each month that a QRP is in place, th</w:t>
            </w:r>
            <w:r w:rsidR="00AA5834">
              <w:t xml:space="preserve">e Contractor shall provide a summary of all outcomes and timescales for </w:t>
            </w:r>
            <w:r>
              <w:t>such</w:t>
            </w:r>
            <w:r w:rsidR="00AA5834">
              <w:t xml:space="preserve"> QRP</w:t>
            </w:r>
            <w:r>
              <w:t>(s)</w:t>
            </w:r>
            <w:r w:rsidR="00AA5834">
              <w:t>, and a progress update against such QRP</w:t>
            </w:r>
            <w:r>
              <w:t>(s)</w:t>
            </w:r>
            <w:r w:rsidR="000C74F8">
              <w:t>.</w:t>
            </w:r>
          </w:p>
          <w:p w:rsidR="00D550A8" w:rsidP="00770397" w:rsidRDefault="00D550A8" w14:paraId="133C8DA0" w14:textId="136FF04C">
            <w:pPr>
              <w:pStyle w:val="BodyText"/>
              <w:spacing w:after="0"/>
            </w:pPr>
          </w:p>
        </w:tc>
        <w:tc>
          <w:tcPr>
            <w:tcW w:w="1275" w:type="dxa"/>
          </w:tcPr>
          <w:p w:rsidRPr="0024050C" w:rsidR="00D550A8" w:rsidP="00F80588" w:rsidRDefault="00D32F3D" w14:paraId="6E5D6A5C" w14:textId="7B283CC3">
            <w:pPr>
              <w:pStyle w:val="BodyText"/>
              <w:spacing w:after="0"/>
              <w:rPr>
                <w:i/>
              </w:rPr>
            </w:pPr>
            <w:r w:rsidRPr="0024050C">
              <w:rPr>
                <w:i/>
              </w:rPr>
              <w:t>MPRB</w:t>
            </w:r>
          </w:p>
        </w:tc>
      </w:tr>
    </w:tbl>
    <w:p w:rsidR="00204CAD" w:rsidP="008A20BD" w:rsidRDefault="00204CAD" w14:paraId="2B31268E" w14:textId="77777777">
      <w:pPr>
        <w:pStyle w:val="BodyText"/>
      </w:pPr>
    </w:p>
    <w:p w:rsidR="00CF4A0B" w:rsidP="008A20BD" w:rsidRDefault="00CF4A0B" w14:paraId="17A0D341" w14:textId="77777777">
      <w:pPr>
        <w:pStyle w:val="BodyText"/>
      </w:pPr>
    </w:p>
    <w:p w:rsidR="008A20BD" w:rsidP="008A20BD" w:rsidRDefault="008A20BD" w14:paraId="0FD52AE6" w14:textId="77777777">
      <w:pPr>
        <w:pStyle w:val="BodyText"/>
      </w:pPr>
    </w:p>
    <w:p w:rsidR="008A20BD" w:rsidP="008A20BD" w:rsidRDefault="008A20BD" w14:paraId="7FDB7B90" w14:textId="77777777">
      <w:pPr>
        <w:rPr>
          <w:b/>
          <w:sz w:val="24"/>
          <w:szCs w:val="24"/>
        </w:rPr>
      </w:pPr>
      <w:r>
        <w:rPr>
          <w:b/>
          <w:sz w:val="24"/>
          <w:szCs w:val="24"/>
        </w:rPr>
        <w:br w:type="page"/>
      </w:r>
    </w:p>
    <w:p w:rsidR="00257C51" w:rsidP="008A20BD" w:rsidRDefault="00257C51" w14:paraId="2220447E" w14:textId="77777777">
      <w:pPr>
        <w:pStyle w:val="Schedule2"/>
        <w:keepNext/>
        <w:sectPr w:rsidR="00257C51" w:rsidSect="004C69B6">
          <w:pgSz w:w="16838" w:h="11906" w:orient="landscape" w:code="9"/>
          <w:pgMar w:top="1440" w:right="1440" w:bottom="1440" w:left="1440" w:header="709" w:footer="709" w:gutter="0"/>
          <w:cols w:space="708"/>
          <w:docGrid w:linePitch="360"/>
        </w:sectPr>
      </w:pPr>
    </w:p>
    <w:p w:rsidRPr="00BF5D4C" w:rsidR="008A20BD" w:rsidP="008A20BD" w:rsidRDefault="008A20BD" w14:paraId="4AF04EF2" w14:textId="77777777">
      <w:pPr>
        <w:pStyle w:val="Schedule2"/>
        <w:keepNext/>
      </w:pPr>
      <w:r w:rsidRPr="00BF5D4C">
        <w:t>Part C</w:t>
      </w:r>
      <w:r>
        <w:t>:</w:t>
      </w:r>
      <w:r w:rsidRPr="00BF5D4C">
        <w:t xml:space="preserve"> </w:t>
      </w:r>
      <w:r w:rsidR="00855193">
        <w:t xml:space="preserve">Other </w:t>
      </w:r>
      <w:r w:rsidRPr="00BF5D4C">
        <w:t xml:space="preserve">Reports </w:t>
      </w:r>
      <w:r w:rsidR="00855193">
        <w:t>and Information</w:t>
      </w:r>
    </w:p>
    <w:p w:rsidRPr="008A20BD" w:rsidR="008A20BD" w:rsidP="007670C9" w:rsidRDefault="008A20BD" w14:paraId="00116419" w14:textId="7180D457">
      <w:pPr>
        <w:pStyle w:val="Simple1"/>
        <w:keepNext/>
        <w:numPr>
          <w:ilvl w:val="0"/>
          <w:numId w:val="12"/>
        </w:numPr>
        <w:rPr>
          <w:b/>
        </w:rPr>
      </w:pPr>
      <w:r w:rsidRPr="008A20BD">
        <w:rPr>
          <w:b/>
        </w:rPr>
        <w:t>OTHER REPORTS AND INFORMATION</w:t>
      </w:r>
    </w:p>
    <w:p w:rsidR="008A20BD" w:rsidP="008A20BD" w:rsidRDefault="008A20BD" w14:paraId="3639BFD1" w14:textId="4C42B39B">
      <w:pPr>
        <w:pStyle w:val="Simple2"/>
      </w:pPr>
      <w:r w:rsidRPr="00DE5688">
        <w:rPr>
          <w:bCs/>
        </w:rPr>
        <w:t>In</w:t>
      </w:r>
      <w:r w:rsidRPr="00DE5688">
        <w:t xml:space="preserve"> addition to any other reporting requirements and/or requirements for the provision of </w:t>
      </w:r>
      <w:r w:rsidR="00241475">
        <w:t>Management I</w:t>
      </w:r>
      <w:r w:rsidRPr="00DE5688">
        <w:t>nformation</w:t>
      </w:r>
      <w:r w:rsidR="00241475">
        <w:t xml:space="preserve"> (as set out in Part B of this Schedule 6 (Governance, Management Information, Reports, Records and Audit))</w:t>
      </w:r>
      <w:r w:rsidRPr="00DE5688">
        <w:t xml:space="preserve"> under this Contract, the Authority may require </w:t>
      </w:r>
      <w:r>
        <w:t xml:space="preserve">the Contractor to provide </w:t>
      </w:r>
      <w:r w:rsidR="00241475">
        <w:t>additional</w:t>
      </w:r>
      <w:r w:rsidRPr="00DE5688">
        <w:t xml:space="preserve"> </w:t>
      </w:r>
      <w:r w:rsidR="000C74F8">
        <w:t>r</w:t>
      </w:r>
      <w:r w:rsidRPr="00DE5688">
        <w:t>eports or information</w:t>
      </w:r>
      <w:r>
        <w:t xml:space="preserve"> from time to time</w:t>
      </w:r>
      <w:r w:rsidR="00241475">
        <w:t>, including the following</w:t>
      </w:r>
      <w:r w:rsidRPr="00DE5688">
        <w:t>:</w:t>
      </w:r>
    </w:p>
    <w:p w:rsidR="008A20BD" w:rsidP="008A20BD" w:rsidRDefault="00C15FE1" w14:paraId="3BB8D9A1" w14:textId="3D0BBC49">
      <w:pPr>
        <w:pStyle w:val="Simple3"/>
      </w:pPr>
      <w:r>
        <w:t xml:space="preserve">any </w:t>
      </w:r>
      <w:r w:rsidR="008A20BD">
        <w:t>security reports</w:t>
      </w:r>
      <w:r w:rsidR="00FD530F">
        <w:t xml:space="preserve"> required pursuant to</w:t>
      </w:r>
      <w:r w:rsidR="000A66AE">
        <w:t xml:space="preserve"> </w:t>
      </w:r>
      <w:r>
        <w:t>Schedule 8 (Security and Information Management)</w:t>
      </w:r>
      <w:r w:rsidR="008A20BD">
        <w:t xml:space="preserve">; </w:t>
      </w:r>
    </w:p>
    <w:p w:rsidR="005B336D" w:rsidP="008A20BD" w:rsidRDefault="008A20BD" w14:paraId="42C0F90E" w14:textId="77777777">
      <w:pPr>
        <w:pStyle w:val="Simple3"/>
      </w:pPr>
      <w:r>
        <w:t xml:space="preserve">reports on </w:t>
      </w:r>
      <w:r w:rsidRPr="00DE5688">
        <w:t>Force Majeure Event</w:t>
      </w:r>
      <w:r w:rsidR="00241475">
        <w:t>s</w:t>
      </w:r>
      <w:r w:rsidR="0015016A">
        <w:t xml:space="preserve">; </w:t>
      </w:r>
    </w:p>
    <w:p w:rsidRPr="00127082" w:rsidR="004C167B" w:rsidP="00127082" w:rsidRDefault="00241475" w14:paraId="75A0199E" w14:textId="580200DE">
      <w:pPr>
        <w:pStyle w:val="Simple3"/>
        <w:rPr>
          <w:rFonts w:cs="Arial"/>
          <w:bCs/>
        </w:rPr>
      </w:pPr>
      <w:r w:rsidRPr="003B2C30">
        <w:rPr>
          <w:rFonts w:cs="Arial"/>
          <w:bCs/>
        </w:rPr>
        <w:t xml:space="preserve">reports/information required in </w:t>
      </w:r>
      <w:r w:rsidRPr="003B2C30" w:rsidR="00B64503">
        <w:rPr>
          <w:rFonts w:cs="Arial"/>
          <w:bCs/>
        </w:rPr>
        <w:t>respect of the Publishable Performance Information</w:t>
      </w:r>
      <w:r w:rsidR="004C167B">
        <w:rPr>
          <w:rFonts w:cs="Arial"/>
          <w:bCs/>
        </w:rPr>
        <w:t>;</w:t>
      </w:r>
      <w:r w:rsidRPr="003B2C30" w:rsidR="0015016A">
        <w:rPr>
          <w:rFonts w:cs="Arial"/>
          <w:bCs/>
        </w:rPr>
        <w:t xml:space="preserve"> </w:t>
      </w:r>
      <w:r w:rsidR="004C167B">
        <w:t>and</w:t>
      </w:r>
    </w:p>
    <w:p w:rsidRPr="003B2C30" w:rsidR="004C167B" w:rsidP="00725CA2" w:rsidRDefault="00885BE1" w14:paraId="1CCC1624" w14:textId="583B0B2B">
      <w:pPr>
        <w:pStyle w:val="Simple3"/>
        <w:rPr>
          <w:rFonts w:cs="Arial"/>
          <w:bCs/>
        </w:rPr>
      </w:pPr>
      <w:r>
        <w:rPr>
          <w:rFonts w:cs="Arial"/>
          <w:bCs/>
        </w:rPr>
        <w:t>the</w:t>
      </w:r>
      <w:r w:rsidR="00A910AE">
        <w:rPr>
          <w:rFonts w:cs="Arial"/>
          <w:bCs/>
        </w:rPr>
        <w:t xml:space="preserve"> </w:t>
      </w:r>
      <w:r w:rsidRPr="004C167B" w:rsidR="00A910AE">
        <w:rPr>
          <w:bCs/>
        </w:rPr>
        <w:t>Supply Chain Transparency Reports</w:t>
      </w:r>
      <w:r w:rsidR="00A910AE">
        <w:rPr>
          <w:bCs/>
        </w:rPr>
        <w:t xml:space="preserve"> in accordance with </w:t>
      </w:r>
      <w:r w:rsidR="00B761F0">
        <w:rPr>
          <w:bCs/>
        </w:rPr>
        <w:t>paragraph</w:t>
      </w:r>
      <w:r w:rsidR="00B74F29">
        <w:rPr>
          <w:bCs/>
        </w:rPr>
        <w:t xml:space="preserve"> </w:t>
      </w:r>
      <w:r w:rsidR="00A910AE">
        <w:rPr>
          <w:bCs/>
        </w:rPr>
        <w:fldChar w:fldCharType="begin"/>
      </w:r>
      <w:r w:rsidR="00A910AE">
        <w:rPr>
          <w:bCs/>
        </w:rPr>
        <w:instrText xml:space="preserve"> REF _Ref115691668 \r \h </w:instrText>
      </w:r>
      <w:r w:rsidR="00A910AE">
        <w:rPr>
          <w:bCs/>
        </w:rPr>
      </w:r>
      <w:r w:rsidR="00A910AE">
        <w:rPr>
          <w:bCs/>
        </w:rPr>
        <w:fldChar w:fldCharType="separate"/>
      </w:r>
      <w:r w:rsidR="00E8541C">
        <w:rPr>
          <w:bCs/>
        </w:rPr>
        <w:t>2</w:t>
      </w:r>
      <w:r w:rsidR="00A910AE">
        <w:rPr>
          <w:bCs/>
        </w:rPr>
        <w:fldChar w:fldCharType="end"/>
      </w:r>
      <w:r w:rsidR="00A910AE">
        <w:rPr>
          <w:bCs/>
        </w:rPr>
        <w:t xml:space="preserve"> below,</w:t>
      </w:r>
    </w:p>
    <w:p w:rsidR="006639A7" w:rsidP="0015016A" w:rsidRDefault="0015016A" w14:paraId="27294AB8" w14:textId="5998266D">
      <w:pPr>
        <w:pStyle w:val="Simple2"/>
        <w:numPr>
          <w:ilvl w:val="0"/>
          <w:numId w:val="0"/>
        </w:numPr>
        <w:ind w:left="709"/>
        <w:rPr>
          <w:bCs/>
        </w:rPr>
      </w:pPr>
      <w:r>
        <w:rPr>
          <w:bCs/>
        </w:rPr>
        <w:t>a</w:t>
      </w:r>
      <w:r w:rsidRPr="0015016A">
        <w:rPr>
          <w:bCs/>
        </w:rPr>
        <w:t>nd the Contractor</w:t>
      </w:r>
      <w:r w:rsidR="00193922">
        <w:rPr>
          <w:bCs/>
        </w:rPr>
        <w:t xml:space="preserve"> shall </w:t>
      </w:r>
      <w:r w:rsidRPr="0015016A">
        <w:rPr>
          <w:bCs/>
        </w:rPr>
        <w:t>promptly provide all reasonable assistance to</w:t>
      </w:r>
      <w:r w:rsidR="00193922">
        <w:rPr>
          <w:bCs/>
        </w:rPr>
        <w:t>,</w:t>
      </w:r>
      <w:r w:rsidRPr="0015016A">
        <w:rPr>
          <w:bCs/>
        </w:rPr>
        <w:t xml:space="preserve"> </w:t>
      </w:r>
      <w:r w:rsidR="00193922">
        <w:rPr>
          <w:bCs/>
        </w:rPr>
        <w:t xml:space="preserve">and </w:t>
      </w:r>
      <w:r w:rsidRPr="0015016A" w:rsidR="00193922">
        <w:rPr>
          <w:bCs/>
        </w:rPr>
        <w:t xml:space="preserve">shall </w:t>
      </w:r>
      <w:r w:rsidR="00193922">
        <w:rPr>
          <w:bCs/>
        </w:rPr>
        <w:t>cooperate with,</w:t>
      </w:r>
      <w:r w:rsidRPr="0015016A" w:rsidR="00193922">
        <w:rPr>
          <w:bCs/>
        </w:rPr>
        <w:t xml:space="preserve"> </w:t>
      </w:r>
      <w:r w:rsidR="00193922">
        <w:rPr>
          <w:bCs/>
        </w:rPr>
        <w:t>the Authority</w:t>
      </w:r>
      <w:r w:rsidRPr="0015016A">
        <w:rPr>
          <w:bCs/>
        </w:rPr>
        <w:t xml:space="preserve"> by </w:t>
      </w:r>
      <w:r w:rsidR="00193922">
        <w:rPr>
          <w:bCs/>
        </w:rPr>
        <w:t>providing any</w:t>
      </w:r>
      <w:r w:rsidRPr="0015016A">
        <w:rPr>
          <w:bCs/>
        </w:rPr>
        <w:t xml:space="preserve"> additional Reports and/or information</w:t>
      </w:r>
      <w:r w:rsidR="00193922">
        <w:rPr>
          <w:bCs/>
        </w:rPr>
        <w:t xml:space="preserve"> required by the Authority</w:t>
      </w:r>
      <w:r w:rsidRPr="0015016A">
        <w:rPr>
          <w:bCs/>
        </w:rPr>
        <w:t xml:space="preserve">, to assist the Authority in </w:t>
      </w:r>
      <w:r w:rsidR="00BE34CB">
        <w:rPr>
          <w:bCs/>
        </w:rPr>
        <w:t xml:space="preserve">responding to </w:t>
      </w:r>
      <w:r w:rsidR="004B6FB9">
        <w:rPr>
          <w:bCs/>
        </w:rPr>
        <w:t xml:space="preserve">and/or co-operating with </w:t>
      </w:r>
      <w:r w:rsidR="00BE34CB">
        <w:rPr>
          <w:bCs/>
        </w:rPr>
        <w:t>any</w:t>
      </w:r>
      <w:r w:rsidRPr="00BE34CB" w:rsidR="00BE34CB">
        <w:rPr>
          <w:bCs/>
        </w:rPr>
        <w:t xml:space="preserve"> enquiry</w:t>
      </w:r>
      <w:r w:rsidR="00BE34CB">
        <w:rPr>
          <w:bCs/>
        </w:rPr>
        <w:t xml:space="preserve">, </w:t>
      </w:r>
      <w:r w:rsidR="004B6FB9">
        <w:rPr>
          <w:bCs/>
        </w:rPr>
        <w:t xml:space="preserve">review, </w:t>
      </w:r>
      <w:r w:rsidRPr="00BE34CB" w:rsidR="00BE34CB">
        <w:rPr>
          <w:bCs/>
        </w:rPr>
        <w:t>investigation</w:t>
      </w:r>
      <w:r w:rsidR="004B6FB9">
        <w:rPr>
          <w:bCs/>
        </w:rPr>
        <w:t>, initiative</w:t>
      </w:r>
      <w:r w:rsidRPr="00BE34CB" w:rsidR="00BE34CB">
        <w:rPr>
          <w:bCs/>
        </w:rPr>
        <w:t xml:space="preserve"> or </w:t>
      </w:r>
      <w:r w:rsidR="006639A7">
        <w:rPr>
          <w:bCs/>
        </w:rPr>
        <w:t>request relating to the Contractor, the Contract and/or the Services.</w:t>
      </w:r>
    </w:p>
    <w:p w:rsidRPr="004C1A3B" w:rsidR="004C167B" w:rsidP="004C1A3B" w:rsidRDefault="00A910AE" w14:paraId="5D205442" w14:textId="141ACBEC">
      <w:pPr>
        <w:pStyle w:val="Simple1"/>
        <w:keepNext/>
        <w:numPr>
          <w:ilvl w:val="0"/>
          <w:numId w:val="12"/>
        </w:numPr>
        <w:rPr>
          <w:b/>
        </w:rPr>
      </w:pPr>
      <w:bookmarkStart w:name="_Ref115691668" w:id="29"/>
      <w:r w:rsidRPr="00A910AE">
        <w:rPr>
          <w:b/>
        </w:rPr>
        <w:t>REPORTING</w:t>
      </w:r>
      <w:r>
        <w:rPr>
          <w:b/>
        </w:rPr>
        <w:t xml:space="preserve"> ON</w:t>
      </w:r>
      <w:r w:rsidRPr="00885BE1">
        <w:rPr>
          <w:b/>
        </w:rPr>
        <w:t xml:space="preserve"> SME/VCSE SUB-C</w:t>
      </w:r>
      <w:r w:rsidRPr="00A910AE">
        <w:rPr>
          <w:b/>
        </w:rPr>
        <w:t>ONTRACTS</w:t>
      </w:r>
      <w:bookmarkEnd w:id="29"/>
    </w:p>
    <w:p w:rsidRPr="004C167B" w:rsidR="004C167B" w:rsidP="004C167B" w:rsidRDefault="004C167B" w14:paraId="3C4D4A22" w14:textId="756AADA4">
      <w:pPr>
        <w:pStyle w:val="Simple2"/>
        <w:rPr>
          <w:bCs/>
        </w:rPr>
      </w:pPr>
      <w:r w:rsidRPr="004C167B">
        <w:rPr>
          <w:bCs/>
        </w:rPr>
        <w:t xml:space="preserve">In addition to any other </w:t>
      </w:r>
      <w:r w:rsidR="00885BE1">
        <w:rPr>
          <w:bCs/>
        </w:rPr>
        <w:t xml:space="preserve">reporting </w:t>
      </w:r>
      <w:r w:rsidRPr="004C167B">
        <w:rPr>
          <w:bCs/>
        </w:rPr>
        <w:t xml:space="preserve">requirements set out in this Contract, the </w:t>
      </w:r>
      <w:r w:rsidR="00885BE1">
        <w:rPr>
          <w:bCs/>
        </w:rPr>
        <w:t xml:space="preserve">Contractor </w:t>
      </w:r>
      <w:r w:rsidRPr="004C167B">
        <w:rPr>
          <w:bCs/>
        </w:rPr>
        <w:t>agrees that it shall, at no charge, provide timely, full, accurate and complete Supply Chain Transparency Reports to the Authority thirty (30) days pr</w:t>
      </w:r>
      <w:r w:rsidR="00D7514B">
        <w:rPr>
          <w:bCs/>
        </w:rPr>
        <w:t>ior to the of the end of each Financial Y</w:t>
      </w:r>
      <w:r w:rsidRPr="004C167B">
        <w:rPr>
          <w:bCs/>
        </w:rPr>
        <w:t xml:space="preserve">ear by providing all of the information described in </w:t>
      </w:r>
      <w:r w:rsidR="00D7514B">
        <w:rPr>
          <w:bCs/>
        </w:rPr>
        <w:t xml:space="preserve">Appendix </w:t>
      </w:r>
      <w:r w:rsidR="00127082">
        <w:rPr>
          <w:bCs/>
        </w:rPr>
        <w:t>3</w:t>
      </w:r>
      <w:r w:rsidR="00D7514B">
        <w:rPr>
          <w:bCs/>
        </w:rPr>
        <w:t xml:space="preserve"> (</w:t>
      </w:r>
      <w:r w:rsidRPr="004C167B">
        <w:rPr>
          <w:bCs/>
        </w:rPr>
        <w:t>Supply Chain Transparency Information Template</w:t>
      </w:r>
      <w:r w:rsidR="00D7514B">
        <w:rPr>
          <w:bCs/>
        </w:rPr>
        <w:t>)</w:t>
      </w:r>
      <w:r w:rsidRPr="004C167B">
        <w:rPr>
          <w:bCs/>
        </w:rPr>
        <w:t xml:space="preserve"> and in accordance with any guidance issued by the Authority from time to time. </w:t>
      </w:r>
    </w:p>
    <w:p w:rsidR="004C167B" w:rsidP="004C1A3B" w:rsidRDefault="004C167B" w14:paraId="3D06FCC3" w14:textId="2DDD8051">
      <w:pPr>
        <w:pStyle w:val="Simple2"/>
        <w:rPr>
          <w:bCs/>
        </w:rPr>
      </w:pPr>
      <w:r w:rsidRPr="004C167B">
        <w:rPr>
          <w:bCs/>
        </w:rPr>
        <w:t xml:space="preserve">The </w:t>
      </w:r>
      <w:r w:rsidR="00D7514B">
        <w:rPr>
          <w:bCs/>
        </w:rPr>
        <w:t xml:space="preserve">Contractor acknowledges and accepts that the </w:t>
      </w:r>
      <w:r w:rsidRPr="004C167B">
        <w:rPr>
          <w:bCs/>
        </w:rPr>
        <w:t xml:space="preserve">Authority may update </w:t>
      </w:r>
      <w:r w:rsidR="00D7514B">
        <w:rPr>
          <w:bCs/>
        </w:rPr>
        <w:t xml:space="preserve">Appendix </w:t>
      </w:r>
      <w:r w:rsidR="00127082">
        <w:rPr>
          <w:bCs/>
        </w:rPr>
        <w:t>3</w:t>
      </w:r>
      <w:r w:rsidR="00D7514B">
        <w:rPr>
          <w:bCs/>
        </w:rPr>
        <w:t xml:space="preserve"> (</w:t>
      </w:r>
      <w:r w:rsidRPr="004C167B">
        <w:rPr>
          <w:bCs/>
        </w:rPr>
        <w:t>Supply Chain Transparency Information Template</w:t>
      </w:r>
      <w:r w:rsidR="00D7514B">
        <w:rPr>
          <w:bCs/>
        </w:rPr>
        <w:t>)</w:t>
      </w:r>
      <w:r w:rsidRPr="004C167B">
        <w:rPr>
          <w:bCs/>
        </w:rPr>
        <w:t xml:space="preserve"> from time to time (including the data required and/or format) by </w:t>
      </w:r>
      <w:r w:rsidR="00D7514B">
        <w:rPr>
          <w:bCs/>
        </w:rPr>
        <w:t>via the Change Control Procedure</w:t>
      </w:r>
      <w:r w:rsidRPr="004C167B">
        <w:rPr>
          <w:bCs/>
        </w:rPr>
        <w:t>.</w:t>
      </w:r>
    </w:p>
    <w:p w:rsidRPr="008A20BD" w:rsidR="00456594" w:rsidP="00456594" w:rsidRDefault="00647471" w14:paraId="09A3A1C4" w14:textId="6310D792">
      <w:pPr>
        <w:pStyle w:val="Simple1"/>
        <w:keepNext/>
        <w:numPr>
          <w:ilvl w:val="0"/>
          <w:numId w:val="12"/>
        </w:numPr>
        <w:rPr>
          <w:b/>
        </w:rPr>
      </w:pPr>
      <w:r>
        <w:rPr>
          <w:b/>
        </w:rPr>
        <w:t>ACCOUNTS</w:t>
      </w:r>
    </w:p>
    <w:p w:rsidR="00456594" w:rsidP="00456594" w:rsidRDefault="00456594" w14:paraId="351DD5D9" w14:textId="77777777">
      <w:pPr>
        <w:pStyle w:val="Simple2"/>
      </w:pPr>
      <w:r w:rsidRPr="00840347">
        <w:t>Without prejudice to the foregoing, the Contractor shall provide the Authority:</w:t>
      </w:r>
    </w:p>
    <w:p w:rsidRPr="00B56C74" w:rsidR="00456594" w:rsidP="00456594" w:rsidRDefault="00456594" w14:paraId="54A1ABD0" w14:textId="6A43ADA5">
      <w:pPr>
        <w:pStyle w:val="Simple3"/>
      </w:pPr>
      <w:r w:rsidRPr="00B56C74">
        <w:t xml:space="preserve">as soon as they are available, and in any event within </w:t>
      </w:r>
      <w:r>
        <w:t>sixty (</w:t>
      </w:r>
      <w:r w:rsidRPr="00B56C74">
        <w:t>60</w:t>
      </w:r>
      <w:r>
        <w:t>) Business</w:t>
      </w:r>
      <w:r w:rsidRPr="00B56C74">
        <w:t xml:space="preserve"> Days after the end of the first </w:t>
      </w:r>
      <w:r>
        <w:t>six (</w:t>
      </w:r>
      <w:r w:rsidRPr="00B56C74">
        <w:t>6</w:t>
      </w:r>
      <w:r>
        <w:t>)</w:t>
      </w:r>
      <w:r w:rsidRPr="00B56C74">
        <w:t xml:space="preserve"> months of each </w:t>
      </w:r>
      <w:r w:rsidR="00AA3D76">
        <w:t>F</w:t>
      </w:r>
      <w:r w:rsidRPr="00B56C74">
        <w:t xml:space="preserve">inancial </w:t>
      </w:r>
      <w:r w:rsidR="00AA3D76">
        <w:t>Y</w:t>
      </w:r>
      <w:r w:rsidRPr="00B56C74">
        <w:t xml:space="preserve">ear of the </w:t>
      </w:r>
      <w:r>
        <w:t>Contractor</w:t>
      </w:r>
      <w:r w:rsidRPr="00B56C74">
        <w:t xml:space="preserve"> during the </w:t>
      </w:r>
      <w:r>
        <w:t xml:space="preserve">Contactor </w:t>
      </w:r>
      <w:r w:rsidRPr="00B56C74">
        <w:t xml:space="preserve">Term, a copy, certified as a true copy by an authorised representative of the </w:t>
      </w:r>
      <w:r>
        <w:t>Contractor</w:t>
      </w:r>
      <w:r w:rsidRPr="00B56C74">
        <w:t xml:space="preserve">, of its un-audited interim accounts and, if applicable, of consolidated un-audited interim accounts of the </w:t>
      </w:r>
      <w:r>
        <w:t>Contractor</w:t>
      </w:r>
      <w:r w:rsidRPr="00B56C74">
        <w:t xml:space="preserve"> and its Affiliates which would (if the </w:t>
      </w:r>
      <w:r>
        <w:t>Contractor</w:t>
      </w:r>
      <w:r w:rsidRPr="00B56C74">
        <w:t xml:space="preserve"> were listed on the London Stock Exchange (whether or not it is)) be required to be sent to shareholders as at the end of and for each such </w:t>
      </w:r>
      <w:r>
        <w:t>six (</w:t>
      </w:r>
      <w:r w:rsidRPr="00B56C74">
        <w:t>6</w:t>
      </w:r>
      <w:r>
        <w:t>)</w:t>
      </w:r>
      <w:r w:rsidRPr="00B56C74">
        <w:t xml:space="preserve"> month period; and</w:t>
      </w:r>
    </w:p>
    <w:p w:rsidRPr="00CE134D" w:rsidR="00456594" w:rsidP="00CE134D" w:rsidRDefault="00456594" w14:paraId="7154FA1B" w14:textId="22BDA8B8">
      <w:pPr>
        <w:pStyle w:val="Simple3"/>
      </w:pPr>
      <w:r w:rsidRPr="00B56C74">
        <w:t xml:space="preserve">as soon as they shall have been sent to its shareholders in order to be laid before an annual general meeting of the </w:t>
      </w:r>
      <w:r>
        <w:t>Contractor</w:t>
      </w:r>
      <w:r w:rsidRPr="00B56C74">
        <w:t xml:space="preserve">, but not later than </w:t>
      </w:r>
      <w:r>
        <w:t>one hundred and thirty (</w:t>
      </w:r>
      <w:r w:rsidRPr="00B56C74">
        <w:t>130</w:t>
      </w:r>
      <w:r>
        <w:t>)</w:t>
      </w:r>
      <w:r w:rsidRPr="00B56C74">
        <w:t xml:space="preserve"> </w:t>
      </w:r>
      <w:r>
        <w:t>Business</w:t>
      </w:r>
      <w:r w:rsidRPr="00B56C74">
        <w:t xml:space="preserve"> Days after the end of each accounting reference period of the </w:t>
      </w:r>
      <w:r>
        <w:t>Contractor</w:t>
      </w:r>
      <w:r w:rsidRPr="00B56C74">
        <w:t xml:space="preserve"> part or all of which falls during the </w:t>
      </w:r>
      <w:r>
        <w:t xml:space="preserve">Contract </w:t>
      </w:r>
      <w:r w:rsidRPr="00B56C74">
        <w:t xml:space="preserve">Term, the </w:t>
      </w:r>
      <w:r>
        <w:t>Contractor'</w:t>
      </w:r>
      <w:r w:rsidRPr="00B56C74">
        <w:t xml:space="preserve">s audited accounts and if applicable, of the consolidated audited accounts of the </w:t>
      </w:r>
      <w:r>
        <w:t>Contractor</w:t>
      </w:r>
      <w:r w:rsidRPr="00B56C74">
        <w:t xml:space="preserve"> and its Affiliates in respect of that period together with copies of all related directors</w:t>
      </w:r>
      <w:r>
        <w:t>'</w:t>
      </w:r>
      <w:r w:rsidRPr="00B56C74">
        <w:t xml:space="preserve"> and auditors</w:t>
      </w:r>
      <w:r>
        <w:t>'</w:t>
      </w:r>
      <w:r w:rsidRPr="00B56C74">
        <w:t xml:space="preserve"> reports and all other notices/circulars to shareholders.</w:t>
      </w:r>
    </w:p>
    <w:p w:rsidR="000F088A" w:rsidP="00AF28EB" w:rsidRDefault="00BA757B" w14:paraId="76242B77" w14:textId="77777777">
      <w:pPr>
        <w:pStyle w:val="BodyText"/>
        <w:rPr>
          <w:rFonts w:eastAsia="Calibri"/>
          <w:b/>
          <w:bCs/>
        </w:rPr>
      </w:pPr>
      <w:r w:rsidRPr="008A20BD">
        <w:rPr>
          <w:rFonts w:eastAsia="Calibri"/>
          <w:b/>
          <w:bCs/>
        </w:rPr>
        <w:t xml:space="preserve"> </w:t>
      </w:r>
    </w:p>
    <w:p w:rsidR="008A20BD" w:rsidP="00BA757B" w:rsidRDefault="008A20BD" w14:paraId="64A45E07" w14:textId="77777777">
      <w:pPr>
        <w:pStyle w:val="BodyText"/>
        <w:rPr>
          <w:b/>
          <w:sz w:val="24"/>
          <w:szCs w:val="24"/>
        </w:rPr>
      </w:pPr>
      <w:r>
        <w:rPr>
          <w:b/>
          <w:sz w:val="24"/>
          <w:szCs w:val="24"/>
        </w:rPr>
        <w:br w:type="page"/>
      </w:r>
    </w:p>
    <w:p w:rsidR="008A20BD" w:rsidP="000B12B0" w:rsidRDefault="008A20BD" w14:paraId="027D3DB9" w14:textId="672EA103">
      <w:pPr>
        <w:pStyle w:val="Schedule2"/>
        <w:keepNext/>
      </w:pPr>
      <w:r w:rsidRPr="00840347">
        <w:t xml:space="preserve">Part </w:t>
      </w:r>
      <w:r>
        <w:t>D:</w:t>
      </w:r>
      <w:r w:rsidRPr="00840347">
        <w:t xml:space="preserve"> Records</w:t>
      </w:r>
    </w:p>
    <w:p w:rsidRPr="008A20BD" w:rsidR="008A20BD" w:rsidP="00800946" w:rsidRDefault="008A20BD" w14:paraId="19B58D25" w14:textId="77777777">
      <w:pPr>
        <w:pStyle w:val="Simple1"/>
        <w:keepNext/>
        <w:numPr>
          <w:ilvl w:val="0"/>
          <w:numId w:val="13"/>
        </w:numPr>
        <w:rPr>
          <w:b/>
        </w:rPr>
      </w:pPr>
      <w:r w:rsidRPr="008A20BD">
        <w:rPr>
          <w:b/>
        </w:rPr>
        <w:t xml:space="preserve">RECORDS </w:t>
      </w:r>
    </w:p>
    <w:p w:rsidRPr="003F570D" w:rsidR="008A20BD" w:rsidP="008A20BD" w:rsidRDefault="008A20BD" w14:paraId="64F47AFD" w14:textId="77777777">
      <w:pPr>
        <w:pStyle w:val="Simple2"/>
      </w:pPr>
      <w:r w:rsidRPr="00840347">
        <w:t xml:space="preserve">The Contractor shall retain and maintain all the </w:t>
      </w:r>
      <w:r>
        <w:t>Records</w:t>
      </w:r>
      <w:r w:rsidRPr="00840347">
        <w:t>:</w:t>
      </w:r>
    </w:p>
    <w:p w:rsidRPr="003F570D" w:rsidR="008A20BD" w:rsidP="008A20BD" w:rsidRDefault="008A20BD" w14:paraId="121F35BF" w14:textId="77777777">
      <w:pPr>
        <w:pStyle w:val="Simple3"/>
      </w:pPr>
      <w:r w:rsidRPr="003F570D">
        <w:t>in accordance with the requirements of The National Archives and Good Industry Practice;</w:t>
      </w:r>
    </w:p>
    <w:p w:rsidRPr="003F570D" w:rsidR="008A20BD" w:rsidP="008A20BD" w:rsidRDefault="008A20BD" w14:paraId="525DA133" w14:textId="77777777">
      <w:pPr>
        <w:pStyle w:val="Simple3"/>
      </w:pPr>
      <w:r w:rsidRPr="003F570D">
        <w:t>in chronological order;</w:t>
      </w:r>
    </w:p>
    <w:p w:rsidRPr="003F570D" w:rsidR="008A20BD" w:rsidP="008A20BD" w:rsidRDefault="008A20BD" w14:paraId="6CFDFFEF" w14:textId="77777777">
      <w:pPr>
        <w:pStyle w:val="Simple3"/>
      </w:pPr>
      <w:r w:rsidRPr="003F570D">
        <w:t>in a form that is capable of audit; and</w:t>
      </w:r>
    </w:p>
    <w:p w:rsidRPr="003F570D" w:rsidR="008A20BD" w:rsidP="008A20BD" w:rsidRDefault="008A20BD" w14:paraId="67506EEE" w14:textId="77777777">
      <w:pPr>
        <w:pStyle w:val="Simple3"/>
      </w:pPr>
      <w:r w:rsidRPr="003F570D">
        <w:t>at its own expense.</w:t>
      </w:r>
    </w:p>
    <w:p w:rsidR="008A20BD" w:rsidP="008A20BD" w:rsidRDefault="008A20BD" w14:paraId="13BC8B16" w14:textId="5AA2C085">
      <w:pPr>
        <w:pStyle w:val="Simple2"/>
      </w:pPr>
      <w:r w:rsidRPr="00840347">
        <w:t xml:space="preserve">The Contractor shall make the Records available </w:t>
      </w:r>
      <w:r w:rsidRPr="00840347" w:rsidR="00456594">
        <w:t xml:space="preserve">to the Authority </w:t>
      </w:r>
      <w:r w:rsidRPr="00840347">
        <w:t>for inspection</w:t>
      </w:r>
      <w:r w:rsidR="00456594">
        <w:t xml:space="preserve"> on, and download from,</w:t>
      </w:r>
      <w:r w:rsidRPr="00840347">
        <w:t xml:space="preserve"> </w:t>
      </w:r>
      <w:r w:rsidR="00456594">
        <w:t>the Shared Data Environment</w:t>
      </w:r>
      <w:r w:rsidRPr="00840347">
        <w:t>.</w:t>
      </w:r>
    </w:p>
    <w:p w:rsidR="008A20BD" w:rsidP="008A20BD" w:rsidRDefault="008A20BD" w14:paraId="433090AD" w14:textId="77777777">
      <w:pPr>
        <w:pStyle w:val="Simple2"/>
      </w:pPr>
      <w:r w:rsidRPr="00840347">
        <w:t>Where Records are retained in electronic form, the original metadata shall be preserved together with all subsequent metadata in a format reasonably accessible to the Authority.</w:t>
      </w:r>
    </w:p>
    <w:p w:rsidR="008A20BD" w:rsidP="008A20BD" w:rsidRDefault="008A20BD" w14:paraId="392B13D7" w14:textId="77777777">
      <w:pPr>
        <w:pStyle w:val="Simple2"/>
      </w:pPr>
      <w:r w:rsidRPr="00840347">
        <w:t xml:space="preserve">The Contractor shall, during the </w:t>
      </w:r>
      <w:r>
        <w:t xml:space="preserve">Contract </w:t>
      </w:r>
      <w:r w:rsidRPr="00840347">
        <w:t xml:space="preserve">Term and a period of at least </w:t>
      </w:r>
      <w:r>
        <w:t>seven (</w:t>
      </w:r>
      <w:r w:rsidRPr="00840347">
        <w:t>7</w:t>
      </w:r>
      <w:r>
        <w:t>)</w:t>
      </w:r>
      <w:r w:rsidRPr="00840347">
        <w:t xml:space="preserve"> years following the expiry or termination of this </w:t>
      </w:r>
      <w:r>
        <w:t>Contrac</w:t>
      </w:r>
      <w:r w:rsidRPr="00840347">
        <w:t>t, maintain or cause to be maintained complete and accurate documents and records in relation to the provision of the Services including but not limited to all Records.</w:t>
      </w:r>
    </w:p>
    <w:p w:rsidR="008A20BD" w:rsidP="008A20BD" w:rsidRDefault="008A20BD" w14:paraId="44A4F486" w14:textId="77777777">
      <w:pPr>
        <w:pStyle w:val="Simple2"/>
      </w:pPr>
      <w:r w:rsidRPr="00840347">
        <w:t xml:space="preserve">Records that contain financial information shall be retained and maintained in safe storage by the Contractor for a period of at least </w:t>
      </w:r>
      <w:r>
        <w:t>seven (</w:t>
      </w:r>
      <w:r w:rsidRPr="00840347">
        <w:t>7</w:t>
      </w:r>
      <w:r>
        <w:t>)</w:t>
      </w:r>
      <w:r w:rsidRPr="00840347">
        <w:t xml:space="preserve"> years after the expiry or termination of this </w:t>
      </w:r>
      <w:r w:rsidR="0055788F">
        <w:t>Contract</w:t>
      </w:r>
      <w:r w:rsidRPr="00840347">
        <w:t>.</w:t>
      </w:r>
    </w:p>
    <w:p w:rsidRPr="008A20BD" w:rsidR="008A20BD" w:rsidP="008A20BD" w:rsidRDefault="008A20BD" w14:paraId="4B5B477F" w14:textId="162FD989">
      <w:pPr>
        <w:pStyle w:val="Simple1"/>
        <w:keepNext/>
        <w:rPr>
          <w:b/>
        </w:rPr>
      </w:pPr>
      <w:r w:rsidRPr="008A20BD">
        <w:rPr>
          <w:b/>
        </w:rPr>
        <w:t>SHARED DATA ENVIRONMENT</w:t>
      </w:r>
    </w:p>
    <w:p w:rsidRPr="00084BE9" w:rsidR="00084BE9" w:rsidP="3A17B66E" w:rsidRDefault="00084BE9" w14:paraId="6BA46EEE" w14:textId="29A60D41">
      <w:pPr>
        <w:pStyle w:val="Simple2"/>
        <w:numPr>
          <w:numId w:val="0"/>
        </w:numPr>
        <w:ind w:left="709"/>
        <w:rPr>
          <w:b w:val="1"/>
          <w:bCs w:val="1"/>
          <w:i w:val="1"/>
          <w:iCs w:val="1"/>
        </w:rPr>
      </w:pPr>
      <w:r w:rsidRPr="3A17B66E" w:rsidR="020B4631">
        <w:rPr>
          <w:b w:val="1"/>
          <w:bCs w:val="1"/>
          <w:i w:val="1"/>
          <w:iCs w:val="1"/>
        </w:rPr>
        <w:t>[</w:t>
      </w:r>
      <w:r w:rsidRPr="3A17B66E" w:rsidR="6D4B00CC">
        <w:rPr>
          <w:b w:val="1"/>
          <w:bCs w:val="1"/>
          <w:i w:val="1"/>
          <w:iCs w:val="1"/>
        </w:rPr>
        <w:t>Note to Tenderers</w:t>
      </w:r>
      <w:r w:rsidRPr="3A17B66E" w:rsidR="020B4631">
        <w:rPr>
          <w:b w:val="1"/>
          <w:bCs w:val="1"/>
          <w:i w:val="1"/>
          <w:iCs w:val="1"/>
        </w:rPr>
        <w:t>: Further information to be included in respect of the Shared Data Environment provision when available.]</w:t>
      </w:r>
    </w:p>
    <w:p w:rsidRPr="007D6586" w:rsidR="00C122B3" w:rsidP="00C122B3" w:rsidRDefault="00293A54" w14:paraId="32DD683B" w14:textId="2A431C61">
      <w:pPr>
        <w:pStyle w:val="Simple2"/>
        <w:rPr>
          <w:bCs/>
        </w:rPr>
      </w:pPr>
      <w:r w:rsidRPr="007D6586">
        <w:rPr>
          <w:bCs/>
        </w:rPr>
        <w:t xml:space="preserve">The </w:t>
      </w:r>
      <w:r w:rsidRPr="007D6586" w:rsidR="00C122B3">
        <w:rPr>
          <w:bCs/>
        </w:rPr>
        <w:t>Authority shall provide the Contractor a Shared Data Environment</w:t>
      </w:r>
      <w:r w:rsidR="00D210A9">
        <w:rPr>
          <w:bCs/>
        </w:rPr>
        <w:t>.</w:t>
      </w:r>
      <w:r w:rsidRPr="007D6586" w:rsidR="00C122B3">
        <w:rPr>
          <w:bCs/>
        </w:rPr>
        <w:t xml:space="preserve"> </w:t>
      </w:r>
    </w:p>
    <w:p w:rsidRPr="007D6586" w:rsidR="00C122B3" w:rsidP="00C122B3" w:rsidRDefault="00C122B3" w14:paraId="72F46A95" w14:textId="755F6ADF">
      <w:pPr>
        <w:pStyle w:val="Simple2"/>
      </w:pPr>
      <w:r w:rsidRPr="007D6586">
        <w:rPr>
          <w:bCs/>
        </w:rPr>
        <w:t>The</w:t>
      </w:r>
      <w:r w:rsidRPr="007D6586">
        <w:t xml:space="preserve"> Contractor shall ensure that the Management Information and Records hosted in the Shared Data Environment:</w:t>
      </w:r>
    </w:p>
    <w:p w:rsidRPr="007D6586" w:rsidR="00C122B3" w:rsidP="00C122B3" w:rsidRDefault="00C122B3" w14:paraId="25A9DD74" w14:textId="495741C0">
      <w:pPr>
        <w:pStyle w:val="Simple3"/>
      </w:pPr>
      <w:r w:rsidRPr="007D6586">
        <w:t>are readily accessible by all Authority nominated users required to have oversight of the information described i</w:t>
      </w:r>
      <w:r w:rsidR="00AB4C11">
        <w:t xml:space="preserve">n </w:t>
      </w:r>
      <w:r w:rsidRPr="007D6586">
        <w:t xml:space="preserve">Appendix 1 (Records to be Maintained </w:t>
      </w:r>
      <w:r w:rsidR="00AB4C11">
        <w:t>in the Shared Data Environment)</w:t>
      </w:r>
      <w:r w:rsidRPr="007D6586">
        <w:t xml:space="preserve"> of this Schedule</w:t>
      </w:r>
      <w:r w:rsidR="00BD2380">
        <w:t xml:space="preserve"> 6 (Governance, Management Information, Reports, Records and Audit)</w:t>
      </w:r>
      <w:r w:rsidRPr="007D6586">
        <w:t xml:space="preserve"> and includes full and accurate file details of all uploaded items including date and time of upload, version number and the name of the person uploading; and</w:t>
      </w:r>
    </w:p>
    <w:p w:rsidRPr="007D6586" w:rsidR="00C122B3" w:rsidP="00C122B3" w:rsidRDefault="00C122B3" w14:paraId="49FCA1F7" w14:textId="0BBB5DD1">
      <w:pPr>
        <w:pStyle w:val="Simple3"/>
      </w:pPr>
      <w:r w:rsidRPr="007D6586">
        <w:t>are structured and maintained in accordance with the security and cyber requirements as set out in this Contract including those set out in Schedule 8 (Security).</w:t>
      </w:r>
    </w:p>
    <w:p w:rsidRPr="007D6586" w:rsidR="00C122B3" w:rsidP="00C122B3" w:rsidRDefault="00C122B3" w14:paraId="7BDE6A4D" w14:textId="2B9DAE37">
      <w:pPr>
        <w:pStyle w:val="Simple2"/>
      </w:pPr>
      <w:r w:rsidRPr="007D6586">
        <w:t>For the avoidance of doubt, the Shared Data Environment shall constitute Foreground IPR which shall be treated in accordance with the provisions of Clause 35 (Intellectual Property Rights) of the Contract.</w:t>
      </w:r>
    </w:p>
    <w:p w:rsidRPr="007D6586" w:rsidR="00C122B3" w:rsidP="00C122B3" w:rsidRDefault="00C122B3" w14:paraId="1EA11505" w14:textId="03C250FD">
      <w:pPr>
        <w:pStyle w:val="Simple2"/>
      </w:pPr>
      <w:r w:rsidRPr="007D6586">
        <w:t xml:space="preserve">The </w:t>
      </w:r>
      <w:r w:rsidRPr="007D6586">
        <w:rPr>
          <w:rFonts w:cs="Arial"/>
        </w:rPr>
        <w:t xml:space="preserve">Contractor shall upload complete and accurate information specified in </w:t>
      </w:r>
      <w:r w:rsidRPr="007D6586">
        <w:t>Appendix 1 (Records to be Maintained in the Shared Data Environment)</w:t>
      </w:r>
      <w:r w:rsidRPr="007D6586">
        <w:rPr>
          <w:rFonts w:cs="Arial"/>
        </w:rPr>
        <w:t xml:space="preserve"> following the creation of such information, in an appropriate format or such format as specified by the Authority. </w:t>
      </w:r>
    </w:p>
    <w:p w:rsidRPr="007D6586" w:rsidR="00C122B3" w:rsidP="00C122B3" w:rsidRDefault="00C122B3" w14:paraId="24B01CD6" w14:textId="675D70DB">
      <w:pPr>
        <w:pStyle w:val="Simple2"/>
      </w:pPr>
      <w:r w:rsidRPr="007D6586">
        <w:t xml:space="preserve">Except for notices under Clause 69 (Notices), where the Contractor is under an obligation to provide information to the Authority in a provision under this Contract, then the Contractor's upload of that information onto the Shared Data Environment shall satisfy the Contractor's obligation to provide the Authority with that information provided that the Authority has access in accordance with this </w:t>
      </w:r>
      <w:r w:rsidR="00B761F0">
        <w:t>paragraph</w:t>
      </w:r>
      <w:r w:rsidR="00B74F29">
        <w:t xml:space="preserve"> </w:t>
      </w:r>
      <w:r w:rsidRPr="007D6586">
        <w:t>2 and the uploaded information meets the requirements more particularly specified in the relevant provision.</w:t>
      </w:r>
    </w:p>
    <w:p w:rsidRPr="007D6586" w:rsidR="00C122B3" w:rsidP="00C122B3" w:rsidRDefault="00C122B3" w14:paraId="134F042E" w14:textId="77777777">
      <w:pPr>
        <w:pStyle w:val="Simple2"/>
      </w:pPr>
      <w:r w:rsidRPr="007D6586">
        <w:t>The Contractor warrants that the information uploaded to the Shared Data Environment is accurate, complete, up-to-date and in accordance with this Contract at the date of upload.</w:t>
      </w:r>
    </w:p>
    <w:p w:rsidRPr="007D6586" w:rsidR="00C122B3" w:rsidP="00C122B3" w:rsidRDefault="00C122B3" w14:paraId="5960024B" w14:textId="04B46C70">
      <w:pPr>
        <w:pStyle w:val="Simple2"/>
      </w:pPr>
      <w:r w:rsidRPr="007D6586">
        <w:t>In the event of a conflict between any requirement in this Contract (excluding Appendix 1 (Records to be Maintained in the Shared Data Environment)) for the Contractor to provide information to the Authority a</w:t>
      </w:r>
      <w:r w:rsidR="00AB4C11">
        <w:t xml:space="preserve">nd the requirements set out in </w:t>
      </w:r>
      <w:r w:rsidRPr="007D6586">
        <w:t xml:space="preserve">Appendix 1 (Records to be Maintained </w:t>
      </w:r>
      <w:r w:rsidR="00AB4C11">
        <w:t>in the Shared Data Environment)</w:t>
      </w:r>
      <w:r w:rsidRPr="007D6586">
        <w:t>, the requirement elsewhere in this Contract shall prevail.</w:t>
      </w:r>
    </w:p>
    <w:p w:rsidRPr="007D6586" w:rsidR="00127082" w:rsidP="00C122B3" w:rsidRDefault="00C122B3" w14:paraId="7EC1DEB9" w14:textId="1C9887A6">
      <w:pPr>
        <w:pStyle w:val="Simple2"/>
      </w:pPr>
      <w:r w:rsidRPr="007D6586">
        <w:t xml:space="preserve">The Contractor shall alert the Authority by email as soon as information is uploaded or updated in the Shared Data Environment.  </w:t>
      </w:r>
    </w:p>
    <w:p w:rsidRPr="00920AA9" w:rsidR="00DC621B" w:rsidP="00127082" w:rsidRDefault="00920AA9" w14:paraId="21AD8DEF" w14:textId="11D04A5F">
      <w:pPr>
        <w:pStyle w:val="Simple2"/>
        <w:numPr>
          <w:ilvl w:val="0"/>
          <w:numId w:val="0"/>
        </w:numPr>
        <w:ind w:left="709"/>
        <w:rPr>
          <w:b/>
        </w:rPr>
      </w:pPr>
      <w:r w:rsidRPr="00920AA9">
        <w:rPr>
          <w:b/>
        </w:rPr>
        <w:t xml:space="preserve">File </w:t>
      </w:r>
      <w:r>
        <w:rPr>
          <w:b/>
        </w:rPr>
        <w:t>Structure</w:t>
      </w:r>
    </w:p>
    <w:p w:rsidR="00647471" w:rsidP="008A20BD" w:rsidRDefault="00920AA9" w14:paraId="6DB7062A" w14:textId="62EEB693">
      <w:pPr>
        <w:pStyle w:val="Simple2"/>
      </w:pPr>
      <w:r>
        <w:t>The Contractor shall ensure that Records are uploaded to the Shared Data Environment in a logical manner, following a rational folder structure</w:t>
      </w:r>
      <w:r w:rsidR="00E75BC6">
        <w:t>,</w:t>
      </w:r>
      <w:r w:rsidR="006F54D1">
        <w:t xml:space="preserve"> and prescribed naming convention, </w:t>
      </w:r>
      <w:r w:rsidR="00E75BC6">
        <w:t xml:space="preserve">as reasonably required </w:t>
      </w:r>
      <w:r>
        <w:t>by the Authority.</w:t>
      </w:r>
    </w:p>
    <w:p w:rsidR="00920AA9" w:rsidP="008A20BD" w:rsidRDefault="00920AA9" w14:paraId="74D54163" w14:textId="3F7352AA">
      <w:pPr>
        <w:pStyle w:val="Simple2"/>
      </w:pPr>
      <w:r>
        <w:t xml:space="preserve">The </w:t>
      </w:r>
      <w:r w:rsidRPr="00920AA9">
        <w:t xml:space="preserve">Contractor </w:t>
      </w:r>
      <w:r>
        <w:t>shall</w:t>
      </w:r>
      <w:r w:rsidRPr="00920AA9">
        <w:t xml:space="preserve"> maintain an electronic register of </w:t>
      </w:r>
      <w:r>
        <w:t>all Records uploaded to the Shared Data Environment to assist users in navigating the Shared Data Environment and locating and downloading Records as required</w:t>
      </w:r>
      <w:r w:rsidRPr="00920AA9">
        <w:t xml:space="preserve">.  This </w:t>
      </w:r>
      <w:r>
        <w:t xml:space="preserve">electronic </w:t>
      </w:r>
      <w:r w:rsidRPr="00920AA9">
        <w:t xml:space="preserve">register </w:t>
      </w:r>
      <w:r>
        <w:t xml:space="preserve">shall be </w:t>
      </w:r>
      <w:r w:rsidR="00E75BC6">
        <w:t>accessible from the Shared Data Environment and shall</w:t>
      </w:r>
      <w:r w:rsidRPr="00920AA9">
        <w:t xml:space="preserve"> provide the current status and update version of each </w:t>
      </w:r>
      <w:r w:rsidR="00E75BC6">
        <w:t>Record</w:t>
      </w:r>
      <w:r w:rsidRPr="00920AA9">
        <w:t>.</w:t>
      </w:r>
    </w:p>
    <w:p w:rsidR="008A20BD" w:rsidP="008A20BD" w:rsidRDefault="008A20BD" w14:paraId="3F42017F" w14:textId="7C622687">
      <w:pPr>
        <w:pStyle w:val="BodyText"/>
      </w:pPr>
    </w:p>
    <w:p w:rsidR="004A279D" w:rsidP="008A20BD" w:rsidRDefault="004A279D" w14:paraId="5C6D1289" w14:textId="77777777">
      <w:pPr>
        <w:pStyle w:val="BodyText"/>
      </w:pPr>
    </w:p>
    <w:p w:rsidR="004A279D" w:rsidP="008A20BD" w:rsidRDefault="004A279D" w14:paraId="3981FC8B" w14:textId="47BE70F9">
      <w:pPr>
        <w:pStyle w:val="BodyText"/>
      </w:pPr>
    </w:p>
    <w:p w:rsidR="004A279D" w:rsidP="008A20BD" w:rsidRDefault="004A279D" w14:paraId="7000E9F4" w14:textId="77777777">
      <w:pPr>
        <w:pStyle w:val="BodyText"/>
      </w:pPr>
    </w:p>
    <w:p w:rsidR="008A20BD" w:rsidP="008A20BD" w:rsidRDefault="008A20BD" w14:paraId="624041D2" w14:textId="77777777">
      <w:pPr>
        <w:rPr>
          <w:b/>
          <w:sz w:val="24"/>
          <w:szCs w:val="24"/>
        </w:rPr>
      </w:pPr>
      <w:r>
        <w:rPr>
          <w:b/>
          <w:sz w:val="24"/>
          <w:szCs w:val="24"/>
        </w:rPr>
        <w:br w:type="page"/>
      </w:r>
    </w:p>
    <w:p w:rsidRPr="00BE010C" w:rsidR="008A20BD" w:rsidP="008A20BD" w:rsidRDefault="008A20BD" w14:paraId="562A0994" w14:textId="77777777">
      <w:pPr>
        <w:pStyle w:val="Schedule2"/>
        <w:keepNext/>
        <w:rPr>
          <w:rFonts w:cs="Arial"/>
        </w:rPr>
      </w:pPr>
      <w:r w:rsidRPr="00BE010C">
        <w:rPr>
          <w:rFonts w:cs="Arial"/>
        </w:rPr>
        <w:t>Part E: Audit</w:t>
      </w:r>
    </w:p>
    <w:p w:rsidRPr="00BE010C" w:rsidR="00B96036" w:rsidP="00B96036" w:rsidRDefault="00B96036" w14:paraId="25BE4903" w14:textId="77777777">
      <w:pPr>
        <w:pStyle w:val="Simple1"/>
        <w:keepNext/>
        <w:numPr>
          <w:ilvl w:val="0"/>
          <w:numId w:val="11"/>
        </w:numPr>
        <w:rPr>
          <w:rFonts w:cs="Arial"/>
          <w:b/>
        </w:rPr>
      </w:pPr>
      <w:r w:rsidRPr="00BE010C">
        <w:rPr>
          <w:rFonts w:cs="Arial"/>
          <w:b/>
        </w:rPr>
        <w:t xml:space="preserve">AUDIT FRAMEWORK  </w:t>
      </w:r>
    </w:p>
    <w:p w:rsidRPr="00BE010C" w:rsidR="00B96036" w:rsidP="00B96036" w:rsidRDefault="00B96036" w14:paraId="1003AE31" w14:textId="77777777">
      <w:pPr>
        <w:pStyle w:val="Simple2"/>
        <w:rPr>
          <w:rFonts w:cs="Arial"/>
        </w:rPr>
      </w:pPr>
      <w:r w:rsidRPr="00BE010C">
        <w:rPr>
          <w:rFonts w:cs="Arial"/>
        </w:rPr>
        <w:t>The Contractor shall comply with the following audit framework:</w:t>
      </w:r>
    </w:p>
    <w:p w:rsidRPr="00BE010C" w:rsidR="00B96036" w:rsidP="00B96036" w:rsidRDefault="00B96036" w14:paraId="783E46D1" w14:textId="78A04D03">
      <w:pPr>
        <w:pStyle w:val="Simple3"/>
        <w:rPr>
          <w:rFonts w:cs="Arial"/>
        </w:rPr>
      </w:pPr>
      <w:r w:rsidRPr="00BE010C">
        <w:rPr>
          <w:rFonts w:cs="Arial"/>
        </w:rPr>
        <w:t xml:space="preserve">first party audits: internal audits carried out by the Contractor, as more fully described in </w:t>
      </w:r>
      <w:r w:rsidR="00B761F0">
        <w:rPr>
          <w:rFonts w:cs="Arial"/>
        </w:rPr>
        <w:t>paragraph</w:t>
      </w:r>
      <w:r w:rsidR="00B74F29">
        <w:rPr>
          <w:rFonts w:cs="Arial"/>
        </w:rPr>
        <w:t xml:space="preserve"> </w:t>
      </w:r>
      <w:r w:rsidRPr="00BE010C">
        <w:rPr>
          <w:rFonts w:cs="Arial"/>
        </w:rPr>
        <w:t>2 below;</w:t>
      </w:r>
    </w:p>
    <w:p w:rsidRPr="00BE010C" w:rsidR="00B96036" w:rsidP="00B96036" w:rsidRDefault="00B96036" w14:paraId="082FC8E6" w14:textId="709141AE">
      <w:pPr>
        <w:pStyle w:val="Simple3"/>
        <w:rPr>
          <w:rFonts w:cs="Arial"/>
        </w:rPr>
      </w:pPr>
      <w:r w:rsidRPr="00BE010C">
        <w:rPr>
          <w:rFonts w:cs="Arial"/>
        </w:rPr>
        <w:t xml:space="preserve">second party audits: carried out by the Authority, and/or Audit Agents, as more fully described in </w:t>
      </w:r>
      <w:r w:rsidR="00B761F0">
        <w:rPr>
          <w:rFonts w:cs="Arial"/>
        </w:rPr>
        <w:t>paragraph</w:t>
      </w:r>
      <w:r w:rsidR="00B74F29">
        <w:rPr>
          <w:rFonts w:cs="Arial"/>
        </w:rPr>
        <w:t xml:space="preserve"> </w:t>
      </w:r>
      <w:r w:rsidRPr="00BE010C">
        <w:rPr>
          <w:rFonts w:cs="Arial"/>
        </w:rPr>
        <w:t>3 below; and</w:t>
      </w:r>
    </w:p>
    <w:p w:rsidRPr="00BE010C" w:rsidR="00B96036" w:rsidP="00B96036" w:rsidRDefault="00B96036" w14:paraId="2C3AD488" w14:textId="5FEAE9B4">
      <w:pPr>
        <w:pStyle w:val="Simple3"/>
        <w:rPr>
          <w:rFonts w:cs="Arial"/>
        </w:rPr>
      </w:pPr>
      <w:r w:rsidRPr="00BE010C">
        <w:rPr>
          <w:rFonts w:cs="Arial"/>
        </w:rPr>
        <w:t xml:space="preserve">third party audits carried out by third party regulatory bodies, as more fully described in </w:t>
      </w:r>
      <w:r w:rsidR="00B761F0">
        <w:rPr>
          <w:rFonts w:cs="Arial"/>
        </w:rPr>
        <w:t>paragraph</w:t>
      </w:r>
      <w:r w:rsidR="00B74F29">
        <w:rPr>
          <w:rFonts w:cs="Arial"/>
        </w:rPr>
        <w:t xml:space="preserve"> </w:t>
      </w:r>
      <w:r w:rsidRPr="00BE010C">
        <w:rPr>
          <w:rFonts w:cs="Arial"/>
        </w:rPr>
        <w:t>4 below.</w:t>
      </w:r>
    </w:p>
    <w:p w:rsidRPr="00BE010C" w:rsidR="00B96036" w:rsidP="00B96036" w:rsidRDefault="00B96036" w14:paraId="67F828FD" w14:textId="77777777">
      <w:pPr>
        <w:pStyle w:val="Simple1"/>
        <w:keepNext/>
        <w:rPr>
          <w:rFonts w:cs="Arial"/>
          <w:b/>
        </w:rPr>
      </w:pPr>
      <w:r w:rsidRPr="00BE010C">
        <w:rPr>
          <w:rFonts w:cs="Arial"/>
          <w:b/>
        </w:rPr>
        <w:t>USE OF CONTRACTOR'S INTERNAL AUDIT TEAM (FIRST PARTY AUDITS)</w:t>
      </w:r>
    </w:p>
    <w:p w:rsidRPr="00BE010C" w:rsidR="00B96036" w:rsidP="00B96036" w:rsidRDefault="00B96036" w14:paraId="36496BF8" w14:textId="77777777">
      <w:pPr>
        <w:pStyle w:val="Simple2"/>
        <w:rPr>
          <w:rFonts w:cs="Arial"/>
        </w:rPr>
      </w:pPr>
      <w:r w:rsidRPr="00BE010C">
        <w:rPr>
          <w:rFonts w:cs="Arial"/>
        </w:rPr>
        <w:t xml:space="preserve">The Contractor shall carry out internal audits in accordance with: </w:t>
      </w:r>
    </w:p>
    <w:p w:rsidRPr="00BE010C" w:rsidR="00B96036" w:rsidP="00B96036" w:rsidRDefault="00B96036" w14:paraId="39BFDED0" w14:textId="77777777">
      <w:pPr>
        <w:pStyle w:val="Simple3"/>
        <w:rPr>
          <w:rFonts w:cs="Arial"/>
        </w:rPr>
      </w:pPr>
      <w:r w:rsidRPr="00BE010C">
        <w:rPr>
          <w:rFonts w:cs="Arial"/>
        </w:rPr>
        <w:t>ISO</w:t>
      </w:r>
      <w:r w:rsidR="008062A8">
        <w:rPr>
          <w:rFonts w:cs="Arial"/>
        </w:rPr>
        <w:t xml:space="preserve"> </w:t>
      </w:r>
      <w:r w:rsidRPr="00BE010C">
        <w:rPr>
          <w:rFonts w:cs="Arial"/>
        </w:rPr>
        <w:t xml:space="preserve">45001 </w:t>
      </w:r>
      <w:r w:rsidR="008062A8">
        <w:rPr>
          <w:rFonts w:cs="Arial"/>
        </w:rPr>
        <w:t>(O</w:t>
      </w:r>
      <w:r w:rsidR="00BE010C">
        <w:rPr>
          <w:rFonts w:cs="Arial"/>
        </w:rPr>
        <w:t xml:space="preserve">ccupational </w:t>
      </w:r>
      <w:r w:rsidR="008062A8">
        <w:rPr>
          <w:rFonts w:cs="Arial"/>
        </w:rPr>
        <w:t>H</w:t>
      </w:r>
      <w:r w:rsidR="00BE010C">
        <w:rPr>
          <w:rFonts w:cs="Arial"/>
        </w:rPr>
        <w:t xml:space="preserve">ealth and </w:t>
      </w:r>
      <w:r w:rsidR="008062A8">
        <w:rPr>
          <w:rFonts w:cs="Arial"/>
        </w:rPr>
        <w:t>S</w:t>
      </w:r>
      <w:r w:rsidR="00BE010C">
        <w:rPr>
          <w:rFonts w:cs="Arial"/>
        </w:rPr>
        <w:t xml:space="preserve">afety </w:t>
      </w:r>
      <w:r w:rsidR="008062A8">
        <w:rPr>
          <w:rFonts w:cs="Arial"/>
        </w:rPr>
        <w:t>M</w:t>
      </w:r>
      <w:r w:rsidR="00BE010C">
        <w:rPr>
          <w:rFonts w:cs="Arial"/>
        </w:rPr>
        <w:t xml:space="preserve">anagement </w:t>
      </w:r>
      <w:r w:rsidR="008062A8">
        <w:rPr>
          <w:rFonts w:cs="Arial"/>
        </w:rPr>
        <w:t>M</w:t>
      </w:r>
      <w:r w:rsidR="00BE010C">
        <w:rPr>
          <w:rFonts w:cs="Arial"/>
        </w:rPr>
        <w:t>atters</w:t>
      </w:r>
      <w:r w:rsidR="008062A8">
        <w:rPr>
          <w:rFonts w:cs="Arial"/>
        </w:rPr>
        <w:t>)</w:t>
      </w:r>
      <w:r w:rsidRPr="00BE010C">
        <w:rPr>
          <w:rFonts w:cs="Arial"/>
        </w:rPr>
        <w:t xml:space="preserve">, </w:t>
      </w:r>
      <w:r w:rsidR="008062A8">
        <w:rPr>
          <w:rFonts w:cs="Arial"/>
        </w:rPr>
        <w:t xml:space="preserve">ISO </w:t>
      </w:r>
      <w:r w:rsidRPr="00BE010C">
        <w:rPr>
          <w:rFonts w:cs="Arial"/>
        </w:rPr>
        <w:t xml:space="preserve">14001 </w:t>
      </w:r>
      <w:r w:rsidR="008062A8">
        <w:rPr>
          <w:rFonts w:cs="Arial"/>
        </w:rPr>
        <w:t>(</w:t>
      </w:r>
      <w:r w:rsidR="006F0AD1">
        <w:rPr>
          <w:rFonts w:cs="Arial"/>
        </w:rPr>
        <w:t>Environmental Management)</w:t>
      </w:r>
      <w:r w:rsidR="00BE010C">
        <w:rPr>
          <w:rFonts w:cs="Arial"/>
        </w:rPr>
        <w:t>, and/or ISO</w:t>
      </w:r>
      <w:r w:rsidR="008062A8">
        <w:rPr>
          <w:rFonts w:cs="Arial"/>
        </w:rPr>
        <w:t xml:space="preserve"> </w:t>
      </w:r>
      <w:r w:rsidRPr="00BE010C">
        <w:rPr>
          <w:rFonts w:cs="Arial"/>
        </w:rPr>
        <w:t xml:space="preserve">9001 </w:t>
      </w:r>
      <w:r w:rsidR="006F0AD1">
        <w:rPr>
          <w:rFonts w:cs="Arial"/>
        </w:rPr>
        <w:t>(Q</w:t>
      </w:r>
      <w:r w:rsidR="00BE010C">
        <w:rPr>
          <w:rFonts w:cs="Arial"/>
        </w:rPr>
        <w:t xml:space="preserve">uality </w:t>
      </w:r>
      <w:r w:rsidR="006F0AD1">
        <w:rPr>
          <w:rFonts w:cs="Arial"/>
        </w:rPr>
        <w:t>M</w:t>
      </w:r>
      <w:r w:rsidR="00BE010C">
        <w:rPr>
          <w:rFonts w:cs="Arial"/>
        </w:rPr>
        <w:t xml:space="preserve">anagement </w:t>
      </w:r>
      <w:r w:rsidR="006F0AD1">
        <w:rPr>
          <w:rFonts w:cs="Arial"/>
        </w:rPr>
        <w:t>System)</w:t>
      </w:r>
      <w:r w:rsidR="00BE010C">
        <w:rPr>
          <w:rFonts w:cs="Arial"/>
        </w:rPr>
        <w:t>;</w:t>
      </w:r>
    </w:p>
    <w:p w:rsidR="00481477" w:rsidP="00481477" w:rsidRDefault="00481477" w14:paraId="731AC71A" w14:textId="77777777">
      <w:pPr>
        <w:pStyle w:val="Simple3"/>
      </w:pPr>
      <w:r>
        <w:t>the 'International Safety Management' code for marine safety and against the applicable civilian codes and standards as set out in Schedule 9 (Standards)</w:t>
      </w:r>
      <w:r>
        <w:rPr>
          <w:rFonts w:cs="Arial"/>
        </w:rPr>
        <w:t xml:space="preserve"> and as required by Law;</w:t>
      </w:r>
    </w:p>
    <w:p w:rsidRPr="00BE010C" w:rsidR="00B96036" w:rsidP="00B96036" w:rsidRDefault="008062A8" w14:paraId="22386D8B" w14:textId="77777777">
      <w:pPr>
        <w:pStyle w:val="Simple3"/>
        <w:rPr>
          <w:rFonts w:cs="Arial"/>
        </w:rPr>
      </w:pPr>
      <w:r>
        <w:t>DSA</w:t>
      </w:r>
      <w:r w:rsidRPr="00776D92">
        <w:t>02</w:t>
      </w:r>
      <w:r>
        <w:t>-</w:t>
      </w:r>
      <w:r w:rsidRPr="00776D92">
        <w:t xml:space="preserve">DMR </w:t>
      </w:r>
      <w:r>
        <w:t>(</w:t>
      </w:r>
      <w:r w:rsidRPr="00AB2DF1">
        <w:rPr>
          <w:lang w:val="x-none"/>
        </w:rPr>
        <w:t>Defence Maritime</w:t>
      </w:r>
      <w:r>
        <w:t xml:space="preserve"> </w:t>
      </w:r>
      <w:r w:rsidRPr="00AB2DF1">
        <w:rPr>
          <w:lang w:val="x-none"/>
        </w:rPr>
        <w:t>Regulations for Health, Safety and</w:t>
      </w:r>
      <w:r>
        <w:t xml:space="preserve"> </w:t>
      </w:r>
      <w:r w:rsidRPr="00AB2DF1">
        <w:rPr>
          <w:lang w:val="x-none"/>
        </w:rPr>
        <w:t>Environmental Protection</w:t>
      </w:r>
      <w:r>
        <w:t>)</w:t>
      </w:r>
      <w:r w:rsidRPr="008062A8">
        <w:rPr>
          <w:rFonts w:cs="Arial"/>
        </w:rPr>
        <w:t xml:space="preserve"> </w:t>
      </w:r>
      <w:r w:rsidRPr="00BE010C">
        <w:rPr>
          <w:rFonts w:cs="Arial"/>
        </w:rPr>
        <w:t>and applicable Defence Regulation</w:t>
      </w:r>
      <w:r>
        <w:rPr>
          <w:rFonts w:cs="Arial"/>
        </w:rPr>
        <w:t>; and</w:t>
      </w:r>
    </w:p>
    <w:p w:rsidRPr="00BE010C" w:rsidR="00B96036" w:rsidP="00B96036" w:rsidRDefault="00B96036" w14:paraId="69CF271D" w14:textId="77777777">
      <w:pPr>
        <w:pStyle w:val="Simple3"/>
        <w:rPr>
          <w:rFonts w:cs="Arial"/>
        </w:rPr>
      </w:pPr>
      <w:r w:rsidRPr="00BE010C">
        <w:rPr>
          <w:rFonts w:cs="Arial"/>
        </w:rPr>
        <w:t xml:space="preserve">ISO 19011 (Guidance for Auditing Management Systems), </w:t>
      </w:r>
    </w:p>
    <w:p w:rsidR="00B96036" w:rsidP="00B96036" w:rsidRDefault="00B96036" w14:paraId="4B1C7786" w14:textId="5EE8B2E7">
      <w:pPr>
        <w:pStyle w:val="Simple2"/>
        <w:numPr>
          <w:ilvl w:val="0"/>
          <w:numId w:val="0"/>
        </w:numPr>
        <w:ind w:left="709"/>
        <w:rPr>
          <w:rFonts w:cs="Arial"/>
        </w:rPr>
      </w:pPr>
      <w:r w:rsidRPr="00BE010C">
        <w:rPr>
          <w:rFonts w:cs="Arial"/>
        </w:rPr>
        <w:t>and, following completion of the internal audit, the Contractor shall provide a copy of the audit report to the Authority and shall facilitate the presentation of such report at the next Monthly Performance Review Board. The Contractor shall also ensure that the Authority has unfettered access to all relevant members of the Contractor's internal audit team for the purpose of understanding such audit reports</w:t>
      </w:r>
      <w:r w:rsidR="00532BB9">
        <w:rPr>
          <w:rFonts w:cs="Arial"/>
        </w:rPr>
        <w:t>.</w:t>
      </w:r>
    </w:p>
    <w:p w:rsidRPr="00532BB9" w:rsidR="00532BB9" w:rsidP="00532BB9" w:rsidRDefault="00532BB9" w14:paraId="202425D8" w14:textId="789CC6D9">
      <w:pPr>
        <w:pStyle w:val="Simple2"/>
        <w:rPr>
          <w:rFonts w:cs="Arial"/>
        </w:rPr>
      </w:pPr>
      <w:r w:rsidRPr="000C5E87">
        <w:t xml:space="preserve">For the purposes of an audit carried out pursuant to </w:t>
      </w:r>
      <w:r w:rsidR="00B761F0">
        <w:t>paragraph</w:t>
      </w:r>
      <w:r w:rsidR="00B74F29">
        <w:t xml:space="preserve"> </w:t>
      </w:r>
      <w:r w:rsidRPr="000C5E87">
        <w:t>3</w:t>
      </w:r>
      <w:r>
        <w:t>.1</w:t>
      </w:r>
      <w:r w:rsidRPr="000C5E87">
        <w:t>(</w:t>
      </w:r>
      <w:r>
        <w:t>r</w:t>
      </w:r>
      <w:r w:rsidRPr="000C5E87">
        <w:t>)</w:t>
      </w:r>
      <w:r>
        <w:t xml:space="preserve"> of this Part E of Schedule 6 (</w:t>
      </w:r>
      <w:r w:rsidRPr="009E3732">
        <w:t xml:space="preserve">Governance, Management Information, </w:t>
      </w:r>
      <w:r>
        <w:t xml:space="preserve">Reports, Records and </w:t>
      </w:r>
      <w:r w:rsidRPr="009E3732">
        <w:t>Audit</w:t>
      </w:r>
      <w:r>
        <w:t>)</w:t>
      </w:r>
      <w:r w:rsidRPr="000C5E87">
        <w:t>, in addition to any other rights under the Contract, the Authority may instruct the Contractor to carry out such an audit of any Sub-Contractor by an independent third party and, if so instructed, the Contractor shall deliver a report to the Authority within ninety (90) days of such instruction</w:t>
      </w:r>
      <w:r>
        <w:t>.</w:t>
      </w:r>
    </w:p>
    <w:p w:rsidRPr="00BE010C" w:rsidR="00B96036" w:rsidP="00B96036" w:rsidRDefault="00B96036" w14:paraId="1E22306A" w14:textId="77777777">
      <w:pPr>
        <w:pStyle w:val="Simple1"/>
        <w:keepNext/>
        <w:rPr>
          <w:rFonts w:cs="Arial"/>
          <w:b/>
        </w:rPr>
      </w:pPr>
      <w:r w:rsidRPr="00BE010C">
        <w:rPr>
          <w:rFonts w:cs="Arial"/>
          <w:b/>
        </w:rPr>
        <w:t>AUTHORITY AUDITS (SECOND PARTY AUDITS)</w:t>
      </w:r>
    </w:p>
    <w:p w:rsidRPr="00BE010C" w:rsidR="00B96036" w:rsidP="00B96036" w:rsidRDefault="00B96036" w14:paraId="20A81918" w14:textId="2C804F3B">
      <w:pPr>
        <w:pStyle w:val="Simple2"/>
        <w:rPr>
          <w:rFonts w:cs="Arial"/>
        </w:rPr>
      </w:pPr>
      <w:r w:rsidRPr="00BE010C">
        <w:rPr>
          <w:rFonts w:cs="Arial"/>
        </w:rPr>
        <w:t xml:space="preserve">The Authority, acting by itself or through its Audit Agents, shall have the right during the Contract Term and for a period of </w:t>
      </w:r>
      <w:r w:rsidR="00532BB9">
        <w:rPr>
          <w:rFonts w:cs="Arial"/>
        </w:rPr>
        <w:t>eighteen (</w:t>
      </w:r>
      <w:r w:rsidRPr="00BE010C">
        <w:rPr>
          <w:rFonts w:cs="Arial"/>
        </w:rPr>
        <w:t>18</w:t>
      </w:r>
      <w:r w:rsidR="00532BB9">
        <w:rPr>
          <w:rFonts w:cs="Arial"/>
        </w:rPr>
        <w:t>)</w:t>
      </w:r>
      <w:r w:rsidRPr="00BE010C">
        <w:rPr>
          <w:rFonts w:cs="Arial"/>
        </w:rPr>
        <w:t xml:space="preserve"> months thereafter, to assess compliance by the Contractor and/or its Sub-</w:t>
      </w:r>
      <w:r w:rsidR="006F0AD1">
        <w:rPr>
          <w:rFonts w:cs="Arial"/>
        </w:rPr>
        <w:t>C</w:t>
      </w:r>
      <w:r w:rsidRPr="00BE010C">
        <w:rPr>
          <w:rFonts w:cs="Arial"/>
        </w:rPr>
        <w:t>ontractors of the Contractor's obligations under this Contract, including for the following purposes:</w:t>
      </w:r>
    </w:p>
    <w:p w:rsidR="00B96036" w:rsidP="00B96036" w:rsidRDefault="00B96036" w14:paraId="6BD7653D" w14:textId="7742B0DB">
      <w:pPr>
        <w:pStyle w:val="Simple3"/>
        <w:rPr>
          <w:rFonts w:cs="Arial"/>
        </w:rPr>
      </w:pPr>
      <w:r w:rsidRPr="00BE010C">
        <w:rPr>
          <w:rFonts w:cs="Arial"/>
        </w:rPr>
        <w:t xml:space="preserve">to verify the effectiveness of the </w:t>
      </w:r>
      <w:r w:rsidRPr="00BE010C" w:rsidR="00F12A74">
        <w:rPr>
          <w:rFonts w:cs="Arial"/>
        </w:rPr>
        <w:t>health, safety and environment protection</w:t>
      </w:r>
      <w:r w:rsidRPr="00BE010C">
        <w:rPr>
          <w:rFonts w:cs="Arial"/>
        </w:rPr>
        <w:t xml:space="preserve"> management arrangements against </w:t>
      </w:r>
      <w:r w:rsidR="00573D23">
        <w:rPr>
          <w:rFonts w:cs="Arial"/>
        </w:rPr>
        <w:t>c</w:t>
      </w:r>
      <w:r w:rsidRPr="00BE010C">
        <w:rPr>
          <w:rFonts w:cs="Arial"/>
        </w:rPr>
        <w:t>ivilian</w:t>
      </w:r>
      <w:r w:rsidR="00573D23">
        <w:rPr>
          <w:rFonts w:cs="Arial"/>
        </w:rPr>
        <w:t xml:space="preserve"> regulations</w:t>
      </w:r>
      <w:r w:rsidRPr="00BE010C">
        <w:rPr>
          <w:rFonts w:cs="Arial"/>
        </w:rPr>
        <w:t xml:space="preserve"> and Defence Regulation for all relevant and associated contract areas</w:t>
      </w:r>
      <w:r w:rsidR="00353923">
        <w:rPr>
          <w:rFonts w:cs="Arial"/>
        </w:rPr>
        <w:t>;</w:t>
      </w:r>
    </w:p>
    <w:p w:rsidRPr="009613D2" w:rsidR="00353923" w:rsidP="00353923" w:rsidRDefault="00353923" w14:paraId="4153C5DA" w14:textId="6FD9145A">
      <w:pPr>
        <w:pStyle w:val="Simple3"/>
      </w:pPr>
      <w:r w:rsidRPr="009613D2">
        <w:t xml:space="preserve">to verify the integrity and content of any </w:t>
      </w:r>
      <w:r w:rsidR="004E6171">
        <w:t xml:space="preserve">Annual Financial </w:t>
      </w:r>
      <w:r w:rsidR="00B164B6">
        <w:t>Report</w:t>
      </w:r>
      <w:r w:rsidRPr="009613D2">
        <w:t>;</w:t>
      </w:r>
    </w:p>
    <w:p w:rsidRPr="009613D2" w:rsidR="00353923" w:rsidP="00353923" w:rsidRDefault="00353923" w14:paraId="45DA1D3A" w14:textId="77777777">
      <w:pPr>
        <w:pStyle w:val="Simple3"/>
      </w:pPr>
      <w:r w:rsidRPr="009613D2">
        <w:t>to verify the accuracy of the Charges and any other amounts payable by the Authority under this Contract (and proposed or actual variations to such Charges and payments);</w:t>
      </w:r>
    </w:p>
    <w:p w:rsidRPr="009613D2" w:rsidR="00353923" w:rsidP="00353923" w:rsidRDefault="00353923" w14:paraId="5BA01C86" w14:textId="6AFA705B">
      <w:pPr>
        <w:pStyle w:val="Simple3"/>
      </w:pPr>
      <w:r w:rsidRPr="009613D2">
        <w:t xml:space="preserve">to verify the Costs (including the amounts paid to all Sub-contractors and any third party </w:t>
      </w:r>
      <w:r w:rsidR="00D47062">
        <w:t>c</w:t>
      </w:r>
      <w:r w:rsidRPr="009613D2" w:rsidR="00D47062">
        <w:t>ontractors</w:t>
      </w:r>
      <w:r w:rsidRPr="009613D2">
        <w:t>);</w:t>
      </w:r>
    </w:p>
    <w:p w:rsidRPr="009613D2" w:rsidR="00353923" w:rsidP="00353923" w:rsidRDefault="00353923" w14:paraId="28733472" w14:textId="77777777">
      <w:pPr>
        <w:pStyle w:val="Simple3"/>
      </w:pPr>
      <w:r w:rsidRPr="009613D2">
        <w:t>to verify the Certificate of Costs and/or the Open Book Data;</w:t>
      </w:r>
    </w:p>
    <w:p w:rsidRPr="009613D2" w:rsidR="00353923" w:rsidP="00353923" w:rsidRDefault="00353923" w14:paraId="66AFC53D" w14:textId="77777777">
      <w:pPr>
        <w:pStyle w:val="Simple3"/>
      </w:pPr>
      <w:r w:rsidRPr="009613D2">
        <w:t>to verify the Contractor's and each Key Sub-contractor's compliance with this Contract and applicable Law;</w:t>
      </w:r>
    </w:p>
    <w:p w:rsidRPr="009613D2" w:rsidR="00353923" w:rsidP="00353923" w:rsidRDefault="00353923" w14:paraId="002EAE79" w14:textId="77777777">
      <w:pPr>
        <w:pStyle w:val="Simple3"/>
      </w:pPr>
      <w:r w:rsidRPr="009613D2">
        <w:t>to identify or investigate actual or suspected fraud, impropriety or accounting mistakes or any breach or threatened breach of security and in these circumstances the Authority shall have no obligation to inform the Contractor of the purpose or objective of its investigations;</w:t>
      </w:r>
    </w:p>
    <w:p w:rsidRPr="009613D2" w:rsidR="00353923" w:rsidP="00353923" w:rsidRDefault="00353923" w14:paraId="19E80E5C" w14:textId="77777777">
      <w:pPr>
        <w:pStyle w:val="Simple3"/>
      </w:pPr>
      <w:r w:rsidRPr="009613D2">
        <w:t>to identify or investigate any circumstances which may impact upon the financial stability of the Contractor, the Guarantor and/or any Key Sub-contractors or their ability to perform the Services;</w:t>
      </w:r>
    </w:p>
    <w:p w:rsidRPr="009613D2" w:rsidR="00353923" w:rsidP="00353923" w:rsidRDefault="00353923" w14:paraId="767B8DF3" w14:textId="77777777">
      <w:pPr>
        <w:pStyle w:val="Simple3"/>
      </w:pPr>
      <w:r w:rsidRPr="009613D2">
        <w:t>to obtain such information as is necessary to fulfil the Authority's obligations to supply information for parliamentary, ministerial, judicial, regulatory or administrative purposes including the supply of information to the Comptroller and Auditor General;</w:t>
      </w:r>
    </w:p>
    <w:p w:rsidRPr="009613D2" w:rsidR="00353923" w:rsidP="00353923" w:rsidRDefault="00353923" w14:paraId="7D01AA20" w14:textId="77777777">
      <w:pPr>
        <w:pStyle w:val="Simple3"/>
      </w:pPr>
      <w:r w:rsidRPr="009613D2">
        <w:t>to review any books of account and the internal contract management accounts kept by the Contractor in connection with this Contract;</w:t>
      </w:r>
    </w:p>
    <w:p w:rsidRPr="009613D2" w:rsidR="00353923" w:rsidP="00353923" w:rsidRDefault="00353923" w14:paraId="43E893F9" w14:textId="77777777">
      <w:pPr>
        <w:pStyle w:val="Simple3"/>
      </w:pPr>
      <w:r w:rsidRPr="009613D2">
        <w:t>to carry out the Authority's internal and statutory audits and to prepare, examine and/or certify the Authority's annual and interim reports and accounts;</w:t>
      </w:r>
    </w:p>
    <w:p w:rsidRPr="009613D2" w:rsidR="00353923" w:rsidP="00353923" w:rsidRDefault="00353923" w14:paraId="4C818528" w14:textId="77777777">
      <w:pPr>
        <w:pStyle w:val="Simple3"/>
      </w:pPr>
      <w:r w:rsidRPr="009613D2">
        <w:t>to enable the National Audit Office to carry out an examination pursuant to Section 6(1) of the National Audit Act 1983 of the economy, efficiency and effectiveness with which the Authority has used its resources;</w:t>
      </w:r>
    </w:p>
    <w:p w:rsidRPr="009613D2" w:rsidR="00353923" w:rsidP="00353923" w:rsidRDefault="00353923" w14:paraId="1FDE373C" w14:textId="77777777">
      <w:pPr>
        <w:pStyle w:val="Simple3"/>
      </w:pPr>
      <w:r w:rsidRPr="009613D2">
        <w:t>to verify the accuracy and completeness of any Management Information delivered or required by this Contract;</w:t>
      </w:r>
    </w:p>
    <w:p w:rsidRPr="009613D2" w:rsidR="00353923" w:rsidP="00353923" w:rsidRDefault="00353923" w14:paraId="2AF9BB43" w14:textId="77777777">
      <w:pPr>
        <w:pStyle w:val="Simple3"/>
      </w:pPr>
      <w:r w:rsidRPr="009613D2">
        <w:t>to review any other Records relating to the Contractor's performance of the Services and to verify that these reflect the Contractor's own internal reports and records;</w:t>
      </w:r>
    </w:p>
    <w:p w:rsidRPr="009613D2" w:rsidR="00353923" w:rsidP="00353923" w:rsidRDefault="00353923" w14:paraId="4991B13C" w14:textId="77777777">
      <w:pPr>
        <w:pStyle w:val="Simple3"/>
      </w:pPr>
      <w:r w:rsidRPr="009613D2">
        <w:t xml:space="preserve">to review the Contractor's compliance with statutory requirements as well as applicable Standards;  </w:t>
      </w:r>
    </w:p>
    <w:p w:rsidRPr="009613D2" w:rsidR="00353923" w:rsidP="00353923" w:rsidRDefault="00353923" w14:paraId="754937F7" w14:textId="06E9F07B">
      <w:pPr>
        <w:pStyle w:val="Simple3"/>
      </w:pPr>
      <w:r w:rsidRPr="009613D2">
        <w:t xml:space="preserve">to inspect the Authority Assets, including the Authority's IPRs, equipment and facilities, for the purposes of ensuring that the Authority Assets are secure and that any register of assets is up to date; </w:t>
      </w:r>
    </w:p>
    <w:p w:rsidR="00D97310" w:rsidP="004D6CA7" w:rsidRDefault="00353923" w14:paraId="7F4B8AA3" w14:textId="1407A37D">
      <w:pPr>
        <w:pStyle w:val="Simple3"/>
      </w:pPr>
      <w:r w:rsidRPr="009613D2">
        <w:t>to review the integrity, confidentiality and se</w:t>
      </w:r>
      <w:r w:rsidR="00D97310">
        <w:t xml:space="preserve">curity of the </w:t>
      </w:r>
      <w:r w:rsidR="00A13BE3">
        <w:t>Authority Data</w:t>
      </w:r>
      <w:r w:rsidR="00D97310">
        <w:t>;</w:t>
      </w:r>
      <w:r w:rsidRPr="00D97310" w:rsidR="00D97310">
        <w:t xml:space="preserve"> </w:t>
      </w:r>
      <w:r w:rsidRPr="009613D2" w:rsidR="00D97310">
        <w:t>and/or</w:t>
      </w:r>
    </w:p>
    <w:p w:rsidRPr="009613D2" w:rsidR="00353923" w:rsidP="004D6CA7" w:rsidRDefault="00D97310" w14:paraId="13E25FA6" w14:textId="643CA3A9">
      <w:pPr>
        <w:pStyle w:val="Simple3"/>
      </w:pPr>
      <w:r>
        <w:t>to carry out an unannounced or semi-announced inspection of any Site and speak directly to any Contractor Personnel in a confidential manner and in the native language of such Contractor Personnel in respect of workforce conditions, working or employment practices and recruitment practices.</w:t>
      </w:r>
    </w:p>
    <w:p w:rsidRPr="00BE010C" w:rsidR="00B96036" w:rsidP="00B96036" w:rsidRDefault="00B96036" w14:paraId="2AC1D9F9" w14:textId="77777777">
      <w:pPr>
        <w:pStyle w:val="Simple2"/>
        <w:rPr>
          <w:rFonts w:cs="Arial"/>
        </w:rPr>
      </w:pPr>
      <w:r w:rsidRPr="00BE010C">
        <w:rPr>
          <w:rFonts w:cs="Arial"/>
        </w:rPr>
        <w:t>Nothing in this Contract shall prevent or restrict the rights of the Auditor and/or their representatives from carrying out an audit, examination or investigation of the Contractor and/or any of the Key Sub-contractors for the purposes of and pursuant to applicable Law.</w:t>
      </w:r>
    </w:p>
    <w:p w:rsidRPr="009613D2" w:rsidR="009613D2" w:rsidP="009613D2" w:rsidRDefault="009613D2" w14:paraId="569F9400" w14:textId="68A645E9">
      <w:pPr>
        <w:pStyle w:val="Simple2"/>
        <w:rPr>
          <w:rFonts w:cs="Arial"/>
        </w:rPr>
      </w:pPr>
      <w:r>
        <w:rPr>
          <w:rFonts w:cs="Arial"/>
        </w:rPr>
        <w:t xml:space="preserve">If any audit carried out pursuant to </w:t>
      </w:r>
      <w:r w:rsidR="00B761F0">
        <w:rPr>
          <w:rFonts w:cs="Arial"/>
        </w:rPr>
        <w:t>paragraph</w:t>
      </w:r>
      <w:r w:rsidR="00B74F29">
        <w:rPr>
          <w:rFonts w:cs="Arial"/>
        </w:rPr>
        <w:t xml:space="preserve"> </w:t>
      </w:r>
      <w:r>
        <w:rPr>
          <w:rFonts w:cs="Arial"/>
        </w:rPr>
        <w:t xml:space="preserve">3.1 identifies </w:t>
      </w:r>
      <w:r w:rsidRPr="009613D2">
        <w:rPr>
          <w:rFonts w:cs="Arial"/>
        </w:rPr>
        <w:t xml:space="preserve">any non-conformities, then the Contractor shall promptly produce and implement an action plan to deal with such non-conformities, and: </w:t>
      </w:r>
    </w:p>
    <w:p w:rsidRPr="009613D2" w:rsidR="009613D2" w:rsidP="009613D2" w:rsidRDefault="009613D2" w14:paraId="42FDA87B" w14:textId="77777777">
      <w:pPr>
        <w:pStyle w:val="Simple3"/>
      </w:pPr>
      <w:r w:rsidRPr="009613D2">
        <w:t>a copy of such action plan shall be promptly provided to the Authority;</w:t>
      </w:r>
    </w:p>
    <w:p w:rsidRPr="009613D2" w:rsidR="009613D2" w:rsidP="009613D2" w:rsidRDefault="009613D2" w14:paraId="1835406A" w14:textId="071438FD">
      <w:pPr>
        <w:pStyle w:val="Simple3"/>
      </w:pPr>
      <w:r w:rsidRPr="009613D2">
        <w:t>the Contractor shall provide the Authority with regular progress updates against such action plan</w:t>
      </w:r>
      <w:r>
        <w:t xml:space="preserve"> at the</w:t>
      </w:r>
      <w:r w:rsidR="000E73A2">
        <w:t xml:space="preserve"> subsequent</w:t>
      </w:r>
      <w:r>
        <w:t xml:space="preserve"> Monthly Performance Review Board</w:t>
      </w:r>
      <w:r w:rsidR="000E73A2">
        <w:t xml:space="preserve"> meetings</w:t>
      </w:r>
      <w:r w:rsidRPr="009613D2">
        <w:t xml:space="preserve">, </w:t>
      </w:r>
      <w:r w:rsidR="000E73A2">
        <w:t xml:space="preserve">or </w:t>
      </w:r>
      <w:r w:rsidRPr="009613D2">
        <w:t>as reasonably required by the Authority;</w:t>
      </w:r>
      <w:r>
        <w:t xml:space="preserve"> and</w:t>
      </w:r>
    </w:p>
    <w:p w:rsidRPr="009613D2" w:rsidR="009613D2" w:rsidP="009613D2" w:rsidRDefault="009613D2" w14:paraId="4DF4F228" w14:textId="686E1628">
      <w:pPr>
        <w:pStyle w:val="Simple3"/>
      </w:pPr>
      <w:r w:rsidRPr="009613D2">
        <w:t>the non-conformities identified in the audit shall be resolved within three (3) months of the date of the auditor's report, or by such other date agreed between the Parties</w:t>
      </w:r>
      <w:r>
        <w:t>.</w:t>
      </w:r>
    </w:p>
    <w:p w:rsidRPr="00BE010C" w:rsidR="00B96036" w:rsidP="00B96036" w:rsidRDefault="00B96036" w14:paraId="055793E3" w14:textId="77777777">
      <w:pPr>
        <w:pStyle w:val="Simple1"/>
        <w:keepNext/>
        <w:rPr>
          <w:rFonts w:cs="Arial"/>
          <w:b/>
        </w:rPr>
      </w:pPr>
      <w:r w:rsidRPr="00BE010C">
        <w:rPr>
          <w:rFonts w:cs="Arial"/>
          <w:b/>
        </w:rPr>
        <w:t>EXTERNAL / REGULATORY AUDITING (THIRD PARTY AUDITS)</w:t>
      </w:r>
    </w:p>
    <w:p w:rsidRPr="00BE010C" w:rsidR="00B96036" w:rsidP="00B96036" w:rsidRDefault="00B96036" w14:paraId="0BD12BD5" w14:textId="2AC1A2EC">
      <w:pPr>
        <w:pStyle w:val="Simple2"/>
        <w:rPr>
          <w:rFonts w:cs="Arial"/>
        </w:rPr>
      </w:pPr>
      <w:r w:rsidRPr="00BE010C">
        <w:rPr>
          <w:rFonts w:cs="Arial"/>
        </w:rPr>
        <w:t>The Contractor shall comply with and support any third-party regulatory bodies who wish to conduct an audit, including but not limited to Flag Administration, Classification Societies (acting on behalf of the MCA or the Authority), or regulators of the Authority including the Defence Maritime Regulator and the Naval Authority Group.  The Contractor shall provide a copy of the audit report to the Authority and shall facilitate the presentation of such report</w:t>
      </w:r>
      <w:r w:rsidR="00FF14B5">
        <w:rPr>
          <w:rFonts w:cs="Arial"/>
        </w:rPr>
        <w:t>,</w:t>
      </w:r>
      <w:r w:rsidRPr="00BE010C">
        <w:rPr>
          <w:rFonts w:cs="Arial"/>
        </w:rPr>
        <w:t xml:space="preserve"> </w:t>
      </w:r>
      <w:r w:rsidR="00FF14B5">
        <w:rPr>
          <w:rFonts w:cs="Arial"/>
        </w:rPr>
        <w:t>accompanied by a</w:t>
      </w:r>
      <w:r w:rsidRPr="00BE010C" w:rsidR="00FF14B5">
        <w:rPr>
          <w:rFonts w:cs="Arial"/>
        </w:rPr>
        <w:t xml:space="preserve"> tracked progress</w:t>
      </w:r>
      <w:r w:rsidR="00FF14B5">
        <w:rPr>
          <w:rFonts w:cs="Arial"/>
        </w:rPr>
        <w:t xml:space="preserve"> update</w:t>
      </w:r>
      <w:r w:rsidRPr="00BE010C" w:rsidR="00FF14B5">
        <w:rPr>
          <w:rFonts w:cs="Arial"/>
        </w:rPr>
        <w:t xml:space="preserve"> addressing</w:t>
      </w:r>
      <w:r w:rsidR="00FF14B5">
        <w:rPr>
          <w:rFonts w:cs="Arial"/>
        </w:rPr>
        <w:t xml:space="preserve"> the</w:t>
      </w:r>
      <w:r w:rsidRPr="00BE010C" w:rsidR="00FF14B5">
        <w:rPr>
          <w:rFonts w:cs="Arial"/>
        </w:rPr>
        <w:t xml:space="preserve"> findings </w:t>
      </w:r>
      <w:r w:rsidR="00FF14B5">
        <w:rPr>
          <w:rFonts w:cs="Arial"/>
        </w:rPr>
        <w:t xml:space="preserve">of such report, </w:t>
      </w:r>
      <w:r w:rsidR="00AB4C11">
        <w:rPr>
          <w:rFonts w:cs="Arial"/>
        </w:rPr>
        <w:t xml:space="preserve">at the next </w:t>
      </w:r>
      <w:r w:rsidRPr="00BE010C">
        <w:rPr>
          <w:rFonts w:cs="Arial"/>
        </w:rPr>
        <w:t>M</w:t>
      </w:r>
      <w:r w:rsidR="00AB4C11">
        <w:rPr>
          <w:rFonts w:cs="Arial"/>
        </w:rPr>
        <w:t>onthly Performance Review Board</w:t>
      </w:r>
      <w:r w:rsidRPr="00BE010C">
        <w:rPr>
          <w:rFonts w:cs="Arial"/>
        </w:rPr>
        <w:t>.</w:t>
      </w:r>
      <w:r w:rsidRPr="00FF14B5" w:rsidR="00FF14B5">
        <w:rPr>
          <w:rFonts w:cs="Arial"/>
        </w:rPr>
        <w:t xml:space="preserve"> </w:t>
      </w:r>
    </w:p>
    <w:p w:rsidRPr="00BE010C" w:rsidR="00B96036" w:rsidP="00B96036" w:rsidRDefault="00B96036" w14:paraId="728B3EFA" w14:textId="77777777">
      <w:pPr>
        <w:pStyle w:val="Simple2"/>
        <w:rPr>
          <w:rFonts w:eastAsia="Times New Roman" w:cs="Arial"/>
        </w:rPr>
      </w:pPr>
      <w:r w:rsidRPr="00BE010C">
        <w:rPr>
          <w:rFonts w:cs="Arial"/>
        </w:rPr>
        <w:t>The Contractor shall comply with any reports produced by such third-party regulatory bodies.</w:t>
      </w:r>
    </w:p>
    <w:p w:rsidRPr="00BE010C" w:rsidR="00B96036" w:rsidP="00B96036" w:rsidRDefault="00B96036" w14:paraId="62FBEA4A" w14:textId="77777777">
      <w:pPr>
        <w:pStyle w:val="Simple1"/>
        <w:keepNext/>
        <w:rPr>
          <w:rFonts w:cs="Arial"/>
          <w:b/>
        </w:rPr>
      </w:pPr>
      <w:r w:rsidRPr="00BE010C">
        <w:rPr>
          <w:rFonts w:cs="Arial"/>
          <w:b/>
        </w:rPr>
        <w:t>CONDUCT OF AUDITS</w:t>
      </w:r>
    </w:p>
    <w:p w:rsidRPr="00BE010C" w:rsidR="00B96036" w:rsidP="00B96036" w:rsidRDefault="00B96036" w14:paraId="75580141" w14:textId="77777777">
      <w:pPr>
        <w:pStyle w:val="Simple2"/>
        <w:rPr>
          <w:rFonts w:cs="Arial"/>
        </w:rPr>
      </w:pPr>
      <w:r w:rsidRPr="00BE010C">
        <w:rPr>
          <w:rFonts w:cs="Arial"/>
        </w:rPr>
        <w:t>The Authority shall during each audit comply with those security, sites, systems and facilities operating procedures of the Contractor that the Authority deems reasonable and use its reasonable endeavours to ensure that the conduct of each audit does not unreasonably disrupt the Contractor or delay the provision of the Services.</w:t>
      </w:r>
    </w:p>
    <w:p w:rsidRPr="00BE010C" w:rsidR="00B96036" w:rsidP="00B96036" w:rsidRDefault="00B96036" w14:paraId="4C351BCA" w14:textId="77777777">
      <w:pPr>
        <w:pStyle w:val="Simple2"/>
        <w:rPr>
          <w:rFonts w:cs="Arial"/>
        </w:rPr>
      </w:pPr>
      <w:r w:rsidRPr="00BE010C">
        <w:rPr>
          <w:rFonts w:cs="Arial"/>
        </w:rPr>
        <w:t>Subject to the Authority's obligations of confidentiality, the Contractor shall on demand provide the Authority and the Audit Agents with all reasonable co-operation and assistance (and shall procure such co-operation and assistance from its Sub-contractors) in relation to each audit, including:</w:t>
      </w:r>
    </w:p>
    <w:p w:rsidRPr="00BE010C" w:rsidR="00B96036" w:rsidP="00B96036" w:rsidRDefault="00B96036" w14:paraId="2C77F3EB" w14:textId="77777777">
      <w:pPr>
        <w:pStyle w:val="Simple3"/>
        <w:rPr>
          <w:rFonts w:cs="Arial"/>
        </w:rPr>
      </w:pPr>
      <w:r w:rsidRPr="00BE010C">
        <w:rPr>
          <w:rFonts w:cs="Arial"/>
        </w:rPr>
        <w:t xml:space="preserve">all information requested by the Authority </w:t>
      </w:r>
    </w:p>
    <w:p w:rsidRPr="00BE010C" w:rsidR="00B96036" w:rsidP="00B96036" w:rsidRDefault="00B96036" w14:paraId="10D5488E" w14:textId="77777777">
      <w:pPr>
        <w:pStyle w:val="Simple3"/>
        <w:rPr>
          <w:rFonts w:cs="Arial"/>
        </w:rPr>
      </w:pPr>
      <w:r w:rsidRPr="00BE010C">
        <w:rPr>
          <w:rFonts w:cs="Arial"/>
        </w:rPr>
        <w:t>reasonable access to any Sites, any Vessels which provide or may reasonably be expected to provide to the Services to the Authority, and to any equipment used (whether exclusively or non-exclusively) in the performance of the Services;</w:t>
      </w:r>
    </w:p>
    <w:p w:rsidRPr="00BE010C" w:rsidR="00B96036" w:rsidP="00B96036" w:rsidRDefault="00B96036" w14:paraId="614D1C51" w14:textId="77777777">
      <w:pPr>
        <w:pStyle w:val="Simple3"/>
        <w:rPr>
          <w:rFonts w:cs="Arial"/>
        </w:rPr>
      </w:pPr>
      <w:r w:rsidRPr="00BE010C">
        <w:rPr>
          <w:rFonts w:cs="Arial"/>
        </w:rPr>
        <w:t>access to the Contractor System; and</w:t>
      </w:r>
    </w:p>
    <w:p w:rsidRPr="00BE010C" w:rsidR="00B96036" w:rsidP="00B96036" w:rsidRDefault="00B96036" w14:paraId="66443A1F" w14:textId="77777777">
      <w:pPr>
        <w:pStyle w:val="Simple3"/>
        <w:rPr>
          <w:rFonts w:cs="Arial"/>
        </w:rPr>
      </w:pPr>
      <w:r w:rsidRPr="00BE010C">
        <w:rPr>
          <w:rFonts w:cs="Arial"/>
        </w:rPr>
        <w:t>access to Contractor Personnel.</w:t>
      </w:r>
    </w:p>
    <w:p w:rsidRPr="00BE010C" w:rsidR="00B96036" w:rsidP="00B96036" w:rsidRDefault="00B96036" w14:paraId="6276AA46" w14:textId="77777777">
      <w:pPr>
        <w:pStyle w:val="Simple2"/>
        <w:rPr>
          <w:rFonts w:cs="Arial"/>
        </w:rPr>
      </w:pPr>
      <w:r w:rsidRPr="00BE010C">
        <w:rPr>
          <w:rFonts w:cs="Arial"/>
        </w:rPr>
        <w:t>The Contractor shall implement all measurement and monitoring tools and procedures necessary to measure and report on the Contractor's performance of the Services against the applicable KPI at a level of detail sufficient to verify compliance with the KPIs</w:t>
      </w:r>
      <w:r w:rsidR="007B52FF">
        <w:rPr>
          <w:rFonts w:cs="Arial"/>
        </w:rPr>
        <w:t>.</w:t>
      </w:r>
    </w:p>
    <w:p w:rsidRPr="00BE010C" w:rsidR="00B96036" w:rsidP="00B96036" w:rsidRDefault="00B96036" w14:paraId="7D6F38A9" w14:textId="77777777">
      <w:pPr>
        <w:pStyle w:val="Simple2"/>
        <w:rPr>
          <w:rFonts w:cs="Arial"/>
        </w:rPr>
      </w:pPr>
      <w:r w:rsidRPr="00BE010C">
        <w:rPr>
          <w:rFonts w:cs="Arial"/>
        </w:rPr>
        <w:t>The Authority shall endeavour to (but is not obliged to) provide at least 15 Business Days' notice of its intention to conduct an audit.</w:t>
      </w:r>
    </w:p>
    <w:p w:rsidRPr="00BE010C" w:rsidR="00B96036" w:rsidP="00B96036" w:rsidRDefault="00B96036" w14:paraId="2EDDA78D" w14:textId="3CC8CBF2">
      <w:pPr>
        <w:pStyle w:val="Simple2"/>
        <w:rPr>
          <w:rFonts w:cs="Arial"/>
        </w:rPr>
      </w:pPr>
      <w:r w:rsidRPr="00BE010C">
        <w:rPr>
          <w:rFonts w:cs="Arial"/>
        </w:rPr>
        <w:t xml:space="preserve">The Parties agree that they shall bear their own respective costs and expenses incurred in respect of compliance with their obligations under this </w:t>
      </w:r>
      <w:r w:rsidR="00B761F0">
        <w:rPr>
          <w:rFonts w:cs="Arial"/>
        </w:rPr>
        <w:t>paragraph</w:t>
      </w:r>
      <w:r w:rsidR="00B74F29">
        <w:rPr>
          <w:rFonts w:cs="Arial"/>
        </w:rPr>
        <w:t xml:space="preserve"> </w:t>
      </w:r>
      <w:r w:rsidR="00AB4C11">
        <w:rPr>
          <w:rFonts w:cs="Arial"/>
        </w:rPr>
        <w:t>5</w:t>
      </w:r>
      <w:r w:rsidRPr="00BE010C">
        <w:rPr>
          <w:rFonts w:cs="Arial"/>
        </w:rPr>
        <w:t>, unless the audit identifies a material Default by the Contractor in which case the Contractor shall reimburse the Authority for all the Authority's reasonable costs incurred in connection with the audit.</w:t>
      </w:r>
    </w:p>
    <w:p w:rsidRPr="00BE010C" w:rsidR="00B96036" w:rsidP="00B96036" w:rsidRDefault="00B96036" w14:paraId="0871A551" w14:textId="77777777">
      <w:pPr>
        <w:pStyle w:val="Simple1"/>
        <w:keepNext/>
        <w:rPr>
          <w:rFonts w:cs="Arial"/>
          <w:b/>
        </w:rPr>
      </w:pPr>
      <w:r w:rsidRPr="00BE010C">
        <w:rPr>
          <w:rFonts w:cs="Arial"/>
          <w:b/>
        </w:rPr>
        <w:t>RESPONSE TO AUDITS</w:t>
      </w:r>
    </w:p>
    <w:p w:rsidRPr="00BE010C" w:rsidR="00B96036" w:rsidP="00B96036" w:rsidRDefault="00B96036" w14:paraId="0ADFC6C8" w14:textId="77777777">
      <w:pPr>
        <w:pStyle w:val="Simple2"/>
        <w:rPr>
          <w:rFonts w:cs="Arial"/>
        </w:rPr>
      </w:pPr>
      <w:r w:rsidRPr="00BE010C">
        <w:rPr>
          <w:rFonts w:cs="Arial"/>
        </w:rPr>
        <w:t xml:space="preserve">If an audit undertaken pursuant to paragraphs 2 to 4 above </w:t>
      </w:r>
      <w:r w:rsidR="00A47775">
        <w:rPr>
          <w:rFonts w:cs="Arial"/>
        </w:rPr>
        <w:t>identifies</w:t>
      </w:r>
      <w:r w:rsidRPr="00BE010C">
        <w:rPr>
          <w:rFonts w:cs="Arial"/>
        </w:rPr>
        <w:t>:</w:t>
      </w:r>
    </w:p>
    <w:p w:rsidR="00753CDD" w:rsidP="00A47775" w:rsidRDefault="00A47775" w14:paraId="4856D7E3" w14:textId="77777777">
      <w:pPr>
        <w:pStyle w:val="Simple3"/>
      </w:pPr>
      <w:r>
        <w:t>any major non-conformities then the Contractor shall immediately notify the Authority in writing of the same</w:t>
      </w:r>
      <w:r w:rsidR="00753CDD">
        <w:t xml:space="preserve">; </w:t>
      </w:r>
    </w:p>
    <w:p w:rsidR="005275BE" w:rsidP="00A47775" w:rsidRDefault="00753CDD" w14:paraId="46A4E812" w14:textId="77777777">
      <w:pPr>
        <w:pStyle w:val="Simple3"/>
      </w:pPr>
      <w:r>
        <w:t>any non-conformities, then the Contractor shall promptly produce and implement an action plan to deal with such non-conformities, and</w:t>
      </w:r>
      <w:r w:rsidR="005275BE">
        <w:t>:</w:t>
      </w:r>
      <w:r>
        <w:t xml:space="preserve"> </w:t>
      </w:r>
    </w:p>
    <w:p w:rsidR="005275BE" w:rsidP="005275BE" w:rsidRDefault="00753CDD" w14:paraId="3F67D4C1" w14:textId="77777777">
      <w:pPr>
        <w:pStyle w:val="Simple4"/>
      </w:pPr>
      <w:r>
        <w:t xml:space="preserve">a copy of such action plan </w:t>
      </w:r>
      <w:r w:rsidR="005275BE">
        <w:t>shall be promptly provided to the Authority;</w:t>
      </w:r>
    </w:p>
    <w:p w:rsidR="005275BE" w:rsidP="005275BE" w:rsidRDefault="005275BE" w14:paraId="0D59BE44" w14:textId="77777777">
      <w:pPr>
        <w:pStyle w:val="Simple4"/>
      </w:pPr>
      <w:r>
        <w:t xml:space="preserve">the Contractor shall provide the Authority with </w:t>
      </w:r>
      <w:r w:rsidR="00753CDD">
        <w:t>regular progress updates against such action plan,</w:t>
      </w:r>
      <w:r>
        <w:t xml:space="preserve"> as reasonably required by the Authority;</w:t>
      </w:r>
    </w:p>
    <w:p w:rsidRPr="005275BE" w:rsidR="000E34A0" w:rsidP="005275BE" w:rsidRDefault="005275BE" w14:paraId="46E4FB7D" w14:textId="77777777">
      <w:pPr>
        <w:pStyle w:val="Simple4"/>
      </w:pPr>
      <w:r>
        <w:t>the non-conformities identified in the audit shall be resolved within three (3) months of the date of the auditor's report, or by such other date agreed between the Parties;</w:t>
      </w:r>
    </w:p>
    <w:p w:rsidRPr="000E73A2" w:rsidR="007B52FF" w:rsidP="007B52FF" w:rsidRDefault="00A47775" w14:paraId="5990BA82" w14:textId="77777777">
      <w:pPr>
        <w:pStyle w:val="Simple3"/>
      </w:pPr>
      <w:r w:rsidRPr="000E73A2">
        <w:t xml:space="preserve">that </w:t>
      </w:r>
      <w:r w:rsidRPr="000E73A2" w:rsidR="007B52FF">
        <w:t>the Contractor has committed a Default, the Authority may (without prejudice to any rights and remedies the Authority may have) require the Contractor to correct such Default as soon as reasonably practicable and the provisions of Clause 49 (Contractor Default and Rectification Plan) shall apply;</w:t>
      </w:r>
    </w:p>
    <w:p w:rsidRPr="000E73A2" w:rsidR="007B52FF" w:rsidP="007B52FF" w:rsidRDefault="007B52FF" w14:paraId="204FEDBD" w14:textId="77777777">
      <w:pPr>
        <w:pStyle w:val="Simple3"/>
      </w:pPr>
      <w:r w:rsidRPr="000E73A2">
        <w:t>th</w:t>
      </w:r>
      <w:r w:rsidRPr="000E73A2" w:rsidR="00A47775">
        <w:t>at th</w:t>
      </w:r>
      <w:r w:rsidRPr="000E73A2">
        <w:t>ere is an error in any of the Management Information, then the Contractor shall rectify the error within five (5) Business Days or such other period specified by the Authority;</w:t>
      </w:r>
    </w:p>
    <w:p w:rsidRPr="000E73A2" w:rsidR="007B52FF" w:rsidP="007B52FF" w:rsidRDefault="007B52FF" w14:paraId="35601D57" w14:textId="77777777">
      <w:pPr>
        <w:pStyle w:val="Simple3"/>
      </w:pPr>
      <w:r w:rsidRPr="000E73A2">
        <w:t>t</w:t>
      </w:r>
      <w:r w:rsidRPr="000E73A2" w:rsidR="00A47775">
        <w:t>hat t</w:t>
      </w:r>
      <w:r w:rsidRPr="000E73A2">
        <w:t>he Authority has overpaid any Charges, the Contractor shall pay to the Authority:</w:t>
      </w:r>
    </w:p>
    <w:p w:rsidRPr="000E73A2" w:rsidR="007B52FF" w:rsidP="007B52FF" w:rsidRDefault="007B52FF" w14:paraId="4352567E" w14:textId="77777777">
      <w:pPr>
        <w:pStyle w:val="Simple4"/>
      </w:pPr>
      <w:r w:rsidRPr="000E73A2">
        <w:t>the amount overpaid;</w:t>
      </w:r>
    </w:p>
    <w:p w:rsidRPr="000E73A2" w:rsidR="007B52FF" w:rsidP="007B52FF" w:rsidRDefault="007B52FF" w14:paraId="48CCE8FA" w14:textId="1F185955">
      <w:pPr>
        <w:pStyle w:val="Simple4"/>
      </w:pPr>
      <w:r w:rsidRPr="000E73A2">
        <w:t>interest on the amount overpaid at the applicable rate under the Late Payment of Commercial Debts (Interest) Act 1998, accruing on a daily basis from the date of overpayment by the Authority up to the date of repayment by the Contractor; and</w:t>
      </w:r>
    </w:p>
    <w:p w:rsidRPr="000E73A2" w:rsidR="007B52FF" w:rsidP="007B52FF" w:rsidRDefault="007B52FF" w14:paraId="7812AA6A" w14:textId="77777777">
      <w:pPr>
        <w:pStyle w:val="Simple4"/>
      </w:pPr>
      <w:r w:rsidRPr="000E73A2">
        <w:t>the reasonable costs incurred by the Authority in undertaking the audit,</w:t>
      </w:r>
    </w:p>
    <w:p w:rsidRPr="000E73A2" w:rsidR="007B52FF" w:rsidP="007B52FF" w:rsidRDefault="007B52FF" w14:paraId="7F209E6A" w14:textId="77777777">
      <w:pPr>
        <w:pStyle w:val="Body2"/>
        <w:ind w:left="1406" w:firstLine="11"/>
      </w:pPr>
      <w:r w:rsidRPr="000E73A2">
        <w:t>and the Authority may exercise its right to deduct such amount from the Charges if it prefers; and</w:t>
      </w:r>
    </w:p>
    <w:p w:rsidRPr="000E73A2" w:rsidR="00B96036" w:rsidP="007B52FF" w:rsidRDefault="007B52FF" w14:paraId="216A36BB" w14:textId="77777777">
      <w:pPr>
        <w:pStyle w:val="Simple3"/>
      </w:pPr>
      <w:r w:rsidRPr="000E73A2">
        <w:t>t</w:t>
      </w:r>
      <w:r w:rsidRPr="000E73A2" w:rsidR="00A47775">
        <w:t>hat t</w:t>
      </w:r>
      <w:r w:rsidRPr="000E73A2">
        <w:t>he Authority has underpaid any Charges, the Contractor shall not be entitled to increase the Charges paid or payable by the Authority.</w:t>
      </w:r>
      <w:r w:rsidRPr="000E73A2" w:rsidR="00B96036">
        <w:rPr>
          <w:rFonts w:cs="Arial"/>
          <w:bCs/>
          <w:lang w:eastAsia="en-GB"/>
        </w:rPr>
        <w:t xml:space="preserve"> </w:t>
      </w:r>
    </w:p>
    <w:p w:rsidRPr="00BE010C" w:rsidR="00B96036" w:rsidP="00B96036" w:rsidRDefault="00B96036" w14:paraId="02C25EE8" w14:textId="77777777">
      <w:pPr>
        <w:pStyle w:val="Simple1"/>
        <w:keepNext/>
        <w:rPr>
          <w:rFonts w:cs="Arial"/>
          <w:b/>
        </w:rPr>
      </w:pPr>
      <w:r w:rsidRPr="00BE010C">
        <w:rPr>
          <w:rFonts w:cs="Arial"/>
          <w:b/>
        </w:rPr>
        <w:t>AUDITS OF KEY SUB-CONTRACTORS</w:t>
      </w:r>
    </w:p>
    <w:p w:rsidRPr="00BE010C" w:rsidR="00B96036" w:rsidP="00B96036" w:rsidRDefault="00B96036" w14:paraId="75BF9BE1" w14:textId="77777777">
      <w:pPr>
        <w:pStyle w:val="Simple2"/>
        <w:rPr>
          <w:rFonts w:cs="Arial"/>
        </w:rPr>
      </w:pPr>
      <w:r w:rsidRPr="00BE010C">
        <w:rPr>
          <w:rFonts w:cs="Arial"/>
        </w:rPr>
        <w:tab/>
      </w:r>
      <w:r w:rsidRPr="00BE010C">
        <w:rPr>
          <w:rFonts w:cs="Arial"/>
        </w:rPr>
        <w:t>Without prejudice to any other provisions of this Part E (Audit), the Contractor shall:</w:t>
      </w:r>
    </w:p>
    <w:p w:rsidR="000E118C" w:rsidP="000E118C" w:rsidRDefault="000E118C" w14:paraId="799D63ED" w14:textId="1A86D7D5">
      <w:pPr>
        <w:pStyle w:val="Simple3"/>
        <w:rPr>
          <w:rFonts w:cs="Arial"/>
        </w:rPr>
      </w:pPr>
      <w:r w:rsidRPr="00921053">
        <w:rPr>
          <w:rFonts w:cs="Arial"/>
        </w:rPr>
        <w:t>be responsible for auditing any health, safety and environmental protection management arrangements</w:t>
      </w:r>
      <w:r w:rsidR="00764631">
        <w:rPr>
          <w:rFonts w:cs="Arial"/>
        </w:rPr>
        <w:t>, including compliance with the appropriate civilia</w:t>
      </w:r>
      <w:r w:rsidR="00573D23">
        <w:rPr>
          <w:rFonts w:cs="Arial"/>
        </w:rPr>
        <w:t>n regulations and Defence Regulations</w:t>
      </w:r>
      <w:r w:rsidR="00764631">
        <w:rPr>
          <w:rFonts w:cs="Arial"/>
        </w:rPr>
        <w:t>,</w:t>
      </w:r>
      <w:r w:rsidRPr="00921053">
        <w:rPr>
          <w:rFonts w:cs="Arial"/>
        </w:rPr>
        <w:t xml:space="preserve"> put in place by a Key Sub-Contractor to the extent that such arrangements are relevant and/or applicable to the delivery of the Services or the performance of this Contract</w:t>
      </w:r>
      <w:r w:rsidRPr="00921053" w:rsidR="00497E43">
        <w:rPr>
          <w:rFonts w:cs="Arial"/>
        </w:rPr>
        <w:t>;</w:t>
      </w:r>
    </w:p>
    <w:p w:rsidRPr="00921053" w:rsidR="000E73A2" w:rsidP="000E118C" w:rsidRDefault="000E73A2" w14:paraId="51C35B84" w14:textId="30D85856">
      <w:pPr>
        <w:pStyle w:val="Simple3"/>
        <w:rPr>
          <w:rFonts w:cs="Arial"/>
        </w:rPr>
      </w:pPr>
      <w:r>
        <w:rPr>
          <w:rFonts w:cs="Arial"/>
        </w:rPr>
        <w:t xml:space="preserve">ensure that full copies of any </w:t>
      </w:r>
      <w:r w:rsidRPr="000E73A2">
        <w:rPr>
          <w:rFonts w:cs="Arial"/>
        </w:rPr>
        <w:t xml:space="preserve">audit reports for the Key Sub-contractors </w:t>
      </w:r>
      <w:r>
        <w:rPr>
          <w:rFonts w:cs="Arial"/>
        </w:rPr>
        <w:t xml:space="preserve">are promptly made available to the Authority on the Shared Data Environment </w:t>
      </w:r>
      <w:r w:rsidRPr="000E73A2">
        <w:rPr>
          <w:rFonts w:cs="Arial"/>
        </w:rPr>
        <w:t>(and the Authority shall be entitled</w:t>
      </w:r>
      <w:r>
        <w:rPr>
          <w:rFonts w:cs="Arial"/>
        </w:rPr>
        <w:t xml:space="preserve"> to rely on such audit reports).</w:t>
      </w:r>
      <w:r w:rsidRPr="000E73A2">
        <w:rPr>
          <w:rFonts w:cs="Arial"/>
        </w:rPr>
        <w:t xml:space="preserve"> </w:t>
      </w:r>
    </w:p>
    <w:p w:rsidR="007B52FF" w:rsidP="007B52FF" w:rsidRDefault="007B52FF" w14:paraId="1C09F601" w14:textId="77777777">
      <w:pPr>
        <w:pStyle w:val="Simple4"/>
        <w:numPr>
          <w:ilvl w:val="0"/>
          <w:numId w:val="0"/>
        </w:numPr>
        <w:ind w:left="2126"/>
      </w:pPr>
    </w:p>
    <w:p w:rsidR="007B52FF" w:rsidP="007B52FF" w:rsidRDefault="007B52FF" w14:paraId="452F3883" w14:textId="77777777">
      <w:pPr>
        <w:pStyle w:val="Simple4"/>
        <w:numPr>
          <w:ilvl w:val="0"/>
          <w:numId w:val="0"/>
        </w:numPr>
        <w:ind w:left="2126"/>
      </w:pPr>
    </w:p>
    <w:p w:rsidR="007B52FF" w:rsidP="007B52FF" w:rsidRDefault="007B52FF" w14:paraId="3F97E39D" w14:textId="77777777">
      <w:pPr>
        <w:pStyle w:val="Simple3"/>
        <w:sectPr w:rsidR="007B52FF" w:rsidSect="00257C51">
          <w:pgSz w:w="11906" w:h="16838" w:orient="portrait" w:code="9"/>
          <w:pgMar w:top="1440" w:right="1440" w:bottom="1440" w:left="1440" w:header="709" w:footer="709" w:gutter="0"/>
          <w:cols w:space="708"/>
          <w:titlePg/>
          <w:docGrid w:linePitch="360"/>
        </w:sectPr>
      </w:pPr>
    </w:p>
    <w:p w:rsidR="008A20BD" w:rsidP="0087227A" w:rsidRDefault="008A20BD" w14:paraId="4103D8B3" w14:textId="77777777">
      <w:pPr>
        <w:pStyle w:val="Schedule1"/>
        <w:spacing w:after="0"/>
      </w:pPr>
      <w:r>
        <w:t>APPENDIX</w:t>
      </w:r>
      <w:r w:rsidR="00081BEB">
        <w:t xml:space="preserve"> 1</w:t>
      </w:r>
    </w:p>
    <w:p w:rsidRPr="00B561DE" w:rsidR="008168D2" w:rsidP="00B561DE" w:rsidRDefault="0087227A" w14:paraId="655FF88B" w14:textId="16562910">
      <w:pPr>
        <w:pStyle w:val="BodyText"/>
        <w:jc w:val="center"/>
        <w:rPr>
          <w:b/>
        </w:rPr>
      </w:pPr>
      <w:r>
        <w:rPr>
          <w:b/>
        </w:rPr>
        <w:t xml:space="preserve">RECORDS TO </w:t>
      </w:r>
      <w:r w:rsidR="008023E9">
        <w:rPr>
          <w:b/>
        </w:rPr>
        <w:t>BE MAINTAINED IN</w:t>
      </w:r>
      <w:r>
        <w:rPr>
          <w:b/>
        </w:rPr>
        <w:t xml:space="preserve"> THE SHARED DATA ENVIRONMENT</w:t>
      </w:r>
    </w:p>
    <w:tbl>
      <w:tblPr>
        <w:tblStyle w:val="TableGrid"/>
        <w:tblW w:w="5000" w:type="pct"/>
        <w:tblLook w:val="04A0" w:firstRow="1" w:lastRow="0" w:firstColumn="1" w:lastColumn="0" w:noHBand="0" w:noVBand="1"/>
      </w:tblPr>
      <w:tblGrid>
        <w:gridCol w:w="2513"/>
        <w:gridCol w:w="2787"/>
        <w:gridCol w:w="5783"/>
        <w:gridCol w:w="2865"/>
      </w:tblGrid>
      <w:tr w:rsidRPr="008A20BD" w:rsidR="00BC11E7" w:rsidTr="004A279D" w14:paraId="6EDC10B0" w14:textId="77777777">
        <w:trPr>
          <w:tblHeader/>
        </w:trPr>
        <w:tc>
          <w:tcPr>
            <w:tcW w:w="901" w:type="pct"/>
            <w:shd w:val="clear" w:color="auto" w:fill="D9D9D9" w:themeFill="background1" w:themeFillShade="D9"/>
          </w:tcPr>
          <w:p w:rsidRPr="008A20BD" w:rsidR="00BC11E7" w:rsidP="008A20BD" w:rsidRDefault="00BC11E7" w14:paraId="2DCEE535" w14:textId="77777777">
            <w:pPr>
              <w:pStyle w:val="BodyText"/>
              <w:spacing w:after="0"/>
              <w:jc w:val="center"/>
              <w:rPr>
                <w:b/>
              </w:rPr>
            </w:pPr>
            <w:r w:rsidRPr="008A20BD">
              <w:rPr>
                <w:b/>
              </w:rPr>
              <w:t>(1)</w:t>
            </w:r>
          </w:p>
          <w:p w:rsidRPr="008A20BD" w:rsidR="00BC11E7" w:rsidP="008A20BD" w:rsidRDefault="00BC11E7" w14:paraId="753BEDA1" w14:textId="77777777">
            <w:pPr>
              <w:pStyle w:val="BodyText"/>
              <w:jc w:val="center"/>
              <w:rPr>
                <w:b/>
              </w:rPr>
            </w:pPr>
            <w:r>
              <w:rPr>
                <w:b/>
              </w:rPr>
              <w:t>REQUIRED DATA</w:t>
            </w:r>
          </w:p>
        </w:tc>
        <w:tc>
          <w:tcPr>
            <w:tcW w:w="999" w:type="pct"/>
            <w:shd w:val="clear" w:color="auto" w:fill="D9D9D9" w:themeFill="background1" w:themeFillShade="D9"/>
          </w:tcPr>
          <w:p w:rsidR="00BC11E7" w:rsidP="008A20BD" w:rsidRDefault="00BC11E7" w14:paraId="17182F5A" w14:textId="77777777">
            <w:pPr>
              <w:pStyle w:val="BodyText"/>
              <w:spacing w:after="0"/>
              <w:jc w:val="center"/>
              <w:rPr>
                <w:b/>
              </w:rPr>
            </w:pPr>
            <w:r>
              <w:rPr>
                <w:b/>
              </w:rPr>
              <w:t>(2)</w:t>
            </w:r>
          </w:p>
          <w:p w:rsidR="00BC11E7" w:rsidP="008A20BD" w:rsidRDefault="00BC11E7" w14:paraId="15DD5EE6" w14:textId="77777777">
            <w:pPr>
              <w:pStyle w:val="BodyText"/>
              <w:spacing w:after="0"/>
              <w:jc w:val="center"/>
              <w:rPr>
                <w:b/>
              </w:rPr>
            </w:pPr>
            <w:r>
              <w:rPr>
                <w:b/>
              </w:rPr>
              <w:t>APPLICABLE CONTRACT REFERENCE</w:t>
            </w:r>
          </w:p>
          <w:p w:rsidRPr="0034123C" w:rsidR="0034123C" w:rsidP="003A113A" w:rsidRDefault="0034123C" w14:paraId="688E50CE" w14:textId="283EC8A5">
            <w:pPr>
              <w:pStyle w:val="BodyText"/>
              <w:spacing w:after="0"/>
              <w:rPr>
                <w:b/>
                <w:i/>
              </w:rPr>
            </w:pPr>
          </w:p>
        </w:tc>
        <w:tc>
          <w:tcPr>
            <w:tcW w:w="2073" w:type="pct"/>
            <w:shd w:val="clear" w:color="auto" w:fill="D9D9D9" w:themeFill="background1" w:themeFillShade="D9"/>
          </w:tcPr>
          <w:p w:rsidRPr="008A20BD" w:rsidR="00BC11E7" w:rsidP="008A20BD" w:rsidRDefault="00BC11E7" w14:paraId="36BED1F8" w14:textId="77777777">
            <w:pPr>
              <w:pStyle w:val="BodyText"/>
              <w:spacing w:after="0"/>
              <w:jc w:val="center"/>
              <w:rPr>
                <w:b/>
              </w:rPr>
            </w:pPr>
            <w:r w:rsidRPr="008A20BD">
              <w:rPr>
                <w:b/>
              </w:rPr>
              <w:t>(</w:t>
            </w:r>
            <w:r>
              <w:rPr>
                <w:b/>
              </w:rPr>
              <w:t>3</w:t>
            </w:r>
            <w:r w:rsidRPr="008A20BD">
              <w:rPr>
                <w:b/>
              </w:rPr>
              <w:t>)</w:t>
            </w:r>
          </w:p>
          <w:p w:rsidRPr="008A20BD" w:rsidR="00BC11E7" w:rsidP="008A20BD" w:rsidRDefault="0034123C" w14:paraId="5189D67B" w14:textId="77777777">
            <w:pPr>
              <w:pStyle w:val="BodyText"/>
              <w:jc w:val="center"/>
              <w:rPr>
                <w:b/>
              </w:rPr>
            </w:pPr>
            <w:r>
              <w:rPr>
                <w:b/>
              </w:rPr>
              <w:t>FURTHER DETAIL (if applicable)</w:t>
            </w:r>
          </w:p>
        </w:tc>
        <w:tc>
          <w:tcPr>
            <w:tcW w:w="1027" w:type="pct"/>
            <w:shd w:val="clear" w:color="auto" w:fill="D9D9D9" w:themeFill="background1" w:themeFillShade="D9"/>
          </w:tcPr>
          <w:p w:rsidRPr="008A20BD" w:rsidR="00BC11E7" w:rsidP="008A20BD" w:rsidRDefault="00BC11E7" w14:paraId="2FF62026" w14:textId="77777777">
            <w:pPr>
              <w:pStyle w:val="BodyText"/>
              <w:spacing w:after="0"/>
              <w:jc w:val="center"/>
              <w:rPr>
                <w:b/>
              </w:rPr>
            </w:pPr>
            <w:r w:rsidRPr="008A20BD">
              <w:rPr>
                <w:b/>
              </w:rPr>
              <w:t>(</w:t>
            </w:r>
            <w:r>
              <w:rPr>
                <w:b/>
              </w:rPr>
              <w:t>4</w:t>
            </w:r>
            <w:r w:rsidRPr="008A20BD">
              <w:rPr>
                <w:b/>
              </w:rPr>
              <w:t>)</w:t>
            </w:r>
          </w:p>
          <w:p w:rsidRPr="008A20BD" w:rsidR="00BC11E7" w:rsidP="008A20BD" w:rsidRDefault="00BC11E7" w14:paraId="103C2820" w14:textId="77777777">
            <w:pPr>
              <w:pStyle w:val="BodyText"/>
              <w:jc w:val="center"/>
              <w:rPr>
                <w:b/>
              </w:rPr>
            </w:pPr>
            <w:r>
              <w:rPr>
                <w:b/>
              </w:rPr>
              <w:t>UPLOAD DATE</w:t>
            </w:r>
          </w:p>
        </w:tc>
      </w:tr>
      <w:tr w:rsidRPr="00B56C74" w:rsidR="00BC11E7" w:rsidTr="004A279D" w14:paraId="47762EE2" w14:textId="77777777">
        <w:tc>
          <w:tcPr>
            <w:tcW w:w="901" w:type="pct"/>
          </w:tcPr>
          <w:p w:rsidRPr="003B285D" w:rsidR="00BC11E7" w:rsidP="00127082" w:rsidRDefault="00BC11E7" w14:paraId="45389C4B" w14:textId="6827F1CA">
            <w:pPr>
              <w:pStyle w:val="BodyText"/>
              <w:numPr>
                <w:ilvl w:val="0"/>
                <w:numId w:val="21"/>
              </w:numPr>
              <w:ind w:left="313" w:hanging="313"/>
              <w:jc w:val="left"/>
              <w:rPr>
                <w:rFonts w:eastAsia="Calibri" w:cs="Arial"/>
              </w:rPr>
            </w:pPr>
            <w:r>
              <w:rPr>
                <w:rFonts w:eastAsia="Calibri" w:cs="Arial"/>
              </w:rPr>
              <w:t>The</w:t>
            </w:r>
            <w:r w:rsidR="00836181">
              <w:rPr>
                <w:rFonts w:eastAsia="Calibri" w:cs="Arial"/>
              </w:rPr>
              <w:t xml:space="preserve"> original</w:t>
            </w:r>
            <w:r>
              <w:rPr>
                <w:rFonts w:eastAsia="Calibri" w:cs="Arial"/>
              </w:rPr>
              <w:t xml:space="preserve"> Contract</w:t>
            </w:r>
          </w:p>
        </w:tc>
        <w:tc>
          <w:tcPr>
            <w:tcW w:w="999" w:type="pct"/>
          </w:tcPr>
          <w:p w:rsidR="00BC11E7" w:rsidP="008E7807" w:rsidRDefault="00BC11E7" w14:paraId="27D0C483" w14:textId="77777777">
            <w:pPr>
              <w:pStyle w:val="BodyText"/>
              <w:jc w:val="left"/>
              <w:rPr>
                <w:rFonts w:eastAsia="Calibri" w:cs="Arial"/>
              </w:rPr>
            </w:pPr>
          </w:p>
        </w:tc>
        <w:tc>
          <w:tcPr>
            <w:tcW w:w="2073" w:type="pct"/>
          </w:tcPr>
          <w:p w:rsidRPr="003B285D" w:rsidR="00BC11E7" w:rsidP="00836181" w:rsidRDefault="00836181" w14:paraId="0F0F9236" w14:textId="1BA28DBB">
            <w:pPr>
              <w:pStyle w:val="BodyText"/>
              <w:jc w:val="left"/>
              <w:rPr>
                <w:rFonts w:eastAsia="Calibri" w:cs="Arial"/>
              </w:rPr>
            </w:pPr>
            <w:r>
              <w:rPr>
                <w:rFonts w:eastAsia="Calibri" w:cs="Arial"/>
              </w:rPr>
              <w:t>A full copy of the contract and</w:t>
            </w:r>
            <w:r w:rsidR="00BC11E7">
              <w:rPr>
                <w:rFonts w:eastAsia="Calibri" w:cs="Arial"/>
              </w:rPr>
              <w:t xml:space="preserve"> its schedules</w:t>
            </w:r>
            <w:r>
              <w:rPr>
                <w:rFonts w:eastAsia="Calibri" w:cs="Arial"/>
              </w:rPr>
              <w:t xml:space="preserve"> as at the Effective Date</w:t>
            </w:r>
            <w:r w:rsidR="00BC11E7">
              <w:rPr>
                <w:rFonts w:eastAsia="Calibri" w:cs="Arial"/>
              </w:rPr>
              <w:t>.</w:t>
            </w:r>
            <w:r>
              <w:rPr>
                <w:rFonts w:eastAsia="Calibri" w:cs="Arial"/>
              </w:rPr>
              <w:t xml:space="preserve"> This is not to be removed or updated.</w:t>
            </w:r>
          </w:p>
        </w:tc>
        <w:tc>
          <w:tcPr>
            <w:tcW w:w="1027" w:type="pct"/>
          </w:tcPr>
          <w:p w:rsidRPr="0037415C" w:rsidR="00BC11E7" w:rsidP="00836181" w:rsidRDefault="00BC11E7" w14:paraId="6368D311" w14:textId="614605B8">
            <w:pPr>
              <w:pStyle w:val="BodyText"/>
              <w:jc w:val="left"/>
            </w:pPr>
            <w:r>
              <w:t xml:space="preserve">Within </w:t>
            </w:r>
            <w:r w:rsidR="00836181">
              <w:t>5 Business Days of Effective Date</w:t>
            </w:r>
            <w:r>
              <w:t>.</w:t>
            </w:r>
          </w:p>
        </w:tc>
      </w:tr>
      <w:tr w:rsidRPr="00B56C74" w:rsidR="00836181" w:rsidTr="004A279D" w14:paraId="407FB092" w14:textId="77777777">
        <w:tc>
          <w:tcPr>
            <w:tcW w:w="901" w:type="pct"/>
          </w:tcPr>
          <w:p w:rsidR="00836181" w:rsidP="00127082" w:rsidRDefault="00836181" w14:paraId="0CA00712" w14:textId="2DE27B24">
            <w:pPr>
              <w:pStyle w:val="BodyText"/>
              <w:numPr>
                <w:ilvl w:val="0"/>
                <w:numId w:val="21"/>
              </w:numPr>
              <w:ind w:left="313" w:hanging="313"/>
              <w:jc w:val="left"/>
              <w:rPr>
                <w:rFonts w:eastAsia="Calibri" w:cs="Arial"/>
              </w:rPr>
            </w:pPr>
            <w:r>
              <w:rPr>
                <w:rFonts w:eastAsia="Calibri" w:cs="Arial"/>
              </w:rPr>
              <w:t>The conformed, current version of the Contract</w:t>
            </w:r>
          </w:p>
        </w:tc>
        <w:tc>
          <w:tcPr>
            <w:tcW w:w="999" w:type="pct"/>
          </w:tcPr>
          <w:p w:rsidR="00836181" w:rsidP="008E7807" w:rsidRDefault="002E13B2" w14:paraId="723BF6EE" w14:textId="62D515AA">
            <w:pPr>
              <w:pStyle w:val="BodyText"/>
              <w:jc w:val="left"/>
              <w:rPr>
                <w:rFonts w:eastAsia="Calibri" w:cs="Arial"/>
              </w:rPr>
            </w:pPr>
            <w:r>
              <w:rPr>
                <w:rFonts w:eastAsia="Calibri" w:cs="Arial"/>
              </w:rPr>
              <w:t>Schedule 19 (Change Control Procedure)</w:t>
            </w:r>
          </w:p>
        </w:tc>
        <w:tc>
          <w:tcPr>
            <w:tcW w:w="2073" w:type="pct"/>
          </w:tcPr>
          <w:p w:rsidR="00836181" w:rsidP="00836181" w:rsidRDefault="00836181" w14:paraId="017D0DEA" w14:textId="14C3C926">
            <w:pPr>
              <w:pStyle w:val="BodyText"/>
              <w:jc w:val="left"/>
              <w:rPr>
                <w:rFonts w:eastAsia="Calibri" w:cs="Arial"/>
              </w:rPr>
            </w:pPr>
            <w:r>
              <w:rPr>
                <w:rFonts w:eastAsia="Calibri" w:cs="Arial"/>
              </w:rPr>
              <w:t>A full copy of the contract and its schedules, to be kept up to date to show all amendments to such documents</w:t>
            </w:r>
            <w:r w:rsidR="00521BE5">
              <w:rPr>
                <w:rFonts w:eastAsia="Calibri" w:cs="Arial"/>
              </w:rPr>
              <w:t>.</w:t>
            </w:r>
          </w:p>
        </w:tc>
        <w:tc>
          <w:tcPr>
            <w:tcW w:w="1027" w:type="pct"/>
          </w:tcPr>
          <w:p w:rsidR="00836181" w:rsidP="00790772" w:rsidRDefault="00836181" w14:paraId="358B6A74" w14:textId="7C371BCC">
            <w:pPr>
              <w:pStyle w:val="BodyText"/>
              <w:jc w:val="left"/>
            </w:pPr>
            <w:r>
              <w:t xml:space="preserve">As </w:t>
            </w:r>
            <w:r w:rsidR="00790772">
              <w:t xml:space="preserve">required by </w:t>
            </w:r>
            <w:r w:rsidR="00790772">
              <w:rPr>
                <w:rFonts w:eastAsia="Calibri" w:cs="Arial"/>
              </w:rPr>
              <w:t>Schedule 19 (Change Control Procedure)</w:t>
            </w:r>
            <w:r w:rsidR="00790772">
              <w:t>.</w:t>
            </w:r>
          </w:p>
        </w:tc>
      </w:tr>
      <w:tr w:rsidRPr="00B56C74" w:rsidR="00D97F5B" w:rsidTr="004A279D" w14:paraId="47C5BD50" w14:textId="77777777">
        <w:tc>
          <w:tcPr>
            <w:tcW w:w="901" w:type="pct"/>
          </w:tcPr>
          <w:p w:rsidR="00D97F5B" w:rsidP="00127082" w:rsidRDefault="00D97F5B" w14:paraId="5E9A042C" w14:textId="0FC15BBA">
            <w:pPr>
              <w:pStyle w:val="BodyText"/>
              <w:numPr>
                <w:ilvl w:val="0"/>
                <w:numId w:val="21"/>
              </w:numPr>
              <w:ind w:left="313" w:hanging="313"/>
              <w:jc w:val="left"/>
              <w:rPr>
                <w:rFonts w:eastAsia="Calibri" w:cs="Arial"/>
              </w:rPr>
            </w:pPr>
            <w:r>
              <w:rPr>
                <w:rFonts w:eastAsia="Calibri" w:cs="Arial"/>
              </w:rPr>
              <w:t>Management Informa</w:t>
            </w:r>
            <w:r w:rsidR="00521BE5">
              <w:rPr>
                <w:rFonts w:eastAsia="Calibri" w:cs="Arial"/>
              </w:rPr>
              <w:t>tion</w:t>
            </w:r>
          </w:p>
        </w:tc>
        <w:tc>
          <w:tcPr>
            <w:tcW w:w="999" w:type="pct"/>
          </w:tcPr>
          <w:p w:rsidR="00D97F5B" w:rsidP="008E7807" w:rsidRDefault="00790772" w14:paraId="559EF063" w14:textId="18DCEE81">
            <w:pPr>
              <w:pStyle w:val="BodyText"/>
              <w:jc w:val="left"/>
              <w:rPr>
                <w:rFonts w:eastAsia="Calibri" w:cs="Arial"/>
              </w:rPr>
            </w:pPr>
            <w:r>
              <w:rPr>
                <w:rFonts w:eastAsia="Calibri" w:cs="Arial"/>
              </w:rPr>
              <w:t>Part B (Management Information) of Schedule 6 (</w:t>
            </w:r>
            <w:r w:rsidRPr="00790772">
              <w:rPr>
                <w:rFonts w:eastAsia="Calibri" w:cs="Arial"/>
              </w:rPr>
              <w:t>Governance, Management Information, Reports, Records and Audit</w:t>
            </w:r>
            <w:r>
              <w:rPr>
                <w:rFonts w:eastAsia="Calibri" w:cs="Arial"/>
              </w:rPr>
              <w:t>)</w:t>
            </w:r>
          </w:p>
        </w:tc>
        <w:tc>
          <w:tcPr>
            <w:tcW w:w="2073" w:type="pct"/>
          </w:tcPr>
          <w:p w:rsidR="00D97F5B" w:rsidP="00836181" w:rsidRDefault="00521BE5" w14:paraId="4D78EF17" w14:textId="4F10D7FE">
            <w:pPr>
              <w:pStyle w:val="BodyText"/>
              <w:jc w:val="left"/>
              <w:rPr>
                <w:rFonts w:eastAsia="Calibri" w:cs="Arial"/>
              </w:rPr>
            </w:pPr>
            <w:r>
              <w:rPr>
                <w:rFonts w:eastAsia="Calibri" w:cs="Arial"/>
              </w:rPr>
              <w:t>Copies of all Management Information to be provided by the Contractor.</w:t>
            </w:r>
          </w:p>
        </w:tc>
        <w:tc>
          <w:tcPr>
            <w:tcW w:w="1027" w:type="pct"/>
          </w:tcPr>
          <w:p w:rsidR="00D97F5B" w:rsidP="00836181" w:rsidRDefault="00790772" w14:paraId="33791920" w14:textId="55CB0A11">
            <w:pPr>
              <w:pStyle w:val="BodyText"/>
              <w:jc w:val="left"/>
            </w:pPr>
            <w:r>
              <w:rPr>
                <w:rFonts w:eastAsia="Calibri" w:cs="Arial"/>
              </w:rPr>
              <w:t>As required to be provided by the Contractor as set out in Part B (Management Information) of Schedule 6 (</w:t>
            </w:r>
            <w:r w:rsidRPr="00790772">
              <w:rPr>
                <w:rFonts w:eastAsia="Calibri" w:cs="Arial"/>
              </w:rPr>
              <w:t>Governance, Management Information, Reports, Records and Audit</w:t>
            </w:r>
            <w:r>
              <w:rPr>
                <w:rFonts w:eastAsia="Calibri" w:cs="Arial"/>
              </w:rPr>
              <w:t>).</w:t>
            </w:r>
          </w:p>
        </w:tc>
      </w:tr>
      <w:tr w:rsidRPr="00B56C74" w:rsidR="00BC11E7" w:rsidTr="004A279D" w14:paraId="07729442" w14:textId="77777777">
        <w:tc>
          <w:tcPr>
            <w:tcW w:w="901" w:type="pct"/>
          </w:tcPr>
          <w:p w:rsidR="00BC11E7" w:rsidP="00127082" w:rsidRDefault="00BC11E7" w14:paraId="54A4D373" w14:textId="77777777">
            <w:pPr>
              <w:pStyle w:val="BodyText"/>
              <w:numPr>
                <w:ilvl w:val="0"/>
                <w:numId w:val="21"/>
              </w:numPr>
              <w:ind w:left="313" w:hanging="313"/>
              <w:jc w:val="left"/>
              <w:rPr>
                <w:rFonts w:eastAsia="Calibri" w:cs="Arial"/>
              </w:rPr>
            </w:pPr>
            <w:r>
              <w:rPr>
                <w:rFonts w:eastAsia="Calibri" w:cs="Arial"/>
              </w:rPr>
              <w:t>Expert Reports</w:t>
            </w:r>
          </w:p>
        </w:tc>
        <w:tc>
          <w:tcPr>
            <w:tcW w:w="999" w:type="pct"/>
          </w:tcPr>
          <w:p w:rsidR="00BC11E7" w:rsidP="008E7807" w:rsidRDefault="00BC11E7" w14:paraId="5250CBFA" w14:textId="77777777">
            <w:pPr>
              <w:pStyle w:val="BodyText"/>
              <w:jc w:val="left"/>
              <w:rPr>
                <w:rFonts w:eastAsia="Calibri" w:cs="Arial"/>
              </w:rPr>
            </w:pPr>
          </w:p>
        </w:tc>
        <w:tc>
          <w:tcPr>
            <w:tcW w:w="2073" w:type="pct"/>
          </w:tcPr>
          <w:p w:rsidR="00BC11E7" w:rsidP="00FA2D74" w:rsidRDefault="00BC11E7" w14:paraId="00AE1090" w14:textId="1F4E5F07">
            <w:pPr>
              <w:pStyle w:val="BodyText"/>
              <w:jc w:val="left"/>
              <w:rPr>
                <w:rFonts w:eastAsia="Calibri" w:cs="Arial"/>
              </w:rPr>
            </w:pPr>
            <w:r>
              <w:rPr>
                <w:rFonts w:eastAsia="Calibri" w:cs="Arial"/>
              </w:rPr>
              <w:t>All reports and other documentation submitted by experts, including audit repor</w:t>
            </w:r>
            <w:r w:rsidR="00307987">
              <w:rPr>
                <w:rFonts w:eastAsia="Calibri" w:cs="Arial"/>
              </w:rPr>
              <w:t>ts, vessel</w:t>
            </w:r>
            <w:r>
              <w:rPr>
                <w:rFonts w:eastAsia="Calibri" w:cs="Arial"/>
              </w:rPr>
              <w:t xml:space="preserve"> or equipment survey reports, including Flag </w:t>
            </w:r>
            <w:r w:rsidR="00FA2D74">
              <w:rPr>
                <w:rFonts w:eastAsia="Calibri" w:cs="Arial"/>
              </w:rPr>
              <w:t>and Class C</w:t>
            </w:r>
            <w:r>
              <w:rPr>
                <w:rFonts w:eastAsia="Calibri" w:cs="Arial"/>
              </w:rPr>
              <w:t>ertification surveys and other statutory certification reports.</w:t>
            </w:r>
          </w:p>
        </w:tc>
        <w:tc>
          <w:tcPr>
            <w:tcW w:w="1027" w:type="pct"/>
          </w:tcPr>
          <w:p w:rsidRPr="0037415C" w:rsidR="00BC11E7" w:rsidP="00790772" w:rsidRDefault="00BC11E7" w14:paraId="30BE1684" w14:textId="75187715">
            <w:pPr>
              <w:pStyle w:val="BodyText"/>
              <w:jc w:val="left"/>
            </w:pPr>
            <w:r>
              <w:t>Within five</w:t>
            </w:r>
            <w:r w:rsidR="00790772">
              <w:t xml:space="preserve"> (5) Business D</w:t>
            </w:r>
            <w:r>
              <w:t>ays of receipt of report.</w:t>
            </w:r>
          </w:p>
        </w:tc>
      </w:tr>
      <w:tr w:rsidRPr="00B56C74" w:rsidR="00BC11E7" w:rsidTr="004A279D" w14:paraId="39DD106F" w14:textId="77777777">
        <w:tc>
          <w:tcPr>
            <w:tcW w:w="901" w:type="pct"/>
          </w:tcPr>
          <w:p w:rsidR="00BC11E7" w:rsidP="00127082" w:rsidRDefault="00961DCA" w14:paraId="51AE5FD6" w14:textId="652E64B4">
            <w:pPr>
              <w:pStyle w:val="BodyText"/>
              <w:numPr>
                <w:ilvl w:val="0"/>
                <w:numId w:val="21"/>
              </w:numPr>
              <w:ind w:left="313" w:hanging="313"/>
              <w:jc w:val="left"/>
              <w:rPr>
                <w:rFonts w:eastAsia="Calibri" w:cs="Arial"/>
              </w:rPr>
            </w:pPr>
            <w:r>
              <w:rPr>
                <w:rFonts w:eastAsia="Calibri" w:cs="Arial"/>
              </w:rPr>
              <w:t>Formal n</w:t>
            </w:r>
            <w:r w:rsidR="00BC11E7">
              <w:rPr>
                <w:rFonts w:eastAsia="Calibri" w:cs="Arial"/>
              </w:rPr>
              <w:t>otices</w:t>
            </w:r>
            <w:r>
              <w:rPr>
                <w:rFonts w:eastAsia="Calibri" w:cs="Arial"/>
              </w:rPr>
              <w:t xml:space="preserve"> served on the Contractor by external bodies</w:t>
            </w:r>
          </w:p>
        </w:tc>
        <w:tc>
          <w:tcPr>
            <w:tcW w:w="999" w:type="pct"/>
          </w:tcPr>
          <w:p w:rsidR="00BC11E7" w:rsidP="008E7807" w:rsidRDefault="00BC11E7" w14:paraId="299F6B40" w14:textId="77777777">
            <w:pPr>
              <w:pStyle w:val="BodyText"/>
              <w:jc w:val="left"/>
              <w:rPr>
                <w:rFonts w:eastAsia="Calibri" w:cs="Arial"/>
              </w:rPr>
            </w:pPr>
          </w:p>
        </w:tc>
        <w:tc>
          <w:tcPr>
            <w:tcW w:w="2073" w:type="pct"/>
          </w:tcPr>
          <w:p w:rsidR="00BC11E7" w:rsidP="008E7807" w:rsidRDefault="00BC11E7" w14:paraId="63E23197" w14:textId="150E5507">
            <w:pPr>
              <w:pStyle w:val="BodyText"/>
              <w:jc w:val="left"/>
              <w:rPr>
                <w:rFonts w:eastAsia="Calibri" w:cs="Arial"/>
              </w:rPr>
            </w:pPr>
            <w:r>
              <w:rPr>
                <w:rFonts w:eastAsia="Calibri" w:cs="Arial"/>
              </w:rPr>
              <w:t xml:space="preserve">Any notices </w:t>
            </w:r>
            <w:r w:rsidR="00961DCA">
              <w:rPr>
                <w:rFonts w:eastAsia="Calibri" w:cs="Arial"/>
              </w:rPr>
              <w:t xml:space="preserve">served on the Contractor by an external body (in relation to the performance/delivery of the Contract or the Services) </w:t>
            </w:r>
            <w:r>
              <w:rPr>
                <w:rFonts w:eastAsia="Calibri" w:cs="Arial"/>
              </w:rPr>
              <w:t xml:space="preserve">including those issued by the MCA, Health and Safety Executive or Government or Authority Execute or Regulatory Body. </w:t>
            </w:r>
          </w:p>
        </w:tc>
        <w:tc>
          <w:tcPr>
            <w:tcW w:w="1027" w:type="pct"/>
          </w:tcPr>
          <w:p w:rsidRPr="0037415C" w:rsidR="00BC11E7" w:rsidP="00961DCA" w:rsidRDefault="00961DCA" w14:paraId="779568A9" w14:textId="4ADD3C95">
            <w:pPr>
              <w:pStyle w:val="BodyText"/>
              <w:jc w:val="left"/>
            </w:pPr>
            <w:r>
              <w:t>Within 24 hours of such notice being served on the Contractor</w:t>
            </w:r>
            <w:r w:rsidR="00BC11E7">
              <w:t>.</w:t>
            </w:r>
          </w:p>
        </w:tc>
      </w:tr>
      <w:tr w:rsidRPr="00B56C74" w:rsidR="00BC11E7" w:rsidTr="004A279D" w14:paraId="309A6F1C" w14:textId="77777777">
        <w:tc>
          <w:tcPr>
            <w:tcW w:w="901" w:type="pct"/>
          </w:tcPr>
          <w:p w:rsidR="00BC11E7" w:rsidP="00127082" w:rsidRDefault="00BC11E7" w14:paraId="70CC41AC" w14:textId="77777777">
            <w:pPr>
              <w:pStyle w:val="BodyText"/>
              <w:numPr>
                <w:ilvl w:val="0"/>
                <w:numId w:val="21"/>
              </w:numPr>
              <w:ind w:left="313" w:hanging="313"/>
              <w:jc w:val="left"/>
              <w:rPr>
                <w:rFonts w:eastAsia="Calibri" w:cs="Arial"/>
              </w:rPr>
            </w:pPr>
            <w:r>
              <w:rPr>
                <w:rFonts w:eastAsia="Calibri" w:cs="Arial"/>
              </w:rPr>
              <w:t>Personnel Records</w:t>
            </w:r>
          </w:p>
        </w:tc>
        <w:tc>
          <w:tcPr>
            <w:tcW w:w="999" w:type="pct"/>
          </w:tcPr>
          <w:p w:rsidRPr="00B56C74" w:rsidR="00BC11E7" w:rsidP="008E7807" w:rsidRDefault="00947E3D" w14:paraId="67004B09" w14:textId="74210ECC">
            <w:pPr>
              <w:pStyle w:val="BodyText"/>
              <w:jc w:val="left"/>
            </w:pPr>
            <w:r w:rsidRPr="00E74021">
              <w:t>Schedule </w:t>
            </w:r>
            <w:r>
              <w:t xml:space="preserve">28 </w:t>
            </w:r>
            <w:r w:rsidRPr="00E74021">
              <w:t>(</w:t>
            </w:r>
            <w:r w:rsidRPr="00604472">
              <w:t>Key Personnel</w:t>
            </w:r>
            <w:r w:rsidRPr="00E74021">
              <w:t>)</w:t>
            </w:r>
          </w:p>
        </w:tc>
        <w:tc>
          <w:tcPr>
            <w:tcW w:w="2073" w:type="pct"/>
          </w:tcPr>
          <w:p w:rsidR="00BC11E7" w:rsidP="00947E3D" w:rsidRDefault="00BC11E7" w14:paraId="114B7350" w14:textId="6B291938">
            <w:pPr>
              <w:pStyle w:val="BodyText"/>
              <w:jc w:val="left"/>
              <w:rPr>
                <w:rFonts w:eastAsia="Calibri" w:cs="Arial"/>
              </w:rPr>
            </w:pPr>
            <w:r w:rsidRPr="00B56C74">
              <w:t xml:space="preserve">Records relating to the appointment and succession of the </w:t>
            </w:r>
            <w:r>
              <w:t>Contractor</w:t>
            </w:r>
            <w:r w:rsidRPr="00B56C74">
              <w:t xml:space="preserve"> Representative and each of the Key</w:t>
            </w:r>
            <w:r w:rsidR="00947E3D">
              <w:t xml:space="preserve"> Roles</w:t>
            </w:r>
            <w:r w:rsidR="00630EE9">
              <w:t>, and their contact details for the purposes of the Contract</w:t>
            </w:r>
            <w:r w:rsidRPr="00B56C74">
              <w:t>.</w:t>
            </w:r>
          </w:p>
        </w:tc>
        <w:tc>
          <w:tcPr>
            <w:tcW w:w="1027" w:type="pct"/>
          </w:tcPr>
          <w:p w:rsidRPr="0037415C" w:rsidR="00BC11E7" w:rsidP="00630EE9" w:rsidRDefault="00630EE9" w14:paraId="16936BC7" w14:textId="1544D0A3">
            <w:pPr>
              <w:pStyle w:val="BodyText"/>
              <w:jc w:val="left"/>
            </w:pPr>
            <w:r>
              <w:t>At the Effective Date and within five (5) Business Days of any update</w:t>
            </w:r>
            <w:r w:rsidR="00BC11E7">
              <w:t>.</w:t>
            </w:r>
          </w:p>
        </w:tc>
      </w:tr>
      <w:tr w:rsidRPr="00B56C74" w:rsidR="00BC11E7" w:rsidTr="004A279D" w14:paraId="4857BC4A" w14:textId="77777777">
        <w:tc>
          <w:tcPr>
            <w:tcW w:w="901" w:type="pct"/>
          </w:tcPr>
          <w:p w:rsidR="00BC11E7" w:rsidP="00127082" w:rsidRDefault="00BC11E7" w14:paraId="2FA55965" w14:textId="77777777">
            <w:pPr>
              <w:pStyle w:val="BodyText"/>
              <w:numPr>
                <w:ilvl w:val="0"/>
                <w:numId w:val="21"/>
              </w:numPr>
              <w:ind w:left="313" w:hanging="313"/>
              <w:jc w:val="left"/>
              <w:rPr>
                <w:rFonts w:eastAsia="Calibri" w:cs="Arial"/>
              </w:rPr>
            </w:pPr>
            <w:r>
              <w:rPr>
                <w:rFonts w:eastAsia="Calibri" w:cs="Arial"/>
              </w:rPr>
              <w:t>Force Majeure</w:t>
            </w:r>
          </w:p>
        </w:tc>
        <w:tc>
          <w:tcPr>
            <w:tcW w:w="999" w:type="pct"/>
          </w:tcPr>
          <w:p w:rsidRPr="00B56C74" w:rsidR="00BC11E7" w:rsidP="008E7807" w:rsidRDefault="00BC11E7" w14:paraId="75633175" w14:textId="77777777">
            <w:pPr>
              <w:pStyle w:val="BodyText"/>
              <w:jc w:val="left"/>
            </w:pPr>
          </w:p>
        </w:tc>
        <w:tc>
          <w:tcPr>
            <w:tcW w:w="2073" w:type="pct"/>
          </w:tcPr>
          <w:p w:rsidRPr="00B56C74" w:rsidR="00BC11E7" w:rsidP="008E7807" w:rsidRDefault="00BC11E7" w14:paraId="796D576D" w14:textId="77777777">
            <w:pPr>
              <w:pStyle w:val="BodyText"/>
              <w:jc w:val="left"/>
            </w:pPr>
            <w:r w:rsidRPr="00B56C74">
              <w:t xml:space="preserve">Documents prepared by the </w:t>
            </w:r>
            <w:r>
              <w:t>Contractor</w:t>
            </w:r>
            <w:r w:rsidRPr="00B56C74">
              <w:t xml:space="preserve"> or received by the </w:t>
            </w:r>
            <w:r>
              <w:t>Contractor</w:t>
            </w:r>
            <w:r w:rsidRPr="00B56C74">
              <w:t xml:space="preserve"> from a third party relating to a Force Majeure Event.</w:t>
            </w:r>
          </w:p>
        </w:tc>
        <w:tc>
          <w:tcPr>
            <w:tcW w:w="1027" w:type="pct"/>
          </w:tcPr>
          <w:p w:rsidRPr="0037415C" w:rsidR="00BC11E7" w:rsidP="008E7807" w:rsidRDefault="00BC11E7" w14:paraId="72BFEF99" w14:textId="77777777">
            <w:pPr>
              <w:pStyle w:val="BodyText"/>
              <w:jc w:val="left"/>
            </w:pPr>
            <w:r>
              <w:t>Within 24 hours of receipt.</w:t>
            </w:r>
          </w:p>
        </w:tc>
      </w:tr>
      <w:tr w:rsidRPr="00B56C74" w:rsidR="00BC11E7" w:rsidTr="004A279D" w14:paraId="68743411" w14:textId="77777777">
        <w:tc>
          <w:tcPr>
            <w:tcW w:w="901" w:type="pct"/>
          </w:tcPr>
          <w:p w:rsidR="00BC11E7" w:rsidP="00127082" w:rsidRDefault="00BC11E7" w14:paraId="68DF3886" w14:textId="77777777">
            <w:pPr>
              <w:pStyle w:val="BodyText"/>
              <w:numPr>
                <w:ilvl w:val="0"/>
                <w:numId w:val="21"/>
              </w:numPr>
              <w:ind w:left="313" w:hanging="313"/>
              <w:jc w:val="left"/>
              <w:rPr>
                <w:rFonts w:eastAsia="Calibri" w:cs="Arial"/>
              </w:rPr>
            </w:pPr>
            <w:r>
              <w:rPr>
                <w:rFonts w:eastAsia="Calibri" w:cs="Arial"/>
              </w:rPr>
              <w:t>Certificates and Licenses</w:t>
            </w:r>
          </w:p>
        </w:tc>
        <w:tc>
          <w:tcPr>
            <w:tcW w:w="999" w:type="pct"/>
          </w:tcPr>
          <w:p w:rsidRPr="00B56C74" w:rsidR="00BC11E7" w:rsidP="008E7807" w:rsidRDefault="00BC11E7" w14:paraId="56885E1F" w14:textId="77777777">
            <w:pPr>
              <w:pStyle w:val="BodyText"/>
              <w:jc w:val="left"/>
            </w:pPr>
          </w:p>
        </w:tc>
        <w:tc>
          <w:tcPr>
            <w:tcW w:w="2073" w:type="pct"/>
          </w:tcPr>
          <w:p w:rsidRPr="00B56C74" w:rsidR="00BC11E7" w:rsidP="008E7807" w:rsidRDefault="00BC11E7" w14:paraId="488FA540" w14:textId="44F31A40">
            <w:pPr>
              <w:pStyle w:val="BodyText"/>
              <w:jc w:val="left"/>
            </w:pPr>
            <w:r w:rsidRPr="00B56C74">
              <w:t xml:space="preserve">All certificates, licences, registrations or warranties in each case obtained by the </w:t>
            </w:r>
            <w:r>
              <w:t>Contractor</w:t>
            </w:r>
            <w:r w:rsidRPr="00B56C74">
              <w:t xml:space="preserve"> in relation to the</w:t>
            </w:r>
            <w:r w:rsidR="00947E3D">
              <w:t xml:space="preserve"> Contract or the</w:t>
            </w:r>
            <w:r w:rsidRPr="00B56C74">
              <w:t xml:space="preserve"> provision of the Services.</w:t>
            </w:r>
          </w:p>
        </w:tc>
        <w:tc>
          <w:tcPr>
            <w:tcW w:w="1027" w:type="pct"/>
          </w:tcPr>
          <w:p w:rsidRPr="0037415C" w:rsidR="00BC11E7" w:rsidP="008E7807" w:rsidRDefault="00947E3D" w14:paraId="49C367DC" w14:textId="16073821">
            <w:pPr>
              <w:pStyle w:val="BodyText"/>
              <w:jc w:val="left"/>
            </w:pPr>
            <w:r>
              <w:t>Within 24 hours of receipt.</w:t>
            </w:r>
          </w:p>
        </w:tc>
      </w:tr>
      <w:tr w:rsidRPr="00B56C74" w:rsidR="00BC11E7" w:rsidTr="004A279D" w14:paraId="51C6C642" w14:textId="77777777">
        <w:tc>
          <w:tcPr>
            <w:tcW w:w="901" w:type="pct"/>
          </w:tcPr>
          <w:p w:rsidR="00BC11E7" w:rsidP="00127082" w:rsidRDefault="00BC11E7" w14:paraId="00735587" w14:textId="77777777">
            <w:pPr>
              <w:pStyle w:val="BodyText"/>
              <w:numPr>
                <w:ilvl w:val="0"/>
                <w:numId w:val="21"/>
              </w:numPr>
              <w:ind w:left="313" w:hanging="313"/>
              <w:jc w:val="left"/>
              <w:rPr>
                <w:rFonts w:eastAsia="Calibri" w:cs="Arial"/>
              </w:rPr>
            </w:pPr>
            <w:r>
              <w:rPr>
                <w:rFonts w:eastAsia="Calibri" w:cs="Arial"/>
              </w:rPr>
              <w:t>Dispute Notices</w:t>
            </w:r>
          </w:p>
        </w:tc>
        <w:tc>
          <w:tcPr>
            <w:tcW w:w="999" w:type="pct"/>
          </w:tcPr>
          <w:p w:rsidRPr="00A253FF" w:rsidR="00BC11E7" w:rsidP="008E7807" w:rsidRDefault="00CE29BC" w14:paraId="63A4BB23" w14:textId="117037FF">
            <w:pPr>
              <w:pStyle w:val="BodyText"/>
              <w:jc w:val="left"/>
            </w:pPr>
            <w:r>
              <w:t>Schedule 30 (</w:t>
            </w:r>
            <w:r w:rsidRPr="00A253FF">
              <w:t>Dispute Resolution Procedure</w:t>
            </w:r>
            <w:r>
              <w:t>)</w:t>
            </w:r>
          </w:p>
        </w:tc>
        <w:tc>
          <w:tcPr>
            <w:tcW w:w="2073" w:type="pct"/>
          </w:tcPr>
          <w:p w:rsidRPr="00B56C74" w:rsidR="00BC11E7" w:rsidP="008E7807" w:rsidRDefault="00BC11E7" w14:paraId="41AC162B" w14:textId="77777777">
            <w:pPr>
              <w:pStyle w:val="BodyText"/>
              <w:jc w:val="left"/>
            </w:pPr>
            <w:r w:rsidRPr="00A253FF">
              <w:t>Documents submitted by the Contractor pursuant to invocation by it or the Authority of the Dispute Resolution Procedure.</w:t>
            </w:r>
          </w:p>
        </w:tc>
        <w:tc>
          <w:tcPr>
            <w:tcW w:w="1027" w:type="pct"/>
          </w:tcPr>
          <w:p w:rsidRPr="0037415C" w:rsidR="00BC11E7" w:rsidP="00CE29BC" w:rsidRDefault="00CE29BC" w14:paraId="01DB3682" w14:textId="04126772">
            <w:pPr>
              <w:pStyle w:val="BodyText"/>
              <w:jc w:val="left"/>
            </w:pPr>
            <w:r>
              <w:t>As soon as available in accordance with the timeframes set out in Schedule 30 (</w:t>
            </w:r>
            <w:r w:rsidRPr="00A253FF" w:rsidR="00904779">
              <w:t>Dispute Resolution Procedure</w:t>
            </w:r>
            <w:r>
              <w:t>).</w:t>
            </w:r>
          </w:p>
        </w:tc>
      </w:tr>
      <w:tr w:rsidRPr="00B56C74" w:rsidR="00BC11E7" w:rsidTr="004A279D" w14:paraId="093D72F3" w14:textId="77777777">
        <w:tc>
          <w:tcPr>
            <w:tcW w:w="901" w:type="pct"/>
          </w:tcPr>
          <w:p w:rsidR="00BC11E7" w:rsidP="00127082" w:rsidRDefault="00BC11E7" w14:paraId="51B0B230" w14:textId="77777777">
            <w:pPr>
              <w:pStyle w:val="BodyText"/>
              <w:numPr>
                <w:ilvl w:val="0"/>
                <w:numId w:val="21"/>
              </w:numPr>
              <w:ind w:left="313" w:hanging="313"/>
              <w:jc w:val="left"/>
              <w:rPr>
                <w:rFonts w:eastAsia="Calibri" w:cs="Arial"/>
              </w:rPr>
            </w:pPr>
            <w:r>
              <w:rPr>
                <w:rFonts w:eastAsia="Calibri" w:cs="Arial"/>
              </w:rPr>
              <w:t>Ownership or Interest</w:t>
            </w:r>
          </w:p>
        </w:tc>
        <w:tc>
          <w:tcPr>
            <w:tcW w:w="999" w:type="pct"/>
          </w:tcPr>
          <w:p w:rsidRPr="00B56C74" w:rsidR="00BC11E7" w:rsidP="008E7807" w:rsidRDefault="00CE29BC" w14:paraId="02B0AE9D" w14:textId="115D0C23">
            <w:pPr>
              <w:pStyle w:val="BodyText"/>
              <w:jc w:val="left"/>
            </w:pPr>
            <w:r>
              <w:t>Clause 30 (Change of Control of Contractor)</w:t>
            </w:r>
          </w:p>
        </w:tc>
        <w:tc>
          <w:tcPr>
            <w:tcW w:w="2073" w:type="pct"/>
          </w:tcPr>
          <w:p w:rsidRPr="00B56C74" w:rsidR="00BC11E7" w:rsidP="008E7807" w:rsidRDefault="00BC11E7" w14:paraId="4F2761F9" w14:textId="77777777">
            <w:pPr>
              <w:pStyle w:val="BodyText"/>
              <w:jc w:val="left"/>
            </w:pPr>
            <w:r w:rsidRPr="00B56C74">
              <w:t xml:space="preserve">Documents evidencing any change in ownership or any interest in any or all of the shares in the </w:t>
            </w:r>
            <w:r>
              <w:t>Contractor</w:t>
            </w:r>
            <w:r w:rsidRPr="00B56C74">
              <w:t xml:space="preserve"> and/or the Guarantor, where such change may cause a change of Control; and including documents detailing the identity of the persons changing such ownership or interest.</w:t>
            </w:r>
          </w:p>
        </w:tc>
        <w:tc>
          <w:tcPr>
            <w:tcW w:w="1027" w:type="pct"/>
          </w:tcPr>
          <w:p w:rsidRPr="0037415C" w:rsidR="00BC11E7" w:rsidP="00790772" w:rsidRDefault="00CE29BC" w14:paraId="34E67C5B" w14:textId="019F3104">
            <w:pPr>
              <w:pStyle w:val="BodyText"/>
              <w:jc w:val="left"/>
            </w:pPr>
            <w:r>
              <w:t>As soon as available in accordance with the timeframes set out in Clause 30 (Change of Control of Contractor).</w:t>
            </w:r>
          </w:p>
        </w:tc>
      </w:tr>
      <w:tr w:rsidRPr="00B56C74" w:rsidR="00BC11E7" w:rsidTr="004A279D" w14:paraId="3128E64B" w14:textId="77777777">
        <w:tc>
          <w:tcPr>
            <w:tcW w:w="901" w:type="pct"/>
          </w:tcPr>
          <w:p w:rsidR="00BC11E7" w:rsidP="00127082" w:rsidRDefault="00BC11E7" w14:paraId="156F771F" w14:textId="77CDA0D8">
            <w:pPr>
              <w:pStyle w:val="BodyText"/>
              <w:numPr>
                <w:ilvl w:val="0"/>
                <w:numId w:val="21"/>
              </w:numPr>
              <w:ind w:left="313" w:hanging="313"/>
              <w:jc w:val="left"/>
              <w:rPr>
                <w:rFonts w:eastAsia="Calibri" w:cs="Arial"/>
              </w:rPr>
            </w:pPr>
            <w:r>
              <w:rPr>
                <w:rFonts w:eastAsia="Calibri" w:cs="Arial"/>
              </w:rPr>
              <w:t xml:space="preserve">VAT </w:t>
            </w:r>
            <w:r w:rsidR="00985C18">
              <w:rPr>
                <w:rFonts w:eastAsia="Calibri" w:cs="Arial"/>
              </w:rPr>
              <w:t>documents</w:t>
            </w:r>
          </w:p>
        </w:tc>
        <w:tc>
          <w:tcPr>
            <w:tcW w:w="999" w:type="pct"/>
          </w:tcPr>
          <w:p w:rsidRPr="00B56C74" w:rsidR="00BC11E7" w:rsidP="00F95133" w:rsidRDefault="00985C18" w14:paraId="7039A57E" w14:textId="76224F55">
            <w:pPr>
              <w:pStyle w:val="BodyText"/>
              <w:jc w:val="left"/>
            </w:pPr>
            <w:r>
              <w:t>Clause 21 (Value Added Tax a</w:t>
            </w:r>
            <w:r w:rsidRPr="00904779">
              <w:t>nd Other Taxes</w:t>
            </w:r>
            <w:r>
              <w:t>)</w:t>
            </w:r>
          </w:p>
        </w:tc>
        <w:tc>
          <w:tcPr>
            <w:tcW w:w="2073" w:type="pct"/>
          </w:tcPr>
          <w:p w:rsidRPr="00B56C74" w:rsidR="00BC11E7" w:rsidP="00F95133" w:rsidRDefault="00985C18" w14:paraId="6E8ECCAE" w14:textId="492435DA">
            <w:pPr>
              <w:pStyle w:val="BodyText"/>
              <w:jc w:val="left"/>
            </w:pPr>
            <w:r>
              <w:t>Where required in accordance with Clause 21 (Value Added Tax a</w:t>
            </w:r>
            <w:r w:rsidRPr="00904779">
              <w:t>nd Other Taxes</w:t>
            </w:r>
            <w:r>
              <w:t>).</w:t>
            </w:r>
          </w:p>
        </w:tc>
        <w:tc>
          <w:tcPr>
            <w:tcW w:w="1027" w:type="pct"/>
          </w:tcPr>
          <w:p w:rsidRPr="0037415C" w:rsidR="00BC11E7" w:rsidP="00F95133" w:rsidRDefault="00985C18" w14:paraId="774F1D6D" w14:textId="7885F11E">
            <w:pPr>
              <w:pStyle w:val="BodyText"/>
              <w:jc w:val="left"/>
            </w:pPr>
            <w:r>
              <w:t xml:space="preserve">As </w:t>
            </w:r>
            <w:r w:rsidR="00F95133">
              <w:t xml:space="preserve">soon as available in accordance with the timeframes </w:t>
            </w:r>
            <w:r>
              <w:t>set out in Clause 21 (Value Added Tax a</w:t>
            </w:r>
            <w:r w:rsidRPr="00904779">
              <w:t>nd Other Taxes</w:t>
            </w:r>
            <w:r>
              <w:t>)</w:t>
            </w:r>
            <w:r w:rsidR="00A76D13">
              <w:t>.</w:t>
            </w:r>
          </w:p>
        </w:tc>
      </w:tr>
      <w:tr w:rsidRPr="00B56C74" w:rsidR="00BC11E7" w:rsidTr="004A279D" w14:paraId="2EBC9EAD" w14:textId="77777777">
        <w:tc>
          <w:tcPr>
            <w:tcW w:w="901" w:type="pct"/>
          </w:tcPr>
          <w:p w:rsidR="00BC11E7" w:rsidP="00127082" w:rsidRDefault="00FC0D16" w14:paraId="0917A34A" w14:textId="31B8B34B">
            <w:pPr>
              <w:pStyle w:val="BodyText"/>
              <w:numPr>
                <w:ilvl w:val="0"/>
                <w:numId w:val="21"/>
              </w:numPr>
              <w:ind w:left="313" w:hanging="313"/>
              <w:jc w:val="left"/>
              <w:rPr>
                <w:rFonts w:eastAsia="Calibri" w:cs="Arial"/>
              </w:rPr>
            </w:pPr>
            <w:r>
              <w:rPr>
                <w:rFonts w:eastAsia="Calibri" w:cs="Arial"/>
              </w:rPr>
              <w:t>Accounts</w:t>
            </w:r>
          </w:p>
        </w:tc>
        <w:tc>
          <w:tcPr>
            <w:tcW w:w="999" w:type="pct"/>
          </w:tcPr>
          <w:p w:rsidRPr="00A253FF" w:rsidR="00BC11E7" w:rsidP="00647471" w:rsidRDefault="00647471" w14:paraId="6AE011C4" w14:textId="01AC7999">
            <w:pPr>
              <w:pStyle w:val="BodyText"/>
              <w:jc w:val="left"/>
            </w:pPr>
            <w:r>
              <w:rPr>
                <w:rFonts w:eastAsia="Calibri" w:cs="Arial"/>
              </w:rPr>
              <w:t>Part C (Other Reports and Information) of Schedule 6 (</w:t>
            </w:r>
            <w:r w:rsidRPr="00790772">
              <w:rPr>
                <w:rFonts w:eastAsia="Calibri" w:cs="Arial"/>
              </w:rPr>
              <w:t>Governance, Management Information, Reports, Records and Audit</w:t>
            </w:r>
            <w:r>
              <w:rPr>
                <w:rFonts w:eastAsia="Calibri" w:cs="Arial"/>
              </w:rPr>
              <w:t>).</w:t>
            </w:r>
          </w:p>
        </w:tc>
        <w:tc>
          <w:tcPr>
            <w:tcW w:w="2073" w:type="pct"/>
          </w:tcPr>
          <w:p w:rsidRPr="00B56C74" w:rsidR="00BC11E7" w:rsidP="00647471" w:rsidRDefault="00FC0D16" w14:paraId="31167BC6" w14:textId="73D0AE43">
            <w:pPr>
              <w:pStyle w:val="BodyText"/>
              <w:jc w:val="left"/>
            </w:pPr>
            <w:r>
              <w:t>A</w:t>
            </w:r>
            <w:r w:rsidRPr="00A253FF" w:rsidR="00BC11E7">
              <w:t xml:space="preserve">udited and un-audited accounts </w:t>
            </w:r>
            <w:r w:rsidR="00647471">
              <w:t xml:space="preserve">to be provided </w:t>
            </w:r>
            <w:r w:rsidR="00647471">
              <w:rPr>
                <w:rFonts w:eastAsia="Calibri" w:cs="Arial"/>
              </w:rPr>
              <w:t>by the Contractor as set out in Part C (Other Reports and Information) of Schedule 6 (</w:t>
            </w:r>
            <w:r w:rsidRPr="00790772" w:rsidR="00647471">
              <w:rPr>
                <w:rFonts w:eastAsia="Calibri" w:cs="Arial"/>
              </w:rPr>
              <w:t>Governance, Management Information, Reports, Records and Audit</w:t>
            </w:r>
            <w:r w:rsidR="00647471">
              <w:rPr>
                <w:rFonts w:eastAsia="Calibri" w:cs="Arial"/>
              </w:rPr>
              <w:t>).</w:t>
            </w:r>
          </w:p>
        </w:tc>
        <w:tc>
          <w:tcPr>
            <w:tcW w:w="1027" w:type="pct"/>
          </w:tcPr>
          <w:p w:rsidRPr="0037415C" w:rsidR="00BC11E7" w:rsidP="008E7807" w:rsidRDefault="00647471" w14:paraId="4697203D" w14:textId="70E1A86A">
            <w:pPr>
              <w:pStyle w:val="BodyText"/>
              <w:jc w:val="left"/>
            </w:pPr>
            <w:r>
              <w:rPr>
                <w:rFonts w:eastAsia="Calibri" w:cs="Arial"/>
              </w:rPr>
              <w:t>As required to be provided by the Contractor as set out in Part C (Other Reports and Information) of Schedule 6 (</w:t>
            </w:r>
            <w:r w:rsidRPr="00790772">
              <w:rPr>
                <w:rFonts w:eastAsia="Calibri" w:cs="Arial"/>
              </w:rPr>
              <w:t>Governance, Management Information, Reports, Records and Audit</w:t>
            </w:r>
            <w:r>
              <w:rPr>
                <w:rFonts w:eastAsia="Calibri" w:cs="Arial"/>
              </w:rPr>
              <w:t>).</w:t>
            </w:r>
          </w:p>
        </w:tc>
      </w:tr>
      <w:tr w:rsidRPr="00B56C74" w:rsidR="00BC11E7" w:rsidTr="004A279D" w14:paraId="159A952A" w14:textId="77777777">
        <w:tc>
          <w:tcPr>
            <w:tcW w:w="901" w:type="pct"/>
          </w:tcPr>
          <w:p w:rsidR="00BC11E7" w:rsidP="00127082" w:rsidRDefault="00BC11E7" w14:paraId="15201683" w14:textId="77777777">
            <w:pPr>
              <w:pStyle w:val="BodyText"/>
              <w:numPr>
                <w:ilvl w:val="0"/>
                <w:numId w:val="21"/>
              </w:numPr>
              <w:ind w:left="313" w:hanging="313"/>
              <w:jc w:val="left"/>
              <w:rPr>
                <w:rFonts w:eastAsia="Calibri" w:cs="Arial"/>
              </w:rPr>
            </w:pPr>
            <w:r>
              <w:rPr>
                <w:rFonts w:eastAsia="Calibri" w:cs="Arial"/>
              </w:rPr>
              <w:t>HSEP Records</w:t>
            </w:r>
          </w:p>
        </w:tc>
        <w:tc>
          <w:tcPr>
            <w:tcW w:w="999" w:type="pct"/>
          </w:tcPr>
          <w:p w:rsidRPr="00B56C74" w:rsidR="00BC11E7" w:rsidP="008E7807" w:rsidRDefault="00BC11E7" w14:paraId="0B0C53E5" w14:textId="77777777">
            <w:pPr>
              <w:pStyle w:val="BodyText"/>
              <w:jc w:val="left"/>
            </w:pPr>
          </w:p>
        </w:tc>
        <w:tc>
          <w:tcPr>
            <w:tcW w:w="2073" w:type="pct"/>
          </w:tcPr>
          <w:p w:rsidRPr="00A253FF" w:rsidR="00BC11E7" w:rsidP="008E7807" w:rsidRDefault="00BC11E7" w14:paraId="72FB236C" w14:textId="77777777">
            <w:pPr>
              <w:pStyle w:val="BodyText"/>
              <w:jc w:val="left"/>
            </w:pPr>
            <w:r w:rsidRPr="00B56C74">
              <w:t xml:space="preserve">Records required to be retained by the </w:t>
            </w:r>
            <w:r>
              <w:t>Contractor</w:t>
            </w:r>
            <w:r w:rsidRPr="00B56C74">
              <w:t xml:space="preserve"> by Law, including in relation to health</w:t>
            </w:r>
            <w:r>
              <w:t xml:space="preserve">, </w:t>
            </w:r>
            <w:r w:rsidRPr="00B56C74">
              <w:t>safety</w:t>
            </w:r>
            <w:r>
              <w:t xml:space="preserve">, environmental protection </w:t>
            </w:r>
            <w:r w:rsidRPr="00B56C74">
              <w:t>and health and safety files and all consents.</w:t>
            </w:r>
          </w:p>
        </w:tc>
        <w:tc>
          <w:tcPr>
            <w:tcW w:w="1027" w:type="pct"/>
          </w:tcPr>
          <w:p w:rsidRPr="0037415C" w:rsidR="00BC11E7" w:rsidP="00A76D13" w:rsidRDefault="00A76D13" w14:paraId="278ADF05" w14:textId="60AAFE0E">
            <w:pPr>
              <w:pStyle w:val="BodyText"/>
              <w:jc w:val="left"/>
            </w:pPr>
            <w:r>
              <w:t>On the Service Commencement Date and within two (2) Business Days of any update.</w:t>
            </w:r>
          </w:p>
        </w:tc>
      </w:tr>
      <w:tr w:rsidRPr="00B56C74" w:rsidR="00BC11E7" w:rsidTr="004A279D" w14:paraId="42C839E4" w14:textId="77777777">
        <w:tc>
          <w:tcPr>
            <w:tcW w:w="901" w:type="pct"/>
          </w:tcPr>
          <w:p w:rsidR="00BC11E7" w:rsidP="00127082" w:rsidRDefault="00BC11E7" w14:paraId="665937A2" w14:textId="77777777">
            <w:pPr>
              <w:pStyle w:val="BodyText"/>
              <w:numPr>
                <w:ilvl w:val="0"/>
                <w:numId w:val="21"/>
              </w:numPr>
              <w:ind w:left="313" w:hanging="313"/>
              <w:jc w:val="left"/>
              <w:rPr>
                <w:rFonts w:eastAsia="Calibri" w:cs="Arial"/>
              </w:rPr>
            </w:pPr>
            <w:r>
              <w:rPr>
                <w:rFonts w:eastAsia="Calibri" w:cs="Arial"/>
              </w:rPr>
              <w:t>Insurance Documents</w:t>
            </w:r>
          </w:p>
        </w:tc>
        <w:tc>
          <w:tcPr>
            <w:tcW w:w="999" w:type="pct"/>
          </w:tcPr>
          <w:p w:rsidRPr="00B56C74" w:rsidR="00BC11E7" w:rsidP="008E7807" w:rsidRDefault="00BC11E7" w14:paraId="07B837B8" w14:textId="77777777">
            <w:pPr>
              <w:pStyle w:val="BodyText"/>
              <w:jc w:val="left"/>
            </w:pPr>
          </w:p>
        </w:tc>
        <w:tc>
          <w:tcPr>
            <w:tcW w:w="2073" w:type="pct"/>
          </w:tcPr>
          <w:p w:rsidRPr="00B56C74" w:rsidR="00BC11E7" w:rsidP="008E7807" w:rsidRDefault="00BC11E7" w14:paraId="413E369B" w14:textId="5DEFE9AD">
            <w:pPr>
              <w:pStyle w:val="BodyText"/>
              <w:jc w:val="left"/>
            </w:pPr>
            <w:r w:rsidRPr="00B56C74">
              <w:t xml:space="preserve">All documents relating to the insurances to be maintained under this </w:t>
            </w:r>
            <w:r>
              <w:t>Contract</w:t>
            </w:r>
            <w:r w:rsidRPr="00B56C74">
              <w:t xml:space="preserve"> and any claims made in respect of them</w:t>
            </w:r>
            <w:r w:rsidR="001F2B57">
              <w:t>.</w:t>
            </w:r>
          </w:p>
        </w:tc>
        <w:tc>
          <w:tcPr>
            <w:tcW w:w="1027" w:type="pct"/>
          </w:tcPr>
          <w:p w:rsidR="00BC11E7" w:rsidP="00D0117E" w:rsidRDefault="006D2C42" w14:paraId="54960CBE" w14:textId="77777777">
            <w:pPr>
              <w:pStyle w:val="BodyText"/>
              <w:jc w:val="left"/>
            </w:pPr>
            <w:r>
              <w:t xml:space="preserve">Documents: </w:t>
            </w:r>
            <w:r w:rsidR="00D0117E">
              <w:t xml:space="preserve">Within fifteen (15) calendar days of the </w:t>
            </w:r>
            <w:r w:rsidRPr="00D0117E" w:rsidR="00D0117E">
              <w:t>date on which the</w:t>
            </w:r>
            <w:r w:rsidR="00D0117E">
              <w:t xml:space="preserve"> relevant risk commences or the </w:t>
            </w:r>
            <w:r>
              <w:t>date of renewal</w:t>
            </w:r>
            <w:r w:rsidRPr="00D0117E" w:rsidR="00D0117E">
              <w:t>.</w:t>
            </w:r>
          </w:p>
          <w:p w:rsidR="006D2C42" w:rsidP="00D0117E" w:rsidRDefault="006D2C42" w14:paraId="442DF990" w14:textId="77777777">
            <w:pPr>
              <w:pStyle w:val="BodyText"/>
              <w:jc w:val="left"/>
            </w:pPr>
            <w:r>
              <w:t>Claims: I</w:t>
            </w:r>
            <w:r w:rsidR="002C41AC">
              <w:t>mmediately i</w:t>
            </w:r>
            <w:r>
              <w:t xml:space="preserve">n accordance with </w:t>
            </w:r>
            <w:r w:rsidR="002C41AC">
              <w:t>clause 48.11.</w:t>
            </w:r>
          </w:p>
          <w:p w:rsidRPr="0037415C" w:rsidR="002C41AC" w:rsidP="00D0117E" w:rsidRDefault="002C41AC" w14:paraId="0AC1AAF5" w14:textId="1AF676EA">
            <w:pPr>
              <w:pStyle w:val="BodyText"/>
              <w:jc w:val="left"/>
            </w:pPr>
            <w:r>
              <w:t>Claims Register: To be maintained within two (2) Business Days of any update.</w:t>
            </w:r>
          </w:p>
        </w:tc>
      </w:tr>
      <w:tr w:rsidRPr="00B56C74" w:rsidR="00BC11E7" w:rsidTr="004A279D" w14:paraId="78F714ED" w14:textId="77777777">
        <w:tc>
          <w:tcPr>
            <w:tcW w:w="901" w:type="pct"/>
          </w:tcPr>
          <w:p w:rsidRPr="00454D4B" w:rsidR="00BC11E7" w:rsidP="00127082" w:rsidRDefault="00BC11E7" w14:paraId="1661C535" w14:textId="77777777">
            <w:pPr>
              <w:pStyle w:val="BodyText"/>
              <w:numPr>
                <w:ilvl w:val="0"/>
                <w:numId w:val="21"/>
              </w:numPr>
              <w:ind w:left="313" w:hanging="313"/>
              <w:jc w:val="left"/>
              <w:rPr>
                <w:rFonts w:eastAsia="Calibri" w:cs="Arial"/>
              </w:rPr>
            </w:pPr>
            <w:r w:rsidRPr="00454D4B">
              <w:rPr>
                <w:rFonts w:eastAsia="Calibri" w:cs="Arial"/>
              </w:rPr>
              <w:t xml:space="preserve">Vessel Safety and Environmental Cases </w:t>
            </w:r>
          </w:p>
          <w:p w:rsidRPr="00454D4B" w:rsidR="00BC11E7" w:rsidP="00A30F1D" w:rsidRDefault="00BC11E7" w14:paraId="3FD752E1" w14:textId="77777777">
            <w:pPr>
              <w:pStyle w:val="BodyText"/>
              <w:ind w:left="313" w:hanging="313"/>
              <w:jc w:val="left"/>
            </w:pPr>
          </w:p>
        </w:tc>
        <w:tc>
          <w:tcPr>
            <w:tcW w:w="999" w:type="pct"/>
          </w:tcPr>
          <w:p w:rsidRPr="00C256C9" w:rsidR="00BC11E7" w:rsidP="00771AB3" w:rsidRDefault="00BC11E7" w14:paraId="4293464C" w14:textId="77777777">
            <w:pPr>
              <w:pStyle w:val="Simple1"/>
              <w:numPr>
                <w:ilvl w:val="0"/>
                <w:numId w:val="0"/>
              </w:numPr>
              <w:ind w:left="709" w:hanging="709"/>
              <w:jc w:val="left"/>
            </w:pPr>
          </w:p>
        </w:tc>
        <w:tc>
          <w:tcPr>
            <w:tcW w:w="2073" w:type="pct"/>
          </w:tcPr>
          <w:p w:rsidR="002C41AC" w:rsidP="002C41AC" w:rsidRDefault="00BC11E7" w14:paraId="39318E33" w14:textId="4DFC1A5F">
            <w:pPr>
              <w:pStyle w:val="Simple1"/>
              <w:numPr>
                <w:ilvl w:val="0"/>
                <w:numId w:val="0"/>
              </w:numPr>
              <w:jc w:val="left"/>
            </w:pPr>
            <w:r w:rsidRPr="00C256C9">
              <w:t xml:space="preserve">Safety and Environmental Cases for every </w:t>
            </w:r>
            <w:r w:rsidR="002C41AC">
              <w:t>V</w:t>
            </w:r>
            <w:r w:rsidRPr="00C256C9">
              <w:t>essel</w:t>
            </w:r>
            <w:r>
              <w:t xml:space="preserve">, </w:t>
            </w:r>
            <w:r w:rsidRPr="00C256C9">
              <w:t>includ</w:t>
            </w:r>
            <w:r>
              <w:t>ing</w:t>
            </w:r>
            <w:r w:rsidRPr="00C256C9">
              <w:t xml:space="preserve"> </w:t>
            </w:r>
            <w:r w:rsidR="002C41AC">
              <w:t>V</w:t>
            </w:r>
            <w:r w:rsidRPr="00C256C9">
              <w:t>essel</w:t>
            </w:r>
            <w:r>
              <w:t>s</w:t>
            </w:r>
            <w:r w:rsidRPr="00C256C9">
              <w:t xml:space="preserve"> providing</w:t>
            </w:r>
            <w:r>
              <w:t xml:space="preserve"> </w:t>
            </w:r>
            <w:r w:rsidRPr="00454D4B">
              <w:t xml:space="preserve">Affected Services. </w:t>
            </w:r>
            <w:r w:rsidR="002C41AC">
              <w:t>To</w:t>
            </w:r>
            <w:r w:rsidRPr="00454D4B">
              <w:t xml:space="preserve"> include</w:t>
            </w:r>
            <w:r w:rsidR="002C41AC">
              <w:t>:</w:t>
            </w:r>
          </w:p>
          <w:p w:rsidRPr="002C41AC" w:rsidR="00BC11E7" w:rsidP="00EE0141" w:rsidRDefault="002C41AC" w14:paraId="47723F21" w14:textId="0A07491E">
            <w:pPr>
              <w:pStyle w:val="Simple1"/>
              <w:numPr>
                <w:ilvl w:val="1"/>
                <w:numId w:val="28"/>
              </w:numPr>
              <w:jc w:val="left"/>
            </w:pPr>
            <w:r>
              <w:t>details of</w:t>
            </w:r>
            <w:r w:rsidRPr="00454D4B" w:rsidR="00BC11E7">
              <w:t xml:space="preserve"> assurance / review activities;</w:t>
            </w:r>
          </w:p>
          <w:p w:rsidR="00BC11E7" w:rsidP="00EE0141" w:rsidRDefault="00BC11E7" w14:paraId="04ECABE9" w14:textId="012ECE25">
            <w:pPr>
              <w:pStyle w:val="Simple1"/>
              <w:numPr>
                <w:ilvl w:val="1"/>
                <w:numId w:val="28"/>
              </w:numPr>
              <w:jc w:val="left"/>
              <w:rPr>
                <w:rFonts w:eastAsia="Calibri" w:cs="Arial"/>
              </w:rPr>
            </w:pPr>
            <w:r w:rsidRPr="002C41AC">
              <w:t>certification</w:t>
            </w:r>
            <w:r w:rsidRPr="008A20BD">
              <w:rPr>
                <w:rFonts w:eastAsia="Calibri" w:cs="Arial"/>
              </w:rPr>
              <w:t xml:space="preserve"> plans with iss</w:t>
            </w:r>
            <w:r w:rsidR="002C41AC">
              <w:rPr>
                <w:rFonts w:eastAsia="Calibri" w:cs="Arial"/>
              </w:rPr>
              <w:t>ued certificates of compliance;</w:t>
            </w:r>
          </w:p>
          <w:p w:rsidR="00BC11E7" w:rsidP="00EE0141" w:rsidRDefault="002C41AC" w14:paraId="068BB1BC" w14:textId="1324587A">
            <w:pPr>
              <w:pStyle w:val="Simple1"/>
              <w:numPr>
                <w:ilvl w:val="1"/>
                <w:numId w:val="28"/>
              </w:numPr>
              <w:jc w:val="left"/>
              <w:rPr>
                <w:rFonts w:eastAsia="Calibri" w:cs="Arial"/>
              </w:rPr>
            </w:pPr>
            <w:r>
              <w:rPr>
                <w:rFonts w:eastAsia="Calibri" w:cs="Arial"/>
              </w:rPr>
              <w:t>t</w:t>
            </w:r>
            <w:r w:rsidRPr="008A20BD" w:rsidR="00BC11E7">
              <w:rPr>
                <w:rFonts w:eastAsia="Calibri" w:cs="Arial"/>
              </w:rPr>
              <w:t>raceable body of evidence documentation suite</w:t>
            </w:r>
            <w:r>
              <w:rPr>
                <w:rFonts w:eastAsia="Calibri" w:cs="Arial"/>
              </w:rPr>
              <w:t>; and</w:t>
            </w:r>
          </w:p>
          <w:p w:rsidRPr="00CD4382" w:rsidR="00BC11E7" w:rsidP="00EE0141" w:rsidRDefault="002C41AC" w14:paraId="01E58664" w14:textId="55018D4D">
            <w:pPr>
              <w:pStyle w:val="Simple1"/>
              <w:numPr>
                <w:ilvl w:val="1"/>
                <w:numId w:val="28"/>
              </w:numPr>
              <w:jc w:val="left"/>
              <w:rPr>
                <w:rFonts w:eastAsia="Calibri" w:cs="Arial"/>
              </w:rPr>
            </w:pPr>
            <w:r>
              <w:rPr>
                <w:rFonts w:eastAsia="Calibri" w:cs="Arial"/>
              </w:rPr>
              <w:t xml:space="preserve">a </w:t>
            </w:r>
            <w:r w:rsidR="00685108">
              <w:rPr>
                <w:rFonts w:eastAsia="Calibri" w:cs="Arial"/>
              </w:rPr>
              <w:t xml:space="preserve">monthly </w:t>
            </w:r>
            <w:r>
              <w:rPr>
                <w:rFonts w:eastAsia="Calibri" w:cs="Arial"/>
              </w:rPr>
              <w:t>summary of the s</w:t>
            </w:r>
            <w:r w:rsidRPr="008A20BD" w:rsidR="00BC11E7">
              <w:rPr>
                <w:rFonts w:eastAsia="Calibri" w:cs="Arial"/>
              </w:rPr>
              <w:t xml:space="preserve">tatus of Safety </w:t>
            </w:r>
            <w:r w:rsidR="00685108">
              <w:rPr>
                <w:rFonts w:eastAsia="Calibri" w:cs="Arial"/>
              </w:rPr>
              <w:t xml:space="preserve">and Environmental </w:t>
            </w:r>
            <w:r w:rsidRPr="008A20BD" w:rsidR="00BC11E7">
              <w:rPr>
                <w:rFonts w:eastAsia="Calibri" w:cs="Arial"/>
              </w:rPr>
              <w:t xml:space="preserve">Cases, </w:t>
            </w:r>
            <w:r w:rsidR="00685108">
              <w:rPr>
                <w:rFonts w:eastAsia="Calibri" w:cs="Arial"/>
              </w:rPr>
              <w:t>a</w:t>
            </w:r>
            <w:r w:rsidRPr="008A20BD" w:rsidR="00BC11E7">
              <w:rPr>
                <w:rFonts w:eastAsia="Calibri" w:cs="Arial"/>
              </w:rPr>
              <w:t xml:space="preserve">ssurance activities and applicability </w:t>
            </w:r>
            <w:r w:rsidR="00685108">
              <w:rPr>
                <w:rFonts w:eastAsia="Calibri" w:cs="Arial"/>
              </w:rPr>
              <w:t>describing</w:t>
            </w:r>
            <w:r w:rsidRPr="008A20BD" w:rsidR="00BC11E7">
              <w:rPr>
                <w:rFonts w:eastAsia="Calibri" w:cs="Arial"/>
              </w:rPr>
              <w:t xml:space="preserve"> any significant changes or findi</w:t>
            </w:r>
            <w:r w:rsidR="00CD4382">
              <w:rPr>
                <w:rFonts w:eastAsia="Calibri" w:cs="Arial"/>
              </w:rPr>
              <w:t xml:space="preserve">ngs. </w:t>
            </w:r>
          </w:p>
        </w:tc>
        <w:tc>
          <w:tcPr>
            <w:tcW w:w="1027" w:type="pct"/>
          </w:tcPr>
          <w:p w:rsidRPr="00914C14" w:rsidR="00BC11E7" w:rsidP="008E7807" w:rsidRDefault="00BC11E7" w14:paraId="5D614DEB" w14:textId="77777777">
            <w:pPr>
              <w:pStyle w:val="BodyText"/>
              <w:jc w:val="left"/>
            </w:pPr>
            <w:r>
              <w:t>In accordance with the Contractor's Asset Management Plan.</w:t>
            </w:r>
          </w:p>
        </w:tc>
      </w:tr>
      <w:tr w:rsidRPr="00342C65" w:rsidR="00BC11E7" w:rsidTr="004A279D" w14:paraId="7C594EAA" w14:textId="77777777">
        <w:tc>
          <w:tcPr>
            <w:tcW w:w="901" w:type="pct"/>
          </w:tcPr>
          <w:p w:rsidRPr="00A30F1D" w:rsidR="00BC11E7" w:rsidP="00127082" w:rsidRDefault="00377290" w14:paraId="03E84887" w14:textId="25CA769C">
            <w:pPr>
              <w:pStyle w:val="BodyText"/>
              <w:numPr>
                <w:ilvl w:val="0"/>
                <w:numId w:val="21"/>
              </w:numPr>
              <w:ind w:left="313" w:hanging="313"/>
              <w:jc w:val="left"/>
              <w:rPr>
                <w:rFonts w:eastAsia="Calibri" w:cs="Arial"/>
                <w:bCs/>
              </w:rPr>
            </w:pPr>
            <w:r w:rsidRPr="00A30F1D">
              <w:rPr>
                <w:rFonts w:eastAsia="Calibri" w:cs="Arial"/>
                <w:bCs/>
              </w:rPr>
              <w:t>S</w:t>
            </w:r>
            <w:r w:rsidR="008C3456">
              <w:rPr>
                <w:rFonts w:eastAsia="Calibri" w:cs="Arial"/>
                <w:bCs/>
              </w:rPr>
              <w:t>ub-C</w:t>
            </w:r>
            <w:r w:rsidR="004B169D">
              <w:rPr>
                <w:rFonts w:eastAsia="Calibri" w:cs="Arial"/>
                <w:bCs/>
              </w:rPr>
              <w:t>ontracts</w:t>
            </w:r>
          </w:p>
        </w:tc>
        <w:tc>
          <w:tcPr>
            <w:tcW w:w="999" w:type="pct"/>
          </w:tcPr>
          <w:p w:rsidR="00BC11E7" w:rsidP="008E7807" w:rsidRDefault="008C3456" w14:paraId="0133103B" w14:textId="6029BB02">
            <w:pPr>
              <w:pStyle w:val="BodyText"/>
              <w:jc w:val="left"/>
            </w:pPr>
            <w:r>
              <w:t xml:space="preserve">Clause 33 (Sub-Contracting) and </w:t>
            </w:r>
            <w:r w:rsidR="00DF2502">
              <w:t>Clause 34 (Key Sub-Contracts)</w:t>
            </w:r>
          </w:p>
        </w:tc>
        <w:tc>
          <w:tcPr>
            <w:tcW w:w="2073" w:type="pct"/>
          </w:tcPr>
          <w:p w:rsidRPr="008223B5" w:rsidR="00BC11E7" w:rsidP="00205B95" w:rsidRDefault="00DF2502" w14:paraId="1F0248DB" w14:textId="4265C1EC">
            <w:pPr>
              <w:pStyle w:val="BodyText"/>
              <w:jc w:val="left"/>
            </w:pPr>
            <w:r>
              <w:t>Information,</w:t>
            </w:r>
            <w:r w:rsidR="00205B95">
              <w:t xml:space="preserve"> including</w:t>
            </w:r>
            <w:r>
              <w:t xml:space="preserve"> copies of Sub-Contracts and any other details required</w:t>
            </w:r>
            <w:r w:rsidR="00205B95">
              <w:t xml:space="preserve"> by the Authority,</w:t>
            </w:r>
            <w:r>
              <w:t xml:space="preserve"> as set out in Clause 33 (Sub-Contracting) and Clause 34 (Key Sub-Contracts)</w:t>
            </w:r>
            <w:r w:rsidR="00205B95">
              <w:t>, and any updates to such information.</w:t>
            </w:r>
          </w:p>
        </w:tc>
        <w:tc>
          <w:tcPr>
            <w:tcW w:w="1027" w:type="pct"/>
          </w:tcPr>
          <w:p w:rsidR="00BC11E7" w:rsidP="008E7807" w:rsidRDefault="00DF2502" w14:paraId="0231ADB5" w14:textId="77777777">
            <w:pPr>
              <w:pStyle w:val="BodyText"/>
              <w:jc w:val="left"/>
            </w:pPr>
            <w:r>
              <w:t>In accordance with the timeframes set out in in Clauses 33 (Sub-Contracting) and 34 (Key Sub-Contracts).</w:t>
            </w:r>
          </w:p>
          <w:p w:rsidRPr="00342C65" w:rsidR="00205B95" w:rsidP="008E7807" w:rsidRDefault="00205B95" w14:paraId="35B1AD7C" w14:textId="4A5D6188">
            <w:pPr>
              <w:pStyle w:val="BodyText"/>
              <w:jc w:val="left"/>
            </w:pPr>
            <w:r>
              <w:t>Updates to be uploaded within two (2) Business Days of such update.</w:t>
            </w:r>
          </w:p>
        </w:tc>
      </w:tr>
      <w:tr w:rsidRPr="00342C65" w:rsidR="00BC11E7" w:rsidTr="004A279D" w14:paraId="278CD1A7" w14:textId="77777777">
        <w:tc>
          <w:tcPr>
            <w:tcW w:w="901" w:type="pct"/>
          </w:tcPr>
          <w:p w:rsidRPr="00A30F1D" w:rsidR="00BC11E7" w:rsidP="00127082" w:rsidRDefault="00377290" w14:paraId="092BC566" w14:textId="77777777">
            <w:pPr>
              <w:pStyle w:val="BodyText"/>
              <w:numPr>
                <w:ilvl w:val="0"/>
                <w:numId w:val="21"/>
              </w:numPr>
              <w:ind w:left="313" w:hanging="313"/>
              <w:jc w:val="left"/>
              <w:rPr>
                <w:rFonts w:eastAsia="Calibri" w:cs="Arial"/>
                <w:bCs/>
              </w:rPr>
            </w:pPr>
            <w:r w:rsidRPr="00A30F1D">
              <w:rPr>
                <w:rFonts w:eastAsia="Calibri" w:cs="Arial"/>
                <w:bCs/>
              </w:rPr>
              <w:t>Financial Distress Remediation Plan</w:t>
            </w:r>
          </w:p>
        </w:tc>
        <w:tc>
          <w:tcPr>
            <w:tcW w:w="999" w:type="pct"/>
          </w:tcPr>
          <w:p w:rsidR="00BC11E7" w:rsidP="008E7807" w:rsidRDefault="004B169D" w14:paraId="6F40946C" w14:textId="645925E8">
            <w:pPr>
              <w:pStyle w:val="BodyText"/>
              <w:jc w:val="left"/>
            </w:pPr>
            <w:r>
              <w:t>Schedule 25 (Financial Distress)</w:t>
            </w:r>
          </w:p>
        </w:tc>
        <w:tc>
          <w:tcPr>
            <w:tcW w:w="2073" w:type="pct"/>
          </w:tcPr>
          <w:p w:rsidRPr="00342C65" w:rsidR="00BC11E7" w:rsidP="008E7807" w:rsidRDefault="00BC11E7" w14:paraId="1B8AE02F" w14:textId="7BC74571">
            <w:pPr>
              <w:pStyle w:val="BodyText"/>
              <w:jc w:val="left"/>
            </w:pPr>
          </w:p>
        </w:tc>
        <w:tc>
          <w:tcPr>
            <w:tcW w:w="1027" w:type="pct"/>
          </w:tcPr>
          <w:p w:rsidRPr="00342C65" w:rsidR="00BC11E7" w:rsidP="00685108" w:rsidRDefault="004B169D" w14:paraId="39C722BF" w14:textId="71C0F349">
            <w:pPr>
              <w:pStyle w:val="BodyText"/>
              <w:jc w:val="left"/>
            </w:pPr>
            <w:r>
              <w:t xml:space="preserve">As soon as reasonably practicable and in any event within </w:t>
            </w:r>
            <w:r w:rsidR="00685108">
              <w:t>ten (</w:t>
            </w:r>
            <w:r>
              <w:t>10</w:t>
            </w:r>
            <w:r w:rsidR="00685108">
              <w:t>) Business</w:t>
            </w:r>
            <w:r>
              <w:t xml:space="preserve"> Days of initial notification or awareness of a Financial Distress Event</w:t>
            </w:r>
            <w:r w:rsidR="00685108">
              <w:t>.</w:t>
            </w:r>
          </w:p>
        </w:tc>
      </w:tr>
      <w:tr w:rsidRPr="00342C65" w:rsidR="004229FC" w:rsidTr="004A279D" w14:paraId="5F450A75" w14:textId="77777777">
        <w:tc>
          <w:tcPr>
            <w:tcW w:w="901" w:type="pct"/>
          </w:tcPr>
          <w:p w:rsidRPr="00A30F1D" w:rsidR="004229FC" w:rsidP="00127082" w:rsidRDefault="008A70A1" w14:paraId="14504628" w14:textId="2869B72D">
            <w:pPr>
              <w:pStyle w:val="BodyText"/>
              <w:numPr>
                <w:ilvl w:val="0"/>
                <w:numId w:val="21"/>
              </w:numPr>
              <w:ind w:left="313" w:hanging="313"/>
              <w:jc w:val="left"/>
              <w:rPr>
                <w:rFonts w:eastAsia="Calibri" w:cs="Arial"/>
                <w:bCs/>
              </w:rPr>
            </w:pPr>
            <w:r>
              <w:rPr>
                <w:rFonts w:eastAsia="Calibri" w:cs="Arial"/>
                <w:bCs/>
              </w:rPr>
              <w:t xml:space="preserve">Other documents to be provided pursuant to </w:t>
            </w:r>
            <w:r>
              <w:t>Schedule 25 (Financial Distress)</w:t>
            </w:r>
          </w:p>
        </w:tc>
        <w:tc>
          <w:tcPr>
            <w:tcW w:w="999" w:type="pct"/>
          </w:tcPr>
          <w:p w:rsidR="004229FC" w:rsidP="008E7807" w:rsidRDefault="008A70A1" w14:paraId="66A02B65" w14:textId="3FB73D50">
            <w:pPr>
              <w:pStyle w:val="BodyText"/>
              <w:jc w:val="left"/>
            </w:pPr>
            <w:r>
              <w:t>Schedule 25 (Financial Distress)</w:t>
            </w:r>
          </w:p>
        </w:tc>
        <w:tc>
          <w:tcPr>
            <w:tcW w:w="2073" w:type="pct"/>
          </w:tcPr>
          <w:p w:rsidRPr="00342C65" w:rsidR="004229FC" w:rsidP="008E7807" w:rsidRDefault="008A70A1" w14:paraId="29ADAABE" w14:textId="2CD57222">
            <w:pPr>
              <w:pStyle w:val="BodyText"/>
              <w:jc w:val="left"/>
            </w:pPr>
            <w:r>
              <w:t>Any documents and or information the Contractor is required to provide to the Authority pursuant to Schedule 25 (Financial Distress).</w:t>
            </w:r>
          </w:p>
        </w:tc>
        <w:tc>
          <w:tcPr>
            <w:tcW w:w="1027" w:type="pct"/>
          </w:tcPr>
          <w:p w:rsidR="004229FC" w:rsidRDefault="008A70A1" w14:paraId="067C07D4" w14:textId="457FFE8A">
            <w:pPr>
              <w:pStyle w:val="BodyText"/>
              <w:jc w:val="left"/>
            </w:pPr>
            <w:r>
              <w:t>As soon as available in accordance with the timeframes set out in Schedule 25 (Financial Distress).</w:t>
            </w:r>
          </w:p>
        </w:tc>
      </w:tr>
      <w:tr w:rsidRPr="00342C65" w:rsidR="00BC11E7" w:rsidTr="004A279D" w14:paraId="71C085DD" w14:textId="77777777">
        <w:tc>
          <w:tcPr>
            <w:tcW w:w="901" w:type="pct"/>
          </w:tcPr>
          <w:p w:rsidRPr="00B24637" w:rsidR="00BC11E7" w:rsidP="00127082" w:rsidRDefault="00B24637" w14:paraId="50A105BE" w14:textId="5F95E755">
            <w:pPr>
              <w:pStyle w:val="BodyText"/>
              <w:numPr>
                <w:ilvl w:val="0"/>
                <w:numId w:val="21"/>
              </w:numPr>
              <w:ind w:left="313" w:hanging="313"/>
              <w:jc w:val="left"/>
              <w:rPr>
                <w:rFonts w:eastAsia="Calibri" w:cs="Arial"/>
                <w:bCs/>
              </w:rPr>
            </w:pPr>
            <w:r>
              <w:rPr>
                <w:rFonts w:eastAsia="Calibri" w:cs="Arial"/>
                <w:bCs/>
              </w:rPr>
              <w:t>Changes</w:t>
            </w:r>
          </w:p>
        </w:tc>
        <w:tc>
          <w:tcPr>
            <w:tcW w:w="999" w:type="pct"/>
          </w:tcPr>
          <w:p w:rsidR="00BC11E7" w:rsidP="008E7807" w:rsidRDefault="00B24637" w14:paraId="4C6617A6" w14:textId="3A55D505">
            <w:pPr>
              <w:pStyle w:val="BodyText"/>
              <w:jc w:val="left"/>
              <w:rPr>
                <w:rFonts w:eastAsia="Calibri" w:cs="Arial"/>
              </w:rPr>
            </w:pPr>
            <w:r>
              <w:rPr>
                <w:rFonts w:eastAsia="Calibri" w:cs="Arial"/>
              </w:rPr>
              <w:t>Schedule 19 (Change Control Procedure)</w:t>
            </w:r>
          </w:p>
        </w:tc>
        <w:tc>
          <w:tcPr>
            <w:tcW w:w="2073" w:type="pct"/>
          </w:tcPr>
          <w:p w:rsidR="00B24637" w:rsidP="008E7807" w:rsidRDefault="00B24637" w14:paraId="33A9E48C" w14:textId="77777777">
            <w:pPr>
              <w:pStyle w:val="BodyText"/>
              <w:jc w:val="left"/>
              <w:rPr>
                <w:rFonts w:eastAsia="Calibri" w:cs="Arial"/>
                <w:bCs/>
              </w:rPr>
            </w:pPr>
            <w:r>
              <w:rPr>
                <w:rFonts w:eastAsia="Calibri" w:cs="Arial"/>
                <w:bCs/>
              </w:rPr>
              <w:t>All documents relating to Changes agreed pursuant to the Change Control Procedure, including:</w:t>
            </w:r>
          </w:p>
          <w:p w:rsidRPr="00B24637" w:rsidR="00B24637" w:rsidP="00EE0141" w:rsidRDefault="00B24637" w14:paraId="0CE0B5B3" w14:textId="77777777">
            <w:pPr>
              <w:pStyle w:val="Simple1"/>
              <w:numPr>
                <w:ilvl w:val="1"/>
                <w:numId w:val="26"/>
              </w:numPr>
              <w:jc w:val="left"/>
              <w:rPr>
                <w:rFonts w:eastAsia="Calibri" w:cs="Arial"/>
              </w:rPr>
            </w:pPr>
            <w:r>
              <w:rPr>
                <w:rFonts w:eastAsia="Calibri" w:cs="Arial"/>
                <w:bCs/>
              </w:rPr>
              <w:t>an up to date Change Register;</w:t>
            </w:r>
          </w:p>
          <w:p w:rsidRPr="00B24637" w:rsidR="00B24637" w:rsidP="00EE0141" w:rsidRDefault="00B24637" w14:paraId="438D6C1A" w14:textId="712FFC2D">
            <w:pPr>
              <w:pStyle w:val="Simple1"/>
              <w:numPr>
                <w:ilvl w:val="1"/>
                <w:numId w:val="26"/>
              </w:numPr>
              <w:jc w:val="left"/>
              <w:rPr>
                <w:rFonts w:eastAsia="Calibri" w:cs="Arial"/>
              </w:rPr>
            </w:pPr>
            <w:r>
              <w:rPr>
                <w:rFonts w:eastAsia="Calibri" w:cs="Arial"/>
                <w:bCs/>
              </w:rPr>
              <w:t>copies of all completed Change Forms; and</w:t>
            </w:r>
          </w:p>
          <w:p w:rsidRPr="00B24637" w:rsidR="00BC11E7" w:rsidP="00EE0141" w:rsidRDefault="00B24637" w14:paraId="03A61C0B" w14:textId="56731F72">
            <w:pPr>
              <w:pStyle w:val="Simple1"/>
              <w:numPr>
                <w:ilvl w:val="1"/>
                <w:numId w:val="26"/>
              </w:numPr>
              <w:jc w:val="left"/>
              <w:rPr>
                <w:rFonts w:eastAsia="Calibri" w:cs="Arial"/>
              </w:rPr>
            </w:pPr>
            <w:r w:rsidRPr="00B11C3B">
              <w:t xml:space="preserve">a </w:t>
            </w:r>
            <w:r>
              <w:t xml:space="preserve">conformed </w:t>
            </w:r>
            <w:r w:rsidRPr="00B11C3B">
              <w:t xml:space="preserve">copy of the Contract updated to reflect </w:t>
            </w:r>
            <w:r>
              <w:t>the</w:t>
            </w:r>
            <w:r w:rsidRPr="00B11C3B">
              <w:t xml:space="preserve"> Change as agreed in the relevant DEFFORM 10B</w:t>
            </w:r>
            <w:r>
              <w:t>.</w:t>
            </w:r>
            <w:r>
              <w:rPr>
                <w:rFonts w:eastAsia="Calibri" w:cs="Arial"/>
              </w:rPr>
              <w:t xml:space="preserve"> </w:t>
            </w:r>
          </w:p>
        </w:tc>
        <w:tc>
          <w:tcPr>
            <w:tcW w:w="1027" w:type="pct"/>
          </w:tcPr>
          <w:p w:rsidRPr="00342C65" w:rsidR="00B24637" w:rsidP="008E7807" w:rsidRDefault="00B24637" w14:paraId="168E7238" w14:textId="525B05F4">
            <w:pPr>
              <w:pStyle w:val="BodyText"/>
              <w:jc w:val="left"/>
            </w:pPr>
            <w:r>
              <w:t xml:space="preserve">Within five (5) </w:t>
            </w:r>
            <w:r w:rsidRPr="00B11C3B">
              <w:t>Business Days of a Change becoming effective</w:t>
            </w:r>
            <w:r>
              <w:t xml:space="preserve"> in accordance with the </w:t>
            </w:r>
            <w:r>
              <w:rPr>
                <w:rFonts w:eastAsia="Calibri" w:cs="Arial"/>
              </w:rPr>
              <w:t>Change Control Procedure</w:t>
            </w:r>
            <w:r w:rsidR="00AB265A">
              <w:rPr>
                <w:rFonts w:eastAsia="Calibri" w:cs="Arial"/>
              </w:rPr>
              <w:t>.</w:t>
            </w:r>
          </w:p>
        </w:tc>
      </w:tr>
      <w:tr w:rsidRPr="00342C65" w:rsidR="000267BF" w:rsidTr="004A279D" w14:paraId="743A92CC" w14:textId="77777777">
        <w:tc>
          <w:tcPr>
            <w:tcW w:w="901" w:type="pct"/>
          </w:tcPr>
          <w:p w:rsidR="000267BF" w:rsidP="00127082" w:rsidRDefault="000267BF" w14:paraId="45350AE0" w14:textId="3DD0E102">
            <w:pPr>
              <w:pStyle w:val="BodyText"/>
              <w:numPr>
                <w:ilvl w:val="0"/>
                <w:numId w:val="21"/>
              </w:numPr>
              <w:ind w:left="313" w:hanging="313"/>
              <w:jc w:val="left"/>
              <w:rPr>
                <w:rFonts w:eastAsia="Calibri" w:cs="Arial"/>
                <w:bCs/>
              </w:rPr>
            </w:pPr>
            <w:r>
              <w:rPr>
                <w:rFonts w:eastAsia="Calibri" w:cs="Arial"/>
                <w:bCs/>
              </w:rPr>
              <w:t>IPR</w:t>
            </w:r>
            <w:r w:rsidR="00A13BE3">
              <w:rPr>
                <w:rFonts w:eastAsia="Calibri" w:cs="Arial"/>
                <w:bCs/>
              </w:rPr>
              <w:t>/Authority Data</w:t>
            </w:r>
          </w:p>
        </w:tc>
        <w:tc>
          <w:tcPr>
            <w:tcW w:w="999" w:type="pct"/>
          </w:tcPr>
          <w:p w:rsidR="000267BF" w:rsidP="008E7807" w:rsidRDefault="000267BF" w14:paraId="1EEF0054" w14:textId="77777777">
            <w:pPr>
              <w:pStyle w:val="BodyText"/>
              <w:jc w:val="left"/>
              <w:rPr>
                <w:rFonts w:eastAsia="Calibri" w:cs="Arial"/>
              </w:rPr>
            </w:pPr>
          </w:p>
        </w:tc>
        <w:tc>
          <w:tcPr>
            <w:tcW w:w="2073" w:type="pct"/>
          </w:tcPr>
          <w:p w:rsidRPr="003A113A" w:rsidR="008C3456" w:rsidP="003A113A" w:rsidRDefault="008C3456" w14:paraId="51EC5EE5" w14:textId="61512137">
            <w:pPr>
              <w:pStyle w:val="BodyText"/>
              <w:jc w:val="left"/>
              <w:rPr>
                <w:rFonts w:eastAsia="Calibri" w:cs="Arial"/>
                <w:bCs/>
              </w:rPr>
            </w:pPr>
            <w:r>
              <w:rPr>
                <w:rFonts w:eastAsia="Calibri" w:cs="Arial"/>
                <w:bCs/>
              </w:rPr>
              <w:t>IPR Register/ details of how/wh</w:t>
            </w:r>
            <w:r w:rsidR="00A13BE3">
              <w:rPr>
                <w:rFonts w:eastAsia="Calibri" w:cs="Arial"/>
                <w:bCs/>
              </w:rPr>
              <w:t>ere all Authority Data is held.</w:t>
            </w:r>
          </w:p>
        </w:tc>
        <w:tc>
          <w:tcPr>
            <w:tcW w:w="1027" w:type="pct"/>
          </w:tcPr>
          <w:p w:rsidR="000267BF" w:rsidP="008E7807" w:rsidRDefault="008C3456" w14:paraId="740162DC" w14:textId="0320AAA4">
            <w:pPr>
              <w:pStyle w:val="BodyText"/>
              <w:jc w:val="left"/>
            </w:pPr>
            <w:r w:rsidRPr="000A0B90">
              <w:t>On the Service Commencement Date and within two (2) Business Days of any update.</w:t>
            </w:r>
          </w:p>
        </w:tc>
      </w:tr>
      <w:tr w:rsidRPr="00342C65" w:rsidR="006E05F7" w:rsidTr="004A279D" w14:paraId="7755D31A" w14:textId="77777777">
        <w:tc>
          <w:tcPr>
            <w:tcW w:w="901" w:type="pct"/>
          </w:tcPr>
          <w:p w:rsidR="006E05F7" w:rsidP="00127082" w:rsidRDefault="006E05F7" w14:paraId="315E45AC" w14:textId="2B42B842">
            <w:pPr>
              <w:pStyle w:val="BodyText"/>
              <w:numPr>
                <w:ilvl w:val="0"/>
                <w:numId w:val="21"/>
              </w:numPr>
              <w:ind w:left="313" w:hanging="313"/>
              <w:jc w:val="left"/>
            </w:pPr>
            <w:r>
              <w:rPr>
                <w:rFonts w:eastAsia="Calibri" w:cs="Arial"/>
                <w:bCs/>
              </w:rPr>
              <w:t>Data protection records</w:t>
            </w:r>
          </w:p>
        </w:tc>
        <w:tc>
          <w:tcPr>
            <w:tcW w:w="999" w:type="pct"/>
          </w:tcPr>
          <w:p w:rsidR="006E05F7" w:rsidP="006E05F7" w:rsidRDefault="006E05F7" w14:paraId="08A3A8C9" w14:textId="39A385A2">
            <w:pPr>
              <w:pStyle w:val="BodyText"/>
              <w:jc w:val="left"/>
            </w:pPr>
            <w:r>
              <w:rPr>
                <w:rFonts w:eastAsia="Calibri" w:cs="Arial"/>
              </w:rPr>
              <w:t>Clause 42 (Protection of Personal Data)</w:t>
            </w:r>
          </w:p>
        </w:tc>
        <w:tc>
          <w:tcPr>
            <w:tcW w:w="2073" w:type="pct"/>
          </w:tcPr>
          <w:p w:rsidR="006E05F7" w:rsidP="006E05F7" w:rsidRDefault="006E05F7" w14:paraId="098EDD92" w14:textId="17AC5DC5">
            <w:pPr>
              <w:pStyle w:val="BodyText"/>
              <w:jc w:val="left"/>
            </w:pPr>
            <w:r>
              <w:rPr>
                <w:rFonts w:eastAsia="Calibri" w:cs="Arial"/>
                <w:bCs/>
              </w:rPr>
              <w:t>C</w:t>
            </w:r>
            <w:r w:rsidRPr="006C3027">
              <w:t>omplete and accurate records and information as necessary to ful</w:t>
            </w:r>
            <w:r>
              <w:t xml:space="preserve">fil its obligations under clause 42 </w:t>
            </w:r>
            <w:r>
              <w:rPr>
                <w:rFonts w:eastAsia="Calibri" w:cs="Arial"/>
              </w:rPr>
              <w:t>(Protection of Personal Data)</w:t>
            </w:r>
            <w:r w:rsidRPr="006C3027">
              <w:t>.</w:t>
            </w:r>
          </w:p>
        </w:tc>
        <w:tc>
          <w:tcPr>
            <w:tcW w:w="1027" w:type="pct"/>
          </w:tcPr>
          <w:p w:rsidR="006E05F7" w:rsidP="006E05F7" w:rsidRDefault="006E05F7" w14:paraId="48D6E682" w14:textId="2D662297">
            <w:pPr>
              <w:pStyle w:val="BodyText"/>
              <w:jc w:val="left"/>
            </w:pPr>
            <w:r>
              <w:t>As soon as available.</w:t>
            </w:r>
          </w:p>
        </w:tc>
      </w:tr>
      <w:tr w:rsidRPr="00342C65" w:rsidR="006E05F7" w:rsidTr="004A279D" w14:paraId="77A2877E" w14:textId="77777777">
        <w:tc>
          <w:tcPr>
            <w:tcW w:w="901" w:type="pct"/>
          </w:tcPr>
          <w:p w:rsidRPr="0037415C" w:rsidR="006E05F7" w:rsidP="00127082" w:rsidRDefault="006E05F7" w14:paraId="0284804F" w14:textId="77777777">
            <w:pPr>
              <w:pStyle w:val="BodyText"/>
              <w:numPr>
                <w:ilvl w:val="0"/>
                <w:numId w:val="21"/>
              </w:numPr>
              <w:ind w:left="313" w:hanging="313"/>
              <w:jc w:val="left"/>
              <w:rPr>
                <w:rFonts w:eastAsia="Calibri" w:cs="Arial"/>
              </w:rPr>
            </w:pPr>
            <w:r>
              <w:t>Exit Information</w:t>
            </w:r>
          </w:p>
        </w:tc>
        <w:tc>
          <w:tcPr>
            <w:tcW w:w="999" w:type="pct"/>
          </w:tcPr>
          <w:p w:rsidR="006E05F7" w:rsidP="006E05F7" w:rsidRDefault="006E05F7" w14:paraId="303B0D66" w14:textId="77777777">
            <w:pPr>
              <w:pStyle w:val="BodyText"/>
              <w:jc w:val="left"/>
            </w:pPr>
            <w:r>
              <w:t>Schedule 21 (Exit Management)</w:t>
            </w:r>
          </w:p>
        </w:tc>
        <w:tc>
          <w:tcPr>
            <w:tcW w:w="2073" w:type="pct"/>
          </w:tcPr>
          <w:p w:rsidR="006E05F7" w:rsidP="006E05F7" w:rsidRDefault="006E05F7" w14:paraId="647DCC75" w14:textId="2C2EEEEA">
            <w:pPr>
              <w:pStyle w:val="BodyText"/>
              <w:jc w:val="left"/>
            </w:pPr>
            <w:r>
              <w:t>The Exit Information as described in Schedule 21 (Exit Management).</w:t>
            </w:r>
          </w:p>
        </w:tc>
        <w:tc>
          <w:tcPr>
            <w:tcW w:w="1027" w:type="pct"/>
          </w:tcPr>
          <w:p w:rsidR="006E05F7" w:rsidP="006E05F7" w:rsidRDefault="006E05F7" w14:paraId="4919A382" w14:textId="02F4A430">
            <w:pPr>
              <w:pStyle w:val="BodyText"/>
              <w:jc w:val="left"/>
            </w:pPr>
            <w:r>
              <w:t>On reasonable notice given by the Authority at any point during the Contract Term.</w:t>
            </w:r>
          </w:p>
        </w:tc>
      </w:tr>
      <w:tr w:rsidRPr="00342C65" w:rsidR="006E05F7" w:rsidTr="004A279D" w14:paraId="45307BA7" w14:textId="77777777">
        <w:tc>
          <w:tcPr>
            <w:tcW w:w="901" w:type="pct"/>
          </w:tcPr>
          <w:p w:rsidR="006E05F7" w:rsidP="00127082" w:rsidRDefault="006E05F7" w14:paraId="3134E1BD" w14:textId="3DBE4963">
            <w:pPr>
              <w:pStyle w:val="BodyText"/>
              <w:numPr>
                <w:ilvl w:val="0"/>
                <w:numId w:val="21"/>
              </w:numPr>
              <w:ind w:left="313" w:hanging="313"/>
              <w:jc w:val="left"/>
            </w:pPr>
            <w:r>
              <w:t>Service Delivery Procedures</w:t>
            </w:r>
          </w:p>
        </w:tc>
        <w:tc>
          <w:tcPr>
            <w:tcW w:w="999" w:type="pct"/>
          </w:tcPr>
          <w:p w:rsidR="006E05F7" w:rsidP="006E05F7" w:rsidRDefault="006E05F7" w14:paraId="54C4D7F7" w14:textId="77777777">
            <w:pPr>
              <w:pStyle w:val="BodyText"/>
              <w:jc w:val="left"/>
            </w:pPr>
            <w:r>
              <w:t>Schedule 21 (Exit Management)</w:t>
            </w:r>
          </w:p>
        </w:tc>
        <w:tc>
          <w:tcPr>
            <w:tcW w:w="2073" w:type="pct"/>
          </w:tcPr>
          <w:p w:rsidR="006E05F7" w:rsidP="006E05F7" w:rsidRDefault="006E05F7" w14:paraId="1E9E0370" w14:textId="057E8BB9">
            <w:pPr>
              <w:pStyle w:val="BodyText"/>
              <w:jc w:val="left"/>
            </w:pPr>
            <w:r>
              <w:t>The Service Delivery Procedures as described in Schedule 21 (Exit Management).</w:t>
            </w:r>
          </w:p>
        </w:tc>
        <w:tc>
          <w:tcPr>
            <w:tcW w:w="1027" w:type="pct"/>
          </w:tcPr>
          <w:p w:rsidR="006E05F7" w:rsidP="006E05F7" w:rsidRDefault="006E05F7" w14:paraId="2EF697F6" w14:textId="7C29FF50">
            <w:pPr>
              <w:pStyle w:val="BodyText"/>
              <w:jc w:val="left"/>
            </w:pPr>
            <w:r w:rsidRPr="000A0B90">
              <w:t>On the Service Commencement Date and within two (2) Business Days of any update.</w:t>
            </w:r>
          </w:p>
        </w:tc>
      </w:tr>
      <w:tr w:rsidRPr="00342C65" w:rsidR="006E05F7" w:rsidTr="004A279D" w14:paraId="6E84AAE1" w14:textId="77777777">
        <w:tc>
          <w:tcPr>
            <w:tcW w:w="901" w:type="pct"/>
          </w:tcPr>
          <w:p w:rsidRPr="00A30F1D" w:rsidR="006E05F7" w:rsidP="00127082" w:rsidRDefault="006E05F7" w14:paraId="4CC5DAD2" w14:textId="77777777">
            <w:pPr>
              <w:pStyle w:val="BodyText"/>
              <w:numPr>
                <w:ilvl w:val="0"/>
                <w:numId w:val="21"/>
              </w:numPr>
              <w:ind w:left="313" w:hanging="313"/>
              <w:jc w:val="left"/>
            </w:pPr>
            <w:r>
              <w:t>Exit Management Services supporting documentation and knowledge transfer material</w:t>
            </w:r>
          </w:p>
        </w:tc>
        <w:tc>
          <w:tcPr>
            <w:tcW w:w="999" w:type="pct"/>
          </w:tcPr>
          <w:p w:rsidR="006E05F7" w:rsidP="006E05F7" w:rsidRDefault="006E05F7" w14:paraId="5D68851A" w14:textId="77777777">
            <w:pPr>
              <w:pStyle w:val="BodyText"/>
              <w:jc w:val="left"/>
            </w:pPr>
            <w:r>
              <w:t>Schedule 21 (Exit Management)</w:t>
            </w:r>
          </w:p>
        </w:tc>
        <w:tc>
          <w:tcPr>
            <w:tcW w:w="2073" w:type="pct"/>
          </w:tcPr>
          <w:p w:rsidR="006E05F7" w:rsidP="006E05F7" w:rsidRDefault="006E05F7" w14:paraId="0DC715FB" w14:textId="39711A37">
            <w:pPr>
              <w:pStyle w:val="BodyText"/>
              <w:jc w:val="left"/>
            </w:pPr>
            <w:r>
              <w:t>All documentation supporting the Exit Management Services and all knowledge transfer material</w:t>
            </w:r>
          </w:p>
        </w:tc>
        <w:tc>
          <w:tcPr>
            <w:tcW w:w="1027" w:type="pct"/>
          </w:tcPr>
          <w:p w:rsidR="006E05F7" w:rsidP="006E05F7" w:rsidRDefault="006E05F7" w14:paraId="29A3085D" w14:textId="2FA57675">
            <w:pPr>
              <w:pStyle w:val="BodyText"/>
              <w:jc w:val="left"/>
            </w:pPr>
            <w:r w:rsidRPr="000A0B90">
              <w:t>On the Service Commencement Date and within two (2) Business Days of any update.</w:t>
            </w:r>
          </w:p>
        </w:tc>
      </w:tr>
      <w:tr w:rsidRPr="00342C65" w:rsidR="006E05F7" w:rsidTr="004A279D" w14:paraId="43F95315" w14:textId="77777777">
        <w:tc>
          <w:tcPr>
            <w:tcW w:w="901" w:type="pct"/>
          </w:tcPr>
          <w:p w:rsidR="006E05F7" w:rsidP="00127082" w:rsidRDefault="006E05F7" w14:paraId="3B818D37" w14:textId="56898A97">
            <w:pPr>
              <w:pStyle w:val="BodyText"/>
              <w:numPr>
                <w:ilvl w:val="0"/>
                <w:numId w:val="21"/>
              </w:numPr>
              <w:ind w:left="313" w:hanging="313"/>
              <w:jc w:val="left"/>
            </w:pPr>
            <w:r>
              <w:t>'Safe to Operate' Vessel documentation</w:t>
            </w:r>
          </w:p>
        </w:tc>
        <w:tc>
          <w:tcPr>
            <w:tcW w:w="999" w:type="pct"/>
          </w:tcPr>
          <w:p w:rsidR="006E05F7" w:rsidP="006E05F7" w:rsidRDefault="006E05F7" w14:paraId="74133BD6" w14:textId="77777777">
            <w:pPr>
              <w:pStyle w:val="BodyText"/>
              <w:jc w:val="left"/>
            </w:pPr>
          </w:p>
        </w:tc>
        <w:tc>
          <w:tcPr>
            <w:tcW w:w="2073" w:type="pct"/>
          </w:tcPr>
          <w:p w:rsidR="006E05F7" w:rsidP="006E05F7" w:rsidRDefault="006E05F7" w14:paraId="20EB7E2D" w14:textId="17CD1CCE">
            <w:pPr>
              <w:pStyle w:val="BodyText"/>
            </w:pPr>
            <w:r>
              <w:t>For each Vessel:</w:t>
            </w:r>
          </w:p>
          <w:p w:rsidRPr="005A1F1F" w:rsidR="006E05F7" w:rsidP="00EE0141" w:rsidRDefault="006E05F7" w14:paraId="05543A86" w14:textId="4538B046">
            <w:pPr>
              <w:pStyle w:val="Simple1"/>
              <w:numPr>
                <w:ilvl w:val="1"/>
                <w:numId w:val="23"/>
              </w:numPr>
              <w:jc w:val="left"/>
            </w:pPr>
            <w:r w:rsidRPr="005A1F1F">
              <w:t>bill of sale</w:t>
            </w:r>
            <w:r>
              <w:t>;</w:t>
            </w:r>
          </w:p>
          <w:p w:rsidRPr="005A1F1F" w:rsidR="006E05F7" w:rsidP="00EE0141" w:rsidRDefault="006E05F7" w14:paraId="0B55E6AC" w14:textId="60E2C98D">
            <w:pPr>
              <w:pStyle w:val="Simple1"/>
              <w:numPr>
                <w:ilvl w:val="1"/>
                <w:numId w:val="23"/>
              </w:numPr>
              <w:jc w:val="left"/>
            </w:pPr>
            <w:r w:rsidRPr="005A1F1F">
              <w:t>letter of authority (in place of certificate of incorporation)</w:t>
            </w:r>
            <w:r>
              <w:t>;</w:t>
            </w:r>
          </w:p>
          <w:p w:rsidRPr="005A1F1F" w:rsidR="006E05F7" w:rsidP="00EE0141" w:rsidRDefault="006E05F7" w14:paraId="797F0C9A" w14:textId="5549997C">
            <w:pPr>
              <w:pStyle w:val="Simple1"/>
              <w:numPr>
                <w:ilvl w:val="1"/>
                <w:numId w:val="23"/>
              </w:numPr>
              <w:jc w:val="left"/>
            </w:pPr>
            <w:r w:rsidRPr="005A1F1F">
              <w:t>declaration of eligibility</w:t>
            </w:r>
            <w:r>
              <w:t>;</w:t>
            </w:r>
            <w:r w:rsidRPr="005A1F1F">
              <w:t xml:space="preserve"> </w:t>
            </w:r>
          </w:p>
          <w:p w:rsidRPr="005A1F1F" w:rsidR="006E05F7" w:rsidP="00EE0141" w:rsidRDefault="006E05F7" w14:paraId="1A137206" w14:textId="30AE2972">
            <w:pPr>
              <w:pStyle w:val="Simple1"/>
              <w:numPr>
                <w:ilvl w:val="1"/>
                <w:numId w:val="23"/>
              </w:numPr>
              <w:jc w:val="left"/>
            </w:pPr>
            <w:r w:rsidRPr="005A1F1F">
              <w:t>registration fee</w:t>
            </w:r>
            <w:r>
              <w:t>;</w:t>
            </w:r>
          </w:p>
          <w:p w:rsidRPr="005A1F1F" w:rsidR="006E05F7" w:rsidP="00EE0141" w:rsidRDefault="006E05F7" w14:paraId="770A103E" w14:textId="28C430F8">
            <w:pPr>
              <w:pStyle w:val="Simple1"/>
              <w:numPr>
                <w:ilvl w:val="1"/>
                <w:numId w:val="23"/>
              </w:numPr>
              <w:jc w:val="left"/>
            </w:pPr>
            <w:r>
              <w:t>safe m</w:t>
            </w:r>
            <w:r w:rsidRPr="005A1F1F">
              <w:t xml:space="preserve">anning </w:t>
            </w:r>
            <w:r>
              <w:t>d</w:t>
            </w:r>
            <w:r w:rsidRPr="005A1F1F">
              <w:t xml:space="preserve">ocument </w:t>
            </w:r>
            <w:r>
              <w:t>(</w:t>
            </w:r>
            <w:r w:rsidRPr="005A1F1F">
              <w:t>MSF 4227</w:t>
            </w:r>
            <w:r>
              <w:t>);</w:t>
            </w:r>
          </w:p>
          <w:p w:rsidRPr="005A1F1F" w:rsidR="006E05F7" w:rsidP="00EE0141" w:rsidRDefault="006E05F7" w14:paraId="581DFFFA" w14:textId="67808C55">
            <w:pPr>
              <w:pStyle w:val="Simple1"/>
              <w:numPr>
                <w:ilvl w:val="1"/>
                <w:numId w:val="23"/>
              </w:numPr>
              <w:jc w:val="left"/>
            </w:pPr>
            <w:r w:rsidRPr="005A1F1F">
              <w:t>UK radio licence</w:t>
            </w:r>
            <w:r>
              <w:t>;</w:t>
            </w:r>
            <w:r w:rsidRPr="005A1F1F">
              <w:t xml:space="preserve"> </w:t>
            </w:r>
          </w:p>
          <w:p w:rsidRPr="005A1F1F" w:rsidR="006E05F7" w:rsidP="00EE0141" w:rsidRDefault="006E05F7" w14:paraId="11F1F191" w14:textId="06768085">
            <w:pPr>
              <w:pStyle w:val="Simple1"/>
              <w:numPr>
                <w:ilvl w:val="1"/>
                <w:numId w:val="23"/>
              </w:numPr>
              <w:jc w:val="left"/>
            </w:pPr>
            <w:r w:rsidRPr="005A1F1F">
              <w:t>civil liability certification P&amp;I blue cards</w:t>
            </w:r>
            <w:r>
              <w:t>;</w:t>
            </w:r>
          </w:p>
          <w:p w:rsidRPr="005A1F1F" w:rsidR="006E05F7" w:rsidP="00EE0141" w:rsidRDefault="006E05F7" w14:paraId="09CCEFB1" w14:textId="1C80DAC0">
            <w:pPr>
              <w:pStyle w:val="Simple1"/>
              <w:numPr>
                <w:ilvl w:val="1"/>
                <w:numId w:val="23"/>
              </w:numPr>
              <w:jc w:val="left"/>
            </w:pPr>
            <w:r>
              <w:t>radio call sign;</w:t>
            </w:r>
          </w:p>
          <w:p w:rsidRPr="005A1F1F" w:rsidR="006E05F7" w:rsidP="00EE0141" w:rsidRDefault="006E05F7" w14:paraId="16140CA1" w14:textId="6176735C">
            <w:pPr>
              <w:pStyle w:val="Simple1"/>
              <w:numPr>
                <w:ilvl w:val="1"/>
                <w:numId w:val="23"/>
              </w:numPr>
              <w:jc w:val="left"/>
            </w:pPr>
            <w:r>
              <w:t>w</w:t>
            </w:r>
            <w:r w:rsidRPr="005A1F1F">
              <w:t>reck removal certificate</w:t>
            </w:r>
            <w:r>
              <w:t xml:space="preserve"> (If applicable); and</w:t>
            </w:r>
          </w:p>
          <w:p w:rsidR="006E05F7" w:rsidP="00EE0141" w:rsidRDefault="006E05F7" w14:paraId="1A35403A" w14:textId="41248044">
            <w:pPr>
              <w:pStyle w:val="Simple1"/>
              <w:numPr>
                <w:ilvl w:val="1"/>
                <w:numId w:val="23"/>
              </w:numPr>
              <w:jc w:val="left"/>
            </w:pPr>
            <w:r w:rsidRPr="005A1F1F">
              <w:t>CSR Form 2 (continuous synopsis amendment form MSF 5623)</w:t>
            </w:r>
            <w:r>
              <w:t>.</w:t>
            </w:r>
          </w:p>
        </w:tc>
        <w:tc>
          <w:tcPr>
            <w:tcW w:w="1027" w:type="pct"/>
          </w:tcPr>
          <w:p w:rsidR="006E05F7" w:rsidP="006E05F7" w:rsidRDefault="006E05F7" w14:paraId="07EDAC58" w14:textId="4DC3BBEC">
            <w:pPr>
              <w:pStyle w:val="BodyText"/>
              <w:jc w:val="left"/>
            </w:pPr>
            <w:r w:rsidRPr="000A0B90">
              <w:t>On the Service Commencement Date and within two (2) Business Days of any update</w:t>
            </w:r>
            <w:r>
              <w:t xml:space="preserve"> and/or the introduction of any substitute Vessel to provide the Services</w:t>
            </w:r>
            <w:r w:rsidRPr="000A0B90">
              <w:t>.</w:t>
            </w:r>
          </w:p>
        </w:tc>
      </w:tr>
      <w:tr w:rsidRPr="00342C65" w:rsidR="006E05F7" w:rsidTr="004A279D" w14:paraId="1DB56E8C" w14:textId="77777777">
        <w:tc>
          <w:tcPr>
            <w:tcW w:w="901" w:type="pct"/>
          </w:tcPr>
          <w:p w:rsidR="006E05F7" w:rsidP="00127082" w:rsidRDefault="006E05F7" w14:paraId="4EF51F6D" w14:textId="2682BC1B">
            <w:pPr>
              <w:pStyle w:val="BodyText"/>
              <w:numPr>
                <w:ilvl w:val="0"/>
                <w:numId w:val="21"/>
              </w:numPr>
              <w:ind w:left="313" w:hanging="313"/>
              <w:jc w:val="left"/>
            </w:pPr>
            <w:r>
              <w:t>Vessel compliance and certification documentation</w:t>
            </w:r>
          </w:p>
        </w:tc>
        <w:tc>
          <w:tcPr>
            <w:tcW w:w="999" w:type="pct"/>
          </w:tcPr>
          <w:p w:rsidRPr="00E40C32" w:rsidR="006E05F7" w:rsidP="006E05F7" w:rsidRDefault="006E05F7" w14:paraId="2CC3676C" w14:textId="77777777">
            <w:pPr>
              <w:pStyle w:val="BodyText"/>
              <w:jc w:val="left"/>
            </w:pPr>
          </w:p>
          <w:p w:rsidR="006E05F7" w:rsidP="006E05F7" w:rsidRDefault="006E05F7" w14:paraId="5F63775E" w14:textId="77777777">
            <w:pPr>
              <w:pStyle w:val="BodyText"/>
              <w:jc w:val="left"/>
            </w:pPr>
          </w:p>
        </w:tc>
        <w:tc>
          <w:tcPr>
            <w:tcW w:w="2073" w:type="pct"/>
          </w:tcPr>
          <w:p w:rsidR="006E05F7" w:rsidP="006E05F7" w:rsidRDefault="006E05F7" w14:paraId="05E748E3" w14:textId="443F70EA">
            <w:pPr>
              <w:pStyle w:val="BodyText"/>
              <w:jc w:val="left"/>
            </w:pPr>
            <w:r>
              <w:t xml:space="preserve">Documents to demonstrate </w:t>
            </w:r>
            <w:r w:rsidRPr="00E40C32">
              <w:t>and verify compliance with mandatory rules and regulations</w:t>
            </w:r>
            <w:r>
              <w:t>, to include for each Vessel:</w:t>
            </w:r>
          </w:p>
          <w:p w:rsidRPr="00E40C32" w:rsidR="006E05F7" w:rsidP="00EE0141" w:rsidRDefault="006E05F7" w14:paraId="14E3E9FC" w14:textId="17291388">
            <w:pPr>
              <w:pStyle w:val="Simple1"/>
              <w:numPr>
                <w:ilvl w:val="1"/>
                <w:numId w:val="24"/>
              </w:numPr>
              <w:jc w:val="left"/>
            </w:pPr>
            <w:r w:rsidRPr="00E40C32">
              <w:t>ships statutory certificates</w:t>
            </w:r>
            <w:r>
              <w:t>;</w:t>
            </w:r>
            <w:r w:rsidRPr="00E40C32">
              <w:t xml:space="preserve"> </w:t>
            </w:r>
          </w:p>
          <w:p w:rsidRPr="00E40C32" w:rsidR="006E05F7" w:rsidP="00EE0141" w:rsidRDefault="006E05F7" w14:paraId="069420E6" w14:textId="271E550F">
            <w:pPr>
              <w:pStyle w:val="Simple1"/>
              <w:numPr>
                <w:ilvl w:val="1"/>
                <w:numId w:val="24"/>
              </w:numPr>
              <w:jc w:val="left"/>
            </w:pPr>
            <w:r w:rsidRPr="00E40C32">
              <w:t>class certificate</w:t>
            </w:r>
            <w:r>
              <w:t>;</w:t>
            </w:r>
          </w:p>
          <w:p w:rsidRPr="00E40C32" w:rsidR="006E05F7" w:rsidP="00EE0141" w:rsidRDefault="006E05F7" w14:paraId="7BBEBB71" w14:textId="5F22CB54">
            <w:pPr>
              <w:pStyle w:val="Simple1"/>
              <w:numPr>
                <w:ilvl w:val="1"/>
                <w:numId w:val="24"/>
              </w:numPr>
              <w:jc w:val="left"/>
            </w:pPr>
            <w:r w:rsidRPr="00E40C32">
              <w:t>workboat certificate</w:t>
            </w:r>
            <w:r>
              <w:t>;</w:t>
            </w:r>
          </w:p>
          <w:p w:rsidRPr="00E40C32" w:rsidR="006E05F7" w:rsidP="00EE0141" w:rsidRDefault="006E05F7" w14:paraId="5F29DE7A" w14:textId="63CE1423">
            <w:pPr>
              <w:pStyle w:val="Simple1"/>
              <w:numPr>
                <w:ilvl w:val="1"/>
                <w:numId w:val="24"/>
              </w:numPr>
              <w:jc w:val="left"/>
            </w:pPr>
            <w:r w:rsidRPr="00E40C32">
              <w:t>safety management certificates</w:t>
            </w:r>
            <w:r>
              <w:t>;</w:t>
            </w:r>
          </w:p>
          <w:p w:rsidRPr="00E40C32" w:rsidR="006E05F7" w:rsidP="00EE0141" w:rsidRDefault="006E05F7" w14:paraId="6448D50C" w14:textId="13D15A16">
            <w:pPr>
              <w:pStyle w:val="Simple1"/>
              <w:numPr>
                <w:ilvl w:val="1"/>
                <w:numId w:val="24"/>
              </w:numPr>
              <w:jc w:val="left"/>
            </w:pPr>
            <w:r w:rsidRPr="00E40C32">
              <w:t>tonnage certificate</w:t>
            </w:r>
            <w:r>
              <w:t>;</w:t>
            </w:r>
            <w:r w:rsidRPr="00E40C32">
              <w:t xml:space="preserve"> </w:t>
            </w:r>
          </w:p>
          <w:p w:rsidRPr="00E40C32" w:rsidR="006E05F7" w:rsidP="00EE0141" w:rsidRDefault="006E05F7" w14:paraId="59220852" w14:textId="36217A6D">
            <w:pPr>
              <w:pStyle w:val="Simple1"/>
              <w:numPr>
                <w:ilvl w:val="1"/>
                <w:numId w:val="24"/>
              </w:numPr>
              <w:jc w:val="left"/>
            </w:pPr>
            <w:r w:rsidRPr="00E40C32">
              <w:t>load line certificate</w:t>
            </w:r>
            <w:r>
              <w:t>;</w:t>
            </w:r>
            <w:r w:rsidRPr="00E40C32">
              <w:t xml:space="preserve"> </w:t>
            </w:r>
          </w:p>
          <w:p w:rsidRPr="00E40C32" w:rsidR="006E05F7" w:rsidP="00EE0141" w:rsidRDefault="006E05F7" w14:paraId="09A61F43" w14:textId="25F4B307">
            <w:pPr>
              <w:pStyle w:val="Simple1"/>
              <w:numPr>
                <w:ilvl w:val="1"/>
                <w:numId w:val="24"/>
              </w:numPr>
              <w:jc w:val="left"/>
            </w:pPr>
            <w:r w:rsidRPr="00E40C32">
              <w:t>LSA certification</w:t>
            </w:r>
            <w:r>
              <w:t>;</w:t>
            </w:r>
            <w:r w:rsidRPr="00E40C32">
              <w:t xml:space="preserve"> </w:t>
            </w:r>
          </w:p>
          <w:p w:rsidRPr="00E40C32" w:rsidR="006E05F7" w:rsidP="00EE0141" w:rsidRDefault="006E05F7" w14:paraId="450A0F47" w14:textId="681AF242">
            <w:pPr>
              <w:pStyle w:val="Simple1"/>
              <w:numPr>
                <w:ilvl w:val="1"/>
                <w:numId w:val="24"/>
              </w:numPr>
              <w:jc w:val="left"/>
            </w:pPr>
            <w:r w:rsidRPr="00E40C32">
              <w:t>load tests</w:t>
            </w:r>
            <w:r>
              <w:t>;</w:t>
            </w:r>
            <w:r w:rsidRPr="00E40C32">
              <w:t xml:space="preserve"> </w:t>
            </w:r>
            <w:r>
              <w:t>and</w:t>
            </w:r>
          </w:p>
          <w:p w:rsidRPr="00652E61" w:rsidR="006E05F7" w:rsidP="00EE0141" w:rsidRDefault="006E05F7" w14:paraId="414E52DF" w14:textId="459B9DA1">
            <w:pPr>
              <w:pStyle w:val="Simple1"/>
              <w:numPr>
                <w:ilvl w:val="1"/>
                <w:numId w:val="24"/>
              </w:numPr>
              <w:jc w:val="left"/>
            </w:pPr>
            <w:r w:rsidRPr="00E40C32">
              <w:t xml:space="preserve">Affected Services </w:t>
            </w:r>
            <w:r>
              <w:t>c</w:t>
            </w:r>
            <w:r w:rsidRPr="00E40C32">
              <w:t xml:space="preserve">ertificate of </w:t>
            </w:r>
            <w:r>
              <w:t>c</w:t>
            </w:r>
            <w:r w:rsidRPr="00E40C32">
              <w:t>ompliance</w:t>
            </w:r>
            <w:r>
              <w:t>.</w:t>
            </w:r>
          </w:p>
        </w:tc>
        <w:tc>
          <w:tcPr>
            <w:tcW w:w="1027" w:type="pct"/>
          </w:tcPr>
          <w:p w:rsidR="006E05F7" w:rsidP="006E05F7" w:rsidRDefault="006E05F7" w14:paraId="74CDFED0" w14:textId="5E9B213F">
            <w:pPr>
              <w:pStyle w:val="BodyText"/>
              <w:jc w:val="left"/>
            </w:pPr>
            <w:r w:rsidRPr="000A0B90">
              <w:t>On the Service Commencement Date and within two (2) Business Days of any update.</w:t>
            </w:r>
          </w:p>
        </w:tc>
      </w:tr>
      <w:tr w:rsidRPr="00342C65" w:rsidR="006E05F7" w:rsidTr="004A279D" w14:paraId="60740BF2" w14:textId="77777777">
        <w:tc>
          <w:tcPr>
            <w:tcW w:w="901" w:type="pct"/>
          </w:tcPr>
          <w:p w:rsidR="006E05F7" w:rsidP="00127082" w:rsidRDefault="006E05F7" w14:paraId="545EA36F" w14:textId="150C3688">
            <w:pPr>
              <w:pStyle w:val="BodyText"/>
              <w:numPr>
                <w:ilvl w:val="0"/>
                <w:numId w:val="21"/>
              </w:numPr>
              <w:ind w:left="313" w:hanging="313"/>
              <w:jc w:val="left"/>
            </w:pPr>
            <w:r>
              <w:t>Vessel operational documents</w:t>
            </w:r>
          </w:p>
        </w:tc>
        <w:tc>
          <w:tcPr>
            <w:tcW w:w="999" w:type="pct"/>
          </w:tcPr>
          <w:p w:rsidRPr="00E40C32" w:rsidR="006E05F7" w:rsidP="006E05F7" w:rsidRDefault="006E05F7" w14:paraId="4DB0CA77" w14:textId="4F7D79F7">
            <w:pPr>
              <w:pStyle w:val="BodyText"/>
              <w:jc w:val="left"/>
            </w:pPr>
          </w:p>
          <w:p w:rsidR="006E05F7" w:rsidP="006E05F7" w:rsidRDefault="006E05F7" w14:paraId="12541BB6" w14:textId="77777777">
            <w:pPr>
              <w:pStyle w:val="BodyText"/>
              <w:jc w:val="left"/>
            </w:pPr>
          </w:p>
        </w:tc>
        <w:tc>
          <w:tcPr>
            <w:tcW w:w="2073" w:type="pct"/>
          </w:tcPr>
          <w:p w:rsidRPr="00E40C32" w:rsidR="006E05F7" w:rsidP="006E05F7" w:rsidRDefault="006E05F7" w14:paraId="3FB7DED9" w14:textId="5C587036">
            <w:pPr>
              <w:pStyle w:val="BodyText"/>
              <w:jc w:val="left"/>
            </w:pPr>
            <w:r w:rsidRPr="00E40C32">
              <w:t xml:space="preserve">Supporting evidence </w:t>
            </w:r>
            <w:r>
              <w:t>for</w:t>
            </w:r>
            <w:r w:rsidRPr="00E40C32">
              <w:t xml:space="preserve"> the certification </w:t>
            </w:r>
            <w:r>
              <w:t>p</w:t>
            </w:r>
            <w:r w:rsidRPr="00E40C32">
              <w:t xml:space="preserve">rocess </w:t>
            </w:r>
            <w:r>
              <w:t xml:space="preserve">to prove </w:t>
            </w:r>
            <w:r w:rsidRPr="00E40C32">
              <w:t>that codes, guidelines and standards recommended by the IMO, MCA, DMR and other industry bodies have been met and</w:t>
            </w:r>
            <w:r>
              <w:t xml:space="preserve"> </w:t>
            </w:r>
            <w:r w:rsidRPr="00E40C32">
              <w:t>taken into consideration and incorpora</w:t>
            </w:r>
            <w:r>
              <w:t>ted into the Company SEMS, including:</w:t>
            </w:r>
          </w:p>
          <w:p w:rsidRPr="00E40C32" w:rsidR="006E05F7" w:rsidP="00EE0141" w:rsidRDefault="006E05F7" w14:paraId="0BECFA7C" w14:textId="4F40242E">
            <w:pPr>
              <w:pStyle w:val="Simple1"/>
              <w:numPr>
                <w:ilvl w:val="1"/>
                <w:numId w:val="25"/>
              </w:numPr>
              <w:jc w:val="left"/>
            </w:pPr>
            <w:r>
              <w:t>Safety and Environmental Cases;</w:t>
            </w:r>
          </w:p>
          <w:p w:rsidRPr="00E40C32" w:rsidR="006E05F7" w:rsidP="00EE0141" w:rsidRDefault="006E05F7" w14:paraId="1D521DBF" w14:textId="1537876C">
            <w:pPr>
              <w:pStyle w:val="Simple1"/>
              <w:numPr>
                <w:ilvl w:val="1"/>
                <w:numId w:val="25"/>
              </w:numPr>
              <w:jc w:val="left"/>
            </w:pPr>
            <w:r w:rsidRPr="00E40C32">
              <w:t xml:space="preserve">HAZiD </w:t>
            </w:r>
            <w:r>
              <w:t>l</w:t>
            </w:r>
            <w:r w:rsidRPr="00E40C32">
              <w:t>ogs</w:t>
            </w:r>
            <w:r>
              <w:t>;</w:t>
            </w:r>
          </w:p>
          <w:p w:rsidRPr="00E40C32" w:rsidR="006E05F7" w:rsidP="00EE0141" w:rsidRDefault="006E05F7" w14:paraId="724BF2CA" w14:textId="6BB1DBB0">
            <w:pPr>
              <w:pStyle w:val="Simple1"/>
              <w:numPr>
                <w:ilvl w:val="1"/>
                <w:numId w:val="25"/>
              </w:numPr>
              <w:jc w:val="left"/>
            </w:pPr>
            <w:r>
              <w:t>stability book;</w:t>
            </w:r>
          </w:p>
          <w:p w:rsidRPr="00E40C32" w:rsidR="006E05F7" w:rsidP="00EE0141" w:rsidRDefault="006E05F7" w14:paraId="66AE1762" w14:textId="1B70821E">
            <w:pPr>
              <w:pStyle w:val="Simple1"/>
              <w:numPr>
                <w:ilvl w:val="1"/>
                <w:numId w:val="25"/>
              </w:numPr>
              <w:jc w:val="left"/>
            </w:pPr>
            <w:r>
              <w:t>g</w:t>
            </w:r>
            <w:r w:rsidRPr="00E40C32">
              <w:t>arbage book</w:t>
            </w:r>
            <w:r>
              <w:t>;</w:t>
            </w:r>
          </w:p>
          <w:p w:rsidRPr="00E40C32" w:rsidR="006E05F7" w:rsidP="00EE0141" w:rsidRDefault="006E05F7" w14:paraId="3FC3E8F0" w14:textId="57505856">
            <w:pPr>
              <w:pStyle w:val="Simple1"/>
              <w:numPr>
                <w:ilvl w:val="1"/>
                <w:numId w:val="25"/>
              </w:numPr>
              <w:jc w:val="left"/>
            </w:pPr>
            <w:r w:rsidRPr="00A81415">
              <w:t>shipboard oil pollution emergency plan</w:t>
            </w:r>
            <w:r>
              <w:t xml:space="preserve"> (</w:t>
            </w:r>
            <w:r w:rsidRPr="00E40C32">
              <w:t>SOPEP</w:t>
            </w:r>
            <w:r>
              <w:t>);</w:t>
            </w:r>
          </w:p>
          <w:p w:rsidRPr="00E40C32" w:rsidR="006E05F7" w:rsidP="00EE0141" w:rsidRDefault="006E05F7" w14:paraId="59CC0CF6" w14:textId="11DBA5BA">
            <w:pPr>
              <w:pStyle w:val="Simple1"/>
              <w:numPr>
                <w:ilvl w:val="1"/>
                <w:numId w:val="25"/>
              </w:numPr>
              <w:jc w:val="left"/>
            </w:pPr>
            <w:r>
              <w:t>safety management manuals;</w:t>
            </w:r>
          </w:p>
          <w:p w:rsidRPr="00E40C32" w:rsidR="006E05F7" w:rsidP="00EE0141" w:rsidRDefault="006E05F7" w14:paraId="041A280A" w14:textId="326C2C2A">
            <w:pPr>
              <w:pStyle w:val="Simple1"/>
              <w:numPr>
                <w:ilvl w:val="1"/>
                <w:numId w:val="25"/>
              </w:numPr>
              <w:jc w:val="left"/>
            </w:pPr>
            <w:r w:rsidRPr="00E40C32">
              <w:t xml:space="preserve">P&amp;I </w:t>
            </w:r>
            <w:r>
              <w:t>insurance;</w:t>
            </w:r>
          </w:p>
          <w:p w:rsidRPr="00E40C32" w:rsidR="006E05F7" w:rsidP="00EE0141" w:rsidRDefault="006E05F7" w14:paraId="7A7EC5F8" w14:textId="1E9FF838">
            <w:pPr>
              <w:pStyle w:val="Simple1"/>
              <w:numPr>
                <w:ilvl w:val="1"/>
                <w:numId w:val="25"/>
              </w:numPr>
              <w:jc w:val="left"/>
            </w:pPr>
            <w:r>
              <w:t>i</w:t>
            </w:r>
            <w:r w:rsidRPr="00E40C32">
              <w:t>nventories of hazardous materials</w:t>
            </w:r>
            <w:r>
              <w:t>;</w:t>
            </w:r>
          </w:p>
          <w:p w:rsidRPr="00E40C32" w:rsidR="006E05F7" w:rsidP="00EE0141" w:rsidRDefault="006E05F7" w14:paraId="6C7DC017" w14:textId="08639704">
            <w:pPr>
              <w:pStyle w:val="Simple1"/>
              <w:numPr>
                <w:ilvl w:val="1"/>
                <w:numId w:val="25"/>
              </w:numPr>
              <w:jc w:val="left"/>
            </w:pPr>
            <w:r>
              <w:t>waste management plan;</w:t>
            </w:r>
          </w:p>
          <w:p w:rsidRPr="00E40C32" w:rsidR="006E05F7" w:rsidP="00EE0141" w:rsidRDefault="006E05F7" w14:paraId="2F3F1C15" w14:textId="4A61F39A">
            <w:pPr>
              <w:pStyle w:val="Simple1"/>
              <w:numPr>
                <w:ilvl w:val="1"/>
                <w:numId w:val="25"/>
              </w:numPr>
              <w:jc w:val="left"/>
            </w:pPr>
            <w:r>
              <w:t>h</w:t>
            </w:r>
            <w:r w:rsidRPr="00E40C32">
              <w:t>azardous materials log inc</w:t>
            </w:r>
            <w:r>
              <w:t>luding a</w:t>
            </w:r>
            <w:r w:rsidRPr="00E40C32">
              <w:t>sbestos, COSHH etc</w:t>
            </w:r>
            <w:r>
              <w:t>.; and</w:t>
            </w:r>
          </w:p>
          <w:p w:rsidR="006E05F7" w:rsidP="00EE0141" w:rsidRDefault="006E05F7" w14:paraId="5FF69AD2" w14:textId="6224F228">
            <w:pPr>
              <w:pStyle w:val="Simple1"/>
              <w:numPr>
                <w:ilvl w:val="1"/>
                <w:numId w:val="25"/>
              </w:numPr>
              <w:jc w:val="left"/>
            </w:pPr>
            <w:r w:rsidRPr="00E40C32">
              <w:t xml:space="preserve">MCTA/NAG </w:t>
            </w:r>
            <w:r w:rsidR="00D67FEB">
              <w:t>explosives</w:t>
            </w:r>
            <w:r w:rsidRPr="00E40C32">
              <w:t xml:space="preserve"> documentation in support of CSE.</w:t>
            </w:r>
          </w:p>
        </w:tc>
        <w:tc>
          <w:tcPr>
            <w:tcW w:w="1027" w:type="pct"/>
          </w:tcPr>
          <w:p w:rsidR="006E05F7" w:rsidP="006E05F7" w:rsidRDefault="006E05F7" w14:paraId="129E5D75" w14:textId="3ABF79E4">
            <w:pPr>
              <w:pStyle w:val="BodyText"/>
              <w:jc w:val="left"/>
            </w:pPr>
            <w:r w:rsidRPr="000A0B90">
              <w:t>On the Service Commencement Date and within two (2) Business Days of any update.</w:t>
            </w:r>
          </w:p>
        </w:tc>
      </w:tr>
      <w:tr w:rsidRPr="00342C65" w:rsidR="006E05F7" w:rsidTr="004A279D" w14:paraId="489B6E52" w14:textId="77777777">
        <w:tc>
          <w:tcPr>
            <w:tcW w:w="901" w:type="pct"/>
          </w:tcPr>
          <w:p w:rsidR="006E05F7" w:rsidP="00127082" w:rsidRDefault="006E05F7" w14:paraId="4D2A9FF2" w14:textId="3AF4AAE1">
            <w:pPr>
              <w:pStyle w:val="BodyText"/>
              <w:numPr>
                <w:ilvl w:val="0"/>
                <w:numId w:val="21"/>
              </w:numPr>
              <w:ind w:left="313" w:hanging="313"/>
              <w:jc w:val="left"/>
            </w:pPr>
            <w:r>
              <w:t>Safety Management System</w:t>
            </w:r>
          </w:p>
        </w:tc>
        <w:tc>
          <w:tcPr>
            <w:tcW w:w="999" w:type="pct"/>
          </w:tcPr>
          <w:p w:rsidR="006E05F7" w:rsidP="006E05F7" w:rsidRDefault="006E05F7" w14:paraId="7746ECE3" w14:textId="77777777">
            <w:pPr>
              <w:pStyle w:val="BodyText"/>
              <w:jc w:val="left"/>
            </w:pPr>
          </w:p>
        </w:tc>
        <w:tc>
          <w:tcPr>
            <w:tcW w:w="2073" w:type="pct"/>
          </w:tcPr>
          <w:p w:rsidR="006E05F7" w:rsidP="006E05F7" w:rsidRDefault="006E05F7" w14:paraId="104CCDB3" w14:textId="6CBAFE2D">
            <w:pPr>
              <w:pStyle w:val="BodyText"/>
              <w:jc w:val="left"/>
            </w:pPr>
            <w:r>
              <w:t>Procedures for the safe operation of each Vessel (to be kept up to date throughout the Contract Term) as required by the ISM Code and set out in the Safety Management System.</w:t>
            </w:r>
          </w:p>
        </w:tc>
        <w:tc>
          <w:tcPr>
            <w:tcW w:w="1027" w:type="pct"/>
          </w:tcPr>
          <w:p w:rsidR="006E05F7" w:rsidP="006E05F7" w:rsidRDefault="006E05F7" w14:paraId="6D7BFCBA" w14:textId="56CF4429">
            <w:pPr>
              <w:pStyle w:val="BodyText"/>
              <w:jc w:val="left"/>
            </w:pPr>
            <w:r w:rsidRPr="000A0B90">
              <w:t>On the Service Commencement Date and within two (2) Business Days of any update.</w:t>
            </w:r>
          </w:p>
        </w:tc>
      </w:tr>
      <w:tr w:rsidRPr="00342C65" w:rsidR="007F7C6E" w:rsidTr="004A279D" w14:paraId="61452766" w14:textId="77777777">
        <w:tc>
          <w:tcPr>
            <w:tcW w:w="901" w:type="pct"/>
          </w:tcPr>
          <w:p w:rsidR="007F7C6E" w:rsidP="007F7C6E" w:rsidRDefault="007F7C6E" w14:paraId="6044C5DB" w14:textId="7F51DF21">
            <w:pPr>
              <w:pStyle w:val="BodyText"/>
              <w:numPr>
                <w:ilvl w:val="0"/>
                <w:numId w:val="21"/>
              </w:numPr>
              <w:ind w:left="313" w:hanging="313"/>
              <w:jc w:val="left"/>
            </w:pPr>
            <w:r>
              <w:t>Document of Compliance</w:t>
            </w:r>
          </w:p>
        </w:tc>
        <w:tc>
          <w:tcPr>
            <w:tcW w:w="999" w:type="pct"/>
          </w:tcPr>
          <w:p w:rsidR="007F7C6E" w:rsidP="007F7C6E" w:rsidRDefault="007F7C6E" w14:paraId="49674769" w14:textId="309A9B6E">
            <w:pPr>
              <w:pStyle w:val="BodyText"/>
              <w:jc w:val="left"/>
            </w:pPr>
            <w:r>
              <w:t>Clause 6.2 (Services)</w:t>
            </w:r>
          </w:p>
        </w:tc>
        <w:tc>
          <w:tcPr>
            <w:tcW w:w="2073" w:type="pct"/>
          </w:tcPr>
          <w:p w:rsidR="007F7C6E" w:rsidP="007F7C6E" w:rsidRDefault="00B037F5" w14:paraId="493C959C" w14:textId="06989491">
            <w:pPr>
              <w:pStyle w:val="BodyText"/>
              <w:jc w:val="left"/>
              <w:rPr>
                <w:rFonts w:eastAsia="Times New Roman" w:cs="Arial"/>
                <w:lang w:eastAsia="en-GB"/>
              </w:rPr>
            </w:pPr>
            <w:r>
              <w:rPr>
                <w:rFonts w:eastAsia="Times New Roman" w:cs="Arial"/>
                <w:lang w:eastAsia="en-GB"/>
              </w:rPr>
              <w:t>The Document of Compliance i</w:t>
            </w:r>
            <w:r w:rsidRPr="001C245D" w:rsidR="007F7C6E">
              <w:rPr>
                <w:rFonts w:eastAsia="Times New Roman" w:cs="Arial"/>
                <w:lang w:eastAsia="en-GB"/>
              </w:rPr>
              <w:t>s</w:t>
            </w:r>
            <w:r w:rsidR="007F7C6E">
              <w:rPr>
                <w:rFonts w:eastAsia="Times New Roman" w:cs="Arial"/>
                <w:lang w:eastAsia="en-GB"/>
              </w:rPr>
              <w:t>s</w:t>
            </w:r>
            <w:r w:rsidRPr="001C245D" w:rsidR="007F7C6E">
              <w:rPr>
                <w:rFonts w:eastAsia="Times New Roman" w:cs="Arial"/>
                <w:lang w:eastAsia="en-GB"/>
              </w:rPr>
              <w:t xml:space="preserve">ued </w:t>
            </w:r>
            <w:r w:rsidR="007F7C6E">
              <w:rPr>
                <w:rFonts w:eastAsia="Times New Roman" w:cs="Arial"/>
                <w:lang w:eastAsia="en-GB"/>
              </w:rPr>
              <w:t xml:space="preserve">by the MCA </w:t>
            </w:r>
            <w:r w:rsidRPr="001C245D" w:rsidR="007F7C6E">
              <w:rPr>
                <w:rFonts w:eastAsia="Times New Roman" w:cs="Arial"/>
                <w:lang w:eastAsia="en-GB"/>
              </w:rPr>
              <w:t xml:space="preserve">to the Contractor in accordance with </w:t>
            </w:r>
            <w:r w:rsidR="007F7C6E">
              <w:rPr>
                <w:rFonts w:eastAsia="Times New Roman" w:cs="Arial"/>
                <w:lang w:eastAsia="en-GB"/>
              </w:rPr>
              <w:t>the ISM Code.</w:t>
            </w:r>
          </w:p>
          <w:p w:rsidR="007F7C6E" w:rsidP="007F7C6E" w:rsidRDefault="007F7C6E" w14:paraId="1A2B73B8" w14:textId="5B30C0A1">
            <w:pPr>
              <w:pStyle w:val="BodyText"/>
              <w:jc w:val="left"/>
            </w:pPr>
            <w:r>
              <w:rPr>
                <w:rFonts w:eastAsia="Times New Roman" w:cs="Arial"/>
                <w:lang w:eastAsia="en-GB"/>
              </w:rPr>
              <w:t xml:space="preserve">Contractor to provide in accordance with </w:t>
            </w:r>
            <w:r>
              <w:t>Clause 6.2 (Services).</w:t>
            </w:r>
          </w:p>
        </w:tc>
        <w:tc>
          <w:tcPr>
            <w:tcW w:w="1027" w:type="pct"/>
          </w:tcPr>
          <w:p w:rsidRPr="000A0B90" w:rsidR="007F7C6E" w:rsidP="007F7C6E" w:rsidRDefault="007F7C6E" w14:paraId="100314E4" w14:textId="66FF6EC8">
            <w:pPr>
              <w:pStyle w:val="BodyText"/>
              <w:jc w:val="left"/>
            </w:pPr>
            <w:r>
              <w:t xml:space="preserve">On </w:t>
            </w:r>
            <w:r w:rsidRPr="000A0B90">
              <w:t>Service Commencement Date</w:t>
            </w:r>
            <w:r>
              <w:t xml:space="preserve"> and within two (2) </w:t>
            </w:r>
            <w:r w:rsidRPr="000A0B90">
              <w:t>Business Days of any update.</w:t>
            </w:r>
          </w:p>
        </w:tc>
      </w:tr>
      <w:tr w:rsidRPr="00342C65" w:rsidR="007F7C6E" w:rsidTr="004A279D" w14:paraId="27351B89" w14:textId="77777777">
        <w:tc>
          <w:tcPr>
            <w:tcW w:w="901" w:type="pct"/>
          </w:tcPr>
          <w:p w:rsidR="007F7C6E" w:rsidP="007F7C6E" w:rsidRDefault="007F7C6E" w14:paraId="2B5C4ED2" w14:textId="08ECAA17">
            <w:pPr>
              <w:pStyle w:val="BodyText"/>
              <w:numPr>
                <w:ilvl w:val="0"/>
                <w:numId w:val="21"/>
              </w:numPr>
              <w:ind w:left="313" w:hanging="313"/>
              <w:jc w:val="left"/>
            </w:pPr>
            <w:r w:rsidRPr="001026D6">
              <w:t xml:space="preserve">Safety </w:t>
            </w:r>
            <w:r>
              <w:t>M</w:t>
            </w:r>
            <w:r w:rsidRPr="001026D6">
              <w:t>anagement Certificate</w:t>
            </w:r>
          </w:p>
        </w:tc>
        <w:tc>
          <w:tcPr>
            <w:tcW w:w="999" w:type="pct"/>
          </w:tcPr>
          <w:p w:rsidR="007F7C6E" w:rsidP="007F7C6E" w:rsidRDefault="007F7C6E" w14:paraId="0F4896C0" w14:textId="13ADF046">
            <w:pPr>
              <w:pStyle w:val="BodyText"/>
              <w:jc w:val="left"/>
            </w:pPr>
            <w:r>
              <w:t>Clause 6.2 (Services)</w:t>
            </w:r>
          </w:p>
        </w:tc>
        <w:tc>
          <w:tcPr>
            <w:tcW w:w="2073" w:type="pct"/>
          </w:tcPr>
          <w:p w:rsidR="007F7C6E" w:rsidP="007F7C6E" w:rsidRDefault="00B037F5" w14:paraId="28D3156B" w14:textId="1CD5E888">
            <w:pPr>
              <w:pStyle w:val="BodyText"/>
              <w:jc w:val="left"/>
            </w:pPr>
            <w:r>
              <w:t>The Safety Management System i</w:t>
            </w:r>
            <w:r w:rsidRPr="00757555" w:rsidR="007F7C6E">
              <w:t>ssued by the MCA to a Vessel which signifies that the Contractor and its shipboard management operate in accordance with the approved Safety Management System (1.1.6 of the ISM Code)</w:t>
            </w:r>
            <w:r w:rsidR="007F7C6E">
              <w:t>.</w:t>
            </w:r>
          </w:p>
          <w:p w:rsidR="007F7C6E" w:rsidP="007F7C6E" w:rsidRDefault="007F7C6E" w14:paraId="6ECBF52A" w14:textId="74E3AE75">
            <w:pPr>
              <w:pStyle w:val="BodyText"/>
              <w:jc w:val="left"/>
              <w:rPr>
                <w:rFonts w:eastAsia="Times New Roman" w:cs="Arial"/>
                <w:lang w:eastAsia="en-GB"/>
              </w:rPr>
            </w:pPr>
            <w:r>
              <w:rPr>
                <w:rFonts w:eastAsia="Times New Roman" w:cs="Arial"/>
                <w:lang w:eastAsia="en-GB"/>
              </w:rPr>
              <w:t xml:space="preserve">Contractor to provide in accordance with </w:t>
            </w:r>
            <w:r>
              <w:t>Clause 6.2 (Services).</w:t>
            </w:r>
          </w:p>
        </w:tc>
        <w:tc>
          <w:tcPr>
            <w:tcW w:w="1027" w:type="pct"/>
          </w:tcPr>
          <w:p w:rsidR="007F7C6E" w:rsidP="007F7C6E" w:rsidRDefault="007F7C6E" w14:paraId="2189314D" w14:textId="446C681A">
            <w:pPr>
              <w:pStyle w:val="BodyText"/>
              <w:jc w:val="left"/>
            </w:pPr>
            <w:r>
              <w:t xml:space="preserve">On </w:t>
            </w:r>
            <w:r w:rsidRPr="000A0B90">
              <w:t>Service Commencement Date</w:t>
            </w:r>
            <w:r>
              <w:t xml:space="preserve"> and within two (2) </w:t>
            </w:r>
            <w:r w:rsidRPr="000A0B90">
              <w:t>Business Days of any update</w:t>
            </w:r>
            <w:r w:rsidR="00084BE9">
              <w:t>.</w:t>
            </w:r>
          </w:p>
        </w:tc>
      </w:tr>
      <w:tr w:rsidRPr="00342C65" w:rsidR="00C42F0E" w:rsidTr="004A279D" w14:paraId="2E982ACF" w14:textId="77777777">
        <w:tc>
          <w:tcPr>
            <w:tcW w:w="901" w:type="pct"/>
          </w:tcPr>
          <w:p w:rsidR="00C42F0E" w:rsidP="00127082" w:rsidRDefault="00C42F0E" w14:paraId="263BBEA0" w14:textId="5DCD2915">
            <w:pPr>
              <w:pStyle w:val="BodyText"/>
              <w:numPr>
                <w:ilvl w:val="0"/>
                <w:numId w:val="21"/>
              </w:numPr>
              <w:ind w:left="313" w:hanging="313"/>
              <w:jc w:val="left"/>
            </w:pPr>
            <w:r>
              <w:t xml:space="preserve">Third Party Contract </w:t>
            </w:r>
          </w:p>
        </w:tc>
        <w:tc>
          <w:tcPr>
            <w:tcW w:w="999" w:type="pct"/>
          </w:tcPr>
          <w:p w:rsidR="00C42F0E" w:rsidP="00C42F0E" w:rsidRDefault="00D47062" w14:paraId="5D0CBE64" w14:textId="5AFF97D8">
            <w:pPr>
              <w:pStyle w:val="BodyText"/>
              <w:jc w:val="left"/>
            </w:pPr>
            <w:r>
              <w:t>Clauses 33 (</w:t>
            </w:r>
            <w:r w:rsidR="00A35724">
              <w:t>Sub-Contracting</w:t>
            </w:r>
            <w:r>
              <w:t>) and 34 (</w:t>
            </w:r>
            <w:r w:rsidR="00A35724">
              <w:t>Key Sub-Contracts</w:t>
            </w:r>
            <w:r>
              <w:t>)</w:t>
            </w:r>
          </w:p>
        </w:tc>
        <w:tc>
          <w:tcPr>
            <w:tcW w:w="2073" w:type="pct"/>
          </w:tcPr>
          <w:p w:rsidR="00C42F0E" w:rsidRDefault="00A35724" w14:paraId="4CF0D9FE" w14:textId="1FF6A76F">
            <w:pPr>
              <w:pStyle w:val="BodyText"/>
              <w:jc w:val="left"/>
            </w:pPr>
            <w:r>
              <w:t>Details of all Third Party Contracts</w:t>
            </w:r>
          </w:p>
        </w:tc>
        <w:tc>
          <w:tcPr>
            <w:tcW w:w="1027" w:type="pct"/>
          </w:tcPr>
          <w:p w:rsidRPr="000A0B90" w:rsidR="00C42F0E" w:rsidP="00C42F0E" w:rsidRDefault="00A35724" w14:paraId="4EE7D30B" w14:textId="0C4DA541">
            <w:pPr>
              <w:pStyle w:val="BodyText"/>
              <w:jc w:val="left"/>
            </w:pPr>
            <w:r w:rsidRPr="000A0B90">
              <w:t>On the Service Commencement Date and within two (2) Business Days of any update.</w:t>
            </w:r>
          </w:p>
        </w:tc>
      </w:tr>
      <w:tr w:rsidRPr="00342C65" w:rsidR="00C42F0E" w:rsidTr="004A279D" w14:paraId="72CAE60B" w14:textId="77777777">
        <w:tc>
          <w:tcPr>
            <w:tcW w:w="901" w:type="pct"/>
          </w:tcPr>
          <w:p w:rsidR="00C42F0E" w:rsidP="00C42F0E" w:rsidRDefault="00C42F0E" w14:paraId="5C74B2B3" w14:textId="56F53040">
            <w:pPr>
              <w:pStyle w:val="BodyText"/>
              <w:numPr>
                <w:ilvl w:val="0"/>
                <w:numId w:val="21"/>
              </w:numPr>
              <w:ind w:left="313" w:hanging="313"/>
              <w:jc w:val="left"/>
            </w:pPr>
            <w:r w:rsidRPr="00C42F0E">
              <w:rPr>
                <w:rFonts w:cs="Arial"/>
                <w:bCs/>
              </w:rPr>
              <w:t>Publishable Performance Information</w:t>
            </w:r>
          </w:p>
        </w:tc>
        <w:tc>
          <w:tcPr>
            <w:tcW w:w="999" w:type="pct"/>
          </w:tcPr>
          <w:p w:rsidR="00C42F0E" w:rsidRDefault="00C42F0E" w14:paraId="03F859DE" w14:textId="16BD9D5B">
            <w:pPr>
              <w:pStyle w:val="BodyText"/>
              <w:jc w:val="left"/>
            </w:pPr>
            <w:r>
              <w:t>Clause 41 (Transparency and Freedom o</w:t>
            </w:r>
            <w:r w:rsidRPr="00C42F0E">
              <w:t>f Information</w:t>
            </w:r>
            <w:r>
              <w:t xml:space="preserve">) and </w:t>
            </w:r>
            <w:r w:rsidRPr="003210C1">
              <w:t>Schedule 6 (Governance, Management Information, Reports, Records and Audit)</w:t>
            </w:r>
          </w:p>
        </w:tc>
        <w:tc>
          <w:tcPr>
            <w:tcW w:w="2073" w:type="pct"/>
          </w:tcPr>
          <w:p w:rsidR="00C42F0E" w:rsidP="00127082" w:rsidRDefault="00D47062" w14:paraId="699C4F25" w14:textId="6E83D361">
            <w:pPr>
              <w:pStyle w:val="Simple3"/>
              <w:numPr>
                <w:ilvl w:val="0"/>
                <w:numId w:val="0"/>
              </w:numPr>
            </w:pPr>
            <w:r>
              <w:t>The information required by Clause 41 (Transparency and Freedom o</w:t>
            </w:r>
            <w:r w:rsidRPr="00C42F0E">
              <w:t>f Information</w:t>
            </w:r>
            <w:r>
              <w:t xml:space="preserve">) and </w:t>
            </w:r>
            <w:r w:rsidRPr="003210C1">
              <w:t>Schedule 6 (Governance, Management Information, Reports, Records and Audit)</w:t>
            </w:r>
            <w:r>
              <w:t>, in an appropriate format appropriate for publishing.</w:t>
            </w:r>
          </w:p>
        </w:tc>
        <w:tc>
          <w:tcPr>
            <w:tcW w:w="1027" w:type="pct"/>
          </w:tcPr>
          <w:p w:rsidRPr="000A0B90" w:rsidR="00C42F0E" w:rsidP="00C42F0E" w:rsidRDefault="005E4C17" w14:paraId="2C9532CE" w14:textId="0DC8FF2C">
            <w:pPr>
              <w:pStyle w:val="BodyText"/>
              <w:jc w:val="left"/>
            </w:pPr>
            <w:r w:rsidRPr="000A0B90">
              <w:t>On the Service Commencement Date and within two (2) Business Days of any update.</w:t>
            </w:r>
          </w:p>
        </w:tc>
      </w:tr>
      <w:tr w:rsidRPr="00342C65" w:rsidR="00C42F0E" w:rsidTr="004A279D" w14:paraId="74020259" w14:textId="77777777">
        <w:tc>
          <w:tcPr>
            <w:tcW w:w="901" w:type="pct"/>
          </w:tcPr>
          <w:p w:rsidRPr="00C42F0E" w:rsidR="00C42F0E" w:rsidP="004C16CE" w:rsidRDefault="00C42F0E" w14:paraId="743A2D94" w14:textId="0A27534F">
            <w:pPr>
              <w:pStyle w:val="BodyText"/>
              <w:numPr>
                <w:ilvl w:val="0"/>
                <w:numId w:val="21"/>
              </w:numPr>
              <w:ind w:left="313" w:hanging="313"/>
              <w:jc w:val="left"/>
              <w:rPr>
                <w:rFonts w:cs="Arial"/>
                <w:bCs/>
              </w:rPr>
            </w:pPr>
            <w:r>
              <w:rPr>
                <w:rFonts w:cs="Arial"/>
                <w:bCs/>
              </w:rPr>
              <w:t xml:space="preserve">Sustainability </w:t>
            </w:r>
            <w:r w:rsidR="004C16CE">
              <w:rPr>
                <w:rFonts w:cs="Arial"/>
                <w:bCs/>
              </w:rPr>
              <w:t>r</w:t>
            </w:r>
            <w:r>
              <w:rPr>
                <w:rFonts w:cs="Arial"/>
                <w:bCs/>
              </w:rPr>
              <w:t>eports</w:t>
            </w:r>
          </w:p>
        </w:tc>
        <w:tc>
          <w:tcPr>
            <w:tcW w:w="999" w:type="pct"/>
          </w:tcPr>
          <w:p w:rsidR="00C42F0E" w:rsidP="004C16CE" w:rsidRDefault="00C42F0E" w14:paraId="76F36ADE" w14:textId="75754BB1">
            <w:pPr>
              <w:pStyle w:val="BodyText"/>
              <w:jc w:val="left"/>
            </w:pPr>
            <w:r w:rsidRPr="003210C1">
              <w:t xml:space="preserve">Schedule </w:t>
            </w:r>
            <w:r w:rsidR="004C16CE">
              <w:t>9 (Standards)</w:t>
            </w:r>
          </w:p>
        </w:tc>
        <w:tc>
          <w:tcPr>
            <w:tcW w:w="2073" w:type="pct"/>
          </w:tcPr>
          <w:p w:rsidRPr="00C42F0E" w:rsidR="00C42F0E" w:rsidP="004C16CE" w:rsidRDefault="004C16CE" w14:paraId="7357BA43" w14:textId="493589D2">
            <w:pPr>
              <w:pStyle w:val="Simple3"/>
              <w:numPr>
                <w:ilvl w:val="0"/>
                <w:numId w:val="0"/>
              </w:numPr>
              <w:rPr>
                <w:rFonts w:cs="Arial"/>
                <w:bCs/>
              </w:rPr>
            </w:pPr>
            <w:r>
              <w:rPr>
                <w:rFonts w:cs="Arial"/>
                <w:bCs/>
              </w:rPr>
              <w:t>Ad hoc</w:t>
            </w:r>
            <w:r w:rsidRPr="00AB4001" w:rsidR="00C42F0E">
              <w:rPr>
                <w:rFonts w:cs="Arial"/>
                <w:bCs/>
              </w:rPr>
              <w:t xml:space="preserve"> sustainability reports as</w:t>
            </w:r>
            <w:r>
              <w:rPr>
                <w:rFonts w:cs="Arial"/>
                <w:bCs/>
              </w:rPr>
              <w:t xml:space="preserve"> may be required in accordance with </w:t>
            </w:r>
            <w:r w:rsidRPr="003210C1">
              <w:t xml:space="preserve">Schedule </w:t>
            </w:r>
            <w:r>
              <w:t>9 (Standards)</w:t>
            </w:r>
            <w:r w:rsidR="00F074EA">
              <w:t>.</w:t>
            </w:r>
          </w:p>
        </w:tc>
        <w:tc>
          <w:tcPr>
            <w:tcW w:w="1027" w:type="pct"/>
          </w:tcPr>
          <w:p w:rsidRPr="000A0B90" w:rsidR="00C42F0E" w:rsidP="004C16CE" w:rsidRDefault="005E4C17" w14:paraId="079180AC" w14:textId="36695FE8">
            <w:pPr>
              <w:pStyle w:val="BodyText"/>
              <w:jc w:val="left"/>
            </w:pPr>
            <w:r>
              <w:t xml:space="preserve">As soon as available in accordance with the timeframes </w:t>
            </w:r>
            <w:r w:rsidR="004C16CE">
              <w:t>specified by the Authority</w:t>
            </w:r>
            <w:r>
              <w:t>.</w:t>
            </w:r>
          </w:p>
        </w:tc>
      </w:tr>
      <w:tr w:rsidRPr="00342C65" w:rsidR="00C42F0E" w:rsidTr="004A279D" w14:paraId="72746881" w14:textId="77777777">
        <w:tc>
          <w:tcPr>
            <w:tcW w:w="901" w:type="pct"/>
          </w:tcPr>
          <w:p w:rsidR="00C42F0E" w:rsidP="00C42F0E" w:rsidRDefault="00C42F0E" w14:paraId="070A4B6D" w14:textId="5BA264AB">
            <w:pPr>
              <w:pStyle w:val="BodyText"/>
              <w:numPr>
                <w:ilvl w:val="0"/>
                <w:numId w:val="21"/>
              </w:numPr>
              <w:ind w:left="313" w:hanging="313"/>
              <w:jc w:val="left"/>
              <w:rPr>
                <w:rFonts w:cs="Arial"/>
                <w:bCs/>
              </w:rPr>
            </w:pPr>
            <w:r w:rsidRPr="004C167B">
              <w:rPr>
                <w:bCs/>
              </w:rPr>
              <w:t>Supply Chain Transparency Reports</w:t>
            </w:r>
          </w:p>
        </w:tc>
        <w:tc>
          <w:tcPr>
            <w:tcW w:w="999" w:type="pct"/>
          </w:tcPr>
          <w:p w:rsidR="00C42F0E" w:rsidP="00C42F0E" w:rsidRDefault="00C42F0E" w14:paraId="30FC40E2" w14:textId="56581D94">
            <w:pPr>
              <w:pStyle w:val="BodyText"/>
              <w:jc w:val="left"/>
            </w:pPr>
            <w:r w:rsidRPr="003210C1">
              <w:t>Schedule 6 (Governance, Management Information, Reports, Records and Audit)</w:t>
            </w:r>
          </w:p>
        </w:tc>
        <w:tc>
          <w:tcPr>
            <w:tcW w:w="2073" w:type="pct"/>
          </w:tcPr>
          <w:p w:rsidRPr="00C42F0E" w:rsidR="00C42F0E" w:rsidP="004C16CE" w:rsidRDefault="005E4C17" w14:paraId="5851DEFD" w14:textId="60649B8C">
            <w:pPr>
              <w:pStyle w:val="Simple3"/>
              <w:numPr>
                <w:ilvl w:val="0"/>
                <w:numId w:val="0"/>
              </w:numPr>
              <w:rPr>
                <w:rFonts w:cs="Arial"/>
                <w:bCs/>
              </w:rPr>
            </w:pPr>
            <w:r>
              <w:rPr>
                <w:rFonts w:cs="Arial"/>
                <w:bCs/>
              </w:rPr>
              <w:t>The information required as set out in Part B (Other Reports and Information) of this Schedule 6 (</w:t>
            </w:r>
            <w:r w:rsidRPr="003210C1">
              <w:t>Governance, Management Information, Reports, Records and Audit)</w:t>
            </w:r>
          </w:p>
        </w:tc>
        <w:tc>
          <w:tcPr>
            <w:tcW w:w="1027" w:type="pct"/>
          </w:tcPr>
          <w:p w:rsidRPr="000A0B90" w:rsidR="00C42F0E" w:rsidP="00C42F0E" w:rsidRDefault="00A43654" w14:paraId="57E47549" w14:textId="491B6AE1">
            <w:pPr>
              <w:pStyle w:val="BodyText"/>
              <w:jc w:val="left"/>
            </w:pPr>
            <w:r>
              <w:t xml:space="preserve">As soon as available in accordance with the timeframes set out </w:t>
            </w:r>
            <w:r>
              <w:rPr>
                <w:rFonts w:cs="Arial"/>
                <w:bCs/>
              </w:rPr>
              <w:t>in Part B (Other Reports and Information) of this Schedule 6 (</w:t>
            </w:r>
            <w:r w:rsidRPr="003210C1">
              <w:t>Governance, Management Information, Reports, Records and Audit)</w:t>
            </w:r>
            <w:r w:rsidR="003022CB">
              <w:t>.</w:t>
            </w:r>
          </w:p>
        </w:tc>
      </w:tr>
      <w:tr w:rsidRPr="00342C65" w:rsidR="006E6116" w:rsidTr="004A279D" w14:paraId="1AF3D45B" w14:textId="77777777">
        <w:tc>
          <w:tcPr>
            <w:tcW w:w="901" w:type="pct"/>
          </w:tcPr>
          <w:p w:rsidRPr="004C167B" w:rsidR="006E6116" w:rsidP="006E6116" w:rsidRDefault="007F7C6E" w14:paraId="4327F608" w14:textId="5173F6F0">
            <w:pPr>
              <w:pStyle w:val="BodyText"/>
              <w:numPr>
                <w:ilvl w:val="0"/>
                <w:numId w:val="21"/>
              </w:numPr>
              <w:ind w:left="313" w:hanging="313"/>
              <w:jc w:val="left"/>
              <w:rPr>
                <w:bCs/>
              </w:rPr>
            </w:pPr>
            <w:r>
              <w:rPr>
                <w:bCs/>
              </w:rPr>
              <w:t>P</w:t>
            </w:r>
            <w:r w:rsidR="00AB4C11">
              <w:rPr>
                <w:bCs/>
              </w:rPr>
              <w:t>ublic Store Account information</w:t>
            </w:r>
          </w:p>
        </w:tc>
        <w:tc>
          <w:tcPr>
            <w:tcW w:w="999" w:type="pct"/>
          </w:tcPr>
          <w:p w:rsidRPr="003210C1" w:rsidR="006E6116" w:rsidP="006E6116" w:rsidRDefault="006E6116" w14:paraId="6F165743" w14:textId="0A5845D3">
            <w:pPr>
              <w:pStyle w:val="BodyText"/>
              <w:jc w:val="left"/>
            </w:pPr>
            <w:r>
              <w:t>Clause 17 (Accounting for GFE)</w:t>
            </w:r>
          </w:p>
        </w:tc>
        <w:tc>
          <w:tcPr>
            <w:tcW w:w="2073" w:type="pct"/>
          </w:tcPr>
          <w:p w:rsidR="006E6116" w:rsidP="006E6116" w:rsidRDefault="006E6116" w14:paraId="471E94AF" w14:textId="777B63F3">
            <w:pPr>
              <w:pStyle w:val="Simple3"/>
              <w:numPr>
                <w:ilvl w:val="0"/>
                <w:numId w:val="0"/>
              </w:numPr>
              <w:rPr>
                <w:rFonts w:cs="Arial"/>
                <w:bCs/>
              </w:rPr>
            </w:pPr>
            <w:r>
              <w:rPr>
                <w:rFonts w:cs="Arial"/>
                <w:bCs/>
              </w:rPr>
              <w:t>The information required in accordance with C</w:t>
            </w:r>
            <w:r>
              <w:t>lause 17 (Accounting for GFE).</w:t>
            </w:r>
          </w:p>
        </w:tc>
        <w:tc>
          <w:tcPr>
            <w:tcW w:w="1027" w:type="pct"/>
          </w:tcPr>
          <w:p w:rsidR="006E6116" w:rsidP="00F074EA" w:rsidRDefault="006E6116" w14:paraId="7B3AD46A" w14:textId="0A993CAA">
            <w:pPr>
              <w:pStyle w:val="BodyText"/>
              <w:jc w:val="left"/>
            </w:pPr>
            <w:r>
              <w:t>As soon as available</w:t>
            </w:r>
            <w:r w:rsidR="00F074EA">
              <w:t xml:space="preserve"> and as updated in accordance with </w:t>
            </w:r>
            <w:r w:rsidRPr="007E46BA" w:rsidR="00F074EA">
              <w:t>DEFSTAN 05-099</w:t>
            </w:r>
            <w:r>
              <w:t>.</w:t>
            </w:r>
          </w:p>
        </w:tc>
      </w:tr>
      <w:tr w:rsidRPr="00342C65" w:rsidR="004B42E4" w:rsidTr="004A279D" w14:paraId="53205FC4" w14:textId="77777777">
        <w:tc>
          <w:tcPr>
            <w:tcW w:w="901" w:type="pct"/>
          </w:tcPr>
          <w:p w:rsidR="004B42E4" w:rsidP="006E6116" w:rsidRDefault="004B42E4" w14:paraId="18286AD6" w14:textId="433704FF">
            <w:pPr>
              <w:pStyle w:val="BodyText"/>
              <w:numPr>
                <w:ilvl w:val="0"/>
                <w:numId w:val="21"/>
              </w:numPr>
              <w:ind w:left="313" w:hanging="313"/>
              <w:jc w:val="left"/>
              <w:rPr>
                <w:bCs/>
              </w:rPr>
            </w:pPr>
            <w:r>
              <w:rPr>
                <w:bCs/>
              </w:rPr>
              <w:t>PPT records</w:t>
            </w:r>
          </w:p>
        </w:tc>
        <w:tc>
          <w:tcPr>
            <w:tcW w:w="999" w:type="pct"/>
          </w:tcPr>
          <w:p w:rsidR="004B42E4" w:rsidP="006E6116" w:rsidRDefault="004B42E4" w14:paraId="61975EE5" w14:textId="0D92A052">
            <w:pPr>
              <w:pStyle w:val="BodyText"/>
              <w:jc w:val="left"/>
            </w:pPr>
            <w:r>
              <w:t>Clause 21 (</w:t>
            </w:r>
            <w:r w:rsidRPr="00356215">
              <w:t>Value Added Tax</w:t>
            </w:r>
            <w:r>
              <w:t xml:space="preserve"> and Other Taxes)</w:t>
            </w:r>
          </w:p>
        </w:tc>
        <w:tc>
          <w:tcPr>
            <w:tcW w:w="2073" w:type="pct"/>
          </w:tcPr>
          <w:p w:rsidR="004B42E4" w:rsidP="006E6116" w:rsidRDefault="004B42E4" w14:paraId="07205827" w14:textId="3DAC53AF">
            <w:pPr>
              <w:pStyle w:val="Simple3"/>
              <w:numPr>
                <w:ilvl w:val="0"/>
                <w:numId w:val="0"/>
              </w:numPr>
              <w:rPr>
                <w:rFonts w:cs="Arial"/>
                <w:bCs/>
              </w:rPr>
            </w:pPr>
            <w:r>
              <w:rPr>
                <w:rFonts w:cs="Arial"/>
                <w:bCs/>
              </w:rPr>
              <w:t>All records relating to PPT for the Contractor and Sub-Contractors.</w:t>
            </w:r>
          </w:p>
        </w:tc>
        <w:tc>
          <w:tcPr>
            <w:tcW w:w="1027" w:type="pct"/>
          </w:tcPr>
          <w:p w:rsidR="004B42E4" w:rsidP="006E6116" w:rsidRDefault="004B42E4" w14:paraId="7EE2854A" w14:textId="5C59D576">
            <w:pPr>
              <w:pStyle w:val="BodyText"/>
              <w:jc w:val="left"/>
            </w:pPr>
            <w:r>
              <w:t>As soon as available.</w:t>
            </w:r>
          </w:p>
        </w:tc>
      </w:tr>
    </w:tbl>
    <w:p w:rsidR="008A20BD" w:rsidP="008A20BD" w:rsidRDefault="008A20BD" w14:paraId="0DE41848" w14:textId="77777777">
      <w:pPr>
        <w:pStyle w:val="BodyText"/>
        <w:rPr>
          <w:highlight w:val="yellow"/>
        </w:rPr>
      </w:pPr>
    </w:p>
    <w:p w:rsidR="00081BEB" w:rsidP="008A20BD" w:rsidRDefault="00081BEB" w14:paraId="28041741" w14:textId="77777777">
      <w:pPr>
        <w:pStyle w:val="BodyText"/>
        <w:rPr>
          <w:highlight w:val="yellow"/>
        </w:rPr>
      </w:pPr>
    </w:p>
    <w:p w:rsidR="00081BEB" w:rsidRDefault="00081BEB" w14:paraId="3FFCE019" w14:textId="77777777">
      <w:pPr>
        <w:rPr>
          <w:highlight w:val="yellow"/>
        </w:rPr>
      </w:pPr>
      <w:r>
        <w:rPr>
          <w:highlight w:val="yellow"/>
        </w:rPr>
        <w:br w:type="page"/>
      </w:r>
    </w:p>
    <w:p w:rsidR="0069195B" w:rsidP="0069195B" w:rsidRDefault="0069195B" w14:paraId="632DF480" w14:textId="77777777">
      <w:pPr>
        <w:pStyle w:val="Schedule1"/>
        <w:spacing w:after="0"/>
      </w:pPr>
      <w:r>
        <w:t xml:space="preserve">APPENDIX </w:t>
      </w:r>
      <w:r w:rsidR="000B12B0">
        <w:t>2</w:t>
      </w:r>
    </w:p>
    <w:p w:rsidR="0069195B" w:rsidP="0069195B" w:rsidRDefault="001E628F" w14:paraId="7509AF09" w14:textId="77777777">
      <w:pPr>
        <w:pStyle w:val="BodyText"/>
        <w:jc w:val="center"/>
        <w:rPr>
          <w:b/>
        </w:rPr>
      </w:pPr>
      <w:r w:rsidRPr="001E628F">
        <w:rPr>
          <w:b/>
          <w:bCs/>
        </w:rPr>
        <w:t>PUBLISHABLE PERFORMANCE INFORMATION – KEY PERFORMANCE INDICATOR DATA REPORT</w:t>
      </w:r>
      <w:r>
        <w:rPr>
          <w:b/>
        </w:rPr>
        <w:t xml:space="preserve"> </w:t>
      </w:r>
      <w:r w:rsidR="0069195B">
        <w:rPr>
          <w:b/>
        </w:rPr>
        <w:t>TEMPLATE</w:t>
      </w:r>
    </w:p>
    <w:p w:rsidR="0069195B" w:rsidP="008A20BD" w:rsidRDefault="0069195B" w14:paraId="2878FC66" w14:textId="77777777">
      <w:pPr>
        <w:pStyle w:val="BodyText"/>
        <w:rPr>
          <w:highlight w:val="yellow"/>
        </w:rPr>
      </w:pPr>
    </w:p>
    <w:tbl>
      <w:tblPr>
        <w:tblStyle w:val="TableGrid"/>
        <w:tblW w:w="0" w:type="auto"/>
        <w:tblLook w:val="04A0" w:firstRow="1" w:lastRow="0" w:firstColumn="1" w:lastColumn="0" w:noHBand="0" w:noVBand="1"/>
      </w:tblPr>
      <w:tblGrid>
        <w:gridCol w:w="2405"/>
        <w:gridCol w:w="2126"/>
        <w:gridCol w:w="1843"/>
        <w:gridCol w:w="1595"/>
        <w:gridCol w:w="2799"/>
        <w:gridCol w:w="993"/>
        <w:gridCol w:w="2187"/>
      </w:tblGrid>
      <w:tr w:rsidR="001E628F" w:rsidTr="3A17B66E" w14:paraId="44CBDF56" w14:textId="77777777">
        <w:tc>
          <w:tcPr>
            <w:tcW w:w="2405" w:type="dxa"/>
            <w:tcMar/>
          </w:tcPr>
          <w:p w:rsidRPr="001E628F" w:rsidR="001E628F" w:rsidP="001E628F" w:rsidRDefault="001E628F" w14:paraId="44779857" w14:textId="77777777">
            <w:pPr>
              <w:pStyle w:val="BodyText"/>
              <w:jc w:val="center"/>
              <w:rPr>
                <w:b/>
              </w:rPr>
            </w:pPr>
            <w:r w:rsidRPr="001E628F">
              <w:rPr>
                <w:b/>
              </w:rPr>
              <w:t>KPI Description</w:t>
            </w:r>
            <w:r>
              <w:rPr>
                <w:b/>
              </w:rPr>
              <w:t>*</w:t>
            </w:r>
          </w:p>
        </w:tc>
        <w:tc>
          <w:tcPr>
            <w:tcW w:w="2126" w:type="dxa"/>
            <w:tcMar/>
          </w:tcPr>
          <w:p w:rsidRPr="001E628F" w:rsidR="001E628F" w:rsidP="001E628F" w:rsidRDefault="001E628F" w14:paraId="3B1C1FCA" w14:textId="77777777">
            <w:pPr>
              <w:pStyle w:val="BodyText"/>
              <w:jc w:val="center"/>
              <w:rPr>
                <w:b/>
              </w:rPr>
            </w:pPr>
            <w:r w:rsidRPr="001E628F">
              <w:rPr>
                <w:b/>
              </w:rPr>
              <w:t>Rating Thresholds</w:t>
            </w:r>
          </w:p>
        </w:tc>
        <w:tc>
          <w:tcPr>
            <w:tcW w:w="1843" w:type="dxa"/>
            <w:tcMar/>
          </w:tcPr>
          <w:p w:rsidRPr="001E628F" w:rsidR="001E628F" w:rsidP="001E628F" w:rsidRDefault="001E628F" w14:paraId="40FC6E96" w14:textId="77777777">
            <w:pPr>
              <w:pStyle w:val="BodyText"/>
              <w:jc w:val="center"/>
              <w:rPr>
                <w:b/>
              </w:rPr>
            </w:pPr>
            <w:r w:rsidRPr="001E628F">
              <w:rPr>
                <w:b/>
              </w:rPr>
              <w:t>Frequency of Measurement</w:t>
            </w:r>
          </w:p>
        </w:tc>
        <w:tc>
          <w:tcPr>
            <w:tcW w:w="1595" w:type="dxa"/>
            <w:tcMar/>
          </w:tcPr>
          <w:p w:rsidRPr="001E628F" w:rsidR="001E628F" w:rsidP="001E628F" w:rsidRDefault="001E628F" w14:paraId="2F2B410B" w14:textId="77777777">
            <w:pPr>
              <w:pStyle w:val="BodyText"/>
              <w:jc w:val="center"/>
              <w:rPr>
                <w:b/>
              </w:rPr>
            </w:pPr>
            <w:r w:rsidRPr="001E628F">
              <w:rPr>
                <w:b/>
              </w:rPr>
              <w:t>Quarter and Year</w:t>
            </w:r>
            <w:r>
              <w:rPr>
                <w:b/>
              </w:rPr>
              <w:t>*</w:t>
            </w:r>
          </w:p>
        </w:tc>
        <w:tc>
          <w:tcPr>
            <w:tcW w:w="2799" w:type="dxa"/>
            <w:tcMar/>
          </w:tcPr>
          <w:p w:rsidRPr="001E628F" w:rsidR="001E628F" w:rsidP="001E628F" w:rsidRDefault="001E628F" w14:paraId="296B0097" w14:textId="77777777">
            <w:pPr>
              <w:pStyle w:val="BodyText"/>
              <w:jc w:val="center"/>
              <w:rPr>
                <w:b/>
              </w:rPr>
            </w:pPr>
            <w:r w:rsidRPr="001E628F">
              <w:rPr>
                <w:b/>
              </w:rPr>
              <w:t>Average for Reporting Period</w:t>
            </w:r>
          </w:p>
        </w:tc>
        <w:tc>
          <w:tcPr>
            <w:tcW w:w="993" w:type="dxa"/>
            <w:tcMar/>
          </w:tcPr>
          <w:p w:rsidRPr="001E628F" w:rsidR="001E628F" w:rsidP="001E628F" w:rsidRDefault="001E628F" w14:paraId="0902602C" w14:textId="77777777">
            <w:pPr>
              <w:pStyle w:val="BodyText"/>
              <w:jc w:val="center"/>
              <w:rPr>
                <w:b/>
              </w:rPr>
            </w:pPr>
            <w:r w:rsidRPr="001E628F">
              <w:rPr>
                <w:b/>
              </w:rPr>
              <w:t>Rating</w:t>
            </w:r>
            <w:r>
              <w:rPr>
                <w:b/>
              </w:rPr>
              <w:t>*</w:t>
            </w:r>
          </w:p>
        </w:tc>
        <w:tc>
          <w:tcPr>
            <w:tcW w:w="2187" w:type="dxa"/>
            <w:tcMar/>
          </w:tcPr>
          <w:p w:rsidRPr="001E628F" w:rsidR="001E628F" w:rsidP="001E628F" w:rsidRDefault="001E628F" w14:paraId="3B303E1E" w14:textId="77777777">
            <w:pPr>
              <w:pStyle w:val="BodyText"/>
              <w:jc w:val="center"/>
              <w:rPr>
                <w:b/>
              </w:rPr>
            </w:pPr>
            <w:r w:rsidRPr="001E628F">
              <w:rPr>
                <w:b/>
              </w:rPr>
              <w:t>Comment</w:t>
            </w:r>
            <w:r>
              <w:rPr>
                <w:b/>
              </w:rPr>
              <w:t>*</w:t>
            </w:r>
          </w:p>
        </w:tc>
      </w:tr>
      <w:tr w:rsidR="00C53049" w:rsidTr="3A17B66E" w14:paraId="3596FFBF" w14:textId="77777777">
        <w:tc>
          <w:tcPr>
            <w:tcW w:w="2405" w:type="dxa"/>
            <w:tcMar/>
          </w:tcPr>
          <w:p w:rsidR="00C53049" w:rsidP="00C53049" w:rsidRDefault="006E5AE7" w14:paraId="5C43C94C" w14:textId="6B31705A">
            <w:pPr>
              <w:pStyle w:val="BodyText"/>
              <w:rPr>
                <w:highlight w:val="yellow"/>
              </w:rPr>
            </w:pPr>
            <w:r>
              <w:t>Services Availability</w:t>
            </w:r>
            <w:r w:rsidRPr="003F1293" w:rsidR="00C53049">
              <w:t xml:space="preserve"> - i.e. that the contractor has delivered the services On Time In Full</w:t>
            </w:r>
          </w:p>
        </w:tc>
        <w:tc>
          <w:tcPr>
            <w:tcW w:w="2126" w:type="dxa"/>
            <w:tcMar/>
          </w:tcPr>
          <w:p w:rsidR="00C53049" w:rsidP="00C53049" w:rsidRDefault="00C53049" w14:paraId="10A372EF" w14:textId="77777777">
            <w:pPr>
              <w:pStyle w:val="BodyText"/>
            </w:pPr>
            <w:r w:rsidRPr="003F1293">
              <w:t>Good – On Time In Full</w:t>
            </w:r>
          </w:p>
          <w:p w:rsidR="00C53049" w:rsidP="00C53049" w:rsidRDefault="00C53049" w14:paraId="6A540D3A" w14:textId="697D04DA">
            <w:pPr>
              <w:pStyle w:val="BodyText"/>
              <w:rPr>
                <w:highlight w:val="yellow"/>
              </w:rPr>
            </w:pPr>
            <w:r>
              <w:t>Overall performance across all KPIs is monitored at an aggregate level</w:t>
            </w:r>
          </w:p>
        </w:tc>
        <w:tc>
          <w:tcPr>
            <w:tcW w:w="1843" w:type="dxa"/>
            <w:tcMar/>
          </w:tcPr>
          <w:p w:rsidR="00C53049" w:rsidP="00C53049" w:rsidRDefault="00C53049" w14:paraId="358C6853" w14:textId="7C300AB7">
            <w:pPr>
              <w:pStyle w:val="BodyText"/>
              <w:rPr>
                <w:highlight w:val="yellow"/>
              </w:rPr>
            </w:pPr>
            <w:r w:rsidRPr="003F1293">
              <w:t>Monthly</w:t>
            </w:r>
          </w:p>
        </w:tc>
        <w:tc>
          <w:tcPr>
            <w:tcW w:w="1595" w:type="dxa"/>
            <w:tcMar/>
          </w:tcPr>
          <w:p w:rsidR="00C53049" w:rsidP="00C53049" w:rsidRDefault="00C53049" w14:paraId="668B1476" w14:textId="77777777">
            <w:pPr>
              <w:pStyle w:val="BodyText"/>
              <w:rPr>
                <w:highlight w:val="yellow"/>
              </w:rPr>
            </w:pPr>
          </w:p>
        </w:tc>
        <w:tc>
          <w:tcPr>
            <w:tcW w:w="2799" w:type="dxa"/>
            <w:tcMar/>
          </w:tcPr>
          <w:p w:rsidR="00C53049" w:rsidP="00C53049" w:rsidRDefault="00C53049" w14:paraId="009CEAAF" w14:textId="77777777">
            <w:pPr>
              <w:pStyle w:val="BodyText"/>
              <w:rPr>
                <w:highlight w:val="yellow"/>
              </w:rPr>
            </w:pPr>
          </w:p>
        </w:tc>
        <w:tc>
          <w:tcPr>
            <w:tcW w:w="993" w:type="dxa"/>
            <w:tcMar/>
          </w:tcPr>
          <w:p w:rsidR="00C53049" w:rsidP="00C53049" w:rsidRDefault="00C53049" w14:paraId="1EE3D9B3" w14:textId="77777777">
            <w:pPr>
              <w:pStyle w:val="BodyText"/>
              <w:rPr>
                <w:highlight w:val="yellow"/>
              </w:rPr>
            </w:pPr>
          </w:p>
        </w:tc>
        <w:tc>
          <w:tcPr>
            <w:tcW w:w="2187" w:type="dxa"/>
            <w:tcMar/>
          </w:tcPr>
          <w:p w:rsidR="00C53049" w:rsidP="00C53049" w:rsidRDefault="00C53049" w14:paraId="26235C41" w14:textId="5A18016B">
            <w:pPr>
              <w:pStyle w:val="BodyText"/>
              <w:rPr>
                <w:highlight w:val="yellow"/>
              </w:rPr>
            </w:pPr>
            <w:r>
              <w:t>Overall performance across all KPIs is monitored at an aggregate level</w:t>
            </w:r>
          </w:p>
        </w:tc>
      </w:tr>
      <w:tr w:rsidR="00C53049" w:rsidTr="3A17B66E" w14:paraId="1413D0A6" w14:textId="77777777">
        <w:tc>
          <w:tcPr>
            <w:tcW w:w="2405" w:type="dxa"/>
            <w:tcMar/>
          </w:tcPr>
          <w:p w:rsidR="00C53049" w:rsidP="00C53049" w:rsidRDefault="00C53049" w14:paraId="7CDE0136" w14:textId="65FB5849">
            <w:pPr>
              <w:pStyle w:val="BodyText"/>
              <w:rPr>
                <w:highlight w:val="yellow"/>
              </w:rPr>
            </w:pPr>
            <w:r w:rsidRPr="003F1293">
              <w:t>Management Information – i.e. that the contractor provides the required Management Information On Time In Full</w:t>
            </w:r>
          </w:p>
        </w:tc>
        <w:tc>
          <w:tcPr>
            <w:tcW w:w="2126" w:type="dxa"/>
            <w:tcMar/>
          </w:tcPr>
          <w:p w:rsidR="00C53049" w:rsidP="00C53049" w:rsidRDefault="00C53049" w14:paraId="7676D05E" w14:textId="77777777">
            <w:pPr>
              <w:pStyle w:val="BodyText"/>
            </w:pPr>
            <w:r w:rsidRPr="003F1293">
              <w:t>Good – On Time In Full</w:t>
            </w:r>
          </w:p>
          <w:p w:rsidR="00C53049" w:rsidP="00C53049" w:rsidRDefault="00C53049" w14:paraId="6F6E6F7F" w14:textId="47249CE9">
            <w:pPr>
              <w:pStyle w:val="BodyText"/>
              <w:rPr>
                <w:highlight w:val="yellow"/>
              </w:rPr>
            </w:pPr>
            <w:r>
              <w:t>Overall performance across all KPIs is monitored at an aggregate level</w:t>
            </w:r>
          </w:p>
        </w:tc>
        <w:tc>
          <w:tcPr>
            <w:tcW w:w="1843" w:type="dxa"/>
            <w:tcMar/>
          </w:tcPr>
          <w:p w:rsidR="00C53049" w:rsidP="00C53049" w:rsidRDefault="00C53049" w14:paraId="7AB84C80" w14:textId="62A46CBC">
            <w:pPr>
              <w:pStyle w:val="BodyText"/>
              <w:rPr>
                <w:highlight w:val="yellow"/>
              </w:rPr>
            </w:pPr>
            <w:r w:rsidRPr="003F1293">
              <w:t>Monthly</w:t>
            </w:r>
          </w:p>
        </w:tc>
        <w:tc>
          <w:tcPr>
            <w:tcW w:w="1595" w:type="dxa"/>
            <w:tcMar/>
          </w:tcPr>
          <w:p w:rsidR="00C53049" w:rsidP="00C53049" w:rsidRDefault="00C53049" w14:paraId="0B5BC3F6" w14:textId="77777777">
            <w:pPr>
              <w:pStyle w:val="BodyText"/>
              <w:rPr>
                <w:highlight w:val="yellow"/>
              </w:rPr>
            </w:pPr>
          </w:p>
        </w:tc>
        <w:tc>
          <w:tcPr>
            <w:tcW w:w="2799" w:type="dxa"/>
            <w:tcMar/>
          </w:tcPr>
          <w:p w:rsidR="00C53049" w:rsidP="00C53049" w:rsidRDefault="00C53049" w14:paraId="5A7978C7" w14:textId="77777777">
            <w:pPr>
              <w:pStyle w:val="BodyText"/>
              <w:rPr>
                <w:highlight w:val="yellow"/>
              </w:rPr>
            </w:pPr>
          </w:p>
        </w:tc>
        <w:tc>
          <w:tcPr>
            <w:tcW w:w="993" w:type="dxa"/>
            <w:tcMar/>
          </w:tcPr>
          <w:p w:rsidR="00C53049" w:rsidP="00C53049" w:rsidRDefault="00C53049" w14:paraId="011B3DEB" w14:textId="77777777">
            <w:pPr>
              <w:pStyle w:val="BodyText"/>
              <w:rPr>
                <w:highlight w:val="yellow"/>
              </w:rPr>
            </w:pPr>
          </w:p>
        </w:tc>
        <w:tc>
          <w:tcPr>
            <w:tcW w:w="2187" w:type="dxa"/>
            <w:tcMar/>
          </w:tcPr>
          <w:p w:rsidR="00C53049" w:rsidP="00C53049" w:rsidRDefault="00C53049" w14:paraId="0D2308C3" w14:textId="58EC5D2F">
            <w:pPr>
              <w:pStyle w:val="BodyText"/>
              <w:rPr>
                <w:highlight w:val="yellow"/>
              </w:rPr>
            </w:pPr>
            <w:r>
              <w:t>Overall performance across all KPIs is monitored at an aggregate level</w:t>
            </w:r>
          </w:p>
        </w:tc>
      </w:tr>
      <w:tr w:rsidR="003022CB" w:rsidTr="3A17B66E" w14:paraId="40FD74C0" w14:textId="77777777">
        <w:tc>
          <w:tcPr>
            <w:tcW w:w="2405" w:type="dxa"/>
            <w:tcMar/>
          </w:tcPr>
          <w:p w:rsidR="003022CB" w:rsidP="00C53049" w:rsidRDefault="00AB4C11" w14:paraId="0F8A6BDE" w14:textId="58C08716">
            <w:pPr>
              <w:pStyle w:val="BodyText"/>
            </w:pPr>
            <w:r>
              <w:t>Social Value</w:t>
            </w:r>
          </w:p>
          <w:p w:rsidRPr="00127082" w:rsidR="003022CB" w:rsidP="3A17B66E" w:rsidRDefault="003022CB" w14:paraId="5F4AF8D9" w14:textId="007F124B">
            <w:pPr>
              <w:pStyle w:val="BodyText"/>
              <w:jc w:val="left"/>
              <w:rPr>
                <w:b w:val="1"/>
                <w:bCs w:val="1"/>
                <w:i w:val="1"/>
                <w:iCs w:val="1"/>
              </w:rPr>
            </w:pPr>
            <w:r w:rsidRPr="3A17B66E" w:rsidR="5F9CBE52">
              <w:rPr>
                <w:b w:val="1"/>
                <w:bCs w:val="1"/>
                <w:i w:val="1"/>
                <w:iCs w:val="1"/>
              </w:rPr>
              <w:t>[</w:t>
            </w:r>
            <w:r w:rsidRPr="3A17B66E" w:rsidR="6D4B00CC">
              <w:rPr>
                <w:b w:val="1"/>
                <w:bCs w:val="1"/>
                <w:i w:val="1"/>
                <w:iCs w:val="1"/>
              </w:rPr>
              <w:t>Note to Tenderers</w:t>
            </w:r>
            <w:r w:rsidRPr="3A17B66E" w:rsidR="5F9CBE52">
              <w:rPr>
                <w:b w:val="1"/>
                <w:bCs w:val="1"/>
                <w:i w:val="1"/>
                <w:iCs w:val="1"/>
              </w:rPr>
              <w:t>:</w:t>
            </w:r>
            <w:r w:rsidRPr="3A17B66E" w:rsidR="33737DD8">
              <w:rPr>
                <w:b w:val="1"/>
                <w:bCs w:val="1"/>
                <w:i w:val="1"/>
                <w:iCs w:val="1"/>
              </w:rPr>
              <w:t xml:space="preserve"> To be developed based on the </w:t>
            </w:r>
            <w:r w:rsidRPr="3A17B66E" w:rsidR="6D4B00CC">
              <w:rPr>
                <w:b w:val="1"/>
                <w:bCs w:val="1"/>
                <w:i w:val="1"/>
                <w:iCs w:val="1"/>
              </w:rPr>
              <w:t>Tenderer</w:t>
            </w:r>
            <w:r w:rsidRPr="3A17B66E" w:rsidR="1CA03295">
              <w:rPr>
                <w:b w:val="1"/>
                <w:bCs w:val="1"/>
                <w:i w:val="1"/>
                <w:iCs w:val="1"/>
              </w:rPr>
              <w:t>'</w:t>
            </w:r>
            <w:r w:rsidRPr="3A17B66E" w:rsidR="5F9CBE52">
              <w:rPr>
                <w:b w:val="1"/>
                <w:bCs w:val="1"/>
                <w:i w:val="1"/>
                <w:iCs w:val="1"/>
              </w:rPr>
              <w:t>s response.]</w:t>
            </w:r>
          </w:p>
        </w:tc>
        <w:tc>
          <w:tcPr>
            <w:tcW w:w="2126" w:type="dxa"/>
            <w:tcMar/>
          </w:tcPr>
          <w:p w:rsidRPr="003F1293" w:rsidR="003022CB" w:rsidP="00C53049" w:rsidRDefault="003022CB" w14:paraId="5A399863" w14:textId="77777777">
            <w:pPr>
              <w:pStyle w:val="BodyText"/>
            </w:pPr>
          </w:p>
        </w:tc>
        <w:tc>
          <w:tcPr>
            <w:tcW w:w="1843" w:type="dxa"/>
            <w:tcMar/>
          </w:tcPr>
          <w:p w:rsidRPr="003F1293" w:rsidR="003022CB" w:rsidP="00C53049" w:rsidRDefault="003022CB" w14:paraId="6E97FBF5" w14:textId="77777777">
            <w:pPr>
              <w:pStyle w:val="BodyText"/>
            </w:pPr>
          </w:p>
        </w:tc>
        <w:tc>
          <w:tcPr>
            <w:tcW w:w="1595" w:type="dxa"/>
            <w:tcMar/>
          </w:tcPr>
          <w:p w:rsidR="003022CB" w:rsidP="00C53049" w:rsidRDefault="003022CB" w14:paraId="57A9D8B8" w14:textId="77777777">
            <w:pPr>
              <w:pStyle w:val="BodyText"/>
              <w:rPr>
                <w:highlight w:val="yellow"/>
              </w:rPr>
            </w:pPr>
          </w:p>
        </w:tc>
        <w:tc>
          <w:tcPr>
            <w:tcW w:w="2799" w:type="dxa"/>
            <w:tcMar/>
          </w:tcPr>
          <w:p w:rsidR="003022CB" w:rsidP="00C53049" w:rsidRDefault="003022CB" w14:paraId="29EBE848" w14:textId="77777777">
            <w:pPr>
              <w:pStyle w:val="BodyText"/>
              <w:rPr>
                <w:highlight w:val="yellow"/>
              </w:rPr>
            </w:pPr>
          </w:p>
        </w:tc>
        <w:tc>
          <w:tcPr>
            <w:tcW w:w="993" w:type="dxa"/>
            <w:tcMar/>
          </w:tcPr>
          <w:p w:rsidR="003022CB" w:rsidP="00C53049" w:rsidRDefault="003022CB" w14:paraId="5A3AD90A" w14:textId="77777777">
            <w:pPr>
              <w:pStyle w:val="BodyText"/>
              <w:rPr>
                <w:highlight w:val="yellow"/>
              </w:rPr>
            </w:pPr>
          </w:p>
        </w:tc>
        <w:tc>
          <w:tcPr>
            <w:tcW w:w="2187" w:type="dxa"/>
            <w:tcMar/>
          </w:tcPr>
          <w:p w:rsidR="003022CB" w:rsidP="00C53049" w:rsidRDefault="003022CB" w14:paraId="1EA52808" w14:textId="77777777">
            <w:pPr>
              <w:pStyle w:val="BodyText"/>
            </w:pPr>
          </w:p>
        </w:tc>
      </w:tr>
    </w:tbl>
    <w:p w:rsidRPr="006E5AE7" w:rsidR="001E628F" w:rsidP="008A20BD" w:rsidRDefault="001E628F" w14:paraId="624196A6" w14:textId="17E8D6EC">
      <w:pPr>
        <w:pStyle w:val="BodyText"/>
      </w:pPr>
      <w:r w:rsidRPr="006E5AE7">
        <w:t>* Publishable fields. Note that, out of the four Rating Thresholds, only the 'Good' threshold is published.</w:t>
      </w:r>
    </w:p>
    <w:p w:rsidR="000C624B" w:rsidP="000C624B" w:rsidRDefault="000C624B" w14:paraId="74A31E82" w14:textId="51113C42">
      <w:pPr>
        <w:pStyle w:val="Schedule1"/>
        <w:spacing w:after="0"/>
      </w:pPr>
      <w:r>
        <w:t xml:space="preserve">APPENDIX </w:t>
      </w:r>
      <w:r w:rsidR="004C1A3B">
        <w:t>3</w:t>
      </w:r>
    </w:p>
    <w:p w:rsidRPr="00127082" w:rsidR="00E4141F" w:rsidP="00127082" w:rsidRDefault="000C624B" w14:paraId="2CCA1AEE" w14:textId="2528E820">
      <w:pPr>
        <w:pStyle w:val="BodyText"/>
        <w:jc w:val="center"/>
        <w:rPr>
          <w:b/>
        </w:rPr>
      </w:pPr>
      <w:r>
        <w:rPr>
          <w:b/>
          <w:bCs/>
        </w:rPr>
        <w:t>SUPPLY CHAIN</w:t>
      </w:r>
      <w:r w:rsidRPr="000C624B">
        <w:rPr>
          <w:b/>
          <w:bCs/>
        </w:rPr>
        <w:t xml:space="preserve"> TRANSPARENCY INFORMATION TEMPLATE</w:t>
      </w:r>
    </w:p>
    <w:tbl>
      <w:tblPr>
        <w:tblStyle w:val="TableGrid"/>
        <w:tblW w:w="0" w:type="auto"/>
        <w:tblLayout w:type="fixed"/>
        <w:tblLook w:val="04A0" w:firstRow="1" w:lastRow="0" w:firstColumn="1" w:lastColumn="0" w:noHBand="0" w:noVBand="1"/>
      </w:tblPr>
      <w:tblGrid>
        <w:gridCol w:w="4390"/>
        <w:gridCol w:w="2399"/>
        <w:gridCol w:w="2400"/>
        <w:gridCol w:w="2399"/>
        <w:gridCol w:w="2400"/>
      </w:tblGrid>
      <w:tr w:rsidRPr="000C624B" w:rsidR="000C624B" w:rsidTr="3A17B66E" w14:paraId="4EBCE626" w14:textId="77777777">
        <w:tc>
          <w:tcPr>
            <w:tcW w:w="4390" w:type="dxa"/>
            <w:vMerge w:val="restart"/>
            <w:tcMar/>
          </w:tcPr>
          <w:p w:rsidRPr="00127082" w:rsidR="000C624B" w:rsidP="000C624B" w:rsidRDefault="000C624B" w14:paraId="70C983DA" w14:textId="77777777">
            <w:pPr>
              <w:pStyle w:val="StdBodyText"/>
              <w:rPr>
                <w:rFonts w:cs="Arial"/>
                <w:sz w:val="20"/>
                <w:szCs w:val="20"/>
              </w:rPr>
            </w:pPr>
          </w:p>
        </w:tc>
        <w:tc>
          <w:tcPr>
            <w:tcW w:w="9598" w:type="dxa"/>
            <w:gridSpan w:val="4"/>
            <w:tcMar/>
          </w:tcPr>
          <w:p w:rsidRPr="00127082" w:rsidR="000C624B" w:rsidP="000C624B" w:rsidRDefault="000C624B" w14:paraId="7DD425D9" w14:textId="77777777">
            <w:pPr>
              <w:pStyle w:val="StdBodyTextBold"/>
              <w:jc w:val="center"/>
              <w:rPr>
                <w:rFonts w:cs="Arial"/>
                <w:sz w:val="20"/>
                <w:szCs w:val="20"/>
              </w:rPr>
            </w:pPr>
            <w:r w:rsidRPr="3A17B66E" w:rsidR="430527A5">
              <w:rPr>
                <w:rFonts w:cs="Arial"/>
                <w:sz w:val="20"/>
                <w:szCs w:val="20"/>
              </w:rPr>
              <w:t>Financial Year 20</w:t>
            </w:r>
            <w:r w:rsidRPr="3A17B66E" w:rsidR="430527A5">
              <w:rPr>
                <w:rFonts w:cs="Arial"/>
                <w:sz w:val="20"/>
                <w:szCs w:val="20"/>
              </w:rPr>
              <w:t xml:space="preserve">[  </w:t>
            </w:r>
            <w:proofErr w:type="gramStart"/>
            <w:r w:rsidRPr="3A17B66E" w:rsidR="430527A5">
              <w:rPr>
                <w:rFonts w:cs="Arial"/>
                <w:sz w:val="20"/>
                <w:szCs w:val="20"/>
              </w:rPr>
              <w:t xml:space="preserve">  ]</w:t>
            </w:r>
            <w:proofErr w:type="gramEnd"/>
          </w:p>
        </w:tc>
      </w:tr>
      <w:tr w:rsidRPr="000C624B" w:rsidR="000C624B" w:rsidTr="3A17B66E" w14:paraId="1350C106" w14:textId="77777777">
        <w:tc>
          <w:tcPr>
            <w:tcW w:w="4390" w:type="dxa"/>
            <w:vMerge/>
            <w:tcMar/>
          </w:tcPr>
          <w:p w:rsidRPr="00127082" w:rsidR="000C624B" w:rsidP="000C624B" w:rsidRDefault="000C624B" w14:paraId="3FD6246F" w14:textId="77777777">
            <w:pPr>
              <w:pStyle w:val="StdBodyText"/>
              <w:rPr>
                <w:rFonts w:cs="Arial"/>
                <w:sz w:val="20"/>
                <w:szCs w:val="20"/>
              </w:rPr>
            </w:pPr>
          </w:p>
        </w:tc>
        <w:tc>
          <w:tcPr>
            <w:tcW w:w="4799" w:type="dxa"/>
            <w:gridSpan w:val="2"/>
            <w:tcMar/>
          </w:tcPr>
          <w:p w:rsidRPr="00127082" w:rsidR="000C624B" w:rsidP="000C624B" w:rsidRDefault="000C624B" w14:paraId="15408DFE" w14:textId="77777777">
            <w:pPr>
              <w:pStyle w:val="StdBodyTextBold"/>
              <w:jc w:val="center"/>
              <w:rPr>
                <w:rFonts w:cs="Arial"/>
                <w:sz w:val="20"/>
                <w:szCs w:val="20"/>
              </w:rPr>
            </w:pPr>
            <w:r w:rsidRPr="3A17B66E" w:rsidR="430527A5">
              <w:rPr>
                <w:rFonts w:cs="Arial"/>
                <w:sz w:val="20"/>
                <w:szCs w:val="20"/>
              </w:rPr>
              <w:t>Under this Contract</w:t>
            </w:r>
          </w:p>
        </w:tc>
        <w:tc>
          <w:tcPr>
            <w:tcW w:w="4799" w:type="dxa"/>
            <w:gridSpan w:val="2"/>
            <w:tcMar/>
          </w:tcPr>
          <w:p w:rsidRPr="00127082" w:rsidR="000C624B" w:rsidP="000C624B" w:rsidRDefault="000C624B" w14:paraId="689410AE" w14:textId="77777777">
            <w:pPr>
              <w:pStyle w:val="StdBodyTextBold"/>
              <w:jc w:val="center"/>
              <w:rPr>
                <w:rFonts w:cs="Arial"/>
                <w:sz w:val="20"/>
                <w:szCs w:val="20"/>
              </w:rPr>
            </w:pPr>
            <w:r w:rsidRPr="3A17B66E" w:rsidR="430527A5">
              <w:rPr>
                <w:rFonts w:cs="Arial"/>
                <w:sz w:val="20"/>
                <w:szCs w:val="20"/>
              </w:rPr>
              <w:t>Supplier as a whole</w:t>
            </w:r>
          </w:p>
        </w:tc>
      </w:tr>
      <w:tr w:rsidRPr="000C624B" w:rsidR="000C624B" w:rsidTr="3A17B66E" w14:paraId="375CD6B4" w14:textId="77777777">
        <w:tc>
          <w:tcPr>
            <w:tcW w:w="4390" w:type="dxa"/>
            <w:vMerge/>
            <w:tcMar/>
          </w:tcPr>
          <w:p w:rsidRPr="00127082" w:rsidR="000C624B" w:rsidP="000C624B" w:rsidRDefault="000C624B" w14:paraId="1C09C68B" w14:textId="77777777">
            <w:pPr>
              <w:pStyle w:val="StdBodyText"/>
              <w:rPr>
                <w:rFonts w:cs="Arial"/>
                <w:sz w:val="20"/>
                <w:szCs w:val="20"/>
              </w:rPr>
            </w:pPr>
          </w:p>
        </w:tc>
        <w:tc>
          <w:tcPr>
            <w:tcW w:w="2399" w:type="dxa"/>
            <w:tcMar/>
          </w:tcPr>
          <w:p w:rsidRPr="00127082" w:rsidR="000C624B" w:rsidP="000C624B" w:rsidRDefault="000C624B" w14:paraId="3E128149" w14:textId="77777777">
            <w:pPr>
              <w:pStyle w:val="StdBodyTextBold"/>
              <w:jc w:val="center"/>
              <w:rPr>
                <w:rFonts w:cs="Arial"/>
                <w:sz w:val="20"/>
                <w:szCs w:val="20"/>
              </w:rPr>
            </w:pPr>
            <w:r w:rsidRPr="3A17B66E" w:rsidR="430527A5">
              <w:rPr>
                <w:rFonts w:cs="Arial"/>
                <w:sz w:val="20"/>
                <w:szCs w:val="20"/>
              </w:rPr>
              <w:t>£</w:t>
            </w:r>
          </w:p>
        </w:tc>
        <w:tc>
          <w:tcPr>
            <w:tcW w:w="2400" w:type="dxa"/>
            <w:tcMar/>
          </w:tcPr>
          <w:p w:rsidRPr="00127082" w:rsidR="000C624B" w:rsidP="000C624B" w:rsidRDefault="000C624B" w14:paraId="66F6AF99" w14:textId="77777777">
            <w:pPr>
              <w:pStyle w:val="StdBodyTextBold"/>
              <w:jc w:val="center"/>
              <w:rPr>
                <w:rFonts w:cs="Arial"/>
                <w:sz w:val="20"/>
                <w:szCs w:val="20"/>
              </w:rPr>
            </w:pPr>
            <w:r w:rsidRPr="3A17B66E" w:rsidR="430527A5">
              <w:rPr>
                <w:rFonts w:cs="Arial"/>
                <w:sz w:val="20"/>
                <w:szCs w:val="20"/>
              </w:rPr>
              <w:t>%</w:t>
            </w:r>
          </w:p>
        </w:tc>
        <w:tc>
          <w:tcPr>
            <w:tcW w:w="2399" w:type="dxa"/>
            <w:tcMar/>
          </w:tcPr>
          <w:p w:rsidRPr="00127082" w:rsidR="000C624B" w:rsidP="000C624B" w:rsidRDefault="000C624B" w14:paraId="20BB77DF" w14:textId="77777777">
            <w:pPr>
              <w:pStyle w:val="StdBodyTextBold"/>
              <w:jc w:val="center"/>
              <w:rPr>
                <w:rFonts w:cs="Arial"/>
                <w:sz w:val="20"/>
                <w:szCs w:val="20"/>
              </w:rPr>
            </w:pPr>
            <w:r w:rsidRPr="3A17B66E" w:rsidR="430527A5">
              <w:rPr>
                <w:rFonts w:cs="Arial"/>
                <w:sz w:val="20"/>
                <w:szCs w:val="20"/>
              </w:rPr>
              <w:t>£</w:t>
            </w:r>
          </w:p>
        </w:tc>
        <w:tc>
          <w:tcPr>
            <w:tcW w:w="2400" w:type="dxa"/>
            <w:tcMar/>
          </w:tcPr>
          <w:p w:rsidRPr="00127082" w:rsidR="000C624B" w:rsidP="000C624B" w:rsidRDefault="000C624B" w14:paraId="52F26015" w14:textId="77777777">
            <w:pPr>
              <w:pStyle w:val="StdBodyTextBold"/>
              <w:jc w:val="center"/>
              <w:rPr>
                <w:rFonts w:cs="Arial"/>
                <w:sz w:val="20"/>
                <w:szCs w:val="20"/>
              </w:rPr>
            </w:pPr>
            <w:r w:rsidRPr="3A17B66E" w:rsidR="430527A5">
              <w:rPr>
                <w:rFonts w:cs="Arial"/>
                <w:sz w:val="20"/>
                <w:szCs w:val="20"/>
              </w:rPr>
              <w:t>%</w:t>
            </w:r>
          </w:p>
        </w:tc>
      </w:tr>
      <w:tr w:rsidRPr="000C624B" w:rsidR="000C624B" w:rsidTr="3A17B66E" w14:paraId="025288E6" w14:textId="77777777">
        <w:tc>
          <w:tcPr>
            <w:tcW w:w="4390" w:type="dxa"/>
            <w:tcMar/>
          </w:tcPr>
          <w:p w:rsidRPr="00127082" w:rsidR="000C624B" w:rsidP="000C624B" w:rsidRDefault="000C624B" w14:paraId="7FA57F65" w14:textId="77777777">
            <w:pPr>
              <w:pStyle w:val="StdBodyText"/>
              <w:rPr>
                <w:rFonts w:cs="Arial"/>
                <w:sz w:val="20"/>
                <w:szCs w:val="20"/>
              </w:rPr>
            </w:pPr>
            <w:r w:rsidRPr="3A17B66E" w:rsidR="430527A5">
              <w:rPr>
                <w:rFonts w:cs="Arial"/>
                <w:sz w:val="20"/>
                <w:szCs w:val="20"/>
              </w:rPr>
              <w:t>Estimated total contract revenue (£) to be received in this Financial Year</w:t>
            </w:r>
          </w:p>
        </w:tc>
        <w:tc>
          <w:tcPr>
            <w:tcW w:w="2399" w:type="dxa"/>
            <w:tcMar/>
          </w:tcPr>
          <w:p w:rsidRPr="00127082" w:rsidR="000C624B" w:rsidP="000C624B" w:rsidRDefault="000C624B" w14:paraId="0B1534E3" w14:textId="77777777">
            <w:pPr>
              <w:pStyle w:val="StdBodyText"/>
              <w:jc w:val="center"/>
              <w:rPr>
                <w:rFonts w:cs="Arial"/>
                <w:sz w:val="20"/>
                <w:szCs w:val="20"/>
              </w:rPr>
            </w:pPr>
            <w:r w:rsidRPr="3A17B66E" w:rsidR="430527A5">
              <w:rPr>
                <w:rFonts w:cs="Arial"/>
                <w:sz w:val="20"/>
                <w:szCs w:val="20"/>
              </w:rPr>
              <w:t>£[    ]</w:t>
            </w:r>
          </w:p>
        </w:tc>
        <w:tc>
          <w:tcPr>
            <w:tcW w:w="2400" w:type="dxa"/>
            <w:tcMar/>
          </w:tcPr>
          <w:p w:rsidRPr="00127082" w:rsidR="000C624B" w:rsidP="000C624B" w:rsidRDefault="000C624B" w14:paraId="479AB138" w14:textId="77777777">
            <w:pPr>
              <w:pStyle w:val="StdBodyText"/>
              <w:jc w:val="center"/>
              <w:rPr>
                <w:rFonts w:cs="Arial"/>
                <w:sz w:val="20"/>
                <w:szCs w:val="20"/>
              </w:rPr>
            </w:pPr>
            <w:r w:rsidRPr="3A17B66E" w:rsidR="430527A5">
              <w:rPr>
                <w:rFonts w:cs="Arial"/>
                <w:sz w:val="20"/>
                <w:szCs w:val="20"/>
              </w:rPr>
              <w:t>100%</w:t>
            </w:r>
          </w:p>
        </w:tc>
        <w:tc>
          <w:tcPr>
            <w:tcW w:w="2399" w:type="dxa"/>
            <w:tcMar/>
          </w:tcPr>
          <w:p w:rsidRPr="00127082" w:rsidR="000C624B" w:rsidP="000C624B" w:rsidRDefault="000C624B" w14:paraId="148D997F" w14:textId="77777777">
            <w:pPr>
              <w:pStyle w:val="StdBodyText"/>
              <w:jc w:val="center"/>
              <w:rPr>
                <w:rFonts w:cs="Arial"/>
                <w:sz w:val="20"/>
                <w:szCs w:val="20"/>
              </w:rPr>
            </w:pPr>
            <w:r w:rsidRPr="3A17B66E" w:rsidR="430527A5">
              <w:rPr>
                <w:rFonts w:cs="Arial"/>
                <w:sz w:val="20"/>
                <w:szCs w:val="20"/>
              </w:rPr>
              <w:t>£[    ]</w:t>
            </w:r>
          </w:p>
        </w:tc>
        <w:tc>
          <w:tcPr>
            <w:tcW w:w="2400" w:type="dxa"/>
            <w:tcMar/>
          </w:tcPr>
          <w:p w:rsidRPr="00127082" w:rsidR="000C624B" w:rsidP="000C624B" w:rsidRDefault="000C624B" w14:paraId="1746630C" w14:textId="77777777">
            <w:pPr>
              <w:pStyle w:val="StdBodyText"/>
              <w:jc w:val="center"/>
              <w:rPr>
                <w:rFonts w:cs="Arial"/>
                <w:sz w:val="20"/>
                <w:szCs w:val="20"/>
              </w:rPr>
            </w:pPr>
            <w:r w:rsidRPr="3A17B66E" w:rsidR="430527A5">
              <w:rPr>
                <w:rFonts w:cs="Arial"/>
                <w:sz w:val="20"/>
                <w:szCs w:val="20"/>
              </w:rPr>
              <w:t>100%</w:t>
            </w:r>
          </w:p>
        </w:tc>
      </w:tr>
      <w:tr w:rsidRPr="000C624B" w:rsidR="000C624B" w:rsidTr="3A17B66E" w14:paraId="7EA9969D" w14:textId="77777777">
        <w:tc>
          <w:tcPr>
            <w:tcW w:w="4390" w:type="dxa"/>
            <w:tcMar/>
          </w:tcPr>
          <w:p w:rsidRPr="00127082" w:rsidR="000C624B" w:rsidP="000C624B" w:rsidRDefault="000C624B" w14:paraId="335A823F" w14:textId="77777777">
            <w:pPr>
              <w:pStyle w:val="StdBodyText"/>
              <w:rPr>
                <w:rFonts w:cs="Arial"/>
                <w:sz w:val="20"/>
                <w:szCs w:val="20"/>
              </w:rPr>
            </w:pPr>
            <w:r w:rsidRPr="3A17B66E" w:rsidR="430527A5">
              <w:rPr>
                <w:rFonts w:cs="Arial"/>
                <w:sz w:val="20"/>
                <w:szCs w:val="20"/>
              </w:rPr>
              <w:t>Total value of Sub-contracted revenues (£) in this Financial Year</w:t>
            </w:r>
          </w:p>
        </w:tc>
        <w:tc>
          <w:tcPr>
            <w:tcW w:w="2399" w:type="dxa"/>
            <w:tcMar/>
          </w:tcPr>
          <w:p w:rsidRPr="00127082" w:rsidR="000C624B" w:rsidP="000C624B" w:rsidRDefault="000C624B" w14:paraId="3243888D" w14:textId="77777777">
            <w:pPr>
              <w:pStyle w:val="StdBodyText"/>
              <w:jc w:val="center"/>
              <w:rPr>
                <w:rFonts w:cs="Arial"/>
                <w:sz w:val="20"/>
                <w:szCs w:val="20"/>
              </w:rPr>
            </w:pPr>
            <w:r w:rsidRPr="3A17B66E" w:rsidR="430527A5">
              <w:rPr>
                <w:rFonts w:cs="Arial"/>
                <w:sz w:val="20"/>
                <w:szCs w:val="20"/>
              </w:rPr>
              <w:t>£[    ]</w:t>
            </w:r>
          </w:p>
        </w:tc>
        <w:tc>
          <w:tcPr>
            <w:tcW w:w="2400" w:type="dxa"/>
            <w:tcMar/>
          </w:tcPr>
          <w:p w:rsidRPr="00127082" w:rsidR="000C624B" w:rsidP="000C624B" w:rsidRDefault="000C624B" w14:paraId="63DA55A6" w14:textId="77777777">
            <w:pPr>
              <w:pStyle w:val="StdBodyText"/>
              <w:jc w:val="center"/>
              <w:rPr>
                <w:rFonts w:cs="Arial"/>
                <w:sz w:val="20"/>
                <w:szCs w:val="20"/>
              </w:rPr>
            </w:pPr>
            <w:r w:rsidRPr="3A17B66E" w:rsidR="430527A5">
              <w:rPr>
                <w:rFonts w:cs="Arial"/>
                <w:sz w:val="20"/>
                <w:szCs w:val="20"/>
              </w:rPr>
              <w:t>[    ]</w:t>
            </w:r>
          </w:p>
        </w:tc>
        <w:tc>
          <w:tcPr>
            <w:tcW w:w="2399" w:type="dxa"/>
            <w:tcMar/>
          </w:tcPr>
          <w:p w:rsidRPr="00127082" w:rsidR="000C624B" w:rsidP="000C624B" w:rsidRDefault="000C624B" w14:paraId="4A14A5A2" w14:textId="77777777">
            <w:pPr>
              <w:pStyle w:val="StdBodyText"/>
              <w:jc w:val="center"/>
              <w:rPr>
                <w:rFonts w:cs="Arial"/>
                <w:sz w:val="20"/>
                <w:szCs w:val="20"/>
              </w:rPr>
            </w:pPr>
            <w:r w:rsidRPr="3A17B66E" w:rsidR="430527A5">
              <w:rPr>
                <w:rFonts w:cs="Arial"/>
                <w:sz w:val="20"/>
                <w:szCs w:val="20"/>
              </w:rPr>
              <w:t>£[    ]</w:t>
            </w:r>
          </w:p>
        </w:tc>
        <w:tc>
          <w:tcPr>
            <w:tcW w:w="2400" w:type="dxa"/>
            <w:tcMar/>
          </w:tcPr>
          <w:p w:rsidRPr="00127082" w:rsidR="000C624B" w:rsidP="000C624B" w:rsidRDefault="000C624B" w14:paraId="15231A03" w14:textId="77777777">
            <w:pPr>
              <w:pStyle w:val="StdBodyText"/>
              <w:jc w:val="center"/>
              <w:rPr>
                <w:rFonts w:cs="Arial"/>
                <w:sz w:val="20"/>
                <w:szCs w:val="20"/>
              </w:rPr>
            </w:pPr>
            <w:r w:rsidRPr="3A17B66E" w:rsidR="430527A5">
              <w:rPr>
                <w:rFonts w:cs="Arial"/>
                <w:sz w:val="20"/>
                <w:szCs w:val="20"/>
              </w:rPr>
              <w:t>[    ]</w:t>
            </w:r>
          </w:p>
        </w:tc>
      </w:tr>
      <w:tr w:rsidRPr="000C624B" w:rsidR="000C624B" w:rsidTr="3A17B66E" w14:paraId="021F0E2D" w14:textId="77777777">
        <w:tc>
          <w:tcPr>
            <w:tcW w:w="4390" w:type="dxa"/>
            <w:tcMar/>
          </w:tcPr>
          <w:p w:rsidRPr="00127082" w:rsidR="000C624B" w:rsidP="000C624B" w:rsidRDefault="000C624B" w14:paraId="4B0407B6" w14:textId="77777777">
            <w:pPr>
              <w:pStyle w:val="StdBodyText"/>
              <w:rPr>
                <w:rFonts w:cs="Arial"/>
                <w:sz w:val="20"/>
                <w:szCs w:val="20"/>
              </w:rPr>
            </w:pPr>
            <w:r w:rsidRPr="3A17B66E" w:rsidR="430527A5">
              <w:rPr>
                <w:rFonts w:cs="Arial"/>
                <w:sz w:val="20"/>
                <w:szCs w:val="20"/>
              </w:rPr>
              <w:t xml:space="preserve">Total value of Sub-contracted revenues to SMEs (£) in this Financial Year </w:t>
            </w:r>
          </w:p>
        </w:tc>
        <w:tc>
          <w:tcPr>
            <w:tcW w:w="2399" w:type="dxa"/>
            <w:tcMar/>
          </w:tcPr>
          <w:p w:rsidRPr="00127082" w:rsidR="000C624B" w:rsidP="000C624B" w:rsidRDefault="000C624B" w14:paraId="74A8A290" w14:textId="77777777">
            <w:pPr>
              <w:pStyle w:val="StdBodyText"/>
              <w:jc w:val="center"/>
              <w:rPr>
                <w:rFonts w:cs="Arial"/>
                <w:sz w:val="20"/>
                <w:szCs w:val="20"/>
              </w:rPr>
            </w:pPr>
            <w:r w:rsidRPr="3A17B66E" w:rsidR="430527A5">
              <w:rPr>
                <w:rFonts w:cs="Arial"/>
                <w:sz w:val="20"/>
                <w:szCs w:val="20"/>
              </w:rPr>
              <w:t>£[    ]</w:t>
            </w:r>
          </w:p>
        </w:tc>
        <w:tc>
          <w:tcPr>
            <w:tcW w:w="2400" w:type="dxa"/>
            <w:tcMar/>
          </w:tcPr>
          <w:p w:rsidRPr="00127082" w:rsidR="000C624B" w:rsidP="000C624B" w:rsidRDefault="000C624B" w14:paraId="0471592A" w14:textId="77777777">
            <w:pPr>
              <w:pStyle w:val="StdBodyText"/>
              <w:jc w:val="center"/>
              <w:rPr>
                <w:rFonts w:cs="Arial"/>
                <w:sz w:val="20"/>
                <w:szCs w:val="20"/>
              </w:rPr>
            </w:pPr>
            <w:r w:rsidRPr="3A17B66E" w:rsidR="430527A5">
              <w:rPr>
                <w:rFonts w:cs="Arial"/>
                <w:sz w:val="20"/>
                <w:szCs w:val="20"/>
              </w:rPr>
              <w:t>[    ]</w:t>
            </w:r>
          </w:p>
        </w:tc>
        <w:tc>
          <w:tcPr>
            <w:tcW w:w="2399" w:type="dxa"/>
            <w:tcMar/>
          </w:tcPr>
          <w:p w:rsidRPr="00127082" w:rsidR="000C624B" w:rsidP="000C624B" w:rsidRDefault="000C624B" w14:paraId="0B7654A3" w14:textId="77777777">
            <w:pPr>
              <w:pStyle w:val="StdBodyText"/>
              <w:jc w:val="center"/>
              <w:rPr>
                <w:rFonts w:cs="Arial"/>
                <w:sz w:val="20"/>
                <w:szCs w:val="20"/>
              </w:rPr>
            </w:pPr>
            <w:r w:rsidRPr="3A17B66E" w:rsidR="430527A5">
              <w:rPr>
                <w:rFonts w:cs="Arial"/>
                <w:sz w:val="20"/>
                <w:szCs w:val="20"/>
              </w:rPr>
              <w:t>£[    ]</w:t>
            </w:r>
          </w:p>
        </w:tc>
        <w:tc>
          <w:tcPr>
            <w:tcW w:w="2400" w:type="dxa"/>
            <w:tcMar/>
          </w:tcPr>
          <w:p w:rsidRPr="00127082" w:rsidR="000C624B" w:rsidP="000C624B" w:rsidRDefault="000C624B" w14:paraId="5599A36A" w14:textId="77777777">
            <w:pPr>
              <w:pStyle w:val="StdBodyText"/>
              <w:jc w:val="center"/>
              <w:rPr>
                <w:rFonts w:cs="Arial"/>
                <w:sz w:val="20"/>
                <w:szCs w:val="20"/>
              </w:rPr>
            </w:pPr>
            <w:r w:rsidRPr="3A17B66E" w:rsidR="430527A5">
              <w:rPr>
                <w:rFonts w:cs="Arial"/>
                <w:sz w:val="20"/>
                <w:szCs w:val="20"/>
              </w:rPr>
              <w:t>[    ]</w:t>
            </w:r>
          </w:p>
        </w:tc>
      </w:tr>
      <w:tr w:rsidRPr="000C624B" w:rsidR="000C624B" w:rsidTr="3A17B66E" w14:paraId="7357017B" w14:textId="77777777">
        <w:tc>
          <w:tcPr>
            <w:tcW w:w="4390" w:type="dxa"/>
            <w:tcMar/>
          </w:tcPr>
          <w:p w:rsidRPr="00127082" w:rsidR="000C624B" w:rsidP="000C624B" w:rsidRDefault="000C624B" w14:paraId="7C6F80B4" w14:textId="77777777">
            <w:pPr>
              <w:pStyle w:val="StdBodyText"/>
              <w:rPr>
                <w:rFonts w:cs="Arial"/>
                <w:sz w:val="20"/>
                <w:szCs w:val="20"/>
              </w:rPr>
            </w:pPr>
            <w:r w:rsidRPr="3A17B66E" w:rsidR="430527A5">
              <w:rPr>
                <w:rFonts w:cs="Arial"/>
                <w:sz w:val="20"/>
                <w:szCs w:val="20"/>
              </w:rPr>
              <w:t>Total value of Sub-contracted revenues to VCSEs (£) in this Financial Year</w:t>
            </w:r>
          </w:p>
        </w:tc>
        <w:tc>
          <w:tcPr>
            <w:tcW w:w="2399" w:type="dxa"/>
            <w:tcMar/>
          </w:tcPr>
          <w:p w:rsidRPr="00127082" w:rsidR="000C624B" w:rsidP="000C624B" w:rsidRDefault="000C624B" w14:paraId="5CA9679C" w14:textId="77777777">
            <w:pPr>
              <w:pStyle w:val="StdBodyText"/>
              <w:jc w:val="center"/>
              <w:rPr>
                <w:rFonts w:cs="Arial"/>
                <w:sz w:val="20"/>
                <w:szCs w:val="20"/>
              </w:rPr>
            </w:pPr>
            <w:r w:rsidRPr="3A17B66E" w:rsidR="430527A5">
              <w:rPr>
                <w:rFonts w:cs="Arial"/>
                <w:sz w:val="20"/>
                <w:szCs w:val="20"/>
              </w:rPr>
              <w:t>£[    ]</w:t>
            </w:r>
          </w:p>
        </w:tc>
        <w:tc>
          <w:tcPr>
            <w:tcW w:w="2400" w:type="dxa"/>
            <w:tcMar/>
          </w:tcPr>
          <w:p w:rsidRPr="00127082" w:rsidR="000C624B" w:rsidP="000C624B" w:rsidRDefault="000C624B" w14:paraId="69F8C3EE" w14:textId="77777777">
            <w:pPr>
              <w:pStyle w:val="StdBodyText"/>
              <w:jc w:val="center"/>
              <w:rPr>
                <w:rFonts w:cs="Arial"/>
                <w:sz w:val="20"/>
                <w:szCs w:val="20"/>
              </w:rPr>
            </w:pPr>
            <w:r w:rsidRPr="3A17B66E" w:rsidR="430527A5">
              <w:rPr>
                <w:rFonts w:cs="Arial"/>
                <w:sz w:val="20"/>
                <w:szCs w:val="20"/>
              </w:rPr>
              <w:t>[    ]</w:t>
            </w:r>
          </w:p>
        </w:tc>
        <w:tc>
          <w:tcPr>
            <w:tcW w:w="2399" w:type="dxa"/>
            <w:tcMar/>
          </w:tcPr>
          <w:p w:rsidRPr="00127082" w:rsidR="000C624B" w:rsidP="000C624B" w:rsidRDefault="000C624B" w14:paraId="07816FC2" w14:textId="77777777">
            <w:pPr>
              <w:pStyle w:val="StdBodyText"/>
              <w:jc w:val="center"/>
              <w:rPr>
                <w:rFonts w:cs="Arial"/>
                <w:sz w:val="20"/>
                <w:szCs w:val="20"/>
              </w:rPr>
            </w:pPr>
            <w:r w:rsidRPr="3A17B66E" w:rsidR="430527A5">
              <w:rPr>
                <w:rFonts w:cs="Arial"/>
                <w:sz w:val="20"/>
                <w:szCs w:val="20"/>
              </w:rPr>
              <w:t>£[    ]</w:t>
            </w:r>
          </w:p>
        </w:tc>
        <w:tc>
          <w:tcPr>
            <w:tcW w:w="2400" w:type="dxa"/>
            <w:tcMar/>
          </w:tcPr>
          <w:p w:rsidRPr="00127082" w:rsidR="000C624B" w:rsidP="000C624B" w:rsidRDefault="000C624B" w14:paraId="0BA92758" w14:textId="77777777">
            <w:pPr>
              <w:pStyle w:val="StdBodyText"/>
              <w:jc w:val="center"/>
              <w:rPr>
                <w:rFonts w:cs="Arial"/>
                <w:sz w:val="20"/>
                <w:szCs w:val="20"/>
              </w:rPr>
            </w:pPr>
            <w:r w:rsidRPr="3A17B66E" w:rsidR="430527A5">
              <w:rPr>
                <w:rFonts w:cs="Arial"/>
                <w:sz w:val="20"/>
                <w:szCs w:val="20"/>
              </w:rPr>
              <w:t>[    ]</w:t>
            </w:r>
          </w:p>
        </w:tc>
      </w:tr>
    </w:tbl>
    <w:p w:rsidR="000C624B" w:rsidP="00770397" w:rsidRDefault="000C624B" w14:paraId="1C674997" w14:textId="77777777">
      <w:pPr>
        <w:rPr>
          <w:highlight w:val="yellow"/>
        </w:rPr>
      </w:pPr>
    </w:p>
    <w:p w:rsidR="0069195B" w:rsidP="008A20BD" w:rsidRDefault="0069195B" w14:paraId="093D531F" w14:textId="46BF70FD">
      <w:pPr>
        <w:pStyle w:val="BodyText"/>
        <w:rPr>
          <w:highlight w:val="yellow"/>
        </w:rPr>
      </w:pPr>
    </w:p>
    <w:p w:rsidR="00643DFB" w:rsidP="008A20BD" w:rsidRDefault="00643DFB" w14:paraId="1BD2568E" w14:textId="77777777">
      <w:pPr>
        <w:pStyle w:val="BodyText"/>
        <w:rPr>
          <w:highlight w:val="yellow"/>
        </w:rPr>
        <w:sectPr w:rsidR="00643DFB" w:rsidSect="008A20BD">
          <w:footerReference w:type="default" r:id="rId17"/>
          <w:pgSz w:w="16838" w:h="11906" w:orient="landscape" w:code="9"/>
          <w:pgMar w:top="1440" w:right="1440" w:bottom="1440" w:left="1440" w:header="709" w:footer="709" w:gutter="0"/>
          <w:cols w:space="708"/>
          <w:titlePg/>
          <w:docGrid w:linePitch="360"/>
        </w:sectPr>
      </w:pPr>
    </w:p>
    <w:p w:rsidR="00643DFB" w:rsidP="00643DFB" w:rsidRDefault="00643DFB" w14:paraId="0FC51AF2" w14:textId="449C97E5">
      <w:pPr>
        <w:pStyle w:val="Schedule1"/>
        <w:spacing w:after="0"/>
      </w:pPr>
      <w:r>
        <w:t xml:space="preserve">APPENDIX </w:t>
      </w:r>
      <w:r w:rsidR="004C1A3B">
        <w:t>4</w:t>
      </w:r>
    </w:p>
    <w:p w:rsidRPr="0025590C" w:rsidR="00643DFB" w:rsidP="0025590C" w:rsidRDefault="0025590C" w14:paraId="17A75D54" w14:textId="5C389784">
      <w:pPr>
        <w:pStyle w:val="BodyText"/>
        <w:jc w:val="center"/>
        <w:rPr>
          <w:b/>
        </w:rPr>
      </w:pPr>
      <w:r>
        <w:rPr>
          <w:b/>
          <w:bCs/>
        </w:rPr>
        <w:t>FORM OF END USER QUESTIONNAIRE</w:t>
      </w:r>
    </w:p>
    <w:tbl>
      <w:tblPr>
        <w:tblStyle w:val="TableGrid"/>
        <w:tblW w:w="0" w:type="auto"/>
        <w:tblLayout w:type="fixed"/>
        <w:tblLook w:val="04A0" w:firstRow="1" w:lastRow="0" w:firstColumn="1" w:lastColumn="0" w:noHBand="0" w:noVBand="1"/>
      </w:tblPr>
      <w:tblGrid>
        <w:gridCol w:w="1980"/>
        <w:gridCol w:w="2649"/>
        <w:gridCol w:w="2314"/>
        <w:gridCol w:w="2315"/>
        <w:gridCol w:w="2314"/>
        <w:gridCol w:w="2315"/>
      </w:tblGrid>
      <w:tr w:rsidRPr="006E5AE7" w:rsidR="006E5AE7" w:rsidTr="004F5B2B" w14:paraId="290B8173" w14:textId="77777777">
        <w:trPr>
          <w:trHeight w:val="552"/>
        </w:trPr>
        <w:tc>
          <w:tcPr>
            <w:tcW w:w="1980" w:type="dxa"/>
            <w:shd w:val="clear" w:color="auto" w:fill="D9D9D9" w:themeFill="background1" w:themeFillShade="D9"/>
            <w:hideMark/>
          </w:tcPr>
          <w:p w:rsidRPr="006E5AE7" w:rsidR="006E5AE7" w:rsidP="006E5AE7" w:rsidRDefault="006E5AE7" w14:paraId="0FBEEF35" w14:textId="5CB9227A">
            <w:pPr>
              <w:spacing w:after="0" w:line="240" w:lineRule="auto"/>
              <w:jc w:val="left"/>
              <w:rPr>
                <w:rFonts w:eastAsia="Times New Roman" w:cs="Arial"/>
                <w:b/>
                <w:color w:val="000000"/>
                <w:lang w:eastAsia="en-GB"/>
              </w:rPr>
            </w:pPr>
            <w:r w:rsidRPr="006E5AE7">
              <w:rPr>
                <w:rFonts w:eastAsia="Times New Roman" w:cs="Arial"/>
                <w:b/>
                <w:color w:val="000000"/>
                <w:lang w:eastAsia="en-GB"/>
              </w:rPr>
              <w:t>Date/Time</w:t>
            </w:r>
            <w:r w:rsidR="002402D7">
              <w:rPr>
                <w:rFonts w:eastAsia="Times New Roman" w:cs="Arial"/>
                <w:b/>
                <w:color w:val="000000"/>
                <w:lang w:eastAsia="en-GB"/>
              </w:rPr>
              <w:t xml:space="preserve"> of Task</w:t>
            </w:r>
          </w:p>
        </w:tc>
        <w:tc>
          <w:tcPr>
            <w:tcW w:w="2649" w:type="dxa"/>
            <w:shd w:val="clear" w:color="auto" w:fill="D9D9D9" w:themeFill="background1" w:themeFillShade="D9"/>
            <w:hideMark/>
          </w:tcPr>
          <w:p w:rsidR="006E5AE7" w:rsidP="006E5AE7" w:rsidRDefault="006E5AE7" w14:paraId="1D83D064" w14:textId="4D3E32C9">
            <w:pPr>
              <w:spacing w:after="0" w:line="240" w:lineRule="auto"/>
              <w:jc w:val="left"/>
              <w:rPr>
                <w:rFonts w:eastAsia="Times New Roman" w:cs="Arial"/>
                <w:b/>
                <w:color w:val="000000"/>
                <w:lang w:eastAsia="en-GB"/>
              </w:rPr>
            </w:pPr>
            <w:r w:rsidRPr="006E5AE7">
              <w:rPr>
                <w:rFonts w:eastAsia="Times New Roman" w:cs="Arial"/>
                <w:b/>
                <w:color w:val="000000"/>
                <w:lang w:eastAsia="en-GB"/>
              </w:rPr>
              <w:t>Service Description</w:t>
            </w:r>
          </w:p>
          <w:p w:rsidRPr="006E5AE7" w:rsidR="006E5AE7" w:rsidP="006E5AE7" w:rsidRDefault="006E5AE7" w14:paraId="2AEB6EAA" w14:textId="2AF06A02">
            <w:pPr>
              <w:spacing w:after="0" w:line="240" w:lineRule="auto"/>
              <w:jc w:val="left"/>
              <w:rPr>
                <w:rFonts w:eastAsia="Times New Roman" w:cs="Arial"/>
                <w:b/>
                <w:color w:val="000000"/>
                <w:lang w:eastAsia="en-GB"/>
              </w:rPr>
            </w:pPr>
            <w:r>
              <w:rPr>
                <w:rFonts w:eastAsia="Times New Roman" w:cs="Arial"/>
                <w:color w:val="000000"/>
                <w:lang w:eastAsia="en-GB"/>
              </w:rPr>
              <w:t>(s</w:t>
            </w:r>
            <w:r w:rsidRPr="006E5AE7">
              <w:rPr>
                <w:rFonts w:eastAsia="Times New Roman" w:cs="Arial"/>
                <w:color w:val="000000"/>
                <w:lang w:eastAsia="en-GB"/>
              </w:rPr>
              <w:t>imple description of Task delivered</w:t>
            </w:r>
            <w:r>
              <w:rPr>
                <w:rFonts w:eastAsia="Times New Roman" w:cs="Arial"/>
                <w:color w:val="000000"/>
                <w:lang w:eastAsia="en-GB"/>
              </w:rPr>
              <w:t>)</w:t>
            </w:r>
          </w:p>
        </w:tc>
        <w:tc>
          <w:tcPr>
            <w:tcW w:w="2314" w:type="dxa"/>
            <w:shd w:val="clear" w:color="auto" w:fill="D9D9D9" w:themeFill="background1" w:themeFillShade="D9"/>
            <w:hideMark/>
          </w:tcPr>
          <w:p w:rsidR="006E5AE7" w:rsidP="006E5AE7" w:rsidRDefault="006E5AE7" w14:paraId="41CB0453" w14:textId="6C8BB9D9">
            <w:pPr>
              <w:spacing w:after="0" w:line="240" w:lineRule="auto"/>
              <w:jc w:val="left"/>
              <w:rPr>
                <w:rFonts w:eastAsia="Times New Roman" w:cs="Arial"/>
                <w:color w:val="000000"/>
                <w:lang w:eastAsia="en-GB"/>
              </w:rPr>
            </w:pPr>
            <w:r w:rsidRPr="006E5AE7">
              <w:rPr>
                <w:rFonts w:eastAsia="Times New Roman" w:cs="Arial"/>
                <w:b/>
                <w:color w:val="000000"/>
                <w:lang w:eastAsia="en-GB"/>
              </w:rPr>
              <w:t>O</w:t>
            </w:r>
            <w:r w:rsidR="00212029">
              <w:rPr>
                <w:rFonts w:eastAsia="Times New Roman" w:cs="Arial"/>
                <w:b/>
                <w:color w:val="000000"/>
                <w:lang w:eastAsia="en-GB"/>
              </w:rPr>
              <w:t>n Time in Full</w:t>
            </w:r>
            <w:r w:rsidRPr="006E5AE7">
              <w:rPr>
                <w:rFonts w:eastAsia="Times New Roman" w:cs="Arial"/>
                <w:b/>
                <w:color w:val="000000"/>
                <w:lang w:eastAsia="en-GB"/>
              </w:rPr>
              <w:t xml:space="preserve"> score 1 - 5</w:t>
            </w:r>
            <w:r w:rsidRPr="006E5AE7">
              <w:rPr>
                <w:rFonts w:eastAsia="Times New Roman" w:cs="Arial"/>
                <w:color w:val="000000"/>
                <w:lang w:eastAsia="en-GB"/>
              </w:rPr>
              <w:t xml:space="preserve"> </w:t>
            </w:r>
          </w:p>
          <w:p w:rsidR="006E5AE7" w:rsidP="006E5AE7" w:rsidRDefault="006E5AE7" w14:paraId="25560A0B" w14:textId="77777777">
            <w:pPr>
              <w:spacing w:after="0" w:line="240" w:lineRule="auto"/>
              <w:jc w:val="left"/>
              <w:rPr>
                <w:rFonts w:eastAsia="Times New Roman" w:cs="Arial"/>
                <w:color w:val="000000"/>
                <w:lang w:eastAsia="en-GB"/>
              </w:rPr>
            </w:pPr>
            <w:r>
              <w:rPr>
                <w:rFonts w:eastAsia="Times New Roman" w:cs="Arial"/>
                <w:color w:val="000000"/>
                <w:lang w:eastAsia="en-GB"/>
              </w:rPr>
              <w:t>(</w:t>
            </w:r>
            <w:r w:rsidRPr="006E5AE7">
              <w:rPr>
                <w:rFonts w:eastAsia="Times New Roman" w:cs="Arial"/>
                <w:color w:val="000000"/>
                <w:lang w:eastAsia="en-GB"/>
              </w:rPr>
              <w:t xml:space="preserve">where 1 = requires improvement </w:t>
            </w:r>
            <w:r w:rsidRPr="006E5AE7">
              <w:rPr>
                <w:rFonts w:eastAsia="Times New Roman" w:cs="Arial"/>
                <w:color w:val="000000"/>
                <w:lang w:eastAsia="en-GB"/>
              </w:rPr>
              <w:br/>
            </w:r>
            <w:r w:rsidRPr="006E5AE7">
              <w:rPr>
                <w:rFonts w:eastAsia="Times New Roman" w:cs="Arial"/>
                <w:color w:val="000000"/>
                <w:lang w:eastAsia="en-GB"/>
              </w:rPr>
              <w:t>5 = exemplary delivery</w:t>
            </w:r>
            <w:r>
              <w:rPr>
                <w:rFonts w:eastAsia="Times New Roman" w:cs="Arial"/>
                <w:color w:val="000000"/>
                <w:lang w:eastAsia="en-GB"/>
              </w:rPr>
              <w:t>)</w:t>
            </w:r>
          </w:p>
          <w:p w:rsidRPr="006E5AE7" w:rsidR="006E5AE7" w:rsidP="006E5AE7" w:rsidRDefault="006E5AE7" w14:paraId="25014241" w14:textId="405C05C4">
            <w:pPr>
              <w:spacing w:after="0" w:line="240" w:lineRule="auto"/>
              <w:jc w:val="left"/>
              <w:rPr>
                <w:rFonts w:eastAsia="Times New Roman" w:cs="Arial"/>
                <w:b/>
                <w:color w:val="000000"/>
                <w:lang w:eastAsia="en-GB"/>
              </w:rPr>
            </w:pPr>
          </w:p>
        </w:tc>
        <w:tc>
          <w:tcPr>
            <w:tcW w:w="2315" w:type="dxa"/>
            <w:shd w:val="clear" w:color="auto" w:fill="D9D9D9" w:themeFill="background1" w:themeFillShade="D9"/>
            <w:hideMark/>
          </w:tcPr>
          <w:p w:rsidR="006E5AE7" w:rsidP="006E5AE7" w:rsidRDefault="006E5AE7" w14:paraId="3AB6F0CE" w14:textId="77777777">
            <w:pPr>
              <w:spacing w:after="0" w:line="240" w:lineRule="auto"/>
              <w:jc w:val="left"/>
              <w:rPr>
                <w:rFonts w:eastAsia="Times New Roman" w:cs="Arial"/>
                <w:color w:val="000000"/>
                <w:lang w:eastAsia="en-GB"/>
              </w:rPr>
            </w:pPr>
            <w:r w:rsidRPr="006E5AE7">
              <w:rPr>
                <w:rFonts w:eastAsia="Times New Roman" w:cs="Arial"/>
                <w:b/>
                <w:color w:val="000000"/>
                <w:lang w:eastAsia="en-GB"/>
              </w:rPr>
              <w:t>Quality score 1 - 5</w:t>
            </w:r>
            <w:r w:rsidRPr="006E5AE7">
              <w:rPr>
                <w:rFonts w:eastAsia="Times New Roman" w:cs="Arial"/>
                <w:color w:val="000000"/>
                <w:lang w:eastAsia="en-GB"/>
              </w:rPr>
              <w:t xml:space="preserve"> </w:t>
            </w:r>
          </w:p>
          <w:p w:rsidRPr="006E5AE7" w:rsidR="006E5AE7" w:rsidP="006E5AE7" w:rsidRDefault="006E5AE7" w14:paraId="3C5790EE" w14:textId="749F77B0">
            <w:pPr>
              <w:spacing w:after="0" w:line="240" w:lineRule="auto"/>
              <w:jc w:val="left"/>
              <w:rPr>
                <w:rFonts w:eastAsia="Times New Roman" w:cs="Arial"/>
                <w:b/>
                <w:color w:val="000000"/>
                <w:lang w:eastAsia="en-GB"/>
              </w:rPr>
            </w:pPr>
            <w:r>
              <w:rPr>
                <w:rFonts w:eastAsia="Times New Roman" w:cs="Arial"/>
                <w:color w:val="000000"/>
                <w:lang w:eastAsia="en-GB"/>
              </w:rPr>
              <w:t>(</w:t>
            </w:r>
            <w:r w:rsidRPr="006E5AE7">
              <w:rPr>
                <w:rFonts w:eastAsia="Times New Roman" w:cs="Arial"/>
                <w:color w:val="000000"/>
                <w:lang w:eastAsia="en-GB"/>
              </w:rPr>
              <w:t xml:space="preserve">where 1 = requires improvement </w:t>
            </w:r>
            <w:r w:rsidRPr="006E5AE7">
              <w:rPr>
                <w:rFonts w:eastAsia="Times New Roman" w:cs="Arial"/>
                <w:color w:val="000000"/>
                <w:lang w:eastAsia="en-GB"/>
              </w:rPr>
              <w:br/>
            </w:r>
            <w:r w:rsidRPr="006E5AE7">
              <w:rPr>
                <w:rFonts w:eastAsia="Times New Roman" w:cs="Arial"/>
                <w:color w:val="000000"/>
                <w:lang w:eastAsia="en-GB"/>
              </w:rPr>
              <w:t>5 = exemplary delivery</w:t>
            </w:r>
            <w:r>
              <w:rPr>
                <w:rFonts w:eastAsia="Times New Roman" w:cs="Arial"/>
                <w:color w:val="000000"/>
                <w:lang w:eastAsia="en-GB"/>
              </w:rPr>
              <w:t>)</w:t>
            </w:r>
          </w:p>
        </w:tc>
        <w:tc>
          <w:tcPr>
            <w:tcW w:w="2314" w:type="dxa"/>
            <w:shd w:val="clear" w:color="auto" w:fill="D9D9D9" w:themeFill="background1" w:themeFillShade="D9"/>
            <w:hideMark/>
          </w:tcPr>
          <w:p w:rsidR="006E5AE7" w:rsidP="006E5AE7" w:rsidRDefault="006E5AE7" w14:paraId="3C0E5989" w14:textId="77777777">
            <w:pPr>
              <w:spacing w:after="0" w:line="240" w:lineRule="auto"/>
              <w:jc w:val="left"/>
              <w:rPr>
                <w:rFonts w:eastAsia="Times New Roman" w:cs="Arial"/>
                <w:color w:val="000000"/>
                <w:lang w:eastAsia="en-GB"/>
              </w:rPr>
            </w:pPr>
            <w:r w:rsidRPr="006E5AE7">
              <w:rPr>
                <w:rFonts w:eastAsia="Times New Roman" w:cs="Arial"/>
                <w:b/>
                <w:color w:val="000000"/>
                <w:lang w:eastAsia="en-GB"/>
              </w:rPr>
              <w:t>Safety score 1 - 5</w:t>
            </w:r>
            <w:r w:rsidRPr="006E5AE7">
              <w:rPr>
                <w:rFonts w:eastAsia="Times New Roman" w:cs="Arial"/>
                <w:color w:val="000000"/>
                <w:lang w:eastAsia="en-GB"/>
              </w:rPr>
              <w:t xml:space="preserve"> </w:t>
            </w:r>
          </w:p>
          <w:p w:rsidRPr="006E5AE7" w:rsidR="006E5AE7" w:rsidP="006E5AE7" w:rsidRDefault="006E5AE7" w14:paraId="065FC1B9" w14:textId="44D77FE5">
            <w:pPr>
              <w:spacing w:after="0" w:line="240" w:lineRule="auto"/>
              <w:jc w:val="left"/>
              <w:rPr>
                <w:rFonts w:eastAsia="Times New Roman" w:cs="Arial"/>
                <w:b/>
                <w:color w:val="000000"/>
                <w:lang w:eastAsia="en-GB"/>
              </w:rPr>
            </w:pPr>
            <w:r>
              <w:rPr>
                <w:rFonts w:eastAsia="Times New Roman" w:cs="Arial"/>
                <w:color w:val="000000"/>
                <w:lang w:eastAsia="en-GB"/>
              </w:rPr>
              <w:t>(</w:t>
            </w:r>
            <w:r w:rsidRPr="006E5AE7">
              <w:rPr>
                <w:rFonts w:eastAsia="Times New Roman" w:cs="Arial"/>
                <w:color w:val="000000"/>
                <w:lang w:eastAsia="en-GB"/>
              </w:rPr>
              <w:t xml:space="preserve">where 1 = requires improvement </w:t>
            </w:r>
            <w:r w:rsidRPr="006E5AE7">
              <w:rPr>
                <w:rFonts w:eastAsia="Times New Roman" w:cs="Arial"/>
                <w:color w:val="000000"/>
                <w:lang w:eastAsia="en-GB"/>
              </w:rPr>
              <w:br/>
            </w:r>
            <w:r w:rsidRPr="006E5AE7">
              <w:rPr>
                <w:rFonts w:eastAsia="Times New Roman" w:cs="Arial"/>
                <w:color w:val="000000"/>
                <w:lang w:eastAsia="en-GB"/>
              </w:rPr>
              <w:t>5 = exemplary delivery</w:t>
            </w:r>
            <w:r>
              <w:rPr>
                <w:rFonts w:eastAsia="Times New Roman" w:cs="Arial"/>
                <w:color w:val="000000"/>
                <w:lang w:eastAsia="en-GB"/>
              </w:rPr>
              <w:t>)</w:t>
            </w:r>
          </w:p>
        </w:tc>
        <w:tc>
          <w:tcPr>
            <w:tcW w:w="2315" w:type="dxa"/>
            <w:shd w:val="clear" w:color="auto" w:fill="D9D9D9" w:themeFill="background1" w:themeFillShade="D9"/>
            <w:hideMark/>
          </w:tcPr>
          <w:p w:rsidR="006E5AE7" w:rsidP="006E5AE7" w:rsidRDefault="006E5AE7" w14:paraId="75CD47F9" w14:textId="77777777">
            <w:pPr>
              <w:spacing w:after="0" w:line="240" w:lineRule="auto"/>
              <w:jc w:val="left"/>
              <w:rPr>
                <w:rFonts w:eastAsia="Times New Roman" w:cs="Arial"/>
                <w:color w:val="000000"/>
                <w:lang w:eastAsia="en-GB"/>
              </w:rPr>
            </w:pPr>
            <w:r w:rsidRPr="006E5AE7">
              <w:rPr>
                <w:rFonts w:eastAsia="Times New Roman" w:cs="Arial"/>
                <w:b/>
                <w:color w:val="000000"/>
                <w:lang w:eastAsia="en-GB"/>
              </w:rPr>
              <w:t>Comments (if necessary)</w:t>
            </w:r>
            <w:r w:rsidRPr="006E5AE7">
              <w:rPr>
                <w:rFonts w:eastAsia="Times New Roman" w:cs="Arial"/>
                <w:color w:val="000000"/>
                <w:lang w:eastAsia="en-GB"/>
              </w:rPr>
              <w:t xml:space="preserve"> </w:t>
            </w:r>
          </w:p>
          <w:p w:rsidRPr="006E5AE7" w:rsidR="006E5AE7" w:rsidP="00212029" w:rsidRDefault="006E5AE7" w14:paraId="22977FB8" w14:textId="4B8B7E78">
            <w:pPr>
              <w:spacing w:after="0" w:line="240" w:lineRule="auto"/>
              <w:jc w:val="left"/>
              <w:rPr>
                <w:rFonts w:eastAsia="Times New Roman" w:cs="Arial"/>
                <w:b/>
                <w:color w:val="000000"/>
                <w:lang w:eastAsia="en-GB"/>
              </w:rPr>
            </w:pPr>
            <w:r>
              <w:rPr>
                <w:rFonts w:eastAsia="Times New Roman" w:cs="Arial"/>
                <w:color w:val="000000"/>
                <w:lang w:eastAsia="en-GB"/>
              </w:rPr>
              <w:t>(</w:t>
            </w:r>
            <w:r w:rsidRPr="006E5AE7">
              <w:rPr>
                <w:rFonts w:eastAsia="Times New Roman" w:cs="Arial"/>
                <w:color w:val="000000"/>
                <w:lang w:eastAsia="en-GB"/>
              </w:rPr>
              <w:t xml:space="preserve">Contractor to link </w:t>
            </w:r>
            <w:r>
              <w:rPr>
                <w:rFonts w:eastAsia="Times New Roman" w:cs="Arial"/>
                <w:color w:val="000000"/>
                <w:lang w:eastAsia="en-GB"/>
              </w:rPr>
              <w:t>T</w:t>
            </w:r>
            <w:r w:rsidR="00212029">
              <w:rPr>
                <w:rFonts w:eastAsia="Times New Roman" w:cs="Arial"/>
                <w:color w:val="000000"/>
                <w:lang w:eastAsia="en-GB"/>
              </w:rPr>
              <w:t>ask delivered to SOR Line I</w:t>
            </w:r>
            <w:r w:rsidRPr="006E5AE7">
              <w:rPr>
                <w:rFonts w:eastAsia="Times New Roman" w:cs="Arial"/>
                <w:color w:val="000000"/>
                <w:lang w:eastAsia="en-GB"/>
              </w:rPr>
              <w:t>tem</w:t>
            </w:r>
            <w:r w:rsidR="00212029">
              <w:rPr>
                <w:rFonts w:eastAsia="Times New Roman" w:cs="Arial"/>
                <w:color w:val="000000"/>
                <w:lang w:eastAsia="en-GB"/>
              </w:rPr>
              <w:t>; End U</w:t>
            </w:r>
            <w:r w:rsidRPr="006E5AE7">
              <w:rPr>
                <w:rFonts w:eastAsia="Times New Roman" w:cs="Arial"/>
                <w:color w:val="000000"/>
                <w:lang w:eastAsia="en-GB"/>
              </w:rPr>
              <w:t>ser to comment on any/all 1 or 5 scores given</w:t>
            </w:r>
            <w:r w:rsidR="00212029">
              <w:rPr>
                <w:rFonts w:eastAsia="Times New Roman" w:cs="Arial"/>
                <w:color w:val="000000"/>
                <w:lang w:eastAsia="en-GB"/>
              </w:rPr>
              <w:t xml:space="preserve"> for On Time in Full</w:t>
            </w:r>
          </w:p>
        </w:tc>
      </w:tr>
      <w:tr w:rsidRPr="006E5AE7" w:rsidR="006E5AE7" w:rsidTr="004F5B2B" w14:paraId="12700B3F" w14:textId="77777777">
        <w:tc>
          <w:tcPr>
            <w:tcW w:w="1980" w:type="dxa"/>
          </w:tcPr>
          <w:p w:rsidRPr="006E5AE7" w:rsidR="006E5AE7" w:rsidP="008A20BD" w:rsidRDefault="006E5AE7" w14:paraId="160D6863" w14:textId="77777777">
            <w:pPr>
              <w:pStyle w:val="BodyText"/>
              <w:rPr>
                <w:rFonts w:cs="Arial"/>
                <w:highlight w:val="yellow"/>
              </w:rPr>
            </w:pPr>
          </w:p>
        </w:tc>
        <w:tc>
          <w:tcPr>
            <w:tcW w:w="2649" w:type="dxa"/>
          </w:tcPr>
          <w:p w:rsidRPr="006E5AE7" w:rsidR="006E5AE7" w:rsidP="008A20BD" w:rsidRDefault="006E5AE7" w14:paraId="1B6A4C33" w14:textId="77777777">
            <w:pPr>
              <w:pStyle w:val="BodyText"/>
              <w:rPr>
                <w:rFonts w:cs="Arial"/>
                <w:highlight w:val="yellow"/>
              </w:rPr>
            </w:pPr>
          </w:p>
        </w:tc>
        <w:tc>
          <w:tcPr>
            <w:tcW w:w="2314" w:type="dxa"/>
          </w:tcPr>
          <w:p w:rsidRPr="006E5AE7" w:rsidR="006E5AE7" w:rsidP="008A20BD" w:rsidRDefault="006E5AE7" w14:paraId="57F9F6C6" w14:textId="77777777">
            <w:pPr>
              <w:pStyle w:val="BodyText"/>
              <w:rPr>
                <w:rFonts w:cs="Arial"/>
                <w:highlight w:val="yellow"/>
              </w:rPr>
            </w:pPr>
          </w:p>
        </w:tc>
        <w:tc>
          <w:tcPr>
            <w:tcW w:w="2315" w:type="dxa"/>
          </w:tcPr>
          <w:p w:rsidRPr="006E5AE7" w:rsidR="006E5AE7" w:rsidP="008A20BD" w:rsidRDefault="006E5AE7" w14:paraId="2B7CF740" w14:textId="77777777">
            <w:pPr>
              <w:pStyle w:val="BodyText"/>
              <w:rPr>
                <w:rFonts w:cs="Arial"/>
                <w:highlight w:val="yellow"/>
              </w:rPr>
            </w:pPr>
          </w:p>
        </w:tc>
        <w:tc>
          <w:tcPr>
            <w:tcW w:w="2314" w:type="dxa"/>
          </w:tcPr>
          <w:p w:rsidRPr="006E5AE7" w:rsidR="006E5AE7" w:rsidP="008A20BD" w:rsidRDefault="006E5AE7" w14:paraId="74262C9C" w14:textId="77777777">
            <w:pPr>
              <w:pStyle w:val="BodyText"/>
              <w:rPr>
                <w:rFonts w:cs="Arial"/>
                <w:highlight w:val="yellow"/>
              </w:rPr>
            </w:pPr>
          </w:p>
        </w:tc>
        <w:tc>
          <w:tcPr>
            <w:tcW w:w="2315" w:type="dxa"/>
          </w:tcPr>
          <w:p w:rsidRPr="006E5AE7" w:rsidR="006E5AE7" w:rsidP="008A20BD" w:rsidRDefault="006E5AE7" w14:paraId="778A5F1E" w14:textId="77777777">
            <w:pPr>
              <w:pStyle w:val="BodyText"/>
              <w:rPr>
                <w:rFonts w:cs="Arial"/>
                <w:highlight w:val="yellow"/>
              </w:rPr>
            </w:pPr>
          </w:p>
        </w:tc>
      </w:tr>
      <w:tr w:rsidRPr="006E5AE7" w:rsidR="006E5AE7" w:rsidTr="004F5B2B" w14:paraId="6553884F" w14:textId="77777777">
        <w:tc>
          <w:tcPr>
            <w:tcW w:w="1980" w:type="dxa"/>
          </w:tcPr>
          <w:p w:rsidRPr="006E5AE7" w:rsidR="006E5AE7" w:rsidP="008A20BD" w:rsidRDefault="006E5AE7" w14:paraId="6F6C2169" w14:textId="77777777">
            <w:pPr>
              <w:pStyle w:val="BodyText"/>
              <w:rPr>
                <w:rFonts w:cs="Arial"/>
                <w:highlight w:val="yellow"/>
              </w:rPr>
            </w:pPr>
          </w:p>
        </w:tc>
        <w:tc>
          <w:tcPr>
            <w:tcW w:w="2649" w:type="dxa"/>
          </w:tcPr>
          <w:p w:rsidRPr="006E5AE7" w:rsidR="006E5AE7" w:rsidP="008A20BD" w:rsidRDefault="006E5AE7" w14:paraId="224ABBD2" w14:textId="77777777">
            <w:pPr>
              <w:pStyle w:val="BodyText"/>
              <w:rPr>
                <w:rFonts w:cs="Arial"/>
                <w:highlight w:val="yellow"/>
              </w:rPr>
            </w:pPr>
          </w:p>
        </w:tc>
        <w:tc>
          <w:tcPr>
            <w:tcW w:w="2314" w:type="dxa"/>
          </w:tcPr>
          <w:p w:rsidRPr="006E5AE7" w:rsidR="006E5AE7" w:rsidP="008A20BD" w:rsidRDefault="006E5AE7" w14:paraId="281438BD" w14:textId="77777777">
            <w:pPr>
              <w:pStyle w:val="BodyText"/>
              <w:rPr>
                <w:rFonts w:cs="Arial"/>
                <w:highlight w:val="yellow"/>
              </w:rPr>
            </w:pPr>
          </w:p>
        </w:tc>
        <w:tc>
          <w:tcPr>
            <w:tcW w:w="2315" w:type="dxa"/>
          </w:tcPr>
          <w:p w:rsidRPr="006E5AE7" w:rsidR="006E5AE7" w:rsidP="008A20BD" w:rsidRDefault="006E5AE7" w14:paraId="2AD16F25" w14:textId="77777777">
            <w:pPr>
              <w:pStyle w:val="BodyText"/>
              <w:rPr>
                <w:rFonts w:cs="Arial"/>
                <w:highlight w:val="yellow"/>
              </w:rPr>
            </w:pPr>
          </w:p>
        </w:tc>
        <w:tc>
          <w:tcPr>
            <w:tcW w:w="2314" w:type="dxa"/>
          </w:tcPr>
          <w:p w:rsidRPr="006E5AE7" w:rsidR="006E5AE7" w:rsidP="008A20BD" w:rsidRDefault="006E5AE7" w14:paraId="3FA1B908" w14:textId="77777777">
            <w:pPr>
              <w:pStyle w:val="BodyText"/>
              <w:rPr>
                <w:rFonts w:cs="Arial"/>
                <w:highlight w:val="yellow"/>
              </w:rPr>
            </w:pPr>
          </w:p>
        </w:tc>
        <w:tc>
          <w:tcPr>
            <w:tcW w:w="2315" w:type="dxa"/>
          </w:tcPr>
          <w:p w:rsidRPr="006E5AE7" w:rsidR="006E5AE7" w:rsidP="008A20BD" w:rsidRDefault="006E5AE7" w14:paraId="3A443289" w14:textId="77777777">
            <w:pPr>
              <w:pStyle w:val="BodyText"/>
              <w:rPr>
                <w:rFonts w:cs="Arial"/>
                <w:highlight w:val="yellow"/>
              </w:rPr>
            </w:pPr>
          </w:p>
        </w:tc>
      </w:tr>
      <w:tr w:rsidRPr="006E5AE7" w:rsidR="006E5AE7" w:rsidTr="004F5B2B" w14:paraId="552E0C96" w14:textId="77777777">
        <w:tc>
          <w:tcPr>
            <w:tcW w:w="1980" w:type="dxa"/>
          </w:tcPr>
          <w:p w:rsidRPr="006E5AE7" w:rsidR="006E5AE7" w:rsidP="008A20BD" w:rsidRDefault="006E5AE7" w14:paraId="50A13709" w14:textId="77777777">
            <w:pPr>
              <w:pStyle w:val="BodyText"/>
              <w:rPr>
                <w:rFonts w:cs="Arial"/>
                <w:highlight w:val="yellow"/>
              </w:rPr>
            </w:pPr>
          </w:p>
        </w:tc>
        <w:tc>
          <w:tcPr>
            <w:tcW w:w="2649" w:type="dxa"/>
          </w:tcPr>
          <w:p w:rsidRPr="006E5AE7" w:rsidR="006E5AE7" w:rsidP="008A20BD" w:rsidRDefault="006E5AE7" w14:paraId="53C9232B" w14:textId="77777777">
            <w:pPr>
              <w:pStyle w:val="BodyText"/>
              <w:rPr>
                <w:rFonts w:cs="Arial"/>
                <w:highlight w:val="yellow"/>
              </w:rPr>
            </w:pPr>
          </w:p>
        </w:tc>
        <w:tc>
          <w:tcPr>
            <w:tcW w:w="2314" w:type="dxa"/>
          </w:tcPr>
          <w:p w:rsidRPr="006E5AE7" w:rsidR="006E5AE7" w:rsidP="008A20BD" w:rsidRDefault="006E5AE7" w14:paraId="66570CB9" w14:textId="77777777">
            <w:pPr>
              <w:pStyle w:val="BodyText"/>
              <w:rPr>
                <w:rFonts w:cs="Arial"/>
                <w:highlight w:val="yellow"/>
              </w:rPr>
            </w:pPr>
          </w:p>
        </w:tc>
        <w:tc>
          <w:tcPr>
            <w:tcW w:w="2315" w:type="dxa"/>
          </w:tcPr>
          <w:p w:rsidRPr="006E5AE7" w:rsidR="006E5AE7" w:rsidP="008A20BD" w:rsidRDefault="006E5AE7" w14:paraId="349008D3" w14:textId="77777777">
            <w:pPr>
              <w:pStyle w:val="BodyText"/>
              <w:rPr>
                <w:rFonts w:cs="Arial"/>
                <w:highlight w:val="yellow"/>
              </w:rPr>
            </w:pPr>
          </w:p>
        </w:tc>
        <w:tc>
          <w:tcPr>
            <w:tcW w:w="2314" w:type="dxa"/>
          </w:tcPr>
          <w:p w:rsidRPr="006E5AE7" w:rsidR="006E5AE7" w:rsidP="008A20BD" w:rsidRDefault="006E5AE7" w14:paraId="14AF448C" w14:textId="77777777">
            <w:pPr>
              <w:pStyle w:val="BodyText"/>
              <w:rPr>
                <w:rFonts w:cs="Arial"/>
                <w:highlight w:val="yellow"/>
              </w:rPr>
            </w:pPr>
          </w:p>
        </w:tc>
        <w:tc>
          <w:tcPr>
            <w:tcW w:w="2315" w:type="dxa"/>
          </w:tcPr>
          <w:p w:rsidRPr="006E5AE7" w:rsidR="006E5AE7" w:rsidP="008A20BD" w:rsidRDefault="006E5AE7" w14:paraId="22E563B0" w14:textId="77777777">
            <w:pPr>
              <w:pStyle w:val="BodyText"/>
              <w:rPr>
                <w:rFonts w:cs="Arial"/>
                <w:highlight w:val="yellow"/>
              </w:rPr>
            </w:pPr>
          </w:p>
        </w:tc>
      </w:tr>
      <w:tr w:rsidRPr="006E5AE7" w:rsidR="006E5AE7" w:rsidTr="004F5B2B" w14:paraId="3BB454DF" w14:textId="77777777">
        <w:tc>
          <w:tcPr>
            <w:tcW w:w="1980" w:type="dxa"/>
          </w:tcPr>
          <w:p w:rsidRPr="006E5AE7" w:rsidR="006E5AE7" w:rsidP="008A20BD" w:rsidRDefault="006E5AE7" w14:paraId="62A5B26D" w14:textId="77777777">
            <w:pPr>
              <w:pStyle w:val="BodyText"/>
              <w:rPr>
                <w:rFonts w:cs="Arial"/>
                <w:highlight w:val="yellow"/>
              </w:rPr>
            </w:pPr>
          </w:p>
        </w:tc>
        <w:tc>
          <w:tcPr>
            <w:tcW w:w="2649" w:type="dxa"/>
          </w:tcPr>
          <w:p w:rsidRPr="006E5AE7" w:rsidR="006E5AE7" w:rsidP="008A20BD" w:rsidRDefault="006E5AE7" w14:paraId="09BAFAEF" w14:textId="77777777">
            <w:pPr>
              <w:pStyle w:val="BodyText"/>
              <w:rPr>
                <w:rFonts w:cs="Arial"/>
                <w:highlight w:val="yellow"/>
              </w:rPr>
            </w:pPr>
          </w:p>
        </w:tc>
        <w:tc>
          <w:tcPr>
            <w:tcW w:w="2314" w:type="dxa"/>
          </w:tcPr>
          <w:p w:rsidRPr="006E5AE7" w:rsidR="006E5AE7" w:rsidP="008A20BD" w:rsidRDefault="006E5AE7" w14:paraId="6539558C" w14:textId="77777777">
            <w:pPr>
              <w:pStyle w:val="BodyText"/>
              <w:rPr>
                <w:rFonts w:cs="Arial"/>
                <w:highlight w:val="yellow"/>
              </w:rPr>
            </w:pPr>
          </w:p>
        </w:tc>
        <w:tc>
          <w:tcPr>
            <w:tcW w:w="2315" w:type="dxa"/>
          </w:tcPr>
          <w:p w:rsidRPr="006E5AE7" w:rsidR="006E5AE7" w:rsidP="008A20BD" w:rsidRDefault="006E5AE7" w14:paraId="6393DAF0" w14:textId="77777777">
            <w:pPr>
              <w:pStyle w:val="BodyText"/>
              <w:rPr>
                <w:rFonts w:cs="Arial"/>
                <w:highlight w:val="yellow"/>
              </w:rPr>
            </w:pPr>
          </w:p>
        </w:tc>
        <w:tc>
          <w:tcPr>
            <w:tcW w:w="2314" w:type="dxa"/>
          </w:tcPr>
          <w:p w:rsidRPr="006E5AE7" w:rsidR="006E5AE7" w:rsidP="008A20BD" w:rsidRDefault="006E5AE7" w14:paraId="3A43056D" w14:textId="77777777">
            <w:pPr>
              <w:pStyle w:val="BodyText"/>
              <w:rPr>
                <w:rFonts w:cs="Arial"/>
                <w:highlight w:val="yellow"/>
              </w:rPr>
            </w:pPr>
          </w:p>
        </w:tc>
        <w:tc>
          <w:tcPr>
            <w:tcW w:w="2315" w:type="dxa"/>
          </w:tcPr>
          <w:p w:rsidRPr="006E5AE7" w:rsidR="006E5AE7" w:rsidP="008A20BD" w:rsidRDefault="006E5AE7" w14:paraId="3833F114" w14:textId="77777777">
            <w:pPr>
              <w:pStyle w:val="BodyText"/>
              <w:rPr>
                <w:rFonts w:cs="Arial"/>
                <w:highlight w:val="yellow"/>
              </w:rPr>
            </w:pPr>
          </w:p>
        </w:tc>
      </w:tr>
      <w:tr w:rsidRPr="006E5AE7" w:rsidR="006E5AE7" w:rsidTr="004F5B2B" w14:paraId="5BA9864E" w14:textId="77777777">
        <w:tc>
          <w:tcPr>
            <w:tcW w:w="1980" w:type="dxa"/>
          </w:tcPr>
          <w:p w:rsidRPr="006E5AE7" w:rsidR="006E5AE7" w:rsidP="008A20BD" w:rsidRDefault="006E5AE7" w14:paraId="1028C93B" w14:textId="77777777">
            <w:pPr>
              <w:pStyle w:val="BodyText"/>
              <w:rPr>
                <w:rFonts w:cs="Arial"/>
                <w:highlight w:val="yellow"/>
              </w:rPr>
            </w:pPr>
          </w:p>
        </w:tc>
        <w:tc>
          <w:tcPr>
            <w:tcW w:w="2649" w:type="dxa"/>
          </w:tcPr>
          <w:p w:rsidRPr="006E5AE7" w:rsidR="006E5AE7" w:rsidP="008A20BD" w:rsidRDefault="006E5AE7" w14:paraId="07BC8439" w14:textId="77777777">
            <w:pPr>
              <w:pStyle w:val="BodyText"/>
              <w:rPr>
                <w:rFonts w:cs="Arial"/>
                <w:highlight w:val="yellow"/>
              </w:rPr>
            </w:pPr>
          </w:p>
        </w:tc>
        <w:tc>
          <w:tcPr>
            <w:tcW w:w="2314" w:type="dxa"/>
          </w:tcPr>
          <w:p w:rsidRPr="006E5AE7" w:rsidR="006E5AE7" w:rsidP="008A20BD" w:rsidRDefault="006E5AE7" w14:paraId="6629437D" w14:textId="77777777">
            <w:pPr>
              <w:pStyle w:val="BodyText"/>
              <w:rPr>
                <w:rFonts w:cs="Arial"/>
                <w:highlight w:val="yellow"/>
              </w:rPr>
            </w:pPr>
          </w:p>
        </w:tc>
        <w:tc>
          <w:tcPr>
            <w:tcW w:w="2315" w:type="dxa"/>
          </w:tcPr>
          <w:p w:rsidRPr="006E5AE7" w:rsidR="006E5AE7" w:rsidP="008A20BD" w:rsidRDefault="006E5AE7" w14:paraId="580F08DF" w14:textId="77777777">
            <w:pPr>
              <w:pStyle w:val="BodyText"/>
              <w:rPr>
                <w:rFonts w:cs="Arial"/>
                <w:highlight w:val="yellow"/>
              </w:rPr>
            </w:pPr>
          </w:p>
        </w:tc>
        <w:tc>
          <w:tcPr>
            <w:tcW w:w="2314" w:type="dxa"/>
          </w:tcPr>
          <w:p w:rsidRPr="006E5AE7" w:rsidR="006E5AE7" w:rsidP="008A20BD" w:rsidRDefault="006E5AE7" w14:paraId="53D43385" w14:textId="77777777">
            <w:pPr>
              <w:pStyle w:val="BodyText"/>
              <w:rPr>
                <w:rFonts w:cs="Arial"/>
                <w:highlight w:val="yellow"/>
              </w:rPr>
            </w:pPr>
          </w:p>
        </w:tc>
        <w:tc>
          <w:tcPr>
            <w:tcW w:w="2315" w:type="dxa"/>
          </w:tcPr>
          <w:p w:rsidRPr="006E5AE7" w:rsidR="006E5AE7" w:rsidP="008A20BD" w:rsidRDefault="006E5AE7" w14:paraId="0EC94D5C" w14:textId="77777777">
            <w:pPr>
              <w:pStyle w:val="BodyText"/>
              <w:rPr>
                <w:rFonts w:cs="Arial"/>
                <w:highlight w:val="yellow"/>
              </w:rPr>
            </w:pPr>
          </w:p>
        </w:tc>
      </w:tr>
    </w:tbl>
    <w:p w:rsidR="00643DFB" w:rsidP="008A20BD" w:rsidRDefault="00643DFB" w14:paraId="395E76BF" w14:textId="5E99D4D9">
      <w:pPr>
        <w:pStyle w:val="BodyText"/>
        <w:rPr>
          <w:highlight w:val="yellow"/>
        </w:rPr>
      </w:pPr>
    </w:p>
    <w:p w:rsidR="004F5B2B" w:rsidP="008A20BD" w:rsidRDefault="004F5B2B" w14:paraId="4E8765AB" w14:textId="3B542CFC">
      <w:pPr>
        <w:pStyle w:val="BodyText"/>
        <w:rPr>
          <w:highlight w:val="yellow"/>
        </w:rPr>
      </w:pPr>
    </w:p>
    <w:p w:rsidR="004F5B2B" w:rsidRDefault="004F5B2B" w14:paraId="274E8D8D" w14:textId="3E5373F7">
      <w:pPr>
        <w:rPr>
          <w:highlight w:val="yellow"/>
        </w:rPr>
      </w:pPr>
      <w:r>
        <w:rPr>
          <w:highlight w:val="yellow"/>
        </w:rPr>
        <w:br w:type="page"/>
      </w:r>
    </w:p>
    <w:p w:rsidR="004F5B2B" w:rsidP="004F5B2B" w:rsidRDefault="004F5B2B" w14:paraId="224F66EC" w14:textId="614D9645">
      <w:pPr>
        <w:pStyle w:val="Schedule1"/>
        <w:spacing w:after="0"/>
      </w:pPr>
      <w:r>
        <w:t>APPENDIX 5</w:t>
      </w:r>
    </w:p>
    <w:p w:rsidRPr="004F5B2B" w:rsidR="004F5B2B" w:rsidP="004F5B2B" w:rsidRDefault="004F5B2B" w14:paraId="05E1C019" w14:textId="363E1724">
      <w:pPr>
        <w:pStyle w:val="BodyText"/>
        <w:spacing w:after="240" w:line="240" w:lineRule="auto"/>
        <w:jc w:val="center"/>
        <w:rPr>
          <w:b/>
          <w:bCs/>
        </w:rPr>
      </w:pPr>
      <w:r w:rsidRPr="004F5B2B">
        <w:rPr>
          <w:b/>
          <w:bCs/>
        </w:rPr>
        <w:t>SOCIAL VALUE MEASUREMENT AND REPORTING</w:t>
      </w:r>
    </w:p>
    <w:p w:rsidR="004F5B2B" w:rsidP="00EE0141" w:rsidRDefault="004F5B2B" w14:paraId="63A4C9EA" w14:textId="77777777">
      <w:pPr>
        <w:numPr>
          <w:ilvl w:val="0"/>
          <w:numId w:val="35"/>
        </w:numPr>
        <w:spacing w:before="360" w:after="120" w:line="240" w:lineRule="auto"/>
        <w:ind w:right="397"/>
        <w:rPr>
          <w:rFonts w:ascii="Calibri" w:hAnsi="Calibri"/>
        </w:rPr>
      </w:pPr>
      <w:r>
        <w:t xml:space="preserve">The Contractor shall deliver its social value obligations in accordance with the Social Value Plan and the table below. </w:t>
      </w:r>
    </w:p>
    <w:p w:rsidR="004F5B2B" w:rsidP="00EE0141" w:rsidRDefault="004F5B2B" w14:paraId="43E311A4" w14:textId="346B09C0">
      <w:pPr>
        <w:numPr>
          <w:ilvl w:val="0"/>
          <w:numId w:val="35"/>
        </w:numPr>
        <w:spacing w:before="360" w:after="120" w:line="240" w:lineRule="auto"/>
        <w:ind w:right="397"/>
      </w:pPr>
      <w:r>
        <w:t>The Authority will monitor the ongoing delivery of the Social Value Plan and performance against the social value KPIs. The Contractor shall report on, and provide progress updates in relation to, the delivery of the Social Value Plan and the social value KPIs as part of the Monthly Performance and Activity Report and the Annual Performance and Activity Report.</w:t>
      </w:r>
    </w:p>
    <w:p w:rsidR="004F5B2B" w:rsidP="004F5B2B" w:rsidRDefault="004F5B2B" w14:paraId="79288F2D" w14:textId="77777777">
      <w:pPr>
        <w:spacing w:after="240"/>
        <w:rPr>
          <w:rFonts w:cs="Arial"/>
          <w:b/>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00" w:firstRow="0" w:lastRow="0" w:firstColumn="0" w:lastColumn="0" w:noHBand="0" w:noVBand="1"/>
      </w:tblPr>
      <w:tblGrid>
        <w:gridCol w:w="483"/>
        <w:gridCol w:w="3564"/>
        <w:gridCol w:w="1193"/>
        <w:gridCol w:w="2126"/>
        <w:gridCol w:w="3261"/>
        <w:gridCol w:w="3321"/>
      </w:tblGrid>
      <w:tr w:rsidRPr="005575A7" w:rsidR="004F5B2B" w:rsidTr="3A17B66E" w14:paraId="40A2840B" w14:textId="77777777">
        <w:trPr>
          <w:trHeight w:val="797"/>
        </w:trPr>
        <w:tc>
          <w:tcPr>
            <w:tcW w:w="0" w:type="auto"/>
            <w:shd w:val="clear" w:color="auto" w:fill="DEEBF6"/>
            <w:tcMar/>
          </w:tcPr>
          <w:p w:rsidRPr="005575A7" w:rsidR="004F5B2B" w:rsidP="005D4571" w:rsidRDefault="004F5B2B" w14:paraId="24099FF2" w14:textId="77777777">
            <w:pPr>
              <w:rPr>
                <w:rFonts w:cs="Arial"/>
                <w:b/>
              </w:rPr>
            </w:pPr>
            <w:r w:rsidRPr="005575A7">
              <w:rPr>
                <w:rFonts w:cs="Arial"/>
                <w:b/>
              </w:rPr>
              <w:t>No</w:t>
            </w:r>
          </w:p>
        </w:tc>
        <w:tc>
          <w:tcPr>
            <w:tcW w:w="0" w:type="auto"/>
            <w:shd w:val="clear" w:color="auto" w:fill="DEEBF6"/>
            <w:tcMar/>
          </w:tcPr>
          <w:p w:rsidRPr="005575A7" w:rsidR="004F5B2B" w:rsidP="005D4571" w:rsidRDefault="004F5B2B" w14:paraId="2049BE4A" w14:textId="77777777">
            <w:pPr>
              <w:rPr>
                <w:rFonts w:cs="Arial"/>
                <w:b/>
              </w:rPr>
            </w:pPr>
            <w:r w:rsidRPr="005575A7">
              <w:rPr>
                <w:rFonts w:cs="Arial"/>
                <w:b/>
              </w:rPr>
              <w:t xml:space="preserve">Deliverable / Commitment  </w:t>
            </w:r>
          </w:p>
        </w:tc>
        <w:tc>
          <w:tcPr>
            <w:tcW w:w="1193" w:type="dxa"/>
            <w:shd w:val="clear" w:color="auto" w:fill="DEEBF6"/>
            <w:tcMar/>
          </w:tcPr>
          <w:p w:rsidRPr="005575A7" w:rsidR="004F5B2B" w:rsidP="005D4571" w:rsidRDefault="004F5B2B" w14:paraId="4815D946" w14:textId="77777777">
            <w:pPr>
              <w:rPr>
                <w:rFonts w:cs="Arial"/>
                <w:b/>
              </w:rPr>
            </w:pPr>
            <w:r w:rsidRPr="005575A7">
              <w:rPr>
                <w:rFonts w:cs="Arial"/>
                <w:b/>
              </w:rPr>
              <w:t>Theme</w:t>
            </w:r>
          </w:p>
        </w:tc>
        <w:tc>
          <w:tcPr>
            <w:tcW w:w="2126" w:type="dxa"/>
            <w:shd w:val="clear" w:color="auto" w:fill="DEEBF6"/>
            <w:tcMar/>
          </w:tcPr>
          <w:p w:rsidRPr="005575A7" w:rsidR="004F5B2B" w:rsidP="005D4571" w:rsidRDefault="004F5B2B" w14:paraId="093D3BB5" w14:textId="77777777">
            <w:pPr>
              <w:rPr>
                <w:rFonts w:cs="Arial"/>
                <w:b/>
              </w:rPr>
            </w:pPr>
            <w:r>
              <w:rPr>
                <w:rFonts w:cs="Arial"/>
                <w:b/>
              </w:rPr>
              <w:t xml:space="preserve">Policy </w:t>
            </w:r>
            <w:r w:rsidRPr="005575A7">
              <w:rPr>
                <w:rFonts w:cs="Arial"/>
                <w:b/>
              </w:rPr>
              <w:t>Outcome</w:t>
            </w:r>
          </w:p>
        </w:tc>
        <w:tc>
          <w:tcPr>
            <w:tcW w:w="3261" w:type="dxa"/>
            <w:shd w:val="clear" w:color="auto" w:fill="DEEBF6"/>
            <w:tcMar/>
          </w:tcPr>
          <w:p w:rsidRPr="005575A7" w:rsidR="004F5B2B" w:rsidP="005D4571" w:rsidRDefault="004F5B2B" w14:paraId="0D284A1A" w14:textId="77777777">
            <w:pPr>
              <w:rPr>
                <w:rFonts w:cs="Arial"/>
                <w:b/>
              </w:rPr>
            </w:pPr>
            <w:r w:rsidRPr="005575A7">
              <w:rPr>
                <w:rFonts w:cs="Arial"/>
                <w:b/>
              </w:rPr>
              <w:t>Measure</w:t>
            </w:r>
            <w:r>
              <w:rPr>
                <w:rFonts w:cs="Arial"/>
                <w:b/>
              </w:rPr>
              <w:t xml:space="preserve"> – including reporting metrics (and unit of reporting)</w:t>
            </w:r>
          </w:p>
        </w:tc>
        <w:tc>
          <w:tcPr>
            <w:tcW w:w="3321" w:type="dxa"/>
            <w:shd w:val="clear" w:color="auto" w:fill="DEEBF6"/>
            <w:tcMar/>
          </w:tcPr>
          <w:p w:rsidRPr="005575A7" w:rsidR="004F5B2B" w:rsidP="004F5B2B" w:rsidRDefault="004F5B2B" w14:paraId="2F3C8AB8" w14:textId="47DAF831">
            <w:pPr>
              <w:rPr>
                <w:rFonts w:cs="Arial"/>
                <w:b/>
              </w:rPr>
            </w:pPr>
            <w:r w:rsidRPr="005575A7">
              <w:rPr>
                <w:rFonts w:cs="Arial"/>
                <w:b/>
              </w:rPr>
              <w:t>Reporting Timescale</w:t>
            </w:r>
          </w:p>
        </w:tc>
      </w:tr>
      <w:tr w:rsidRPr="005575A7" w:rsidR="004F5B2B" w:rsidTr="3A17B66E" w14:paraId="2B6CE4AB" w14:textId="77777777">
        <w:trPr>
          <w:trHeight w:val="1309"/>
        </w:trPr>
        <w:tc>
          <w:tcPr>
            <w:tcW w:w="0" w:type="auto"/>
            <w:tcMar/>
          </w:tcPr>
          <w:p w:rsidRPr="005575A7" w:rsidR="004F5B2B" w:rsidP="005D4571" w:rsidRDefault="004F5B2B" w14:paraId="35B0739C" w14:textId="77777777">
            <w:pPr>
              <w:rPr>
                <w:rFonts w:cs="Arial"/>
                <w:color w:val="000000"/>
              </w:rPr>
            </w:pPr>
            <w:r w:rsidRPr="005575A7">
              <w:rPr>
                <w:rFonts w:cs="Arial"/>
              </w:rPr>
              <w:t>1</w:t>
            </w:r>
          </w:p>
        </w:tc>
        <w:tc>
          <w:tcPr>
            <w:tcW w:w="0" w:type="auto"/>
            <w:tcMar/>
          </w:tcPr>
          <w:p w:rsidR="00AD1B64" w:rsidP="005D4571" w:rsidRDefault="00AD1B64" w14:paraId="4DA87ADC" w14:textId="77777777">
            <w:pPr>
              <w:rPr>
                <w:rFonts w:cs="Arial"/>
              </w:rPr>
            </w:pPr>
            <w:r w:rsidRPr="3A17B66E" w:rsidR="1CA03295">
              <w:rPr>
                <w:rFonts w:cs="Arial"/>
              </w:rPr>
              <w:t>Employment and Education &amp; Training</w:t>
            </w:r>
          </w:p>
          <w:p w:rsidRPr="009D03B3" w:rsidR="004F5B2B" w:rsidP="005D4571" w:rsidRDefault="004F5B2B" w14:paraId="4D500ACD" w14:textId="1BCE1FD9">
            <w:pPr>
              <w:rPr>
                <w:rFonts w:cs="Arial"/>
              </w:rPr>
            </w:pPr>
            <w:r w:rsidRPr="3A17B66E" w:rsidR="29FFA515">
              <w:rPr>
                <w:rFonts w:cs="Arial"/>
              </w:rPr>
              <w:t>[   ]</w:t>
            </w:r>
          </w:p>
          <w:p w:rsidRPr="009D03B3" w:rsidR="004F5B2B" w:rsidP="3A17B66E" w:rsidRDefault="004F5B2B" w14:paraId="12BB403A" w14:textId="02F332B8">
            <w:pPr>
              <w:rPr>
                <w:rFonts w:cs="Arial"/>
                <w:b w:val="1"/>
                <w:bCs w:val="1"/>
                <w:i w:val="1"/>
                <w:iCs w:val="1"/>
              </w:rPr>
            </w:pPr>
            <w:r w:rsidRPr="3A17B66E" w:rsidR="29FFA515">
              <w:rPr>
                <w:rFonts w:cs="Arial"/>
                <w:b w:val="1"/>
                <w:bCs w:val="1"/>
                <w:i w:val="1"/>
                <w:iCs w:val="1"/>
              </w:rPr>
              <w:t>[</w:t>
            </w:r>
            <w:r w:rsidRPr="3A17B66E" w:rsidR="6D4B00CC">
              <w:rPr>
                <w:rFonts w:cs="Arial"/>
                <w:b w:val="1"/>
                <w:bCs w:val="1"/>
                <w:i w:val="1"/>
                <w:iCs w:val="1"/>
              </w:rPr>
              <w:t>Note to Tenderers</w:t>
            </w:r>
            <w:r w:rsidRPr="3A17B66E" w:rsidR="29FFA515">
              <w:rPr>
                <w:rFonts w:cs="Arial"/>
                <w:b w:val="1"/>
                <w:bCs w:val="1"/>
                <w:i w:val="1"/>
                <w:iCs w:val="1"/>
              </w:rPr>
              <w:t xml:space="preserve">: To be developed by </w:t>
            </w:r>
            <w:r w:rsidRPr="3A17B66E" w:rsidR="6D4B00CC">
              <w:rPr>
                <w:rFonts w:cs="Arial"/>
                <w:b w:val="1"/>
                <w:bCs w:val="1"/>
                <w:i w:val="1"/>
                <w:iCs w:val="1"/>
              </w:rPr>
              <w:t>Tenderer</w:t>
            </w:r>
            <w:r w:rsidRPr="3A17B66E" w:rsidR="33737DD8">
              <w:rPr>
                <w:rFonts w:cs="Arial"/>
                <w:b w:val="1"/>
                <w:bCs w:val="1"/>
                <w:i w:val="1"/>
                <w:iCs w:val="1"/>
              </w:rPr>
              <w:t xml:space="preserve"> </w:t>
            </w:r>
            <w:r w:rsidRPr="3A17B66E" w:rsidR="29FFA515">
              <w:rPr>
                <w:rFonts w:cs="Arial"/>
                <w:b w:val="1"/>
                <w:bCs w:val="1"/>
                <w:i w:val="1"/>
                <w:iCs w:val="1"/>
              </w:rPr>
              <w:t>to reflect its proposals.]</w:t>
            </w:r>
          </w:p>
          <w:p w:rsidRPr="005575A7" w:rsidR="004F5B2B" w:rsidP="005D4571" w:rsidRDefault="004F5B2B" w14:paraId="349BBE2C" w14:textId="77777777">
            <w:pPr>
              <w:rPr>
                <w:rFonts w:cs="Arial"/>
              </w:rPr>
            </w:pPr>
          </w:p>
        </w:tc>
        <w:tc>
          <w:tcPr>
            <w:tcW w:w="1193" w:type="dxa"/>
            <w:tcMar/>
          </w:tcPr>
          <w:p w:rsidRPr="005575A7" w:rsidR="004F5B2B" w:rsidP="005D4571" w:rsidRDefault="004F5B2B" w14:paraId="55DB744D" w14:textId="77777777">
            <w:pPr>
              <w:rPr>
                <w:rFonts w:cs="Arial"/>
              </w:rPr>
            </w:pPr>
            <w:r w:rsidR="29FFA515">
              <w:rPr/>
              <w:t>Tackling economic inequality</w:t>
            </w:r>
          </w:p>
        </w:tc>
        <w:tc>
          <w:tcPr>
            <w:tcW w:w="2126" w:type="dxa"/>
            <w:tcMar/>
          </w:tcPr>
          <w:p w:rsidRPr="005575A7" w:rsidR="004F5B2B" w:rsidP="005D4571" w:rsidRDefault="004F5B2B" w14:paraId="5F099167" w14:textId="77777777">
            <w:pPr>
              <w:rPr>
                <w:rFonts w:cs="Arial"/>
              </w:rPr>
            </w:pPr>
            <w:r w:rsidR="29FFA515">
              <w:rPr/>
              <w:t>Create new businesses, new jobs, and new skills</w:t>
            </w:r>
          </w:p>
        </w:tc>
        <w:tc>
          <w:tcPr>
            <w:tcW w:w="3261" w:type="dxa"/>
            <w:tcBorders>
              <w:top w:val="single" w:color="000000" w:themeColor="text1" w:sz="4" w:space="0"/>
              <w:left w:val="nil"/>
              <w:bottom w:val="single" w:color="000000" w:themeColor="text1" w:sz="4" w:space="0"/>
              <w:right w:val="single" w:color="000000" w:themeColor="text1" w:sz="4" w:space="0"/>
            </w:tcBorders>
            <w:shd w:val="clear" w:color="auto" w:fill="auto"/>
            <w:tcMar/>
          </w:tcPr>
          <w:p w:rsidRPr="009D03B3" w:rsidR="004F5B2B" w:rsidP="005D4571" w:rsidRDefault="004F5B2B" w14:paraId="0D1BF7AF" w14:textId="77777777">
            <w:pPr>
              <w:rPr>
                <w:rFonts w:cs="Arial"/>
              </w:rPr>
            </w:pPr>
            <w:r w:rsidRPr="3A17B66E" w:rsidR="29FFA515">
              <w:rPr>
                <w:rFonts w:cs="Arial"/>
              </w:rPr>
              <w:t>[   ]</w:t>
            </w:r>
          </w:p>
          <w:p w:rsidRPr="009D03B3" w:rsidR="004F5B2B" w:rsidP="3A17B66E" w:rsidRDefault="004F5B2B" w14:paraId="04F9B132" w14:textId="1C26408C">
            <w:pPr>
              <w:rPr>
                <w:rFonts w:cs="Arial"/>
                <w:b w:val="1"/>
                <w:bCs w:val="1"/>
                <w:i w:val="1"/>
                <w:iCs w:val="1"/>
              </w:rPr>
            </w:pPr>
            <w:r w:rsidRPr="3A17B66E" w:rsidR="29FFA515">
              <w:rPr>
                <w:rFonts w:cs="Arial"/>
                <w:b w:val="1"/>
                <w:bCs w:val="1"/>
                <w:i w:val="1"/>
                <w:iCs w:val="1"/>
              </w:rPr>
              <w:t>[</w:t>
            </w:r>
            <w:r w:rsidRPr="3A17B66E" w:rsidR="6D4B00CC">
              <w:rPr>
                <w:rFonts w:cs="Arial"/>
                <w:b w:val="1"/>
                <w:bCs w:val="1"/>
                <w:i w:val="1"/>
                <w:iCs w:val="1"/>
              </w:rPr>
              <w:t>Note to Tenderers</w:t>
            </w:r>
            <w:r w:rsidRPr="3A17B66E" w:rsidR="29FFA515">
              <w:rPr>
                <w:rFonts w:cs="Arial"/>
                <w:b w:val="1"/>
                <w:bCs w:val="1"/>
                <w:i w:val="1"/>
                <w:iCs w:val="1"/>
              </w:rPr>
              <w:t xml:space="preserve">: To be developed by </w:t>
            </w:r>
            <w:r w:rsidRPr="3A17B66E" w:rsidR="6D4B00CC">
              <w:rPr>
                <w:rFonts w:cs="Arial"/>
                <w:b w:val="1"/>
                <w:bCs w:val="1"/>
                <w:i w:val="1"/>
                <w:iCs w:val="1"/>
              </w:rPr>
              <w:t>Tenderer</w:t>
            </w:r>
            <w:r w:rsidRPr="3A17B66E" w:rsidR="33737DD8">
              <w:rPr>
                <w:rFonts w:cs="Arial"/>
                <w:b w:val="1"/>
                <w:bCs w:val="1"/>
                <w:i w:val="1"/>
                <w:iCs w:val="1"/>
              </w:rPr>
              <w:t xml:space="preserve"> </w:t>
            </w:r>
            <w:r w:rsidRPr="3A17B66E" w:rsidR="29FFA515">
              <w:rPr>
                <w:rFonts w:cs="Arial"/>
                <w:b w:val="1"/>
                <w:bCs w:val="1"/>
                <w:i w:val="1"/>
                <w:iCs w:val="1"/>
              </w:rPr>
              <w:t>to reflect its proposals.]</w:t>
            </w:r>
          </w:p>
          <w:p w:rsidRPr="005575A7" w:rsidR="004F5B2B" w:rsidP="005D4571" w:rsidRDefault="004F5B2B" w14:paraId="7A0F7C9D" w14:textId="77777777">
            <w:pPr>
              <w:rPr>
                <w:rFonts w:cs="Arial"/>
              </w:rPr>
            </w:pPr>
          </w:p>
        </w:tc>
        <w:tc>
          <w:tcPr>
            <w:tcW w:w="3321" w:type="dxa"/>
            <w:shd w:val="clear" w:color="auto" w:fill="auto"/>
            <w:tcMar/>
          </w:tcPr>
          <w:p w:rsidRPr="005575A7" w:rsidR="004F5B2B" w:rsidP="005D4571" w:rsidRDefault="004F5B2B" w14:paraId="3F2C8EBE" w14:textId="6B6F2100">
            <w:pPr>
              <w:rPr>
                <w:rFonts w:cs="Arial"/>
              </w:rPr>
            </w:pPr>
            <w:r>
              <w:rPr>
                <w:rFonts w:cs="Arial"/>
              </w:rPr>
              <w:t xml:space="preserve">Monthly, as part of the Monthly Performance and Activity Report, and the </w:t>
            </w:r>
            <w:r>
              <w:t>Annual Performance and Activity Report</w:t>
            </w:r>
          </w:p>
        </w:tc>
      </w:tr>
      <w:tr w:rsidRPr="005575A7" w:rsidR="004F5B2B" w:rsidTr="3A17B66E" w14:paraId="174CC981" w14:textId="77777777">
        <w:trPr>
          <w:trHeight w:val="1309"/>
        </w:trPr>
        <w:tc>
          <w:tcPr>
            <w:tcW w:w="0" w:type="auto"/>
            <w:tcMar/>
          </w:tcPr>
          <w:p w:rsidRPr="005575A7" w:rsidR="004F5B2B" w:rsidP="004F5B2B" w:rsidRDefault="00AD1B64" w14:paraId="226BB26B" w14:textId="2B3C0616">
            <w:pPr>
              <w:rPr>
                <w:rFonts w:cs="Arial"/>
              </w:rPr>
            </w:pPr>
            <w:r>
              <w:rPr>
                <w:rFonts w:cs="Arial"/>
              </w:rPr>
              <w:t>2</w:t>
            </w:r>
          </w:p>
        </w:tc>
        <w:tc>
          <w:tcPr>
            <w:tcW w:w="0" w:type="auto"/>
            <w:tcMar/>
          </w:tcPr>
          <w:p w:rsidR="00AD1B64" w:rsidP="004F5B2B" w:rsidRDefault="00AD1B64" w14:paraId="69773204" w14:textId="77777777">
            <w:pPr>
              <w:rPr>
                <w:rFonts w:cs="Arial"/>
              </w:rPr>
            </w:pPr>
            <w:r w:rsidRPr="3A17B66E" w:rsidR="1CA03295">
              <w:rPr>
                <w:rFonts w:cs="Arial"/>
              </w:rPr>
              <w:t xml:space="preserve">Influence environmental protection and improvement </w:t>
            </w:r>
          </w:p>
          <w:p w:rsidRPr="009D03B3" w:rsidR="004F5B2B" w:rsidP="004F5B2B" w:rsidRDefault="004F5B2B" w14:paraId="18A8769C" w14:textId="5581A3D6">
            <w:pPr>
              <w:rPr>
                <w:rFonts w:cs="Arial"/>
              </w:rPr>
            </w:pPr>
            <w:r w:rsidRPr="3A17B66E" w:rsidR="29FFA515">
              <w:rPr>
                <w:rFonts w:cs="Arial"/>
              </w:rPr>
              <w:t>[   ]</w:t>
            </w:r>
          </w:p>
          <w:p w:rsidRPr="009D03B3" w:rsidR="004F5B2B" w:rsidP="3A17B66E" w:rsidRDefault="004F5B2B" w14:paraId="11DAF9F1" w14:textId="6ACCD46B">
            <w:pPr>
              <w:rPr>
                <w:rFonts w:cs="Arial"/>
                <w:b w:val="1"/>
                <w:bCs w:val="1"/>
                <w:i w:val="1"/>
                <w:iCs w:val="1"/>
              </w:rPr>
            </w:pPr>
            <w:r w:rsidRPr="3A17B66E" w:rsidR="29FFA515">
              <w:rPr>
                <w:rFonts w:cs="Arial"/>
                <w:b w:val="1"/>
                <w:bCs w:val="1"/>
                <w:i w:val="1"/>
                <w:iCs w:val="1"/>
              </w:rPr>
              <w:t>[</w:t>
            </w:r>
            <w:r w:rsidRPr="3A17B66E" w:rsidR="6D4B00CC">
              <w:rPr>
                <w:rFonts w:cs="Arial"/>
                <w:b w:val="1"/>
                <w:bCs w:val="1"/>
                <w:i w:val="1"/>
                <w:iCs w:val="1"/>
              </w:rPr>
              <w:t>Note to Tenderers</w:t>
            </w:r>
            <w:r w:rsidRPr="3A17B66E" w:rsidR="29FFA515">
              <w:rPr>
                <w:rFonts w:cs="Arial"/>
                <w:b w:val="1"/>
                <w:bCs w:val="1"/>
                <w:i w:val="1"/>
                <w:iCs w:val="1"/>
              </w:rPr>
              <w:t xml:space="preserve">: To be developed by </w:t>
            </w:r>
            <w:r w:rsidRPr="3A17B66E" w:rsidR="6D4B00CC">
              <w:rPr>
                <w:rFonts w:cs="Arial"/>
                <w:b w:val="1"/>
                <w:bCs w:val="1"/>
                <w:i w:val="1"/>
                <w:iCs w:val="1"/>
              </w:rPr>
              <w:t>Tenderer</w:t>
            </w:r>
            <w:r w:rsidRPr="3A17B66E" w:rsidR="33737DD8">
              <w:rPr>
                <w:rFonts w:cs="Arial"/>
                <w:b w:val="1"/>
                <w:bCs w:val="1"/>
                <w:i w:val="1"/>
                <w:iCs w:val="1"/>
              </w:rPr>
              <w:t xml:space="preserve"> </w:t>
            </w:r>
            <w:r w:rsidRPr="3A17B66E" w:rsidR="29FFA515">
              <w:rPr>
                <w:rFonts w:cs="Arial"/>
                <w:b w:val="1"/>
                <w:bCs w:val="1"/>
                <w:i w:val="1"/>
                <w:iCs w:val="1"/>
              </w:rPr>
              <w:t>to reflect its proposals.]</w:t>
            </w:r>
          </w:p>
          <w:p w:rsidR="004F5B2B" w:rsidP="004F5B2B" w:rsidRDefault="004F5B2B" w14:paraId="18B36008" w14:textId="77777777">
            <w:pPr>
              <w:rPr>
                <w:rFonts w:cs="Arial"/>
              </w:rPr>
            </w:pPr>
          </w:p>
        </w:tc>
        <w:tc>
          <w:tcPr>
            <w:tcW w:w="1193" w:type="dxa"/>
            <w:tcMar/>
          </w:tcPr>
          <w:p w:rsidRPr="00CB74D8" w:rsidR="004F5B2B" w:rsidP="004F5B2B" w:rsidRDefault="004F5B2B" w14:paraId="3477BF57" w14:textId="77777777">
            <w:pPr>
              <w:pStyle w:val="BodyText"/>
              <w:jc w:val="left"/>
            </w:pPr>
            <w:r w:rsidR="29FFA515">
              <w:rPr/>
              <w:t>Fighting climate change</w:t>
            </w:r>
          </w:p>
        </w:tc>
        <w:tc>
          <w:tcPr>
            <w:tcW w:w="2126" w:type="dxa"/>
            <w:tcMar/>
          </w:tcPr>
          <w:p w:rsidRPr="00CB74D8" w:rsidR="004F5B2B" w:rsidP="004F5B2B" w:rsidRDefault="004F5B2B" w14:paraId="70F43B6D" w14:textId="77777777">
            <w:pPr>
              <w:pStyle w:val="BodyText"/>
              <w:jc w:val="left"/>
            </w:pPr>
            <w:r w:rsidR="29FFA515">
              <w:rPr/>
              <w:t>Effective stewardship of the environment</w:t>
            </w:r>
          </w:p>
        </w:tc>
        <w:tc>
          <w:tcPr>
            <w:tcW w:w="3261" w:type="dxa"/>
            <w:tcBorders>
              <w:top w:val="single" w:color="000000" w:themeColor="text1" w:sz="4" w:space="0"/>
              <w:left w:val="nil"/>
              <w:bottom w:val="single" w:color="000000" w:themeColor="text1" w:sz="4" w:space="0"/>
              <w:right w:val="single" w:color="000000" w:themeColor="text1" w:sz="4" w:space="0"/>
            </w:tcBorders>
            <w:shd w:val="clear" w:color="auto" w:fill="auto"/>
            <w:tcMar/>
          </w:tcPr>
          <w:p w:rsidRPr="009D03B3" w:rsidR="004F5B2B" w:rsidP="004F5B2B" w:rsidRDefault="004F5B2B" w14:paraId="6498C818" w14:textId="77777777">
            <w:pPr>
              <w:rPr>
                <w:rFonts w:cs="Arial"/>
              </w:rPr>
            </w:pPr>
            <w:r w:rsidRPr="3A17B66E" w:rsidR="29FFA515">
              <w:rPr>
                <w:rFonts w:cs="Arial"/>
              </w:rPr>
              <w:t>[   ]</w:t>
            </w:r>
          </w:p>
          <w:p w:rsidRPr="009D03B3" w:rsidR="004F5B2B" w:rsidP="3A17B66E" w:rsidRDefault="004F5B2B" w14:paraId="54413887" w14:textId="022EB054">
            <w:pPr>
              <w:rPr>
                <w:rFonts w:cs="Arial"/>
                <w:b w:val="1"/>
                <w:bCs w:val="1"/>
                <w:i w:val="1"/>
                <w:iCs w:val="1"/>
              </w:rPr>
            </w:pPr>
            <w:r w:rsidRPr="3A17B66E" w:rsidR="29FFA515">
              <w:rPr>
                <w:rFonts w:cs="Arial"/>
                <w:b w:val="1"/>
                <w:bCs w:val="1"/>
                <w:i w:val="1"/>
                <w:iCs w:val="1"/>
              </w:rPr>
              <w:t>[</w:t>
            </w:r>
            <w:r w:rsidRPr="3A17B66E" w:rsidR="6D4B00CC">
              <w:rPr>
                <w:rFonts w:cs="Arial"/>
                <w:b w:val="1"/>
                <w:bCs w:val="1"/>
                <w:i w:val="1"/>
                <w:iCs w:val="1"/>
              </w:rPr>
              <w:t>Note to Tenderers</w:t>
            </w:r>
            <w:r w:rsidRPr="3A17B66E" w:rsidR="29FFA515">
              <w:rPr>
                <w:rFonts w:cs="Arial"/>
                <w:b w:val="1"/>
                <w:bCs w:val="1"/>
                <w:i w:val="1"/>
                <w:iCs w:val="1"/>
              </w:rPr>
              <w:t xml:space="preserve">: To be developed by </w:t>
            </w:r>
            <w:r w:rsidRPr="3A17B66E" w:rsidR="6D4B00CC">
              <w:rPr>
                <w:rFonts w:cs="Arial"/>
                <w:b w:val="1"/>
                <w:bCs w:val="1"/>
                <w:i w:val="1"/>
                <w:iCs w:val="1"/>
              </w:rPr>
              <w:t>Tenderer</w:t>
            </w:r>
            <w:r w:rsidRPr="3A17B66E" w:rsidR="33737DD8">
              <w:rPr>
                <w:rFonts w:cs="Arial"/>
                <w:b w:val="1"/>
                <w:bCs w:val="1"/>
                <w:i w:val="1"/>
                <w:iCs w:val="1"/>
              </w:rPr>
              <w:t xml:space="preserve"> </w:t>
            </w:r>
            <w:r w:rsidRPr="3A17B66E" w:rsidR="29FFA515">
              <w:rPr>
                <w:rFonts w:cs="Arial"/>
                <w:b w:val="1"/>
                <w:bCs w:val="1"/>
                <w:i w:val="1"/>
                <w:iCs w:val="1"/>
              </w:rPr>
              <w:t>to reflect its proposals.]</w:t>
            </w:r>
          </w:p>
          <w:p w:rsidRPr="005575A7" w:rsidR="004F5B2B" w:rsidP="004F5B2B" w:rsidRDefault="004F5B2B" w14:paraId="65227DE4" w14:textId="77777777">
            <w:pPr>
              <w:rPr>
                <w:rFonts w:cs="Arial"/>
              </w:rPr>
            </w:pPr>
          </w:p>
        </w:tc>
        <w:tc>
          <w:tcPr>
            <w:tcW w:w="3321" w:type="dxa"/>
            <w:shd w:val="clear" w:color="auto" w:fill="auto"/>
            <w:tcMar/>
          </w:tcPr>
          <w:p w:rsidR="004F5B2B" w:rsidP="004F5B2B" w:rsidRDefault="004F5B2B" w14:paraId="77446E6A" w14:textId="6B8C2E90">
            <w:pPr>
              <w:rPr>
                <w:rFonts w:cs="Arial"/>
              </w:rPr>
            </w:pPr>
            <w:r w:rsidRPr="00BF407C">
              <w:rPr>
                <w:rFonts w:cs="Arial"/>
              </w:rPr>
              <w:t xml:space="preserve">Monthly, as part of the Monthly Performance and Activity Report, and the </w:t>
            </w:r>
            <w:r w:rsidRPr="00BF407C">
              <w:t>Annual Performance and Activity Report</w:t>
            </w:r>
          </w:p>
        </w:tc>
      </w:tr>
      <w:tr w:rsidRPr="005575A7" w:rsidR="004F5B2B" w:rsidTr="3A17B66E" w14:paraId="0A724460" w14:textId="77777777">
        <w:trPr>
          <w:trHeight w:val="1309"/>
        </w:trPr>
        <w:tc>
          <w:tcPr>
            <w:tcW w:w="0" w:type="auto"/>
            <w:tcMar/>
          </w:tcPr>
          <w:p w:rsidRPr="005575A7" w:rsidR="004F5B2B" w:rsidP="004F5B2B" w:rsidRDefault="00AD1B64" w14:paraId="77DB0A0A" w14:textId="76E901D6">
            <w:pPr>
              <w:rPr>
                <w:rFonts w:cs="Arial"/>
              </w:rPr>
            </w:pPr>
            <w:r>
              <w:rPr>
                <w:rFonts w:cs="Arial"/>
              </w:rPr>
              <w:t>3</w:t>
            </w:r>
          </w:p>
        </w:tc>
        <w:tc>
          <w:tcPr>
            <w:tcW w:w="0" w:type="auto"/>
            <w:tcMar/>
          </w:tcPr>
          <w:p w:rsidR="00AB4C11" w:rsidP="004F5B2B" w:rsidRDefault="00AB4C11" w14:paraId="77A8A1E4" w14:textId="77777777">
            <w:pPr>
              <w:rPr>
                <w:rFonts w:cs="Arial"/>
              </w:rPr>
            </w:pPr>
            <w:r w:rsidRPr="3A17B66E" w:rsidR="25319610">
              <w:rPr>
                <w:rFonts w:cs="Arial"/>
              </w:rPr>
              <w:t xml:space="preserve">Support health and wellbeing in the workforce </w:t>
            </w:r>
          </w:p>
          <w:p w:rsidRPr="009D03B3" w:rsidR="004F5B2B" w:rsidP="004F5B2B" w:rsidRDefault="004F5B2B" w14:paraId="291D19F8" w14:textId="0932A9CC">
            <w:pPr>
              <w:rPr>
                <w:rFonts w:cs="Arial"/>
              </w:rPr>
            </w:pPr>
            <w:r w:rsidRPr="3A17B66E" w:rsidR="29FFA515">
              <w:rPr>
                <w:rFonts w:cs="Arial"/>
              </w:rPr>
              <w:t>[   ]</w:t>
            </w:r>
          </w:p>
          <w:p w:rsidRPr="009D03B3" w:rsidR="004F5B2B" w:rsidP="3A17B66E" w:rsidRDefault="004F5B2B" w14:paraId="5C7A0E24" w14:textId="31130AFF">
            <w:pPr>
              <w:rPr>
                <w:rFonts w:cs="Arial"/>
                <w:b w:val="1"/>
                <w:bCs w:val="1"/>
                <w:i w:val="1"/>
                <w:iCs w:val="1"/>
              </w:rPr>
            </w:pPr>
            <w:r w:rsidRPr="3A17B66E" w:rsidR="29FFA515">
              <w:rPr>
                <w:rFonts w:cs="Arial"/>
                <w:b w:val="1"/>
                <w:bCs w:val="1"/>
                <w:i w:val="1"/>
                <w:iCs w:val="1"/>
              </w:rPr>
              <w:t>[</w:t>
            </w:r>
            <w:r w:rsidRPr="3A17B66E" w:rsidR="6D4B00CC">
              <w:rPr>
                <w:rFonts w:cs="Arial"/>
                <w:b w:val="1"/>
                <w:bCs w:val="1"/>
                <w:i w:val="1"/>
                <w:iCs w:val="1"/>
              </w:rPr>
              <w:t>Note to Tenderers</w:t>
            </w:r>
            <w:r w:rsidRPr="3A17B66E" w:rsidR="29FFA515">
              <w:rPr>
                <w:rFonts w:cs="Arial"/>
                <w:b w:val="1"/>
                <w:bCs w:val="1"/>
                <w:i w:val="1"/>
                <w:iCs w:val="1"/>
              </w:rPr>
              <w:t xml:space="preserve">: To be developed by </w:t>
            </w:r>
            <w:r w:rsidRPr="3A17B66E" w:rsidR="6D4B00CC">
              <w:rPr>
                <w:rFonts w:cs="Arial"/>
                <w:b w:val="1"/>
                <w:bCs w:val="1"/>
                <w:i w:val="1"/>
                <w:iCs w:val="1"/>
              </w:rPr>
              <w:t>Tenderer</w:t>
            </w:r>
            <w:r w:rsidRPr="3A17B66E" w:rsidR="4BE2B338">
              <w:rPr>
                <w:rFonts w:cs="Arial"/>
                <w:b w:val="1"/>
                <w:bCs w:val="1"/>
                <w:i w:val="1"/>
                <w:iCs w:val="1"/>
              </w:rPr>
              <w:t xml:space="preserve"> </w:t>
            </w:r>
            <w:r w:rsidRPr="3A17B66E" w:rsidR="29FFA515">
              <w:rPr>
                <w:rFonts w:cs="Arial"/>
                <w:b w:val="1"/>
                <w:bCs w:val="1"/>
                <w:i w:val="1"/>
                <w:iCs w:val="1"/>
              </w:rPr>
              <w:t>to reflect its proposals.]</w:t>
            </w:r>
          </w:p>
          <w:p w:rsidR="004F5B2B" w:rsidP="004F5B2B" w:rsidRDefault="004F5B2B" w14:paraId="517D6D1E" w14:textId="77777777">
            <w:pPr>
              <w:rPr>
                <w:rFonts w:cs="Arial"/>
              </w:rPr>
            </w:pPr>
          </w:p>
        </w:tc>
        <w:tc>
          <w:tcPr>
            <w:tcW w:w="1193" w:type="dxa"/>
            <w:tcMar/>
          </w:tcPr>
          <w:p w:rsidRPr="008A095E" w:rsidR="004F5B2B" w:rsidP="004F5B2B" w:rsidRDefault="004F5B2B" w14:paraId="53D00345" w14:textId="77777777">
            <w:pPr>
              <w:pStyle w:val="BodyText"/>
            </w:pPr>
            <w:r w:rsidR="29FFA515">
              <w:rPr/>
              <w:t xml:space="preserve">Wellbeing </w:t>
            </w:r>
          </w:p>
        </w:tc>
        <w:tc>
          <w:tcPr>
            <w:tcW w:w="2126" w:type="dxa"/>
            <w:tcMar/>
          </w:tcPr>
          <w:p w:rsidRPr="008A095E" w:rsidR="004F5B2B" w:rsidP="004F5B2B" w:rsidRDefault="004F5B2B" w14:paraId="6E1A5311" w14:textId="77777777">
            <w:pPr>
              <w:pStyle w:val="BodyText"/>
            </w:pPr>
            <w:r w:rsidR="29FFA515">
              <w:rPr/>
              <w:t>Improve health and wellbeing</w:t>
            </w:r>
          </w:p>
        </w:tc>
        <w:tc>
          <w:tcPr>
            <w:tcW w:w="3261" w:type="dxa"/>
            <w:tcBorders>
              <w:top w:val="single" w:color="000000" w:themeColor="text1" w:sz="4" w:space="0"/>
              <w:left w:val="nil"/>
              <w:bottom w:val="single" w:color="000000" w:themeColor="text1" w:sz="4" w:space="0"/>
              <w:right w:val="single" w:color="000000" w:themeColor="text1" w:sz="4" w:space="0"/>
            </w:tcBorders>
            <w:shd w:val="clear" w:color="auto" w:fill="auto"/>
            <w:tcMar/>
          </w:tcPr>
          <w:p w:rsidRPr="009D03B3" w:rsidR="004F5B2B" w:rsidP="004F5B2B" w:rsidRDefault="004F5B2B" w14:paraId="02F1ADB0" w14:textId="77777777">
            <w:pPr>
              <w:rPr>
                <w:rFonts w:cs="Arial"/>
              </w:rPr>
            </w:pPr>
            <w:r w:rsidRPr="3A17B66E" w:rsidR="29FFA515">
              <w:rPr>
                <w:rFonts w:cs="Arial"/>
              </w:rPr>
              <w:t>[   ]</w:t>
            </w:r>
          </w:p>
          <w:p w:rsidRPr="009D03B3" w:rsidR="004F5B2B" w:rsidP="3A17B66E" w:rsidRDefault="004F5B2B" w14:paraId="0CA0EBD1" w14:textId="18FFB66F">
            <w:pPr>
              <w:rPr>
                <w:rFonts w:cs="Arial"/>
                <w:b w:val="1"/>
                <w:bCs w:val="1"/>
                <w:i w:val="1"/>
                <w:iCs w:val="1"/>
              </w:rPr>
            </w:pPr>
            <w:r w:rsidRPr="3A17B66E" w:rsidR="29FFA515">
              <w:rPr>
                <w:rFonts w:cs="Arial"/>
                <w:b w:val="1"/>
                <w:bCs w:val="1"/>
                <w:i w:val="1"/>
                <w:iCs w:val="1"/>
              </w:rPr>
              <w:t>[</w:t>
            </w:r>
            <w:r w:rsidRPr="3A17B66E" w:rsidR="6D4B00CC">
              <w:rPr>
                <w:rFonts w:cs="Arial"/>
                <w:b w:val="1"/>
                <w:bCs w:val="1"/>
                <w:i w:val="1"/>
                <w:iCs w:val="1"/>
              </w:rPr>
              <w:t>Note to Tenderers</w:t>
            </w:r>
            <w:r w:rsidRPr="3A17B66E" w:rsidR="29FFA515">
              <w:rPr>
                <w:rFonts w:cs="Arial"/>
                <w:b w:val="1"/>
                <w:bCs w:val="1"/>
                <w:i w:val="1"/>
                <w:iCs w:val="1"/>
              </w:rPr>
              <w:t xml:space="preserve">: To be developed by </w:t>
            </w:r>
            <w:r w:rsidRPr="3A17B66E" w:rsidR="6D4B00CC">
              <w:rPr>
                <w:rFonts w:cs="Arial"/>
                <w:b w:val="1"/>
                <w:bCs w:val="1"/>
                <w:i w:val="1"/>
                <w:iCs w:val="1"/>
              </w:rPr>
              <w:t>Tenderer</w:t>
            </w:r>
            <w:r w:rsidRPr="3A17B66E" w:rsidR="4BE2B338">
              <w:rPr>
                <w:rFonts w:cs="Arial"/>
                <w:b w:val="1"/>
                <w:bCs w:val="1"/>
                <w:i w:val="1"/>
                <w:iCs w:val="1"/>
              </w:rPr>
              <w:t xml:space="preserve"> </w:t>
            </w:r>
            <w:r w:rsidRPr="3A17B66E" w:rsidR="29FFA515">
              <w:rPr>
                <w:rFonts w:cs="Arial"/>
                <w:b w:val="1"/>
                <w:bCs w:val="1"/>
                <w:i w:val="1"/>
                <w:iCs w:val="1"/>
              </w:rPr>
              <w:t>to reflect its proposals.]</w:t>
            </w:r>
          </w:p>
          <w:p w:rsidRPr="005575A7" w:rsidR="004F5B2B" w:rsidP="004F5B2B" w:rsidRDefault="004F5B2B" w14:paraId="14837138" w14:textId="77777777">
            <w:pPr>
              <w:rPr>
                <w:rFonts w:cs="Arial"/>
              </w:rPr>
            </w:pPr>
          </w:p>
        </w:tc>
        <w:tc>
          <w:tcPr>
            <w:tcW w:w="3321" w:type="dxa"/>
            <w:shd w:val="clear" w:color="auto" w:fill="auto"/>
            <w:tcMar/>
          </w:tcPr>
          <w:p w:rsidR="004F5B2B" w:rsidP="004F5B2B" w:rsidRDefault="004F5B2B" w14:paraId="119B35F9" w14:textId="563EE346">
            <w:pPr>
              <w:rPr>
                <w:rFonts w:cs="Arial"/>
              </w:rPr>
            </w:pPr>
            <w:r w:rsidRPr="00BF407C">
              <w:rPr>
                <w:rFonts w:cs="Arial"/>
              </w:rPr>
              <w:t xml:space="preserve">Monthly, as part of the Monthly Performance and Activity Report, and the </w:t>
            </w:r>
            <w:r w:rsidRPr="00BF407C">
              <w:t>Annual Performance and Activity Report</w:t>
            </w:r>
          </w:p>
        </w:tc>
      </w:tr>
    </w:tbl>
    <w:p w:rsidRPr="000D5F12" w:rsidR="004F5B2B" w:rsidP="004F5B2B" w:rsidRDefault="004F5B2B" w14:paraId="5CB5C777" w14:textId="77777777">
      <w:pPr>
        <w:pStyle w:val="BodyText"/>
      </w:pPr>
    </w:p>
    <w:p w:rsidR="004F5B2B" w:rsidP="008A20BD" w:rsidRDefault="004F5B2B" w14:paraId="22949DFA" w14:textId="77777777">
      <w:pPr>
        <w:pStyle w:val="BodyText"/>
        <w:rPr>
          <w:highlight w:val="yellow"/>
        </w:rPr>
      </w:pPr>
    </w:p>
    <w:p w:rsidR="004F5B2B" w:rsidP="008A20BD" w:rsidRDefault="004F5B2B" w14:paraId="11AE6F0D" w14:textId="6BE7124C">
      <w:pPr>
        <w:pStyle w:val="BodyText"/>
        <w:rPr>
          <w:highlight w:val="yellow"/>
        </w:rPr>
      </w:pPr>
    </w:p>
    <w:p w:rsidR="004F5B2B" w:rsidP="008A20BD" w:rsidRDefault="004F5B2B" w14:paraId="1AB5DFE1" w14:textId="77777777">
      <w:pPr>
        <w:pStyle w:val="BodyText"/>
        <w:rPr>
          <w:highlight w:val="yellow"/>
        </w:rPr>
      </w:pPr>
    </w:p>
    <w:p w:rsidRPr="00966957" w:rsidR="00E01AB4" w:rsidP="008A20BD" w:rsidRDefault="00E01AB4" w14:paraId="10AA868F" w14:textId="77777777">
      <w:pPr>
        <w:pStyle w:val="BodyText"/>
      </w:pPr>
    </w:p>
    <w:sectPr w:rsidRPr="00966957" w:rsidR="00E01AB4" w:rsidSect="004F5B2B">
      <w:pgSz w:w="16838" w:h="11906" w:orient="landscape"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212E" w:rsidRDefault="009E212E" w14:paraId="0325C12B" w14:textId="77777777">
      <w:pPr>
        <w:spacing w:after="0" w:line="240" w:lineRule="auto"/>
      </w:pPr>
      <w:r>
        <w:separator/>
      </w:r>
    </w:p>
  </w:endnote>
  <w:endnote w:type="continuationSeparator" w:id="0">
    <w:p w:rsidR="009E212E" w:rsidRDefault="009E212E" w14:paraId="1DCD1FF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212E" w:rsidRDefault="009E212E" w14:paraId="34FA3B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212E" w:rsidP="001E2749" w:rsidRDefault="009E212E" w14:paraId="5ECF57BA" w14:textId="3719F5FC">
    <w:pPr>
      <w:pStyle w:val="Footer"/>
    </w:pPr>
    <w:r>
      <w:tab/>
    </w:r>
    <w:r>
      <w:fldChar w:fldCharType="begin"/>
    </w:r>
    <w:r>
      <w:instrText xml:space="preserve"> PAGE   \* MERGEFORMAT </w:instrText>
    </w:r>
    <w:r>
      <w:fldChar w:fldCharType="separate"/>
    </w:r>
    <w:r w:rsidR="00E8541C">
      <w:rPr>
        <w:noProof/>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212E" w:rsidRDefault="009E212E" w14:paraId="22618005" w14:textId="7E659C62">
    <w:pPr>
      <w:pStyle w:val="Footer"/>
      <w:jc w:val="center"/>
    </w:pPr>
    <w:r>
      <w:fldChar w:fldCharType="begin"/>
    </w:r>
    <w:r>
      <w:instrText xml:space="preserve"> PAGE   \* MERGEFORMAT </w:instrText>
    </w:r>
    <w:r>
      <w:fldChar w:fldCharType="separate"/>
    </w:r>
    <w:r w:rsidR="00E8541C">
      <w:rPr>
        <w:noProof/>
      </w:rPr>
      <w:t>24</w:t>
    </w:r>
    <w:r>
      <w:rPr>
        <w:noProof/>
      </w:rPr>
      <w:fldChar w:fldCharType="end"/>
    </w:r>
  </w:p>
  <w:p w:rsidRPr="00702446" w:rsidR="009E212E" w:rsidRDefault="009E212E" w14:paraId="1F79B111" w14:textId="1A06CAE9">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212E" w:rsidP="008A20BD" w:rsidRDefault="009E212E" w14:paraId="504B53F3" w14:textId="6C62BB9A">
    <w:pPr>
      <w:pStyle w:val="Footer"/>
      <w:tabs>
        <w:tab w:val="clear" w:pos="4536"/>
        <w:tab w:val="center" w:pos="7088"/>
      </w:tabs>
    </w:pPr>
    <w:r>
      <w:tab/>
    </w:r>
    <w:r>
      <w:fldChar w:fldCharType="begin"/>
    </w:r>
    <w:r>
      <w:instrText xml:space="preserve"> PAGE   \* MERGEFORMAT </w:instrText>
    </w:r>
    <w:r>
      <w:fldChar w:fldCharType="separate"/>
    </w:r>
    <w:r w:rsidR="00E8541C">
      <w:rPr>
        <w:noProof/>
      </w:rPr>
      <w:t>49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212E" w:rsidRDefault="009E212E" w14:paraId="4622B56C" w14:textId="77777777">
      <w:pPr>
        <w:spacing w:after="0" w:line="240" w:lineRule="auto"/>
      </w:pPr>
      <w:r>
        <w:separator/>
      </w:r>
    </w:p>
  </w:footnote>
  <w:footnote w:type="continuationSeparator" w:id="0">
    <w:p w:rsidR="009E212E" w:rsidRDefault="009E212E" w14:paraId="0237510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212E" w:rsidRDefault="009E212E" w14:paraId="572BF83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A3BD7" w:rsidR="009E212E" w:rsidP="00CA3BD7" w:rsidRDefault="009E212E" w14:paraId="6E06C12D" w14:textId="78DF9D3C">
    <w:pPr>
      <w:pStyle w:val="Header"/>
      <w:jc w:val="center"/>
      <w:rPr>
        <w:sz w:val="18"/>
        <w:szCs w:val="18"/>
      </w:rPr>
    </w:pPr>
    <w:r>
      <w:rPr>
        <w:sz w:val="18"/>
        <w:szCs w:val="18"/>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212E" w:rsidRDefault="009E212E" w14:paraId="6BCD8921" w14:textId="0BAC27BA">
    <w:pPr>
      <w:pStyle w:val="Header"/>
      <w:jc w:val="center"/>
    </w:pPr>
    <w:r>
      <w:t>OFFICIAL</w:t>
    </w:r>
  </w:p>
  <w:p w:rsidRPr="003F24C0" w:rsidR="009E212E" w:rsidP="003F24C0" w:rsidRDefault="009E212E" w14:paraId="7391B8B9" w14:textId="5A9A481E">
    <w:pPr>
      <w:pStyle w:val="Heade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E56592E"/>
    <w:lvl w:ilvl="0">
      <w:start w:val="1"/>
      <w:numFmt w:val="bullet"/>
      <w:pStyle w:val="ListBullet4"/>
      <w:lvlText w:val=""/>
      <w:lvlJc w:val="left"/>
      <w:pPr>
        <w:tabs>
          <w:tab w:val="num" w:pos="1209"/>
        </w:tabs>
        <w:ind w:left="1209" w:hanging="360"/>
      </w:pPr>
      <w:rPr>
        <w:rFonts w:hint="default" w:ascii="Symbol" w:hAnsi="Symbol"/>
      </w:rPr>
    </w:lvl>
  </w:abstractNum>
  <w:abstractNum w:abstractNumId="1" w15:restartNumberingAfterBreak="0">
    <w:nsid w:val="FFFFFF83"/>
    <w:multiLevelType w:val="singleLevel"/>
    <w:tmpl w:val="3F4E16F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02D89BBD"/>
    <w:multiLevelType w:val="multilevel"/>
    <w:tmpl w:val="A3B62992"/>
    <w:styleLink w:val="Appendix"/>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 w15:restartNumberingAfterBreak="0">
    <w:nsid w:val="06CF575C"/>
    <w:multiLevelType w:val="multilevel"/>
    <w:tmpl w:val="50D670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FD2CE7"/>
    <w:multiLevelType w:val="multilevel"/>
    <w:tmpl w:val="46465232"/>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FC3106"/>
    <w:multiLevelType w:val="hybridMultilevel"/>
    <w:tmpl w:val="200A8CB0"/>
    <w:lvl w:ilvl="0" w:tplc="68D06ACE">
      <w:start w:val="1"/>
      <w:numFmt w:val="bullet"/>
      <w:pStyle w:val="Mylist"/>
      <w:lvlText w:val=""/>
      <w:lvlJc w:val="left"/>
      <w:pPr>
        <w:tabs>
          <w:tab w:val="num" w:pos="765"/>
        </w:tabs>
        <w:ind w:left="765" w:hanging="360"/>
      </w:pPr>
      <w:rPr>
        <w:rFonts w:hint="default" w:ascii="Symbol" w:hAnsi="Symbol"/>
      </w:rPr>
    </w:lvl>
    <w:lvl w:ilvl="1" w:tplc="04090003">
      <w:start w:val="1"/>
      <w:numFmt w:val="bullet"/>
      <w:lvlText w:val="o"/>
      <w:lvlJc w:val="left"/>
      <w:pPr>
        <w:tabs>
          <w:tab w:val="num" w:pos="1485"/>
        </w:tabs>
        <w:ind w:left="1485" w:hanging="360"/>
      </w:pPr>
      <w:rPr>
        <w:rFonts w:hint="default" w:ascii="Courier New" w:hAnsi="Courier New"/>
      </w:rPr>
    </w:lvl>
    <w:lvl w:ilvl="2" w:tplc="04090005">
      <w:start w:val="1"/>
      <w:numFmt w:val="bullet"/>
      <w:lvlText w:val=""/>
      <w:lvlJc w:val="left"/>
      <w:pPr>
        <w:tabs>
          <w:tab w:val="num" w:pos="2205"/>
        </w:tabs>
        <w:ind w:left="2205" w:hanging="360"/>
      </w:pPr>
      <w:rPr>
        <w:rFonts w:hint="default" w:ascii="Wingdings" w:hAnsi="Wingdings"/>
      </w:rPr>
    </w:lvl>
    <w:lvl w:ilvl="3" w:tplc="C1C63BE0">
      <w:start w:val="1"/>
      <w:numFmt w:val="bullet"/>
      <w:pStyle w:val="ssNoHeading3"/>
      <w:lvlText w:val="-"/>
      <w:lvlJc w:val="left"/>
      <w:pPr>
        <w:tabs>
          <w:tab w:val="num" w:pos="2925"/>
        </w:tabs>
        <w:ind w:left="2925" w:hanging="360"/>
      </w:pPr>
      <w:rPr>
        <w:rFonts w:hint="default" w:ascii="Arial" w:hAnsi="Arial" w:eastAsia="Times New Roman" w:cs="Arial"/>
      </w:rPr>
    </w:lvl>
    <w:lvl w:ilvl="4" w:tplc="04090003" w:tentative="1">
      <w:start w:val="1"/>
      <w:numFmt w:val="bullet"/>
      <w:pStyle w:val="ssNoHeading4"/>
      <w:lvlText w:val="o"/>
      <w:lvlJc w:val="left"/>
      <w:pPr>
        <w:tabs>
          <w:tab w:val="num" w:pos="3645"/>
        </w:tabs>
        <w:ind w:left="3645" w:hanging="360"/>
      </w:pPr>
      <w:rPr>
        <w:rFonts w:hint="default" w:ascii="Courier New" w:hAnsi="Courier New"/>
      </w:rPr>
    </w:lvl>
    <w:lvl w:ilvl="5" w:tplc="04090005" w:tentative="1">
      <w:start w:val="1"/>
      <w:numFmt w:val="bullet"/>
      <w:lvlText w:val=""/>
      <w:lvlJc w:val="left"/>
      <w:pPr>
        <w:tabs>
          <w:tab w:val="num" w:pos="4365"/>
        </w:tabs>
        <w:ind w:left="4365" w:hanging="360"/>
      </w:pPr>
      <w:rPr>
        <w:rFonts w:hint="default" w:ascii="Wingdings" w:hAnsi="Wingdings"/>
      </w:rPr>
    </w:lvl>
    <w:lvl w:ilvl="6" w:tplc="04090001" w:tentative="1">
      <w:start w:val="1"/>
      <w:numFmt w:val="bullet"/>
      <w:lvlText w:val=""/>
      <w:lvlJc w:val="left"/>
      <w:pPr>
        <w:tabs>
          <w:tab w:val="num" w:pos="5085"/>
        </w:tabs>
        <w:ind w:left="5085" w:hanging="360"/>
      </w:pPr>
      <w:rPr>
        <w:rFonts w:hint="default" w:ascii="Symbol" w:hAnsi="Symbol"/>
      </w:rPr>
    </w:lvl>
    <w:lvl w:ilvl="7" w:tplc="04090003" w:tentative="1">
      <w:start w:val="1"/>
      <w:numFmt w:val="bullet"/>
      <w:lvlText w:val="o"/>
      <w:lvlJc w:val="left"/>
      <w:pPr>
        <w:tabs>
          <w:tab w:val="num" w:pos="5805"/>
        </w:tabs>
        <w:ind w:left="5805" w:hanging="360"/>
      </w:pPr>
      <w:rPr>
        <w:rFonts w:hint="default" w:ascii="Courier New" w:hAnsi="Courier New"/>
      </w:rPr>
    </w:lvl>
    <w:lvl w:ilvl="8" w:tplc="04090005" w:tentative="1">
      <w:start w:val="1"/>
      <w:numFmt w:val="bullet"/>
      <w:lvlText w:val=""/>
      <w:lvlJc w:val="left"/>
      <w:pPr>
        <w:tabs>
          <w:tab w:val="num" w:pos="6525"/>
        </w:tabs>
        <w:ind w:left="6525" w:hanging="360"/>
      </w:pPr>
      <w:rPr>
        <w:rFonts w:hint="default" w:ascii="Wingdings" w:hAnsi="Wingdings"/>
      </w:rPr>
    </w:lvl>
  </w:abstractNum>
  <w:abstractNum w:abstractNumId="6" w15:restartNumberingAfterBreak="0">
    <w:nsid w:val="0D6632BA"/>
    <w:multiLevelType w:val="multilevel"/>
    <w:tmpl w:val="CE08A638"/>
    <w:lvl w:ilvl="0">
      <w:start w:val="1"/>
      <w:numFmt w:val="none"/>
      <w:pStyle w:val="definition"/>
      <w:suff w:val="nothing"/>
      <w:lvlText w:val=""/>
      <w:lvlJc w:val="left"/>
      <w:pPr>
        <w:ind w:left="0" w:firstLine="0"/>
      </w:pPr>
      <w:rPr>
        <w:rFonts w:hint="default"/>
      </w:rPr>
    </w:lvl>
    <w:lvl w:ilvl="1">
      <w:start w:val="1"/>
      <w:numFmt w:val="lowerLetter"/>
      <w:pStyle w:val="definitionsub"/>
      <w:lvlText w:val="(%2)"/>
      <w:lvlJc w:val="left"/>
      <w:pPr>
        <w:ind w:left="454" w:hanging="454"/>
      </w:pPr>
      <w:rPr>
        <w:rFonts w:hint="default"/>
      </w:rPr>
    </w:lvl>
    <w:lvl w:ilvl="2">
      <w:start w:val="1"/>
      <w:numFmt w:val="lowerRoman"/>
      <w:lvlText w:val="(%3)"/>
      <w:lvlJc w:val="left"/>
      <w:pPr>
        <w:tabs>
          <w:tab w:val="num" w:pos="851"/>
        </w:tabs>
        <w:ind w:left="851" w:hanging="397"/>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0FD77125"/>
    <w:multiLevelType w:val="multilevel"/>
    <w:tmpl w:val="4E487C8E"/>
    <w:lvl w:ilvl="0">
      <w:start w:val="1"/>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b w:val="0"/>
      </w:rPr>
    </w:lvl>
    <w:lvl w:ilvl="2">
      <w:start w:val="1"/>
      <w:numFmt w:val="lowerLetter"/>
      <w:pStyle w:val="Simple3"/>
      <w:lvlText w:val="(%3)"/>
      <w:lvlJc w:val="left"/>
      <w:pPr>
        <w:tabs>
          <w:tab w:val="num" w:pos="1417"/>
        </w:tabs>
        <w:ind w:left="1417" w:hanging="708"/>
      </w:pPr>
      <w:rPr>
        <w:rFonts w:hint="default"/>
        <w:i w:val="0"/>
        <w:color w:val="auto"/>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8" w15:restartNumberingAfterBreak="0">
    <w:nsid w:val="171D7009"/>
    <w:multiLevelType w:val="multilevel"/>
    <w:tmpl w:val="50D670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195623"/>
    <w:multiLevelType w:val="multilevel"/>
    <w:tmpl w:val="F9F6E5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2E43A8"/>
    <w:multiLevelType w:val="multilevel"/>
    <w:tmpl w:val="50D670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AE4EC2"/>
    <w:multiLevelType w:val="multilevel"/>
    <w:tmpl w:val="50D670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D45055"/>
    <w:multiLevelType w:val="singleLevel"/>
    <w:tmpl w:val="00308B50"/>
    <w:lvl w:ilvl="0">
      <w:start w:val="1"/>
      <w:numFmt w:val="upperLetter"/>
      <w:pStyle w:val="definitionsub-sub"/>
      <w:lvlText w:val="(%1)"/>
      <w:lvlJc w:val="left"/>
      <w:pPr>
        <w:tabs>
          <w:tab w:val="num" w:pos="1134"/>
        </w:tabs>
        <w:ind w:left="1134" w:hanging="1134"/>
      </w:pPr>
      <w:rPr>
        <w:b w:val="0"/>
        <w:i w:val="0"/>
      </w:rPr>
    </w:lvl>
  </w:abstractNum>
  <w:abstractNum w:abstractNumId="13" w15:restartNumberingAfterBreak="0">
    <w:nsid w:val="24AC0439"/>
    <w:multiLevelType w:val="multilevel"/>
    <w:tmpl w:val="50D670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D67F73"/>
    <w:multiLevelType w:val="multilevel"/>
    <w:tmpl w:val="50D670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9D75CE"/>
    <w:multiLevelType w:val="multilevel"/>
    <w:tmpl w:val="F9F6E5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ED4E3E"/>
    <w:multiLevelType w:val="multilevel"/>
    <w:tmpl w:val="50D670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4A3606A"/>
    <w:multiLevelType w:val="multilevel"/>
    <w:tmpl w:val="50D670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4D03015"/>
    <w:multiLevelType w:val="multilevel"/>
    <w:tmpl w:val="E4E6D464"/>
    <w:lvl w:ilvl="0">
      <w:start w:val="1"/>
      <w:numFmt w:val="decimal"/>
      <w:lvlText w:val="%1."/>
      <w:lvlJc w:val="left"/>
      <w:pPr>
        <w:ind w:left="951" w:hanging="721"/>
      </w:pPr>
      <w:rPr>
        <w:rFonts w:ascii="Arial" w:hAnsi="Arial" w:eastAsia="Times New Roman" w:cs="Arial"/>
        <w:b w:val="0"/>
        <w:sz w:val="20"/>
        <w:szCs w:val="20"/>
      </w:rPr>
    </w:lvl>
    <w:lvl w:ilvl="1">
      <w:start w:val="1"/>
      <w:numFmt w:val="bullet"/>
      <w:lvlText w:val="•"/>
      <w:lvlJc w:val="left"/>
      <w:pPr>
        <w:ind w:left="1920" w:hanging="721"/>
      </w:pPr>
    </w:lvl>
    <w:lvl w:ilvl="2">
      <w:start w:val="1"/>
      <w:numFmt w:val="bullet"/>
      <w:lvlText w:val="•"/>
      <w:lvlJc w:val="left"/>
      <w:pPr>
        <w:ind w:left="2880" w:hanging="721"/>
      </w:pPr>
    </w:lvl>
    <w:lvl w:ilvl="3">
      <w:start w:val="1"/>
      <w:numFmt w:val="bullet"/>
      <w:lvlText w:val="•"/>
      <w:lvlJc w:val="left"/>
      <w:pPr>
        <w:ind w:left="3840" w:hanging="721"/>
      </w:pPr>
    </w:lvl>
    <w:lvl w:ilvl="4">
      <w:start w:val="1"/>
      <w:numFmt w:val="bullet"/>
      <w:lvlText w:val="•"/>
      <w:lvlJc w:val="left"/>
      <w:pPr>
        <w:ind w:left="4800" w:hanging="721"/>
      </w:pPr>
    </w:lvl>
    <w:lvl w:ilvl="5">
      <w:start w:val="1"/>
      <w:numFmt w:val="bullet"/>
      <w:lvlText w:val="•"/>
      <w:lvlJc w:val="left"/>
      <w:pPr>
        <w:ind w:left="5760" w:hanging="721"/>
      </w:pPr>
    </w:lvl>
    <w:lvl w:ilvl="6">
      <w:start w:val="1"/>
      <w:numFmt w:val="bullet"/>
      <w:lvlText w:val="•"/>
      <w:lvlJc w:val="left"/>
      <w:pPr>
        <w:ind w:left="6720" w:hanging="721"/>
      </w:pPr>
    </w:lvl>
    <w:lvl w:ilvl="7">
      <w:start w:val="1"/>
      <w:numFmt w:val="bullet"/>
      <w:lvlText w:val="•"/>
      <w:lvlJc w:val="left"/>
      <w:pPr>
        <w:ind w:left="7680" w:hanging="721"/>
      </w:pPr>
    </w:lvl>
    <w:lvl w:ilvl="8">
      <w:start w:val="1"/>
      <w:numFmt w:val="bullet"/>
      <w:lvlText w:val="•"/>
      <w:lvlJc w:val="left"/>
      <w:pPr>
        <w:ind w:left="8640" w:hanging="721"/>
      </w:pPr>
    </w:lvl>
  </w:abstractNum>
  <w:abstractNum w:abstractNumId="19" w15:restartNumberingAfterBreak="0">
    <w:nsid w:val="45C13D35"/>
    <w:multiLevelType w:val="multilevel"/>
    <w:tmpl w:val="89AAD79C"/>
    <w:lvl w:ilvl="0">
      <w:start w:val="1"/>
      <w:numFmt w:val="decimal"/>
      <w:lvlRestart w:val="0"/>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7"/>
        </w:tabs>
        <w:ind w:left="1417" w:hanging="708"/>
      </w:pPr>
      <w:rPr>
        <w:rFonts w:hint="default"/>
      </w:rPr>
    </w:lvl>
    <w:lvl w:ilvl="3">
      <w:start w:val="1"/>
      <w:numFmt w:val="lowerRoman"/>
      <w:pStyle w:val="Heading4"/>
      <w:lvlText w:val="(%4)"/>
      <w:lvlJc w:val="left"/>
      <w:pPr>
        <w:tabs>
          <w:tab w:val="num" w:pos="2126"/>
        </w:tabs>
        <w:ind w:left="2126" w:hanging="709"/>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Heading8"/>
      <w:lvlText w:val="%8)"/>
      <w:lvlJc w:val="left"/>
      <w:pPr>
        <w:tabs>
          <w:tab w:val="num" w:pos="4961"/>
        </w:tabs>
        <w:ind w:left="4961" w:hanging="709"/>
      </w:pPr>
      <w:rPr>
        <w:rFonts w:hint="default"/>
      </w:rPr>
    </w:lvl>
    <w:lvl w:ilvl="8">
      <w:start w:val="1"/>
      <w:numFmt w:val="upperLetter"/>
      <w:pStyle w:val="Heading9"/>
      <w:lvlText w:val="%9)"/>
      <w:lvlJc w:val="left"/>
      <w:pPr>
        <w:tabs>
          <w:tab w:val="num" w:pos="5669"/>
        </w:tabs>
        <w:ind w:left="5669" w:hanging="708"/>
      </w:pPr>
      <w:rPr>
        <w:rFonts w:hint="default"/>
      </w:rPr>
    </w:lvl>
  </w:abstractNum>
  <w:abstractNum w:abstractNumId="20" w15:restartNumberingAfterBreak="0">
    <w:nsid w:val="47D74027"/>
    <w:multiLevelType w:val="multilevel"/>
    <w:tmpl w:val="50D670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A4E5640"/>
    <w:multiLevelType w:val="multilevel"/>
    <w:tmpl w:val="EF9E0650"/>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b w:val="0"/>
      </w:rPr>
    </w:lvl>
    <w:lvl w:ilvl="2">
      <w:start w:val="1"/>
      <w:numFmt w:val="decimal"/>
      <w:pStyle w:val="Level3"/>
      <w:lvlText w:val="%1.%2.%3"/>
      <w:lvlJc w:val="left"/>
      <w:pPr>
        <w:ind w:left="1803" w:hanging="1083"/>
      </w:pPr>
      <w:rPr>
        <w:rFonts w:hint="default"/>
      </w:rPr>
    </w:lvl>
    <w:lvl w:ilvl="3">
      <w:start w:val="1"/>
      <w:numFmt w:val="lowerLetter"/>
      <w:pStyle w:val="Level4"/>
      <w:lvlText w:val="(%4)"/>
      <w:lvlJc w:val="left"/>
      <w:pPr>
        <w:ind w:left="1803" w:hanging="1083"/>
      </w:pPr>
      <w:rPr>
        <w:rFonts w:hint="default" w:ascii="Arial" w:hAnsi="Arial" w:cs="Arial"/>
        <w:b w:val="0"/>
        <w:sz w:val="20"/>
        <w:szCs w:val="24"/>
      </w:rPr>
    </w:lvl>
    <w:lvl w:ilvl="4">
      <w:start w:val="1"/>
      <w:numFmt w:val="lowerRoman"/>
      <w:pStyle w:val="Level5"/>
      <w:lvlText w:val="(%5)"/>
      <w:lvlJc w:val="left"/>
      <w:pPr>
        <w:ind w:left="2523" w:hanging="720"/>
      </w:pPr>
      <w:rPr>
        <w:rFonts w:hint="default"/>
      </w:rPr>
    </w:lvl>
    <w:lvl w:ilvl="5">
      <w:start w:val="1"/>
      <w:numFmt w:val="upperLetter"/>
      <w:pStyle w:val="Level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2" w15:restartNumberingAfterBreak="0">
    <w:nsid w:val="4C2A246B"/>
    <w:multiLevelType w:val="multilevel"/>
    <w:tmpl w:val="50D670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18519BB"/>
    <w:multiLevelType w:val="multilevel"/>
    <w:tmpl w:val="50D670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1A73468"/>
    <w:multiLevelType w:val="multilevel"/>
    <w:tmpl w:val="50D670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2F95850"/>
    <w:multiLevelType w:val="singleLevel"/>
    <w:tmpl w:val="B30A1960"/>
    <w:lvl w:ilvl="0">
      <w:start w:val="1"/>
      <w:numFmt w:val="decimal"/>
      <w:pStyle w:val="Simple7"/>
      <w:lvlText w:val="(%1)"/>
      <w:lvlJc w:val="left"/>
      <w:pPr>
        <w:tabs>
          <w:tab w:val="num" w:pos="3402"/>
        </w:tabs>
        <w:ind w:left="3402" w:hanging="1134"/>
      </w:pPr>
    </w:lvl>
  </w:abstractNum>
  <w:abstractNum w:abstractNumId="26" w15:restartNumberingAfterBreak="0">
    <w:nsid w:val="54EE08CF"/>
    <w:multiLevelType w:val="multilevel"/>
    <w:tmpl w:val="50D670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CF90D30"/>
    <w:multiLevelType w:val="multilevel"/>
    <w:tmpl w:val="50D670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26634BF"/>
    <w:multiLevelType w:val="multilevel"/>
    <w:tmpl w:val="50D670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C22E98"/>
    <w:multiLevelType w:val="singleLevel"/>
    <w:tmpl w:val="8AD20BC4"/>
    <w:lvl w:ilvl="0">
      <w:start w:val="1"/>
      <w:numFmt w:val="lowerLetter"/>
      <w:pStyle w:val="MyList0"/>
      <w:lvlText w:val="%1)"/>
      <w:lvlJc w:val="left"/>
      <w:pPr>
        <w:tabs>
          <w:tab w:val="num" w:pos="1800"/>
        </w:tabs>
        <w:ind w:left="1800" w:hanging="360"/>
      </w:pPr>
      <w:rPr>
        <w:rFonts w:hint="default"/>
      </w:rPr>
    </w:lvl>
  </w:abstractNum>
  <w:abstractNum w:abstractNumId="30" w15:restartNumberingAfterBreak="0">
    <w:nsid w:val="76637A51"/>
    <w:multiLevelType w:val="multilevel"/>
    <w:tmpl w:val="EBE8E72E"/>
    <w:lvl w:ilvl="0">
      <w:start w:val="1"/>
      <w:numFmt w:val="bullet"/>
      <w:lvlRestart w:val="0"/>
      <w:pStyle w:val="Bullet1"/>
      <w:lvlText w:val=""/>
      <w:lvlJc w:val="left"/>
      <w:pPr>
        <w:tabs>
          <w:tab w:val="num" w:pos="454"/>
        </w:tabs>
        <w:ind w:left="454" w:hanging="454"/>
      </w:pPr>
      <w:rPr>
        <w:rFonts w:hint="default" w:ascii="Symbol" w:hAnsi="Symbol"/>
      </w:rPr>
    </w:lvl>
    <w:lvl w:ilvl="1">
      <w:start w:val="1"/>
      <w:numFmt w:val="bullet"/>
      <w:pStyle w:val="Bullet2"/>
      <w:lvlText w:val=""/>
      <w:lvlJc w:val="left"/>
      <w:pPr>
        <w:tabs>
          <w:tab w:val="num" w:pos="709"/>
        </w:tabs>
        <w:ind w:left="709" w:hanging="709"/>
      </w:pPr>
      <w:rPr>
        <w:rFonts w:hint="default" w:ascii="Symbol" w:hAnsi="Symbol"/>
      </w:rPr>
    </w:lvl>
    <w:lvl w:ilvl="2">
      <w:start w:val="1"/>
      <w:numFmt w:val="bullet"/>
      <w:pStyle w:val="Bullet3"/>
      <w:lvlText w:val=""/>
      <w:lvlJc w:val="left"/>
      <w:pPr>
        <w:tabs>
          <w:tab w:val="num" w:pos="1134"/>
        </w:tabs>
        <w:ind w:left="1134" w:hanging="425"/>
      </w:pPr>
      <w:rPr>
        <w:rFonts w:hint="default" w:ascii="Symbol" w:hAnsi="Symbol"/>
      </w:rPr>
    </w:lvl>
    <w:lvl w:ilvl="3">
      <w:start w:val="1"/>
      <w:numFmt w:val="bullet"/>
      <w:pStyle w:val="Bullet4"/>
      <w:lvlText w:val=""/>
      <w:lvlJc w:val="left"/>
      <w:pPr>
        <w:tabs>
          <w:tab w:val="num" w:pos="2126"/>
        </w:tabs>
        <w:ind w:left="2126" w:hanging="709"/>
      </w:pPr>
      <w:rPr>
        <w:rFonts w:hint="default" w:ascii="Symbol" w:hAnsi="Symbol"/>
      </w:rPr>
    </w:lvl>
    <w:lvl w:ilvl="4">
      <w:start w:val="1"/>
      <w:numFmt w:val="bullet"/>
      <w:pStyle w:val="Bullet5"/>
      <w:lvlText w:val=""/>
      <w:lvlJc w:val="left"/>
      <w:pPr>
        <w:tabs>
          <w:tab w:val="num" w:pos="2835"/>
        </w:tabs>
        <w:ind w:left="2835" w:hanging="709"/>
      </w:pPr>
      <w:rPr>
        <w:rFonts w:hint="default" w:ascii="Symbol" w:hAnsi="Symbol"/>
      </w:rPr>
    </w:lvl>
    <w:lvl w:ilvl="5">
      <w:start w:val="1"/>
      <w:numFmt w:val="bullet"/>
      <w:pStyle w:val="Bullet6"/>
      <w:lvlText w:val=""/>
      <w:lvlJc w:val="left"/>
      <w:pPr>
        <w:tabs>
          <w:tab w:val="num" w:pos="3543"/>
        </w:tabs>
        <w:ind w:left="3543" w:hanging="708"/>
      </w:pPr>
      <w:rPr>
        <w:rFonts w:hint="default" w:ascii="Symbol" w:hAnsi="Symbol"/>
      </w:rPr>
    </w:lvl>
    <w:lvl w:ilvl="6">
      <w:start w:val="1"/>
      <w:numFmt w:val="bullet"/>
      <w:pStyle w:val="Bullet7"/>
      <w:lvlText w:val=""/>
      <w:lvlJc w:val="left"/>
      <w:pPr>
        <w:tabs>
          <w:tab w:val="num" w:pos="4252"/>
        </w:tabs>
        <w:ind w:left="4252" w:hanging="709"/>
      </w:pPr>
      <w:rPr>
        <w:rFonts w:hint="default" w:ascii="Symbol" w:hAnsi="Symbol"/>
      </w:rPr>
    </w:lvl>
    <w:lvl w:ilvl="7">
      <w:start w:val="1"/>
      <w:numFmt w:val="bullet"/>
      <w:pStyle w:val="Bullet8"/>
      <w:lvlText w:val=""/>
      <w:lvlJc w:val="left"/>
      <w:pPr>
        <w:tabs>
          <w:tab w:val="num" w:pos="4961"/>
        </w:tabs>
        <w:ind w:left="4961" w:hanging="709"/>
      </w:pPr>
      <w:rPr>
        <w:rFonts w:hint="default" w:ascii="Symbol" w:hAnsi="Symbol"/>
      </w:rPr>
    </w:lvl>
    <w:lvl w:ilvl="8">
      <w:start w:val="1"/>
      <w:numFmt w:val="bullet"/>
      <w:pStyle w:val="Bullet9"/>
      <w:lvlText w:val=""/>
      <w:lvlJc w:val="left"/>
      <w:pPr>
        <w:tabs>
          <w:tab w:val="num" w:pos="5669"/>
        </w:tabs>
        <w:ind w:left="5669" w:hanging="708"/>
      </w:pPr>
      <w:rPr>
        <w:rFonts w:hint="default" w:ascii="Symbol" w:hAnsi="Symbol"/>
      </w:rPr>
    </w:lvl>
  </w:abstractNum>
  <w:abstractNum w:abstractNumId="31" w15:restartNumberingAfterBreak="0">
    <w:nsid w:val="79255DCB"/>
    <w:multiLevelType w:val="hybridMultilevel"/>
    <w:tmpl w:val="1DA475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147F05"/>
    <w:multiLevelType w:val="singleLevel"/>
    <w:tmpl w:val="47447FC4"/>
    <w:lvl w:ilvl="0">
      <w:start w:val="1"/>
      <w:numFmt w:val="decimal"/>
      <w:pStyle w:val="Parties"/>
      <w:lvlText w:val="(%1)"/>
      <w:lvlJc w:val="left"/>
      <w:pPr>
        <w:tabs>
          <w:tab w:val="num" w:pos="1134"/>
        </w:tabs>
        <w:ind w:left="1134" w:hanging="1134"/>
      </w:pPr>
      <w:rPr>
        <w:b w:val="0"/>
      </w:rPr>
    </w:lvl>
  </w:abstractNum>
  <w:abstractNum w:abstractNumId="33" w15:restartNumberingAfterBreak="0">
    <w:nsid w:val="7E815D53"/>
    <w:multiLevelType w:val="multilevel"/>
    <w:tmpl w:val="50D670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36032784">
    <w:abstractNumId w:val="25"/>
  </w:num>
  <w:num w:numId="2" w16cid:durableId="1823736886">
    <w:abstractNumId w:val="12"/>
  </w:num>
  <w:num w:numId="3" w16cid:durableId="136727207">
    <w:abstractNumId w:val="19"/>
  </w:num>
  <w:num w:numId="4" w16cid:durableId="1179079289">
    <w:abstractNumId w:val="30"/>
  </w:num>
  <w:num w:numId="5" w16cid:durableId="369258581">
    <w:abstractNumId w:val="7"/>
  </w:num>
  <w:num w:numId="6" w16cid:durableId="1529026563">
    <w:abstractNumId w:val="32"/>
  </w:num>
  <w:num w:numId="7" w16cid:durableId="990329674">
    <w:abstractNumId w:val="6"/>
  </w:num>
  <w:num w:numId="8" w16cid:durableId="663706102">
    <w:abstractNumId w:val="5"/>
  </w:num>
  <w:num w:numId="9" w16cid:durableId="1997998887">
    <w:abstractNumId w:val="29"/>
  </w:num>
  <w:num w:numId="10" w16cid:durableId="1891571837">
    <w:abstractNumId w:val="0"/>
  </w:num>
  <w:num w:numId="11" w16cid:durableId="13971678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34452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31096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3736423">
    <w:abstractNumId w:val="1"/>
  </w:num>
  <w:num w:numId="15" w16cid:durableId="956525483">
    <w:abstractNumId w:val="22"/>
  </w:num>
  <w:num w:numId="16" w16cid:durableId="1060791436">
    <w:abstractNumId w:val="16"/>
  </w:num>
  <w:num w:numId="17" w16cid:durableId="134564310">
    <w:abstractNumId w:val="13"/>
  </w:num>
  <w:num w:numId="18" w16cid:durableId="1239899468">
    <w:abstractNumId w:val="28"/>
  </w:num>
  <w:num w:numId="19" w16cid:durableId="921723041">
    <w:abstractNumId w:val="23"/>
  </w:num>
  <w:num w:numId="20" w16cid:durableId="567766779">
    <w:abstractNumId w:val="14"/>
  </w:num>
  <w:num w:numId="21" w16cid:durableId="1791169256">
    <w:abstractNumId w:val="31"/>
  </w:num>
  <w:num w:numId="22" w16cid:durableId="530535481">
    <w:abstractNumId w:val="33"/>
  </w:num>
  <w:num w:numId="23" w16cid:durableId="1774587029">
    <w:abstractNumId w:val="27"/>
  </w:num>
  <w:num w:numId="24" w16cid:durableId="649286173">
    <w:abstractNumId w:val="24"/>
  </w:num>
  <w:num w:numId="25" w16cid:durableId="1414161678">
    <w:abstractNumId w:val="26"/>
  </w:num>
  <w:num w:numId="26" w16cid:durableId="202983536">
    <w:abstractNumId w:val="20"/>
  </w:num>
  <w:num w:numId="27" w16cid:durableId="1291088321">
    <w:abstractNumId w:val="11"/>
  </w:num>
  <w:num w:numId="28" w16cid:durableId="341471672">
    <w:abstractNumId w:val="17"/>
  </w:num>
  <w:num w:numId="29" w16cid:durableId="1664971600">
    <w:abstractNumId w:val="10"/>
  </w:num>
  <w:num w:numId="30" w16cid:durableId="779177945">
    <w:abstractNumId w:val="4"/>
  </w:num>
  <w:num w:numId="31" w16cid:durableId="1616669478">
    <w:abstractNumId w:val="8"/>
  </w:num>
  <w:num w:numId="32" w16cid:durableId="1646081466">
    <w:abstractNumId w:val="9"/>
  </w:num>
  <w:num w:numId="33" w16cid:durableId="941568968">
    <w:abstractNumId w:val="3"/>
  </w:num>
  <w:num w:numId="34" w16cid:durableId="1750887024">
    <w:abstractNumId w:val="2"/>
  </w:num>
  <w:num w:numId="35" w16cid:durableId="507528911">
    <w:abstractNumId w:val="18"/>
    <w:lvlOverride w:ilvl="0">
      <w:startOverride w:val="1"/>
    </w:lvlOverride>
    <w:lvlOverride w:ilvl="1"/>
    <w:lvlOverride w:ilvl="2"/>
    <w:lvlOverride w:ilvl="3"/>
    <w:lvlOverride w:ilvl="4"/>
    <w:lvlOverride w:ilvl="5"/>
    <w:lvlOverride w:ilvl="6"/>
    <w:lvlOverride w:ilvl="7"/>
    <w:lvlOverride w:ilvl="8"/>
  </w:num>
  <w:num w:numId="36" w16cid:durableId="308100535">
    <w:abstractNumId w:val="21"/>
  </w:num>
  <w:num w:numId="37" w16cid:durableId="535966896">
    <w:abstractNumId w:val="15"/>
  </w:num>
  <w:numIdMacAtCleanup w:val="3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S_Client" w:val="Gowling"/>
    <w:docVar w:name="MS_Mediasterling" w:val="True"/>
    <w:docVar w:name="TMS_TEMPLATE_ID" w:val="Blank Document"/>
  </w:docVars>
  <w:rsids>
    <w:rsidRoot w:val="007A23D6"/>
    <w:rsid w:val="00000CA2"/>
    <w:rsid w:val="0000181A"/>
    <w:rsid w:val="000019C0"/>
    <w:rsid w:val="00003DA6"/>
    <w:rsid w:val="0000460E"/>
    <w:rsid w:val="00004A19"/>
    <w:rsid w:val="00007A88"/>
    <w:rsid w:val="00010764"/>
    <w:rsid w:val="00010AE6"/>
    <w:rsid w:val="000123BB"/>
    <w:rsid w:val="000139FC"/>
    <w:rsid w:val="000143B8"/>
    <w:rsid w:val="00020A33"/>
    <w:rsid w:val="00023461"/>
    <w:rsid w:val="00024439"/>
    <w:rsid w:val="00024785"/>
    <w:rsid w:val="00025273"/>
    <w:rsid w:val="0002655B"/>
    <w:rsid w:val="000267BF"/>
    <w:rsid w:val="00026CE1"/>
    <w:rsid w:val="00032048"/>
    <w:rsid w:val="000341B8"/>
    <w:rsid w:val="000348C5"/>
    <w:rsid w:val="00035006"/>
    <w:rsid w:val="00036771"/>
    <w:rsid w:val="00036DA1"/>
    <w:rsid w:val="00037B76"/>
    <w:rsid w:val="00042155"/>
    <w:rsid w:val="00045E04"/>
    <w:rsid w:val="00047F77"/>
    <w:rsid w:val="000508DB"/>
    <w:rsid w:val="00052241"/>
    <w:rsid w:val="0005359D"/>
    <w:rsid w:val="00056F58"/>
    <w:rsid w:val="00067908"/>
    <w:rsid w:val="000714AE"/>
    <w:rsid w:val="00074258"/>
    <w:rsid w:val="00075812"/>
    <w:rsid w:val="00081BEB"/>
    <w:rsid w:val="00084BE9"/>
    <w:rsid w:val="000852B7"/>
    <w:rsid w:val="00085925"/>
    <w:rsid w:val="00085E36"/>
    <w:rsid w:val="000862F4"/>
    <w:rsid w:val="000866E3"/>
    <w:rsid w:val="000908AB"/>
    <w:rsid w:val="00096E71"/>
    <w:rsid w:val="000A0B90"/>
    <w:rsid w:val="000A25E1"/>
    <w:rsid w:val="000A5D89"/>
    <w:rsid w:val="000A66AE"/>
    <w:rsid w:val="000B12B0"/>
    <w:rsid w:val="000C1A43"/>
    <w:rsid w:val="000C624B"/>
    <w:rsid w:val="000C74F8"/>
    <w:rsid w:val="000D171E"/>
    <w:rsid w:val="000D50A3"/>
    <w:rsid w:val="000D702A"/>
    <w:rsid w:val="000E0109"/>
    <w:rsid w:val="000E118C"/>
    <w:rsid w:val="000E2909"/>
    <w:rsid w:val="000E34A0"/>
    <w:rsid w:val="000E4E37"/>
    <w:rsid w:val="000E68B0"/>
    <w:rsid w:val="000E73A2"/>
    <w:rsid w:val="000F0152"/>
    <w:rsid w:val="000F088A"/>
    <w:rsid w:val="000F1592"/>
    <w:rsid w:val="000F1712"/>
    <w:rsid w:val="000F3156"/>
    <w:rsid w:val="000F3D32"/>
    <w:rsid w:val="000F793C"/>
    <w:rsid w:val="001062AC"/>
    <w:rsid w:val="0010693D"/>
    <w:rsid w:val="00110B0E"/>
    <w:rsid w:val="001169F4"/>
    <w:rsid w:val="0012344B"/>
    <w:rsid w:val="00125015"/>
    <w:rsid w:val="00126678"/>
    <w:rsid w:val="00127082"/>
    <w:rsid w:val="00130E08"/>
    <w:rsid w:val="00132E6B"/>
    <w:rsid w:val="00135032"/>
    <w:rsid w:val="00140300"/>
    <w:rsid w:val="00140414"/>
    <w:rsid w:val="00140D1B"/>
    <w:rsid w:val="00144701"/>
    <w:rsid w:val="00146D74"/>
    <w:rsid w:val="00146EEC"/>
    <w:rsid w:val="001479B7"/>
    <w:rsid w:val="00147BF3"/>
    <w:rsid w:val="00147FB5"/>
    <w:rsid w:val="0015016A"/>
    <w:rsid w:val="00150370"/>
    <w:rsid w:val="001549B9"/>
    <w:rsid w:val="00156801"/>
    <w:rsid w:val="0015728E"/>
    <w:rsid w:val="00161B5D"/>
    <w:rsid w:val="00161EEA"/>
    <w:rsid w:val="00162420"/>
    <w:rsid w:val="00162C3C"/>
    <w:rsid w:val="00162DC5"/>
    <w:rsid w:val="00163B8E"/>
    <w:rsid w:val="0016410A"/>
    <w:rsid w:val="001642F9"/>
    <w:rsid w:val="0016522F"/>
    <w:rsid w:val="00167B83"/>
    <w:rsid w:val="0017017A"/>
    <w:rsid w:val="001707D8"/>
    <w:rsid w:val="00172BDA"/>
    <w:rsid w:val="00173668"/>
    <w:rsid w:val="0017386D"/>
    <w:rsid w:val="001758C4"/>
    <w:rsid w:val="00176A8C"/>
    <w:rsid w:val="0018467B"/>
    <w:rsid w:val="00184C1B"/>
    <w:rsid w:val="00186550"/>
    <w:rsid w:val="00186E33"/>
    <w:rsid w:val="00192D29"/>
    <w:rsid w:val="00193922"/>
    <w:rsid w:val="00194C4D"/>
    <w:rsid w:val="001A04AC"/>
    <w:rsid w:val="001A1336"/>
    <w:rsid w:val="001A354E"/>
    <w:rsid w:val="001B05AF"/>
    <w:rsid w:val="001B48EA"/>
    <w:rsid w:val="001B536E"/>
    <w:rsid w:val="001B58E6"/>
    <w:rsid w:val="001B6F88"/>
    <w:rsid w:val="001B7B30"/>
    <w:rsid w:val="001B7CD6"/>
    <w:rsid w:val="001C3D67"/>
    <w:rsid w:val="001D1D46"/>
    <w:rsid w:val="001D5998"/>
    <w:rsid w:val="001D7A6E"/>
    <w:rsid w:val="001E04ED"/>
    <w:rsid w:val="001E148D"/>
    <w:rsid w:val="001E2749"/>
    <w:rsid w:val="001E4E41"/>
    <w:rsid w:val="001E501C"/>
    <w:rsid w:val="001E628F"/>
    <w:rsid w:val="001E6C67"/>
    <w:rsid w:val="001E78DC"/>
    <w:rsid w:val="001F0E7B"/>
    <w:rsid w:val="001F1743"/>
    <w:rsid w:val="001F2B57"/>
    <w:rsid w:val="001F54CC"/>
    <w:rsid w:val="001F7BB7"/>
    <w:rsid w:val="00201120"/>
    <w:rsid w:val="002012E1"/>
    <w:rsid w:val="00203600"/>
    <w:rsid w:val="00204CAD"/>
    <w:rsid w:val="00204EA7"/>
    <w:rsid w:val="0020593F"/>
    <w:rsid w:val="00205B95"/>
    <w:rsid w:val="0020664A"/>
    <w:rsid w:val="00207548"/>
    <w:rsid w:val="00210132"/>
    <w:rsid w:val="002116BC"/>
    <w:rsid w:val="00212029"/>
    <w:rsid w:val="00213091"/>
    <w:rsid w:val="00216A06"/>
    <w:rsid w:val="00227429"/>
    <w:rsid w:val="0023123A"/>
    <w:rsid w:val="00231B7B"/>
    <w:rsid w:val="00234819"/>
    <w:rsid w:val="00234DB2"/>
    <w:rsid w:val="002352E7"/>
    <w:rsid w:val="002365FF"/>
    <w:rsid w:val="00237BC3"/>
    <w:rsid w:val="002402D7"/>
    <w:rsid w:val="0024050C"/>
    <w:rsid w:val="00241475"/>
    <w:rsid w:val="00244E18"/>
    <w:rsid w:val="00245683"/>
    <w:rsid w:val="00245F92"/>
    <w:rsid w:val="00246B3F"/>
    <w:rsid w:val="00252AFE"/>
    <w:rsid w:val="0025590C"/>
    <w:rsid w:val="00257C51"/>
    <w:rsid w:val="00260056"/>
    <w:rsid w:val="002617B8"/>
    <w:rsid w:val="00266FDA"/>
    <w:rsid w:val="002715F1"/>
    <w:rsid w:val="00273539"/>
    <w:rsid w:val="00276593"/>
    <w:rsid w:val="00276CC4"/>
    <w:rsid w:val="002775B0"/>
    <w:rsid w:val="00281EE5"/>
    <w:rsid w:val="00282597"/>
    <w:rsid w:val="00282D00"/>
    <w:rsid w:val="002841E1"/>
    <w:rsid w:val="0028548C"/>
    <w:rsid w:val="002864ED"/>
    <w:rsid w:val="00287DF0"/>
    <w:rsid w:val="002902D8"/>
    <w:rsid w:val="00291A37"/>
    <w:rsid w:val="00292666"/>
    <w:rsid w:val="00292EA2"/>
    <w:rsid w:val="00293A54"/>
    <w:rsid w:val="00293D0F"/>
    <w:rsid w:val="002A055A"/>
    <w:rsid w:val="002A055C"/>
    <w:rsid w:val="002A0DA9"/>
    <w:rsid w:val="002A1570"/>
    <w:rsid w:val="002A24A2"/>
    <w:rsid w:val="002A4C05"/>
    <w:rsid w:val="002A5529"/>
    <w:rsid w:val="002A6541"/>
    <w:rsid w:val="002B0234"/>
    <w:rsid w:val="002B0C36"/>
    <w:rsid w:val="002B767D"/>
    <w:rsid w:val="002B7844"/>
    <w:rsid w:val="002C2C40"/>
    <w:rsid w:val="002C41AC"/>
    <w:rsid w:val="002C5177"/>
    <w:rsid w:val="002C6EE3"/>
    <w:rsid w:val="002C7C17"/>
    <w:rsid w:val="002D0B0B"/>
    <w:rsid w:val="002D0CF6"/>
    <w:rsid w:val="002D1A7A"/>
    <w:rsid w:val="002D5402"/>
    <w:rsid w:val="002E13B2"/>
    <w:rsid w:val="002E19F9"/>
    <w:rsid w:val="002E280C"/>
    <w:rsid w:val="002E3015"/>
    <w:rsid w:val="002E4253"/>
    <w:rsid w:val="002E4260"/>
    <w:rsid w:val="002E4924"/>
    <w:rsid w:val="002F1815"/>
    <w:rsid w:val="002F2D9A"/>
    <w:rsid w:val="002F7699"/>
    <w:rsid w:val="00300194"/>
    <w:rsid w:val="00300E82"/>
    <w:rsid w:val="003022CB"/>
    <w:rsid w:val="00307987"/>
    <w:rsid w:val="0031000D"/>
    <w:rsid w:val="00312033"/>
    <w:rsid w:val="00313CE3"/>
    <w:rsid w:val="00315068"/>
    <w:rsid w:val="0032024D"/>
    <w:rsid w:val="00320F28"/>
    <w:rsid w:val="003242A8"/>
    <w:rsid w:val="00326304"/>
    <w:rsid w:val="00330FD4"/>
    <w:rsid w:val="00333193"/>
    <w:rsid w:val="0033717A"/>
    <w:rsid w:val="0034123C"/>
    <w:rsid w:val="003448D6"/>
    <w:rsid w:val="00345CCA"/>
    <w:rsid w:val="003461B6"/>
    <w:rsid w:val="003468F4"/>
    <w:rsid w:val="00352E11"/>
    <w:rsid w:val="00353923"/>
    <w:rsid w:val="00357764"/>
    <w:rsid w:val="00364B8C"/>
    <w:rsid w:val="003718AE"/>
    <w:rsid w:val="00371A7E"/>
    <w:rsid w:val="00371C7C"/>
    <w:rsid w:val="00377290"/>
    <w:rsid w:val="00380211"/>
    <w:rsid w:val="00380F81"/>
    <w:rsid w:val="00381D73"/>
    <w:rsid w:val="00384E67"/>
    <w:rsid w:val="00386770"/>
    <w:rsid w:val="0039082C"/>
    <w:rsid w:val="00391825"/>
    <w:rsid w:val="003A0FFB"/>
    <w:rsid w:val="003A113A"/>
    <w:rsid w:val="003A157B"/>
    <w:rsid w:val="003A248F"/>
    <w:rsid w:val="003A314E"/>
    <w:rsid w:val="003A331B"/>
    <w:rsid w:val="003A384A"/>
    <w:rsid w:val="003A520C"/>
    <w:rsid w:val="003A5F50"/>
    <w:rsid w:val="003A7A25"/>
    <w:rsid w:val="003A7E08"/>
    <w:rsid w:val="003B0BA2"/>
    <w:rsid w:val="003B2C30"/>
    <w:rsid w:val="003B33C1"/>
    <w:rsid w:val="003B3628"/>
    <w:rsid w:val="003B3CB8"/>
    <w:rsid w:val="003B5E02"/>
    <w:rsid w:val="003B663D"/>
    <w:rsid w:val="003B67A7"/>
    <w:rsid w:val="003B77E7"/>
    <w:rsid w:val="003C0C21"/>
    <w:rsid w:val="003C1DDE"/>
    <w:rsid w:val="003C1E85"/>
    <w:rsid w:val="003C629E"/>
    <w:rsid w:val="003D2AFC"/>
    <w:rsid w:val="003D334D"/>
    <w:rsid w:val="003E706D"/>
    <w:rsid w:val="003E73AB"/>
    <w:rsid w:val="003E7ED8"/>
    <w:rsid w:val="003F24C0"/>
    <w:rsid w:val="003F326E"/>
    <w:rsid w:val="003F3FFF"/>
    <w:rsid w:val="003F4755"/>
    <w:rsid w:val="003F6909"/>
    <w:rsid w:val="004045E2"/>
    <w:rsid w:val="00404F3C"/>
    <w:rsid w:val="00407C3E"/>
    <w:rsid w:val="00410A47"/>
    <w:rsid w:val="0041154A"/>
    <w:rsid w:val="00417410"/>
    <w:rsid w:val="00422734"/>
    <w:rsid w:val="004229FC"/>
    <w:rsid w:val="00423651"/>
    <w:rsid w:val="004279B7"/>
    <w:rsid w:val="00427FD8"/>
    <w:rsid w:val="00433C00"/>
    <w:rsid w:val="004350FD"/>
    <w:rsid w:val="00436705"/>
    <w:rsid w:val="00441268"/>
    <w:rsid w:val="004414ED"/>
    <w:rsid w:val="004440E5"/>
    <w:rsid w:val="00445465"/>
    <w:rsid w:val="00445781"/>
    <w:rsid w:val="00445CDF"/>
    <w:rsid w:val="00451C14"/>
    <w:rsid w:val="00456594"/>
    <w:rsid w:val="00461DDC"/>
    <w:rsid w:val="0046251C"/>
    <w:rsid w:val="00465F39"/>
    <w:rsid w:val="00466325"/>
    <w:rsid w:val="0047042C"/>
    <w:rsid w:val="004736FB"/>
    <w:rsid w:val="0047491B"/>
    <w:rsid w:val="004768FC"/>
    <w:rsid w:val="004809CC"/>
    <w:rsid w:val="00481477"/>
    <w:rsid w:val="00481BF0"/>
    <w:rsid w:val="00492490"/>
    <w:rsid w:val="00497E43"/>
    <w:rsid w:val="004A1A36"/>
    <w:rsid w:val="004A279D"/>
    <w:rsid w:val="004A28F3"/>
    <w:rsid w:val="004A29F2"/>
    <w:rsid w:val="004A35E9"/>
    <w:rsid w:val="004A6CC3"/>
    <w:rsid w:val="004B0995"/>
    <w:rsid w:val="004B169D"/>
    <w:rsid w:val="004B38C9"/>
    <w:rsid w:val="004B3D28"/>
    <w:rsid w:val="004B42E4"/>
    <w:rsid w:val="004B5512"/>
    <w:rsid w:val="004B6FB9"/>
    <w:rsid w:val="004C167B"/>
    <w:rsid w:val="004C16CE"/>
    <w:rsid w:val="004C1A3B"/>
    <w:rsid w:val="004C1B33"/>
    <w:rsid w:val="004C31C3"/>
    <w:rsid w:val="004C3EBE"/>
    <w:rsid w:val="004C69B6"/>
    <w:rsid w:val="004C6C64"/>
    <w:rsid w:val="004D4006"/>
    <w:rsid w:val="004D444E"/>
    <w:rsid w:val="004D56FF"/>
    <w:rsid w:val="004D624F"/>
    <w:rsid w:val="004D6CA7"/>
    <w:rsid w:val="004E1BCB"/>
    <w:rsid w:val="004E25EB"/>
    <w:rsid w:val="004E2D24"/>
    <w:rsid w:val="004E4355"/>
    <w:rsid w:val="004E450D"/>
    <w:rsid w:val="004E6171"/>
    <w:rsid w:val="004F0C4F"/>
    <w:rsid w:val="004F4F36"/>
    <w:rsid w:val="004F5B2B"/>
    <w:rsid w:val="00503391"/>
    <w:rsid w:val="005037A3"/>
    <w:rsid w:val="00503C14"/>
    <w:rsid w:val="005075AA"/>
    <w:rsid w:val="0050796F"/>
    <w:rsid w:val="005100D2"/>
    <w:rsid w:val="00510466"/>
    <w:rsid w:val="00512911"/>
    <w:rsid w:val="00514BB7"/>
    <w:rsid w:val="005159F7"/>
    <w:rsid w:val="00516FB9"/>
    <w:rsid w:val="00521498"/>
    <w:rsid w:val="00521BE5"/>
    <w:rsid w:val="0052448B"/>
    <w:rsid w:val="00525713"/>
    <w:rsid w:val="00525CA3"/>
    <w:rsid w:val="005275BE"/>
    <w:rsid w:val="00532BB9"/>
    <w:rsid w:val="00533320"/>
    <w:rsid w:val="00533935"/>
    <w:rsid w:val="005364D2"/>
    <w:rsid w:val="00536D27"/>
    <w:rsid w:val="0054192D"/>
    <w:rsid w:val="00542E9E"/>
    <w:rsid w:val="00542EA6"/>
    <w:rsid w:val="00543BCC"/>
    <w:rsid w:val="005454E4"/>
    <w:rsid w:val="0055052C"/>
    <w:rsid w:val="005506FE"/>
    <w:rsid w:val="00550E02"/>
    <w:rsid w:val="00552E34"/>
    <w:rsid w:val="0055788F"/>
    <w:rsid w:val="00557A2B"/>
    <w:rsid w:val="005611E4"/>
    <w:rsid w:val="0056222C"/>
    <w:rsid w:val="005661AE"/>
    <w:rsid w:val="0056732B"/>
    <w:rsid w:val="00570978"/>
    <w:rsid w:val="00571E89"/>
    <w:rsid w:val="00573C71"/>
    <w:rsid w:val="00573D23"/>
    <w:rsid w:val="00576DF5"/>
    <w:rsid w:val="00587CF6"/>
    <w:rsid w:val="00594DF1"/>
    <w:rsid w:val="005A1F1F"/>
    <w:rsid w:val="005B018F"/>
    <w:rsid w:val="005B1E73"/>
    <w:rsid w:val="005B2EA9"/>
    <w:rsid w:val="005B336D"/>
    <w:rsid w:val="005B5278"/>
    <w:rsid w:val="005C50B7"/>
    <w:rsid w:val="005C7D1F"/>
    <w:rsid w:val="005C7E7D"/>
    <w:rsid w:val="005D3DF4"/>
    <w:rsid w:val="005D4571"/>
    <w:rsid w:val="005E24AE"/>
    <w:rsid w:val="005E4C17"/>
    <w:rsid w:val="005F4BF4"/>
    <w:rsid w:val="005F5BE2"/>
    <w:rsid w:val="005F6246"/>
    <w:rsid w:val="005F64B1"/>
    <w:rsid w:val="005F65BA"/>
    <w:rsid w:val="00601F28"/>
    <w:rsid w:val="006030F1"/>
    <w:rsid w:val="0060665D"/>
    <w:rsid w:val="006119BB"/>
    <w:rsid w:val="00615297"/>
    <w:rsid w:val="00615589"/>
    <w:rsid w:val="006169A6"/>
    <w:rsid w:val="00616DBE"/>
    <w:rsid w:val="00616E02"/>
    <w:rsid w:val="00616F08"/>
    <w:rsid w:val="0062074D"/>
    <w:rsid w:val="00620C20"/>
    <w:rsid w:val="0062197E"/>
    <w:rsid w:val="00622D8F"/>
    <w:rsid w:val="00623627"/>
    <w:rsid w:val="00624FCE"/>
    <w:rsid w:val="006257A0"/>
    <w:rsid w:val="0062645E"/>
    <w:rsid w:val="006270DB"/>
    <w:rsid w:val="00630EE9"/>
    <w:rsid w:val="0063207D"/>
    <w:rsid w:val="00643DFB"/>
    <w:rsid w:val="00647471"/>
    <w:rsid w:val="00650F63"/>
    <w:rsid w:val="006513C6"/>
    <w:rsid w:val="00652E29"/>
    <w:rsid w:val="00652E61"/>
    <w:rsid w:val="00654BBB"/>
    <w:rsid w:val="006568B7"/>
    <w:rsid w:val="00657483"/>
    <w:rsid w:val="00662D62"/>
    <w:rsid w:val="006639A7"/>
    <w:rsid w:val="00666EA3"/>
    <w:rsid w:val="00670822"/>
    <w:rsid w:val="00671020"/>
    <w:rsid w:val="0067682E"/>
    <w:rsid w:val="00680F68"/>
    <w:rsid w:val="00684301"/>
    <w:rsid w:val="00685108"/>
    <w:rsid w:val="0069195B"/>
    <w:rsid w:val="006948AA"/>
    <w:rsid w:val="006A01D6"/>
    <w:rsid w:val="006A3514"/>
    <w:rsid w:val="006A3D1D"/>
    <w:rsid w:val="006A5A58"/>
    <w:rsid w:val="006A77FD"/>
    <w:rsid w:val="006B54AB"/>
    <w:rsid w:val="006B5B2F"/>
    <w:rsid w:val="006B771D"/>
    <w:rsid w:val="006C43DC"/>
    <w:rsid w:val="006C5D3D"/>
    <w:rsid w:val="006C5FE8"/>
    <w:rsid w:val="006C6E23"/>
    <w:rsid w:val="006C7C78"/>
    <w:rsid w:val="006C7FDD"/>
    <w:rsid w:val="006D1AD8"/>
    <w:rsid w:val="006D2C42"/>
    <w:rsid w:val="006D4D99"/>
    <w:rsid w:val="006D6E5F"/>
    <w:rsid w:val="006E05F7"/>
    <w:rsid w:val="006E25FF"/>
    <w:rsid w:val="006E3A2C"/>
    <w:rsid w:val="006E42CD"/>
    <w:rsid w:val="006E4FE1"/>
    <w:rsid w:val="006E5AE7"/>
    <w:rsid w:val="006E6116"/>
    <w:rsid w:val="006E6278"/>
    <w:rsid w:val="006F0AD1"/>
    <w:rsid w:val="006F3B88"/>
    <w:rsid w:val="006F54D1"/>
    <w:rsid w:val="006F5E66"/>
    <w:rsid w:val="006F7E3E"/>
    <w:rsid w:val="00700CCB"/>
    <w:rsid w:val="00702446"/>
    <w:rsid w:val="0070320A"/>
    <w:rsid w:val="007034CB"/>
    <w:rsid w:val="00704011"/>
    <w:rsid w:val="00706783"/>
    <w:rsid w:val="00710755"/>
    <w:rsid w:val="007125FC"/>
    <w:rsid w:val="00712858"/>
    <w:rsid w:val="00712CCC"/>
    <w:rsid w:val="00712DB3"/>
    <w:rsid w:val="007149CC"/>
    <w:rsid w:val="007156F1"/>
    <w:rsid w:val="007169E7"/>
    <w:rsid w:val="00725CA2"/>
    <w:rsid w:val="0072675C"/>
    <w:rsid w:val="00731394"/>
    <w:rsid w:val="00731E7B"/>
    <w:rsid w:val="007354FA"/>
    <w:rsid w:val="00740C75"/>
    <w:rsid w:val="00741CB9"/>
    <w:rsid w:val="00744E60"/>
    <w:rsid w:val="007457C8"/>
    <w:rsid w:val="00751178"/>
    <w:rsid w:val="00752679"/>
    <w:rsid w:val="00752936"/>
    <w:rsid w:val="007530CB"/>
    <w:rsid w:val="007537DC"/>
    <w:rsid w:val="00753CDD"/>
    <w:rsid w:val="00753F55"/>
    <w:rsid w:val="007617AA"/>
    <w:rsid w:val="00764631"/>
    <w:rsid w:val="007653B3"/>
    <w:rsid w:val="007666A2"/>
    <w:rsid w:val="007670C9"/>
    <w:rsid w:val="00770397"/>
    <w:rsid w:val="0077048B"/>
    <w:rsid w:val="00771139"/>
    <w:rsid w:val="00771AB3"/>
    <w:rsid w:val="00776288"/>
    <w:rsid w:val="00776D92"/>
    <w:rsid w:val="007815D0"/>
    <w:rsid w:val="00785214"/>
    <w:rsid w:val="00790772"/>
    <w:rsid w:val="00790BAE"/>
    <w:rsid w:val="00791591"/>
    <w:rsid w:val="0079507A"/>
    <w:rsid w:val="00796377"/>
    <w:rsid w:val="007A0992"/>
    <w:rsid w:val="007A23B8"/>
    <w:rsid w:val="007A23D6"/>
    <w:rsid w:val="007A310E"/>
    <w:rsid w:val="007A43B0"/>
    <w:rsid w:val="007A4A8D"/>
    <w:rsid w:val="007A5C29"/>
    <w:rsid w:val="007B0EC2"/>
    <w:rsid w:val="007B33FB"/>
    <w:rsid w:val="007B4AB5"/>
    <w:rsid w:val="007B52FF"/>
    <w:rsid w:val="007B5CB3"/>
    <w:rsid w:val="007B7264"/>
    <w:rsid w:val="007C06F9"/>
    <w:rsid w:val="007C5EC7"/>
    <w:rsid w:val="007C7A2A"/>
    <w:rsid w:val="007D151F"/>
    <w:rsid w:val="007D2B28"/>
    <w:rsid w:val="007D4FCB"/>
    <w:rsid w:val="007D6586"/>
    <w:rsid w:val="007D6A1A"/>
    <w:rsid w:val="007E1551"/>
    <w:rsid w:val="007E1C0E"/>
    <w:rsid w:val="007E2025"/>
    <w:rsid w:val="007E46AC"/>
    <w:rsid w:val="007E46AF"/>
    <w:rsid w:val="007E50D5"/>
    <w:rsid w:val="007E5647"/>
    <w:rsid w:val="007F21C4"/>
    <w:rsid w:val="007F649A"/>
    <w:rsid w:val="007F72E5"/>
    <w:rsid w:val="007F7C6E"/>
    <w:rsid w:val="00800946"/>
    <w:rsid w:val="00801FF8"/>
    <w:rsid w:val="008023E9"/>
    <w:rsid w:val="00802D8B"/>
    <w:rsid w:val="008061B4"/>
    <w:rsid w:val="008062A8"/>
    <w:rsid w:val="0081002D"/>
    <w:rsid w:val="00810EF2"/>
    <w:rsid w:val="0081115F"/>
    <w:rsid w:val="008146FF"/>
    <w:rsid w:val="008168D2"/>
    <w:rsid w:val="00820FF5"/>
    <w:rsid w:val="00821772"/>
    <w:rsid w:val="00822562"/>
    <w:rsid w:val="008237B9"/>
    <w:rsid w:val="00824BF2"/>
    <w:rsid w:val="00826B68"/>
    <w:rsid w:val="00832980"/>
    <w:rsid w:val="0083357D"/>
    <w:rsid w:val="00836181"/>
    <w:rsid w:val="008444B2"/>
    <w:rsid w:val="008467BC"/>
    <w:rsid w:val="00847371"/>
    <w:rsid w:val="00853F79"/>
    <w:rsid w:val="00854113"/>
    <w:rsid w:val="00855193"/>
    <w:rsid w:val="0085644E"/>
    <w:rsid w:val="00857745"/>
    <w:rsid w:val="00860395"/>
    <w:rsid w:val="008631A3"/>
    <w:rsid w:val="008636AB"/>
    <w:rsid w:val="00864D60"/>
    <w:rsid w:val="008659FF"/>
    <w:rsid w:val="00865DA3"/>
    <w:rsid w:val="00867909"/>
    <w:rsid w:val="008701E2"/>
    <w:rsid w:val="0087227A"/>
    <w:rsid w:val="00872D81"/>
    <w:rsid w:val="008741DE"/>
    <w:rsid w:val="00874BBD"/>
    <w:rsid w:val="00875C0E"/>
    <w:rsid w:val="00876AB5"/>
    <w:rsid w:val="008775FE"/>
    <w:rsid w:val="00877A49"/>
    <w:rsid w:val="008805F3"/>
    <w:rsid w:val="008812B6"/>
    <w:rsid w:val="00882E10"/>
    <w:rsid w:val="00882F45"/>
    <w:rsid w:val="0088471B"/>
    <w:rsid w:val="00884E47"/>
    <w:rsid w:val="00885BE1"/>
    <w:rsid w:val="00885ECA"/>
    <w:rsid w:val="0088664A"/>
    <w:rsid w:val="008879B0"/>
    <w:rsid w:val="008A20BD"/>
    <w:rsid w:val="008A24A0"/>
    <w:rsid w:val="008A2A22"/>
    <w:rsid w:val="008A70A1"/>
    <w:rsid w:val="008A7B78"/>
    <w:rsid w:val="008A7D5D"/>
    <w:rsid w:val="008A7F67"/>
    <w:rsid w:val="008B02D5"/>
    <w:rsid w:val="008B10F6"/>
    <w:rsid w:val="008B2813"/>
    <w:rsid w:val="008B5B63"/>
    <w:rsid w:val="008C3379"/>
    <w:rsid w:val="008C3456"/>
    <w:rsid w:val="008C35AD"/>
    <w:rsid w:val="008C41F8"/>
    <w:rsid w:val="008D0B8D"/>
    <w:rsid w:val="008D1151"/>
    <w:rsid w:val="008D1171"/>
    <w:rsid w:val="008D1903"/>
    <w:rsid w:val="008D2EA0"/>
    <w:rsid w:val="008D3E9F"/>
    <w:rsid w:val="008D43CE"/>
    <w:rsid w:val="008D6E17"/>
    <w:rsid w:val="008D706A"/>
    <w:rsid w:val="008D7BC2"/>
    <w:rsid w:val="008E1D91"/>
    <w:rsid w:val="008E3BBC"/>
    <w:rsid w:val="008E414B"/>
    <w:rsid w:val="008E4B3B"/>
    <w:rsid w:val="008E54D5"/>
    <w:rsid w:val="008E7807"/>
    <w:rsid w:val="008F3D77"/>
    <w:rsid w:val="008F5E40"/>
    <w:rsid w:val="008F775F"/>
    <w:rsid w:val="008F7A48"/>
    <w:rsid w:val="00900656"/>
    <w:rsid w:val="0090215F"/>
    <w:rsid w:val="0090327F"/>
    <w:rsid w:val="00903FA1"/>
    <w:rsid w:val="00904779"/>
    <w:rsid w:val="0091129D"/>
    <w:rsid w:val="0091461A"/>
    <w:rsid w:val="00914DB3"/>
    <w:rsid w:val="00920AA9"/>
    <w:rsid w:val="00921053"/>
    <w:rsid w:val="00921601"/>
    <w:rsid w:val="009241A0"/>
    <w:rsid w:val="00925492"/>
    <w:rsid w:val="009263A5"/>
    <w:rsid w:val="009305E8"/>
    <w:rsid w:val="009326F4"/>
    <w:rsid w:val="00941263"/>
    <w:rsid w:val="00942D91"/>
    <w:rsid w:val="00943FF6"/>
    <w:rsid w:val="00944C85"/>
    <w:rsid w:val="00947E3D"/>
    <w:rsid w:val="00950086"/>
    <w:rsid w:val="00954A2B"/>
    <w:rsid w:val="00954FC2"/>
    <w:rsid w:val="00956FDF"/>
    <w:rsid w:val="00961050"/>
    <w:rsid w:val="009613D2"/>
    <w:rsid w:val="00961762"/>
    <w:rsid w:val="00961DCA"/>
    <w:rsid w:val="00962A64"/>
    <w:rsid w:val="0096411E"/>
    <w:rsid w:val="00966957"/>
    <w:rsid w:val="009728BC"/>
    <w:rsid w:val="009759F1"/>
    <w:rsid w:val="00981259"/>
    <w:rsid w:val="00982227"/>
    <w:rsid w:val="0098284A"/>
    <w:rsid w:val="00985C18"/>
    <w:rsid w:val="009922F4"/>
    <w:rsid w:val="00992B30"/>
    <w:rsid w:val="00992F65"/>
    <w:rsid w:val="00996101"/>
    <w:rsid w:val="009964AB"/>
    <w:rsid w:val="009A0E26"/>
    <w:rsid w:val="009A13DF"/>
    <w:rsid w:val="009A2849"/>
    <w:rsid w:val="009A32CB"/>
    <w:rsid w:val="009A6537"/>
    <w:rsid w:val="009A70C5"/>
    <w:rsid w:val="009A7E72"/>
    <w:rsid w:val="009B0831"/>
    <w:rsid w:val="009B269A"/>
    <w:rsid w:val="009B4393"/>
    <w:rsid w:val="009B5A03"/>
    <w:rsid w:val="009B72E1"/>
    <w:rsid w:val="009C089A"/>
    <w:rsid w:val="009C1F70"/>
    <w:rsid w:val="009C216C"/>
    <w:rsid w:val="009C24F3"/>
    <w:rsid w:val="009C5C19"/>
    <w:rsid w:val="009C666D"/>
    <w:rsid w:val="009D2CA2"/>
    <w:rsid w:val="009D3932"/>
    <w:rsid w:val="009E139B"/>
    <w:rsid w:val="009E212E"/>
    <w:rsid w:val="009E2B31"/>
    <w:rsid w:val="009E53E4"/>
    <w:rsid w:val="009E75B4"/>
    <w:rsid w:val="009F122E"/>
    <w:rsid w:val="009F16B1"/>
    <w:rsid w:val="009F17EB"/>
    <w:rsid w:val="009F2703"/>
    <w:rsid w:val="00A0222B"/>
    <w:rsid w:val="00A046B4"/>
    <w:rsid w:val="00A05CD9"/>
    <w:rsid w:val="00A07477"/>
    <w:rsid w:val="00A10027"/>
    <w:rsid w:val="00A121D8"/>
    <w:rsid w:val="00A12286"/>
    <w:rsid w:val="00A1291C"/>
    <w:rsid w:val="00A12E2D"/>
    <w:rsid w:val="00A13BE3"/>
    <w:rsid w:val="00A15844"/>
    <w:rsid w:val="00A215C7"/>
    <w:rsid w:val="00A30DEC"/>
    <w:rsid w:val="00A30F1D"/>
    <w:rsid w:val="00A33804"/>
    <w:rsid w:val="00A33E37"/>
    <w:rsid w:val="00A35724"/>
    <w:rsid w:val="00A359C7"/>
    <w:rsid w:val="00A40552"/>
    <w:rsid w:val="00A428A0"/>
    <w:rsid w:val="00A43654"/>
    <w:rsid w:val="00A455AB"/>
    <w:rsid w:val="00A47348"/>
    <w:rsid w:val="00A47775"/>
    <w:rsid w:val="00A47BBC"/>
    <w:rsid w:val="00A52230"/>
    <w:rsid w:val="00A53F89"/>
    <w:rsid w:val="00A543D8"/>
    <w:rsid w:val="00A56DE0"/>
    <w:rsid w:val="00A62004"/>
    <w:rsid w:val="00A62EA8"/>
    <w:rsid w:val="00A644A8"/>
    <w:rsid w:val="00A71944"/>
    <w:rsid w:val="00A71E43"/>
    <w:rsid w:val="00A72D52"/>
    <w:rsid w:val="00A7406E"/>
    <w:rsid w:val="00A76D13"/>
    <w:rsid w:val="00A775B2"/>
    <w:rsid w:val="00A80558"/>
    <w:rsid w:val="00A80851"/>
    <w:rsid w:val="00A80F06"/>
    <w:rsid w:val="00A81415"/>
    <w:rsid w:val="00A83795"/>
    <w:rsid w:val="00A848FD"/>
    <w:rsid w:val="00A86AC3"/>
    <w:rsid w:val="00A905C0"/>
    <w:rsid w:val="00A910AE"/>
    <w:rsid w:val="00A94299"/>
    <w:rsid w:val="00A94EB7"/>
    <w:rsid w:val="00A969B6"/>
    <w:rsid w:val="00A969C2"/>
    <w:rsid w:val="00AA1370"/>
    <w:rsid w:val="00AA2072"/>
    <w:rsid w:val="00AA3A75"/>
    <w:rsid w:val="00AA3D76"/>
    <w:rsid w:val="00AA3EEC"/>
    <w:rsid w:val="00AA5046"/>
    <w:rsid w:val="00AA5834"/>
    <w:rsid w:val="00AA6C6B"/>
    <w:rsid w:val="00AA6FE3"/>
    <w:rsid w:val="00AB0A64"/>
    <w:rsid w:val="00AB1A80"/>
    <w:rsid w:val="00AB265A"/>
    <w:rsid w:val="00AB2DF1"/>
    <w:rsid w:val="00AB4246"/>
    <w:rsid w:val="00AB454F"/>
    <w:rsid w:val="00AB4C11"/>
    <w:rsid w:val="00AB59AA"/>
    <w:rsid w:val="00AB5FBD"/>
    <w:rsid w:val="00AB74BD"/>
    <w:rsid w:val="00AC0199"/>
    <w:rsid w:val="00AC04D0"/>
    <w:rsid w:val="00AC2A5F"/>
    <w:rsid w:val="00AC3250"/>
    <w:rsid w:val="00AC36D4"/>
    <w:rsid w:val="00AC5EF7"/>
    <w:rsid w:val="00AD1A01"/>
    <w:rsid w:val="00AD1B64"/>
    <w:rsid w:val="00AD247F"/>
    <w:rsid w:val="00AD595E"/>
    <w:rsid w:val="00AE0A8D"/>
    <w:rsid w:val="00AF28EB"/>
    <w:rsid w:val="00AF4B04"/>
    <w:rsid w:val="00AF5244"/>
    <w:rsid w:val="00AF7692"/>
    <w:rsid w:val="00AF76B0"/>
    <w:rsid w:val="00AF7E53"/>
    <w:rsid w:val="00B00427"/>
    <w:rsid w:val="00B02227"/>
    <w:rsid w:val="00B02289"/>
    <w:rsid w:val="00B02A3C"/>
    <w:rsid w:val="00B037F5"/>
    <w:rsid w:val="00B10189"/>
    <w:rsid w:val="00B1513B"/>
    <w:rsid w:val="00B164B6"/>
    <w:rsid w:val="00B23869"/>
    <w:rsid w:val="00B24637"/>
    <w:rsid w:val="00B321D0"/>
    <w:rsid w:val="00B3265D"/>
    <w:rsid w:val="00B35DE9"/>
    <w:rsid w:val="00B42A33"/>
    <w:rsid w:val="00B45324"/>
    <w:rsid w:val="00B52188"/>
    <w:rsid w:val="00B533DB"/>
    <w:rsid w:val="00B53E1D"/>
    <w:rsid w:val="00B5446E"/>
    <w:rsid w:val="00B5611C"/>
    <w:rsid w:val="00B561DE"/>
    <w:rsid w:val="00B64503"/>
    <w:rsid w:val="00B64FCB"/>
    <w:rsid w:val="00B6635B"/>
    <w:rsid w:val="00B709B4"/>
    <w:rsid w:val="00B73392"/>
    <w:rsid w:val="00B74487"/>
    <w:rsid w:val="00B74F29"/>
    <w:rsid w:val="00B761F0"/>
    <w:rsid w:val="00B8173A"/>
    <w:rsid w:val="00B81980"/>
    <w:rsid w:val="00B831B5"/>
    <w:rsid w:val="00B85B54"/>
    <w:rsid w:val="00B910D9"/>
    <w:rsid w:val="00B91606"/>
    <w:rsid w:val="00B935F6"/>
    <w:rsid w:val="00B9450D"/>
    <w:rsid w:val="00B94E01"/>
    <w:rsid w:val="00B951B9"/>
    <w:rsid w:val="00B95459"/>
    <w:rsid w:val="00B96036"/>
    <w:rsid w:val="00B963DA"/>
    <w:rsid w:val="00BA1E53"/>
    <w:rsid w:val="00BA5FDE"/>
    <w:rsid w:val="00BA6144"/>
    <w:rsid w:val="00BA757B"/>
    <w:rsid w:val="00BB0D3E"/>
    <w:rsid w:val="00BC11E7"/>
    <w:rsid w:val="00BC3420"/>
    <w:rsid w:val="00BC5A5E"/>
    <w:rsid w:val="00BD166B"/>
    <w:rsid w:val="00BD2380"/>
    <w:rsid w:val="00BD28A2"/>
    <w:rsid w:val="00BD69BE"/>
    <w:rsid w:val="00BD76A0"/>
    <w:rsid w:val="00BD77F1"/>
    <w:rsid w:val="00BD781D"/>
    <w:rsid w:val="00BE010C"/>
    <w:rsid w:val="00BE278E"/>
    <w:rsid w:val="00BE34CB"/>
    <w:rsid w:val="00BE40DC"/>
    <w:rsid w:val="00BE41F7"/>
    <w:rsid w:val="00BE70FA"/>
    <w:rsid w:val="00BE7FC4"/>
    <w:rsid w:val="00BF0016"/>
    <w:rsid w:val="00BF5F2F"/>
    <w:rsid w:val="00BF6515"/>
    <w:rsid w:val="00BF7E4F"/>
    <w:rsid w:val="00C047E7"/>
    <w:rsid w:val="00C05A3D"/>
    <w:rsid w:val="00C1151F"/>
    <w:rsid w:val="00C11A7F"/>
    <w:rsid w:val="00C122B3"/>
    <w:rsid w:val="00C15FE1"/>
    <w:rsid w:val="00C16CA1"/>
    <w:rsid w:val="00C20691"/>
    <w:rsid w:val="00C21056"/>
    <w:rsid w:val="00C215C7"/>
    <w:rsid w:val="00C246A4"/>
    <w:rsid w:val="00C25008"/>
    <w:rsid w:val="00C26823"/>
    <w:rsid w:val="00C27009"/>
    <w:rsid w:val="00C42F0E"/>
    <w:rsid w:val="00C4530F"/>
    <w:rsid w:val="00C457F4"/>
    <w:rsid w:val="00C46422"/>
    <w:rsid w:val="00C46B47"/>
    <w:rsid w:val="00C46EEB"/>
    <w:rsid w:val="00C5034F"/>
    <w:rsid w:val="00C53049"/>
    <w:rsid w:val="00C54553"/>
    <w:rsid w:val="00C55BF8"/>
    <w:rsid w:val="00C56FD9"/>
    <w:rsid w:val="00C57278"/>
    <w:rsid w:val="00C61F09"/>
    <w:rsid w:val="00C6432A"/>
    <w:rsid w:val="00C6436D"/>
    <w:rsid w:val="00C6638F"/>
    <w:rsid w:val="00C71690"/>
    <w:rsid w:val="00C73F65"/>
    <w:rsid w:val="00C74112"/>
    <w:rsid w:val="00C769A2"/>
    <w:rsid w:val="00C76C49"/>
    <w:rsid w:val="00C774C3"/>
    <w:rsid w:val="00C81D17"/>
    <w:rsid w:val="00C8372B"/>
    <w:rsid w:val="00C83CC2"/>
    <w:rsid w:val="00C84DB2"/>
    <w:rsid w:val="00C85DA9"/>
    <w:rsid w:val="00C8729A"/>
    <w:rsid w:val="00C90F50"/>
    <w:rsid w:val="00C9738C"/>
    <w:rsid w:val="00CA1F72"/>
    <w:rsid w:val="00CA266F"/>
    <w:rsid w:val="00CA2828"/>
    <w:rsid w:val="00CA2E09"/>
    <w:rsid w:val="00CA3BD7"/>
    <w:rsid w:val="00CA6169"/>
    <w:rsid w:val="00CB6256"/>
    <w:rsid w:val="00CC3A34"/>
    <w:rsid w:val="00CC7EB8"/>
    <w:rsid w:val="00CD4382"/>
    <w:rsid w:val="00CD6418"/>
    <w:rsid w:val="00CD6748"/>
    <w:rsid w:val="00CD7900"/>
    <w:rsid w:val="00CE0B14"/>
    <w:rsid w:val="00CE134D"/>
    <w:rsid w:val="00CE1F0C"/>
    <w:rsid w:val="00CE29BC"/>
    <w:rsid w:val="00CF2113"/>
    <w:rsid w:val="00CF340B"/>
    <w:rsid w:val="00CF4447"/>
    <w:rsid w:val="00CF4A0B"/>
    <w:rsid w:val="00CF500B"/>
    <w:rsid w:val="00CF6169"/>
    <w:rsid w:val="00CF685A"/>
    <w:rsid w:val="00CF728E"/>
    <w:rsid w:val="00D00159"/>
    <w:rsid w:val="00D00E0F"/>
    <w:rsid w:val="00D0117E"/>
    <w:rsid w:val="00D027FB"/>
    <w:rsid w:val="00D04477"/>
    <w:rsid w:val="00D075AC"/>
    <w:rsid w:val="00D07821"/>
    <w:rsid w:val="00D139FD"/>
    <w:rsid w:val="00D159EE"/>
    <w:rsid w:val="00D17A8B"/>
    <w:rsid w:val="00D210A9"/>
    <w:rsid w:val="00D328F0"/>
    <w:rsid w:val="00D32F3D"/>
    <w:rsid w:val="00D34A18"/>
    <w:rsid w:val="00D37834"/>
    <w:rsid w:val="00D44E58"/>
    <w:rsid w:val="00D47062"/>
    <w:rsid w:val="00D50FED"/>
    <w:rsid w:val="00D52BCB"/>
    <w:rsid w:val="00D550A8"/>
    <w:rsid w:val="00D57375"/>
    <w:rsid w:val="00D650AC"/>
    <w:rsid w:val="00D66964"/>
    <w:rsid w:val="00D67A0F"/>
    <w:rsid w:val="00D67FEB"/>
    <w:rsid w:val="00D703CE"/>
    <w:rsid w:val="00D72C35"/>
    <w:rsid w:val="00D74B38"/>
    <w:rsid w:val="00D7514B"/>
    <w:rsid w:val="00D80898"/>
    <w:rsid w:val="00D834E7"/>
    <w:rsid w:val="00D85AE4"/>
    <w:rsid w:val="00D865F9"/>
    <w:rsid w:val="00D90E2A"/>
    <w:rsid w:val="00D91081"/>
    <w:rsid w:val="00D9167A"/>
    <w:rsid w:val="00D95305"/>
    <w:rsid w:val="00D95732"/>
    <w:rsid w:val="00D95FCB"/>
    <w:rsid w:val="00D96C59"/>
    <w:rsid w:val="00D96F87"/>
    <w:rsid w:val="00D97310"/>
    <w:rsid w:val="00D97F5B"/>
    <w:rsid w:val="00DA2E44"/>
    <w:rsid w:val="00DA7816"/>
    <w:rsid w:val="00DB0229"/>
    <w:rsid w:val="00DB1644"/>
    <w:rsid w:val="00DB2F1B"/>
    <w:rsid w:val="00DB401E"/>
    <w:rsid w:val="00DB6BE3"/>
    <w:rsid w:val="00DC6006"/>
    <w:rsid w:val="00DC621B"/>
    <w:rsid w:val="00DC66D0"/>
    <w:rsid w:val="00DD403E"/>
    <w:rsid w:val="00DD4DA6"/>
    <w:rsid w:val="00DE22FA"/>
    <w:rsid w:val="00DE34CD"/>
    <w:rsid w:val="00DE417A"/>
    <w:rsid w:val="00DE4D7B"/>
    <w:rsid w:val="00DF1168"/>
    <w:rsid w:val="00DF2502"/>
    <w:rsid w:val="00DF4472"/>
    <w:rsid w:val="00E00837"/>
    <w:rsid w:val="00E01AB4"/>
    <w:rsid w:val="00E03010"/>
    <w:rsid w:val="00E03BB8"/>
    <w:rsid w:val="00E057C7"/>
    <w:rsid w:val="00E06320"/>
    <w:rsid w:val="00E068D9"/>
    <w:rsid w:val="00E1182C"/>
    <w:rsid w:val="00E123AE"/>
    <w:rsid w:val="00E1726E"/>
    <w:rsid w:val="00E24D87"/>
    <w:rsid w:val="00E35470"/>
    <w:rsid w:val="00E36213"/>
    <w:rsid w:val="00E364ED"/>
    <w:rsid w:val="00E40C32"/>
    <w:rsid w:val="00E4141F"/>
    <w:rsid w:val="00E435D0"/>
    <w:rsid w:val="00E45D50"/>
    <w:rsid w:val="00E50842"/>
    <w:rsid w:val="00E51A6E"/>
    <w:rsid w:val="00E51E8C"/>
    <w:rsid w:val="00E540D0"/>
    <w:rsid w:val="00E559F4"/>
    <w:rsid w:val="00E60089"/>
    <w:rsid w:val="00E6248B"/>
    <w:rsid w:val="00E637F5"/>
    <w:rsid w:val="00E64150"/>
    <w:rsid w:val="00E67A3C"/>
    <w:rsid w:val="00E71C7E"/>
    <w:rsid w:val="00E75BC6"/>
    <w:rsid w:val="00E8046D"/>
    <w:rsid w:val="00E83B57"/>
    <w:rsid w:val="00E83D35"/>
    <w:rsid w:val="00E8541C"/>
    <w:rsid w:val="00E854BD"/>
    <w:rsid w:val="00E854D6"/>
    <w:rsid w:val="00E85A62"/>
    <w:rsid w:val="00E8620D"/>
    <w:rsid w:val="00E86642"/>
    <w:rsid w:val="00E91875"/>
    <w:rsid w:val="00E92C6B"/>
    <w:rsid w:val="00E9314D"/>
    <w:rsid w:val="00E94349"/>
    <w:rsid w:val="00E96F66"/>
    <w:rsid w:val="00EA3184"/>
    <w:rsid w:val="00EA3660"/>
    <w:rsid w:val="00EA4D7A"/>
    <w:rsid w:val="00EA5969"/>
    <w:rsid w:val="00EB0F03"/>
    <w:rsid w:val="00EB314C"/>
    <w:rsid w:val="00EB3A9B"/>
    <w:rsid w:val="00EC288F"/>
    <w:rsid w:val="00EC4AD3"/>
    <w:rsid w:val="00ED4FAF"/>
    <w:rsid w:val="00ED5DCC"/>
    <w:rsid w:val="00ED77F5"/>
    <w:rsid w:val="00EE0141"/>
    <w:rsid w:val="00EE285B"/>
    <w:rsid w:val="00EE2F5E"/>
    <w:rsid w:val="00EF42A4"/>
    <w:rsid w:val="00EF6B99"/>
    <w:rsid w:val="00EF7001"/>
    <w:rsid w:val="00F05BDD"/>
    <w:rsid w:val="00F074EA"/>
    <w:rsid w:val="00F07500"/>
    <w:rsid w:val="00F118D1"/>
    <w:rsid w:val="00F12A74"/>
    <w:rsid w:val="00F16724"/>
    <w:rsid w:val="00F23372"/>
    <w:rsid w:val="00F271E2"/>
    <w:rsid w:val="00F3094B"/>
    <w:rsid w:val="00F31239"/>
    <w:rsid w:val="00F3681F"/>
    <w:rsid w:val="00F404D3"/>
    <w:rsid w:val="00F4121B"/>
    <w:rsid w:val="00F4213E"/>
    <w:rsid w:val="00F4797B"/>
    <w:rsid w:val="00F50641"/>
    <w:rsid w:val="00F60018"/>
    <w:rsid w:val="00F6072B"/>
    <w:rsid w:val="00F62502"/>
    <w:rsid w:val="00F64893"/>
    <w:rsid w:val="00F7124F"/>
    <w:rsid w:val="00F761C8"/>
    <w:rsid w:val="00F77AB7"/>
    <w:rsid w:val="00F80588"/>
    <w:rsid w:val="00F82522"/>
    <w:rsid w:val="00F83DDF"/>
    <w:rsid w:val="00F87B55"/>
    <w:rsid w:val="00F9191C"/>
    <w:rsid w:val="00F92875"/>
    <w:rsid w:val="00F92A3E"/>
    <w:rsid w:val="00F939F6"/>
    <w:rsid w:val="00F94006"/>
    <w:rsid w:val="00F95133"/>
    <w:rsid w:val="00F9585B"/>
    <w:rsid w:val="00FA2D74"/>
    <w:rsid w:val="00FA2E64"/>
    <w:rsid w:val="00FA521F"/>
    <w:rsid w:val="00FA6EB4"/>
    <w:rsid w:val="00FB376F"/>
    <w:rsid w:val="00FB3AB0"/>
    <w:rsid w:val="00FB3C47"/>
    <w:rsid w:val="00FB3F67"/>
    <w:rsid w:val="00FB5E29"/>
    <w:rsid w:val="00FB6663"/>
    <w:rsid w:val="00FC0D16"/>
    <w:rsid w:val="00FC169B"/>
    <w:rsid w:val="00FC2DDA"/>
    <w:rsid w:val="00FC3CC9"/>
    <w:rsid w:val="00FD0578"/>
    <w:rsid w:val="00FD233E"/>
    <w:rsid w:val="00FD47A7"/>
    <w:rsid w:val="00FD5283"/>
    <w:rsid w:val="00FD530F"/>
    <w:rsid w:val="00FD6B92"/>
    <w:rsid w:val="00FE0513"/>
    <w:rsid w:val="00FE10CC"/>
    <w:rsid w:val="00FE20F9"/>
    <w:rsid w:val="00FE4239"/>
    <w:rsid w:val="00FF14B5"/>
    <w:rsid w:val="00FF20C0"/>
    <w:rsid w:val="00FF333E"/>
    <w:rsid w:val="00FF5C9F"/>
    <w:rsid w:val="020B4631"/>
    <w:rsid w:val="19BBF61A"/>
    <w:rsid w:val="1C1A52A2"/>
    <w:rsid w:val="1C74FE4B"/>
    <w:rsid w:val="1CA03295"/>
    <w:rsid w:val="1D28037D"/>
    <w:rsid w:val="1E0FE128"/>
    <w:rsid w:val="1FABB189"/>
    <w:rsid w:val="213D3966"/>
    <w:rsid w:val="24273BC4"/>
    <w:rsid w:val="25319610"/>
    <w:rsid w:val="2862D6B1"/>
    <w:rsid w:val="29FFA515"/>
    <w:rsid w:val="2BF71963"/>
    <w:rsid w:val="2C89B51C"/>
    <w:rsid w:val="3051F2E1"/>
    <w:rsid w:val="33737DD8"/>
    <w:rsid w:val="3A17B66E"/>
    <w:rsid w:val="3CF6FB39"/>
    <w:rsid w:val="3DD2D468"/>
    <w:rsid w:val="430527A5"/>
    <w:rsid w:val="4871EC0C"/>
    <w:rsid w:val="4BE2B338"/>
    <w:rsid w:val="4C9D7365"/>
    <w:rsid w:val="5F9CBE52"/>
    <w:rsid w:val="699780F6"/>
    <w:rsid w:val="6D4B00CC"/>
    <w:rsid w:val="6DED7B05"/>
    <w:rsid w:val="74CFA7B3"/>
    <w:rsid w:val="7580193A"/>
    <w:rsid w:val="75F65ECF"/>
    <w:rsid w:val="7842F864"/>
    <w:rsid w:val="7A6040AE"/>
    <w:rsid w:val="7EF28F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08A27834"/>
  <w15:docId w15:val="{BB4B025D-8DE2-4DA9-A9BB-80E23630A2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Theme="minorHAnsi" w:cstheme="minorBidi"/>
        <w:lang w:val="en-GB" w:eastAsia="en-US" w:bidi="ar-SA"/>
      </w:rPr>
    </w:rPrDefault>
    <w:pPrDefault>
      <w:pPr>
        <w:spacing w:after="280" w:line="280" w:lineRule="atLeast"/>
        <w:jc w:val="both"/>
      </w:pPr>
    </w:pPrDefault>
  </w:docDefaults>
  <w:latentStyles w:defLockedState="0" w:defUIPriority="99" w:defSemiHidden="0" w:defUnhideWhenUsed="0" w:defQFormat="0" w:count="376">
    <w:lsdException w:name="Normal" w:uiPriority="5"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1" w:semiHidden="1" w:unhideWhenUsed="1" w:qFormat="1"/>
    <w:lsdException w:name="heading 6" w:uiPriority="1"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6" w:semiHidden="1" w:unhideWhenUsed="1"/>
    <w:lsdException w:name="toc 3" w:uiPriority="6"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qFormat="1"/>
    <w:lsdException w:name="Body Text Indent 3" w:uiPriority="0" w:semiHidden="1" w:unhideWhenUsed="1"/>
    <w:lsdException w:name="Block Text" w:uiPriority="0"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5"/>
    <w:qFormat/>
    <w:rsid w:val="00A969C2"/>
  </w:style>
  <w:style w:type="paragraph" w:styleId="Heading1">
    <w:name w:val="heading 1"/>
    <w:aliases w:val="Ch,Chapter,Section,Section Heading,Numbered - 1,Lev 1,Lev 11,Numbered - 11,Lev 12,Numbered - 12,Lev 13,Numbered - 13,Numbered - 13.,PA Chapter,h1,1,JSP Heading 1,amrhdg1,heading1,Attribute Heading 1,H1,Roman 14 B Heading,Roman 14 B Heading1,10"/>
    <w:next w:val="Body1"/>
    <w:link w:val="Heading1Char"/>
    <w:uiPriority w:val="1"/>
    <w:qFormat/>
    <w:rsid w:val="00A969C2"/>
    <w:pPr>
      <w:keepNext/>
      <w:widowControl w:val="0"/>
      <w:numPr>
        <w:numId w:val="3"/>
      </w:numPr>
      <w:outlineLvl w:val="0"/>
    </w:pPr>
    <w:rPr>
      <w:rFonts w:cs="Arial"/>
      <w:b/>
      <w:bCs/>
      <w:caps/>
      <w:kern w:val="32"/>
      <w:szCs w:val="32"/>
    </w:rPr>
  </w:style>
  <w:style w:type="paragraph" w:styleId="Heading2">
    <w:name w:val="heading 2"/>
    <w:aliases w:val="Major,PARA2,Reset numbering,Major heading,ParaLvl2,Ma,Numbered - 2,Lev 2,ParaLvl2.,PA Major Section,h2,Level2,H2-Heading 2,2,Header 2,l2,Header2,list2,no #,22,heading2,H2,Heading 2 Text,Annex2,JSP Heading 2,Sub-section heading,L2,Sub-paragraph"/>
    <w:next w:val="Body2"/>
    <w:link w:val="Heading2Char"/>
    <w:uiPriority w:val="1"/>
    <w:qFormat/>
    <w:rsid w:val="00A969C2"/>
    <w:pPr>
      <w:numPr>
        <w:ilvl w:val="1"/>
        <w:numId w:val="3"/>
      </w:numPr>
      <w:outlineLvl w:val="1"/>
    </w:pPr>
    <w:rPr>
      <w:rFonts w:cs="Arial"/>
      <w:bCs/>
      <w:iCs/>
      <w:szCs w:val="28"/>
    </w:rPr>
  </w:style>
  <w:style w:type="paragraph" w:styleId="Heading3">
    <w:name w:val="heading 3"/>
    <w:aliases w:val="Minor,Level 1 - 1,h3,Lev 3,H3,H31,H32,H33,H34,H35,H36,H37,H38,t3,PA Minor Section,Label,Label1,(Alt+3),(Alt+3)1,(Alt+3)2,(Alt+3)3,(Alt+3)4,(Alt+3)5,(Alt+3)6,(Alt+3)11,(Alt+3)21,(Alt+3)31,(Alt+3)41,(Alt+3)7,(Alt+3)12,(Alt+3)22,(Alt+3)32,Mi,MI,3"/>
    <w:next w:val="Body3"/>
    <w:link w:val="Heading3Char"/>
    <w:uiPriority w:val="1"/>
    <w:qFormat/>
    <w:rsid w:val="00A969C2"/>
    <w:pPr>
      <w:numPr>
        <w:ilvl w:val="2"/>
        <w:numId w:val="3"/>
      </w:numPr>
      <w:outlineLvl w:val="2"/>
    </w:pPr>
    <w:rPr>
      <w:rFonts w:cs="Arial"/>
      <w:bCs/>
      <w:szCs w:val="26"/>
    </w:rPr>
  </w:style>
  <w:style w:type="paragraph" w:styleId="Heading4">
    <w:name w:val="heading 4"/>
    <w:aliases w:val="Sub-Minor,Level 2 - a,h4,a) b) c),H4,Text for my heading,4th level,(Alt+4),Map Title,heading4,Question 1,H41,(Alt+4)1,H42,(Alt+4)2,H43,(Alt+4)3,H44,(Alt+4)4,H45,(Alt+4)5,H411,(Alt+4)11,H421,(Alt+4)21,H431,(Alt+4)31,H46,(Alt+4)6,H412,(Alt+4)12"/>
    <w:next w:val="Body4"/>
    <w:link w:val="Heading4Char"/>
    <w:uiPriority w:val="1"/>
    <w:qFormat/>
    <w:rsid w:val="00A969C2"/>
    <w:pPr>
      <w:numPr>
        <w:ilvl w:val="3"/>
        <w:numId w:val="3"/>
      </w:numPr>
      <w:outlineLvl w:val="3"/>
    </w:pPr>
    <w:rPr>
      <w:bCs/>
      <w:szCs w:val="28"/>
    </w:rPr>
  </w:style>
  <w:style w:type="paragraph" w:styleId="Heading5">
    <w:name w:val="heading 5"/>
    <w:aliases w:val="Level 3 - i,Numbered - 5,Lev 5,Lev 51,Numbered - 51,Lev 52,Numbered - 52,Lev 53,Numbered - 53,Numbered - 53.,Block Label,Third Level Heading,h5,H5,PA Pico Section,Lettered Main Text,5,level 5,Report Heading 5,JSPLevel5,Unused,h51,h52,Unused1"/>
    <w:next w:val="Body5"/>
    <w:link w:val="Heading5Char"/>
    <w:uiPriority w:val="1"/>
    <w:qFormat/>
    <w:rsid w:val="00A969C2"/>
    <w:pPr>
      <w:numPr>
        <w:ilvl w:val="4"/>
        <w:numId w:val="3"/>
      </w:numPr>
      <w:outlineLvl w:val="4"/>
    </w:pPr>
    <w:rPr>
      <w:bCs/>
      <w:iCs/>
      <w:szCs w:val="26"/>
    </w:rPr>
  </w:style>
  <w:style w:type="paragraph" w:styleId="Heading6">
    <w:name w:val="heading 6"/>
    <w:aliases w:val="H6,Legal Level 1.,Lev 6,Numbered - 6,Lev 61,Numbered - 61,Lev 62,Numbered - 62,Lev 63,Numbered - 63,Numbered - 63.,Roman Nums Main Text,h6,H61,H62,H63,H64,H65,H66,H67,H68,H69,H610,H611,H612,H613,H614,H615,H616,H617,H618,H619,H621,H631,H641"/>
    <w:next w:val="Body6"/>
    <w:link w:val="Heading6Char"/>
    <w:uiPriority w:val="1"/>
    <w:qFormat/>
    <w:rsid w:val="00A969C2"/>
    <w:pPr>
      <w:numPr>
        <w:ilvl w:val="5"/>
        <w:numId w:val="3"/>
      </w:numPr>
      <w:outlineLvl w:val="5"/>
    </w:pPr>
    <w:rPr>
      <w:bCs/>
    </w:rPr>
  </w:style>
  <w:style w:type="paragraph" w:styleId="Heading7">
    <w:name w:val="heading 7"/>
    <w:aliases w:val="Appendix 2,h7,a2,Legal Level 1.1.,Level 7 head,Heading 7(unused),L2 PIP,Lev 7,H7DO NOT USE,PA Appendix Major,Bullets(roman),Do Not Use 7,Appendix Major,7"/>
    <w:next w:val="Body7"/>
    <w:link w:val="Heading7Char"/>
    <w:qFormat/>
    <w:rsid w:val="00A969C2"/>
    <w:pPr>
      <w:widowControl w:val="0"/>
      <w:tabs>
        <w:tab w:val="left" w:pos="3544"/>
        <w:tab w:val="num" w:pos="4252"/>
      </w:tabs>
      <w:ind w:left="4252" w:hanging="709"/>
      <w:outlineLvl w:val="6"/>
    </w:pPr>
  </w:style>
  <w:style w:type="paragraph" w:styleId="Heading8">
    <w:name w:val="heading 8"/>
    <w:aliases w:val="Appendix 3,a3,Legal Level 1.1.1.,h8,Lev 8,h8 DO NOT USE,PA Appendix Minor,Appendix Minor,8,ITT t8"/>
    <w:next w:val="Body8"/>
    <w:link w:val="Heading8Char"/>
    <w:qFormat/>
    <w:rsid w:val="00F3681F"/>
    <w:pPr>
      <w:widowControl w:val="0"/>
      <w:numPr>
        <w:ilvl w:val="7"/>
        <w:numId w:val="3"/>
      </w:numPr>
      <w:tabs>
        <w:tab w:val="left" w:pos="4253"/>
      </w:tabs>
      <w:outlineLvl w:val="7"/>
    </w:pPr>
    <w:rPr>
      <w:iCs/>
    </w:rPr>
  </w:style>
  <w:style w:type="paragraph" w:styleId="Heading9">
    <w:name w:val="heading 9"/>
    <w:aliases w:val="Legal Level 1.1.1.1.,Titre 10,App1,App Heading,Lev 9,Heading 9 (defunct),9,ITT t9,h9 DO NOT USE"/>
    <w:next w:val="Body9"/>
    <w:link w:val="Heading9Char"/>
    <w:qFormat/>
    <w:rsid w:val="00F3681F"/>
    <w:pPr>
      <w:widowControl w:val="0"/>
      <w:numPr>
        <w:ilvl w:val="8"/>
        <w:numId w:val="3"/>
      </w:numPr>
      <w:tabs>
        <w:tab w:val="left" w:pos="4961"/>
      </w:tabs>
      <w:outlineLvl w:val="8"/>
    </w:pPr>
    <w:rPr>
      <w:rFonts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semiHidden/>
    <w:rsid w:val="00234819"/>
    <w:rPr>
      <w:rFonts w:ascii="Tahoma" w:hAnsi="Tahoma" w:cs="Tahoma"/>
      <w:sz w:val="16"/>
      <w:szCs w:val="16"/>
    </w:rPr>
  </w:style>
  <w:style w:type="character" w:styleId="BalloonTextChar" w:customStyle="1">
    <w:name w:val="Balloon Text Char"/>
    <w:basedOn w:val="DefaultParagraphFont"/>
    <w:link w:val="BalloonText"/>
    <w:semiHidden/>
    <w:rsid w:val="00234819"/>
    <w:rPr>
      <w:rFonts w:ascii="Tahoma" w:hAnsi="Tahoma" w:cs="Tahoma"/>
      <w:sz w:val="16"/>
      <w:szCs w:val="16"/>
      <w:lang w:val="en-GB"/>
    </w:rPr>
  </w:style>
  <w:style w:type="paragraph" w:styleId="BlockText">
    <w:name w:val="Block Text"/>
    <w:basedOn w:val="Normal"/>
    <w:rsid w:val="00234819"/>
    <w:pPr>
      <w:spacing w:after="120"/>
      <w:ind w:left="1440" w:right="1440"/>
    </w:pPr>
  </w:style>
  <w:style w:type="paragraph" w:styleId="BodyText">
    <w:name w:val="Body Text"/>
    <w:link w:val="BodyTextChar"/>
    <w:qFormat/>
    <w:rsid w:val="00A969C2"/>
  </w:style>
  <w:style w:type="character" w:styleId="BodyTextChar" w:customStyle="1">
    <w:name w:val="Body Text Char"/>
    <w:basedOn w:val="DefaultParagraphFont"/>
    <w:link w:val="BodyText"/>
    <w:rsid w:val="00A969C2"/>
    <w:rPr>
      <w:lang w:val="en-GB"/>
    </w:rPr>
  </w:style>
  <w:style w:type="paragraph" w:styleId="BodyText2">
    <w:name w:val="Body Text 2"/>
    <w:basedOn w:val="BodyText"/>
    <w:link w:val="BodyText2Char"/>
    <w:unhideWhenUsed/>
    <w:rsid w:val="00234819"/>
    <w:pPr>
      <w:spacing w:after="120" w:line="480" w:lineRule="auto"/>
    </w:pPr>
  </w:style>
  <w:style w:type="character" w:styleId="BodyText2Char" w:customStyle="1">
    <w:name w:val="Body Text 2 Char"/>
    <w:basedOn w:val="DefaultParagraphFont"/>
    <w:link w:val="BodyText2"/>
    <w:rsid w:val="00234819"/>
    <w:rPr>
      <w:lang w:val="en-GB"/>
    </w:rPr>
  </w:style>
  <w:style w:type="paragraph" w:styleId="BodyText3">
    <w:name w:val="Body Text 3"/>
    <w:basedOn w:val="BodyText"/>
    <w:link w:val="BodyText3Char"/>
    <w:unhideWhenUsed/>
    <w:rsid w:val="00234819"/>
    <w:pPr>
      <w:spacing w:after="120"/>
    </w:pPr>
    <w:rPr>
      <w:sz w:val="16"/>
      <w:szCs w:val="16"/>
    </w:rPr>
  </w:style>
  <w:style w:type="character" w:styleId="BodyText3Char" w:customStyle="1">
    <w:name w:val="Body Text 3 Char"/>
    <w:basedOn w:val="DefaultParagraphFont"/>
    <w:link w:val="BodyText3"/>
    <w:rsid w:val="00234819"/>
    <w:rPr>
      <w:sz w:val="16"/>
      <w:szCs w:val="16"/>
      <w:lang w:val="en-GB"/>
    </w:rPr>
  </w:style>
  <w:style w:type="paragraph" w:styleId="BodyTextIndent2">
    <w:name w:val="Body Text Indent 2"/>
    <w:basedOn w:val="Body1"/>
    <w:link w:val="BodyTextIndent2Char"/>
    <w:unhideWhenUsed/>
    <w:qFormat/>
    <w:rsid w:val="00A969C2"/>
    <w:rPr>
      <w:b/>
      <w:i/>
    </w:rPr>
  </w:style>
  <w:style w:type="character" w:styleId="BodyTextIndent2Char" w:customStyle="1">
    <w:name w:val="Body Text Indent 2 Char"/>
    <w:basedOn w:val="DefaultParagraphFont"/>
    <w:link w:val="BodyTextIndent2"/>
    <w:rsid w:val="00A969C2"/>
    <w:rPr>
      <w:b/>
      <w:i/>
      <w:lang w:val="en-GB"/>
    </w:rPr>
  </w:style>
  <w:style w:type="paragraph" w:styleId="BodyTextIndent3">
    <w:name w:val="Body Text Indent 3"/>
    <w:basedOn w:val="BodyText"/>
    <w:link w:val="BodyTextIndent3Char"/>
    <w:unhideWhenUsed/>
    <w:rsid w:val="00234819"/>
    <w:pPr>
      <w:spacing w:after="120"/>
      <w:ind w:left="283"/>
    </w:pPr>
    <w:rPr>
      <w:sz w:val="16"/>
      <w:szCs w:val="16"/>
    </w:rPr>
  </w:style>
  <w:style w:type="character" w:styleId="BodyTextIndent3Char" w:customStyle="1">
    <w:name w:val="Body Text Indent 3 Char"/>
    <w:basedOn w:val="DefaultParagraphFont"/>
    <w:link w:val="BodyTextIndent3"/>
    <w:rsid w:val="00234819"/>
    <w:rPr>
      <w:sz w:val="16"/>
      <w:szCs w:val="16"/>
      <w:lang w:val="en-GB"/>
    </w:rPr>
  </w:style>
  <w:style w:type="paragraph" w:styleId="Body1" w:customStyle="1">
    <w:name w:val="Body1"/>
    <w:qFormat/>
    <w:rsid w:val="00A969C2"/>
    <w:pPr>
      <w:ind w:left="709"/>
    </w:pPr>
  </w:style>
  <w:style w:type="paragraph" w:styleId="Body2" w:customStyle="1">
    <w:name w:val="Body2"/>
    <w:link w:val="Body2Char"/>
    <w:qFormat/>
    <w:rsid w:val="00A969C2"/>
    <w:pPr>
      <w:ind w:left="709"/>
    </w:pPr>
  </w:style>
  <w:style w:type="paragraph" w:styleId="Body3" w:customStyle="1">
    <w:name w:val="Body3"/>
    <w:qFormat/>
    <w:rsid w:val="00A969C2"/>
    <w:pPr>
      <w:ind w:left="1418"/>
    </w:pPr>
  </w:style>
  <w:style w:type="paragraph" w:styleId="Body4" w:customStyle="1">
    <w:name w:val="Body4"/>
    <w:qFormat/>
    <w:rsid w:val="00A969C2"/>
    <w:pPr>
      <w:ind w:left="2126"/>
    </w:pPr>
  </w:style>
  <w:style w:type="paragraph" w:styleId="Body5" w:customStyle="1">
    <w:name w:val="Body5"/>
    <w:qFormat/>
    <w:rsid w:val="00A969C2"/>
    <w:pPr>
      <w:ind w:left="2835"/>
    </w:pPr>
  </w:style>
  <w:style w:type="paragraph" w:styleId="Body6" w:customStyle="1">
    <w:name w:val="Body6"/>
    <w:qFormat/>
    <w:rsid w:val="00A969C2"/>
    <w:pPr>
      <w:ind w:left="3544"/>
    </w:pPr>
  </w:style>
  <w:style w:type="paragraph" w:styleId="Body7" w:customStyle="1">
    <w:name w:val="Body7"/>
    <w:uiPriority w:val="10"/>
    <w:rsid w:val="00E1182C"/>
    <w:pPr>
      <w:ind w:left="4253"/>
    </w:pPr>
  </w:style>
  <w:style w:type="paragraph" w:styleId="Body8" w:customStyle="1">
    <w:name w:val="Body8"/>
    <w:uiPriority w:val="10"/>
    <w:rsid w:val="00E1182C"/>
    <w:pPr>
      <w:ind w:left="4961"/>
    </w:pPr>
  </w:style>
  <w:style w:type="paragraph" w:styleId="Body9" w:customStyle="1">
    <w:name w:val="Body9"/>
    <w:uiPriority w:val="10"/>
    <w:rsid w:val="00E1182C"/>
    <w:pPr>
      <w:ind w:left="5670"/>
    </w:pPr>
  </w:style>
  <w:style w:type="paragraph" w:styleId="Bullet1" w:customStyle="1">
    <w:name w:val="Bullet 1"/>
    <w:uiPriority w:val="4"/>
    <w:qFormat/>
    <w:rsid w:val="00A969C2"/>
    <w:pPr>
      <w:numPr>
        <w:numId w:val="4"/>
      </w:numPr>
    </w:pPr>
  </w:style>
  <w:style w:type="paragraph" w:styleId="Bullet2" w:customStyle="1">
    <w:name w:val="Bullet 2"/>
    <w:uiPriority w:val="4"/>
    <w:qFormat/>
    <w:rsid w:val="00A969C2"/>
    <w:pPr>
      <w:numPr>
        <w:ilvl w:val="1"/>
        <w:numId w:val="4"/>
      </w:numPr>
    </w:pPr>
  </w:style>
  <w:style w:type="paragraph" w:styleId="Bullet3" w:customStyle="1">
    <w:name w:val="Bullet 3"/>
    <w:uiPriority w:val="4"/>
    <w:qFormat/>
    <w:rsid w:val="00A969C2"/>
    <w:pPr>
      <w:numPr>
        <w:ilvl w:val="2"/>
        <w:numId w:val="4"/>
      </w:numPr>
    </w:pPr>
  </w:style>
  <w:style w:type="paragraph" w:styleId="Bullet4" w:customStyle="1">
    <w:name w:val="Bullet 4"/>
    <w:uiPriority w:val="4"/>
    <w:qFormat/>
    <w:rsid w:val="00A969C2"/>
    <w:pPr>
      <w:numPr>
        <w:ilvl w:val="3"/>
        <w:numId w:val="4"/>
      </w:numPr>
    </w:pPr>
  </w:style>
  <w:style w:type="paragraph" w:styleId="Bullet5" w:customStyle="1">
    <w:name w:val="Bullet 5"/>
    <w:uiPriority w:val="4"/>
    <w:qFormat/>
    <w:rsid w:val="00A969C2"/>
    <w:pPr>
      <w:numPr>
        <w:ilvl w:val="4"/>
        <w:numId w:val="4"/>
      </w:numPr>
    </w:pPr>
  </w:style>
  <w:style w:type="paragraph" w:styleId="Bullet6" w:customStyle="1">
    <w:name w:val="Bullet 6"/>
    <w:uiPriority w:val="4"/>
    <w:qFormat/>
    <w:rsid w:val="00A969C2"/>
    <w:pPr>
      <w:numPr>
        <w:ilvl w:val="5"/>
        <w:numId w:val="4"/>
      </w:numPr>
    </w:pPr>
  </w:style>
  <w:style w:type="paragraph" w:styleId="Bullet7" w:customStyle="1">
    <w:name w:val="Bullet 7"/>
    <w:uiPriority w:val="10"/>
    <w:qFormat/>
    <w:rsid w:val="00A969C2"/>
    <w:pPr>
      <w:numPr>
        <w:ilvl w:val="6"/>
        <w:numId w:val="4"/>
      </w:numPr>
    </w:pPr>
  </w:style>
  <w:style w:type="paragraph" w:styleId="Bullet8" w:customStyle="1">
    <w:name w:val="Bullet 8"/>
    <w:uiPriority w:val="10"/>
    <w:rsid w:val="009B4393"/>
    <w:pPr>
      <w:numPr>
        <w:ilvl w:val="7"/>
        <w:numId w:val="4"/>
      </w:numPr>
    </w:pPr>
  </w:style>
  <w:style w:type="paragraph" w:styleId="Bullet9" w:customStyle="1">
    <w:name w:val="Bullet 9"/>
    <w:uiPriority w:val="10"/>
    <w:rsid w:val="009B4393"/>
    <w:pPr>
      <w:numPr>
        <w:ilvl w:val="8"/>
        <w:numId w:val="4"/>
      </w:numPr>
    </w:pPr>
  </w:style>
  <w:style w:type="paragraph" w:styleId="Caption">
    <w:name w:val="caption"/>
    <w:basedOn w:val="Normal"/>
    <w:next w:val="Normal"/>
    <w:uiPriority w:val="35"/>
    <w:qFormat/>
    <w:rsid w:val="00234819"/>
    <w:pPr>
      <w:jc w:val="center"/>
    </w:pPr>
    <w:rPr>
      <w:b/>
      <w:bCs/>
    </w:rPr>
  </w:style>
  <w:style w:type="paragraph" w:styleId="CorrespondenceAddress" w:customStyle="1">
    <w:name w:val="CorrespondenceAddress"/>
    <w:basedOn w:val="Normal"/>
    <w:uiPriority w:val="8"/>
    <w:rsid w:val="00234819"/>
  </w:style>
  <w:style w:type="paragraph" w:styleId="CorrespondenceDeliveryInfo" w:customStyle="1">
    <w:name w:val="CorrespondenceDeliveryInfo"/>
    <w:basedOn w:val="CorrespondenceAddress"/>
    <w:next w:val="CorrespondenceAddress"/>
    <w:uiPriority w:val="8"/>
    <w:rsid w:val="00234819"/>
    <w:rPr>
      <w:b/>
    </w:rPr>
  </w:style>
  <w:style w:type="paragraph" w:styleId="CorrespondenceHeader" w:customStyle="1">
    <w:name w:val="CorrespondenceHeader"/>
    <w:basedOn w:val="BodyText"/>
    <w:uiPriority w:val="8"/>
    <w:rsid w:val="00234819"/>
    <w:rPr>
      <w:sz w:val="16"/>
    </w:rPr>
  </w:style>
  <w:style w:type="paragraph" w:styleId="CorrespondenceSubject" w:customStyle="1">
    <w:name w:val="CorrespondenceSubject"/>
    <w:basedOn w:val="Normal"/>
    <w:next w:val="BodyText"/>
    <w:uiPriority w:val="8"/>
    <w:rsid w:val="00234819"/>
    <w:rPr>
      <w:b/>
    </w:rPr>
  </w:style>
  <w:style w:type="paragraph" w:styleId="DLFrontPage" w:customStyle="1">
    <w:name w:val="DLFrontPage"/>
    <w:basedOn w:val="Normal"/>
    <w:uiPriority w:val="8"/>
    <w:rsid w:val="00234819"/>
    <w:pPr>
      <w:tabs>
        <w:tab w:val="left" w:pos="5940"/>
        <w:tab w:val="left" w:pos="6480"/>
      </w:tabs>
      <w:spacing w:after="220"/>
    </w:pPr>
  </w:style>
  <w:style w:type="paragraph" w:styleId="EndnoteText">
    <w:name w:val="endnote text"/>
    <w:basedOn w:val="Normal"/>
    <w:link w:val="EndnoteTextChar"/>
    <w:rsid w:val="00234819"/>
  </w:style>
  <w:style w:type="character" w:styleId="EndnoteTextChar" w:customStyle="1">
    <w:name w:val="Endnote Text Char"/>
    <w:basedOn w:val="DefaultParagraphFont"/>
    <w:link w:val="EndnoteText"/>
    <w:rsid w:val="00234819"/>
    <w:rPr>
      <w:lang w:val="en-GB"/>
    </w:rPr>
  </w:style>
  <w:style w:type="paragraph" w:styleId="EnvelopeAddress">
    <w:name w:val="envelope address"/>
    <w:basedOn w:val="Normal"/>
    <w:uiPriority w:val="99"/>
    <w:semiHidden/>
    <w:unhideWhenUsed/>
    <w:rsid w:val="00234819"/>
    <w:pPr>
      <w:framePr w:w="7920" w:h="1980" w:hSpace="180" w:wrap="auto" w:hAnchor="page" w:xAlign="center" w:yAlign="bottom" w:hRule="exact"/>
      <w:ind w:left="2880"/>
    </w:pPr>
    <w:rPr>
      <w:rFonts w:eastAsiaTheme="majorEastAsia" w:cstheme="majorBidi"/>
      <w:sz w:val="24"/>
      <w:szCs w:val="24"/>
    </w:rPr>
  </w:style>
  <w:style w:type="paragraph" w:styleId="EnvelopeReturn">
    <w:name w:val="envelope return"/>
    <w:basedOn w:val="Normal"/>
    <w:uiPriority w:val="99"/>
    <w:semiHidden/>
    <w:unhideWhenUsed/>
    <w:rsid w:val="00234819"/>
    <w:rPr>
      <w:rFonts w:eastAsiaTheme="majorEastAsia" w:cstheme="majorBidi"/>
    </w:rPr>
  </w:style>
  <w:style w:type="paragraph" w:styleId="Footer">
    <w:name w:val="footer"/>
    <w:basedOn w:val="Normal"/>
    <w:link w:val="FooterChar"/>
    <w:uiPriority w:val="99"/>
    <w:qFormat/>
    <w:rsid w:val="00A969C2"/>
    <w:pPr>
      <w:tabs>
        <w:tab w:val="center" w:pos="4536"/>
        <w:tab w:val="right" w:pos="8306"/>
      </w:tabs>
      <w:spacing w:after="120" w:line="240" w:lineRule="auto"/>
    </w:pPr>
  </w:style>
  <w:style w:type="character" w:styleId="FooterChar" w:customStyle="1">
    <w:name w:val="Footer Char"/>
    <w:basedOn w:val="DefaultParagraphFont"/>
    <w:link w:val="Footer"/>
    <w:uiPriority w:val="99"/>
    <w:rsid w:val="00A969C2"/>
    <w:rPr>
      <w:lang w:val="en-GB"/>
    </w:rPr>
  </w:style>
  <w:style w:type="paragraph" w:styleId="FootnoteText">
    <w:name w:val="footnote text"/>
    <w:basedOn w:val="Normal"/>
    <w:link w:val="FootnoteTextChar"/>
    <w:rsid w:val="00234819"/>
    <w:rPr>
      <w:sz w:val="18"/>
    </w:rPr>
  </w:style>
  <w:style w:type="character" w:styleId="FootnoteTextChar" w:customStyle="1">
    <w:name w:val="Footnote Text Char"/>
    <w:basedOn w:val="DefaultParagraphFont"/>
    <w:link w:val="FootnoteText"/>
    <w:rsid w:val="00234819"/>
    <w:rPr>
      <w:sz w:val="18"/>
      <w:lang w:val="en-GB"/>
    </w:rPr>
  </w:style>
  <w:style w:type="paragraph" w:styleId="Header">
    <w:name w:val="header"/>
    <w:basedOn w:val="Normal"/>
    <w:link w:val="HeaderChar"/>
    <w:uiPriority w:val="99"/>
    <w:qFormat/>
    <w:rsid w:val="00A969C2"/>
    <w:pPr>
      <w:tabs>
        <w:tab w:val="center" w:pos="4536"/>
        <w:tab w:val="right" w:pos="8306"/>
      </w:tabs>
    </w:pPr>
  </w:style>
  <w:style w:type="character" w:styleId="HeaderChar" w:customStyle="1">
    <w:name w:val="Header Char"/>
    <w:basedOn w:val="DefaultParagraphFont"/>
    <w:link w:val="Header"/>
    <w:uiPriority w:val="99"/>
    <w:rsid w:val="00A969C2"/>
    <w:rPr>
      <w:lang w:val="en-GB"/>
    </w:rPr>
  </w:style>
  <w:style w:type="character" w:styleId="Heading1Char" w:customStyle="1">
    <w:name w:val="Heading 1 Char"/>
    <w:aliases w:val="Ch Char,Chapter Char,Section Char,Section Heading Char,Numbered - 1 Char,Lev 1 Char,Lev 11 Char,Numbered - 11 Char,Lev 12 Char,Numbered - 12 Char,Lev 13 Char,Numbered - 13 Char,Numbered - 13. Char,PA Chapter Char,h1 Char,1 Char,H1 Char"/>
    <w:basedOn w:val="DefaultParagraphFont"/>
    <w:link w:val="Heading1"/>
    <w:uiPriority w:val="1"/>
    <w:rsid w:val="00A969C2"/>
    <w:rPr>
      <w:rFonts w:cs="Arial"/>
      <w:b/>
      <w:bCs/>
      <w:caps/>
      <w:kern w:val="32"/>
      <w:szCs w:val="32"/>
    </w:rPr>
  </w:style>
  <w:style w:type="character" w:styleId="Heading2Char" w:customStyle="1">
    <w:name w:val="Heading 2 Char"/>
    <w:aliases w:val="Major Char,PARA2 Char,Reset numbering Char,Major heading Char,ParaLvl2 Char,Ma Char,Numbered - 2 Char,Lev 2 Char,ParaLvl2. Char,PA Major Section Char,h2 Char,Level2 Char,H2-Heading 2 Char,2 Char,Header 2 Char,l2 Char,Header2 Char,22 Char"/>
    <w:basedOn w:val="DefaultParagraphFont"/>
    <w:link w:val="Heading2"/>
    <w:uiPriority w:val="1"/>
    <w:rsid w:val="00A969C2"/>
    <w:rPr>
      <w:rFonts w:cs="Arial"/>
      <w:bCs/>
      <w:iCs/>
      <w:szCs w:val="28"/>
    </w:rPr>
  </w:style>
  <w:style w:type="character" w:styleId="Heading3Char" w:customStyle="1">
    <w:name w:val="Heading 3 Char"/>
    <w:aliases w:val="Minor Char,Level 1 - 1 Char,h3 Char,Lev 3 Char,H3 Char,H31 Char,H32 Char,H33 Char,H34 Char,H35 Char,H36 Char,H37 Char,H38 Char,t3 Char,PA Minor Section Char,Label Char,Label1 Char,(Alt+3) Char,(Alt+3)1 Char,(Alt+3)2 Char,(Alt+3)3 Char"/>
    <w:basedOn w:val="DefaultParagraphFont"/>
    <w:link w:val="Heading3"/>
    <w:uiPriority w:val="1"/>
    <w:rsid w:val="00A969C2"/>
    <w:rPr>
      <w:rFonts w:cs="Arial"/>
      <w:bCs/>
      <w:szCs w:val="26"/>
    </w:rPr>
  </w:style>
  <w:style w:type="character" w:styleId="Heading4Char" w:customStyle="1">
    <w:name w:val="Heading 4 Char"/>
    <w:aliases w:val="Sub-Minor Char,Level 2 - a Char,h4 Char,a) b) c) Char,H4 Char,Text for my heading Char,4th level Char,(Alt+4) Char,Map Title Char,heading4 Char,Question 1 Char,H41 Char,(Alt+4)1 Char,H42 Char,(Alt+4)2 Char,H43 Char,(Alt+4)3 Char,H44 Char"/>
    <w:basedOn w:val="DefaultParagraphFont"/>
    <w:link w:val="Heading4"/>
    <w:uiPriority w:val="1"/>
    <w:rsid w:val="00A969C2"/>
    <w:rPr>
      <w:bCs/>
      <w:szCs w:val="28"/>
    </w:rPr>
  </w:style>
  <w:style w:type="character" w:styleId="Heading5Char" w:customStyle="1">
    <w:name w:val="Heading 5 Char"/>
    <w:aliases w:val="Level 3 - i Char,Numbered - 5 Char,Lev 5 Char,Lev 51 Char,Numbered - 51 Char,Lev 52 Char,Numbered - 52 Char,Lev 53 Char,Numbered - 53 Char,Numbered - 53. Char,Block Label Char,Third Level Heading Char,h5 Char,H5 Char,PA Pico Section Char"/>
    <w:basedOn w:val="DefaultParagraphFont"/>
    <w:link w:val="Heading5"/>
    <w:uiPriority w:val="1"/>
    <w:rsid w:val="00A969C2"/>
    <w:rPr>
      <w:bCs/>
      <w:iCs/>
      <w:szCs w:val="26"/>
    </w:rPr>
  </w:style>
  <w:style w:type="character" w:styleId="Heading6Char" w:customStyle="1">
    <w:name w:val="Heading 6 Char"/>
    <w:aliases w:val="H6 Char,Legal Level 1. Char,Lev 6 Char,Numbered - 6 Char,Lev 61 Char,Numbered - 61 Char,Lev 62 Char,Numbered - 62 Char,Lev 63 Char,Numbered - 63 Char,Numbered - 63. Char,Roman Nums Main Text Char,h6 Char,H61 Char,H62 Char,H63 Char"/>
    <w:basedOn w:val="DefaultParagraphFont"/>
    <w:link w:val="Heading6"/>
    <w:uiPriority w:val="1"/>
    <w:rsid w:val="00A969C2"/>
    <w:rPr>
      <w:bCs/>
    </w:rPr>
  </w:style>
  <w:style w:type="character" w:styleId="Heading7Char" w:customStyle="1">
    <w:name w:val="Heading 7 Char"/>
    <w:aliases w:val="Appendix 2 Char,h7 Char,a2 Char,Legal Level 1.1. Char,Level 7 head Char,Heading 7(unused) Char,L2 PIP Char,Lev 7 Char,H7DO NOT USE Char,PA Appendix Major Char,Bullets(roman) Char,Do Not Use 7 Char,Appendix Major Char,7 Char"/>
    <w:basedOn w:val="DefaultParagraphFont"/>
    <w:link w:val="Heading7"/>
    <w:uiPriority w:val="9"/>
    <w:rsid w:val="00A969C2"/>
    <w:rPr>
      <w:lang w:val="en-GB"/>
    </w:rPr>
  </w:style>
  <w:style w:type="character" w:styleId="Heading8Char" w:customStyle="1">
    <w:name w:val="Heading 8 Char"/>
    <w:aliases w:val="Appendix 3 Char,a3 Char,Legal Level 1.1.1. Char,h8 Char,Lev 8 Char,h8 DO NOT USE Char,PA Appendix Minor Char,Appendix Minor Char,8 Char,ITT t8 Char"/>
    <w:basedOn w:val="DefaultParagraphFont"/>
    <w:link w:val="Heading8"/>
    <w:rsid w:val="00F3681F"/>
    <w:rPr>
      <w:iCs/>
    </w:rPr>
  </w:style>
  <w:style w:type="character" w:styleId="Heading9Char" w:customStyle="1">
    <w:name w:val="Heading 9 Char"/>
    <w:aliases w:val="Legal Level 1.1.1.1. Char,Titre 10 Char,App1 Char,App Heading Char,Lev 9 Char,Heading 9 (defunct) Char,9 Char,ITT t9 Char,h9 DO NOT USE Char"/>
    <w:basedOn w:val="DefaultParagraphFont"/>
    <w:link w:val="Heading9"/>
    <w:rsid w:val="00F3681F"/>
    <w:rPr>
      <w:rFonts w:cs="Arial"/>
    </w:rPr>
  </w:style>
  <w:style w:type="character" w:styleId="Hyperlink">
    <w:name w:val="Hyperlink"/>
    <w:unhideWhenUsed/>
    <w:rsid w:val="00234819"/>
    <w:rPr>
      <w:color w:val="0000FF"/>
      <w:u w:val="single"/>
      <w:lang w:val="en-GB"/>
    </w:rPr>
  </w:style>
  <w:style w:type="paragraph" w:styleId="Index1">
    <w:name w:val="index 1"/>
    <w:basedOn w:val="Normal"/>
    <w:next w:val="Normal"/>
    <w:autoRedefine/>
    <w:uiPriority w:val="99"/>
    <w:semiHidden/>
    <w:unhideWhenUsed/>
    <w:rsid w:val="00234819"/>
    <w:pPr>
      <w:ind w:left="220" w:hanging="220"/>
    </w:pPr>
  </w:style>
  <w:style w:type="paragraph" w:styleId="IndexHeading">
    <w:name w:val="index heading"/>
    <w:basedOn w:val="Normal"/>
    <w:next w:val="Index1"/>
    <w:uiPriority w:val="99"/>
    <w:semiHidden/>
    <w:unhideWhenUsed/>
    <w:rsid w:val="00234819"/>
    <w:rPr>
      <w:rFonts w:eastAsiaTheme="majorEastAsia" w:cstheme="majorBidi"/>
      <w:b/>
      <w:bCs/>
    </w:rPr>
  </w:style>
  <w:style w:type="paragraph" w:styleId="MessageHeader">
    <w:name w:val="Message Header"/>
    <w:basedOn w:val="Normal"/>
    <w:link w:val="MessageHeaderChar"/>
    <w:uiPriority w:val="99"/>
    <w:semiHidden/>
    <w:unhideWhenUsed/>
    <w:rsid w:val="00234819"/>
    <w:pPr>
      <w:pBdr>
        <w:top w:val="single" w:color="auto" w:sz="6" w:space="1"/>
        <w:left w:val="single" w:color="auto" w:sz="6" w:space="1"/>
        <w:bottom w:val="single" w:color="auto" w:sz="6" w:space="1"/>
        <w:right w:val="single" w:color="auto" w:sz="6" w:space="1"/>
      </w:pBdr>
      <w:shd w:val="pct20" w:color="auto" w:fill="auto"/>
      <w:ind w:left="1134" w:hanging="1134"/>
    </w:pPr>
    <w:rPr>
      <w:rFonts w:eastAsiaTheme="majorEastAsia" w:cstheme="majorBidi"/>
      <w:sz w:val="24"/>
      <w:szCs w:val="24"/>
    </w:rPr>
  </w:style>
  <w:style w:type="character" w:styleId="MessageHeaderChar" w:customStyle="1">
    <w:name w:val="Message Header Char"/>
    <w:basedOn w:val="DefaultParagraphFont"/>
    <w:link w:val="MessageHeader"/>
    <w:uiPriority w:val="99"/>
    <w:semiHidden/>
    <w:rsid w:val="00234819"/>
    <w:rPr>
      <w:rFonts w:eastAsiaTheme="majorEastAsia" w:cstheme="majorBidi"/>
      <w:sz w:val="24"/>
      <w:szCs w:val="24"/>
      <w:shd w:val="pct20" w:color="auto" w:fill="auto"/>
      <w:lang w:val="en-GB"/>
    </w:rPr>
  </w:style>
  <w:style w:type="paragraph" w:styleId="Schedule1" w:customStyle="1">
    <w:name w:val="Schedule 1"/>
    <w:basedOn w:val="BodyText"/>
    <w:next w:val="BodyText"/>
    <w:uiPriority w:val="2"/>
    <w:qFormat/>
    <w:rsid w:val="00A969C2"/>
    <w:pPr>
      <w:keepNext/>
      <w:pageBreakBefore/>
      <w:jc w:val="center"/>
    </w:pPr>
    <w:rPr>
      <w:b/>
      <w:caps/>
    </w:rPr>
  </w:style>
  <w:style w:type="paragraph" w:styleId="Schedule2" w:customStyle="1">
    <w:name w:val="Schedule 2"/>
    <w:basedOn w:val="BodyText"/>
    <w:next w:val="BodyText"/>
    <w:uiPriority w:val="2"/>
    <w:qFormat/>
    <w:rsid w:val="00A969C2"/>
    <w:pPr>
      <w:jc w:val="center"/>
    </w:pPr>
    <w:rPr>
      <w:b/>
    </w:rPr>
  </w:style>
  <w:style w:type="paragraph" w:styleId="Simple1" w:customStyle="1">
    <w:name w:val="Simple 1"/>
    <w:link w:val="Simple1Char"/>
    <w:uiPriority w:val="3"/>
    <w:qFormat/>
    <w:rsid w:val="00A969C2"/>
    <w:pPr>
      <w:numPr>
        <w:numId w:val="5"/>
      </w:numPr>
      <w:tabs>
        <w:tab w:val="left" w:pos="6660"/>
      </w:tabs>
    </w:pPr>
  </w:style>
  <w:style w:type="character" w:styleId="Simple1Char" w:customStyle="1">
    <w:name w:val="Simple 1 Char"/>
    <w:basedOn w:val="DefaultParagraphFont"/>
    <w:link w:val="Simple1"/>
    <w:uiPriority w:val="3"/>
    <w:rsid w:val="00A969C2"/>
  </w:style>
  <w:style w:type="paragraph" w:styleId="Simple2" w:customStyle="1">
    <w:name w:val="Simple 2"/>
    <w:link w:val="Simple2Char"/>
    <w:uiPriority w:val="3"/>
    <w:qFormat/>
    <w:rsid w:val="00A969C2"/>
    <w:pPr>
      <w:numPr>
        <w:ilvl w:val="1"/>
        <w:numId w:val="5"/>
      </w:numPr>
    </w:pPr>
  </w:style>
  <w:style w:type="character" w:styleId="Simple2Char" w:customStyle="1">
    <w:name w:val="Simple 2 Char"/>
    <w:basedOn w:val="Simple1Char"/>
    <w:link w:val="Simple2"/>
    <w:uiPriority w:val="3"/>
    <w:rsid w:val="00A969C2"/>
  </w:style>
  <w:style w:type="paragraph" w:styleId="Simple3" w:customStyle="1">
    <w:name w:val="Simple 3"/>
    <w:link w:val="Simple3Char"/>
    <w:uiPriority w:val="3"/>
    <w:qFormat/>
    <w:rsid w:val="00A969C2"/>
    <w:pPr>
      <w:numPr>
        <w:ilvl w:val="2"/>
        <w:numId w:val="5"/>
      </w:numPr>
    </w:pPr>
  </w:style>
  <w:style w:type="character" w:styleId="Simple3Char" w:customStyle="1">
    <w:name w:val="Simple 3 Char"/>
    <w:basedOn w:val="Simple1Char"/>
    <w:link w:val="Simple3"/>
    <w:uiPriority w:val="3"/>
    <w:rsid w:val="00A969C2"/>
  </w:style>
  <w:style w:type="paragraph" w:styleId="Simple4" w:customStyle="1">
    <w:name w:val="Simple 4"/>
    <w:link w:val="Simple4Char"/>
    <w:uiPriority w:val="3"/>
    <w:qFormat/>
    <w:rsid w:val="00A969C2"/>
    <w:pPr>
      <w:numPr>
        <w:ilvl w:val="3"/>
        <w:numId w:val="5"/>
      </w:numPr>
    </w:pPr>
  </w:style>
  <w:style w:type="character" w:styleId="Simple4Char" w:customStyle="1">
    <w:name w:val="Simple 4 Char"/>
    <w:basedOn w:val="Simple1Char"/>
    <w:link w:val="Simple4"/>
    <w:uiPriority w:val="3"/>
    <w:rsid w:val="00A969C2"/>
  </w:style>
  <w:style w:type="paragraph" w:styleId="Simple5" w:customStyle="1">
    <w:name w:val="Simple 5"/>
    <w:link w:val="Simple5Char"/>
    <w:uiPriority w:val="3"/>
    <w:qFormat/>
    <w:rsid w:val="00A969C2"/>
    <w:pPr>
      <w:numPr>
        <w:ilvl w:val="4"/>
        <w:numId w:val="5"/>
      </w:numPr>
    </w:pPr>
  </w:style>
  <w:style w:type="character" w:styleId="Simple5Char" w:customStyle="1">
    <w:name w:val="Simple 5 Char"/>
    <w:basedOn w:val="Simple1Char"/>
    <w:link w:val="Simple5"/>
    <w:uiPriority w:val="3"/>
    <w:rsid w:val="00A969C2"/>
  </w:style>
  <w:style w:type="paragraph" w:styleId="Simple6" w:customStyle="1">
    <w:name w:val="Simple 6"/>
    <w:link w:val="Simple6Char"/>
    <w:uiPriority w:val="3"/>
    <w:qFormat/>
    <w:rsid w:val="00A969C2"/>
    <w:pPr>
      <w:numPr>
        <w:ilvl w:val="5"/>
        <w:numId w:val="5"/>
      </w:numPr>
    </w:pPr>
  </w:style>
  <w:style w:type="character" w:styleId="Simple6Char" w:customStyle="1">
    <w:name w:val="Simple 6 Char"/>
    <w:basedOn w:val="Simple5Char"/>
    <w:link w:val="Simple6"/>
    <w:uiPriority w:val="3"/>
    <w:rsid w:val="00A969C2"/>
  </w:style>
  <w:style w:type="paragraph" w:styleId="Simple7" w:customStyle="1">
    <w:name w:val="Simple 7"/>
    <w:link w:val="Simple7Char"/>
    <w:uiPriority w:val="10"/>
    <w:qFormat/>
    <w:rsid w:val="00A969C2"/>
    <w:pPr>
      <w:numPr>
        <w:ilvl w:val="6"/>
        <w:numId w:val="1"/>
      </w:numPr>
      <w:tabs>
        <w:tab w:val="clear" w:pos="3402"/>
        <w:tab w:val="num" w:pos="4252"/>
      </w:tabs>
      <w:ind w:left="4252" w:hanging="709"/>
    </w:pPr>
  </w:style>
  <w:style w:type="character" w:styleId="Simple7Char" w:customStyle="1">
    <w:name w:val="Simple 7 Char"/>
    <w:basedOn w:val="Simple5Char"/>
    <w:link w:val="Simple7"/>
    <w:uiPriority w:val="10"/>
    <w:rsid w:val="00A969C2"/>
  </w:style>
  <w:style w:type="paragraph" w:styleId="Simple8" w:customStyle="1">
    <w:name w:val="Simple 8"/>
    <w:link w:val="Simple8Char"/>
    <w:uiPriority w:val="10"/>
    <w:rsid w:val="003A314E"/>
    <w:pPr>
      <w:numPr>
        <w:ilvl w:val="7"/>
        <w:numId w:val="5"/>
      </w:numPr>
    </w:pPr>
  </w:style>
  <w:style w:type="character" w:styleId="Simple8Char" w:customStyle="1">
    <w:name w:val="Simple 8 Char"/>
    <w:basedOn w:val="Simple5Char"/>
    <w:link w:val="Simple8"/>
    <w:uiPriority w:val="10"/>
    <w:rsid w:val="003A314E"/>
  </w:style>
  <w:style w:type="paragraph" w:styleId="Simple9" w:customStyle="1">
    <w:name w:val="Simple 9"/>
    <w:link w:val="Simple9Char"/>
    <w:uiPriority w:val="10"/>
    <w:rsid w:val="003A314E"/>
    <w:pPr>
      <w:numPr>
        <w:ilvl w:val="8"/>
        <w:numId w:val="5"/>
      </w:numPr>
    </w:pPr>
  </w:style>
  <w:style w:type="character" w:styleId="Simple9Char" w:customStyle="1">
    <w:name w:val="Simple 9 Char"/>
    <w:basedOn w:val="Simple5Char"/>
    <w:link w:val="Simple9"/>
    <w:uiPriority w:val="10"/>
    <w:rsid w:val="003A314E"/>
  </w:style>
  <w:style w:type="paragraph" w:styleId="Subject" w:customStyle="1">
    <w:name w:val="Subject"/>
    <w:basedOn w:val="Normal"/>
    <w:next w:val="Normal"/>
    <w:uiPriority w:val="8"/>
    <w:rsid w:val="00234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rPr>
  </w:style>
  <w:style w:type="paragraph" w:styleId="Subtitle">
    <w:name w:val="Subtitle"/>
    <w:basedOn w:val="BodyText"/>
    <w:next w:val="BodyText"/>
    <w:link w:val="SubtitleChar"/>
    <w:uiPriority w:val="11"/>
    <w:unhideWhenUsed/>
    <w:qFormat/>
    <w:rsid w:val="00A969C2"/>
    <w:pPr>
      <w:numPr>
        <w:ilvl w:val="1"/>
      </w:numPr>
    </w:pPr>
    <w:rPr>
      <w:rFonts w:eastAsiaTheme="majorEastAsia" w:cstheme="majorBidi"/>
      <w:i/>
      <w:iCs/>
      <w:sz w:val="28"/>
      <w:szCs w:val="24"/>
    </w:rPr>
  </w:style>
  <w:style w:type="character" w:styleId="SubtitleChar" w:customStyle="1">
    <w:name w:val="Subtitle Char"/>
    <w:basedOn w:val="DefaultParagraphFont"/>
    <w:link w:val="Subtitle"/>
    <w:uiPriority w:val="11"/>
    <w:rsid w:val="00A969C2"/>
    <w:rPr>
      <w:rFonts w:eastAsiaTheme="majorEastAsia" w:cstheme="majorBidi"/>
      <w:i/>
      <w:iCs/>
      <w:sz w:val="28"/>
      <w:szCs w:val="24"/>
      <w:lang w:val="en-GB"/>
    </w:rPr>
  </w:style>
  <w:style w:type="table" w:styleId="TableGrid">
    <w:name w:val="Table Grid"/>
    <w:basedOn w:val="TableNormal"/>
    <w:uiPriority w:val="39"/>
    <w:rsid w:val="0023481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BodyText"/>
    <w:next w:val="BodyText"/>
    <w:link w:val="TitleChar"/>
    <w:uiPriority w:val="10"/>
    <w:unhideWhenUsed/>
    <w:qFormat/>
    <w:rsid w:val="00A969C2"/>
    <w:pPr>
      <w:keepNext/>
      <w:spacing w:after="300"/>
      <w:contextualSpacing/>
      <w:jc w:val="left"/>
    </w:pPr>
    <w:rPr>
      <w:rFonts w:eastAsiaTheme="majorEastAsia" w:cstheme="majorBidi"/>
      <w:b/>
      <w:kern w:val="28"/>
      <w:sz w:val="32"/>
      <w:szCs w:val="52"/>
    </w:rPr>
  </w:style>
  <w:style w:type="character" w:styleId="TitleChar" w:customStyle="1">
    <w:name w:val="Title Char"/>
    <w:basedOn w:val="DefaultParagraphFont"/>
    <w:link w:val="Title"/>
    <w:uiPriority w:val="10"/>
    <w:rsid w:val="00A969C2"/>
    <w:rPr>
      <w:rFonts w:eastAsiaTheme="majorEastAsia" w:cstheme="majorBidi"/>
      <w:b/>
      <w:kern w:val="28"/>
      <w:sz w:val="32"/>
      <w:szCs w:val="52"/>
      <w:lang w:val="en-GB"/>
    </w:rPr>
  </w:style>
  <w:style w:type="paragraph" w:styleId="TOAHeading">
    <w:name w:val="toa heading"/>
    <w:basedOn w:val="Normal"/>
    <w:next w:val="Normal"/>
    <w:uiPriority w:val="99"/>
    <w:semiHidden/>
    <w:unhideWhenUsed/>
    <w:rsid w:val="00234819"/>
    <w:pPr>
      <w:spacing w:before="120"/>
    </w:pPr>
    <w:rPr>
      <w:rFonts w:eastAsiaTheme="majorEastAsia" w:cstheme="majorBidi"/>
      <w:b/>
      <w:bCs/>
      <w:sz w:val="24"/>
      <w:szCs w:val="24"/>
    </w:rPr>
  </w:style>
  <w:style w:type="paragraph" w:styleId="TOC1">
    <w:name w:val="toc 1"/>
    <w:next w:val="Normal"/>
    <w:autoRedefine/>
    <w:unhideWhenUsed/>
    <w:rsid w:val="00465F39"/>
    <w:rPr>
      <w:rFonts w:eastAsia="Times New Roman" w:cs="Times New Roman"/>
      <w:szCs w:val="24"/>
    </w:rPr>
  </w:style>
  <w:style w:type="paragraph" w:styleId="TOC2">
    <w:name w:val="toc 2"/>
    <w:next w:val="Normal"/>
    <w:autoRedefine/>
    <w:uiPriority w:val="6"/>
    <w:unhideWhenUsed/>
    <w:rsid w:val="00465F39"/>
    <w:pPr>
      <w:tabs>
        <w:tab w:val="right" w:leader="dot" w:pos="8278"/>
      </w:tabs>
      <w:ind w:left="240"/>
    </w:pPr>
    <w:rPr>
      <w:rFonts w:eastAsia="Times New Roman" w:cs="Times New Roman"/>
      <w:szCs w:val="24"/>
    </w:rPr>
  </w:style>
  <w:style w:type="paragraph" w:styleId="TOC3">
    <w:name w:val="toc 3"/>
    <w:next w:val="Normal"/>
    <w:autoRedefine/>
    <w:uiPriority w:val="6"/>
    <w:unhideWhenUsed/>
    <w:rsid w:val="00465F39"/>
    <w:pPr>
      <w:spacing w:after="100"/>
      <w:ind w:left="440"/>
    </w:pPr>
  </w:style>
  <w:style w:type="paragraph" w:styleId="TOCHeading">
    <w:name w:val="TOC Heading"/>
    <w:basedOn w:val="Heading1"/>
    <w:next w:val="Normal"/>
    <w:uiPriority w:val="39"/>
    <w:semiHidden/>
    <w:unhideWhenUsed/>
    <w:qFormat/>
    <w:rsid w:val="00A969C2"/>
    <w:pPr>
      <w:keepLines/>
      <w:widowControl/>
      <w:numPr>
        <w:numId w:val="0"/>
      </w:numPr>
      <w:spacing w:before="480" w:after="0"/>
      <w:outlineLvl w:val="9"/>
    </w:pPr>
    <w:rPr>
      <w:rFonts w:eastAsiaTheme="majorEastAsia" w:cstheme="majorBidi"/>
      <w:kern w:val="0"/>
      <w:sz w:val="28"/>
      <w:szCs w:val="28"/>
    </w:rPr>
  </w:style>
  <w:style w:type="paragraph" w:styleId="Notes" w:customStyle="1">
    <w:name w:val="Notes"/>
    <w:basedOn w:val="Body1"/>
    <w:uiPriority w:val="5"/>
    <w:qFormat/>
    <w:rsid w:val="00A969C2"/>
    <w:pPr>
      <w:shd w:val="clear" w:color="auto" w:fill="F2F2F2" w:themeFill="background1" w:themeFillShade="F2"/>
    </w:pPr>
    <w:rPr>
      <w:b/>
      <w:i/>
    </w:rPr>
  </w:style>
  <w:style w:type="paragraph" w:styleId="definition" w:customStyle="1">
    <w:name w:val="definition"/>
    <w:uiPriority w:val="7"/>
    <w:qFormat/>
    <w:rsid w:val="00A969C2"/>
    <w:pPr>
      <w:numPr>
        <w:numId w:val="7"/>
      </w:numPr>
    </w:pPr>
    <w:rPr>
      <w:rFonts w:eastAsia="Times New Roman" w:cs="Times New Roman"/>
    </w:rPr>
  </w:style>
  <w:style w:type="paragraph" w:styleId="definitionsub" w:customStyle="1">
    <w:name w:val="definition sub"/>
    <w:link w:val="definitionsubChar"/>
    <w:uiPriority w:val="2"/>
    <w:qFormat/>
    <w:rsid w:val="00A969C2"/>
    <w:pPr>
      <w:numPr>
        <w:ilvl w:val="1"/>
        <w:numId w:val="7"/>
      </w:numPr>
      <w:tabs>
        <w:tab w:val="left" w:pos="567"/>
      </w:tabs>
    </w:pPr>
    <w:rPr>
      <w:rFonts w:eastAsia="Times New Roman" w:cs="Times New Roman"/>
    </w:rPr>
  </w:style>
  <w:style w:type="character" w:styleId="PageNumber">
    <w:name w:val="page number"/>
    <w:basedOn w:val="DefaultParagraphFont"/>
    <w:rsid w:val="00234819"/>
    <w:rPr>
      <w:lang w:val="en-GB"/>
    </w:rPr>
  </w:style>
  <w:style w:type="paragraph" w:styleId="Parties" w:customStyle="1">
    <w:name w:val="Parties"/>
    <w:uiPriority w:val="7"/>
    <w:qFormat/>
    <w:rsid w:val="00A969C2"/>
    <w:pPr>
      <w:numPr>
        <w:numId w:val="6"/>
      </w:numPr>
      <w:tabs>
        <w:tab w:val="left" w:pos="709"/>
      </w:tabs>
    </w:pPr>
    <w:rPr>
      <w:rFonts w:eastAsia="Times New Roman" w:cs="Times New Roman"/>
      <w:b/>
    </w:rPr>
  </w:style>
  <w:style w:type="paragraph" w:styleId="PartiesFront" w:customStyle="1">
    <w:name w:val="Parties Front"/>
    <w:uiPriority w:val="7"/>
    <w:qFormat/>
    <w:rsid w:val="00A969C2"/>
    <w:pPr>
      <w:tabs>
        <w:tab w:val="center" w:pos="4536"/>
        <w:tab w:val="left" w:pos="7921"/>
      </w:tabs>
      <w:spacing w:after="240"/>
      <w:ind w:right="1701"/>
    </w:pPr>
    <w:rPr>
      <w:rFonts w:eastAsia="Times New Roman" w:cs="Times New Roman"/>
      <w:b/>
      <w:caps/>
    </w:rPr>
  </w:style>
  <w:style w:type="paragraph" w:styleId="Recitals" w:customStyle="1">
    <w:name w:val="Recitals"/>
    <w:basedOn w:val="Body1"/>
    <w:uiPriority w:val="7"/>
    <w:qFormat/>
    <w:rsid w:val="00A969C2"/>
    <w:pPr>
      <w:tabs>
        <w:tab w:val="left" w:pos="709"/>
        <w:tab w:val="num" w:pos="1134"/>
      </w:tabs>
      <w:ind w:left="1134" w:hanging="1134"/>
    </w:pPr>
    <w:rPr>
      <w:rFonts w:eastAsia="Times New Roman" w:cs="Times New Roman"/>
    </w:rPr>
  </w:style>
  <w:style w:type="paragraph" w:styleId="Witness" w:customStyle="1">
    <w:name w:val="Witness"/>
    <w:basedOn w:val="BodyText"/>
    <w:uiPriority w:val="7"/>
    <w:qFormat/>
    <w:rsid w:val="00A969C2"/>
    <w:pPr>
      <w:keepNext/>
      <w:tabs>
        <w:tab w:val="left" w:pos="4253"/>
        <w:tab w:val="right" w:leader="dot" w:pos="8789"/>
      </w:tabs>
      <w:spacing w:before="120"/>
    </w:pPr>
    <w:rPr>
      <w:rFonts w:eastAsia="Times New Roman" w:cs="Times New Roman"/>
    </w:rPr>
  </w:style>
  <w:style w:type="paragraph" w:styleId="WitnessLit" w:customStyle="1">
    <w:name w:val="WitnessLit"/>
    <w:basedOn w:val="Witness"/>
    <w:uiPriority w:val="7"/>
    <w:qFormat/>
    <w:rsid w:val="00A969C2"/>
    <w:pPr>
      <w:tabs>
        <w:tab w:val="left" w:pos="1134"/>
        <w:tab w:val="left" w:leader="dot" w:pos="5387"/>
      </w:tabs>
    </w:pPr>
  </w:style>
  <w:style w:type="paragraph" w:styleId="DLFrontPageTitle" w:customStyle="1">
    <w:name w:val="DLFrontPageTitle"/>
    <w:basedOn w:val="DLFrontPage"/>
    <w:uiPriority w:val="5"/>
    <w:qFormat/>
    <w:rsid w:val="00A969C2"/>
    <w:pPr>
      <w:tabs>
        <w:tab w:val="clear" w:pos="6480"/>
        <w:tab w:val="left" w:pos="6660"/>
      </w:tabs>
      <w:spacing w:line="240" w:lineRule="auto"/>
      <w:jc w:val="center"/>
    </w:pPr>
  </w:style>
  <w:style w:type="paragraph" w:styleId="definitionsub-sub" w:customStyle="1">
    <w:name w:val="definition sub-sub"/>
    <w:basedOn w:val="definitionsub"/>
    <w:link w:val="definitionsub-subChar"/>
    <w:uiPriority w:val="5"/>
    <w:qFormat/>
    <w:rsid w:val="00A969C2"/>
    <w:pPr>
      <w:numPr>
        <w:ilvl w:val="2"/>
        <w:numId w:val="2"/>
      </w:numPr>
      <w:tabs>
        <w:tab w:val="clear" w:pos="1134"/>
        <w:tab w:val="left" w:pos="1021"/>
      </w:tabs>
      <w:ind w:left="1021" w:hanging="454"/>
    </w:pPr>
  </w:style>
  <w:style w:type="character" w:styleId="definitionsub-subChar" w:customStyle="1">
    <w:name w:val="definition sub-sub Char"/>
    <w:basedOn w:val="definitionsubChar"/>
    <w:link w:val="definitionsub-sub"/>
    <w:uiPriority w:val="5"/>
    <w:rsid w:val="00A969C2"/>
    <w:rPr>
      <w:rFonts w:eastAsia="Times New Roman" w:cs="Times New Roman"/>
    </w:rPr>
  </w:style>
  <w:style w:type="character" w:styleId="definitionsubChar" w:customStyle="1">
    <w:name w:val="definition sub Char"/>
    <w:basedOn w:val="DefaultParagraphFont"/>
    <w:link w:val="definitionsub"/>
    <w:uiPriority w:val="2"/>
    <w:rsid w:val="00A969C2"/>
    <w:rPr>
      <w:rFonts w:eastAsia="Times New Roman" w:cs="Times New Roman"/>
    </w:rPr>
  </w:style>
  <w:style w:type="character" w:styleId="Negative" w:customStyle="1">
    <w:name w:val="_Negative"/>
    <w:basedOn w:val="DefaultParagraphFont"/>
    <w:rsid w:val="00AA6FE3"/>
    <w:rPr>
      <w:color w:val="FF0000"/>
      <w:lang w:val="en-GB"/>
    </w:rPr>
  </w:style>
  <w:style w:type="character" w:styleId="PlaceholderText">
    <w:name w:val="Placeholder Text"/>
    <w:basedOn w:val="DefaultParagraphFont"/>
    <w:uiPriority w:val="99"/>
    <w:semiHidden/>
    <w:rsid w:val="00956FDF"/>
    <w:rPr>
      <w:color w:val="808080"/>
      <w:lang w:val="en-GB"/>
    </w:rPr>
  </w:style>
  <w:style w:type="paragraph" w:styleId="ListParagraph">
    <w:name w:val="List Paragraph"/>
    <w:basedOn w:val="Normal"/>
    <w:uiPriority w:val="34"/>
    <w:qFormat/>
    <w:rsid w:val="008A20BD"/>
    <w:pPr>
      <w:spacing w:after="160" w:line="259" w:lineRule="auto"/>
      <w:ind w:left="720"/>
      <w:contextualSpacing/>
      <w:jc w:val="left"/>
    </w:pPr>
    <w:rPr>
      <w:rFonts w:asciiTheme="minorHAnsi" w:hAnsiTheme="minorHAnsi"/>
      <w:sz w:val="22"/>
      <w:szCs w:val="22"/>
    </w:rPr>
  </w:style>
  <w:style w:type="character" w:styleId="CommentReference">
    <w:name w:val="annotation reference"/>
    <w:basedOn w:val="DefaultParagraphFont"/>
    <w:uiPriority w:val="99"/>
    <w:unhideWhenUsed/>
    <w:rsid w:val="008A20BD"/>
    <w:rPr>
      <w:sz w:val="16"/>
      <w:szCs w:val="16"/>
    </w:rPr>
  </w:style>
  <w:style w:type="paragraph" w:styleId="CommentText">
    <w:name w:val="annotation text"/>
    <w:basedOn w:val="Normal"/>
    <w:link w:val="CommentTextChar"/>
    <w:uiPriority w:val="99"/>
    <w:unhideWhenUsed/>
    <w:rsid w:val="008A20BD"/>
    <w:pPr>
      <w:spacing w:after="160" w:line="240" w:lineRule="auto"/>
      <w:jc w:val="left"/>
    </w:pPr>
    <w:rPr>
      <w:rFonts w:asciiTheme="minorHAnsi" w:hAnsiTheme="minorHAnsi"/>
    </w:rPr>
  </w:style>
  <w:style w:type="character" w:styleId="CommentTextChar" w:customStyle="1">
    <w:name w:val="Comment Text Char"/>
    <w:basedOn w:val="DefaultParagraphFont"/>
    <w:link w:val="CommentText"/>
    <w:uiPriority w:val="99"/>
    <w:rsid w:val="008A20BD"/>
    <w:rPr>
      <w:rFonts w:asciiTheme="minorHAnsi" w:hAnsiTheme="minorHAnsi"/>
    </w:rPr>
  </w:style>
  <w:style w:type="paragraph" w:styleId="CommentSubject">
    <w:name w:val="annotation subject"/>
    <w:basedOn w:val="CommentText"/>
    <w:next w:val="CommentText"/>
    <w:link w:val="CommentSubjectChar"/>
    <w:semiHidden/>
    <w:unhideWhenUsed/>
    <w:rsid w:val="008A20BD"/>
    <w:rPr>
      <w:b/>
      <w:bCs/>
    </w:rPr>
  </w:style>
  <w:style w:type="character" w:styleId="CommentSubjectChar" w:customStyle="1">
    <w:name w:val="Comment Subject Char"/>
    <w:basedOn w:val="CommentTextChar"/>
    <w:link w:val="CommentSubject"/>
    <w:semiHidden/>
    <w:rsid w:val="008A20BD"/>
    <w:rPr>
      <w:rFonts w:asciiTheme="minorHAnsi" w:hAnsiTheme="minorHAnsi"/>
      <w:b/>
      <w:bCs/>
    </w:rPr>
  </w:style>
  <w:style w:type="paragraph" w:styleId="TxBrp69" w:customStyle="1">
    <w:name w:val="TxBr_p69"/>
    <w:basedOn w:val="Normal"/>
    <w:rsid w:val="008A20BD"/>
    <w:pPr>
      <w:widowControl w:val="0"/>
      <w:tabs>
        <w:tab w:val="left" w:pos="204"/>
      </w:tabs>
      <w:spacing w:after="160" w:line="240" w:lineRule="atLeast"/>
      <w:jc w:val="left"/>
    </w:pPr>
    <w:rPr>
      <w:rFonts w:ascii="Times New Roman" w:hAnsi="Times New Roman" w:eastAsia="Times New Roman" w:cs="Times New Roman"/>
      <w:snapToGrid w:val="0"/>
      <w:sz w:val="24"/>
      <w:lang w:eastAsia="en-GB"/>
    </w:rPr>
  </w:style>
  <w:style w:type="paragraph" w:styleId="Revision">
    <w:name w:val="Revision"/>
    <w:hidden/>
    <w:uiPriority w:val="99"/>
    <w:semiHidden/>
    <w:rsid w:val="008A20BD"/>
    <w:pPr>
      <w:spacing w:after="0" w:line="240" w:lineRule="auto"/>
      <w:jc w:val="left"/>
    </w:pPr>
    <w:rPr>
      <w:rFonts w:asciiTheme="minorHAnsi" w:hAnsiTheme="minorHAnsi"/>
      <w:sz w:val="22"/>
      <w:szCs w:val="22"/>
    </w:rPr>
  </w:style>
  <w:style w:type="numbering" w:styleId="NoList1" w:customStyle="1">
    <w:name w:val="No List1"/>
    <w:next w:val="NoList"/>
    <w:uiPriority w:val="99"/>
    <w:semiHidden/>
    <w:unhideWhenUsed/>
    <w:rsid w:val="008A20BD"/>
  </w:style>
  <w:style w:type="paragraph" w:styleId="TableText" w:customStyle="1">
    <w:name w:val="Table Text"/>
    <w:basedOn w:val="Normal"/>
    <w:rsid w:val="008A20BD"/>
    <w:pPr>
      <w:spacing w:before="60" w:after="60" w:line="259" w:lineRule="auto"/>
      <w:jc w:val="left"/>
    </w:pPr>
    <w:rPr>
      <w:rFonts w:ascii="Calibri" w:hAnsi="Calibri" w:eastAsia="Times New Roman" w:cs="Times New Roman"/>
      <w:sz w:val="22"/>
      <w:szCs w:val="22"/>
      <w:lang w:eastAsia="en-GB"/>
    </w:rPr>
  </w:style>
  <w:style w:type="paragraph" w:styleId="Mylist" w:customStyle="1">
    <w:name w:val="My list"/>
    <w:basedOn w:val="Normal"/>
    <w:rsid w:val="008A20BD"/>
    <w:pPr>
      <w:numPr>
        <w:numId w:val="8"/>
      </w:numPr>
      <w:spacing w:before="120" w:after="120" w:line="259" w:lineRule="auto"/>
      <w:jc w:val="left"/>
    </w:pPr>
    <w:rPr>
      <w:rFonts w:ascii="Calibri" w:hAnsi="Calibri" w:eastAsia="Times New Roman" w:cs="Times New Roman"/>
      <w:sz w:val="22"/>
      <w:szCs w:val="22"/>
      <w:lang w:eastAsia="en-GB"/>
    </w:rPr>
  </w:style>
  <w:style w:type="paragraph" w:styleId="Caveat" w:customStyle="1">
    <w:name w:val="Caveat"/>
    <w:basedOn w:val="Normal"/>
    <w:autoRedefine/>
    <w:rsid w:val="008A20BD"/>
    <w:pPr>
      <w:spacing w:before="60" w:after="60" w:line="259" w:lineRule="auto"/>
      <w:jc w:val="center"/>
    </w:pPr>
    <w:rPr>
      <w:rFonts w:ascii="Calibri" w:hAnsi="Calibri" w:eastAsia="Times New Roman" w:cs="Times New Roman"/>
      <w:b/>
      <w:sz w:val="22"/>
      <w:szCs w:val="22"/>
      <w:lang w:eastAsia="en-GB"/>
    </w:rPr>
  </w:style>
  <w:style w:type="character" w:styleId="FollowedHyperlink">
    <w:name w:val="FollowedHyperlink"/>
    <w:rsid w:val="008A20BD"/>
    <w:rPr>
      <w:color w:val="800080"/>
      <w:u w:val="single"/>
    </w:rPr>
  </w:style>
  <w:style w:type="paragraph" w:styleId="TableLevel1" w:customStyle="1">
    <w:name w:val="Table Level 1"/>
    <w:rsid w:val="008A20BD"/>
    <w:pPr>
      <w:spacing w:after="160" w:line="259" w:lineRule="auto"/>
      <w:jc w:val="left"/>
      <w:outlineLvl w:val="8"/>
    </w:pPr>
    <w:rPr>
      <w:rFonts w:eastAsia="Times New Roman" w:cs="Times New Roman"/>
      <w:b/>
      <w:caps/>
      <w:sz w:val="22"/>
      <w:szCs w:val="22"/>
      <w:lang w:val="en-US"/>
    </w:rPr>
  </w:style>
  <w:style w:type="paragraph" w:styleId="TableLevel2" w:customStyle="1">
    <w:name w:val="Table Level 2"/>
    <w:rsid w:val="008A20BD"/>
    <w:pPr>
      <w:keepLines/>
      <w:spacing w:after="160" w:line="259" w:lineRule="auto"/>
      <w:jc w:val="left"/>
      <w:outlineLvl w:val="8"/>
    </w:pPr>
    <w:rPr>
      <w:rFonts w:eastAsia="Times New Roman" w:cs="Times New Roman"/>
      <w:b/>
      <w:caps/>
      <w:sz w:val="22"/>
      <w:szCs w:val="22"/>
      <w:lang w:val="en-US"/>
    </w:rPr>
  </w:style>
  <w:style w:type="paragraph" w:styleId="TableLevel3" w:customStyle="1">
    <w:name w:val="Table Level 3"/>
    <w:basedOn w:val="TableLevel2"/>
    <w:rsid w:val="008A20BD"/>
    <w:pPr>
      <w:keepNext/>
    </w:pPr>
    <w:rPr>
      <w:caps w:val="0"/>
    </w:rPr>
  </w:style>
  <w:style w:type="paragraph" w:styleId="TableLevel4" w:customStyle="1">
    <w:name w:val="Table Level 4"/>
    <w:basedOn w:val="TableLevel3"/>
    <w:rsid w:val="008A20BD"/>
  </w:style>
  <w:style w:type="paragraph" w:styleId="BodyTextIndent">
    <w:name w:val="Body Text Indent"/>
    <w:basedOn w:val="Normal"/>
    <w:link w:val="BodyTextIndentChar"/>
    <w:rsid w:val="008A20BD"/>
    <w:pPr>
      <w:spacing w:after="160" w:line="259" w:lineRule="auto"/>
      <w:ind w:left="720"/>
    </w:pPr>
    <w:rPr>
      <w:rFonts w:ascii="Times New Roman" w:hAnsi="Times New Roman" w:eastAsia="Times New Roman" w:cs="Times New Roman"/>
      <w:sz w:val="26"/>
      <w:lang w:eastAsia="en-GB"/>
    </w:rPr>
  </w:style>
  <w:style w:type="character" w:styleId="BodyTextIndentChar" w:customStyle="1">
    <w:name w:val="Body Text Indent Char"/>
    <w:basedOn w:val="DefaultParagraphFont"/>
    <w:link w:val="BodyTextIndent"/>
    <w:rsid w:val="008A20BD"/>
    <w:rPr>
      <w:rFonts w:ascii="Times New Roman" w:hAnsi="Times New Roman" w:eastAsia="Times New Roman" w:cs="Times New Roman"/>
      <w:sz w:val="26"/>
      <w:lang w:eastAsia="en-GB"/>
    </w:rPr>
  </w:style>
  <w:style w:type="paragraph" w:styleId="Head1" w:customStyle="1">
    <w:name w:val="Head1"/>
    <w:basedOn w:val="Normal"/>
    <w:next w:val="Normal"/>
    <w:rsid w:val="008A20BD"/>
    <w:pPr>
      <w:spacing w:after="240" w:line="259" w:lineRule="auto"/>
      <w:jc w:val="left"/>
    </w:pPr>
    <w:rPr>
      <w:rFonts w:ascii="Calibri" w:hAnsi="Calibri" w:eastAsia="Times New Roman" w:cs="Arial"/>
      <w:b/>
      <w:bCs/>
      <w:sz w:val="22"/>
      <w:szCs w:val="22"/>
      <w:lang w:eastAsia="en-GB"/>
    </w:rPr>
  </w:style>
  <w:style w:type="paragraph" w:styleId="MyList0" w:customStyle="1">
    <w:name w:val="My List"/>
    <w:basedOn w:val="Normal"/>
    <w:rsid w:val="008A20BD"/>
    <w:pPr>
      <w:numPr>
        <w:numId w:val="9"/>
      </w:numPr>
      <w:tabs>
        <w:tab w:val="left" w:pos="403"/>
      </w:tabs>
      <w:spacing w:before="120" w:after="160" w:line="259" w:lineRule="auto"/>
      <w:jc w:val="left"/>
    </w:pPr>
    <w:rPr>
      <w:rFonts w:ascii="Calibri" w:hAnsi="Calibri" w:eastAsia="Times New Roman" w:cs="Times New Roman"/>
      <w:sz w:val="22"/>
      <w:szCs w:val="22"/>
      <w:lang w:eastAsia="en-GB"/>
    </w:rPr>
  </w:style>
  <w:style w:type="paragraph" w:styleId="PlainText">
    <w:name w:val="Plain Text"/>
    <w:basedOn w:val="Normal"/>
    <w:link w:val="PlainTextChar"/>
    <w:rsid w:val="008A20BD"/>
    <w:pPr>
      <w:spacing w:after="160" w:line="259" w:lineRule="auto"/>
      <w:jc w:val="left"/>
    </w:pPr>
    <w:rPr>
      <w:rFonts w:ascii="Courier New" w:hAnsi="Courier New" w:eastAsia="Times New Roman" w:cs="Courier New"/>
      <w:sz w:val="22"/>
      <w:lang w:eastAsia="en-GB"/>
    </w:rPr>
  </w:style>
  <w:style w:type="character" w:styleId="PlainTextChar" w:customStyle="1">
    <w:name w:val="Plain Text Char"/>
    <w:basedOn w:val="DefaultParagraphFont"/>
    <w:link w:val="PlainText"/>
    <w:rsid w:val="008A20BD"/>
    <w:rPr>
      <w:rFonts w:ascii="Courier New" w:hAnsi="Courier New" w:eastAsia="Times New Roman" w:cs="Courier New"/>
      <w:sz w:val="22"/>
      <w:lang w:eastAsia="en-GB"/>
    </w:rPr>
  </w:style>
  <w:style w:type="table" w:styleId="TableGrid1" w:customStyle="1">
    <w:name w:val="Table Grid1"/>
    <w:basedOn w:val="TableNormal"/>
    <w:next w:val="TableGrid"/>
    <w:rsid w:val="008A20BD"/>
    <w:pPr>
      <w:spacing w:after="0" w:line="240" w:lineRule="auto"/>
      <w:jc w:val="left"/>
    </w:pPr>
    <w:rPr>
      <w:rFonts w:ascii="Calibri" w:hAnsi="Calibri" w:eastAsia="Times New Roman" w:cs="Times New Roman"/>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noteReference">
    <w:name w:val="footnote reference"/>
    <w:semiHidden/>
    <w:rsid w:val="008A20BD"/>
    <w:rPr>
      <w:vertAlign w:val="superscript"/>
    </w:rPr>
  </w:style>
  <w:style w:type="paragraph" w:styleId="Definition0" w:customStyle="1">
    <w:name w:val="Definition"/>
    <w:basedOn w:val="Normal"/>
    <w:uiPriority w:val="99"/>
    <w:rsid w:val="008A20BD"/>
    <w:pPr>
      <w:suppressAutoHyphens/>
      <w:overflowPunct w:val="0"/>
      <w:autoSpaceDE w:val="0"/>
      <w:spacing w:after="160" w:line="259" w:lineRule="auto"/>
      <w:ind w:left="851"/>
      <w:jc w:val="left"/>
      <w:textAlignment w:val="baseline"/>
    </w:pPr>
    <w:rPr>
      <w:rFonts w:ascii="Calibri" w:hAnsi="Calibri" w:eastAsia="Times New Roman" w:cs="Times New Roman"/>
      <w:kern w:val="1"/>
      <w:sz w:val="22"/>
      <w:szCs w:val="22"/>
      <w:lang w:eastAsia="ar-SA"/>
    </w:rPr>
  </w:style>
  <w:style w:type="table" w:styleId="TableGrid11" w:customStyle="1">
    <w:name w:val="Table Grid11"/>
    <w:basedOn w:val="TableNormal"/>
    <w:next w:val="TableGrid"/>
    <w:uiPriority w:val="59"/>
    <w:rsid w:val="008A20BD"/>
    <w:pPr>
      <w:spacing w:after="0" w:line="240" w:lineRule="auto"/>
      <w:jc w:val="left"/>
    </w:pPr>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ndnoteReference">
    <w:name w:val="endnote reference"/>
    <w:rsid w:val="008A20BD"/>
    <w:rPr>
      <w:vertAlign w:val="superscript"/>
    </w:rPr>
  </w:style>
  <w:style w:type="paragraph" w:styleId="Default" w:customStyle="1">
    <w:name w:val="Default"/>
    <w:rsid w:val="008A20BD"/>
    <w:pPr>
      <w:autoSpaceDE w:val="0"/>
      <w:autoSpaceDN w:val="0"/>
      <w:adjustRightInd w:val="0"/>
      <w:spacing w:after="160" w:line="259" w:lineRule="auto"/>
      <w:jc w:val="left"/>
    </w:pPr>
    <w:rPr>
      <w:rFonts w:ascii="Calibri" w:hAnsi="Calibri" w:eastAsia="Times New Roman" w:cs="Times New Roman"/>
      <w:color w:val="000000"/>
      <w:sz w:val="24"/>
      <w:szCs w:val="24"/>
      <w:lang w:eastAsia="en-GB"/>
    </w:rPr>
  </w:style>
  <w:style w:type="paragraph" w:styleId="NormalWeb">
    <w:name w:val="Normal (Web)"/>
    <w:basedOn w:val="Normal"/>
    <w:uiPriority w:val="99"/>
    <w:unhideWhenUsed/>
    <w:rsid w:val="008A20BD"/>
    <w:pPr>
      <w:spacing w:before="100" w:beforeAutospacing="1" w:after="100" w:afterAutospacing="1" w:line="259" w:lineRule="auto"/>
      <w:jc w:val="left"/>
    </w:pPr>
    <w:rPr>
      <w:rFonts w:ascii="Times New Roman" w:hAnsi="Times New Roman" w:eastAsia="Times New Roman" w:cs="Times New Roman"/>
      <w:sz w:val="24"/>
      <w:szCs w:val="22"/>
      <w:lang w:eastAsia="en-GB"/>
    </w:rPr>
  </w:style>
  <w:style w:type="character" w:styleId="Strong">
    <w:name w:val="Strong"/>
    <w:uiPriority w:val="22"/>
    <w:qFormat/>
    <w:rsid w:val="008A20BD"/>
    <w:rPr>
      <w:b/>
      <w:bCs/>
    </w:rPr>
  </w:style>
  <w:style w:type="character" w:styleId="Emphasis">
    <w:name w:val="Emphasis"/>
    <w:uiPriority w:val="20"/>
    <w:qFormat/>
    <w:rsid w:val="008A20BD"/>
    <w:rPr>
      <w:i/>
      <w:iCs/>
    </w:rPr>
  </w:style>
  <w:style w:type="paragraph" w:styleId="NoSpacing">
    <w:name w:val="No Spacing"/>
    <w:uiPriority w:val="1"/>
    <w:qFormat/>
    <w:rsid w:val="008A20BD"/>
    <w:pPr>
      <w:spacing w:after="0" w:line="240" w:lineRule="auto"/>
      <w:jc w:val="left"/>
    </w:pPr>
    <w:rPr>
      <w:rFonts w:ascii="Calibri" w:hAnsi="Calibri" w:eastAsia="Times New Roman" w:cs="Times New Roman"/>
      <w:sz w:val="22"/>
      <w:szCs w:val="22"/>
      <w:lang w:eastAsia="en-GB"/>
    </w:rPr>
  </w:style>
  <w:style w:type="paragraph" w:styleId="Quote">
    <w:name w:val="Quote"/>
    <w:basedOn w:val="Normal"/>
    <w:next w:val="Normal"/>
    <w:link w:val="QuoteChar"/>
    <w:uiPriority w:val="29"/>
    <w:qFormat/>
    <w:rsid w:val="008A20BD"/>
    <w:pPr>
      <w:spacing w:before="120" w:after="120" w:line="259" w:lineRule="auto"/>
      <w:ind w:left="720"/>
      <w:jc w:val="left"/>
    </w:pPr>
    <w:rPr>
      <w:rFonts w:ascii="Calibri" w:hAnsi="Calibri" w:eastAsia="Times New Roman" w:cs="Times New Roman"/>
      <w:color w:val="44546A"/>
      <w:sz w:val="24"/>
      <w:szCs w:val="24"/>
      <w:lang w:eastAsia="en-GB"/>
    </w:rPr>
  </w:style>
  <w:style w:type="character" w:styleId="QuoteChar" w:customStyle="1">
    <w:name w:val="Quote Char"/>
    <w:basedOn w:val="DefaultParagraphFont"/>
    <w:link w:val="Quote"/>
    <w:uiPriority w:val="29"/>
    <w:rsid w:val="008A20BD"/>
    <w:rPr>
      <w:rFonts w:ascii="Calibri" w:hAnsi="Calibri" w:eastAsia="Times New Roman" w:cs="Times New Roman"/>
      <w:color w:val="44546A"/>
      <w:sz w:val="24"/>
      <w:szCs w:val="24"/>
      <w:lang w:eastAsia="en-GB"/>
    </w:rPr>
  </w:style>
  <w:style w:type="paragraph" w:styleId="IntenseQuote">
    <w:name w:val="Intense Quote"/>
    <w:basedOn w:val="Normal"/>
    <w:next w:val="Normal"/>
    <w:link w:val="IntenseQuoteChar"/>
    <w:uiPriority w:val="30"/>
    <w:qFormat/>
    <w:rsid w:val="008A20BD"/>
    <w:pPr>
      <w:spacing w:before="100" w:beforeAutospacing="1" w:after="240" w:line="240" w:lineRule="auto"/>
      <w:ind w:left="720"/>
      <w:jc w:val="center"/>
    </w:pPr>
    <w:rPr>
      <w:rFonts w:ascii="Calibri Light" w:hAnsi="Calibri Light" w:eastAsia="SimSun" w:cs="Times New Roman"/>
      <w:color w:val="44546A"/>
      <w:spacing w:val="-6"/>
      <w:sz w:val="32"/>
      <w:szCs w:val="32"/>
      <w:lang w:eastAsia="en-GB"/>
    </w:rPr>
  </w:style>
  <w:style w:type="character" w:styleId="IntenseQuoteChar" w:customStyle="1">
    <w:name w:val="Intense Quote Char"/>
    <w:basedOn w:val="DefaultParagraphFont"/>
    <w:link w:val="IntenseQuote"/>
    <w:uiPriority w:val="30"/>
    <w:rsid w:val="008A20BD"/>
    <w:rPr>
      <w:rFonts w:ascii="Calibri Light" w:hAnsi="Calibri Light" w:eastAsia="SimSun" w:cs="Times New Roman"/>
      <w:color w:val="44546A"/>
      <w:spacing w:val="-6"/>
      <w:sz w:val="32"/>
      <w:szCs w:val="32"/>
      <w:lang w:eastAsia="en-GB"/>
    </w:rPr>
  </w:style>
  <w:style w:type="character" w:styleId="SubtleEmphasis">
    <w:name w:val="Subtle Emphasis"/>
    <w:uiPriority w:val="19"/>
    <w:qFormat/>
    <w:rsid w:val="008A20BD"/>
    <w:rPr>
      <w:i/>
      <w:iCs/>
      <w:color w:val="595959"/>
    </w:rPr>
  </w:style>
  <w:style w:type="character" w:styleId="IntenseEmphasis">
    <w:name w:val="Intense Emphasis"/>
    <w:uiPriority w:val="21"/>
    <w:qFormat/>
    <w:rsid w:val="008A20BD"/>
    <w:rPr>
      <w:b/>
      <w:bCs/>
      <w:i/>
      <w:iCs/>
    </w:rPr>
  </w:style>
  <w:style w:type="character" w:styleId="SubtleReference">
    <w:name w:val="Subtle Reference"/>
    <w:uiPriority w:val="31"/>
    <w:qFormat/>
    <w:rsid w:val="008A20BD"/>
    <w:rPr>
      <w:smallCaps/>
      <w:color w:val="595959"/>
      <w:u w:val="none" w:color="7F7F7F"/>
      <w:bdr w:val="none" w:color="auto" w:sz="0" w:space="0"/>
    </w:rPr>
  </w:style>
  <w:style w:type="character" w:styleId="IntenseReference">
    <w:name w:val="Intense Reference"/>
    <w:uiPriority w:val="32"/>
    <w:qFormat/>
    <w:rsid w:val="008A20BD"/>
    <w:rPr>
      <w:b/>
      <w:bCs/>
      <w:smallCaps/>
      <w:color w:val="44546A"/>
      <w:u w:val="single"/>
    </w:rPr>
  </w:style>
  <w:style w:type="character" w:styleId="BookTitle">
    <w:name w:val="Book Title"/>
    <w:uiPriority w:val="33"/>
    <w:qFormat/>
    <w:rsid w:val="008A20BD"/>
    <w:rPr>
      <w:b/>
      <w:bCs/>
      <w:smallCaps/>
      <w:spacing w:val="10"/>
    </w:rPr>
  </w:style>
  <w:style w:type="character" w:styleId="UnresolvedMention1" w:customStyle="1">
    <w:name w:val="Unresolved Mention1"/>
    <w:uiPriority w:val="99"/>
    <w:semiHidden/>
    <w:unhideWhenUsed/>
    <w:rsid w:val="008A20BD"/>
    <w:rPr>
      <w:color w:val="808080"/>
      <w:shd w:val="clear" w:color="auto" w:fill="E6E6E6"/>
    </w:rPr>
  </w:style>
  <w:style w:type="paragraph" w:styleId="ssNoHeading2" w:customStyle="1">
    <w:name w:val="ssNoHeading2"/>
    <w:basedOn w:val="Heading2"/>
    <w:uiPriority w:val="99"/>
    <w:rsid w:val="008A20BD"/>
    <w:pPr>
      <w:numPr>
        <w:ilvl w:val="2"/>
        <w:numId w:val="0"/>
      </w:numPr>
      <w:tabs>
        <w:tab w:val="num" w:pos="709"/>
      </w:tabs>
      <w:spacing w:after="260" w:line="240" w:lineRule="auto"/>
      <w:ind w:left="709" w:hanging="709"/>
    </w:pPr>
    <w:rPr>
      <w:rFonts w:eastAsia="SimSun"/>
      <w:sz w:val="22"/>
      <w:szCs w:val="22"/>
      <w:lang w:eastAsia="zh-CN"/>
    </w:rPr>
  </w:style>
  <w:style w:type="paragraph" w:styleId="ssRestartNumber" w:customStyle="1">
    <w:name w:val="ssRestartNumber"/>
    <w:basedOn w:val="Normal"/>
    <w:next w:val="Normal"/>
    <w:uiPriority w:val="99"/>
    <w:rsid w:val="008A20BD"/>
    <w:pPr>
      <w:spacing w:after="0" w:line="240" w:lineRule="auto"/>
    </w:pPr>
    <w:rPr>
      <w:rFonts w:eastAsia="SimSun" w:cs="Times New Roman"/>
      <w:color w:val="FF0000"/>
      <w:sz w:val="22"/>
      <w:szCs w:val="22"/>
      <w:lang w:eastAsia="zh-CN"/>
    </w:rPr>
  </w:style>
  <w:style w:type="paragraph" w:styleId="ssNoHeading3" w:customStyle="1">
    <w:name w:val="ssNoHeading3"/>
    <w:basedOn w:val="Heading3"/>
    <w:uiPriority w:val="99"/>
    <w:rsid w:val="008A20BD"/>
    <w:pPr>
      <w:numPr>
        <w:ilvl w:val="3"/>
        <w:numId w:val="8"/>
      </w:numPr>
      <w:spacing w:after="260" w:line="240" w:lineRule="auto"/>
    </w:pPr>
    <w:rPr>
      <w:rFonts w:eastAsia="SimSun"/>
      <w:sz w:val="22"/>
      <w:lang w:eastAsia="zh-CN"/>
    </w:rPr>
  </w:style>
  <w:style w:type="paragraph" w:styleId="ssNoHeading4" w:customStyle="1">
    <w:name w:val="ssNoHeading4"/>
    <w:basedOn w:val="Heading4"/>
    <w:uiPriority w:val="99"/>
    <w:rsid w:val="008A20BD"/>
    <w:pPr>
      <w:numPr>
        <w:ilvl w:val="4"/>
        <w:numId w:val="8"/>
      </w:numPr>
      <w:spacing w:after="260" w:line="240" w:lineRule="auto"/>
    </w:pPr>
    <w:rPr>
      <w:rFonts w:eastAsia="SimSun" w:cs="Times New Roman"/>
      <w:sz w:val="22"/>
      <w:lang w:eastAsia="zh-CN"/>
    </w:rPr>
  </w:style>
  <w:style w:type="character" w:styleId="Body2Char" w:customStyle="1">
    <w:name w:val="Body2 Char"/>
    <w:link w:val="Body2"/>
    <w:rsid w:val="008A20BD"/>
  </w:style>
  <w:style w:type="paragraph" w:styleId="ListBullet4">
    <w:name w:val="List Bullet 4"/>
    <w:basedOn w:val="Normal"/>
    <w:uiPriority w:val="99"/>
    <w:semiHidden/>
    <w:unhideWhenUsed/>
    <w:rsid w:val="008A20BD"/>
    <w:pPr>
      <w:numPr>
        <w:numId w:val="10"/>
      </w:numPr>
      <w:contextualSpacing/>
    </w:pPr>
  </w:style>
  <w:style w:type="paragraph" w:styleId="StdBodyText" w:customStyle="1">
    <w:name w:val="Std Body Text"/>
    <w:basedOn w:val="Normal"/>
    <w:qFormat/>
    <w:rsid w:val="00824BF2"/>
    <w:pPr>
      <w:suppressAutoHyphens/>
      <w:autoSpaceDN w:val="0"/>
      <w:spacing w:before="100" w:after="200" w:line="240" w:lineRule="auto"/>
      <w:jc w:val="left"/>
      <w:textAlignment w:val="baseline"/>
    </w:pPr>
    <w:rPr>
      <w:rFonts w:eastAsia="Times New Roman" w:cs="Times New Roman"/>
      <w:sz w:val="24"/>
      <w:szCs w:val="24"/>
      <w:lang w:eastAsia="en-GB"/>
    </w:rPr>
  </w:style>
  <w:style w:type="paragraph" w:styleId="StdBodyTextBold" w:customStyle="1">
    <w:name w:val="Std Body Text Bold"/>
    <w:basedOn w:val="Normal"/>
    <w:next w:val="StdBodyText"/>
    <w:link w:val="StdBodyTextBoldChar"/>
    <w:qFormat/>
    <w:rsid w:val="00824BF2"/>
    <w:pPr>
      <w:suppressAutoHyphens/>
      <w:autoSpaceDN w:val="0"/>
      <w:spacing w:before="100" w:after="200" w:line="240" w:lineRule="auto"/>
      <w:jc w:val="left"/>
      <w:textAlignment w:val="baseline"/>
    </w:pPr>
    <w:rPr>
      <w:rFonts w:eastAsia="Times New Roman" w:cs="Times New Roman"/>
      <w:b/>
      <w:sz w:val="24"/>
      <w:szCs w:val="24"/>
      <w:lang w:eastAsia="en-GB"/>
    </w:rPr>
  </w:style>
  <w:style w:type="paragraph" w:styleId="ListBullet2">
    <w:name w:val="List Bullet 2"/>
    <w:basedOn w:val="Normal"/>
    <w:uiPriority w:val="99"/>
    <w:semiHidden/>
    <w:unhideWhenUsed/>
    <w:rsid w:val="00F87B55"/>
    <w:pPr>
      <w:numPr>
        <w:numId w:val="14"/>
      </w:numPr>
      <w:contextualSpacing/>
    </w:pPr>
  </w:style>
  <w:style w:type="paragraph" w:styleId="Reference" w:customStyle="1">
    <w:name w:val="Reference"/>
    <w:basedOn w:val="Normal"/>
    <w:rsid w:val="00B96036"/>
    <w:pPr>
      <w:tabs>
        <w:tab w:val="left" w:pos="720"/>
      </w:tabs>
      <w:spacing w:after="0" w:line="240" w:lineRule="auto"/>
      <w:jc w:val="left"/>
    </w:pPr>
    <w:rPr>
      <w:rFonts w:ascii="Times New Roman" w:hAnsi="Times New Roman" w:eastAsia="Times New Roman" w:cs="Times New Roman"/>
      <w:sz w:val="24"/>
    </w:rPr>
  </w:style>
  <w:style w:type="character" w:styleId="cf01" w:customStyle="1">
    <w:name w:val="cf01"/>
    <w:rsid w:val="0031000D"/>
    <w:rPr>
      <w:rFonts w:hint="default" w:ascii="Segoe UI" w:hAnsi="Segoe UI" w:cs="Segoe UI"/>
      <w:sz w:val="18"/>
      <w:szCs w:val="18"/>
    </w:rPr>
  </w:style>
  <w:style w:type="numbering" w:styleId="Appendix" w:customStyle="1">
    <w:name w:val="Appendix"/>
    <w:uiPriority w:val="99"/>
    <w:rsid w:val="000C624B"/>
    <w:pPr>
      <w:numPr>
        <w:numId w:val="34"/>
      </w:numPr>
    </w:pPr>
  </w:style>
  <w:style w:type="character" w:styleId="StdBodyTextBoldChar" w:customStyle="1">
    <w:name w:val="Std Body Text Bold Char"/>
    <w:basedOn w:val="DefaultParagraphFont"/>
    <w:link w:val="StdBodyTextBold"/>
    <w:rsid w:val="000C624B"/>
    <w:rPr>
      <w:rFonts w:eastAsia="Times New Roman" w:cs="Times New Roman"/>
      <w:b/>
      <w:sz w:val="24"/>
      <w:szCs w:val="24"/>
      <w:lang w:eastAsia="en-GB"/>
    </w:rPr>
  </w:style>
  <w:style w:type="paragraph" w:styleId="BodyTextFirstIndent">
    <w:name w:val="Body Text First Indent"/>
    <w:basedOn w:val="BodyText"/>
    <w:link w:val="BodyTextFirstIndentChar"/>
    <w:uiPriority w:val="99"/>
    <w:semiHidden/>
    <w:unhideWhenUsed/>
    <w:rsid w:val="00AC2A5F"/>
    <w:pPr>
      <w:ind w:firstLine="360"/>
    </w:pPr>
  </w:style>
  <w:style w:type="character" w:styleId="BodyTextFirstIndentChar" w:customStyle="1">
    <w:name w:val="Body Text First Indent Char"/>
    <w:basedOn w:val="BodyTextChar"/>
    <w:link w:val="BodyTextFirstIndent"/>
    <w:uiPriority w:val="99"/>
    <w:semiHidden/>
    <w:rsid w:val="00AC2A5F"/>
    <w:rPr>
      <w:lang w:val="en-GB"/>
    </w:rPr>
  </w:style>
  <w:style w:type="paragraph" w:styleId="Level1" w:customStyle="1">
    <w:name w:val="Level 1"/>
    <w:basedOn w:val="Normal"/>
    <w:next w:val="Normal"/>
    <w:qFormat/>
    <w:rsid w:val="007D151F"/>
    <w:pPr>
      <w:numPr>
        <w:numId w:val="36"/>
      </w:numPr>
      <w:tabs>
        <w:tab w:val="left" w:pos="720"/>
      </w:tabs>
      <w:spacing w:before="100" w:after="200" w:line="240" w:lineRule="auto"/>
      <w:jc w:val="left"/>
    </w:pPr>
    <w:rPr>
      <w:rFonts w:eastAsia="Times New Roman" w:cs="Times New Roman"/>
      <w:b/>
      <w:sz w:val="24"/>
      <w:szCs w:val="24"/>
      <w:u w:val="single"/>
      <w:lang w:eastAsia="en-GB"/>
    </w:rPr>
  </w:style>
  <w:style w:type="paragraph" w:styleId="Level2" w:customStyle="1">
    <w:name w:val="Level 2"/>
    <w:basedOn w:val="Level1"/>
    <w:next w:val="Normal"/>
    <w:rsid w:val="007D151F"/>
    <w:pPr>
      <w:numPr>
        <w:ilvl w:val="1"/>
      </w:numPr>
    </w:pPr>
    <w:rPr>
      <w:b w:val="0"/>
      <w:u w:val="none"/>
    </w:rPr>
  </w:style>
  <w:style w:type="paragraph" w:styleId="Level3" w:customStyle="1">
    <w:name w:val="Level 3"/>
    <w:basedOn w:val="Level2"/>
    <w:next w:val="Normal"/>
    <w:rsid w:val="007D151F"/>
    <w:pPr>
      <w:numPr>
        <w:ilvl w:val="2"/>
      </w:numPr>
      <w:tabs>
        <w:tab w:val="left" w:pos="1803"/>
      </w:tabs>
    </w:pPr>
  </w:style>
  <w:style w:type="paragraph" w:styleId="Level4" w:customStyle="1">
    <w:name w:val="Level 4"/>
    <w:basedOn w:val="Level3"/>
    <w:next w:val="Normal"/>
    <w:rsid w:val="007D151F"/>
    <w:pPr>
      <w:numPr>
        <w:ilvl w:val="3"/>
      </w:numPr>
    </w:pPr>
  </w:style>
  <w:style w:type="paragraph" w:styleId="Level5" w:customStyle="1">
    <w:name w:val="Level 5"/>
    <w:basedOn w:val="Level4"/>
    <w:next w:val="Normal"/>
    <w:rsid w:val="007D151F"/>
    <w:pPr>
      <w:numPr>
        <w:ilvl w:val="4"/>
      </w:numPr>
      <w:tabs>
        <w:tab w:val="left" w:pos="2523"/>
      </w:tabs>
    </w:pPr>
  </w:style>
  <w:style w:type="paragraph" w:styleId="Level6" w:customStyle="1">
    <w:name w:val="Level 6"/>
    <w:basedOn w:val="Level5"/>
    <w:rsid w:val="007D151F"/>
    <w:pPr>
      <w:numPr>
        <w:ilvl w:val="5"/>
      </w:numPr>
      <w:tabs>
        <w:tab w:val="clear" w:pos="252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4050">
      <w:bodyDiv w:val="1"/>
      <w:marLeft w:val="0"/>
      <w:marRight w:val="0"/>
      <w:marTop w:val="0"/>
      <w:marBottom w:val="0"/>
      <w:divBdr>
        <w:top w:val="none" w:sz="0" w:space="0" w:color="auto"/>
        <w:left w:val="none" w:sz="0" w:space="0" w:color="auto"/>
        <w:bottom w:val="none" w:sz="0" w:space="0" w:color="auto"/>
        <w:right w:val="none" w:sz="0" w:space="0" w:color="auto"/>
      </w:divBdr>
    </w:div>
    <w:div w:id="181939136">
      <w:bodyDiv w:val="1"/>
      <w:marLeft w:val="0"/>
      <w:marRight w:val="0"/>
      <w:marTop w:val="0"/>
      <w:marBottom w:val="0"/>
      <w:divBdr>
        <w:top w:val="none" w:sz="0" w:space="0" w:color="auto"/>
        <w:left w:val="none" w:sz="0" w:space="0" w:color="auto"/>
        <w:bottom w:val="none" w:sz="0" w:space="0" w:color="auto"/>
        <w:right w:val="none" w:sz="0" w:space="0" w:color="auto"/>
      </w:divBdr>
    </w:div>
    <w:div w:id="227768930">
      <w:bodyDiv w:val="1"/>
      <w:marLeft w:val="0"/>
      <w:marRight w:val="0"/>
      <w:marTop w:val="0"/>
      <w:marBottom w:val="0"/>
      <w:divBdr>
        <w:top w:val="none" w:sz="0" w:space="0" w:color="auto"/>
        <w:left w:val="none" w:sz="0" w:space="0" w:color="auto"/>
        <w:bottom w:val="none" w:sz="0" w:space="0" w:color="auto"/>
        <w:right w:val="none" w:sz="0" w:space="0" w:color="auto"/>
      </w:divBdr>
    </w:div>
    <w:div w:id="473568183">
      <w:bodyDiv w:val="1"/>
      <w:marLeft w:val="0"/>
      <w:marRight w:val="0"/>
      <w:marTop w:val="0"/>
      <w:marBottom w:val="0"/>
      <w:divBdr>
        <w:top w:val="none" w:sz="0" w:space="0" w:color="auto"/>
        <w:left w:val="none" w:sz="0" w:space="0" w:color="auto"/>
        <w:bottom w:val="none" w:sz="0" w:space="0" w:color="auto"/>
        <w:right w:val="none" w:sz="0" w:space="0" w:color="auto"/>
      </w:divBdr>
    </w:div>
    <w:div w:id="551113529">
      <w:bodyDiv w:val="1"/>
      <w:marLeft w:val="0"/>
      <w:marRight w:val="0"/>
      <w:marTop w:val="0"/>
      <w:marBottom w:val="0"/>
      <w:divBdr>
        <w:top w:val="none" w:sz="0" w:space="0" w:color="auto"/>
        <w:left w:val="none" w:sz="0" w:space="0" w:color="auto"/>
        <w:bottom w:val="none" w:sz="0" w:space="0" w:color="auto"/>
        <w:right w:val="none" w:sz="0" w:space="0" w:color="auto"/>
      </w:divBdr>
    </w:div>
    <w:div w:id="594896341">
      <w:bodyDiv w:val="1"/>
      <w:marLeft w:val="0"/>
      <w:marRight w:val="0"/>
      <w:marTop w:val="0"/>
      <w:marBottom w:val="0"/>
      <w:divBdr>
        <w:top w:val="none" w:sz="0" w:space="0" w:color="auto"/>
        <w:left w:val="none" w:sz="0" w:space="0" w:color="auto"/>
        <w:bottom w:val="none" w:sz="0" w:space="0" w:color="auto"/>
        <w:right w:val="none" w:sz="0" w:space="0" w:color="auto"/>
      </w:divBdr>
    </w:div>
    <w:div w:id="656344016">
      <w:bodyDiv w:val="1"/>
      <w:marLeft w:val="0"/>
      <w:marRight w:val="0"/>
      <w:marTop w:val="0"/>
      <w:marBottom w:val="0"/>
      <w:divBdr>
        <w:top w:val="none" w:sz="0" w:space="0" w:color="auto"/>
        <w:left w:val="none" w:sz="0" w:space="0" w:color="auto"/>
        <w:bottom w:val="none" w:sz="0" w:space="0" w:color="auto"/>
        <w:right w:val="none" w:sz="0" w:space="0" w:color="auto"/>
      </w:divBdr>
    </w:div>
    <w:div w:id="668992689">
      <w:bodyDiv w:val="1"/>
      <w:marLeft w:val="0"/>
      <w:marRight w:val="0"/>
      <w:marTop w:val="0"/>
      <w:marBottom w:val="0"/>
      <w:divBdr>
        <w:top w:val="none" w:sz="0" w:space="0" w:color="auto"/>
        <w:left w:val="none" w:sz="0" w:space="0" w:color="auto"/>
        <w:bottom w:val="none" w:sz="0" w:space="0" w:color="auto"/>
        <w:right w:val="none" w:sz="0" w:space="0" w:color="auto"/>
      </w:divBdr>
    </w:div>
    <w:div w:id="701786875">
      <w:bodyDiv w:val="1"/>
      <w:marLeft w:val="0"/>
      <w:marRight w:val="0"/>
      <w:marTop w:val="0"/>
      <w:marBottom w:val="0"/>
      <w:divBdr>
        <w:top w:val="none" w:sz="0" w:space="0" w:color="auto"/>
        <w:left w:val="none" w:sz="0" w:space="0" w:color="auto"/>
        <w:bottom w:val="none" w:sz="0" w:space="0" w:color="auto"/>
        <w:right w:val="none" w:sz="0" w:space="0" w:color="auto"/>
      </w:divBdr>
    </w:div>
    <w:div w:id="704644822">
      <w:bodyDiv w:val="1"/>
      <w:marLeft w:val="0"/>
      <w:marRight w:val="0"/>
      <w:marTop w:val="0"/>
      <w:marBottom w:val="0"/>
      <w:divBdr>
        <w:top w:val="none" w:sz="0" w:space="0" w:color="auto"/>
        <w:left w:val="none" w:sz="0" w:space="0" w:color="auto"/>
        <w:bottom w:val="none" w:sz="0" w:space="0" w:color="auto"/>
        <w:right w:val="none" w:sz="0" w:space="0" w:color="auto"/>
      </w:divBdr>
    </w:div>
    <w:div w:id="711536232">
      <w:bodyDiv w:val="1"/>
      <w:marLeft w:val="0"/>
      <w:marRight w:val="0"/>
      <w:marTop w:val="0"/>
      <w:marBottom w:val="0"/>
      <w:divBdr>
        <w:top w:val="none" w:sz="0" w:space="0" w:color="auto"/>
        <w:left w:val="none" w:sz="0" w:space="0" w:color="auto"/>
        <w:bottom w:val="none" w:sz="0" w:space="0" w:color="auto"/>
        <w:right w:val="none" w:sz="0" w:space="0" w:color="auto"/>
      </w:divBdr>
    </w:div>
    <w:div w:id="801001519">
      <w:bodyDiv w:val="1"/>
      <w:marLeft w:val="0"/>
      <w:marRight w:val="0"/>
      <w:marTop w:val="0"/>
      <w:marBottom w:val="0"/>
      <w:divBdr>
        <w:top w:val="none" w:sz="0" w:space="0" w:color="auto"/>
        <w:left w:val="none" w:sz="0" w:space="0" w:color="auto"/>
        <w:bottom w:val="none" w:sz="0" w:space="0" w:color="auto"/>
        <w:right w:val="none" w:sz="0" w:space="0" w:color="auto"/>
      </w:divBdr>
    </w:div>
    <w:div w:id="831064548">
      <w:bodyDiv w:val="1"/>
      <w:marLeft w:val="0"/>
      <w:marRight w:val="0"/>
      <w:marTop w:val="0"/>
      <w:marBottom w:val="0"/>
      <w:divBdr>
        <w:top w:val="none" w:sz="0" w:space="0" w:color="auto"/>
        <w:left w:val="none" w:sz="0" w:space="0" w:color="auto"/>
        <w:bottom w:val="none" w:sz="0" w:space="0" w:color="auto"/>
        <w:right w:val="none" w:sz="0" w:space="0" w:color="auto"/>
      </w:divBdr>
    </w:div>
    <w:div w:id="890730341">
      <w:bodyDiv w:val="1"/>
      <w:marLeft w:val="0"/>
      <w:marRight w:val="0"/>
      <w:marTop w:val="0"/>
      <w:marBottom w:val="0"/>
      <w:divBdr>
        <w:top w:val="none" w:sz="0" w:space="0" w:color="auto"/>
        <w:left w:val="none" w:sz="0" w:space="0" w:color="auto"/>
        <w:bottom w:val="none" w:sz="0" w:space="0" w:color="auto"/>
        <w:right w:val="none" w:sz="0" w:space="0" w:color="auto"/>
      </w:divBdr>
    </w:div>
    <w:div w:id="959187872">
      <w:bodyDiv w:val="1"/>
      <w:marLeft w:val="0"/>
      <w:marRight w:val="0"/>
      <w:marTop w:val="0"/>
      <w:marBottom w:val="0"/>
      <w:divBdr>
        <w:top w:val="none" w:sz="0" w:space="0" w:color="auto"/>
        <w:left w:val="none" w:sz="0" w:space="0" w:color="auto"/>
        <w:bottom w:val="none" w:sz="0" w:space="0" w:color="auto"/>
        <w:right w:val="none" w:sz="0" w:space="0" w:color="auto"/>
      </w:divBdr>
    </w:div>
    <w:div w:id="1176917612">
      <w:bodyDiv w:val="1"/>
      <w:marLeft w:val="0"/>
      <w:marRight w:val="0"/>
      <w:marTop w:val="0"/>
      <w:marBottom w:val="0"/>
      <w:divBdr>
        <w:top w:val="none" w:sz="0" w:space="0" w:color="auto"/>
        <w:left w:val="none" w:sz="0" w:space="0" w:color="auto"/>
        <w:bottom w:val="none" w:sz="0" w:space="0" w:color="auto"/>
        <w:right w:val="none" w:sz="0" w:space="0" w:color="auto"/>
      </w:divBdr>
    </w:div>
    <w:div w:id="1218468316">
      <w:bodyDiv w:val="1"/>
      <w:marLeft w:val="0"/>
      <w:marRight w:val="0"/>
      <w:marTop w:val="0"/>
      <w:marBottom w:val="0"/>
      <w:divBdr>
        <w:top w:val="none" w:sz="0" w:space="0" w:color="auto"/>
        <w:left w:val="none" w:sz="0" w:space="0" w:color="auto"/>
        <w:bottom w:val="none" w:sz="0" w:space="0" w:color="auto"/>
        <w:right w:val="none" w:sz="0" w:space="0" w:color="auto"/>
      </w:divBdr>
    </w:div>
    <w:div w:id="1279264364">
      <w:bodyDiv w:val="1"/>
      <w:marLeft w:val="0"/>
      <w:marRight w:val="0"/>
      <w:marTop w:val="0"/>
      <w:marBottom w:val="0"/>
      <w:divBdr>
        <w:top w:val="none" w:sz="0" w:space="0" w:color="auto"/>
        <w:left w:val="none" w:sz="0" w:space="0" w:color="auto"/>
        <w:bottom w:val="none" w:sz="0" w:space="0" w:color="auto"/>
        <w:right w:val="none" w:sz="0" w:space="0" w:color="auto"/>
      </w:divBdr>
    </w:div>
    <w:div w:id="1448740510">
      <w:bodyDiv w:val="1"/>
      <w:marLeft w:val="0"/>
      <w:marRight w:val="0"/>
      <w:marTop w:val="0"/>
      <w:marBottom w:val="0"/>
      <w:divBdr>
        <w:top w:val="none" w:sz="0" w:space="0" w:color="auto"/>
        <w:left w:val="none" w:sz="0" w:space="0" w:color="auto"/>
        <w:bottom w:val="none" w:sz="0" w:space="0" w:color="auto"/>
        <w:right w:val="none" w:sz="0" w:space="0" w:color="auto"/>
      </w:divBdr>
    </w:div>
    <w:div w:id="1474326472">
      <w:bodyDiv w:val="1"/>
      <w:marLeft w:val="0"/>
      <w:marRight w:val="0"/>
      <w:marTop w:val="0"/>
      <w:marBottom w:val="0"/>
      <w:divBdr>
        <w:top w:val="none" w:sz="0" w:space="0" w:color="auto"/>
        <w:left w:val="none" w:sz="0" w:space="0" w:color="auto"/>
        <w:bottom w:val="none" w:sz="0" w:space="0" w:color="auto"/>
        <w:right w:val="none" w:sz="0" w:space="0" w:color="auto"/>
      </w:divBdr>
      <w:divsChild>
        <w:div w:id="289819499">
          <w:marLeft w:val="418"/>
          <w:marRight w:val="0"/>
          <w:marTop w:val="48"/>
          <w:marBottom w:val="0"/>
          <w:divBdr>
            <w:top w:val="none" w:sz="0" w:space="0" w:color="auto"/>
            <w:left w:val="none" w:sz="0" w:space="0" w:color="auto"/>
            <w:bottom w:val="none" w:sz="0" w:space="0" w:color="auto"/>
            <w:right w:val="none" w:sz="0" w:space="0" w:color="auto"/>
          </w:divBdr>
        </w:div>
        <w:div w:id="407118379">
          <w:marLeft w:val="418"/>
          <w:marRight w:val="0"/>
          <w:marTop w:val="48"/>
          <w:marBottom w:val="0"/>
          <w:divBdr>
            <w:top w:val="none" w:sz="0" w:space="0" w:color="auto"/>
            <w:left w:val="none" w:sz="0" w:space="0" w:color="auto"/>
            <w:bottom w:val="none" w:sz="0" w:space="0" w:color="auto"/>
            <w:right w:val="none" w:sz="0" w:space="0" w:color="auto"/>
          </w:divBdr>
        </w:div>
        <w:div w:id="893393069">
          <w:marLeft w:val="418"/>
          <w:marRight w:val="0"/>
          <w:marTop w:val="48"/>
          <w:marBottom w:val="0"/>
          <w:divBdr>
            <w:top w:val="none" w:sz="0" w:space="0" w:color="auto"/>
            <w:left w:val="none" w:sz="0" w:space="0" w:color="auto"/>
            <w:bottom w:val="none" w:sz="0" w:space="0" w:color="auto"/>
            <w:right w:val="none" w:sz="0" w:space="0" w:color="auto"/>
          </w:divBdr>
        </w:div>
        <w:div w:id="894853665">
          <w:marLeft w:val="792"/>
          <w:marRight w:val="0"/>
          <w:marTop w:val="48"/>
          <w:marBottom w:val="0"/>
          <w:divBdr>
            <w:top w:val="none" w:sz="0" w:space="0" w:color="auto"/>
            <w:left w:val="none" w:sz="0" w:space="0" w:color="auto"/>
            <w:bottom w:val="none" w:sz="0" w:space="0" w:color="auto"/>
            <w:right w:val="none" w:sz="0" w:space="0" w:color="auto"/>
          </w:divBdr>
        </w:div>
        <w:div w:id="1107699671">
          <w:marLeft w:val="792"/>
          <w:marRight w:val="0"/>
          <w:marTop w:val="48"/>
          <w:marBottom w:val="0"/>
          <w:divBdr>
            <w:top w:val="none" w:sz="0" w:space="0" w:color="auto"/>
            <w:left w:val="none" w:sz="0" w:space="0" w:color="auto"/>
            <w:bottom w:val="none" w:sz="0" w:space="0" w:color="auto"/>
            <w:right w:val="none" w:sz="0" w:space="0" w:color="auto"/>
          </w:divBdr>
        </w:div>
        <w:div w:id="1168400331">
          <w:marLeft w:val="418"/>
          <w:marRight w:val="0"/>
          <w:marTop w:val="48"/>
          <w:marBottom w:val="0"/>
          <w:divBdr>
            <w:top w:val="none" w:sz="0" w:space="0" w:color="auto"/>
            <w:left w:val="none" w:sz="0" w:space="0" w:color="auto"/>
            <w:bottom w:val="none" w:sz="0" w:space="0" w:color="auto"/>
            <w:right w:val="none" w:sz="0" w:space="0" w:color="auto"/>
          </w:divBdr>
        </w:div>
        <w:div w:id="1357582588">
          <w:marLeft w:val="418"/>
          <w:marRight w:val="0"/>
          <w:marTop w:val="48"/>
          <w:marBottom w:val="0"/>
          <w:divBdr>
            <w:top w:val="none" w:sz="0" w:space="0" w:color="auto"/>
            <w:left w:val="none" w:sz="0" w:space="0" w:color="auto"/>
            <w:bottom w:val="none" w:sz="0" w:space="0" w:color="auto"/>
            <w:right w:val="none" w:sz="0" w:space="0" w:color="auto"/>
          </w:divBdr>
        </w:div>
        <w:div w:id="1531608057">
          <w:marLeft w:val="418"/>
          <w:marRight w:val="0"/>
          <w:marTop w:val="48"/>
          <w:marBottom w:val="0"/>
          <w:divBdr>
            <w:top w:val="none" w:sz="0" w:space="0" w:color="auto"/>
            <w:left w:val="none" w:sz="0" w:space="0" w:color="auto"/>
            <w:bottom w:val="none" w:sz="0" w:space="0" w:color="auto"/>
            <w:right w:val="none" w:sz="0" w:space="0" w:color="auto"/>
          </w:divBdr>
        </w:div>
        <w:div w:id="1662927969">
          <w:marLeft w:val="418"/>
          <w:marRight w:val="0"/>
          <w:marTop w:val="48"/>
          <w:marBottom w:val="0"/>
          <w:divBdr>
            <w:top w:val="none" w:sz="0" w:space="0" w:color="auto"/>
            <w:left w:val="none" w:sz="0" w:space="0" w:color="auto"/>
            <w:bottom w:val="none" w:sz="0" w:space="0" w:color="auto"/>
            <w:right w:val="none" w:sz="0" w:space="0" w:color="auto"/>
          </w:divBdr>
        </w:div>
        <w:div w:id="1748067250">
          <w:marLeft w:val="418"/>
          <w:marRight w:val="0"/>
          <w:marTop w:val="48"/>
          <w:marBottom w:val="0"/>
          <w:divBdr>
            <w:top w:val="none" w:sz="0" w:space="0" w:color="auto"/>
            <w:left w:val="none" w:sz="0" w:space="0" w:color="auto"/>
            <w:bottom w:val="none" w:sz="0" w:space="0" w:color="auto"/>
            <w:right w:val="none" w:sz="0" w:space="0" w:color="auto"/>
          </w:divBdr>
        </w:div>
        <w:div w:id="1905213010">
          <w:marLeft w:val="792"/>
          <w:marRight w:val="0"/>
          <w:marTop w:val="48"/>
          <w:marBottom w:val="0"/>
          <w:divBdr>
            <w:top w:val="none" w:sz="0" w:space="0" w:color="auto"/>
            <w:left w:val="none" w:sz="0" w:space="0" w:color="auto"/>
            <w:bottom w:val="none" w:sz="0" w:space="0" w:color="auto"/>
            <w:right w:val="none" w:sz="0" w:space="0" w:color="auto"/>
          </w:divBdr>
        </w:div>
        <w:div w:id="1956447257">
          <w:marLeft w:val="418"/>
          <w:marRight w:val="0"/>
          <w:marTop w:val="48"/>
          <w:marBottom w:val="0"/>
          <w:divBdr>
            <w:top w:val="none" w:sz="0" w:space="0" w:color="auto"/>
            <w:left w:val="none" w:sz="0" w:space="0" w:color="auto"/>
            <w:bottom w:val="none" w:sz="0" w:space="0" w:color="auto"/>
            <w:right w:val="none" w:sz="0" w:space="0" w:color="auto"/>
          </w:divBdr>
        </w:div>
      </w:divsChild>
    </w:div>
    <w:div w:id="1533571342">
      <w:bodyDiv w:val="1"/>
      <w:marLeft w:val="0"/>
      <w:marRight w:val="0"/>
      <w:marTop w:val="0"/>
      <w:marBottom w:val="0"/>
      <w:divBdr>
        <w:top w:val="none" w:sz="0" w:space="0" w:color="auto"/>
        <w:left w:val="none" w:sz="0" w:space="0" w:color="auto"/>
        <w:bottom w:val="none" w:sz="0" w:space="0" w:color="auto"/>
        <w:right w:val="none" w:sz="0" w:space="0" w:color="auto"/>
      </w:divBdr>
    </w:div>
    <w:div w:id="1534885499">
      <w:bodyDiv w:val="1"/>
      <w:marLeft w:val="0"/>
      <w:marRight w:val="0"/>
      <w:marTop w:val="0"/>
      <w:marBottom w:val="0"/>
      <w:divBdr>
        <w:top w:val="none" w:sz="0" w:space="0" w:color="auto"/>
        <w:left w:val="none" w:sz="0" w:space="0" w:color="auto"/>
        <w:bottom w:val="none" w:sz="0" w:space="0" w:color="auto"/>
        <w:right w:val="none" w:sz="0" w:space="0" w:color="auto"/>
      </w:divBdr>
    </w:div>
    <w:div w:id="1593389738">
      <w:bodyDiv w:val="1"/>
      <w:marLeft w:val="0"/>
      <w:marRight w:val="0"/>
      <w:marTop w:val="0"/>
      <w:marBottom w:val="0"/>
      <w:divBdr>
        <w:top w:val="none" w:sz="0" w:space="0" w:color="auto"/>
        <w:left w:val="none" w:sz="0" w:space="0" w:color="auto"/>
        <w:bottom w:val="none" w:sz="0" w:space="0" w:color="auto"/>
        <w:right w:val="none" w:sz="0" w:space="0" w:color="auto"/>
      </w:divBdr>
    </w:div>
    <w:div w:id="1597590728">
      <w:bodyDiv w:val="1"/>
      <w:marLeft w:val="0"/>
      <w:marRight w:val="0"/>
      <w:marTop w:val="0"/>
      <w:marBottom w:val="0"/>
      <w:divBdr>
        <w:top w:val="none" w:sz="0" w:space="0" w:color="auto"/>
        <w:left w:val="none" w:sz="0" w:space="0" w:color="auto"/>
        <w:bottom w:val="none" w:sz="0" w:space="0" w:color="auto"/>
        <w:right w:val="none" w:sz="0" w:space="0" w:color="auto"/>
      </w:divBdr>
    </w:div>
    <w:div w:id="1703631719">
      <w:bodyDiv w:val="1"/>
      <w:marLeft w:val="0"/>
      <w:marRight w:val="0"/>
      <w:marTop w:val="0"/>
      <w:marBottom w:val="0"/>
      <w:divBdr>
        <w:top w:val="none" w:sz="0" w:space="0" w:color="auto"/>
        <w:left w:val="none" w:sz="0" w:space="0" w:color="auto"/>
        <w:bottom w:val="none" w:sz="0" w:space="0" w:color="auto"/>
        <w:right w:val="none" w:sz="0" w:space="0" w:color="auto"/>
      </w:divBdr>
    </w:div>
    <w:div w:id="1799831541">
      <w:bodyDiv w:val="1"/>
      <w:marLeft w:val="0"/>
      <w:marRight w:val="0"/>
      <w:marTop w:val="0"/>
      <w:marBottom w:val="0"/>
      <w:divBdr>
        <w:top w:val="none" w:sz="0" w:space="0" w:color="auto"/>
        <w:left w:val="none" w:sz="0" w:space="0" w:color="auto"/>
        <w:bottom w:val="none" w:sz="0" w:space="0" w:color="auto"/>
        <w:right w:val="none" w:sz="0" w:space="0" w:color="auto"/>
      </w:divBdr>
    </w:div>
    <w:div w:id="1837451171">
      <w:bodyDiv w:val="1"/>
      <w:marLeft w:val="0"/>
      <w:marRight w:val="0"/>
      <w:marTop w:val="0"/>
      <w:marBottom w:val="0"/>
      <w:divBdr>
        <w:top w:val="none" w:sz="0" w:space="0" w:color="auto"/>
        <w:left w:val="none" w:sz="0" w:space="0" w:color="auto"/>
        <w:bottom w:val="none" w:sz="0" w:space="0" w:color="auto"/>
        <w:right w:val="none" w:sz="0" w:space="0" w:color="auto"/>
      </w:divBdr>
    </w:div>
    <w:div w:id="1885480611">
      <w:bodyDiv w:val="1"/>
      <w:marLeft w:val="0"/>
      <w:marRight w:val="0"/>
      <w:marTop w:val="0"/>
      <w:marBottom w:val="0"/>
      <w:divBdr>
        <w:top w:val="none" w:sz="0" w:space="0" w:color="auto"/>
        <w:left w:val="none" w:sz="0" w:space="0" w:color="auto"/>
        <w:bottom w:val="none" w:sz="0" w:space="0" w:color="auto"/>
        <w:right w:val="none" w:sz="0" w:space="0" w:color="auto"/>
      </w:divBdr>
    </w:div>
    <w:div w:id="1897665234">
      <w:bodyDiv w:val="1"/>
      <w:marLeft w:val="0"/>
      <w:marRight w:val="0"/>
      <w:marTop w:val="0"/>
      <w:marBottom w:val="0"/>
      <w:divBdr>
        <w:top w:val="none" w:sz="0" w:space="0" w:color="auto"/>
        <w:left w:val="none" w:sz="0" w:space="0" w:color="auto"/>
        <w:bottom w:val="none" w:sz="0" w:space="0" w:color="auto"/>
        <w:right w:val="none" w:sz="0" w:space="0" w:color="auto"/>
      </w:divBdr>
    </w:div>
    <w:div w:id="1905678736">
      <w:bodyDiv w:val="1"/>
      <w:marLeft w:val="0"/>
      <w:marRight w:val="0"/>
      <w:marTop w:val="0"/>
      <w:marBottom w:val="0"/>
      <w:divBdr>
        <w:top w:val="none" w:sz="0" w:space="0" w:color="auto"/>
        <w:left w:val="none" w:sz="0" w:space="0" w:color="auto"/>
        <w:bottom w:val="none" w:sz="0" w:space="0" w:color="auto"/>
        <w:right w:val="none" w:sz="0" w:space="0" w:color="auto"/>
      </w:divBdr>
    </w:div>
    <w:div w:id="1926960220">
      <w:bodyDiv w:val="1"/>
      <w:marLeft w:val="0"/>
      <w:marRight w:val="0"/>
      <w:marTop w:val="0"/>
      <w:marBottom w:val="0"/>
      <w:divBdr>
        <w:top w:val="none" w:sz="0" w:space="0" w:color="auto"/>
        <w:left w:val="none" w:sz="0" w:space="0" w:color="auto"/>
        <w:bottom w:val="none" w:sz="0" w:space="0" w:color="auto"/>
        <w:right w:val="none" w:sz="0" w:space="0" w:color="auto"/>
      </w:divBdr>
    </w:div>
    <w:div w:id="2039305699">
      <w:bodyDiv w:val="1"/>
      <w:marLeft w:val="0"/>
      <w:marRight w:val="0"/>
      <w:marTop w:val="0"/>
      <w:marBottom w:val="0"/>
      <w:divBdr>
        <w:top w:val="none" w:sz="0" w:space="0" w:color="auto"/>
        <w:left w:val="none" w:sz="0" w:space="0" w:color="auto"/>
        <w:bottom w:val="none" w:sz="0" w:space="0" w:color="auto"/>
        <w:right w:val="none" w:sz="0" w:space="0" w:color="auto"/>
      </w:divBdr>
    </w:div>
    <w:div w:id="2054304391">
      <w:bodyDiv w:val="1"/>
      <w:marLeft w:val="0"/>
      <w:marRight w:val="0"/>
      <w:marTop w:val="0"/>
      <w:marBottom w:val="0"/>
      <w:divBdr>
        <w:top w:val="none" w:sz="0" w:space="0" w:color="auto"/>
        <w:left w:val="none" w:sz="0" w:space="0" w:color="auto"/>
        <w:bottom w:val="none" w:sz="0" w:space="0" w:color="auto"/>
        <w:right w:val="none" w:sz="0" w:space="0" w:color="auto"/>
      </w:divBdr>
    </w:div>
    <w:div w:id="213092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7c6af3480a4648cf"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OFFICE\Word\Templates\Blank%20Document.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b8160eb-6933-4e6d-a96d-d4a7af75df22}"/>
      </w:docPartPr>
      <w:docPartBody>
        <w:p w14:paraId="0C2A63B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A35BAB14765240A655D3232FF9ADBD" ma:contentTypeVersion="2" ma:contentTypeDescription="Create a new document." ma:contentTypeScope="" ma:versionID="216a80bc23cf168cc56f84ef41820c90">
  <xsd:schema xmlns:xsd="http://www.w3.org/2001/XMLSchema" xmlns:xs="http://www.w3.org/2001/XMLSchema" xmlns:p="http://schemas.microsoft.com/office/2006/metadata/properties" xmlns:ns2="18fa3007-f04b-4dc5-99b3-2efe5a4bb169" targetNamespace="http://schemas.microsoft.com/office/2006/metadata/properties" ma:root="true" ma:fieldsID="1631f100a722dad3fd3facaa9c780fa8" ns2:_="">
    <xsd:import namespace="18fa3007-f04b-4dc5-99b3-2efe5a4bb16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a3007-f04b-4dc5-99b3-2efe5a4bb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2AC84C-0C91-4109-AE79-D88A21EAC4A2}">
  <ds:schemaRefs>
    <ds:schemaRef ds:uri="http://schemas.openxmlformats.org/officeDocument/2006/bibliography"/>
  </ds:schemaRefs>
</ds:datastoreItem>
</file>

<file path=customXml/itemProps2.xml><?xml version="1.0" encoding="utf-8"?>
<ds:datastoreItem xmlns:ds="http://schemas.openxmlformats.org/officeDocument/2006/customXml" ds:itemID="{F482B6F6-024D-406F-BA61-AB6BE47A9F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97468C-83FD-4878-82B8-0CF904F42935}">
  <ds:schemaRefs>
    <ds:schemaRef ds:uri="http://schemas.microsoft.com/sharepoint/v3/contenttype/forms"/>
  </ds:schemaRefs>
</ds:datastoreItem>
</file>

<file path=customXml/itemProps4.xml><?xml version="1.0" encoding="utf-8"?>
<ds:datastoreItem xmlns:ds="http://schemas.openxmlformats.org/officeDocument/2006/customXml" ds:itemID="{D2A519B3-78F8-4CFD-9851-7FE278345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a3007-f04b-4dc5-99b3-2efe5a4bb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Blank%20Document.dotx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Watkins, Jean-paul C2 (NAVY ACQ-DMS-NG PROJ MAN4)</lastModifiedBy>
  <revision>3</revision>
  <dcterms:created xsi:type="dcterms:W3CDTF">2022-11-22T12:20:00.0000000Z</dcterms:created>
  <dcterms:modified xsi:type="dcterms:W3CDTF">2022-11-22T12:21:46.1396802Z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Office">
    <vt:lpwstr> </vt:lpwstr>
  </property>
  <property fmtid="{D5CDD505-2E9C-101B-9397-08002B2CF9AE}" pid="3" name="LegalEntity">
    <vt:lpwstr> </vt:lpwstr>
  </property>
  <property fmtid="{D5CDD505-2E9C-101B-9397-08002B2CF9AE}" pid="4" name="MS_Version">
    <vt:lpwstr> </vt:lpwstr>
  </property>
  <property fmtid="{D5CDD505-2E9C-101B-9397-08002B2CF9AE}" pid="5" name="TemplafyTimeStamp">
    <vt:lpwstr> </vt:lpwstr>
  </property>
  <property fmtid="{D5CDD505-2E9C-101B-9397-08002B2CF9AE}" pid="6" name="tikitDocRef">
    <vt:lpwstr>Legal02#100564062v1[ALM1]</vt:lpwstr>
  </property>
  <property fmtid="{D5CDD505-2E9C-101B-9397-08002B2CF9AE}" pid="7" name="TemplafyTenantId">
    <vt:lpwstr> </vt:lpwstr>
  </property>
  <property fmtid="{D5CDD505-2E9C-101B-9397-08002B2CF9AE}" pid="8" name="TemplafyTemplateId">
    <vt:lpwstr> </vt:lpwstr>
  </property>
  <property fmtid="{D5CDD505-2E9C-101B-9397-08002B2CF9AE}" pid="9" name="TemplafyUserProfileId">
    <vt:lpwstr> </vt:lpwstr>
  </property>
  <property fmtid="{D5CDD505-2E9C-101B-9397-08002B2CF9AE}" pid="10" name="TemplafyLanguageCode">
    <vt:lpwstr> </vt:lpwstr>
  </property>
  <property fmtid="{D5CDD505-2E9C-101B-9397-08002B2CF9AE}" pid="11" name="MS_ProfileLang">
    <vt:lpwstr> </vt:lpwstr>
  </property>
  <property fmtid="{D5CDD505-2E9C-101B-9397-08002B2CF9AE}" pid="12" name="iManageDocumentType">
    <vt:lpwstr> </vt:lpwstr>
  </property>
  <property fmtid="{D5CDD505-2E9C-101B-9397-08002B2CF9AE}" pid="13" name="tikitDocNumber">
    <vt:lpwstr> </vt:lpwstr>
  </property>
  <property fmtid="{D5CDD505-2E9C-101B-9397-08002B2CF9AE}" pid="14" name="tikitDocDescription">
    <vt:lpwstr> </vt:lpwstr>
  </property>
  <property fmtid="{D5CDD505-2E9C-101B-9397-08002B2CF9AE}" pid="15" name="tikitAuthor">
    <vt:lpwstr> </vt:lpwstr>
  </property>
  <property fmtid="{D5CDD505-2E9C-101B-9397-08002B2CF9AE}" pid="16" name="tikitAuthorID">
    <vt:lpwstr> </vt:lpwstr>
  </property>
  <property fmtid="{D5CDD505-2E9C-101B-9397-08002B2CF9AE}" pid="17" name="tikitTypistID">
    <vt:lpwstr> </vt:lpwstr>
  </property>
  <property fmtid="{D5CDD505-2E9C-101B-9397-08002B2CF9AE}" pid="18" name="tikitClientID">
    <vt:lpwstr> </vt:lpwstr>
  </property>
  <property fmtid="{D5CDD505-2E9C-101B-9397-08002B2CF9AE}" pid="19" name="tikitMatterID">
    <vt:lpwstr> </vt:lpwstr>
  </property>
  <property fmtid="{D5CDD505-2E9C-101B-9397-08002B2CF9AE}" pid="20" name="tikitClientDescription">
    <vt:lpwstr> </vt:lpwstr>
  </property>
  <property fmtid="{D5CDD505-2E9C-101B-9397-08002B2CF9AE}" pid="21" name="tikitMatterDescription">
    <vt:lpwstr> </vt:lpwstr>
  </property>
  <property fmtid="{D5CDD505-2E9C-101B-9397-08002B2CF9AE}" pid="22" name="ContentTypeId">
    <vt:lpwstr>0x010100A8A35BAB14765240A655D3232FF9ADBD</vt:lpwstr>
  </property>
  <property fmtid="{D5CDD505-2E9C-101B-9397-08002B2CF9AE}" pid="23" name="MSIP_Label_d8a60473-494b-4586-a1bb-b0e663054676_Enabled">
    <vt:lpwstr>true</vt:lpwstr>
  </property>
  <property fmtid="{D5CDD505-2E9C-101B-9397-08002B2CF9AE}" pid="24" name="MSIP_Label_d8a60473-494b-4586-a1bb-b0e663054676_SetDate">
    <vt:lpwstr>2022-11-22T12:20:07Z</vt:lpwstr>
  </property>
  <property fmtid="{D5CDD505-2E9C-101B-9397-08002B2CF9AE}" pid="25" name="MSIP_Label_d8a60473-494b-4586-a1bb-b0e663054676_Method">
    <vt:lpwstr>Privileged</vt:lpwstr>
  </property>
  <property fmtid="{D5CDD505-2E9C-101B-9397-08002B2CF9AE}" pid="26" name="MSIP_Label_d8a60473-494b-4586-a1bb-b0e663054676_Name">
    <vt:lpwstr>MOD-1-O-‘UNMARKED’</vt:lpwstr>
  </property>
  <property fmtid="{D5CDD505-2E9C-101B-9397-08002B2CF9AE}" pid="27" name="MSIP_Label_d8a60473-494b-4586-a1bb-b0e663054676_SiteId">
    <vt:lpwstr>be7760ed-5953-484b-ae95-d0a16dfa09e5</vt:lpwstr>
  </property>
  <property fmtid="{D5CDD505-2E9C-101B-9397-08002B2CF9AE}" pid="28" name="MSIP_Label_d8a60473-494b-4586-a1bb-b0e663054676_ActionId">
    <vt:lpwstr>8dc1b071-7d91-4ba9-a55e-e371d133e9dc</vt:lpwstr>
  </property>
  <property fmtid="{D5CDD505-2E9C-101B-9397-08002B2CF9AE}" pid="29" name="MSIP_Label_d8a60473-494b-4586-a1bb-b0e663054676_ContentBits">
    <vt:lpwstr>0</vt:lpwstr>
  </property>
</Properties>
</file>