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9B12" w14:textId="21D9D21F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4995CFDD" w14:textId="59D96FEB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041141D0" w14:textId="72693CCD" w:rsidR="003E5166" w:rsidRDefault="003C0F10" w:rsidP="003C0F10">
      <w:pPr>
        <w:tabs>
          <w:tab w:val="left" w:pos="8340"/>
        </w:tabs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ab/>
      </w:r>
    </w:p>
    <w:p w14:paraId="30504291" w14:textId="4F88C0E1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049CB336" w14:textId="070E569F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53915036" w14:textId="0E6A1CF1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4E3A1A86" w14:textId="2AB77134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29B20D2A" w14:textId="31E28FB3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10E67532" w14:textId="78E05063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54AA0405" w14:textId="77777777" w:rsidR="003C0F10" w:rsidRDefault="003C0F10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2882F730" w14:textId="48F5A9C7" w:rsidR="003E5166" w:rsidRDefault="003E5166" w:rsidP="003E5166">
      <w:pPr>
        <w:spacing w:after="0"/>
        <w:rPr>
          <w:b/>
          <w:bCs/>
          <w:color w:val="1F497D"/>
          <w:sz w:val="72"/>
          <w:szCs w:val="72"/>
        </w:rPr>
      </w:pPr>
      <w:r>
        <w:rPr>
          <w:b/>
          <w:bCs/>
          <w:color w:val="1F497D"/>
          <w:sz w:val="52"/>
          <w:szCs w:val="52"/>
        </w:rPr>
        <w:t>RM6160: Non Clinical Temporary and Fixed Term Staff</w:t>
      </w:r>
    </w:p>
    <w:p w14:paraId="4351ADA0" w14:textId="07EABDCD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  <w:r w:rsidRPr="004C77A3">
        <w:rPr>
          <w:b/>
          <w:bCs/>
          <w:color w:val="1F497D"/>
          <w:sz w:val="52"/>
          <w:szCs w:val="52"/>
        </w:rPr>
        <w:t>(Short Form)</w:t>
      </w:r>
    </w:p>
    <w:p w14:paraId="7E3E6F67" w14:textId="759596C7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203CEDC5" w14:textId="5AC4E40F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0793F47E" w14:textId="071968E8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4C026174" w14:textId="727A38D3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0FABE278" w14:textId="3DEB02B3" w:rsidR="003E5166" w:rsidRDefault="003E5166" w:rsidP="003E5166">
      <w:pPr>
        <w:spacing w:after="0"/>
        <w:rPr>
          <w:b/>
          <w:bCs/>
          <w:color w:val="1F497D"/>
          <w:sz w:val="52"/>
          <w:szCs w:val="52"/>
        </w:rPr>
      </w:pPr>
    </w:p>
    <w:p w14:paraId="049AF62F" w14:textId="77777777" w:rsidR="004548F7" w:rsidRDefault="004548F7" w:rsidP="00BA3873">
      <w:pPr>
        <w:rPr>
          <w:rFonts w:ascii="Arial" w:hAnsi="Arial" w:cs="Arial"/>
          <w:b/>
          <w:sz w:val="28"/>
          <w:szCs w:val="28"/>
        </w:rPr>
      </w:pPr>
    </w:p>
    <w:p w14:paraId="5C6F88C2" w14:textId="428F0AB7" w:rsidR="00767F45" w:rsidRDefault="00F17D09" w:rsidP="00BA38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</w:t>
      </w:r>
      <w:r w:rsidR="00DF6AE9" w:rsidRPr="00CA0062">
        <w:rPr>
          <w:rFonts w:ascii="Arial" w:hAnsi="Arial" w:cs="Arial"/>
          <w:b/>
          <w:sz w:val="24"/>
          <w:szCs w:val="24"/>
        </w:rPr>
        <w:t>uidance:</w:t>
      </w:r>
      <w:r w:rsidR="00DF6AE9" w:rsidRPr="009F273E">
        <w:rPr>
          <w:rFonts w:ascii="Arial" w:hAnsi="Arial" w:cs="Arial"/>
          <w:sz w:val="24"/>
          <w:szCs w:val="24"/>
        </w:rPr>
        <w:t xml:space="preserve"> </w:t>
      </w:r>
    </w:p>
    <w:p w14:paraId="72D7C00E" w14:textId="30541C11" w:rsidR="00B95F31" w:rsidRPr="00A5209E" w:rsidRDefault="00DF6AE9" w:rsidP="00BA3873">
      <w:pPr>
        <w:rPr>
          <w:rFonts w:ascii="Arial" w:hAnsi="Arial" w:cs="Arial"/>
        </w:rPr>
      </w:pPr>
      <w:r w:rsidRPr="00A5209E">
        <w:rPr>
          <w:rFonts w:ascii="Arial" w:hAnsi="Arial" w:cs="Arial"/>
        </w:rPr>
        <w:t xml:space="preserve">This Order Form, when completed and </w:t>
      </w:r>
      <w:r w:rsidR="00F17D09" w:rsidRPr="00A5209E">
        <w:rPr>
          <w:rFonts w:ascii="Arial" w:hAnsi="Arial" w:cs="Arial"/>
        </w:rPr>
        <w:t>signed</w:t>
      </w:r>
      <w:r w:rsidRPr="00A5209E">
        <w:rPr>
          <w:rFonts w:ascii="Arial" w:hAnsi="Arial" w:cs="Arial"/>
        </w:rPr>
        <w:t xml:space="preserve"> by both</w:t>
      </w:r>
      <w:r w:rsidR="004C77A3" w:rsidRPr="00A5209E">
        <w:rPr>
          <w:rFonts w:ascii="Arial" w:hAnsi="Arial" w:cs="Arial"/>
        </w:rPr>
        <w:t xml:space="preserve"> </w:t>
      </w:r>
      <w:r w:rsidR="00E23905" w:rsidRPr="00A5209E">
        <w:rPr>
          <w:rFonts w:ascii="Arial" w:hAnsi="Arial" w:cs="Arial"/>
        </w:rPr>
        <w:t>you</w:t>
      </w:r>
      <w:r w:rsidRPr="00A5209E">
        <w:rPr>
          <w:rFonts w:ascii="Arial" w:hAnsi="Arial" w:cs="Arial"/>
        </w:rPr>
        <w:t xml:space="preserve"> </w:t>
      </w:r>
      <w:r w:rsidR="00E23905" w:rsidRPr="00A5209E">
        <w:rPr>
          <w:rFonts w:ascii="Arial" w:hAnsi="Arial" w:cs="Arial"/>
        </w:rPr>
        <w:t>(</w:t>
      </w:r>
      <w:r w:rsidR="00A00B58" w:rsidRPr="00A5209E">
        <w:rPr>
          <w:rFonts w:ascii="Arial" w:hAnsi="Arial" w:cs="Arial"/>
        </w:rPr>
        <w:t xml:space="preserve">the </w:t>
      </w:r>
      <w:r w:rsidR="00AB13DB" w:rsidRPr="00A5209E">
        <w:rPr>
          <w:rStyle w:val="Hyperlink"/>
          <w:rFonts w:ascii="Arial" w:hAnsi="Arial" w:cs="Arial"/>
          <w:color w:val="auto"/>
        </w:rPr>
        <w:t>Contracting Authority</w:t>
      </w:r>
      <w:r w:rsidR="00E23905" w:rsidRPr="00A5209E">
        <w:rPr>
          <w:rStyle w:val="Hyperlink"/>
          <w:rFonts w:ascii="Arial" w:hAnsi="Arial" w:cs="Arial"/>
          <w:color w:val="auto"/>
        </w:rPr>
        <w:t>)</w:t>
      </w:r>
      <w:r w:rsidR="00A00B58" w:rsidRPr="00A5209E">
        <w:rPr>
          <w:rFonts w:ascii="Arial" w:hAnsi="Arial" w:cs="Arial"/>
        </w:rPr>
        <w:t xml:space="preserve"> and the </w:t>
      </w:r>
      <w:bookmarkStart w:id="0" w:name="Buyer"/>
      <w:bookmarkStart w:id="1" w:name="Supplier"/>
      <w:r w:rsidR="00A00B58" w:rsidRPr="00A5209E">
        <w:rPr>
          <w:rFonts w:ascii="Arial" w:hAnsi="Arial" w:cs="Arial"/>
        </w:rPr>
        <w:t>Supplier</w:t>
      </w:r>
      <w:bookmarkEnd w:id="0"/>
      <w:bookmarkEnd w:id="1"/>
      <w:r w:rsidRPr="00A5209E">
        <w:rPr>
          <w:rFonts w:ascii="Arial" w:hAnsi="Arial" w:cs="Arial"/>
        </w:rPr>
        <w:t xml:space="preserve">, forms a </w:t>
      </w:r>
      <w:bookmarkStart w:id="2" w:name="Call"/>
      <w:r w:rsidRPr="00A5209E">
        <w:rPr>
          <w:rFonts w:ascii="Arial" w:hAnsi="Arial" w:cs="Arial"/>
        </w:rPr>
        <w:t xml:space="preserve">Call-Off </w:t>
      </w:r>
      <w:bookmarkEnd w:id="2"/>
      <w:r w:rsidRPr="00A5209E">
        <w:rPr>
          <w:rFonts w:ascii="Arial" w:hAnsi="Arial" w:cs="Arial"/>
        </w:rPr>
        <w:t>Contract</w:t>
      </w:r>
      <w:r w:rsidR="00A00B58" w:rsidRPr="00A5209E">
        <w:rPr>
          <w:rFonts w:ascii="Arial" w:hAnsi="Arial" w:cs="Arial"/>
        </w:rPr>
        <w:t xml:space="preserve"> from CCS framework RM</w:t>
      </w:r>
      <w:r w:rsidR="00AB13DB" w:rsidRPr="00A5209E">
        <w:rPr>
          <w:rFonts w:ascii="Arial" w:hAnsi="Arial" w:cs="Arial"/>
        </w:rPr>
        <w:t>6160</w:t>
      </w:r>
      <w:r w:rsidR="00A00B58" w:rsidRPr="00A5209E">
        <w:rPr>
          <w:rFonts w:ascii="Arial" w:hAnsi="Arial" w:cs="Arial"/>
        </w:rPr>
        <w:t xml:space="preserve">, </w:t>
      </w:r>
      <w:r w:rsidR="00AB13DB" w:rsidRPr="00A5209E">
        <w:rPr>
          <w:rFonts w:ascii="Arial" w:hAnsi="Arial" w:cs="Arial"/>
        </w:rPr>
        <w:t xml:space="preserve">Non Clinical Temporary and Fixed Term Staff. </w:t>
      </w:r>
      <w:r w:rsidR="004E2C35" w:rsidRPr="00A5209E">
        <w:rPr>
          <w:rFonts w:ascii="Arial" w:hAnsi="Arial" w:cs="Arial"/>
        </w:rPr>
        <w:t xml:space="preserve">Signing </w:t>
      </w:r>
      <w:r w:rsidR="001A5266" w:rsidRPr="00A5209E">
        <w:rPr>
          <w:rFonts w:ascii="Arial" w:hAnsi="Arial" w:cs="Arial"/>
        </w:rPr>
        <w:t xml:space="preserve">the </w:t>
      </w:r>
      <w:r w:rsidR="00B95F31" w:rsidRPr="00A5209E">
        <w:rPr>
          <w:rFonts w:ascii="Arial" w:hAnsi="Arial" w:cs="Arial"/>
        </w:rPr>
        <w:t>Order F</w:t>
      </w:r>
      <w:r w:rsidR="001A5266" w:rsidRPr="00A5209E">
        <w:rPr>
          <w:rFonts w:ascii="Arial" w:hAnsi="Arial" w:cs="Arial"/>
        </w:rPr>
        <w:t xml:space="preserve">orm </w:t>
      </w:r>
      <w:r w:rsidR="00A00B58" w:rsidRPr="00A5209E">
        <w:rPr>
          <w:rFonts w:ascii="Arial" w:hAnsi="Arial" w:cs="Arial"/>
        </w:rPr>
        <w:t xml:space="preserve">ensures that both parties are able to </w:t>
      </w:r>
      <w:r w:rsidR="00EE5CB7" w:rsidRPr="00A5209E">
        <w:rPr>
          <w:rFonts w:ascii="Arial" w:hAnsi="Arial" w:cs="Arial"/>
        </w:rPr>
        <w:t>c</w:t>
      </w:r>
      <w:r w:rsidR="007E56AC" w:rsidRPr="00A5209E">
        <w:rPr>
          <w:rFonts w:ascii="Arial" w:hAnsi="Arial" w:cs="Arial"/>
        </w:rPr>
        <w:t>ompliantly</w:t>
      </w:r>
      <w:r w:rsidR="00A00B58" w:rsidRPr="00A5209E">
        <w:rPr>
          <w:rFonts w:ascii="Arial" w:hAnsi="Arial" w:cs="Arial"/>
        </w:rPr>
        <w:t xml:space="preserve"> use the terms and conditions agreed </w:t>
      </w:r>
      <w:r w:rsidR="00F17D09" w:rsidRPr="00A5209E">
        <w:rPr>
          <w:rFonts w:ascii="Arial" w:hAnsi="Arial" w:cs="Arial"/>
        </w:rPr>
        <w:t xml:space="preserve">from the procurement exercise. </w:t>
      </w:r>
    </w:p>
    <w:p w14:paraId="12C8AF37" w14:textId="68366E75" w:rsidR="00BA3873" w:rsidRPr="00A5209E" w:rsidRDefault="00A00B58" w:rsidP="00BA3873">
      <w:pPr>
        <w:rPr>
          <w:rFonts w:ascii="Arial" w:hAnsi="Arial" w:cs="Arial"/>
        </w:rPr>
      </w:pPr>
      <w:r w:rsidRPr="00A5209E">
        <w:rPr>
          <w:rFonts w:ascii="Arial" w:hAnsi="Arial" w:cs="Arial"/>
        </w:rPr>
        <w:t xml:space="preserve">You can </w:t>
      </w:r>
      <w:r w:rsidR="00DF6AE9" w:rsidRPr="00A5209E">
        <w:rPr>
          <w:rFonts w:ascii="Arial" w:hAnsi="Arial" w:cs="Arial"/>
        </w:rPr>
        <w:t>complete and execute</w:t>
      </w:r>
      <w:r w:rsidRPr="00A5209E">
        <w:rPr>
          <w:rFonts w:ascii="Arial" w:hAnsi="Arial" w:cs="Arial"/>
        </w:rPr>
        <w:t xml:space="preserve"> </w:t>
      </w:r>
      <w:r w:rsidR="00B95F31" w:rsidRPr="00A5209E">
        <w:rPr>
          <w:rFonts w:ascii="Arial" w:hAnsi="Arial" w:cs="Arial"/>
        </w:rPr>
        <w:t xml:space="preserve">a </w:t>
      </w:r>
      <w:r w:rsidRPr="00A5209E">
        <w:rPr>
          <w:rFonts w:ascii="Arial" w:hAnsi="Arial" w:cs="Arial"/>
        </w:rPr>
        <w:t xml:space="preserve">Call-Off contract by </w:t>
      </w:r>
      <w:r w:rsidR="00DF6AE9" w:rsidRPr="00A5209E">
        <w:rPr>
          <w:rFonts w:ascii="Arial" w:hAnsi="Arial" w:cs="Arial"/>
        </w:rPr>
        <w:t xml:space="preserve">using an equivalent document or electronic purchase order system. </w:t>
      </w:r>
      <w:r w:rsidR="004E2C35" w:rsidRPr="00A5209E">
        <w:rPr>
          <w:rFonts w:ascii="Arial" w:hAnsi="Arial" w:cs="Arial"/>
        </w:rPr>
        <w:t xml:space="preserve"> </w:t>
      </w:r>
      <w:r w:rsidR="00DF6AE9" w:rsidRPr="00A5209E">
        <w:rPr>
          <w:rFonts w:ascii="Arial" w:hAnsi="Arial" w:cs="Arial"/>
        </w:rPr>
        <w:t>If an electronic purchasing system</w:t>
      </w:r>
      <w:r w:rsidR="004C77A3" w:rsidRPr="00A5209E">
        <w:rPr>
          <w:rFonts w:ascii="Arial" w:hAnsi="Arial" w:cs="Arial"/>
        </w:rPr>
        <w:t xml:space="preserve"> </w:t>
      </w:r>
      <w:r w:rsidR="00DF6AE9" w:rsidRPr="00A5209E">
        <w:rPr>
          <w:rFonts w:ascii="Arial" w:hAnsi="Arial" w:cs="Arial"/>
        </w:rPr>
        <w:t xml:space="preserve">is </w:t>
      </w:r>
      <w:r w:rsidR="00515947" w:rsidRPr="00A5209E">
        <w:rPr>
          <w:rFonts w:ascii="Arial" w:hAnsi="Arial" w:cs="Arial"/>
        </w:rPr>
        <w:t>used,</w:t>
      </w:r>
      <w:r w:rsidR="00DF6AE9" w:rsidRPr="00A5209E">
        <w:rPr>
          <w:rFonts w:ascii="Arial" w:hAnsi="Arial" w:cs="Arial"/>
        </w:rPr>
        <w:t xml:space="preserve"> the text below must be copied into the electronic order form</w:t>
      </w:r>
      <w:r w:rsidR="004E2C35" w:rsidRPr="00A5209E">
        <w:rPr>
          <w:rFonts w:ascii="Arial" w:hAnsi="Arial" w:cs="Arial"/>
        </w:rPr>
        <w:t>.</w:t>
      </w:r>
    </w:p>
    <w:p w14:paraId="1E1E1E4E" w14:textId="4A11E3A0" w:rsidR="00965214" w:rsidRPr="00A5209E" w:rsidRDefault="00965214" w:rsidP="00965214">
      <w:pPr>
        <w:spacing w:after="0" w:line="259" w:lineRule="auto"/>
        <w:rPr>
          <w:rFonts w:ascii="Arial" w:hAnsi="Arial" w:cs="Arial"/>
          <w:b/>
          <w:sz w:val="28"/>
          <w:szCs w:val="28"/>
        </w:rPr>
      </w:pPr>
      <w:r w:rsidRPr="00A5209E">
        <w:rPr>
          <w:rFonts w:ascii="Arial" w:hAnsi="Arial" w:cs="Arial"/>
          <w:b/>
          <w:sz w:val="28"/>
          <w:szCs w:val="28"/>
        </w:rPr>
        <w:t>Order Form Template</w:t>
      </w:r>
    </w:p>
    <w:p w14:paraId="047D470B" w14:textId="77777777" w:rsidR="000E3C0F" w:rsidRPr="008319D4" w:rsidRDefault="000E3C0F" w:rsidP="000E3C0F">
      <w:pPr>
        <w:spacing w:after="0" w:line="259" w:lineRule="auto"/>
        <w:rPr>
          <w:rFonts w:ascii="Arial" w:hAnsi="Arial" w:cs="Arial"/>
          <w:sz w:val="16"/>
          <w:szCs w:val="16"/>
        </w:rPr>
      </w:pPr>
    </w:p>
    <w:p w14:paraId="551B2705" w14:textId="33DAECB4" w:rsidR="000E3C0F" w:rsidRPr="00A5209E" w:rsidRDefault="000E3C0F" w:rsidP="000E3C0F">
      <w:pPr>
        <w:spacing w:after="0" w:line="259" w:lineRule="auto"/>
        <w:jc w:val="both"/>
        <w:rPr>
          <w:rFonts w:ascii="Arial" w:hAnsi="Arial" w:cs="Arial"/>
        </w:rPr>
      </w:pPr>
      <w:r w:rsidRPr="00A5209E">
        <w:rPr>
          <w:rFonts w:ascii="Arial" w:hAnsi="Arial" w:cs="Arial"/>
        </w:rPr>
        <w:t xml:space="preserve">This Order Form is for the provision of the Call-Off </w:t>
      </w:r>
      <w:bookmarkStart w:id="3" w:name="Deliverables"/>
      <w:r w:rsidRPr="00A5209E">
        <w:rPr>
          <w:rFonts w:ascii="Arial" w:hAnsi="Arial" w:cs="Arial"/>
        </w:rPr>
        <w:t>Deliverables</w:t>
      </w:r>
      <w:bookmarkEnd w:id="3"/>
      <w:r w:rsidRPr="00A5209E">
        <w:rPr>
          <w:rFonts w:ascii="Arial" w:hAnsi="Arial" w:cs="Arial"/>
        </w:rPr>
        <w:t xml:space="preserve">. It is issued under the </w:t>
      </w:r>
      <w:hyperlink r:id="rId8" w:history="1">
        <w:r w:rsidRPr="00A5209E">
          <w:rPr>
            <w:rStyle w:val="Hyperlink"/>
            <w:rFonts w:ascii="Arial" w:hAnsi="Arial" w:cs="Arial"/>
          </w:rPr>
          <w:t>Framework Contract RM</w:t>
        </w:r>
        <w:r w:rsidR="00AB13DB" w:rsidRPr="00A5209E">
          <w:rPr>
            <w:rStyle w:val="Hyperlink"/>
            <w:rFonts w:ascii="Arial" w:hAnsi="Arial" w:cs="Arial"/>
          </w:rPr>
          <w:t>6160</w:t>
        </w:r>
      </w:hyperlink>
      <w:r w:rsidR="00767F45" w:rsidRPr="00A5209E">
        <w:rPr>
          <w:rFonts w:ascii="Arial" w:hAnsi="Arial" w:cs="Arial"/>
        </w:rPr>
        <w:t>:</w:t>
      </w:r>
      <w:r w:rsidRPr="00A5209E">
        <w:rPr>
          <w:rFonts w:ascii="Arial" w:hAnsi="Arial" w:cs="Arial"/>
        </w:rPr>
        <w:t xml:space="preserve"> </w:t>
      </w:r>
      <w:r w:rsidR="00AB13DB" w:rsidRPr="00A5209E">
        <w:rPr>
          <w:rFonts w:ascii="Arial" w:hAnsi="Arial" w:cs="Arial"/>
        </w:rPr>
        <w:t>Non Clinical Temporary and Fixed Term Staff</w:t>
      </w:r>
      <w:r w:rsidRPr="00A5209E">
        <w:rPr>
          <w:rFonts w:ascii="Arial" w:hAnsi="Arial" w:cs="Arial"/>
        </w:rPr>
        <w:t xml:space="preserve">.   </w:t>
      </w:r>
    </w:p>
    <w:p w14:paraId="0DB4C33C" w14:textId="77777777" w:rsidR="000E3C0F" w:rsidRPr="008319D4" w:rsidRDefault="000E3C0F" w:rsidP="00965214">
      <w:pPr>
        <w:spacing w:after="0" w:line="259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81" w:rightFromText="18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516D2" w:rsidRPr="00980A34" w14:paraId="0C265F08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AB29528" w14:textId="322D02F0" w:rsidR="001516D2" w:rsidRPr="00980A34" w:rsidRDefault="00AB13DB" w:rsidP="001516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</w:rPr>
              <w:t xml:space="preserve">Contracting Authority </w:t>
            </w:r>
            <w:r w:rsidR="001516D2" w:rsidRPr="00980A34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521" w:type="dxa"/>
          </w:tcPr>
          <w:p w14:paraId="601120DB" w14:textId="4054D5B2" w:rsidR="001516D2" w:rsidRPr="00980A34" w:rsidRDefault="004548F7" w:rsidP="001516D2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Belfast Metropolitan College</w:t>
            </w:r>
          </w:p>
        </w:tc>
      </w:tr>
      <w:tr w:rsidR="006C41AA" w:rsidRPr="00980A34" w14:paraId="4B0079B7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371877D8" w14:textId="57379C6B" w:rsidR="006C41AA" w:rsidRPr="00980A34" w:rsidRDefault="00AB13DB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</w:rPr>
              <w:t xml:space="preserve">Contracting Authority </w:t>
            </w:r>
            <w:r w:rsidR="006C41AA" w:rsidRPr="00980A34">
              <w:rPr>
                <w:rFonts w:ascii="Arial" w:hAnsi="Arial" w:cs="Arial"/>
                <w:b/>
                <w:sz w:val="22"/>
                <w:szCs w:val="22"/>
              </w:rPr>
              <w:t>Contact</w:t>
            </w:r>
          </w:p>
        </w:tc>
        <w:tc>
          <w:tcPr>
            <w:tcW w:w="6521" w:type="dxa"/>
          </w:tcPr>
          <w:p w14:paraId="40BA6D50" w14:textId="0E40D78C" w:rsidR="002A6CFB" w:rsidRPr="00980A34" w:rsidRDefault="00CE1BAD" w:rsidP="006C4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</w:rPr>
              <w:t>[Redacted]</w:t>
            </w:r>
          </w:p>
        </w:tc>
      </w:tr>
      <w:tr w:rsidR="006C41AA" w:rsidRPr="00980A34" w14:paraId="614A4E79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C4A51A5" w14:textId="18C369FF" w:rsidR="006C41AA" w:rsidRPr="00980A34" w:rsidRDefault="00AB13DB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</w:rPr>
              <w:t xml:space="preserve">Contracting Authority </w:t>
            </w:r>
            <w:r w:rsidR="006C41AA" w:rsidRPr="00980A34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14:paraId="7A2B23EB" w14:textId="77777777" w:rsidR="006C41AA" w:rsidRPr="00980A34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0DEDAC" w14:textId="77777777" w:rsidR="006C41AA" w:rsidRPr="00980A34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14:paraId="218F5CA8" w14:textId="7E725FCF" w:rsid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Belfast Metropolitan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8F7">
              <w:rPr>
                <w:rFonts w:ascii="Arial" w:hAnsi="Arial" w:cs="Arial"/>
                <w:sz w:val="22"/>
                <w:szCs w:val="22"/>
              </w:rPr>
              <w:t xml:space="preserve">College, </w:t>
            </w:r>
          </w:p>
          <w:p w14:paraId="0F8E67D7" w14:textId="77777777" w:rsid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 xml:space="preserve">121 – 153 Millfield, </w:t>
            </w:r>
          </w:p>
          <w:p w14:paraId="2AD59B9C" w14:textId="6854CA6E" w:rsid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Belfast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563D0B4" w14:textId="3E81F275" w:rsidR="006C41AA" w:rsidRPr="00980A34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BT1 1HS.</w:t>
            </w:r>
          </w:p>
        </w:tc>
      </w:tr>
      <w:tr w:rsidR="006C41AA" w:rsidRPr="00980A34" w14:paraId="5CD305A8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AB163ED" w14:textId="77777777" w:rsidR="0088565F" w:rsidRPr="00980A34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 xml:space="preserve">Invoice Address </w:t>
            </w:r>
          </w:p>
          <w:p w14:paraId="0253717D" w14:textId="77777777" w:rsidR="006C41AA" w:rsidRPr="00980A34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>(if different</w:t>
            </w:r>
            <w:r w:rsidR="0088565F" w:rsidRPr="00980A3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142D1E5C" w14:textId="77777777" w:rsid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 xml:space="preserve">Finance Department, </w:t>
            </w:r>
          </w:p>
          <w:p w14:paraId="191C9880" w14:textId="77777777" w:rsid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Belfast Metropolitan </w:t>
            </w:r>
            <w:r w:rsidRPr="004548F7">
              <w:rPr>
                <w:rFonts w:ascii="Arial" w:hAnsi="Arial" w:cs="Arial"/>
                <w:sz w:val="22"/>
                <w:szCs w:val="22"/>
              </w:rPr>
              <w:t xml:space="preserve">College, </w:t>
            </w:r>
          </w:p>
          <w:p w14:paraId="01A68B5B" w14:textId="77777777" w:rsid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 xml:space="preserve">121 – 153 Millfield, </w:t>
            </w:r>
          </w:p>
          <w:p w14:paraId="50048C01" w14:textId="77777777" w:rsid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Belfast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6357B96" w14:textId="5D86CCF2" w:rsidR="006C41AA" w:rsidRPr="00980A34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BT1 1HS.</w:t>
            </w:r>
          </w:p>
        </w:tc>
      </w:tr>
    </w:tbl>
    <w:p w14:paraId="268CD88C" w14:textId="77777777" w:rsidR="00965214" w:rsidRPr="00980A34" w:rsidRDefault="00965214">
      <w:pPr>
        <w:rPr>
          <w:rFonts w:ascii="Arial" w:hAnsi="Arial" w:cs="Arial"/>
          <w:b/>
        </w:rPr>
      </w:pPr>
    </w:p>
    <w:tbl>
      <w:tblPr>
        <w:tblStyle w:val="TableGrid"/>
        <w:tblpPr w:leftFromText="181" w:rightFromText="181" w:vertAnchor="text" w:horzAnchor="margin" w:tblpY="50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C31001" w:rsidRPr="00980A34" w14:paraId="1E0F7CC8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045C3686" w14:textId="661B4BC2" w:rsidR="001516D2" w:rsidRPr="00980A34" w:rsidRDefault="001516D2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</w:rPr>
              <w:t>Supplier</w:t>
            </w:r>
            <w:r w:rsidRPr="00980A34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521" w:type="dxa"/>
          </w:tcPr>
          <w:p w14:paraId="60A466FA" w14:textId="4C1EFC43" w:rsidR="001516D2" w:rsidRPr="002A6CFB" w:rsidRDefault="002A6CFB" w:rsidP="006C41AA">
            <w:pPr>
              <w:rPr>
                <w:rFonts w:ascii="Arial" w:hAnsi="Arial" w:cs="Arial"/>
              </w:rPr>
            </w:pPr>
            <w:r w:rsidRPr="002A6CFB">
              <w:rPr>
                <w:rFonts w:ascii="Arial" w:hAnsi="Arial" w:cs="Arial"/>
              </w:rPr>
              <w:t>Randstad Solutions Limited</w:t>
            </w:r>
          </w:p>
        </w:tc>
      </w:tr>
      <w:tr w:rsidR="006C41AA" w:rsidRPr="00980A34" w14:paraId="0D8F0E6B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332D714" w14:textId="77777777" w:rsidR="006C41AA" w:rsidRPr="00980A34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>Supplier Contact</w:t>
            </w:r>
          </w:p>
        </w:tc>
        <w:tc>
          <w:tcPr>
            <w:tcW w:w="6521" w:type="dxa"/>
          </w:tcPr>
          <w:p w14:paraId="6071EC9C" w14:textId="66E727FA" w:rsidR="002A6CFB" w:rsidRPr="002A6CFB" w:rsidRDefault="00CE1BAD" w:rsidP="006C4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</w:rPr>
              <w:t>[Redacted]</w:t>
            </w:r>
          </w:p>
        </w:tc>
      </w:tr>
      <w:tr w:rsidR="006C41AA" w:rsidRPr="00980A34" w14:paraId="6F389F4E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4428C802" w14:textId="77777777" w:rsidR="006C41AA" w:rsidRPr="00980A34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6B8DC3D9" w14:textId="77777777" w:rsidR="006C41AA" w:rsidRPr="00980A34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F54D8" w14:textId="77777777" w:rsidR="006C41AA" w:rsidRPr="00980A34" w:rsidRDefault="006C41AA" w:rsidP="006C41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14:paraId="01D4BC04" w14:textId="77777777" w:rsidR="002A6CFB" w:rsidRPr="002A6CFB" w:rsidRDefault="002A6CFB" w:rsidP="002A6CFB">
            <w:pPr>
              <w:rPr>
                <w:rFonts w:ascii="Arial" w:hAnsi="Arial" w:cs="Arial"/>
              </w:rPr>
            </w:pPr>
            <w:r w:rsidRPr="002A6CFB">
              <w:rPr>
                <w:rFonts w:ascii="Arial" w:hAnsi="Arial" w:cs="Arial"/>
              </w:rPr>
              <w:t xml:space="preserve">450 Capability Green, </w:t>
            </w:r>
          </w:p>
          <w:p w14:paraId="593D8A8B" w14:textId="77777777" w:rsidR="002A6CFB" w:rsidRPr="002A6CFB" w:rsidRDefault="002A6CFB" w:rsidP="002A6CFB">
            <w:pPr>
              <w:rPr>
                <w:rFonts w:ascii="Arial" w:hAnsi="Arial" w:cs="Arial"/>
              </w:rPr>
            </w:pPr>
            <w:r w:rsidRPr="002A6CFB">
              <w:rPr>
                <w:rFonts w:ascii="Arial" w:hAnsi="Arial" w:cs="Arial"/>
              </w:rPr>
              <w:t>Luton,</w:t>
            </w:r>
          </w:p>
          <w:p w14:paraId="28F8CCF8" w14:textId="77777777" w:rsidR="002A6CFB" w:rsidRPr="002A6CFB" w:rsidRDefault="002A6CFB" w:rsidP="002A6CFB">
            <w:pPr>
              <w:rPr>
                <w:rFonts w:ascii="Arial" w:hAnsi="Arial" w:cs="Arial"/>
              </w:rPr>
            </w:pPr>
            <w:r w:rsidRPr="002A6CFB">
              <w:rPr>
                <w:rFonts w:ascii="Arial" w:hAnsi="Arial" w:cs="Arial"/>
              </w:rPr>
              <w:t xml:space="preserve">Bedfordshire, </w:t>
            </w:r>
          </w:p>
          <w:p w14:paraId="6BDC01BC" w14:textId="77777777" w:rsidR="002A6CFB" w:rsidRPr="002A6CFB" w:rsidRDefault="002A6CFB" w:rsidP="002A6CFB">
            <w:pPr>
              <w:rPr>
                <w:rFonts w:ascii="Arial" w:hAnsi="Arial" w:cs="Arial"/>
              </w:rPr>
            </w:pPr>
            <w:r w:rsidRPr="002A6CFB">
              <w:rPr>
                <w:rFonts w:ascii="Arial" w:hAnsi="Arial" w:cs="Arial"/>
              </w:rPr>
              <w:t>LU3 3LU</w:t>
            </w:r>
          </w:p>
          <w:p w14:paraId="5386A36E" w14:textId="6E7461B1" w:rsidR="006C41AA" w:rsidRPr="00980A34" w:rsidRDefault="006C41AA" w:rsidP="006C41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446633" w14:textId="77777777" w:rsidR="001516D2" w:rsidRPr="00980A34" w:rsidRDefault="001516D2">
      <w:pPr>
        <w:rPr>
          <w:rFonts w:ascii="Arial" w:hAnsi="Arial" w:cs="Arial"/>
          <w:b/>
        </w:rPr>
      </w:pPr>
    </w:p>
    <w:tbl>
      <w:tblPr>
        <w:tblStyle w:val="TableGrid"/>
        <w:tblpPr w:leftFromText="181" w:rightFromText="18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516D2" w:rsidRPr="00980A34" w14:paraId="39BBF318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D119DE6" w14:textId="77777777" w:rsidR="001516D2" w:rsidRPr="00980A34" w:rsidRDefault="001516D2" w:rsidP="001516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>Framework Ref</w:t>
            </w:r>
          </w:p>
        </w:tc>
        <w:tc>
          <w:tcPr>
            <w:tcW w:w="6521" w:type="dxa"/>
          </w:tcPr>
          <w:p w14:paraId="07E36590" w14:textId="417FA9DF" w:rsidR="001516D2" w:rsidRPr="00980A34" w:rsidRDefault="000E507B" w:rsidP="000E507B">
            <w:pPr>
              <w:rPr>
                <w:rFonts w:ascii="Arial" w:hAnsi="Arial" w:cs="Arial"/>
                <w:sz w:val="22"/>
                <w:szCs w:val="22"/>
              </w:rPr>
            </w:pPr>
            <w:r w:rsidRPr="00980A34">
              <w:rPr>
                <w:rFonts w:ascii="Arial" w:hAnsi="Arial" w:cs="Arial"/>
                <w:sz w:val="22"/>
                <w:szCs w:val="22"/>
              </w:rPr>
              <w:t>RM6160: Non Clinical Temporary and Fixed Term Staff</w:t>
            </w:r>
          </w:p>
        </w:tc>
      </w:tr>
      <w:tr w:rsidR="001516D2" w:rsidRPr="00980A34" w14:paraId="5D0D1835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A69B8E1" w14:textId="4484F2D2" w:rsidR="001516D2" w:rsidRPr="00980A34" w:rsidRDefault="001516D2" w:rsidP="001516D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Framework"/>
            <w:r w:rsidRPr="00980A34">
              <w:rPr>
                <w:rFonts w:ascii="Arial" w:hAnsi="Arial" w:cs="Arial"/>
                <w:b/>
                <w:sz w:val="22"/>
                <w:szCs w:val="22"/>
              </w:rPr>
              <w:t>Framework Lot</w:t>
            </w:r>
            <w:bookmarkEnd w:id="4"/>
          </w:p>
        </w:tc>
        <w:tc>
          <w:tcPr>
            <w:tcW w:w="6521" w:type="dxa"/>
          </w:tcPr>
          <w:p w14:paraId="44E695C9" w14:textId="5902B4EF" w:rsidR="001516D2" w:rsidRPr="00980A34" w:rsidRDefault="00643A83" w:rsidP="00643A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516D2" w:rsidRPr="00980A34" w14:paraId="3B67B870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A66A170" w14:textId="51C3FF94" w:rsidR="001516D2" w:rsidRPr="00980A34" w:rsidRDefault="001516D2" w:rsidP="001516D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Ref"/>
            <w:r w:rsidRPr="00980A34">
              <w:rPr>
                <w:rFonts w:ascii="Arial" w:hAnsi="Arial" w:cs="Arial"/>
                <w:b/>
                <w:sz w:val="22"/>
                <w:szCs w:val="22"/>
              </w:rPr>
              <w:t>Call-Off (Order) Ref</w:t>
            </w:r>
            <w:bookmarkEnd w:id="5"/>
          </w:p>
        </w:tc>
        <w:tc>
          <w:tcPr>
            <w:tcW w:w="6521" w:type="dxa"/>
          </w:tcPr>
          <w:p w14:paraId="2E4C2D04" w14:textId="37C19E58" w:rsidR="001516D2" w:rsidRPr="002A6CFB" w:rsidRDefault="002A6CFB" w:rsidP="001516D2">
            <w:pPr>
              <w:rPr>
                <w:rFonts w:ascii="Arial" w:hAnsi="Arial" w:cs="Arial"/>
                <w:sz w:val="22"/>
                <w:szCs w:val="22"/>
              </w:rPr>
            </w:pPr>
            <w:r w:rsidRPr="002A6CFB">
              <w:rPr>
                <w:rFonts w:ascii="Arial" w:hAnsi="Arial" w:cs="Arial"/>
                <w:sz w:val="22"/>
                <w:szCs w:val="22"/>
              </w:rPr>
              <w:t>Lot 1: CCHR20A29</w:t>
            </w:r>
          </w:p>
        </w:tc>
      </w:tr>
      <w:tr w:rsidR="009460CE" w:rsidRPr="00980A34" w14:paraId="2A757AD7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078B631" w14:textId="7E3A1C13" w:rsidR="009460CE" w:rsidRPr="00980A34" w:rsidRDefault="009460CE" w:rsidP="001516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Maximum Contract Value</w:t>
            </w:r>
          </w:p>
        </w:tc>
        <w:tc>
          <w:tcPr>
            <w:tcW w:w="6521" w:type="dxa"/>
          </w:tcPr>
          <w:p w14:paraId="61F260B9" w14:textId="171E5FD4" w:rsidR="009460CE" w:rsidRPr="002A6CFB" w:rsidRDefault="009460CE" w:rsidP="00151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£4,250,000 Ex-vat</w:t>
            </w:r>
          </w:p>
        </w:tc>
      </w:tr>
      <w:tr w:rsidR="001516D2" w:rsidRPr="00980A34" w14:paraId="12A0CB56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151B6D31" w14:textId="22852D92" w:rsidR="001516D2" w:rsidRPr="00980A34" w:rsidRDefault="001516D2" w:rsidP="001516D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Date"/>
            <w:r w:rsidRPr="00980A34">
              <w:rPr>
                <w:rFonts w:ascii="Arial" w:hAnsi="Arial" w:cs="Arial"/>
                <w:b/>
                <w:sz w:val="22"/>
                <w:szCs w:val="22"/>
              </w:rPr>
              <w:t>Order Date</w:t>
            </w:r>
            <w:bookmarkEnd w:id="6"/>
          </w:p>
        </w:tc>
        <w:tc>
          <w:tcPr>
            <w:tcW w:w="6521" w:type="dxa"/>
          </w:tcPr>
          <w:p w14:paraId="5838B5BC" w14:textId="757BCCED" w:rsidR="001516D2" w:rsidRPr="00980A34" w:rsidRDefault="00362DEE" w:rsidP="0015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2A6CFB">
              <w:rPr>
                <w:rFonts w:ascii="Arial" w:hAnsi="Arial" w:cs="Arial"/>
                <w:sz w:val="22"/>
                <w:szCs w:val="22"/>
              </w:rPr>
              <w:t>/11/2020</w:t>
            </w:r>
          </w:p>
        </w:tc>
      </w:tr>
      <w:tr w:rsidR="004548F7" w:rsidRPr="00980A34" w14:paraId="650BF350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36C513F0" w14:textId="26E5AAFA" w:rsidR="004548F7" w:rsidRPr="00980A34" w:rsidRDefault="004548F7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7" w:name="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Call off </w:t>
            </w:r>
            <w:r w:rsidRPr="00980A34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  <w:bookmarkEnd w:id="7"/>
          </w:p>
        </w:tc>
        <w:tc>
          <w:tcPr>
            <w:tcW w:w="6521" w:type="dxa"/>
          </w:tcPr>
          <w:p w14:paraId="419AA72B" w14:textId="36DAD57E" w:rsidR="004548F7" w:rsidRPr="00980A34" w:rsidRDefault="002A6CFB" w:rsidP="00362D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62DE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11/2020</w:t>
            </w:r>
          </w:p>
        </w:tc>
      </w:tr>
      <w:tr w:rsidR="004548F7" w:rsidRPr="00980A34" w14:paraId="48B21363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168223F9" w14:textId="2F28DE3E" w:rsidR="004548F7" w:rsidRPr="00980A34" w:rsidRDefault="004548F7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 xml:space="preserve">Call-Off </w:t>
            </w:r>
            <w:bookmarkStart w:id="8" w:name="End"/>
            <w:r w:rsidRPr="00980A34">
              <w:rPr>
                <w:rFonts w:ascii="Arial" w:hAnsi="Arial" w:cs="Arial"/>
                <w:b/>
                <w:sz w:val="22"/>
                <w:szCs w:val="22"/>
              </w:rPr>
              <w:t>Expiry Date</w:t>
            </w:r>
            <w:bookmarkEnd w:id="8"/>
          </w:p>
        </w:tc>
        <w:tc>
          <w:tcPr>
            <w:tcW w:w="6521" w:type="dxa"/>
          </w:tcPr>
          <w:p w14:paraId="19AACE1E" w14:textId="2BAC65C3" w:rsidR="004548F7" w:rsidRPr="00980A34" w:rsidRDefault="00362DEE" w:rsidP="004548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2A6CFB">
              <w:rPr>
                <w:rFonts w:ascii="Arial" w:hAnsi="Arial" w:cs="Arial"/>
                <w:sz w:val="22"/>
                <w:szCs w:val="22"/>
              </w:rPr>
              <w:t>/11/2023</w:t>
            </w:r>
          </w:p>
        </w:tc>
      </w:tr>
      <w:tr w:rsidR="004548F7" w:rsidRPr="00980A34" w14:paraId="24247349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29EA988" w14:textId="338E4CA0" w:rsidR="004548F7" w:rsidRPr="00980A34" w:rsidRDefault="004548F7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9" w:name="Extension"/>
            <w:r w:rsidRPr="00980A34">
              <w:rPr>
                <w:rFonts w:ascii="Arial" w:hAnsi="Arial" w:cs="Arial"/>
                <w:b/>
                <w:sz w:val="22"/>
                <w:szCs w:val="22"/>
              </w:rPr>
              <w:t>Extension Options</w:t>
            </w:r>
            <w:bookmarkEnd w:id="9"/>
          </w:p>
        </w:tc>
        <w:tc>
          <w:tcPr>
            <w:tcW w:w="6521" w:type="dxa"/>
          </w:tcPr>
          <w:p w14:paraId="4BDACE2D" w14:textId="0997C1C7" w:rsidR="004548F7" w:rsidRPr="00980A34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Additional Years </w:t>
            </w:r>
          </w:p>
        </w:tc>
      </w:tr>
      <w:tr w:rsidR="004548F7" w:rsidRPr="00980A34" w14:paraId="7F8ABA0E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6FA795D" w14:textId="0CC76904" w:rsidR="004548F7" w:rsidRPr="00980A34" w:rsidRDefault="004548F7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>GDPR Position</w:t>
            </w:r>
          </w:p>
        </w:tc>
        <w:tc>
          <w:tcPr>
            <w:tcW w:w="6521" w:type="dxa"/>
          </w:tcPr>
          <w:p w14:paraId="784FF0BB" w14:textId="72AEFC29" w:rsidR="002A6CFB" w:rsidRPr="00980A34" w:rsidRDefault="004548F7" w:rsidP="002A6CFB">
            <w:pPr>
              <w:rPr>
                <w:rFonts w:ascii="Arial" w:hAnsi="Arial" w:cs="Arial"/>
                <w:sz w:val="22"/>
                <w:szCs w:val="22"/>
              </w:rPr>
            </w:pPr>
            <w:r w:rsidRPr="00980A34">
              <w:rPr>
                <w:rFonts w:ascii="Arial" w:hAnsi="Arial" w:cs="Arial"/>
                <w:sz w:val="22"/>
                <w:szCs w:val="22"/>
              </w:rPr>
              <w:t>Independent Controller (default unless specified</w:t>
            </w:r>
            <w:r w:rsidR="002A6CF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20EDEEB" w14:textId="62B7351A" w:rsidR="004548F7" w:rsidRPr="00980A34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8F7" w:rsidRPr="00980A34" w14:paraId="70AA4001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0EEB3A5" w14:textId="3570165E" w:rsidR="004548F7" w:rsidRPr="00980A34" w:rsidRDefault="004548F7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>Number of roles required:</w:t>
            </w:r>
          </w:p>
        </w:tc>
        <w:tc>
          <w:tcPr>
            <w:tcW w:w="6521" w:type="dxa"/>
          </w:tcPr>
          <w:p w14:paraId="406EAB31" w14:textId="50BFDFE0" w:rsidR="004548F7" w:rsidRPr="00980A34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is no cap on the number of roles required. </w:t>
            </w:r>
          </w:p>
        </w:tc>
      </w:tr>
      <w:tr w:rsidR="004548F7" w:rsidRPr="00980A34" w14:paraId="12851864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8C0A7B5" w14:textId="63F258BF" w:rsidR="004548F7" w:rsidRPr="00980A34" w:rsidRDefault="004548F7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>Number of CV’s required:</w:t>
            </w:r>
          </w:p>
        </w:tc>
        <w:tc>
          <w:tcPr>
            <w:tcW w:w="6521" w:type="dxa"/>
          </w:tcPr>
          <w:p w14:paraId="11EED599" w14:textId="4C37E42E" w:rsidR="004548F7" w:rsidRPr="00980A34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is no cap on the number of CV’s required.</w:t>
            </w:r>
          </w:p>
        </w:tc>
      </w:tr>
      <w:tr w:rsidR="004548F7" w:rsidRPr="00980A34" w14:paraId="5D01A54F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F38EC5A" w14:textId="74F4FA5A" w:rsidR="004548F7" w:rsidRPr="00980A34" w:rsidRDefault="004548F7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lastRenderedPageBreak/>
              <w:t>Job role / Title</w:t>
            </w:r>
          </w:p>
        </w:tc>
        <w:tc>
          <w:tcPr>
            <w:tcW w:w="6521" w:type="dxa"/>
          </w:tcPr>
          <w:p w14:paraId="45D023FE" w14:textId="5CA0B1AB" w:rsidR="004548F7" w:rsidRPr="00980A34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Requested job roles and titles to be confirmed on individual placements.</w:t>
            </w:r>
          </w:p>
        </w:tc>
      </w:tr>
      <w:tr w:rsidR="004548F7" w:rsidRPr="00980A34" w14:paraId="767AF9FD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6722776B" w14:textId="3B79488C" w:rsidR="004548F7" w:rsidRPr="004548F7" w:rsidRDefault="004548F7" w:rsidP="004548F7">
            <w:pPr>
              <w:rPr>
                <w:rFonts w:ascii="Arial" w:hAnsi="Arial" w:cs="Arial"/>
                <w:b/>
                <w:sz w:val="22"/>
              </w:rPr>
            </w:pPr>
            <w:r w:rsidRPr="004548F7">
              <w:rPr>
                <w:rFonts w:ascii="Arial" w:hAnsi="Arial" w:cs="Arial"/>
                <w:b/>
                <w:sz w:val="22"/>
              </w:rPr>
              <w:t>Temporary or Fixed Term Assignment</w:t>
            </w:r>
          </w:p>
        </w:tc>
        <w:tc>
          <w:tcPr>
            <w:tcW w:w="6521" w:type="dxa"/>
          </w:tcPr>
          <w:p w14:paraId="304C3431" w14:textId="4276F423" w:rsidR="004548F7" w:rsidRPr="004548F7" w:rsidRDefault="004548F7" w:rsidP="004548F7">
            <w:pPr>
              <w:rPr>
                <w:rFonts w:ascii="Arial" w:hAnsi="Arial" w:cs="Arial"/>
                <w:sz w:val="22"/>
              </w:rPr>
            </w:pPr>
            <w:r w:rsidRPr="004548F7">
              <w:rPr>
                <w:rFonts w:ascii="Arial" w:hAnsi="Arial" w:cs="Arial"/>
                <w:sz w:val="22"/>
              </w:rPr>
              <w:t xml:space="preserve">To be confirmed on individual placements, not applicable to the overarching contract. </w:t>
            </w:r>
          </w:p>
        </w:tc>
      </w:tr>
      <w:tr w:rsidR="004548F7" w:rsidRPr="00980A34" w14:paraId="378285C1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491A6CC" w14:textId="378BA6DD" w:rsidR="004548F7" w:rsidRPr="004548F7" w:rsidRDefault="004548F7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48F7">
              <w:rPr>
                <w:rFonts w:ascii="Arial" w:hAnsi="Arial" w:cs="Arial"/>
                <w:b/>
                <w:sz w:val="22"/>
                <w:szCs w:val="22"/>
              </w:rPr>
              <w:t>Hours / Days required</w:t>
            </w:r>
          </w:p>
        </w:tc>
        <w:tc>
          <w:tcPr>
            <w:tcW w:w="6521" w:type="dxa"/>
          </w:tcPr>
          <w:p w14:paraId="72B8D2F9" w14:textId="03D7EF16" w:rsidR="004548F7" w:rsidRP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</w:rPr>
              <w:t>To be confirmed on individual placements, not applicable to the overarching contract.</w:t>
            </w:r>
          </w:p>
        </w:tc>
      </w:tr>
      <w:tr w:rsidR="004548F7" w:rsidRPr="00980A34" w14:paraId="29D4568B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4BE6C65F" w14:textId="3BD54DA1" w:rsidR="004548F7" w:rsidRPr="004548F7" w:rsidRDefault="004548F7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48F7">
              <w:rPr>
                <w:rFonts w:ascii="Arial" w:hAnsi="Arial" w:cs="Arial"/>
                <w:b/>
                <w:sz w:val="22"/>
                <w:szCs w:val="22"/>
              </w:rPr>
              <w:t>Unsocial hours required – give details</w:t>
            </w:r>
          </w:p>
        </w:tc>
        <w:tc>
          <w:tcPr>
            <w:tcW w:w="6521" w:type="dxa"/>
          </w:tcPr>
          <w:p w14:paraId="6F54F8A9" w14:textId="44E73218" w:rsidR="004548F7" w:rsidRP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</w:rPr>
              <w:t>To be confirmed on individual placements, not applicable to the overarching contract.</w:t>
            </w:r>
          </w:p>
        </w:tc>
      </w:tr>
      <w:tr w:rsidR="004548F7" w:rsidRPr="00980A34" w14:paraId="03D06316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57EE959" w14:textId="1981F1B9" w:rsidR="004548F7" w:rsidRPr="004548F7" w:rsidRDefault="001050E0" w:rsidP="004548F7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9" w:history="1">
              <w:r w:rsidR="004548F7" w:rsidRPr="002A6CFB">
                <w:rPr>
                  <w:rStyle w:val="Hyperlink"/>
                  <w:rFonts w:ascii="Arial" w:hAnsi="Arial" w:cs="Arial"/>
                  <w:b/>
                  <w:color w:val="auto"/>
                  <w:sz w:val="22"/>
                  <w:szCs w:val="22"/>
                </w:rPr>
                <w:t>High cost area supplement</w:t>
              </w:r>
            </w:hyperlink>
            <w:r w:rsidR="004548F7" w:rsidRPr="002A6CFB">
              <w:rPr>
                <w:rFonts w:ascii="Arial" w:hAnsi="Arial" w:cs="Arial"/>
                <w:b/>
                <w:sz w:val="22"/>
                <w:szCs w:val="22"/>
              </w:rPr>
              <w:t xml:space="preserve"> details</w:t>
            </w:r>
          </w:p>
        </w:tc>
        <w:tc>
          <w:tcPr>
            <w:tcW w:w="6521" w:type="dxa"/>
          </w:tcPr>
          <w:p w14:paraId="5E3BB172" w14:textId="47581AD9" w:rsidR="004548F7" w:rsidRP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00CAEC1A" w14:textId="614D0A01" w:rsidR="004548F7" w:rsidRPr="004548F7" w:rsidRDefault="004548F7" w:rsidP="004548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8F7" w:rsidRPr="00980A34" w14:paraId="1876EB38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3C7D3844" w14:textId="19ED9EC2" w:rsidR="004548F7" w:rsidRPr="004548F7" w:rsidRDefault="004548F7" w:rsidP="004548F7">
            <w:pPr>
              <w:rPr>
                <w:rFonts w:ascii="Arial" w:hAnsi="Arial" w:cs="Arial"/>
                <w:b/>
                <w:sz w:val="22"/>
              </w:rPr>
            </w:pPr>
            <w:r w:rsidRPr="004548F7">
              <w:rPr>
                <w:rFonts w:ascii="Arial" w:hAnsi="Arial" w:cs="Arial"/>
                <w:b/>
                <w:sz w:val="22"/>
              </w:rPr>
              <w:t>Immunisation requirements? (Fee type 1 only)</w:t>
            </w:r>
          </w:p>
        </w:tc>
        <w:tc>
          <w:tcPr>
            <w:tcW w:w="6521" w:type="dxa"/>
          </w:tcPr>
          <w:p w14:paraId="2AE46EAF" w14:textId="2358BB9D" w:rsidR="004548F7" w:rsidRPr="004548F7" w:rsidRDefault="004548F7" w:rsidP="004548F7">
            <w:pPr>
              <w:rPr>
                <w:rFonts w:ascii="Arial" w:hAnsi="Arial" w:cs="Arial"/>
                <w:sz w:val="22"/>
              </w:rPr>
            </w:pPr>
            <w:r w:rsidRPr="004548F7">
              <w:rPr>
                <w:rFonts w:ascii="Arial" w:hAnsi="Arial" w:cs="Arial"/>
                <w:sz w:val="22"/>
              </w:rPr>
              <w:t>To be confirmed on individual placements, not applicable to the overarching contract.</w:t>
            </w:r>
          </w:p>
        </w:tc>
      </w:tr>
    </w:tbl>
    <w:p w14:paraId="0286B4DB" w14:textId="6512AA74" w:rsidR="00980A34" w:rsidRDefault="00980A34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82205C6" w14:textId="77777777" w:rsidR="004541C9" w:rsidRDefault="004541C9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980A34" w:rsidRPr="00582CE2" w14:paraId="78DE4694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5B34A171" w14:textId="2BAF0F42" w:rsidR="00980A34" w:rsidRPr="00980A34" w:rsidRDefault="00980A34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A34">
              <w:rPr>
                <w:rFonts w:ascii="Arial" w:hAnsi="Arial" w:cs="Arial"/>
                <w:b/>
                <w:sz w:val="22"/>
                <w:szCs w:val="22"/>
              </w:rPr>
              <w:t>Pay band</w:t>
            </w:r>
          </w:p>
        </w:tc>
        <w:tc>
          <w:tcPr>
            <w:tcW w:w="6521" w:type="dxa"/>
          </w:tcPr>
          <w:p w14:paraId="0D225331" w14:textId="21663A8F" w:rsidR="00980A34" w:rsidRPr="004548F7" w:rsidRDefault="004548F7" w:rsidP="00A055C6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</w:rPr>
              <w:t>To be confirmed on individual placements, not applicable to the overarching contract.</w:t>
            </w:r>
          </w:p>
        </w:tc>
      </w:tr>
      <w:tr w:rsidR="00980A34" w:rsidRPr="00582CE2" w14:paraId="454BDED7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3AE0698E" w14:textId="05AF02AA" w:rsidR="00980A34" w:rsidRPr="00A5209E" w:rsidRDefault="00980A34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09E">
              <w:rPr>
                <w:rFonts w:ascii="Arial" w:hAnsi="Arial" w:cs="Arial"/>
                <w:b/>
                <w:sz w:val="22"/>
                <w:szCs w:val="22"/>
              </w:rPr>
              <w:t>Fee Type</w:t>
            </w:r>
          </w:p>
        </w:tc>
        <w:tc>
          <w:tcPr>
            <w:tcW w:w="6521" w:type="dxa"/>
          </w:tcPr>
          <w:p w14:paraId="1C20AA58" w14:textId="02CD50CD" w:rsidR="00980A34" w:rsidRPr="004548F7" w:rsidRDefault="00980A34" w:rsidP="004548F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 w:rsidRPr="004548F7">
              <w:rPr>
                <w:rFonts w:ascii="Arial" w:hAnsi="Arial" w:cs="Arial"/>
                <w:sz w:val="22"/>
              </w:rPr>
              <w:t>Non-Patient Facing (Disclosure)</w:t>
            </w:r>
          </w:p>
          <w:p w14:paraId="49578BCC" w14:textId="00EC8F0B" w:rsidR="004548F7" w:rsidRPr="004548F7" w:rsidRDefault="004548F7" w:rsidP="004548F7">
            <w:pPr>
              <w:pStyle w:val="ListParagraph"/>
              <w:ind w:left="1080"/>
              <w:rPr>
                <w:rFonts w:ascii="Arial" w:hAnsi="Arial" w:cs="Arial"/>
                <w:sz w:val="22"/>
              </w:rPr>
            </w:pPr>
          </w:p>
          <w:p w14:paraId="4E3E40E1" w14:textId="31FBA44F" w:rsidR="004548F7" w:rsidRPr="004548F7" w:rsidRDefault="00980A34" w:rsidP="004548F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 w:rsidRPr="004548F7">
              <w:rPr>
                <w:rFonts w:ascii="Arial" w:hAnsi="Arial" w:cs="Arial"/>
                <w:sz w:val="22"/>
              </w:rPr>
              <w:t>Non-Patient Facing (No Disclosure)</w:t>
            </w:r>
          </w:p>
        </w:tc>
      </w:tr>
      <w:tr w:rsidR="00980A34" w:rsidRPr="00582CE2" w14:paraId="61236761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0AB0B58D" w14:textId="1853754B" w:rsidR="00980A34" w:rsidRPr="00A5209E" w:rsidRDefault="00A5209E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09E">
              <w:rPr>
                <w:rFonts w:ascii="Arial" w:hAnsi="Arial" w:cs="Arial"/>
                <w:b/>
                <w:sz w:val="22"/>
                <w:szCs w:val="22"/>
              </w:rPr>
              <w:t>Expenses to be paid or benefits offered</w:t>
            </w:r>
          </w:p>
        </w:tc>
        <w:tc>
          <w:tcPr>
            <w:tcW w:w="6521" w:type="dxa"/>
          </w:tcPr>
          <w:p w14:paraId="383194BA" w14:textId="1C33CC24" w:rsidR="00980A34" w:rsidRPr="004548F7" w:rsidRDefault="004548F7" w:rsidP="00A055C6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</w:rPr>
              <w:t>To be confirmed on individual placements, not applicable to the overarching contract.</w:t>
            </w:r>
          </w:p>
        </w:tc>
      </w:tr>
      <w:tr w:rsidR="00980A34" w:rsidRPr="00582CE2" w14:paraId="75BF9B09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2641DCD7" w14:textId="27262D39" w:rsidR="00980A34" w:rsidRPr="00A5209E" w:rsidRDefault="00A5209E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09E">
              <w:rPr>
                <w:rFonts w:ascii="Arial" w:hAnsi="Arial" w:cs="Arial"/>
                <w:b/>
                <w:sz w:val="22"/>
                <w:szCs w:val="22"/>
              </w:rPr>
              <w:t>Expenses to be paid by Temporary Worker</w:t>
            </w:r>
          </w:p>
        </w:tc>
        <w:tc>
          <w:tcPr>
            <w:tcW w:w="6521" w:type="dxa"/>
          </w:tcPr>
          <w:p w14:paraId="47C1ED76" w14:textId="6B34C728" w:rsidR="00980A34" w:rsidRPr="004548F7" w:rsidRDefault="004548F7" w:rsidP="00A055C6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</w:rPr>
              <w:t>To be confirmed on individual placements, not applicable to the overarching contract.</w:t>
            </w:r>
          </w:p>
        </w:tc>
      </w:tr>
      <w:tr w:rsidR="004548F7" w:rsidRPr="00582CE2" w14:paraId="582BF5C5" w14:textId="77777777" w:rsidTr="009F39AD">
        <w:trPr>
          <w:trHeight w:val="779"/>
        </w:trPr>
        <w:tc>
          <w:tcPr>
            <w:tcW w:w="2972" w:type="dxa"/>
            <w:shd w:val="clear" w:color="auto" w:fill="D9D9D9" w:themeFill="background1" w:themeFillShade="D9"/>
          </w:tcPr>
          <w:p w14:paraId="69D8E651" w14:textId="77777777" w:rsidR="004548F7" w:rsidRDefault="004548F7" w:rsidP="00A055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Charge rates</w:t>
            </w:r>
          </w:p>
          <w:p w14:paraId="0713E019" w14:textId="77777777" w:rsidR="004548F7" w:rsidRDefault="004548F7" w:rsidP="00A055C6">
            <w:pPr>
              <w:rPr>
                <w:rFonts w:ascii="Arial" w:hAnsi="Arial" w:cs="Arial"/>
                <w:b/>
              </w:rPr>
            </w:pPr>
          </w:p>
          <w:p w14:paraId="568BE955" w14:textId="4897EAB4" w:rsidR="004548F7" w:rsidRPr="00A5209E" w:rsidRDefault="004548F7" w:rsidP="00A055C6">
            <w:pPr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</w:tcPr>
          <w:p w14:paraId="1139FFCB" w14:textId="610047D3" w:rsidR="004548F7" w:rsidRDefault="002A6CFB" w:rsidP="00A055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se</w:t>
            </w:r>
            <w:r w:rsidR="00E731F3">
              <w:rPr>
                <w:rFonts w:ascii="Arial" w:hAnsi="Arial" w:cs="Arial"/>
                <w:sz w:val="22"/>
                <w:szCs w:val="22"/>
              </w:rPr>
              <w:t>e the attached charge rates at A</w:t>
            </w:r>
            <w:r>
              <w:rPr>
                <w:rFonts w:ascii="Arial" w:hAnsi="Arial" w:cs="Arial"/>
                <w:sz w:val="22"/>
                <w:szCs w:val="22"/>
              </w:rPr>
              <w:t>nnex</w:t>
            </w:r>
            <w:r w:rsidR="00F075B2">
              <w:rPr>
                <w:rFonts w:ascii="Arial" w:hAnsi="Arial" w:cs="Arial"/>
                <w:sz w:val="22"/>
                <w:szCs w:val="22"/>
              </w:rPr>
              <w:t xml:space="preserve"> B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A13494F" w14:textId="77777777" w:rsidR="00E731F3" w:rsidRDefault="00E731F3" w:rsidP="00A055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C3BD7" w14:textId="0C86A1E2" w:rsidR="00E731F3" w:rsidRDefault="00E731F3" w:rsidP="00E731F3">
            <w:pPr>
              <w:rPr>
                <w:rFonts w:ascii="Arial" w:hAnsi="Arial" w:cs="Arial"/>
                <w:sz w:val="22"/>
                <w:szCs w:val="22"/>
              </w:rPr>
            </w:pPr>
            <w:r w:rsidRPr="00E731F3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sz w:val="22"/>
                <w:szCs w:val="22"/>
              </w:rPr>
              <w:t>note</w:t>
            </w:r>
            <w:r w:rsidRPr="00E731F3">
              <w:rPr>
                <w:rFonts w:ascii="Arial" w:hAnsi="Arial" w:cs="Arial"/>
                <w:sz w:val="22"/>
                <w:szCs w:val="22"/>
              </w:rPr>
              <w:t xml:space="preserve"> all other parts that make up a charge rate </w:t>
            </w:r>
            <w:r>
              <w:rPr>
                <w:rFonts w:ascii="Arial" w:hAnsi="Arial" w:cs="Arial"/>
                <w:sz w:val="22"/>
                <w:szCs w:val="22"/>
              </w:rPr>
              <w:t xml:space="preserve">on the CCS rate card </w:t>
            </w:r>
            <w:r w:rsidRPr="00E731F3">
              <w:rPr>
                <w:rFonts w:ascii="Arial" w:hAnsi="Arial" w:cs="Arial"/>
                <w:sz w:val="22"/>
                <w:szCs w:val="22"/>
              </w:rPr>
              <w:t>(ENIC, App Levy, Pension etc.)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1F3">
              <w:rPr>
                <w:rFonts w:ascii="Arial" w:hAnsi="Arial" w:cs="Arial"/>
                <w:sz w:val="22"/>
                <w:szCs w:val="22"/>
              </w:rPr>
              <w:t>will be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1F3">
              <w:rPr>
                <w:rFonts w:ascii="Arial" w:hAnsi="Arial" w:cs="Arial"/>
                <w:sz w:val="22"/>
                <w:szCs w:val="22"/>
              </w:rPr>
              <w:t xml:space="preserve">calculated as per current </w:t>
            </w:r>
            <w:r>
              <w:rPr>
                <w:rFonts w:ascii="Arial" w:hAnsi="Arial" w:cs="Arial"/>
                <w:sz w:val="22"/>
                <w:szCs w:val="22"/>
              </w:rPr>
              <w:t>regulations</w:t>
            </w:r>
            <w:r w:rsidRPr="00E731F3">
              <w:rPr>
                <w:rFonts w:ascii="Arial" w:hAnsi="Arial" w:cs="Arial"/>
                <w:sz w:val="22"/>
                <w:szCs w:val="22"/>
              </w:rPr>
              <w:t xml:space="preserve"> at time of placement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834CF3" w14:textId="323C858B" w:rsidR="00E731F3" w:rsidRPr="004548F7" w:rsidRDefault="00E731F3" w:rsidP="00E731F3">
            <w:pPr>
              <w:rPr>
                <w:rFonts w:ascii="Arial" w:hAnsi="Arial" w:cs="Arial"/>
                <w:sz w:val="22"/>
                <w:szCs w:val="22"/>
              </w:rPr>
            </w:pPr>
            <w:r w:rsidRPr="00E731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209E" w:rsidRPr="00582CE2" w14:paraId="1036B5C4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0A15643F" w14:textId="11B500EA" w:rsidR="00A5209E" w:rsidRPr="00A5209E" w:rsidRDefault="00A5209E" w:rsidP="00A055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09E">
              <w:rPr>
                <w:rFonts w:ascii="Arial" w:hAnsi="Arial" w:cs="Arial"/>
                <w:b/>
                <w:sz w:val="22"/>
                <w:szCs w:val="22"/>
              </w:rPr>
              <w:t>Method of payment</w:t>
            </w:r>
          </w:p>
        </w:tc>
        <w:tc>
          <w:tcPr>
            <w:tcW w:w="6521" w:type="dxa"/>
          </w:tcPr>
          <w:p w14:paraId="71B38D0A" w14:textId="41623A78" w:rsidR="00A5209E" w:rsidRPr="004548F7" w:rsidRDefault="004548F7" w:rsidP="00A055C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be confirmed between Contacting authority and Supplier post award. </w:t>
            </w:r>
          </w:p>
        </w:tc>
      </w:tr>
      <w:tr w:rsidR="00AB07A7" w:rsidRPr="00582CE2" w14:paraId="61830B32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4C077F02" w14:textId="6DB1CF0B" w:rsidR="00AB07A7" w:rsidRPr="00A5209E" w:rsidRDefault="00AB07A7" w:rsidP="00A055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Discounts applicable</w:t>
            </w:r>
          </w:p>
        </w:tc>
        <w:tc>
          <w:tcPr>
            <w:tcW w:w="6521" w:type="dxa"/>
          </w:tcPr>
          <w:p w14:paraId="56A05FAB" w14:textId="11777F84" w:rsidR="00AB07A7" w:rsidRPr="004548F7" w:rsidRDefault="004548F7" w:rsidP="00A055C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Not applicable. </w:t>
            </w:r>
          </w:p>
        </w:tc>
      </w:tr>
    </w:tbl>
    <w:p w14:paraId="62302413" w14:textId="0165C6AB" w:rsidR="00980A34" w:rsidRDefault="00980A34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8833CF4" w14:textId="77777777" w:rsidR="004541C9" w:rsidRDefault="004541C9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1" w:rightFromText="181" w:vertAnchor="text" w:horzAnchor="margin" w:tblpY="1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A5209E" w:rsidRPr="00980A34" w14:paraId="0A446174" w14:textId="77777777" w:rsidTr="00380C9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B254264" w14:textId="0AF654A9" w:rsidR="00A5209E" w:rsidRPr="00980A34" w:rsidRDefault="00A5209E" w:rsidP="00A520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Criminal records check</w:t>
            </w:r>
          </w:p>
        </w:tc>
        <w:tc>
          <w:tcPr>
            <w:tcW w:w="6521" w:type="dxa"/>
          </w:tcPr>
          <w:p w14:paraId="5F70ED16" w14:textId="73CE19DA" w:rsidR="00FF6DF7" w:rsidRPr="00980A34" w:rsidRDefault="004548F7" w:rsidP="00A5209E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To be confirmed on individual placements, not applicable to the overarching contract.</w:t>
            </w:r>
          </w:p>
        </w:tc>
      </w:tr>
      <w:tr w:rsidR="00FF6DF7" w:rsidRPr="00980A34" w14:paraId="08BE7D14" w14:textId="77777777" w:rsidTr="00380C97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82FC2D9" w14:textId="2072194D" w:rsidR="00FF6DF7" w:rsidRDefault="00FF6DF7" w:rsidP="00A520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BPSS required</w:t>
            </w:r>
          </w:p>
        </w:tc>
        <w:tc>
          <w:tcPr>
            <w:tcW w:w="6521" w:type="dxa"/>
          </w:tcPr>
          <w:p w14:paraId="0B52F645" w14:textId="141BB19A" w:rsidR="00FF6DF7" w:rsidRPr="00E731F3" w:rsidRDefault="004548F7" w:rsidP="00FF6DF7">
            <w:pPr>
              <w:rPr>
                <w:rFonts w:ascii="Arial" w:hAnsi="Arial" w:cs="Arial"/>
                <w:sz w:val="22"/>
                <w:szCs w:val="22"/>
              </w:rPr>
            </w:pPr>
            <w:r w:rsidRPr="00E731F3">
              <w:rPr>
                <w:rFonts w:ascii="Arial" w:hAnsi="Arial" w:cs="Arial"/>
                <w:sz w:val="22"/>
                <w:szCs w:val="22"/>
              </w:rPr>
              <w:t>To be confirmed on individual placements, not applicable to the overarching contract.</w:t>
            </w:r>
          </w:p>
        </w:tc>
      </w:tr>
      <w:tr w:rsidR="00A5209E" w:rsidRPr="00980A34" w14:paraId="13E09B84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7C5B474D" w14:textId="7CBE59D6" w:rsidR="00A5209E" w:rsidRPr="00980A34" w:rsidRDefault="00A5209E" w:rsidP="00A520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State required clearance and background checking</w:t>
            </w:r>
          </w:p>
        </w:tc>
        <w:tc>
          <w:tcPr>
            <w:tcW w:w="6521" w:type="dxa"/>
          </w:tcPr>
          <w:p w14:paraId="54CB3C99" w14:textId="5808250D" w:rsidR="00A5209E" w:rsidRPr="00980A34" w:rsidRDefault="004548F7" w:rsidP="00A5209E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To be confirmed on individual placements, not applicable to the overarching contract.</w:t>
            </w:r>
          </w:p>
        </w:tc>
      </w:tr>
      <w:tr w:rsidR="00A5209E" w:rsidRPr="00980A34" w14:paraId="22F2529C" w14:textId="77777777" w:rsidTr="00380C97">
        <w:tc>
          <w:tcPr>
            <w:tcW w:w="2972" w:type="dxa"/>
            <w:shd w:val="clear" w:color="auto" w:fill="D9D9D9" w:themeFill="background1" w:themeFillShade="D9"/>
          </w:tcPr>
          <w:p w14:paraId="2ABAD9F1" w14:textId="07BAE7E5" w:rsidR="00A5209E" w:rsidRPr="00980A34" w:rsidRDefault="00A5209E" w:rsidP="00A520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Skills, mandatory training and qualifications necessary for the role</w:t>
            </w:r>
          </w:p>
        </w:tc>
        <w:tc>
          <w:tcPr>
            <w:tcW w:w="6521" w:type="dxa"/>
          </w:tcPr>
          <w:p w14:paraId="5D47B4DC" w14:textId="4DC3C904" w:rsidR="00A5209E" w:rsidRPr="00980A34" w:rsidRDefault="004548F7" w:rsidP="00A5209E">
            <w:pPr>
              <w:rPr>
                <w:rFonts w:ascii="Arial" w:hAnsi="Arial" w:cs="Arial"/>
                <w:sz w:val="22"/>
                <w:szCs w:val="22"/>
              </w:rPr>
            </w:pPr>
            <w:r w:rsidRPr="004548F7">
              <w:rPr>
                <w:rFonts w:ascii="Arial" w:hAnsi="Arial" w:cs="Arial"/>
                <w:sz w:val="22"/>
                <w:szCs w:val="22"/>
              </w:rPr>
              <w:t>To be confirmed on individual placements, not applicable to the overarching contract.</w:t>
            </w:r>
          </w:p>
        </w:tc>
      </w:tr>
    </w:tbl>
    <w:p w14:paraId="761B2DF5" w14:textId="4DDC87C5" w:rsidR="004541C9" w:rsidRDefault="004541C9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0515E6B" w14:textId="77777777" w:rsidR="004541C9" w:rsidRDefault="004541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C4CA121" w14:textId="107BBD55" w:rsidR="00582CE2" w:rsidRPr="00DF6AE9" w:rsidRDefault="00582CE2" w:rsidP="00582CE2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F6AE9">
        <w:rPr>
          <w:rFonts w:ascii="Arial" w:hAnsi="Arial" w:cs="Arial"/>
          <w:b/>
          <w:sz w:val="24"/>
          <w:szCs w:val="24"/>
        </w:rPr>
        <w:lastRenderedPageBreak/>
        <w:t>CALL-OFF INCORPORATED TERMS</w:t>
      </w:r>
    </w:p>
    <w:p w14:paraId="5B8DC930" w14:textId="1F523861" w:rsidR="00E675AA" w:rsidRPr="00AB07A7" w:rsidRDefault="00582CE2" w:rsidP="00E675AA">
      <w:pPr>
        <w:keepNext/>
        <w:spacing w:after="0" w:line="259" w:lineRule="auto"/>
        <w:rPr>
          <w:rFonts w:ascii="Arial" w:hAnsi="Arial" w:cs="Arial"/>
        </w:rPr>
      </w:pPr>
      <w:r w:rsidRPr="00AB07A7">
        <w:rPr>
          <w:rFonts w:ascii="Arial" w:hAnsi="Arial" w:cs="Arial"/>
        </w:rPr>
        <w:t>The Call-Off Contract</w:t>
      </w:r>
      <w:r w:rsidR="00E23905" w:rsidRPr="00AB07A7">
        <w:rPr>
          <w:rFonts w:ascii="Arial" w:hAnsi="Arial" w:cs="Arial"/>
        </w:rPr>
        <w:t xml:space="preserve">, </w:t>
      </w:r>
      <w:r w:rsidR="00CA0062" w:rsidRPr="00AB07A7">
        <w:rPr>
          <w:rFonts w:ascii="Arial" w:hAnsi="Arial" w:cs="Arial"/>
        </w:rPr>
        <w:t>Core Terms and Joint Schedules’</w:t>
      </w:r>
      <w:r w:rsidR="00E675AA" w:rsidRPr="00AB07A7">
        <w:rPr>
          <w:rFonts w:ascii="Arial" w:hAnsi="Arial" w:cs="Arial"/>
        </w:rPr>
        <w:t xml:space="preserve"> for this </w:t>
      </w:r>
      <w:r w:rsidR="00AC2F05" w:rsidRPr="00AB07A7">
        <w:rPr>
          <w:rFonts w:ascii="Arial" w:hAnsi="Arial" w:cs="Arial"/>
        </w:rPr>
        <w:t>F</w:t>
      </w:r>
      <w:r w:rsidR="00E675AA" w:rsidRPr="00AB07A7">
        <w:rPr>
          <w:rFonts w:ascii="Arial" w:hAnsi="Arial" w:cs="Arial"/>
        </w:rPr>
        <w:t xml:space="preserve">ramework </w:t>
      </w:r>
      <w:r w:rsidR="00AC2F05" w:rsidRPr="00AB07A7">
        <w:rPr>
          <w:rFonts w:ascii="Arial" w:hAnsi="Arial" w:cs="Arial"/>
        </w:rPr>
        <w:t>C</w:t>
      </w:r>
      <w:r w:rsidR="00767F45" w:rsidRPr="00AB07A7">
        <w:rPr>
          <w:rFonts w:ascii="Arial" w:hAnsi="Arial" w:cs="Arial"/>
        </w:rPr>
        <w:t xml:space="preserve">ontract </w:t>
      </w:r>
      <w:r w:rsidR="00E675AA" w:rsidRPr="00AB07A7">
        <w:rPr>
          <w:rFonts w:ascii="Arial" w:hAnsi="Arial" w:cs="Arial"/>
        </w:rPr>
        <w:t xml:space="preserve">are available on the CCS </w:t>
      </w:r>
      <w:r w:rsidR="003A772F" w:rsidRPr="00AB07A7">
        <w:rPr>
          <w:rFonts w:ascii="Arial" w:hAnsi="Arial" w:cs="Arial"/>
        </w:rPr>
        <w:t>website. Visit</w:t>
      </w:r>
      <w:r w:rsidR="00E675AA" w:rsidRPr="00AB07A7">
        <w:rPr>
          <w:rFonts w:ascii="Arial" w:hAnsi="Arial" w:cs="Arial"/>
        </w:rPr>
        <w:t xml:space="preserve"> the </w:t>
      </w:r>
      <w:hyperlink r:id="rId10" w:history="1">
        <w:r w:rsidR="000E507B" w:rsidRPr="00AB07A7">
          <w:rPr>
            <w:rStyle w:val="Hyperlink"/>
            <w:rFonts w:ascii="Arial" w:hAnsi="Arial" w:cs="Arial"/>
          </w:rPr>
          <w:t>Non Clinical Temporary and Fixed Term Staff</w:t>
        </w:r>
      </w:hyperlink>
      <w:r w:rsidR="00E675AA" w:rsidRPr="00AB07A7">
        <w:rPr>
          <w:rFonts w:ascii="Arial" w:hAnsi="Arial" w:cs="Arial"/>
        </w:rPr>
        <w:t xml:space="preserve"> </w:t>
      </w:r>
      <w:r w:rsidR="00AC2F05" w:rsidRPr="00AB07A7">
        <w:rPr>
          <w:rFonts w:ascii="Arial" w:hAnsi="Arial" w:cs="Arial"/>
        </w:rPr>
        <w:t xml:space="preserve">web </w:t>
      </w:r>
      <w:r w:rsidR="00E675AA" w:rsidRPr="00AB07A7">
        <w:rPr>
          <w:rFonts w:ascii="Arial" w:hAnsi="Arial" w:cs="Arial"/>
        </w:rPr>
        <w:t>page and click the ‘Documents’ tab to view and download these.</w:t>
      </w:r>
      <w:r w:rsidR="00E675AA" w:rsidRPr="00AB07A7" w:rsidDel="00BC40D4">
        <w:rPr>
          <w:rFonts w:ascii="Arial" w:hAnsi="Arial" w:cs="Arial"/>
        </w:rPr>
        <w:t xml:space="preserve"> </w:t>
      </w:r>
    </w:p>
    <w:p w14:paraId="1BFE82EA" w14:textId="77777777" w:rsidR="004541C9" w:rsidRPr="00DF2308" w:rsidRDefault="004541C9" w:rsidP="00B75B15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6EDC551B" w14:textId="604A2E7B" w:rsidR="006C41AA" w:rsidRDefault="006C41AA" w:rsidP="006C41AA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6C41AA"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18E6050B" w14:textId="77777777" w:rsidR="004541C9" w:rsidRDefault="004541C9" w:rsidP="006C41AA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C41AA" w14:paraId="15E39F27" w14:textId="77777777" w:rsidTr="00380C97">
        <w:trPr>
          <w:trHeight w:val="340"/>
        </w:trPr>
        <w:tc>
          <w:tcPr>
            <w:tcW w:w="9493" w:type="dxa"/>
            <w:shd w:val="clear" w:color="auto" w:fill="D9D9D9" w:themeFill="background1" w:themeFillShade="D9"/>
          </w:tcPr>
          <w:p w14:paraId="15B9D9C2" w14:textId="77777777" w:rsidR="006C41AA" w:rsidRDefault="00513498" w:rsidP="006C41AA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 requirement</w:t>
            </w:r>
          </w:p>
        </w:tc>
      </w:tr>
      <w:tr w:rsidR="00513498" w14:paraId="3E2D1891" w14:textId="77777777" w:rsidTr="000E3A1B">
        <w:trPr>
          <w:trHeight w:val="1030"/>
        </w:trPr>
        <w:tc>
          <w:tcPr>
            <w:tcW w:w="9493" w:type="dxa"/>
          </w:tcPr>
          <w:p w14:paraId="747B6DB8" w14:textId="3BD94E93" w:rsidR="001D1614" w:rsidRPr="007F7106" w:rsidRDefault="007F7106" w:rsidP="00F075B2">
            <w:pPr>
              <w:spacing w:line="259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T</w:t>
            </w:r>
            <w:r w:rsidR="004A6B74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he</w:t>
            </w:r>
            <w:r w:rsidR="0088565F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 requirements </w:t>
            </w:r>
            <w:r w:rsidR="004A6B74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to be </w:t>
            </w:r>
            <w:r w:rsidR="0088565F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delivered</w:t>
            </w:r>
            <w:r w:rsidR="00C2192A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 by the Supplier to the </w:t>
            </w:r>
            <w:r w:rsidR="000E507B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Contracting Authority</w:t>
            </w:r>
            <w:r w:rsidR="0088565F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C2192A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in </w:t>
            </w:r>
            <w:r w:rsidR="00B659BD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accordance with</w:t>
            </w:r>
            <w:r w:rsidR="000E507B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 the</w:t>
            </w:r>
            <w:r w:rsidR="00B659BD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hyperlink r:id="rId11" w:history="1">
              <w:r w:rsidR="004A6B74" w:rsidRPr="00AB07A7">
                <w:rPr>
                  <w:rStyle w:val="Hyperlink"/>
                  <w:rFonts w:ascii="Arial" w:hAnsi="Arial" w:cs="Arial"/>
                  <w:sz w:val="22"/>
                  <w:szCs w:val="22"/>
                </w:rPr>
                <w:t>Framework</w:t>
              </w:r>
              <w:r w:rsidR="003A772F" w:rsidRPr="00AB07A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FD33D2" w:rsidRPr="00AB07A7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="003A772F" w:rsidRPr="00AB07A7">
                <w:rPr>
                  <w:rStyle w:val="Hyperlink"/>
                  <w:rFonts w:ascii="Arial" w:hAnsi="Arial" w:cs="Arial"/>
                  <w:sz w:val="22"/>
                  <w:szCs w:val="22"/>
                </w:rPr>
                <w:t>pecification</w:t>
              </w:r>
            </w:hyperlink>
            <w:r w:rsidR="000E3A1B">
              <w:rPr>
                <w:rStyle w:val="Hyperlink"/>
                <w:rFonts w:ascii="Arial" w:hAnsi="Arial" w:cs="Arial"/>
              </w:rPr>
              <w:t>,</w:t>
            </w:r>
            <w:r w:rsidR="003A772F" w:rsidRPr="00AB07A7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the Statement of Re</w:t>
            </w:r>
            <w:r w:rsidR="000E3A1B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quirement</w:t>
            </w:r>
            <w:r w:rsidR="00F075B2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0E3A1B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within the bid pack </w:t>
            </w:r>
            <w:r w:rsidR="00F075B2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(Annex A) </w:t>
            </w:r>
            <w:r w:rsidR="000E3A1B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and supplier bid submission</w:t>
            </w:r>
            <w:r w:rsidR="00F075B2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 (Annex B)</w:t>
            </w:r>
            <w:r w:rsidR="000E3A1B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 xml:space="preserve">. </w:t>
            </w:r>
          </w:p>
        </w:tc>
      </w:tr>
    </w:tbl>
    <w:p w14:paraId="5EA4DF55" w14:textId="77777777" w:rsidR="00F075B2" w:rsidRDefault="00F075B2" w:rsidP="00F075B2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bookmarkStart w:id="10" w:name="_xraukwuezq6d" w:colFirst="0" w:colLast="0"/>
      <w:bookmarkEnd w:id="10"/>
    </w:p>
    <w:p w14:paraId="7AE7B1D8" w14:textId="77777777" w:rsidR="00F075B2" w:rsidRPr="00F075B2" w:rsidRDefault="00F075B2" w:rsidP="00F075B2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F075B2">
        <w:rPr>
          <w:rFonts w:ascii="Arial" w:hAnsi="Arial" w:cs="Arial"/>
          <w:b/>
          <w:sz w:val="24"/>
          <w:szCs w:val="24"/>
        </w:rPr>
        <w:t>Annex A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F075B2">
        <w:rPr>
          <w:rFonts w:ascii="Arial" w:hAnsi="Arial" w:cs="Arial"/>
          <w:b/>
          <w:sz w:val="24"/>
          <w:szCs w:val="24"/>
        </w:rPr>
        <w:t>Statement of Requirements</w:t>
      </w:r>
    </w:p>
    <w:p w14:paraId="793C05B7" w14:textId="7FB7DFA4" w:rsidR="00F075B2" w:rsidRPr="00F075B2" w:rsidRDefault="00F075B2" w:rsidP="00F075B2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68A0CA7" w14:textId="77777777" w:rsidR="001D1614" w:rsidRPr="001A45DF" w:rsidRDefault="001D1614" w:rsidP="001D1614">
      <w:pPr>
        <w:pStyle w:val="Heading1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spacing w:after="120"/>
        <w:textAlignment w:val="baseline"/>
        <w:rPr>
          <w:sz w:val="32"/>
          <w:szCs w:val="32"/>
        </w:rPr>
      </w:pPr>
      <w:bookmarkStart w:id="11" w:name="_Toc297554772"/>
      <w:bookmarkStart w:id="12" w:name="_Toc368573027"/>
      <w:bookmarkStart w:id="13" w:name="_Toc41472271"/>
      <w:r w:rsidRPr="001A45DF">
        <w:rPr>
          <w:caps w:val="0"/>
          <w:sz w:val="32"/>
          <w:szCs w:val="32"/>
        </w:rPr>
        <w:t>PURPOSE</w:t>
      </w:r>
      <w:bookmarkEnd w:id="11"/>
      <w:bookmarkEnd w:id="12"/>
      <w:bookmarkEnd w:id="13"/>
    </w:p>
    <w:p w14:paraId="79141ED5" w14:textId="77777777" w:rsidR="001D1614" w:rsidRPr="00A53FE3" w:rsidRDefault="001D1614" w:rsidP="001D1614">
      <w:pPr>
        <w:pStyle w:val="Heading2"/>
        <w:tabs>
          <w:tab w:val="num" w:pos="709"/>
        </w:tabs>
        <w:overflowPunct w:val="0"/>
        <w:autoSpaceDE w:val="0"/>
        <w:autoSpaceDN w:val="0"/>
        <w:spacing w:after="120"/>
        <w:ind w:left="709" w:hanging="709"/>
        <w:textAlignment w:val="baseline"/>
        <w:rPr>
          <w:sz w:val="24"/>
          <w:szCs w:val="24"/>
        </w:rPr>
      </w:pPr>
      <w:bookmarkStart w:id="14" w:name="_Toc296415791"/>
      <w:r w:rsidRPr="00A53FE3">
        <w:rPr>
          <w:sz w:val="24"/>
          <w:szCs w:val="24"/>
        </w:rPr>
        <w:t>Belfast Met (BMC) aims to establish a</w:t>
      </w:r>
      <w:r>
        <w:rPr>
          <w:sz w:val="24"/>
          <w:szCs w:val="24"/>
        </w:rPr>
        <w:t xml:space="preserve">n </w:t>
      </w:r>
      <w:r w:rsidRPr="00A53FE3">
        <w:rPr>
          <w:sz w:val="24"/>
          <w:szCs w:val="24"/>
        </w:rPr>
        <w:t>agreement for the provision of Temporary Agency Workers across the College, over the contract term for fixed period/s of time to be agreed at the time of the worker/s engagement.</w:t>
      </w:r>
    </w:p>
    <w:bookmarkEnd w:id="14"/>
    <w:p w14:paraId="6ADA078A" w14:textId="610E47E3" w:rsidR="001D1614" w:rsidRDefault="001D1614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7BE8B896" w14:textId="03D05076" w:rsidR="000E3A1B" w:rsidRDefault="00CE1BAD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  <w:r>
        <w:rPr>
          <w:rFonts w:eastAsia="Times New Roman" w:cs="Arial"/>
          <w:b/>
          <w:lang w:eastAsia="en-GB"/>
        </w:rPr>
        <w:t>[Redacted]</w:t>
      </w:r>
    </w:p>
    <w:p w14:paraId="3DBA7EAE" w14:textId="5DA00757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5F466AB2" w14:textId="2A2EDB4C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629FC986" w14:textId="27067E1F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3F213511" w14:textId="385E8223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1CB356AD" w14:textId="587C0A52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29A4C09C" w14:textId="2DB3A453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5FB3DA9E" w14:textId="34941E3C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3158B8FE" w14:textId="76CD04B4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323A7397" w14:textId="01D4CA9D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5B6D8B6D" w14:textId="1E40A604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312DA3D9" w14:textId="45A84535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6373DBDE" w14:textId="38EA6249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12C96689" w14:textId="6DA1E268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7677A378" w14:textId="0D9ABE98" w:rsidR="000E3A1B" w:rsidRDefault="000E3A1B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048E9681" w14:textId="45264415" w:rsidR="00F075B2" w:rsidRDefault="00F075B2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680EA395" w14:textId="7DA4D2EE" w:rsidR="00F075B2" w:rsidRDefault="00F075B2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373CEE5F" w14:textId="7F16319D" w:rsidR="00F075B2" w:rsidRDefault="00F075B2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117A59C9" w14:textId="141EEC13" w:rsidR="00F075B2" w:rsidRDefault="00F075B2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01536049" w14:textId="77777777" w:rsidR="00F075B2" w:rsidRPr="00A24A48" w:rsidRDefault="00F075B2" w:rsidP="001D1614">
      <w:pPr>
        <w:pStyle w:val="Heading2"/>
        <w:numPr>
          <w:ilvl w:val="0"/>
          <w:numId w:val="0"/>
        </w:numPr>
        <w:tabs>
          <w:tab w:val="num" w:pos="862"/>
        </w:tabs>
        <w:overflowPunct w:val="0"/>
        <w:autoSpaceDE w:val="0"/>
        <w:autoSpaceDN w:val="0"/>
        <w:spacing w:after="120"/>
        <w:textAlignment w:val="baseline"/>
        <w:rPr>
          <w:sz w:val="24"/>
        </w:rPr>
      </w:pPr>
    </w:p>
    <w:p w14:paraId="14EAD34A" w14:textId="77777777" w:rsidR="000E3A1B" w:rsidRDefault="000E3A1B" w:rsidP="001D1614">
      <w:pPr>
        <w:tabs>
          <w:tab w:val="left" w:pos="1392"/>
        </w:tabs>
        <w:ind w:left="142" w:hanging="12"/>
        <w:rPr>
          <w:rFonts w:eastAsia="STZhongsong"/>
          <w:b/>
          <w:sz w:val="32"/>
          <w:szCs w:val="20"/>
        </w:rPr>
      </w:pPr>
    </w:p>
    <w:p w14:paraId="1808ACAF" w14:textId="715C0151" w:rsidR="001D1614" w:rsidRDefault="00F075B2" w:rsidP="001D1614">
      <w:pPr>
        <w:tabs>
          <w:tab w:val="left" w:pos="1392"/>
        </w:tabs>
        <w:ind w:left="142" w:hanging="12"/>
        <w:rPr>
          <w:rFonts w:eastAsia="STZhongsong"/>
          <w:b/>
          <w:sz w:val="32"/>
          <w:szCs w:val="20"/>
        </w:rPr>
      </w:pPr>
      <w:r>
        <w:rPr>
          <w:rFonts w:eastAsia="STZhongsong"/>
          <w:b/>
          <w:sz w:val="32"/>
          <w:szCs w:val="20"/>
        </w:rPr>
        <w:t xml:space="preserve">Annex B - </w:t>
      </w:r>
      <w:r w:rsidR="000E3A1B" w:rsidRPr="000E3A1B">
        <w:rPr>
          <w:rFonts w:eastAsia="STZhongsong"/>
          <w:b/>
          <w:sz w:val="32"/>
          <w:szCs w:val="20"/>
        </w:rPr>
        <w:t xml:space="preserve">Supplier </w:t>
      </w:r>
      <w:r w:rsidR="000E3A1B">
        <w:rPr>
          <w:rFonts w:eastAsia="STZhongsong"/>
          <w:b/>
          <w:sz w:val="32"/>
          <w:szCs w:val="20"/>
        </w:rPr>
        <w:t>S</w:t>
      </w:r>
      <w:r w:rsidR="000E3A1B" w:rsidRPr="000E3A1B">
        <w:rPr>
          <w:rFonts w:eastAsia="STZhongsong"/>
          <w:b/>
          <w:sz w:val="32"/>
          <w:szCs w:val="20"/>
        </w:rPr>
        <w:t>ubmission</w:t>
      </w:r>
    </w:p>
    <w:p w14:paraId="79C200C4" w14:textId="5C9562A8" w:rsidR="000E3A1B" w:rsidRDefault="00CE1BAD" w:rsidP="001D1614">
      <w:pPr>
        <w:tabs>
          <w:tab w:val="left" w:pos="1392"/>
        </w:tabs>
        <w:ind w:left="142" w:hanging="12"/>
        <w:rPr>
          <w:rFonts w:eastAsia="STZhongsong"/>
          <w:szCs w:val="20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1EDA09B2" w14:textId="194C1117" w:rsidR="000E3A1B" w:rsidRDefault="000E3A1B" w:rsidP="001D1614">
      <w:pPr>
        <w:tabs>
          <w:tab w:val="left" w:pos="1392"/>
        </w:tabs>
        <w:ind w:left="142" w:hanging="12"/>
        <w:rPr>
          <w:rFonts w:eastAsia="STZhongsong"/>
          <w:szCs w:val="20"/>
        </w:rPr>
      </w:pPr>
    </w:p>
    <w:p w14:paraId="0AE94224" w14:textId="08287DA7" w:rsidR="000E3A1B" w:rsidRDefault="000E3A1B" w:rsidP="001D1614">
      <w:pPr>
        <w:tabs>
          <w:tab w:val="left" w:pos="1392"/>
        </w:tabs>
        <w:ind w:left="142" w:hanging="12"/>
        <w:rPr>
          <w:rFonts w:eastAsia="STZhongsong"/>
          <w:szCs w:val="20"/>
        </w:rPr>
      </w:pPr>
    </w:p>
    <w:p w14:paraId="42BC9486" w14:textId="49C0E81A" w:rsidR="000E3A1B" w:rsidRDefault="000E3A1B" w:rsidP="001D1614">
      <w:pPr>
        <w:tabs>
          <w:tab w:val="left" w:pos="1392"/>
        </w:tabs>
        <w:ind w:left="142" w:hanging="12"/>
        <w:rPr>
          <w:rFonts w:eastAsia="STZhongsong"/>
          <w:szCs w:val="20"/>
        </w:rPr>
      </w:pPr>
    </w:p>
    <w:p w14:paraId="0B21D33C" w14:textId="309BB4CB" w:rsidR="000E3A1B" w:rsidRDefault="000E3A1B" w:rsidP="001D1614">
      <w:pPr>
        <w:tabs>
          <w:tab w:val="left" w:pos="1392"/>
        </w:tabs>
        <w:ind w:left="142" w:hanging="12"/>
        <w:rPr>
          <w:rFonts w:eastAsia="STZhongsong"/>
          <w:szCs w:val="20"/>
        </w:rPr>
      </w:pPr>
    </w:p>
    <w:p w14:paraId="6C7FB942" w14:textId="5E95C780" w:rsidR="000E3A1B" w:rsidRDefault="000E3A1B" w:rsidP="001D1614">
      <w:pPr>
        <w:tabs>
          <w:tab w:val="left" w:pos="1392"/>
        </w:tabs>
        <w:ind w:left="142" w:hanging="12"/>
        <w:rPr>
          <w:rFonts w:eastAsia="STZhongsong"/>
          <w:szCs w:val="20"/>
        </w:rPr>
      </w:pPr>
    </w:p>
    <w:p w14:paraId="3049DB33" w14:textId="4AB3943B" w:rsidR="000E3A1B" w:rsidRDefault="000E3A1B" w:rsidP="001D1614">
      <w:pPr>
        <w:tabs>
          <w:tab w:val="left" w:pos="1392"/>
        </w:tabs>
        <w:ind w:left="142" w:hanging="12"/>
        <w:rPr>
          <w:rFonts w:eastAsia="STZhongsong"/>
          <w:szCs w:val="20"/>
        </w:rPr>
      </w:pPr>
    </w:p>
    <w:p w14:paraId="66F2FEB7" w14:textId="1D47A557" w:rsidR="000E3A1B" w:rsidRPr="000E3A1B" w:rsidRDefault="000E3A1B" w:rsidP="001D1614">
      <w:pPr>
        <w:tabs>
          <w:tab w:val="left" w:pos="1392"/>
        </w:tabs>
        <w:ind w:left="142" w:hanging="12"/>
        <w:rPr>
          <w:rFonts w:eastAsia="STZhongsong"/>
          <w:szCs w:val="20"/>
        </w:rPr>
      </w:pPr>
    </w:p>
    <w:p w14:paraId="25E8A5A5" w14:textId="20561765" w:rsidR="001D1614" w:rsidRDefault="001D1614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1CC439A" w14:textId="09A8592F" w:rsidR="001D1614" w:rsidRDefault="001D1614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722131" w14:textId="68A0B33B" w:rsidR="001D1614" w:rsidRDefault="001D1614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808CDB3" w14:textId="18081529" w:rsidR="001D1614" w:rsidRDefault="001D1614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92072C8" w14:textId="047C873E" w:rsidR="001D1614" w:rsidRDefault="001D1614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06CFD8" w14:textId="6630F905" w:rsidR="00524CEB" w:rsidRDefault="00524CE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4EA4E9D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A619624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9E39DE0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D9F2BD9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972960B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A31B6C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DCE109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F6D927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3F297ED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2084293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0BABC0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B239BF2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ED67FC" w14:textId="314B2E26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C362A1E" w14:textId="66EB6116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EF868AC" w14:textId="52D242E6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75D56A2" w14:textId="651C99C5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54408B7" w14:textId="1FB26CEF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B09D043" w14:textId="0D0A133C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90AA8E" w14:textId="78181B0D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FD2CCA4" w14:textId="045A97C7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27D644B" w14:textId="742B7FFC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3D9D2BE" w14:textId="07D40DC6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8C3CC43" w14:textId="2AA007B7" w:rsidR="00CE1BAD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0AF8116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29D251D" w14:textId="77777777" w:rsidR="000E3A1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6D51438" w14:textId="361D53BD" w:rsidR="00524CEB" w:rsidRDefault="000E3A1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Price Submission</w:t>
      </w:r>
    </w:p>
    <w:p w14:paraId="469B30D1" w14:textId="6AC903B5" w:rsidR="00524CEB" w:rsidRDefault="00524CE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D27B14" w14:textId="37F5A8F8" w:rsidR="00524CEB" w:rsidRDefault="00CE1BAD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6D27131E" w14:textId="15490ABD" w:rsidR="00524CEB" w:rsidRDefault="00524CE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D4E9C36" w14:textId="40A22B1A" w:rsidR="00524CEB" w:rsidRDefault="00524CE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85F7590" w14:textId="5BF91B50" w:rsidR="00524CEB" w:rsidRDefault="00524CE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23CA6F6" w14:textId="1049256A" w:rsidR="00524CEB" w:rsidRDefault="00524CEB" w:rsidP="00F1494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A705A83" w14:textId="77777777" w:rsidR="004A4734" w:rsidRPr="008319D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16"/>
          <w:szCs w:val="16"/>
        </w:rPr>
      </w:pPr>
      <w:r w:rsidRPr="00563DA5">
        <w:rPr>
          <w:rFonts w:ascii="Arial" w:hAnsi="Arial" w:cs="Arial"/>
          <w:sz w:val="24"/>
          <w:szCs w:val="24"/>
        </w:rPr>
        <w:t xml:space="preserve">  </w:t>
      </w:r>
    </w:p>
    <w:p w14:paraId="134D0785" w14:textId="77777777" w:rsidR="008D16D4" w:rsidRPr="008319D4" w:rsidRDefault="008D16D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GridTable2-Accent11"/>
        <w:tblW w:w="9498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2957"/>
        <w:gridCol w:w="1544"/>
        <w:gridCol w:w="3483"/>
      </w:tblGrid>
      <w:tr w:rsidR="004A4734" w:rsidRPr="009F273E" w14:paraId="17008827" w14:textId="77777777" w:rsidTr="00380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1" w:type="dxa"/>
            <w:gridSpan w:val="2"/>
          </w:tcPr>
          <w:p w14:paraId="0D262813" w14:textId="77777777" w:rsidR="004A4734" w:rsidRPr="00AB07A7" w:rsidRDefault="00CB39A4">
            <w:pPr>
              <w:pStyle w:val="MarginText"/>
              <w:ind w:left="0"/>
              <w:rPr>
                <w:rFonts w:cs="Arial"/>
                <w:sz w:val="22"/>
                <w:szCs w:val="22"/>
              </w:rPr>
            </w:pPr>
            <w:r w:rsidRPr="00AB07A7">
              <w:rPr>
                <w:rFonts w:cs="Arial"/>
                <w:b/>
                <w:sz w:val="22"/>
                <w:szCs w:val="22"/>
              </w:rPr>
              <w:t>For and on behalf of the Supplier:</w:t>
            </w:r>
          </w:p>
        </w:tc>
        <w:tc>
          <w:tcPr>
            <w:tcW w:w="5027" w:type="dxa"/>
            <w:gridSpan w:val="2"/>
          </w:tcPr>
          <w:p w14:paraId="0BDC2192" w14:textId="59BA0464" w:rsidR="004A4734" w:rsidRPr="00AB07A7" w:rsidRDefault="00CB39A4" w:rsidP="000E507B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B07A7">
              <w:rPr>
                <w:rFonts w:ascii="Arial" w:hAnsi="Arial" w:cs="Arial"/>
                <w:b/>
                <w:sz w:val="22"/>
                <w:szCs w:val="22"/>
              </w:rPr>
              <w:t xml:space="preserve">For and on behalf of the </w:t>
            </w:r>
            <w:r w:rsidR="000E507B" w:rsidRPr="00AB07A7">
              <w:rPr>
                <w:rFonts w:ascii="Arial" w:hAnsi="Arial" w:cs="Arial"/>
                <w:b/>
                <w:sz w:val="22"/>
                <w:szCs w:val="22"/>
              </w:rPr>
              <w:t>Contracting Authority</w:t>
            </w:r>
            <w:r w:rsidRPr="00AB07A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A4734" w:rsidRPr="009F273E" w14:paraId="2588F0E8" w14:textId="77777777" w:rsidTr="00380C97">
        <w:trPr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dxa"/>
          </w:tcPr>
          <w:p w14:paraId="0A73F6C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</w:tcPr>
          <w:p w14:paraId="1DCF8D2F" w14:textId="7C7E6AA5" w:rsidR="004A4734" w:rsidRPr="009F273E" w:rsidRDefault="00CE1BAD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lang w:eastAsia="en-GB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3E6809D5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</w:tcPr>
          <w:p w14:paraId="384E0E57" w14:textId="1DBD866D" w:rsidR="004A4734" w:rsidRPr="009F273E" w:rsidRDefault="00CE1BAD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lang w:eastAsia="en-GB"/>
              </w:rPr>
              <w:t>[Redacted]</w:t>
            </w:r>
          </w:p>
        </w:tc>
      </w:tr>
      <w:tr w:rsidR="004A4734" w:rsidRPr="009F273E" w14:paraId="744CD035" w14:textId="77777777" w:rsidTr="00380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dxa"/>
          </w:tcPr>
          <w:p w14:paraId="118EAAD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shd w:val="clear" w:color="auto" w:fill="auto"/>
          </w:tcPr>
          <w:p w14:paraId="293C69D9" w14:textId="7B42FB67" w:rsidR="004A4734" w:rsidRPr="009F273E" w:rsidRDefault="00CE1BAD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lang w:eastAsia="en-GB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0DB573B7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483" w:type="dxa"/>
            <w:shd w:val="clear" w:color="auto" w:fill="auto"/>
          </w:tcPr>
          <w:p w14:paraId="0524EAB5" w14:textId="7F76378B" w:rsidR="004A4734" w:rsidRPr="009F273E" w:rsidRDefault="00CE1BAD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lang w:eastAsia="en-GB"/>
              </w:rPr>
              <w:t>[Redacted]</w:t>
            </w:r>
          </w:p>
        </w:tc>
      </w:tr>
      <w:tr w:rsidR="004A4734" w:rsidRPr="009F273E" w14:paraId="6EB77E18" w14:textId="77777777" w:rsidTr="00380C97">
        <w:trPr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dxa"/>
          </w:tcPr>
          <w:p w14:paraId="41DC72C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</w:tcPr>
          <w:p w14:paraId="412BD099" w14:textId="04A35C55" w:rsidR="004A4734" w:rsidRPr="009F273E" w:rsidRDefault="00CE1BAD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lang w:eastAsia="en-GB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48EE600A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483" w:type="dxa"/>
          </w:tcPr>
          <w:p w14:paraId="7BE72D08" w14:textId="0A551A05" w:rsidR="004A4734" w:rsidRPr="009F273E" w:rsidRDefault="00CE1BAD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bookmarkStart w:id="15" w:name="_GoBack"/>
            <w:r>
              <w:rPr>
                <w:rFonts w:eastAsia="Times New Roman" w:cs="Arial"/>
                <w:b/>
                <w:lang w:eastAsia="en-GB"/>
              </w:rPr>
              <w:t>[Redacted]</w:t>
            </w:r>
            <w:bookmarkEnd w:id="15"/>
          </w:p>
        </w:tc>
      </w:tr>
      <w:tr w:rsidR="004A4734" w:rsidRPr="009F273E" w14:paraId="1FCEABA1" w14:textId="77777777" w:rsidTr="00380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4" w:type="dxa"/>
          </w:tcPr>
          <w:p w14:paraId="106D580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shd w:val="clear" w:color="auto" w:fill="auto"/>
          </w:tcPr>
          <w:p w14:paraId="4DD6E161" w14:textId="0336039B" w:rsidR="004A4734" w:rsidRPr="009F273E" w:rsidRDefault="00CE1BAD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20/11/2020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4" w:type="dxa"/>
          </w:tcPr>
          <w:p w14:paraId="4791221A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483" w:type="dxa"/>
            <w:shd w:val="clear" w:color="auto" w:fill="auto"/>
          </w:tcPr>
          <w:p w14:paraId="25D60D73" w14:textId="39A0480E" w:rsidR="004A4734" w:rsidRPr="009F273E" w:rsidRDefault="00CE1BAD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09-12-20</w:t>
            </w:r>
          </w:p>
        </w:tc>
      </w:tr>
    </w:tbl>
    <w:p w14:paraId="36A665FF" w14:textId="76784545" w:rsidR="004A4734" w:rsidRDefault="00380C97" w:rsidP="008319D4">
      <w:r>
        <w:t xml:space="preserve"> </w:t>
      </w:r>
    </w:p>
    <w:sectPr w:rsidR="004A4734" w:rsidSect="003C0F1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6EC3C" w14:textId="77777777" w:rsidR="001050E0" w:rsidRDefault="001050E0">
      <w:pPr>
        <w:spacing w:after="0" w:line="240" w:lineRule="auto"/>
      </w:pPr>
      <w:r>
        <w:separator/>
      </w:r>
    </w:p>
  </w:endnote>
  <w:endnote w:type="continuationSeparator" w:id="0">
    <w:p w14:paraId="048B5717" w14:textId="77777777" w:rsidR="001050E0" w:rsidRDefault="0010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13DF" w14:textId="0C7FC3B8" w:rsidR="00AC0970" w:rsidRPr="00623ED5" w:rsidRDefault="005B7837" w:rsidP="003C0F10">
    <w:pPr>
      <w:tabs>
        <w:tab w:val="center" w:pos="4513"/>
        <w:tab w:val="right" w:pos="9026"/>
      </w:tabs>
      <w:spacing w:after="0" w:line="240" w:lineRule="auto"/>
      <w:ind w:firstLine="360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6E1838">
      <w:rPr>
        <w:rFonts w:ascii="Arial" w:hAnsi="Arial" w:cs="Arial"/>
        <w:noProof/>
        <w:sz w:val="20"/>
        <w:szCs w:val="20"/>
      </w:rPr>
      <w:t>6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752E01F7" w14:textId="77777777" w:rsidR="004A4734" w:rsidRPr="00623ED5" w:rsidRDefault="00AC0970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41983" w14:textId="07DA4DB4" w:rsidR="008C5D8E" w:rsidRPr="008A7999" w:rsidRDefault="003C0F10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1312" behindDoc="1" locked="0" layoutInCell="1" allowOverlap="1" wp14:anchorId="101C06F6" wp14:editId="44F8786A">
          <wp:simplePos x="0" y="0"/>
          <wp:positionH relativeFrom="column">
            <wp:posOffset>-615950</wp:posOffset>
          </wp:positionH>
          <wp:positionV relativeFrom="paragraph">
            <wp:posOffset>11430</wp:posOffset>
          </wp:positionV>
          <wp:extent cx="1289050" cy="1035050"/>
          <wp:effectExtent l="0" t="0" r="6350" b="0"/>
          <wp:wrapTight wrapText="bothSides">
            <wp:wrapPolygon edited="0">
              <wp:start x="0" y="0"/>
              <wp:lineTo x="0" y="21070"/>
              <wp:lineTo x="21387" y="21070"/>
              <wp:lineTo x="2138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10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6432" behindDoc="0" locked="0" layoutInCell="1" allowOverlap="1" wp14:anchorId="1D68CDA1" wp14:editId="1C956495">
          <wp:simplePos x="0" y="0"/>
          <wp:positionH relativeFrom="column">
            <wp:posOffset>4485005</wp:posOffset>
          </wp:positionH>
          <wp:positionV relativeFrom="paragraph">
            <wp:posOffset>-327660</wp:posOffset>
          </wp:positionV>
          <wp:extent cx="2041525" cy="698500"/>
          <wp:effectExtent l="0" t="0" r="0" b="635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ocurement in part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39FB8" w14:textId="6757B53F" w:rsidR="008C5D8E" w:rsidRPr="00623ED5" w:rsidRDefault="003C0F10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4384" behindDoc="1" locked="0" layoutInCell="1" allowOverlap="1" wp14:anchorId="26E1461E" wp14:editId="30900ACC">
          <wp:simplePos x="0" y="0"/>
          <wp:positionH relativeFrom="column">
            <wp:posOffset>3927475</wp:posOffset>
          </wp:positionH>
          <wp:positionV relativeFrom="paragraph">
            <wp:posOffset>117475</wp:posOffset>
          </wp:positionV>
          <wp:extent cx="2593340" cy="609600"/>
          <wp:effectExtent l="0" t="0" r="0" b="0"/>
          <wp:wrapTight wrapText="bothSides">
            <wp:wrapPolygon edited="0">
              <wp:start x="0" y="0"/>
              <wp:lineTo x="0" y="20925"/>
              <wp:lineTo x="21420" y="20925"/>
              <wp:lineTo x="2142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ub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34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D8E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5FD30340" w14:textId="45A81247" w:rsidR="008C5D8E" w:rsidRPr="00623ED5" w:rsidRDefault="003C0F10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CE1BAD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3D308AF0" w14:textId="1AAC842F" w:rsidR="008C5D8E" w:rsidRPr="00623ED5" w:rsidRDefault="008C5D8E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194B2" w14:textId="77777777" w:rsidR="001050E0" w:rsidRDefault="001050E0">
      <w:pPr>
        <w:spacing w:after="0" w:line="240" w:lineRule="auto"/>
      </w:pPr>
      <w:r>
        <w:separator/>
      </w:r>
    </w:p>
  </w:footnote>
  <w:footnote w:type="continuationSeparator" w:id="0">
    <w:p w14:paraId="79AA28C6" w14:textId="77777777" w:rsidR="001050E0" w:rsidRDefault="0010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6626" w14:textId="3547EECA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 xml:space="preserve">Order Form </w:t>
    </w:r>
    <w:r w:rsidR="00965214">
      <w:rPr>
        <w:rFonts w:ascii="Arial" w:hAnsi="Arial" w:cs="Arial"/>
        <w:b/>
        <w:sz w:val="20"/>
      </w:rPr>
      <w:t>(Short Form)</w:t>
    </w:r>
    <w:r w:rsidR="003E5166" w:rsidRPr="003E5166">
      <w:rPr>
        <w:noProof/>
      </w:rPr>
      <w:t xml:space="preserve"> </w:t>
    </w:r>
  </w:p>
  <w:p w14:paraId="2CF2A57C" w14:textId="48C41505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AB5438">
      <w:rPr>
        <w:rFonts w:ascii="Arial" w:hAnsi="Arial" w:cs="Arial"/>
        <w:sz w:val="20"/>
        <w:szCs w:val="16"/>
        <w:lang w:eastAsia="en-GB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B43C" w14:textId="6A0477B8" w:rsidR="009A32AB" w:rsidRPr="00623ED5" w:rsidRDefault="003C0F10" w:rsidP="009A32AB">
    <w:pPr>
      <w:pStyle w:val="Header"/>
      <w:rPr>
        <w:rFonts w:ascii="Arial" w:hAnsi="Arial" w:cs="Arial"/>
        <w:sz w:val="20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E67A3D4" wp14:editId="6ABBE8B2">
          <wp:simplePos x="0" y="0"/>
          <wp:positionH relativeFrom="column">
            <wp:posOffset>4451350</wp:posOffset>
          </wp:positionH>
          <wp:positionV relativeFrom="paragraph">
            <wp:posOffset>-216535</wp:posOffset>
          </wp:positionV>
          <wp:extent cx="1974850" cy="1351400"/>
          <wp:effectExtent l="0" t="0" r="635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135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2AB" w:rsidRPr="00623ED5">
      <w:rPr>
        <w:rFonts w:ascii="Arial" w:hAnsi="Arial" w:cs="Arial"/>
        <w:b/>
        <w:sz w:val="20"/>
      </w:rPr>
      <w:t>Framework Schedule 6 (Order Form and Call-Off Schedules)</w:t>
    </w:r>
    <w:r w:rsidRPr="003C0F10">
      <w:rPr>
        <w:noProof/>
        <w:lang w:eastAsia="en-GB"/>
      </w:rPr>
      <w:t xml:space="preserve"> </w:t>
    </w:r>
  </w:p>
  <w:p w14:paraId="5B642562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039"/>
    <w:multiLevelType w:val="hybridMultilevel"/>
    <w:tmpl w:val="9B324BA8"/>
    <w:lvl w:ilvl="0" w:tplc="B9C2C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C6D"/>
    <w:multiLevelType w:val="hybridMultilevel"/>
    <w:tmpl w:val="6EB6D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D392C"/>
    <w:multiLevelType w:val="hybridMultilevel"/>
    <w:tmpl w:val="09402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F2D9A"/>
    <w:multiLevelType w:val="hybridMultilevel"/>
    <w:tmpl w:val="6EB6D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407"/>
        </w:tabs>
        <w:ind w:left="4407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68486CE8"/>
    <w:multiLevelType w:val="hybridMultilevel"/>
    <w:tmpl w:val="1EECCF34"/>
    <w:lvl w:ilvl="0" w:tplc="F148E36A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0806"/>
    <w:multiLevelType w:val="hybridMultilevel"/>
    <w:tmpl w:val="D79C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7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7"/>
  </w:num>
  <w:num w:numId="5">
    <w:abstractNumId w:val="6"/>
  </w:num>
  <w:num w:numId="6">
    <w:abstractNumId w:val="16"/>
  </w:num>
  <w:num w:numId="7">
    <w:abstractNumId w:val="12"/>
  </w:num>
  <w:num w:numId="8">
    <w:abstractNumId w:val="4"/>
  </w:num>
  <w:num w:numId="9">
    <w:abstractNumId w:val="16"/>
  </w:num>
  <w:num w:numId="10">
    <w:abstractNumId w:val="0"/>
  </w:num>
  <w:num w:numId="11">
    <w:abstractNumId w:val="1"/>
  </w:num>
  <w:num w:numId="12">
    <w:abstractNumId w:val="8"/>
  </w:num>
  <w:num w:numId="13">
    <w:abstractNumId w:val="11"/>
  </w:num>
  <w:num w:numId="14">
    <w:abstractNumId w:val="5"/>
  </w:num>
  <w:num w:numId="15">
    <w:abstractNumId w:val="3"/>
  </w:num>
  <w:num w:numId="16">
    <w:abstractNumId w:val="14"/>
  </w:num>
  <w:num w:numId="17">
    <w:abstractNumId w:val="2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15276"/>
    <w:rsid w:val="00051257"/>
    <w:rsid w:val="00057E65"/>
    <w:rsid w:val="00066570"/>
    <w:rsid w:val="00073F16"/>
    <w:rsid w:val="000748AC"/>
    <w:rsid w:val="000851C3"/>
    <w:rsid w:val="000851E7"/>
    <w:rsid w:val="000978E0"/>
    <w:rsid w:val="000B008B"/>
    <w:rsid w:val="000C5273"/>
    <w:rsid w:val="000C6319"/>
    <w:rsid w:val="000C665A"/>
    <w:rsid w:val="000D2F16"/>
    <w:rsid w:val="000E3A1B"/>
    <w:rsid w:val="000E3C0F"/>
    <w:rsid w:val="000E507B"/>
    <w:rsid w:val="00102990"/>
    <w:rsid w:val="001050E0"/>
    <w:rsid w:val="00110B3B"/>
    <w:rsid w:val="00126B1A"/>
    <w:rsid w:val="001320FC"/>
    <w:rsid w:val="00135066"/>
    <w:rsid w:val="001516D2"/>
    <w:rsid w:val="00162E55"/>
    <w:rsid w:val="00163281"/>
    <w:rsid w:val="00183C8E"/>
    <w:rsid w:val="00184977"/>
    <w:rsid w:val="0019744D"/>
    <w:rsid w:val="001A5266"/>
    <w:rsid w:val="001B1967"/>
    <w:rsid w:val="001C2FEE"/>
    <w:rsid w:val="001D084D"/>
    <w:rsid w:val="001D1614"/>
    <w:rsid w:val="001D5DED"/>
    <w:rsid w:val="001E0368"/>
    <w:rsid w:val="001F5ED4"/>
    <w:rsid w:val="00205B8C"/>
    <w:rsid w:val="0023162A"/>
    <w:rsid w:val="002322D4"/>
    <w:rsid w:val="00232CB2"/>
    <w:rsid w:val="002373AF"/>
    <w:rsid w:val="0025267E"/>
    <w:rsid w:val="002676D8"/>
    <w:rsid w:val="002A6CFB"/>
    <w:rsid w:val="002B3C24"/>
    <w:rsid w:val="002C5708"/>
    <w:rsid w:val="002D516A"/>
    <w:rsid w:val="00320E52"/>
    <w:rsid w:val="00326507"/>
    <w:rsid w:val="003321CB"/>
    <w:rsid w:val="00343885"/>
    <w:rsid w:val="0035372D"/>
    <w:rsid w:val="00362DEE"/>
    <w:rsid w:val="003676A4"/>
    <w:rsid w:val="00376B2C"/>
    <w:rsid w:val="00377A85"/>
    <w:rsid w:val="003809EC"/>
    <w:rsid w:val="00380C97"/>
    <w:rsid w:val="00387001"/>
    <w:rsid w:val="003926EC"/>
    <w:rsid w:val="003A2178"/>
    <w:rsid w:val="003A772F"/>
    <w:rsid w:val="003B1167"/>
    <w:rsid w:val="003B6DBC"/>
    <w:rsid w:val="003C0F10"/>
    <w:rsid w:val="003D7714"/>
    <w:rsid w:val="003E37E3"/>
    <w:rsid w:val="003E5166"/>
    <w:rsid w:val="003E73F1"/>
    <w:rsid w:val="003E7CBB"/>
    <w:rsid w:val="003F397E"/>
    <w:rsid w:val="00400E8E"/>
    <w:rsid w:val="004304AB"/>
    <w:rsid w:val="0043710D"/>
    <w:rsid w:val="004423CC"/>
    <w:rsid w:val="00453D64"/>
    <w:rsid w:val="004541C9"/>
    <w:rsid w:val="00454500"/>
    <w:rsid w:val="004548F7"/>
    <w:rsid w:val="00463599"/>
    <w:rsid w:val="00475B07"/>
    <w:rsid w:val="00486B15"/>
    <w:rsid w:val="004A4734"/>
    <w:rsid w:val="004A6B74"/>
    <w:rsid w:val="004C77A3"/>
    <w:rsid w:val="004E2C35"/>
    <w:rsid w:val="00501A54"/>
    <w:rsid w:val="00501CB2"/>
    <w:rsid w:val="00513498"/>
    <w:rsid w:val="00515947"/>
    <w:rsid w:val="00522A16"/>
    <w:rsid w:val="0052301B"/>
    <w:rsid w:val="00524CEB"/>
    <w:rsid w:val="00531C4D"/>
    <w:rsid w:val="005324F9"/>
    <w:rsid w:val="0053394A"/>
    <w:rsid w:val="00534924"/>
    <w:rsid w:val="00540E3F"/>
    <w:rsid w:val="0054312C"/>
    <w:rsid w:val="00544956"/>
    <w:rsid w:val="005503B8"/>
    <w:rsid w:val="00552229"/>
    <w:rsid w:val="0056265C"/>
    <w:rsid w:val="00563DA5"/>
    <w:rsid w:val="00581ED7"/>
    <w:rsid w:val="00582CE2"/>
    <w:rsid w:val="005A5F58"/>
    <w:rsid w:val="005B7837"/>
    <w:rsid w:val="005C0DB5"/>
    <w:rsid w:val="005C303F"/>
    <w:rsid w:val="005C55E7"/>
    <w:rsid w:val="005D18C4"/>
    <w:rsid w:val="00606769"/>
    <w:rsid w:val="00610E2B"/>
    <w:rsid w:val="00615B10"/>
    <w:rsid w:val="00623ED5"/>
    <w:rsid w:val="00633EE5"/>
    <w:rsid w:val="00640542"/>
    <w:rsid w:val="00643A83"/>
    <w:rsid w:val="006472C5"/>
    <w:rsid w:val="006630E5"/>
    <w:rsid w:val="00664398"/>
    <w:rsid w:val="00667337"/>
    <w:rsid w:val="006A19E8"/>
    <w:rsid w:val="006B3A24"/>
    <w:rsid w:val="006C1CBB"/>
    <w:rsid w:val="006C41AA"/>
    <w:rsid w:val="006D021B"/>
    <w:rsid w:val="006D0226"/>
    <w:rsid w:val="006D0F65"/>
    <w:rsid w:val="006E1838"/>
    <w:rsid w:val="00710B03"/>
    <w:rsid w:val="007347EE"/>
    <w:rsid w:val="0075324C"/>
    <w:rsid w:val="007619A9"/>
    <w:rsid w:val="00767F45"/>
    <w:rsid w:val="00770631"/>
    <w:rsid w:val="007763FC"/>
    <w:rsid w:val="00776F17"/>
    <w:rsid w:val="00777989"/>
    <w:rsid w:val="00781BAB"/>
    <w:rsid w:val="007941E3"/>
    <w:rsid w:val="00796FC9"/>
    <w:rsid w:val="007B799A"/>
    <w:rsid w:val="007D2E98"/>
    <w:rsid w:val="007E5023"/>
    <w:rsid w:val="007E56AC"/>
    <w:rsid w:val="007F7106"/>
    <w:rsid w:val="00802637"/>
    <w:rsid w:val="008268DD"/>
    <w:rsid w:val="008319D4"/>
    <w:rsid w:val="00853A9B"/>
    <w:rsid w:val="00873886"/>
    <w:rsid w:val="0088565F"/>
    <w:rsid w:val="008861B9"/>
    <w:rsid w:val="008925D4"/>
    <w:rsid w:val="008A7999"/>
    <w:rsid w:val="008B5AA5"/>
    <w:rsid w:val="008B7262"/>
    <w:rsid w:val="008C1605"/>
    <w:rsid w:val="008C5D8E"/>
    <w:rsid w:val="008D16D4"/>
    <w:rsid w:val="008D4A20"/>
    <w:rsid w:val="008D5AF0"/>
    <w:rsid w:val="008E3131"/>
    <w:rsid w:val="00941D4A"/>
    <w:rsid w:val="009460CE"/>
    <w:rsid w:val="00947BAD"/>
    <w:rsid w:val="0096468C"/>
    <w:rsid w:val="00965214"/>
    <w:rsid w:val="00967DA0"/>
    <w:rsid w:val="00980A34"/>
    <w:rsid w:val="00980FCC"/>
    <w:rsid w:val="00983172"/>
    <w:rsid w:val="00985F69"/>
    <w:rsid w:val="009A051C"/>
    <w:rsid w:val="009A32AB"/>
    <w:rsid w:val="009B0D98"/>
    <w:rsid w:val="009B6836"/>
    <w:rsid w:val="009E0D6A"/>
    <w:rsid w:val="009F273E"/>
    <w:rsid w:val="00A00B58"/>
    <w:rsid w:val="00A21349"/>
    <w:rsid w:val="00A340BA"/>
    <w:rsid w:val="00A41B2C"/>
    <w:rsid w:val="00A50E5F"/>
    <w:rsid w:val="00A5209E"/>
    <w:rsid w:val="00A56C49"/>
    <w:rsid w:val="00A621D7"/>
    <w:rsid w:val="00A70226"/>
    <w:rsid w:val="00A91FFE"/>
    <w:rsid w:val="00AA16E9"/>
    <w:rsid w:val="00AA20E4"/>
    <w:rsid w:val="00AB07A7"/>
    <w:rsid w:val="00AB13DB"/>
    <w:rsid w:val="00AB5438"/>
    <w:rsid w:val="00AC0970"/>
    <w:rsid w:val="00AC2F05"/>
    <w:rsid w:val="00AC6144"/>
    <w:rsid w:val="00AE585A"/>
    <w:rsid w:val="00AF32AC"/>
    <w:rsid w:val="00B05637"/>
    <w:rsid w:val="00B102B1"/>
    <w:rsid w:val="00B10FA8"/>
    <w:rsid w:val="00B16AD6"/>
    <w:rsid w:val="00B235CA"/>
    <w:rsid w:val="00B25F4F"/>
    <w:rsid w:val="00B43D10"/>
    <w:rsid w:val="00B6388D"/>
    <w:rsid w:val="00B659BD"/>
    <w:rsid w:val="00B714E9"/>
    <w:rsid w:val="00B73DEC"/>
    <w:rsid w:val="00B74AD9"/>
    <w:rsid w:val="00B75B15"/>
    <w:rsid w:val="00B87C37"/>
    <w:rsid w:val="00B87D1B"/>
    <w:rsid w:val="00B91137"/>
    <w:rsid w:val="00B92FFB"/>
    <w:rsid w:val="00B9523A"/>
    <w:rsid w:val="00B95F31"/>
    <w:rsid w:val="00BA3873"/>
    <w:rsid w:val="00BB1B63"/>
    <w:rsid w:val="00BB4D19"/>
    <w:rsid w:val="00BC41BF"/>
    <w:rsid w:val="00BD0540"/>
    <w:rsid w:val="00BE671C"/>
    <w:rsid w:val="00C0010A"/>
    <w:rsid w:val="00C2192A"/>
    <w:rsid w:val="00C31001"/>
    <w:rsid w:val="00C32B1C"/>
    <w:rsid w:val="00C40686"/>
    <w:rsid w:val="00C543F9"/>
    <w:rsid w:val="00C704E7"/>
    <w:rsid w:val="00C81CEE"/>
    <w:rsid w:val="00C92729"/>
    <w:rsid w:val="00CA0062"/>
    <w:rsid w:val="00CB23C3"/>
    <w:rsid w:val="00CB39A4"/>
    <w:rsid w:val="00CC5A3A"/>
    <w:rsid w:val="00CD7897"/>
    <w:rsid w:val="00CE1BAD"/>
    <w:rsid w:val="00D008E4"/>
    <w:rsid w:val="00D0325F"/>
    <w:rsid w:val="00D17FF8"/>
    <w:rsid w:val="00D2064E"/>
    <w:rsid w:val="00D3696B"/>
    <w:rsid w:val="00D409B8"/>
    <w:rsid w:val="00D42D41"/>
    <w:rsid w:val="00D500B0"/>
    <w:rsid w:val="00D67C84"/>
    <w:rsid w:val="00DD01AF"/>
    <w:rsid w:val="00DD394A"/>
    <w:rsid w:val="00DF2308"/>
    <w:rsid w:val="00DF48B1"/>
    <w:rsid w:val="00DF6AE9"/>
    <w:rsid w:val="00E077F1"/>
    <w:rsid w:val="00E10DB2"/>
    <w:rsid w:val="00E21475"/>
    <w:rsid w:val="00E23905"/>
    <w:rsid w:val="00E26C7F"/>
    <w:rsid w:val="00E36190"/>
    <w:rsid w:val="00E4117B"/>
    <w:rsid w:val="00E675AA"/>
    <w:rsid w:val="00E731F3"/>
    <w:rsid w:val="00E9588A"/>
    <w:rsid w:val="00EA2CF7"/>
    <w:rsid w:val="00EC0702"/>
    <w:rsid w:val="00ED49C4"/>
    <w:rsid w:val="00EE5443"/>
    <w:rsid w:val="00EE5CB7"/>
    <w:rsid w:val="00F00201"/>
    <w:rsid w:val="00F075B2"/>
    <w:rsid w:val="00F14944"/>
    <w:rsid w:val="00F17D09"/>
    <w:rsid w:val="00F20BC8"/>
    <w:rsid w:val="00F22E2A"/>
    <w:rsid w:val="00F35C02"/>
    <w:rsid w:val="00F63402"/>
    <w:rsid w:val="00F81F6C"/>
    <w:rsid w:val="00F9686C"/>
    <w:rsid w:val="00FB0C26"/>
    <w:rsid w:val="00FB201C"/>
    <w:rsid w:val="00FB406A"/>
    <w:rsid w:val="00FD33D2"/>
    <w:rsid w:val="00FE264D"/>
    <w:rsid w:val="00FF6DF7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0BE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D41"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1D1614"/>
    <w:pPr>
      <w:keepNext/>
      <w:numPr>
        <w:numId w:val="18"/>
      </w:numPr>
      <w:adjustRightInd w:val="0"/>
      <w:spacing w:after="240" w:line="240" w:lineRule="auto"/>
      <w:jc w:val="both"/>
      <w:outlineLvl w:val="0"/>
    </w:pPr>
    <w:rPr>
      <w:rFonts w:ascii="Arial" w:eastAsia="STZhongsong" w:hAnsi="Arial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1D1614"/>
    <w:pPr>
      <w:numPr>
        <w:ilvl w:val="1"/>
        <w:numId w:val="18"/>
      </w:numPr>
      <w:adjustRightInd w:val="0"/>
      <w:spacing w:after="240" w:line="240" w:lineRule="auto"/>
      <w:jc w:val="both"/>
      <w:outlineLvl w:val="1"/>
    </w:pPr>
    <w:rPr>
      <w:rFonts w:ascii="Arial" w:eastAsia="STZhongsong" w:hAnsi="Arial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1D1614"/>
    <w:pPr>
      <w:numPr>
        <w:ilvl w:val="2"/>
        <w:numId w:val="18"/>
      </w:numPr>
      <w:adjustRightInd w:val="0"/>
      <w:spacing w:after="240" w:line="240" w:lineRule="auto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1D1614"/>
    <w:pPr>
      <w:numPr>
        <w:ilvl w:val="3"/>
        <w:numId w:val="18"/>
      </w:numPr>
      <w:adjustRightInd w:val="0"/>
      <w:spacing w:after="240" w:line="240" w:lineRule="auto"/>
      <w:jc w:val="both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1D1614"/>
    <w:pPr>
      <w:numPr>
        <w:ilvl w:val="4"/>
        <w:numId w:val="18"/>
      </w:numPr>
      <w:adjustRightInd w:val="0"/>
      <w:spacing w:after="240" w:line="240" w:lineRule="auto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1D1614"/>
    <w:pPr>
      <w:numPr>
        <w:ilvl w:val="5"/>
        <w:numId w:val="18"/>
      </w:numPr>
      <w:adjustRightInd w:val="0"/>
      <w:spacing w:after="240" w:line="240" w:lineRule="auto"/>
      <w:jc w:val="both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1D1614"/>
    <w:pPr>
      <w:numPr>
        <w:ilvl w:val="6"/>
        <w:numId w:val="18"/>
      </w:numPr>
      <w:adjustRightInd w:val="0"/>
      <w:spacing w:after="240" w:line="240" w:lineRule="auto"/>
      <w:jc w:val="both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1D1614"/>
    <w:pPr>
      <w:numPr>
        <w:ilvl w:val="7"/>
        <w:numId w:val="18"/>
      </w:numPr>
      <w:adjustRightInd w:val="0"/>
      <w:spacing w:after="240" w:line="240" w:lineRule="auto"/>
      <w:jc w:val="both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1D1614"/>
    <w:pPr>
      <w:numPr>
        <w:ilvl w:val="8"/>
        <w:numId w:val="18"/>
      </w:numPr>
      <w:adjustRightInd w:val="0"/>
      <w:spacing w:after="240" w:line="240" w:lineRule="auto"/>
      <w:jc w:val="both"/>
      <w:outlineLvl w:val="8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D42D41"/>
    <w:rPr>
      <w:color w:val="C0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D49C4"/>
    <w:rPr>
      <w:color w:val="800080" w:themeColor="followed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1D1614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1D1614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1D1614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1D1614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1D1614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1D1614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1D1614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1D1614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1D1614"/>
    <w:rPr>
      <w:rFonts w:ascii="Arial" w:eastAsia="STZhongsong" w:hAnsi="Arial" w:cs="Times New Roman"/>
      <w:szCs w:val="20"/>
      <w:lang w:eastAsia="zh-CN"/>
    </w:rPr>
  </w:style>
  <w:style w:type="paragraph" w:styleId="TOC1">
    <w:name w:val="toc 1"/>
    <w:uiPriority w:val="39"/>
    <w:rsid w:val="001D1614"/>
    <w:pPr>
      <w:tabs>
        <w:tab w:val="left" w:pos="720"/>
        <w:tab w:val="right" w:leader="dot" w:pos="9029"/>
      </w:tabs>
      <w:adjustRightInd w:val="0"/>
      <w:spacing w:after="120" w:line="240" w:lineRule="auto"/>
      <w:ind w:left="720" w:hanging="720"/>
    </w:pPr>
    <w:rPr>
      <w:rFonts w:ascii="Arial" w:eastAsia="STZhongsong" w:hAnsi="Arial" w:cs="Times New Roman"/>
      <w:caps/>
      <w:szCs w:val="20"/>
      <w:lang w:eastAsia="zh-CN"/>
    </w:rPr>
  </w:style>
  <w:style w:type="paragraph" w:customStyle="1" w:styleId="bodystrongcentred">
    <w:name w:val="body strong centred"/>
    <w:basedOn w:val="Normal"/>
    <w:rsid w:val="001D1614"/>
    <w:pPr>
      <w:spacing w:after="0" w:line="240" w:lineRule="auto"/>
      <w:jc w:val="center"/>
    </w:pPr>
    <w:rPr>
      <w:rFonts w:ascii="Arial" w:eastAsia="SimSun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wncommercial.gov.uk/agreements/RM616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sets.crowncommercial.gov.uk/wp-content/uploads/RM6160-Framework-Specification-v1.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rowncommercial.gov.uk/agreements/RM61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semployers.org/tchandbook/annex-4-to-10/annex-8-high-cost-area-payment-zone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CA66-7416-445F-BAF7-5553C91B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2021-03-29T16:36:00Z</dcterms:created>
  <dcterms:modified xsi:type="dcterms:W3CDTF">2021-03-29T16:36:00Z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