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11" w:rsidRDefault="00593211" w:rsidP="00593211">
      <w:pPr>
        <w:pStyle w:val="NoSpacing"/>
      </w:pPr>
      <w:bookmarkStart w:id="0" w:name="_GoBack"/>
      <w:bookmarkEnd w:id="0"/>
      <w:r>
        <w:t>Contract Title:</w:t>
      </w:r>
      <w:r w:rsidR="00EE5D9D">
        <w:t xml:space="preserve"> RIBA 1 &amp; 2 Services in support of IPMO1968 Hydrolysis Process Building</w:t>
      </w:r>
    </w:p>
    <w:p w:rsidR="00593211" w:rsidRDefault="00593211" w:rsidP="00593211">
      <w:pPr>
        <w:pStyle w:val="NoSpacing"/>
      </w:pPr>
    </w:p>
    <w:p w:rsidR="00593211" w:rsidRDefault="00593211" w:rsidP="00593211">
      <w:pPr>
        <w:pStyle w:val="NoSpacing"/>
      </w:pPr>
      <w:r>
        <w:t>Supplier:</w:t>
      </w:r>
      <w:r w:rsidR="00EE5D9D">
        <w:t xml:space="preserve"> </w:t>
      </w:r>
      <w:proofErr w:type="spellStart"/>
      <w:r w:rsidR="00EE5D9D">
        <w:t>Ramboll</w:t>
      </w:r>
      <w:proofErr w:type="spellEnd"/>
      <w:r w:rsidR="00EE5D9D">
        <w:t xml:space="preserve"> UK Ltd</w:t>
      </w:r>
    </w:p>
    <w:p w:rsidR="00593211" w:rsidRDefault="00593211" w:rsidP="00593211">
      <w:pPr>
        <w:pStyle w:val="NoSpacing"/>
      </w:pPr>
    </w:p>
    <w:p w:rsidR="00593211" w:rsidRDefault="00593211" w:rsidP="00593211">
      <w:pPr>
        <w:pStyle w:val="NoSpacing"/>
      </w:pPr>
      <w:r>
        <w:t>Contract Start Date:</w:t>
      </w:r>
      <w:r w:rsidR="00EE5D9D">
        <w:t xml:space="preserve"> 15</w:t>
      </w:r>
      <w:r w:rsidR="00EE5D9D" w:rsidRPr="00EE5D9D">
        <w:rPr>
          <w:vertAlign w:val="superscript"/>
        </w:rPr>
        <w:t>th</w:t>
      </w:r>
      <w:r w:rsidR="00EE5D9D">
        <w:t xml:space="preserve"> December 2023</w:t>
      </w:r>
    </w:p>
    <w:p w:rsidR="00593211" w:rsidRDefault="00593211" w:rsidP="00593211">
      <w:pPr>
        <w:pStyle w:val="NoSpacing"/>
      </w:pPr>
    </w:p>
    <w:p w:rsidR="00593211" w:rsidRDefault="00593211" w:rsidP="00593211">
      <w:pPr>
        <w:pStyle w:val="NoSpacing"/>
      </w:pPr>
      <w:r>
        <w:t>Contract End Date:</w:t>
      </w:r>
      <w:r w:rsidR="00EE5D9D">
        <w:t xml:space="preserve"> 2</w:t>
      </w:r>
      <w:r w:rsidR="00EE5D9D" w:rsidRPr="00EE5D9D">
        <w:rPr>
          <w:vertAlign w:val="superscript"/>
        </w:rPr>
        <w:t>nd</w:t>
      </w:r>
      <w:r w:rsidR="00EE5D9D">
        <w:t xml:space="preserve"> October 2024</w:t>
      </w:r>
    </w:p>
    <w:p w:rsidR="00593211" w:rsidRDefault="00593211" w:rsidP="00593211">
      <w:pPr>
        <w:pStyle w:val="NoSpacing"/>
      </w:pPr>
    </w:p>
    <w:p w:rsidR="00593211" w:rsidRDefault="00593211" w:rsidP="00593211">
      <w:pPr>
        <w:pStyle w:val="NoSpacing"/>
      </w:pPr>
      <w:r>
        <w:t>Contract Value:</w:t>
      </w:r>
      <w:r w:rsidR="00EE5D9D">
        <w:t xml:space="preserve"> £186,209.92</w:t>
      </w:r>
    </w:p>
    <w:p w:rsidR="00593211" w:rsidRDefault="00593211" w:rsidP="00593211">
      <w:pPr>
        <w:pStyle w:val="NoSpacing"/>
      </w:pPr>
    </w:p>
    <w:p w:rsidR="00593211" w:rsidRDefault="00C40E69" w:rsidP="00593211">
      <w:pPr>
        <w:pStyle w:val="NoSpacing"/>
      </w:pPr>
      <w:r>
        <w:rPr>
          <w:rFonts w:ascii="Arial" w:hAnsi="Arial" w:cs="Arial"/>
        </w:rPr>
        <w:t xml:space="preserve">This </w:t>
      </w:r>
      <w:r w:rsidR="00593211">
        <w:t>contract was</w:t>
      </w:r>
      <w:r>
        <w:t xml:space="preserve"> awarded</w:t>
      </w:r>
      <w:r w:rsidR="00593211" w:rsidRPr="00593211">
        <w:t xml:space="preserve"> </w:t>
      </w:r>
      <w:r>
        <w:t xml:space="preserve">under the Terms and Conditions of </w:t>
      </w:r>
      <w:r w:rsidR="00593211" w:rsidRPr="00EE5D9D">
        <w:t>NEC</w:t>
      </w:r>
      <w:r w:rsidR="00EE5D9D" w:rsidRPr="00EE5D9D">
        <w:t xml:space="preserve">4 PSC Option </w:t>
      </w:r>
      <w:proofErr w:type="gramStart"/>
      <w:r w:rsidR="00EE5D9D" w:rsidRPr="00EE5D9D">
        <w:t>A</w:t>
      </w:r>
      <w:proofErr w:type="gramEnd"/>
      <w:r w:rsidR="00EE5D9D" w:rsidRPr="00EE5D9D">
        <w:t xml:space="preserve"> Contract version </w:t>
      </w:r>
      <w:r w:rsidR="00593211" w:rsidRPr="00EE5D9D">
        <w:t>Jun</w:t>
      </w:r>
      <w:r w:rsidR="00EE5D9D" w:rsidRPr="00EE5D9D">
        <w:t>e 17 with Jan 23 Amendments</w:t>
      </w:r>
      <w:r w:rsidR="00593211" w:rsidRPr="00EE5D9D">
        <w:t>,</w:t>
      </w:r>
      <w:r>
        <w:t xml:space="preserve"> </w:t>
      </w:r>
      <w:r w:rsidRPr="00EE5D9D">
        <w:rPr>
          <w:rFonts w:cstheme="minorHAnsi"/>
        </w:rPr>
        <w:t>and utilised the copyrighted NEC Forms of Contract.</w:t>
      </w:r>
      <w:r>
        <w:rPr>
          <w:rFonts w:ascii="Arial" w:hAnsi="Arial" w:cs="Arial"/>
        </w:rPr>
        <w:t xml:space="preserve">  </w:t>
      </w:r>
    </w:p>
    <w:p w:rsidR="00593211" w:rsidRDefault="00593211" w:rsidP="00593211">
      <w:pPr>
        <w:pStyle w:val="NoSpacing"/>
      </w:pPr>
    </w:p>
    <w:p w:rsidR="00593211" w:rsidRDefault="00593211" w:rsidP="00593211">
      <w:pPr>
        <w:pStyle w:val="NoSpacing"/>
      </w:pPr>
      <w:r>
        <w:t>Additional Z Clauses added to the contract were as follows:</w:t>
      </w:r>
    </w:p>
    <w:p w:rsidR="00593211" w:rsidRDefault="00593211" w:rsidP="00593211">
      <w:pPr>
        <w:pStyle w:val="NoSpacing"/>
      </w:pPr>
    </w:p>
    <w:tbl>
      <w:tblPr>
        <w:tblW w:w="9747" w:type="dxa"/>
        <w:tblLayout w:type="fixed"/>
        <w:tblLook w:val="04A0" w:firstRow="1" w:lastRow="0" w:firstColumn="1" w:lastColumn="0" w:noHBand="0" w:noVBand="1"/>
      </w:tblPr>
      <w:tblGrid>
        <w:gridCol w:w="2376"/>
        <w:gridCol w:w="7371"/>
      </w:tblGrid>
      <w:tr w:rsidR="00EE5D9D" w:rsidRPr="00821E21" w:rsidTr="00826BC8">
        <w:tc>
          <w:tcPr>
            <w:tcW w:w="2376" w:type="dxa"/>
          </w:tcPr>
          <w:p w:rsidR="00EE5D9D" w:rsidRDefault="00EE5D9D" w:rsidP="00826BC8">
            <w:pPr>
              <w:pStyle w:val="Heading3CD"/>
              <w:rPr>
                <w:bCs/>
                <w:iCs/>
              </w:rPr>
            </w:pPr>
            <w:r>
              <w:rPr>
                <w:bCs/>
                <w:iCs/>
              </w:rPr>
              <w:t>Option Z102</w:t>
            </w:r>
          </w:p>
        </w:tc>
        <w:tc>
          <w:tcPr>
            <w:tcW w:w="7371" w:type="dxa"/>
          </w:tcPr>
          <w:p w:rsidR="00EE5D9D" w:rsidRPr="00821E21" w:rsidRDefault="00EE5D9D" w:rsidP="00826BC8">
            <w:pPr>
              <w:pStyle w:val="BulletCD"/>
              <w:numPr>
                <w:ilvl w:val="0"/>
                <w:numId w:val="0"/>
              </w:numPr>
              <w:rPr>
                <w:b/>
                <w:lang w:val="en-US"/>
              </w:rPr>
            </w:pPr>
            <w:r w:rsidRPr="00821E21">
              <w:rPr>
                <w:b/>
                <w:lang w:val="en-US"/>
              </w:rPr>
              <w:t>Additional identified and defined terms</w:t>
            </w:r>
          </w:p>
          <w:p w:rsidR="00EE5D9D" w:rsidRPr="00821E21" w:rsidRDefault="00EE5D9D" w:rsidP="00826BC8">
            <w:pPr>
              <w:pStyle w:val="BulletCD"/>
              <w:numPr>
                <w:ilvl w:val="0"/>
                <w:numId w:val="0"/>
              </w:numPr>
              <w:rPr>
                <w:lang w:val="en-US"/>
              </w:rPr>
            </w:pPr>
            <w:r w:rsidRPr="00821E21">
              <w:rPr>
                <w:lang w:val="en-US"/>
              </w:rPr>
              <w:t>Insert new clause 11.4:</w:t>
            </w:r>
          </w:p>
          <w:p w:rsidR="00EE5D9D" w:rsidRPr="00821E21" w:rsidRDefault="00EE5D9D" w:rsidP="00826BC8">
            <w:pPr>
              <w:pStyle w:val="BulletCD"/>
              <w:numPr>
                <w:ilvl w:val="0"/>
                <w:numId w:val="0"/>
              </w:numPr>
              <w:ind w:left="284" w:hanging="284"/>
            </w:pPr>
            <w:r w:rsidRPr="00821E21">
              <w:t>11.4(1) Insert new definition</w:t>
            </w:r>
          </w:p>
          <w:p w:rsidR="00EE5D9D" w:rsidRPr="00821E21" w:rsidRDefault="00EE5D9D" w:rsidP="00826BC8">
            <w:pPr>
              <w:pStyle w:val="BulletCD"/>
              <w:numPr>
                <w:ilvl w:val="0"/>
                <w:numId w:val="0"/>
              </w:numPr>
            </w:pPr>
            <w:r w:rsidRPr="00821E21">
              <w:rPr>
                <w:i/>
              </w:rPr>
              <w:t>“Client’s</w:t>
            </w:r>
            <w:r w:rsidRPr="00821E21">
              <w:t xml:space="preserve"> Security Procedures” shall mean any security procedure specific to any </w:t>
            </w:r>
            <w:r w:rsidRPr="00821E21">
              <w:rPr>
                <w:i/>
              </w:rPr>
              <w:t xml:space="preserve">Client’s </w:t>
            </w:r>
            <w:r w:rsidRPr="00821E21">
              <w:t>premises or data.</w:t>
            </w:r>
          </w:p>
          <w:p w:rsidR="00EE5D9D" w:rsidRPr="00821E21" w:rsidRDefault="00EE5D9D" w:rsidP="00826BC8">
            <w:pPr>
              <w:pStyle w:val="BulletCD"/>
              <w:numPr>
                <w:ilvl w:val="0"/>
                <w:numId w:val="0"/>
              </w:numPr>
            </w:pPr>
          </w:p>
          <w:p w:rsidR="00EE5D9D" w:rsidRPr="00821E21" w:rsidRDefault="00EE5D9D" w:rsidP="00826BC8">
            <w:pPr>
              <w:pStyle w:val="BulletCD"/>
              <w:numPr>
                <w:ilvl w:val="0"/>
                <w:numId w:val="0"/>
              </w:numPr>
            </w:pPr>
            <w:r w:rsidRPr="00821E21">
              <w:t xml:space="preserve">11.4(2) Insert new definition </w:t>
            </w:r>
          </w:p>
          <w:p w:rsidR="00EE5D9D" w:rsidRDefault="00EE5D9D" w:rsidP="00826BC8">
            <w:pPr>
              <w:pStyle w:val="BulletCD"/>
              <w:numPr>
                <w:ilvl w:val="0"/>
                <w:numId w:val="0"/>
              </w:numPr>
            </w:pPr>
            <w:r w:rsidRPr="00821E21">
              <w:t>“Information” means information of any nature, and includes (but is not limited to) information in the form of data, databases, software (excluding third party software), designs, models, interventions, drawings, details, plans, reports, records, calculations, schedules, specifications, bills of quantities, levels and setting out details and other documents (whether or not in electronic format).</w:t>
            </w:r>
          </w:p>
          <w:p w:rsidR="00EE5D9D" w:rsidRPr="00821E21" w:rsidRDefault="00EE5D9D" w:rsidP="00826BC8">
            <w:pPr>
              <w:pStyle w:val="BulletCD"/>
              <w:numPr>
                <w:ilvl w:val="0"/>
                <w:numId w:val="0"/>
              </w:numPr>
            </w:pPr>
          </w:p>
          <w:p w:rsidR="00EE5D9D" w:rsidRPr="00821E21" w:rsidRDefault="00EE5D9D" w:rsidP="00826BC8">
            <w:pPr>
              <w:pStyle w:val="BulletCD"/>
              <w:numPr>
                <w:ilvl w:val="0"/>
                <w:numId w:val="0"/>
              </w:numPr>
            </w:pPr>
            <w:r w:rsidRPr="00821E21">
              <w:t>11.4</w:t>
            </w:r>
            <w:r>
              <w:t>(3</w:t>
            </w:r>
            <w:r w:rsidRPr="00821E21">
              <w:t xml:space="preserve">) Insert new definition </w:t>
            </w:r>
          </w:p>
          <w:p w:rsidR="00EE5D9D" w:rsidRPr="00821E21" w:rsidRDefault="00EE5D9D" w:rsidP="00826BC8">
            <w:pPr>
              <w:pStyle w:val="BulletCD"/>
              <w:numPr>
                <w:ilvl w:val="0"/>
                <w:numId w:val="0"/>
              </w:numPr>
            </w:pPr>
            <w:r w:rsidRPr="00821E21">
              <w:t>“Documents” means all Information of any nature whatsoever provided by or used by or on behalf of the Consultant in the course of performing its obligations under this contract”.</w:t>
            </w:r>
          </w:p>
          <w:p w:rsidR="00EE5D9D" w:rsidRPr="00821E21" w:rsidRDefault="00EE5D9D" w:rsidP="00826BC8">
            <w:pPr>
              <w:pStyle w:val="BulletCD"/>
              <w:numPr>
                <w:ilvl w:val="0"/>
                <w:numId w:val="0"/>
              </w:numPr>
            </w:pPr>
            <w:r w:rsidRPr="00821E21">
              <w:t>11.4</w:t>
            </w:r>
            <w:r>
              <w:t>(4</w:t>
            </w:r>
            <w:r w:rsidRPr="00821E21">
              <w:t>) Insert new definition</w:t>
            </w:r>
          </w:p>
          <w:p w:rsidR="00EE5D9D" w:rsidRPr="00821E21" w:rsidRDefault="00EE5D9D" w:rsidP="00826BC8">
            <w:pPr>
              <w:pStyle w:val="BulletCD"/>
              <w:numPr>
                <w:ilvl w:val="0"/>
                <w:numId w:val="0"/>
              </w:numPr>
            </w:pPr>
            <w:r w:rsidRPr="00821E21">
              <w:t>“Foreground Information” means all Information in Documents which is generated in the performance of the services under this contract.</w:t>
            </w:r>
          </w:p>
          <w:p w:rsidR="00EE5D9D" w:rsidRPr="00821E21" w:rsidRDefault="00EE5D9D" w:rsidP="00826BC8">
            <w:pPr>
              <w:pStyle w:val="BulletCD"/>
              <w:numPr>
                <w:ilvl w:val="0"/>
                <w:numId w:val="0"/>
              </w:numPr>
            </w:pPr>
          </w:p>
          <w:p w:rsidR="00EE5D9D" w:rsidRPr="00821E21" w:rsidRDefault="00EE5D9D" w:rsidP="00826BC8">
            <w:pPr>
              <w:pStyle w:val="BulletCD"/>
              <w:numPr>
                <w:ilvl w:val="0"/>
                <w:numId w:val="0"/>
              </w:numPr>
            </w:pPr>
            <w:r w:rsidRPr="00821E21">
              <w:t>11.4</w:t>
            </w:r>
            <w:r>
              <w:t>(5</w:t>
            </w:r>
            <w:r w:rsidRPr="00821E21">
              <w:t>) Insert new definition</w:t>
            </w:r>
          </w:p>
          <w:p w:rsidR="00EE5D9D" w:rsidRPr="00821E21" w:rsidRDefault="00EE5D9D" w:rsidP="00826BC8">
            <w:pPr>
              <w:pStyle w:val="BulletCD"/>
              <w:numPr>
                <w:ilvl w:val="0"/>
                <w:numId w:val="0"/>
              </w:numPr>
            </w:pPr>
            <w:r w:rsidRPr="00821E21">
              <w:t>“Background Information” means all Information in Documents which is not Foreground Information.</w:t>
            </w:r>
          </w:p>
          <w:p w:rsidR="00EE5D9D" w:rsidRPr="00821E21" w:rsidRDefault="00EE5D9D" w:rsidP="00826BC8">
            <w:pPr>
              <w:pStyle w:val="BulletCD"/>
              <w:numPr>
                <w:ilvl w:val="0"/>
                <w:numId w:val="0"/>
              </w:numPr>
            </w:pPr>
          </w:p>
          <w:p w:rsidR="00EE5D9D" w:rsidRPr="00821E21" w:rsidRDefault="00EE5D9D" w:rsidP="00826BC8">
            <w:pPr>
              <w:pStyle w:val="BulletCD"/>
              <w:numPr>
                <w:ilvl w:val="0"/>
                <w:numId w:val="0"/>
              </w:numPr>
            </w:pPr>
            <w:r w:rsidRPr="00821E21">
              <w:t>11.4</w:t>
            </w:r>
            <w:r>
              <w:t>(6</w:t>
            </w:r>
            <w:r w:rsidRPr="00821E21">
              <w:t>) Insert new definition</w:t>
            </w:r>
          </w:p>
          <w:p w:rsidR="00EE5D9D" w:rsidRPr="00821E21" w:rsidRDefault="00EE5D9D" w:rsidP="00826BC8">
            <w:pPr>
              <w:pStyle w:val="BulletCD"/>
              <w:numPr>
                <w:ilvl w:val="0"/>
                <w:numId w:val="0"/>
              </w:numPr>
            </w:pPr>
            <w:r w:rsidRPr="00821E21">
              <w:t xml:space="preserve">“Transparency Information” shall mean the content of this Contract in its entirety, including from time to time agreed changes to the Contract, and </w:t>
            </w:r>
            <w:r w:rsidRPr="00821E21">
              <w:lastRenderedPageBreak/>
              <w:t xml:space="preserve">details of any payments made by the </w:t>
            </w:r>
            <w:r w:rsidRPr="00821E21">
              <w:rPr>
                <w:i/>
              </w:rPr>
              <w:t>Client</w:t>
            </w:r>
            <w:r w:rsidRPr="00821E21">
              <w:t xml:space="preserve"> to the </w:t>
            </w:r>
            <w:r w:rsidRPr="00821E21">
              <w:rPr>
                <w:i/>
              </w:rPr>
              <w:t>Consultant</w:t>
            </w:r>
            <w:r w:rsidRPr="00821E21">
              <w:t xml:space="preserve"> under the Contract</w:t>
            </w:r>
          </w:p>
          <w:p w:rsidR="00EE5D9D" w:rsidRPr="00821E21" w:rsidRDefault="00EE5D9D" w:rsidP="00826BC8">
            <w:pPr>
              <w:pStyle w:val="BulletCD"/>
              <w:numPr>
                <w:ilvl w:val="0"/>
                <w:numId w:val="0"/>
              </w:numPr>
            </w:pPr>
          </w:p>
          <w:p w:rsidR="00EE5D9D" w:rsidRPr="00821E21" w:rsidRDefault="00EE5D9D" w:rsidP="00826BC8">
            <w:pPr>
              <w:pStyle w:val="BulletCD"/>
              <w:numPr>
                <w:ilvl w:val="0"/>
                <w:numId w:val="0"/>
              </w:numPr>
            </w:pPr>
            <w:r w:rsidRPr="00821E21">
              <w:t>11.4</w:t>
            </w:r>
            <w:r>
              <w:t>(7</w:t>
            </w:r>
            <w:r w:rsidRPr="00821E21">
              <w:t>) Insert new definition</w:t>
            </w:r>
          </w:p>
          <w:p w:rsidR="00EE5D9D" w:rsidRPr="00821E21" w:rsidRDefault="00EE5D9D" w:rsidP="00826BC8">
            <w:pPr>
              <w:pStyle w:val="BulletCD"/>
              <w:numPr>
                <w:ilvl w:val="0"/>
                <w:numId w:val="0"/>
              </w:numPr>
            </w:pPr>
            <w:r w:rsidRPr="00821E21">
              <w:t>“</w:t>
            </w:r>
            <w:r w:rsidRPr="00821E21">
              <w:rPr>
                <w:i/>
              </w:rPr>
              <w:t>Client’s</w:t>
            </w:r>
            <w:r w:rsidRPr="00821E21">
              <w:t xml:space="preserve"> IT Systems” means the computer hardware and software and networks used by the </w:t>
            </w:r>
            <w:r w:rsidRPr="00821E21">
              <w:rPr>
                <w:i/>
              </w:rPr>
              <w:t>Client</w:t>
            </w:r>
            <w:r w:rsidRPr="00821E21">
              <w:t xml:space="preserve"> in the course of its business.</w:t>
            </w:r>
          </w:p>
          <w:p w:rsidR="00EE5D9D" w:rsidRPr="00821E21" w:rsidRDefault="00EE5D9D" w:rsidP="00826BC8">
            <w:pPr>
              <w:pStyle w:val="BulletCD"/>
              <w:numPr>
                <w:ilvl w:val="0"/>
                <w:numId w:val="0"/>
              </w:numPr>
            </w:pPr>
          </w:p>
          <w:p w:rsidR="00EE5D9D" w:rsidRPr="00821E21" w:rsidRDefault="00EE5D9D" w:rsidP="00826BC8">
            <w:pPr>
              <w:pStyle w:val="BulletCD"/>
              <w:numPr>
                <w:ilvl w:val="0"/>
                <w:numId w:val="0"/>
              </w:numPr>
            </w:pPr>
            <w:r w:rsidRPr="00821E21">
              <w:t>11.4</w:t>
            </w:r>
            <w:r>
              <w:t>(8</w:t>
            </w:r>
            <w:r w:rsidRPr="00821E21">
              <w:t>) Insert new definition</w:t>
            </w:r>
          </w:p>
          <w:p w:rsidR="00EE5D9D" w:rsidRPr="00821E21" w:rsidRDefault="00EE5D9D" w:rsidP="00826BC8">
            <w:pPr>
              <w:pStyle w:val="BulletCD"/>
              <w:numPr>
                <w:ilvl w:val="0"/>
                <w:numId w:val="0"/>
              </w:numPr>
              <w:rPr>
                <w:lang w:val="en-US"/>
              </w:rPr>
            </w:pPr>
            <w:r w:rsidRPr="00821E21">
              <w:rPr>
                <w:lang w:val="en-US"/>
              </w:rPr>
              <w:t xml:space="preserve">“Employer” means </w:t>
            </w:r>
            <w:r w:rsidRPr="00821E21">
              <w:rPr>
                <w:i/>
                <w:lang w:val="en-US"/>
              </w:rPr>
              <w:t>Client</w:t>
            </w:r>
            <w:r w:rsidRPr="00821E21">
              <w:rPr>
                <w:lang w:val="en-US"/>
              </w:rPr>
              <w:t>.</w:t>
            </w:r>
          </w:p>
          <w:p w:rsidR="00EE5D9D" w:rsidRPr="00821E21" w:rsidRDefault="00EE5D9D" w:rsidP="00826BC8">
            <w:pPr>
              <w:pStyle w:val="BulletCD"/>
              <w:numPr>
                <w:ilvl w:val="0"/>
                <w:numId w:val="0"/>
              </w:numPr>
              <w:rPr>
                <w:lang w:val="en-US"/>
              </w:rPr>
            </w:pPr>
          </w:p>
        </w:tc>
      </w:tr>
      <w:tr w:rsidR="00EE5D9D" w:rsidRPr="00821E21" w:rsidTr="00826BC8">
        <w:tc>
          <w:tcPr>
            <w:tcW w:w="2376" w:type="dxa"/>
          </w:tcPr>
          <w:p w:rsidR="00EE5D9D" w:rsidRDefault="00EE5D9D" w:rsidP="00826BC8">
            <w:pPr>
              <w:pStyle w:val="Heading3CD"/>
              <w:rPr>
                <w:bCs/>
                <w:iCs/>
              </w:rPr>
            </w:pPr>
            <w:r>
              <w:rPr>
                <w:bCs/>
                <w:iCs/>
              </w:rPr>
              <w:lastRenderedPageBreak/>
              <w:t>Option Z103</w:t>
            </w:r>
          </w:p>
        </w:tc>
        <w:tc>
          <w:tcPr>
            <w:tcW w:w="7371" w:type="dxa"/>
          </w:tcPr>
          <w:p w:rsidR="00EE5D9D" w:rsidRDefault="00EE5D9D" w:rsidP="00826BC8">
            <w:pPr>
              <w:pStyle w:val="BulletCD"/>
              <w:numPr>
                <w:ilvl w:val="0"/>
                <w:numId w:val="0"/>
              </w:numPr>
              <w:rPr>
                <w:b/>
                <w:lang w:val="en-US"/>
              </w:rPr>
            </w:pPr>
            <w:r>
              <w:rPr>
                <w:b/>
                <w:lang w:val="en-US"/>
              </w:rPr>
              <w:t xml:space="preserve">Working with the </w:t>
            </w:r>
            <w:r w:rsidRPr="00821E21">
              <w:rPr>
                <w:b/>
                <w:i/>
                <w:lang w:val="en-US"/>
              </w:rPr>
              <w:t>Client</w:t>
            </w:r>
            <w:r>
              <w:rPr>
                <w:b/>
                <w:lang w:val="en-US"/>
              </w:rPr>
              <w:t xml:space="preserve"> and Others</w:t>
            </w:r>
          </w:p>
          <w:p w:rsidR="00EE5D9D" w:rsidRPr="00FC6807" w:rsidRDefault="00EE5D9D" w:rsidP="00826BC8">
            <w:pPr>
              <w:pStyle w:val="BulletCD"/>
              <w:numPr>
                <w:ilvl w:val="0"/>
                <w:numId w:val="0"/>
              </w:numPr>
              <w:ind w:left="284" w:hanging="284"/>
            </w:pPr>
            <w:r w:rsidRPr="00FC6807">
              <w:t>Insert new clause 22.4:</w:t>
            </w:r>
          </w:p>
          <w:p w:rsidR="00EE5D9D" w:rsidRPr="00FC6807" w:rsidRDefault="00EE5D9D" w:rsidP="00826BC8">
            <w:pPr>
              <w:pStyle w:val="BulletCD"/>
              <w:ind w:left="0"/>
            </w:pPr>
            <w:r w:rsidRPr="00FC6807">
              <w:t xml:space="preserve">The </w:t>
            </w:r>
            <w:r w:rsidRPr="00FC6807">
              <w:rPr>
                <w:i/>
              </w:rPr>
              <w:t>Consultant</w:t>
            </w:r>
            <w:r w:rsidRPr="00FC6807">
              <w:t xml:space="preserve"> shall carry out the </w:t>
            </w:r>
            <w:r w:rsidRPr="00FC6807">
              <w:rPr>
                <w:i/>
              </w:rPr>
              <w:t>services</w:t>
            </w:r>
            <w:r w:rsidRPr="00FC6807">
              <w:t xml:space="preserve">, to the extent reasonably practical considering their nature, so as to cause minimum disruption to the </w:t>
            </w:r>
            <w:r w:rsidRPr="00FC6807">
              <w:rPr>
                <w:i/>
              </w:rPr>
              <w:t>Client's</w:t>
            </w:r>
            <w:r w:rsidRPr="00FC6807">
              <w:t xml:space="preserve"> activities on their premises and elsewhere. If the </w:t>
            </w:r>
            <w:r w:rsidRPr="00FC6807">
              <w:rPr>
                <w:i/>
              </w:rPr>
              <w:t>Consultant</w:t>
            </w:r>
            <w:r w:rsidRPr="00FC6807">
              <w:t xml:space="preserve"> anticipates any such disruption, the </w:t>
            </w:r>
            <w:r w:rsidRPr="00FC6807">
              <w:rPr>
                <w:i/>
              </w:rPr>
              <w:t>Consultant</w:t>
            </w:r>
            <w:r w:rsidRPr="00FC6807">
              <w:t xml:space="preserve"> will issue an early warning notice to enable the </w:t>
            </w:r>
            <w:r w:rsidRPr="00FC6807">
              <w:rPr>
                <w:i/>
              </w:rPr>
              <w:t>Client</w:t>
            </w:r>
            <w:r w:rsidRPr="00FC6807">
              <w:t xml:space="preserve"> to plan in advance, if necessary, for such disruption.</w:t>
            </w:r>
          </w:p>
          <w:p w:rsidR="00EE5D9D" w:rsidRPr="00FC6807" w:rsidRDefault="00EE5D9D" w:rsidP="00826BC8">
            <w:pPr>
              <w:pStyle w:val="BulletCD"/>
              <w:ind w:left="0"/>
            </w:pPr>
            <w:r w:rsidRPr="00FC6807">
              <w:t>Insert new clause 22.5:</w:t>
            </w:r>
          </w:p>
          <w:p w:rsidR="00EE5D9D" w:rsidRPr="00FC6807" w:rsidRDefault="00EE5D9D" w:rsidP="00826BC8">
            <w:pPr>
              <w:pStyle w:val="BulletCD"/>
              <w:ind w:left="0"/>
            </w:pPr>
            <w:r w:rsidRPr="00FC6807">
              <w:t xml:space="preserve">The </w:t>
            </w:r>
            <w:r w:rsidRPr="00FC6807">
              <w:rPr>
                <w:i/>
              </w:rPr>
              <w:t>Consultant</w:t>
            </w:r>
            <w:r w:rsidRPr="00FC6807">
              <w:t xml:space="preserve"> shall co-operate with the requirements of all </w:t>
            </w:r>
            <w:r w:rsidRPr="00FC6807">
              <w:rPr>
                <w:i/>
              </w:rPr>
              <w:t>Client</w:t>
            </w:r>
            <w:r w:rsidRPr="00FC6807">
              <w:t xml:space="preserve"> boards of inquiry and shall use all reasonable endeavours to procure the attendance of such of its employees, agents or Sub consultants who may be invited by the </w:t>
            </w:r>
            <w:r w:rsidRPr="00FC6807">
              <w:rPr>
                <w:i/>
              </w:rPr>
              <w:t>Client</w:t>
            </w:r>
            <w:r w:rsidRPr="00FC6807">
              <w:t xml:space="preserve"> to attend as witnesses at boards of inquiry or similar proceedings. This obligation shall survive the expiry or early termination of the </w:t>
            </w:r>
            <w:r w:rsidRPr="00FC6807">
              <w:rPr>
                <w:i/>
              </w:rPr>
              <w:t>services</w:t>
            </w:r>
            <w:r w:rsidRPr="00FC6807">
              <w:t xml:space="preserve">. The </w:t>
            </w:r>
            <w:r w:rsidRPr="00FC6807">
              <w:rPr>
                <w:i/>
              </w:rPr>
              <w:t>Client</w:t>
            </w:r>
            <w:r w:rsidRPr="00FC6807">
              <w:t xml:space="preserve"> shall reimburse the </w:t>
            </w:r>
            <w:r w:rsidRPr="00FC6807">
              <w:rPr>
                <w:i/>
              </w:rPr>
              <w:t>Consultant</w:t>
            </w:r>
            <w:r w:rsidRPr="00FC6807">
              <w:t xml:space="preserve"> their reasonable external costs of such attendance.</w:t>
            </w:r>
          </w:p>
          <w:p w:rsidR="00EE5D9D" w:rsidRPr="00FC6807" w:rsidRDefault="00EE5D9D" w:rsidP="00826BC8">
            <w:pPr>
              <w:pStyle w:val="BulletCD"/>
              <w:ind w:left="0"/>
            </w:pPr>
            <w:r w:rsidRPr="00FC6807">
              <w:t>Insert new clause 22.6:</w:t>
            </w:r>
          </w:p>
          <w:p w:rsidR="00EE5D9D" w:rsidRPr="00FC6807" w:rsidRDefault="00EE5D9D" w:rsidP="00826BC8">
            <w:pPr>
              <w:pStyle w:val="BulletCD"/>
              <w:ind w:left="0"/>
            </w:pPr>
            <w:r w:rsidRPr="00FC6807">
              <w:t xml:space="preserve">The </w:t>
            </w:r>
            <w:r w:rsidRPr="00FC6807">
              <w:rPr>
                <w:i/>
              </w:rPr>
              <w:t>Consultant</w:t>
            </w:r>
            <w:r w:rsidRPr="00FC6807">
              <w:t xml:space="preserve"> acknowledges that it will not have exclusive rights to occupy any accommodation provided by the </w:t>
            </w:r>
            <w:r w:rsidRPr="00FC6807">
              <w:rPr>
                <w:i/>
              </w:rPr>
              <w:t>Client</w:t>
            </w:r>
            <w:r w:rsidRPr="00FC6807">
              <w:t xml:space="preserve"> and that any such accommodation will only be used for the purpose of the </w:t>
            </w:r>
            <w:r w:rsidRPr="00FC6807">
              <w:rPr>
                <w:i/>
              </w:rPr>
              <w:t>services</w:t>
            </w:r>
            <w:r w:rsidRPr="00FC6807">
              <w:t>.</w:t>
            </w:r>
          </w:p>
          <w:p w:rsidR="00EE5D9D" w:rsidRPr="00FC6807" w:rsidRDefault="00EE5D9D" w:rsidP="00826BC8">
            <w:pPr>
              <w:pStyle w:val="BulletCD"/>
              <w:ind w:left="0"/>
            </w:pPr>
            <w:r w:rsidRPr="00FC6807">
              <w:t>Insert new clause 22.7:</w:t>
            </w:r>
          </w:p>
          <w:p w:rsidR="00EE5D9D" w:rsidRPr="00821E21" w:rsidRDefault="00EE5D9D" w:rsidP="00826BC8">
            <w:pPr>
              <w:pStyle w:val="BulletCD"/>
              <w:ind w:left="0"/>
              <w:rPr>
                <w:b/>
              </w:rPr>
            </w:pPr>
            <w:r w:rsidRPr="00FC6807">
              <w:t xml:space="preserve">All fossils, antiquities, and other objects having antiquarian, artistic, historic, archaeological or monetary value, which may be found on, or at the </w:t>
            </w:r>
            <w:r w:rsidRPr="00FC6807">
              <w:rPr>
                <w:i/>
              </w:rPr>
              <w:t>Client</w:t>
            </w:r>
            <w:r w:rsidRPr="00FC6807">
              <w:t xml:space="preserve"> premises shall remain the property of the </w:t>
            </w:r>
            <w:r w:rsidRPr="00FC6807">
              <w:rPr>
                <w:i/>
              </w:rPr>
              <w:t>Client</w:t>
            </w:r>
            <w:r w:rsidRPr="00FC6807">
              <w:t>.</w:t>
            </w:r>
          </w:p>
        </w:tc>
      </w:tr>
      <w:tr w:rsidR="00EE5D9D" w:rsidRPr="006A73B2" w:rsidTr="00826BC8">
        <w:tc>
          <w:tcPr>
            <w:tcW w:w="2376" w:type="dxa"/>
          </w:tcPr>
          <w:p w:rsidR="00EE5D9D" w:rsidRDefault="00EE5D9D" w:rsidP="00826BC8">
            <w:pPr>
              <w:pStyle w:val="Heading3CD"/>
              <w:rPr>
                <w:bCs/>
                <w:iCs/>
              </w:rPr>
            </w:pPr>
            <w:r>
              <w:rPr>
                <w:bCs/>
                <w:iCs/>
              </w:rPr>
              <w:t>Option Z104</w:t>
            </w:r>
          </w:p>
        </w:tc>
        <w:tc>
          <w:tcPr>
            <w:tcW w:w="7371" w:type="dxa"/>
          </w:tcPr>
          <w:p w:rsidR="00EE5D9D" w:rsidRDefault="00EE5D9D" w:rsidP="00826BC8">
            <w:pPr>
              <w:pStyle w:val="BulletCD"/>
              <w:numPr>
                <w:ilvl w:val="0"/>
                <w:numId w:val="0"/>
              </w:numPr>
              <w:rPr>
                <w:b/>
                <w:lang w:val="en-US"/>
              </w:rPr>
            </w:pPr>
            <w:r>
              <w:rPr>
                <w:b/>
                <w:lang w:val="en-US"/>
              </w:rPr>
              <w:t>Disclosure</w:t>
            </w:r>
          </w:p>
          <w:p w:rsidR="00EE5D9D" w:rsidRPr="006A73B2" w:rsidRDefault="00EE5D9D" w:rsidP="00826BC8">
            <w:pPr>
              <w:pStyle w:val="BulletCD"/>
              <w:numPr>
                <w:ilvl w:val="0"/>
                <w:numId w:val="0"/>
              </w:numPr>
              <w:ind w:left="284" w:hanging="284"/>
            </w:pPr>
            <w:r w:rsidRPr="006A73B2">
              <w:t>Delete</w:t>
            </w:r>
            <w:r>
              <w:t xml:space="preserve"> clause 26</w:t>
            </w:r>
            <w:r w:rsidRPr="006A73B2">
              <w:t xml:space="preserve"> and replace with:</w:t>
            </w:r>
          </w:p>
          <w:p w:rsidR="00EE5D9D" w:rsidRPr="006A73B2" w:rsidRDefault="00EE5D9D" w:rsidP="00826BC8">
            <w:pPr>
              <w:pStyle w:val="BulletCD"/>
              <w:numPr>
                <w:ilvl w:val="0"/>
                <w:numId w:val="0"/>
              </w:numPr>
            </w:pPr>
            <w:r w:rsidRPr="006A73B2">
              <w:t>26.1</w:t>
            </w:r>
            <w:r w:rsidRPr="006A73B2">
              <w:tab/>
              <w:t xml:space="preserve">Except with the written consent of the </w:t>
            </w:r>
            <w:r w:rsidRPr="006A73B2">
              <w:rPr>
                <w:i/>
              </w:rPr>
              <w:t>Client</w:t>
            </w:r>
            <w:r w:rsidRPr="006A73B2">
              <w:t xml:space="preserve">, the </w:t>
            </w:r>
            <w:r w:rsidRPr="006A73B2">
              <w:rPr>
                <w:i/>
              </w:rPr>
              <w:t>Consultant</w:t>
            </w:r>
            <w:r w:rsidRPr="006A73B2">
              <w:t xml:space="preserve"> shall not disclose the </w:t>
            </w:r>
            <w:r w:rsidRPr="006A73B2">
              <w:rPr>
                <w:i/>
              </w:rPr>
              <w:t>services</w:t>
            </w:r>
            <w:r w:rsidRPr="006A73B2">
              <w:t xml:space="preserve"> to any person other than a person employed by the </w:t>
            </w:r>
            <w:r w:rsidRPr="006A73B2">
              <w:rPr>
                <w:i/>
              </w:rPr>
              <w:t>Consultant</w:t>
            </w:r>
            <w:r w:rsidRPr="006A73B2">
              <w:t xml:space="preserve"> or a </w:t>
            </w:r>
            <w:proofErr w:type="spellStart"/>
            <w:r w:rsidRPr="006A73B2">
              <w:t>Subconsultant</w:t>
            </w:r>
            <w:proofErr w:type="spellEnd"/>
            <w:r w:rsidRPr="006A73B2">
              <w:t xml:space="preserve">. Disclosure shall be confined to those members of staff whose access to the information is essential for performance of the </w:t>
            </w:r>
            <w:r w:rsidRPr="006A73B2">
              <w:rPr>
                <w:i/>
              </w:rPr>
              <w:t>services</w:t>
            </w:r>
            <w:r w:rsidRPr="006A73B2">
              <w:t>.</w:t>
            </w:r>
          </w:p>
          <w:p w:rsidR="00EE5D9D" w:rsidRPr="006A73B2" w:rsidRDefault="00EE5D9D" w:rsidP="00826BC8">
            <w:pPr>
              <w:pStyle w:val="BulletCD"/>
              <w:numPr>
                <w:ilvl w:val="0"/>
                <w:numId w:val="0"/>
              </w:numPr>
            </w:pPr>
            <w:r w:rsidRPr="006A73B2">
              <w:lastRenderedPageBreak/>
              <w:t>26.2</w:t>
            </w:r>
            <w:r w:rsidRPr="006A73B2">
              <w:tab/>
              <w:t>Subject to clause 26.5, 26.6 and 26.7, each Party:</w:t>
            </w:r>
          </w:p>
          <w:p w:rsidR="00EE5D9D" w:rsidRPr="006A73B2" w:rsidRDefault="00EE5D9D" w:rsidP="00826BC8">
            <w:pPr>
              <w:pStyle w:val="BulletCD"/>
              <w:ind w:left="0"/>
            </w:pPr>
            <w:r w:rsidRPr="006A73B2">
              <w:t>a)   shall treat in confidence all Information it shall receive from the other;</w:t>
            </w:r>
          </w:p>
          <w:p w:rsidR="00EE5D9D" w:rsidRPr="006A73B2" w:rsidRDefault="00EE5D9D" w:rsidP="00826BC8">
            <w:pPr>
              <w:pStyle w:val="BulletCD"/>
              <w:ind w:left="0"/>
            </w:pPr>
            <w:r w:rsidRPr="006A73B2">
              <w:t xml:space="preserve">b)   shall not disclose any of that Information to any third party without the prior written consent of the other Party, which consent shall not be unreasonably withheld, except that the </w:t>
            </w:r>
            <w:r w:rsidRPr="006A73B2">
              <w:rPr>
                <w:i/>
              </w:rPr>
              <w:t>Consultant</w:t>
            </w:r>
            <w:r w:rsidRPr="006A73B2">
              <w:t xml:space="preserve"> may disclose Information in confidence, without prior consent, to such persons as and to such extent as may be necessary for the performance of the services;</w:t>
            </w:r>
          </w:p>
          <w:p w:rsidR="00EE5D9D" w:rsidRPr="006A73B2" w:rsidRDefault="00EE5D9D" w:rsidP="00826BC8">
            <w:pPr>
              <w:pStyle w:val="BulletCD"/>
              <w:ind w:left="0"/>
            </w:pPr>
            <w:r w:rsidRPr="006A73B2">
              <w:t xml:space="preserve">c)     shall not use any of that information otherwise than for the purpose of performing the </w:t>
            </w:r>
            <w:r w:rsidRPr="006A73B2">
              <w:rPr>
                <w:i/>
              </w:rPr>
              <w:t>services</w:t>
            </w:r>
            <w:r w:rsidRPr="006A73B2">
              <w:t xml:space="preserve">; and </w:t>
            </w:r>
          </w:p>
          <w:p w:rsidR="00EE5D9D" w:rsidRPr="006A73B2" w:rsidRDefault="00EE5D9D" w:rsidP="00826BC8">
            <w:pPr>
              <w:pStyle w:val="BulletCD"/>
              <w:ind w:left="0"/>
            </w:pPr>
            <w:r w:rsidRPr="006A73B2">
              <w:t xml:space="preserve">d)     </w:t>
            </w:r>
            <w:proofErr w:type="gramStart"/>
            <w:r w:rsidRPr="006A73B2">
              <w:t>shall</w:t>
            </w:r>
            <w:proofErr w:type="gramEnd"/>
            <w:r w:rsidRPr="006A73B2">
              <w:t xml:space="preserve"> not copy any of that Information except to the extent necessary for the purpose of exercising its rights of use and disclosure under this agreement. </w:t>
            </w:r>
          </w:p>
          <w:p w:rsidR="00EE5D9D" w:rsidRPr="006A73B2" w:rsidRDefault="00EE5D9D" w:rsidP="00826BC8">
            <w:pPr>
              <w:pStyle w:val="BulletCD"/>
              <w:numPr>
                <w:ilvl w:val="0"/>
                <w:numId w:val="0"/>
              </w:numPr>
            </w:pPr>
            <w:r w:rsidRPr="006A73B2">
              <w:t>26.3</w:t>
            </w:r>
            <w:r w:rsidRPr="006A73B2">
              <w:tab/>
              <w:t xml:space="preserve">The </w:t>
            </w:r>
            <w:r w:rsidRPr="006A73B2">
              <w:rPr>
                <w:i/>
              </w:rPr>
              <w:t>Consultant</w:t>
            </w:r>
            <w:r w:rsidRPr="006A73B2">
              <w:t xml:space="preserve"> shall take all reasonable precautions necessary to ensure that all the Information disclosed to the </w:t>
            </w:r>
            <w:r w:rsidRPr="006A73B2">
              <w:rPr>
                <w:i/>
              </w:rPr>
              <w:t>Consultant</w:t>
            </w:r>
            <w:r w:rsidRPr="006A73B2">
              <w:t xml:space="preserve"> by or on behalf of the </w:t>
            </w:r>
            <w:r w:rsidRPr="006A73B2">
              <w:rPr>
                <w:i/>
              </w:rPr>
              <w:t>Client</w:t>
            </w:r>
            <w:r w:rsidRPr="006A73B2">
              <w:t xml:space="preserve"> under or in connection with this agreement:</w:t>
            </w:r>
          </w:p>
          <w:p w:rsidR="00EE5D9D" w:rsidRPr="006A73B2" w:rsidRDefault="00EE5D9D" w:rsidP="00826BC8">
            <w:pPr>
              <w:pStyle w:val="BulletCD"/>
              <w:ind w:left="0"/>
            </w:pPr>
            <w:r w:rsidRPr="006A73B2">
              <w:t xml:space="preserve">a) is disclosed to its employees and </w:t>
            </w:r>
            <w:proofErr w:type="spellStart"/>
            <w:r w:rsidRPr="006A73B2">
              <w:t>Subconsultants</w:t>
            </w:r>
            <w:proofErr w:type="spellEnd"/>
            <w:r w:rsidRPr="006A73B2">
              <w:t xml:space="preserve"> only to the extent necessary for the performance of the </w:t>
            </w:r>
            <w:r w:rsidRPr="006A73B2">
              <w:rPr>
                <w:i/>
              </w:rPr>
              <w:t>services</w:t>
            </w:r>
            <w:r w:rsidRPr="006A73B2">
              <w:t>;</w:t>
            </w:r>
          </w:p>
          <w:p w:rsidR="00EE5D9D" w:rsidRPr="006A73B2" w:rsidRDefault="00EE5D9D" w:rsidP="00826BC8">
            <w:pPr>
              <w:pStyle w:val="BulletCD"/>
              <w:ind w:left="0"/>
            </w:pPr>
            <w:r w:rsidRPr="006A73B2">
              <w:t xml:space="preserve">b) is treated in confidence by them and not disclosed except with prior written consent or used otherwise than for performing work or having work performed for the </w:t>
            </w:r>
            <w:r w:rsidRPr="006A73B2">
              <w:rPr>
                <w:i/>
              </w:rPr>
              <w:t>Client</w:t>
            </w:r>
            <w:r w:rsidRPr="006A73B2">
              <w:t xml:space="preserve"> under this agreement or any </w:t>
            </w:r>
            <w:proofErr w:type="spellStart"/>
            <w:r w:rsidRPr="006A73B2">
              <w:t>subconsultancy</w:t>
            </w:r>
            <w:proofErr w:type="spellEnd"/>
            <w:r w:rsidRPr="006A73B2">
              <w:t xml:space="preserve"> agreement.</w:t>
            </w:r>
          </w:p>
          <w:p w:rsidR="00EE5D9D" w:rsidRPr="006A73B2" w:rsidRDefault="00EE5D9D" w:rsidP="00826BC8">
            <w:pPr>
              <w:pStyle w:val="BulletCD"/>
              <w:ind w:left="0"/>
            </w:pPr>
            <w:r w:rsidRPr="006A73B2">
              <w:t xml:space="preserve">c) is returned to the </w:t>
            </w:r>
            <w:r w:rsidRPr="006A73B2">
              <w:rPr>
                <w:i/>
              </w:rPr>
              <w:t>Client</w:t>
            </w:r>
            <w:r w:rsidRPr="006A73B2">
              <w:t xml:space="preserve"> by the </w:t>
            </w:r>
            <w:r w:rsidRPr="006A73B2">
              <w:rPr>
                <w:i/>
              </w:rPr>
              <w:t>Consultant</w:t>
            </w:r>
            <w:r w:rsidRPr="006A73B2">
              <w:t xml:space="preserve"> on Completion of the whole of the Services</w:t>
            </w:r>
          </w:p>
          <w:p w:rsidR="00EE5D9D" w:rsidRPr="006A73B2" w:rsidRDefault="00EE5D9D" w:rsidP="00826BC8">
            <w:pPr>
              <w:pStyle w:val="BulletCD"/>
              <w:numPr>
                <w:ilvl w:val="0"/>
                <w:numId w:val="0"/>
              </w:numPr>
              <w:tabs>
                <w:tab w:val="clear" w:pos="284"/>
                <w:tab w:val="left" w:pos="635"/>
              </w:tabs>
            </w:pPr>
            <w:r w:rsidRPr="006A73B2">
              <w:t>26.4</w:t>
            </w:r>
            <w:r w:rsidRPr="006A73B2">
              <w:tab/>
              <w:t xml:space="preserve">The </w:t>
            </w:r>
            <w:r w:rsidRPr="006A73B2">
              <w:rPr>
                <w:i/>
              </w:rPr>
              <w:t>Consultant</w:t>
            </w:r>
            <w:r w:rsidRPr="006A73B2">
              <w:t xml:space="preserve"> shall ensure that its employees, and its </w:t>
            </w:r>
            <w:proofErr w:type="spellStart"/>
            <w:r w:rsidRPr="006A73B2">
              <w:t>Subconsultants</w:t>
            </w:r>
            <w:proofErr w:type="spellEnd"/>
            <w:r w:rsidRPr="006A73B2">
              <w:t xml:space="preserve"> and their employees, are aware of its arrangements for discharging the obligations under clause 26.1, 26.2 and 26.3 before they receive Information and take such steps as may be reasonably practical to enforce such arrangements.</w:t>
            </w:r>
          </w:p>
          <w:p w:rsidR="00EE5D9D" w:rsidRPr="006A73B2" w:rsidRDefault="00EE5D9D" w:rsidP="00826BC8">
            <w:pPr>
              <w:pStyle w:val="BulletCD"/>
              <w:numPr>
                <w:ilvl w:val="0"/>
                <w:numId w:val="0"/>
              </w:numPr>
            </w:pPr>
            <w:r w:rsidRPr="006A73B2">
              <w:t>26.5</w:t>
            </w:r>
            <w:r w:rsidRPr="006A73B2">
              <w:tab/>
              <w:t>Clause 26.2 and 26.3 shall not apply to the Information to the extent that either Party:</w:t>
            </w:r>
          </w:p>
          <w:p w:rsidR="00EE5D9D" w:rsidRPr="006A73B2" w:rsidRDefault="00EE5D9D" w:rsidP="00826BC8">
            <w:pPr>
              <w:pStyle w:val="BulletCD"/>
              <w:ind w:left="0"/>
            </w:pPr>
            <w:r w:rsidRPr="006A73B2">
              <w:t>a) exercises rights of use or disclosure granted otherwise than in consequence of, or, this agreement;</w:t>
            </w:r>
          </w:p>
          <w:p w:rsidR="00EE5D9D" w:rsidRPr="006A73B2" w:rsidRDefault="00EE5D9D" w:rsidP="00826BC8">
            <w:pPr>
              <w:pStyle w:val="BulletCD"/>
              <w:ind w:left="0"/>
            </w:pPr>
            <w:r w:rsidRPr="006A73B2">
              <w:t>b) has the right to use or disclose the Information in accordance with other conditions of this agreement</w:t>
            </w:r>
          </w:p>
          <w:p w:rsidR="00EE5D9D" w:rsidRPr="006A73B2" w:rsidRDefault="00EE5D9D" w:rsidP="00826BC8">
            <w:pPr>
              <w:pStyle w:val="BulletCD"/>
              <w:ind w:left="0"/>
            </w:pPr>
            <w:r w:rsidRPr="006A73B2">
              <w:t>c) can show:</w:t>
            </w:r>
          </w:p>
          <w:p w:rsidR="00EE5D9D" w:rsidRPr="006A73B2" w:rsidRDefault="00EE5D9D" w:rsidP="00826BC8">
            <w:pPr>
              <w:pStyle w:val="BulletCD"/>
              <w:ind w:left="0"/>
            </w:pPr>
            <w:r w:rsidRPr="006A73B2">
              <w:t>i) that the Information was or has become published or publicly available for use otherwise than in breach of any provision of this agreement or any other agreement between the Parties;</w:t>
            </w:r>
          </w:p>
          <w:p w:rsidR="00EE5D9D" w:rsidRPr="006A73B2" w:rsidRDefault="00EE5D9D" w:rsidP="00826BC8">
            <w:pPr>
              <w:pStyle w:val="BulletCD"/>
              <w:ind w:left="0"/>
            </w:pPr>
            <w:r w:rsidRPr="006A73B2">
              <w:t xml:space="preserve">ii) that the Information was already known to it (without restrictions on disclosure or use) prior to it receiving it under or in connection with the </w:t>
            </w:r>
            <w:r w:rsidRPr="006A73B2">
              <w:rPr>
                <w:i/>
              </w:rPr>
              <w:t>services</w:t>
            </w:r>
            <w:r w:rsidRPr="006A73B2">
              <w:t>;</w:t>
            </w:r>
          </w:p>
          <w:p w:rsidR="00EE5D9D" w:rsidRPr="006A73B2" w:rsidRDefault="00EE5D9D" w:rsidP="00826BC8">
            <w:pPr>
              <w:pStyle w:val="BulletCD"/>
              <w:ind w:left="0"/>
            </w:pPr>
            <w:r w:rsidRPr="006A73B2">
              <w:t>iii) that the Information was received without restriction on further disclosure from a third party who lawfully acquired it and who is itself under no obligation restricting its disclosure; or</w:t>
            </w:r>
          </w:p>
          <w:p w:rsidR="00EE5D9D" w:rsidRPr="006A73B2" w:rsidRDefault="00EE5D9D" w:rsidP="00826BC8">
            <w:pPr>
              <w:pStyle w:val="BulletCD"/>
              <w:ind w:left="0"/>
            </w:pPr>
            <w:r w:rsidRPr="006A73B2">
              <w:lastRenderedPageBreak/>
              <w:t xml:space="preserve">iv) </w:t>
            </w:r>
            <w:proofErr w:type="gramStart"/>
            <w:r w:rsidRPr="006A73B2">
              <w:t>from</w:t>
            </w:r>
            <w:proofErr w:type="gramEnd"/>
            <w:r w:rsidRPr="006A73B2">
              <w:t xml:space="preserve"> its records that the same information was derived independently of that received under or in connection with the services; provided the relationship to any other Information is not revealed.    </w:t>
            </w:r>
          </w:p>
          <w:p w:rsidR="00EE5D9D" w:rsidRPr="006A73B2" w:rsidRDefault="00EE5D9D" w:rsidP="00826BC8">
            <w:pPr>
              <w:pStyle w:val="BulletCD"/>
              <w:numPr>
                <w:ilvl w:val="0"/>
                <w:numId w:val="0"/>
              </w:numPr>
              <w:tabs>
                <w:tab w:val="clear" w:pos="284"/>
                <w:tab w:val="left" w:pos="68"/>
              </w:tabs>
            </w:pPr>
            <w:r w:rsidRPr="006A73B2">
              <w:t>26.6</w:t>
            </w:r>
            <w:r w:rsidRPr="006A73B2">
              <w:tab/>
              <w:t>Neither Party shall be in breach of this Clause 26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disclosures shall in no way diminish the obligations of the Parties under this Clause.</w:t>
            </w:r>
          </w:p>
          <w:p w:rsidR="00EE5D9D" w:rsidRPr="006A73B2" w:rsidRDefault="00EE5D9D" w:rsidP="00826BC8">
            <w:pPr>
              <w:pStyle w:val="BulletCD"/>
              <w:numPr>
                <w:ilvl w:val="0"/>
                <w:numId w:val="0"/>
              </w:numPr>
            </w:pPr>
            <w:r w:rsidRPr="006A73B2">
              <w:t>26.7</w:t>
            </w:r>
            <w:r w:rsidRPr="006A73B2">
              <w:tab/>
              <w:t xml:space="preserve">The </w:t>
            </w:r>
            <w:r w:rsidRPr="006A73B2">
              <w:rPr>
                <w:i/>
              </w:rPr>
              <w:t>Client</w:t>
            </w:r>
            <w:r w:rsidRPr="006A73B2">
              <w:t xml:space="preserve"> shall not be in breach of this Clause 26 where it can show that any disclosure of Information is made solely and to the extent necessary to comply with the Freedom of Information Act 2000 (“the Act”) or the Environmental Information Regulations 2004 (“the Regulations”).  To the extent permitted by the time for compliance with the Act or the Regulations, the </w:t>
            </w:r>
            <w:r w:rsidRPr="006A73B2">
              <w:rPr>
                <w:i/>
              </w:rPr>
              <w:t>Client</w:t>
            </w:r>
            <w:r w:rsidRPr="006A73B2">
              <w:t xml:space="preserve"> shall consult the </w:t>
            </w:r>
            <w:r w:rsidRPr="006A73B2">
              <w:rPr>
                <w:i/>
              </w:rPr>
              <w:t>Consultant</w:t>
            </w:r>
            <w:r w:rsidRPr="006A73B2">
              <w:t xml:space="preserve"> where the </w:t>
            </w:r>
            <w:r w:rsidRPr="006A73B2">
              <w:rPr>
                <w:i/>
              </w:rPr>
              <w:t>Client</w:t>
            </w:r>
            <w:r w:rsidRPr="006A73B2">
              <w:t xml:space="preserve"> is considering the disclosure of Information under the Act or the Regulations and, in any event, shall provide prior notification to the </w:t>
            </w:r>
            <w:r w:rsidRPr="006A73B2">
              <w:rPr>
                <w:i/>
              </w:rPr>
              <w:t>Consultant</w:t>
            </w:r>
            <w:r w:rsidRPr="006A73B2">
              <w:t xml:space="preserve"> of any decision to disclose the Information. The </w:t>
            </w:r>
            <w:r w:rsidRPr="006A73B2">
              <w:rPr>
                <w:i/>
              </w:rPr>
              <w:t>Consultant</w:t>
            </w:r>
            <w:r w:rsidRPr="006A73B2">
              <w:t xml:space="preserve"> acknowledges and accepts that its representations on disclosure during consultation may not be determinative and that the decision whether to disclose Information in order to comply with the Act or the Regulations is a matter in which the </w:t>
            </w:r>
            <w:r w:rsidRPr="006A73B2">
              <w:rPr>
                <w:i/>
              </w:rPr>
              <w:t>Client</w:t>
            </w:r>
            <w:r w:rsidRPr="006A73B2">
              <w:t xml:space="preserve"> shall exercise its own discretion, subject always to the provisions of the Act or the Regulations.  For the avoidance of doubt, nothing in this condition shall affect the </w:t>
            </w:r>
            <w:r w:rsidRPr="006A73B2">
              <w:rPr>
                <w:i/>
              </w:rPr>
              <w:t>Consultant’s</w:t>
            </w:r>
            <w:r w:rsidRPr="006A73B2">
              <w:t xml:space="preserve"> rights at law.</w:t>
            </w:r>
          </w:p>
          <w:p w:rsidR="00EE5D9D" w:rsidRPr="006A73B2" w:rsidRDefault="00EE5D9D" w:rsidP="00826BC8">
            <w:pPr>
              <w:pStyle w:val="BulletCD"/>
              <w:numPr>
                <w:ilvl w:val="0"/>
                <w:numId w:val="0"/>
              </w:numPr>
            </w:pPr>
            <w:r w:rsidRPr="006A73B2">
              <w:t>26.8</w:t>
            </w:r>
            <w:r w:rsidRPr="006A73B2">
              <w:tab/>
              <w:t>Nothing in this Clause shall affect the Parties’ obligations of confidentiality where information is disclosed orally in confidence.</w:t>
            </w:r>
          </w:p>
          <w:p w:rsidR="00EE5D9D" w:rsidRPr="006A73B2" w:rsidRDefault="00EE5D9D" w:rsidP="00826BC8">
            <w:pPr>
              <w:pStyle w:val="BulletCD"/>
              <w:numPr>
                <w:ilvl w:val="0"/>
                <w:numId w:val="0"/>
              </w:numPr>
              <w:rPr>
                <w:lang w:val="en-US"/>
              </w:rPr>
            </w:pPr>
          </w:p>
        </w:tc>
      </w:tr>
      <w:tr w:rsidR="00EE5D9D" w:rsidRPr="006A73B2" w:rsidTr="00826BC8">
        <w:tc>
          <w:tcPr>
            <w:tcW w:w="2376" w:type="dxa"/>
          </w:tcPr>
          <w:p w:rsidR="00EE5D9D" w:rsidRDefault="00EE5D9D" w:rsidP="00826BC8">
            <w:pPr>
              <w:pStyle w:val="Heading3CD"/>
              <w:rPr>
                <w:bCs/>
                <w:iCs/>
              </w:rPr>
            </w:pPr>
            <w:r>
              <w:rPr>
                <w:bCs/>
                <w:iCs/>
              </w:rPr>
              <w:lastRenderedPageBreak/>
              <w:t>Option Z105</w:t>
            </w:r>
          </w:p>
        </w:tc>
        <w:tc>
          <w:tcPr>
            <w:tcW w:w="7371" w:type="dxa"/>
          </w:tcPr>
          <w:p w:rsidR="00EE5D9D" w:rsidRPr="006A73B2" w:rsidRDefault="00EE5D9D" w:rsidP="00826BC8">
            <w:pPr>
              <w:pStyle w:val="BulletCD"/>
              <w:numPr>
                <w:ilvl w:val="0"/>
                <w:numId w:val="0"/>
              </w:numPr>
              <w:rPr>
                <w:b/>
                <w:lang w:val="en-US"/>
              </w:rPr>
            </w:pPr>
            <w:r w:rsidRPr="006A73B2">
              <w:rPr>
                <w:b/>
                <w:lang w:val="en-US"/>
              </w:rPr>
              <w:t>Rights to Material</w:t>
            </w:r>
          </w:p>
          <w:p w:rsidR="00EE5D9D" w:rsidRPr="006A73B2" w:rsidRDefault="00EE5D9D" w:rsidP="00826BC8">
            <w:pPr>
              <w:pStyle w:val="BulletCD"/>
              <w:numPr>
                <w:ilvl w:val="0"/>
                <w:numId w:val="0"/>
              </w:numPr>
              <w:ind w:left="284" w:hanging="284"/>
            </w:pPr>
            <w:r w:rsidRPr="006A73B2">
              <w:t>Del</w:t>
            </w:r>
            <w:r>
              <w:t>ete clause 70 and replace with:</w:t>
            </w:r>
          </w:p>
          <w:p w:rsidR="00EE5D9D" w:rsidRPr="006A73B2" w:rsidRDefault="00EE5D9D" w:rsidP="00826BC8">
            <w:pPr>
              <w:pStyle w:val="BulletCD"/>
              <w:ind w:left="0"/>
            </w:pPr>
            <w:r w:rsidRPr="006A73B2">
              <w:t xml:space="preserve">70.1        All Foreground Information and intellectual property rights therein shall vest in and be the property of the </w:t>
            </w:r>
            <w:r w:rsidRPr="006A73B2">
              <w:rPr>
                <w:i/>
              </w:rPr>
              <w:t>Client</w:t>
            </w:r>
            <w:r w:rsidRPr="006A73B2">
              <w:t xml:space="preserve"> on their creation.</w:t>
            </w:r>
          </w:p>
          <w:p w:rsidR="00EE5D9D" w:rsidRPr="006A73B2" w:rsidRDefault="00EE5D9D" w:rsidP="00826BC8">
            <w:pPr>
              <w:pStyle w:val="BulletCD"/>
              <w:ind w:left="0"/>
            </w:pPr>
            <w:r w:rsidRPr="006A73B2">
              <w:t>70.2</w:t>
            </w:r>
            <w:r w:rsidRPr="006A73B2">
              <w:tab/>
              <w:t xml:space="preserve">To the extent that any intellectual property rights in any of the Foreground Information does not automatically vest in the </w:t>
            </w:r>
            <w:r w:rsidRPr="006A73B2">
              <w:rPr>
                <w:i/>
              </w:rPr>
              <w:t>Client</w:t>
            </w:r>
            <w:r w:rsidRPr="006A73B2">
              <w:t xml:space="preserve">, the </w:t>
            </w:r>
            <w:r w:rsidRPr="006A73B2">
              <w:rPr>
                <w:i/>
              </w:rPr>
              <w:t>Consultant</w:t>
            </w:r>
            <w:r w:rsidRPr="006A73B2">
              <w:t xml:space="preserve"> shall with full title guarantee, assign or procure the assignment to the </w:t>
            </w:r>
            <w:r w:rsidRPr="006A73B2">
              <w:rPr>
                <w:i/>
              </w:rPr>
              <w:t>Client</w:t>
            </w:r>
            <w:r w:rsidRPr="006A73B2">
              <w:t xml:space="preserve"> of all intellectual property rights in such Foreground Information free from lien, charge or encumbrance. </w:t>
            </w:r>
          </w:p>
          <w:p w:rsidR="00EE5D9D" w:rsidRPr="006A73B2" w:rsidRDefault="00EE5D9D" w:rsidP="00826BC8">
            <w:pPr>
              <w:pStyle w:val="BulletCD"/>
              <w:ind w:left="0"/>
            </w:pPr>
            <w:r w:rsidRPr="006A73B2">
              <w:t>70.3</w:t>
            </w:r>
            <w:r w:rsidRPr="006A73B2">
              <w:tab/>
              <w:t xml:space="preserve">The </w:t>
            </w:r>
            <w:r w:rsidRPr="006A73B2">
              <w:rPr>
                <w:i/>
              </w:rPr>
              <w:t>Client</w:t>
            </w:r>
            <w:r w:rsidRPr="006A73B2">
              <w:t xml:space="preserve"> hereby grants to the </w:t>
            </w:r>
            <w:r w:rsidRPr="006A73B2">
              <w:rPr>
                <w:i/>
              </w:rPr>
              <w:t>Consultant</w:t>
            </w:r>
            <w:r w:rsidRPr="006A73B2">
              <w:t xml:space="preserve"> for the contract period and free of charge a non-exclusive royalty free licence, together with a sub-licence to </w:t>
            </w:r>
            <w:proofErr w:type="spellStart"/>
            <w:r w:rsidRPr="006A73B2">
              <w:t>Subconsultants</w:t>
            </w:r>
            <w:proofErr w:type="spellEnd"/>
            <w:r w:rsidRPr="006A73B2">
              <w:t xml:space="preserve">, to use such of the Foreground Information as the </w:t>
            </w:r>
            <w:r w:rsidRPr="006A73B2">
              <w:rPr>
                <w:i/>
              </w:rPr>
              <w:t>Consultant</w:t>
            </w:r>
            <w:r w:rsidRPr="006A73B2">
              <w:t xml:space="preserve"> reasonably requires for the purposes of performing the services.</w:t>
            </w:r>
          </w:p>
          <w:p w:rsidR="00EE5D9D" w:rsidRPr="006A73B2" w:rsidRDefault="00EE5D9D" w:rsidP="00826BC8">
            <w:pPr>
              <w:pStyle w:val="BulletCD"/>
              <w:ind w:left="0"/>
            </w:pPr>
            <w:r w:rsidRPr="006A73B2">
              <w:t>70.4</w:t>
            </w:r>
            <w:r w:rsidRPr="006A73B2">
              <w:tab/>
              <w:t xml:space="preserve">The </w:t>
            </w:r>
            <w:r w:rsidRPr="006A73B2">
              <w:rPr>
                <w:i/>
              </w:rPr>
              <w:t>Consultant</w:t>
            </w:r>
            <w:r w:rsidRPr="006A73B2">
              <w:t xml:space="preserve"> hereby grants to the </w:t>
            </w:r>
            <w:r w:rsidRPr="006A73B2">
              <w:rPr>
                <w:i/>
              </w:rPr>
              <w:t>Client</w:t>
            </w:r>
            <w:r w:rsidRPr="006A73B2">
              <w:t xml:space="preserve">, subject to the rights of third parties, a perpetual, irrevocable and royalty free licence to use the Background Information and any intellectual property rights therein as </w:t>
            </w:r>
            <w:r w:rsidRPr="006A73B2">
              <w:lastRenderedPageBreak/>
              <w:t>required to use the Foreground Information and/or the Documents for any purpose.</w:t>
            </w:r>
          </w:p>
          <w:p w:rsidR="00EE5D9D" w:rsidRPr="006A73B2" w:rsidRDefault="00EE5D9D" w:rsidP="00826BC8">
            <w:pPr>
              <w:pStyle w:val="BulletCD"/>
              <w:ind w:left="0"/>
            </w:pPr>
            <w:r w:rsidRPr="006A73B2">
              <w:t>70.5</w:t>
            </w:r>
            <w:r w:rsidRPr="006A73B2">
              <w:tab/>
              <w:t xml:space="preserve">The </w:t>
            </w:r>
            <w:r w:rsidRPr="006A73B2">
              <w:rPr>
                <w:i/>
              </w:rPr>
              <w:t>Consultant</w:t>
            </w:r>
            <w:r w:rsidRPr="006A73B2">
              <w:t xml:space="preserve"> shall highlight to the </w:t>
            </w:r>
            <w:r w:rsidRPr="006A73B2">
              <w:rPr>
                <w:i/>
              </w:rPr>
              <w:t>Client</w:t>
            </w:r>
            <w:r w:rsidRPr="006A73B2">
              <w:t xml:space="preserve"> any third party intellectual property rights which appear to be relevant to the </w:t>
            </w:r>
            <w:r w:rsidRPr="006A73B2">
              <w:rPr>
                <w:i/>
              </w:rPr>
              <w:t>Clients</w:t>
            </w:r>
            <w:r w:rsidRPr="006A73B2">
              <w:t xml:space="preserve"> use of the Foreground Information and/or the Documents, and following consultation with the </w:t>
            </w:r>
            <w:r w:rsidRPr="006A73B2">
              <w:rPr>
                <w:i/>
              </w:rPr>
              <w:t>Client</w:t>
            </w:r>
            <w:r w:rsidRPr="006A73B2">
              <w:t xml:space="preserve"> and insofar as reasonably practicable the </w:t>
            </w:r>
            <w:r w:rsidRPr="006A73B2">
              <w:rPr>
                <w:i/>
              </w:rPr>
              <w:t>Consultant</w:t>
            </w:r>
            <w:r w:rsidRPr="006A73B2">
              <w:t xml:space="preserve"> shall secure a licence on behalf of the </w:t>
            </w:r>
            <w:r w:rsidRPr="006A73B2">
              <w:rPr>
                <w:i/>
              </w:rPr>
              <w:t>Client</w:t>
            </w:r>
            <w:r w:rsidRPr="006A73B2">
              <w:t xml:space="preserve"> to use the third party intellectual property rights.</w:t>
            </w:r>
          </w:p>
          <w:p w:rsidR="00EE5D9D" w:rsidRPr="006A73B2" w:rsidRDefault="00EE5D9D" w:rsidP="00826BC8">
            <w:pPr>
              <w:pStyle w:val="BulletCD"/>
              <w:ind w:left="0"/>
            </w:pPr>
            <w:r w:rsidRPr="006A73B2">
              <w:t>70.6</w:t>
            </w:r>
            <w:r w:rsidRPr="006A73B2">
              <w:tab/>
              <w:t xml:space="preserve">The </w:t>
            </w:r>
            <w:r w:rsidRPr="006A73B2">
              <w:rPr>
                <w:i/>
              </w:rPr>
              <w:t>Consultant</w:t>
            </w:r>
            <w:r w:rsidRPr="006A73B2">
              <w:t xml:space="preserve"> shall, following consultation with the </w:t>
            </w:r>
            <w:r w:rsidRPr="006A73B2">
              <w:rPr>
                <w:i/>
              </w:rPr>
              <w:t>Client</w:t>
            </w:r>
            <w:r w:rsidRPr="006A73B2">
              <w:t xml:space="preserve"> and insofar as reasonably practicable, secure a licence on behalf of the </w:t>
            </w:r>
            <w:r w:rsidRPr="006A73B2">
              <w:rPr>
                <w:i/>
              </w:rPr>
              <w:t>Client</w:t>
            </w:r>
            <w:r w:rsidRPr="006A73B2">
              <w:t xml:space="preserve"> to use any third party software (except for commonly used and commercially available software) used by the </w:t>
            </w:r>
            <w:r w:rsidRPr="006A73B2">
              <w:rPr>
                <w:i/>
              </w:rPr>
              <w:t>Consultant</w:t>
            </w:r>
            <w:r w:rsidRPr="006A73B2">
              <w:t xml:space="preserve"> and its </w:t>
            </w:r>
            <w:proofErr w:type="spellStart"/>
            <w:r w:rsidRPr="006A73B2">
              <w:t>Subconsultants</w:t>
            </w:r>
            <w:proofErr w:type="spellEnd"/>
            <w:r w:rsidRPr="006A73B2">
              <w:t xml:space="preserve"> in performing the services, </w:t>
            </w:r>
          </w:p>
          <w:p w:rsidR="00EE5D9D" w:rsidRPr="006A73B2" w:rsidRDefault="00EE5D9D" w:rsidP="00826BC8">
            <w:pPr>
              <w:pStyle w:val="BulletCD"/>
              <w:ind w:left="0"/>
            </w:pPr>
            <w:r w:rsidRPr="006A73B2">
              <w:t>70.7</w:t>
            </w:r>
            <w:r w:rsidRPr="006A73B2">
              <w:tab/>
              <w:t xml:space="preserve">All licences shall be purchased in consultation with the </w:t>
            </w:r>
            <w:r w:rsidRPr="006A73B2">
              <w:rPr>
                <w:i/>
              </w:rPr>
              <w:t>Client</w:t>
            </w:r>
            <w:r w:rsidRPr="006A73B2">
              <w:t xml:space="preserve"> so that licence terms appropriate to the intended use of such intellectual property rights or software are obtained. </w:t>
            </w:r>
          </w:p>
          <w:p w:rsidR="00EE5D9D" w:rsidRPr="006A73B2" w:rsidRDefault="00EE5D9D" w:rsidP="00826BC8">
            <w:pPr>
              <w:pStyle w:val="BulletCD"/>
              <w:ind w:left="0"/>
            </w:pPr>
            <w:r w:rsidRPr="006A73B2">
              <w:t>70.8</w:t>
            </w:r>
            <w:r w:rsidRPr="006A73B2">
              <w:tab/>
              <w:t xml:space="preserve">The </w:t>
            </w:r>
            <w:r w:rsidRPr="006A73B2">
              <w:rPr>
                <w:i/>
              </w:rPr>
              <w:t>Consultant</w:t>
            </w:r>
            <w:r w:rsidRPr="006A73B2">
              <w:t xml:space="preserve"> shall indemnify the </w:t>
            </w:r>
            <w:r w:rsidRPr="006A73B2">
              <w:rPr>
                <w:i/>
              </w:rPr>
              <w:t>Client</w:t>
            </w:r>
            <w:r w:rsidRPr="006A73B2">
              <w:t xml:space="preserve"> and keep the </w:t>
            </w:r>
            <w:r w:rsidRPr="006A73B2">
              <w:rPr>
                <w:i/>
              </w:rPr>
              <w:t>Client</w:t>
            </w:r>
            <w:r w:rsidRPr="006A73B2">
              <w:t xml:space="preserve"> fully indemnified against all losses which the </w:t>
            </w:r>
            <w:r w:rsidRPr="006A73B2">
              <w:rPr>
                <w:i/>
              </w:rPr>
              <w:t>Client</w:t>
            </w:r>
            <w:r w:rsidRPr="006A73B2">
              <w:t xml:space="preserve"> may sustain or incur that arise out of allegations that the </w:t>
            </w:r>
            <w:r w:rsidRPr="006A73B2">
              <w:rPr>
                <w:i/>
              </w:rPr>
              <w:t>Client</w:t>
            </w:r>
            <w:r w:rsidRPr="006A73B2">
              <w:t xml:space="preserve"> has infringed the intellectual property rights of any third party in using the Documents in accordance with this Clause.</w:t>
            </w:r>
          </w:p>
          <w:p w:rsidR="00EE5D9D" w:rsidRPr="006A73B2" w:rsidRDefault="00EE5D9D" w:rsidP="00826BC8">
            <w:pPr>
              <w:pStyle w:val="BulletCD"/>
              <w:numPr>
                <w:ilvl w:val="0"/>
                <w:numId w:val="0"/>
              </w:numPr>
              <w:rPr>
                <w:lang w:val="en-US"/>
              </w:rPr>
            </w:pPr>
            <w:r w:rsidRPr="006A73B2">
              <w:rPr>
                <w:lang w:val="en-US"/>
              </w:rPr>
              <w:t>70.9</w:t>
            </w:r>
            <w:r w:rsidRPr="006A73B2">
              <w:rPr>
                <w:lang w:val="en-US"/>
              </w:rPr>
              <w:tab/>
              <w:t xml:space="preserve">The </w:t>
            </w:r>
            <w:r w:rsidRPr="006A73B2">
              <w:rPr>
                <w:i/>
                <w:lang w:val="en-US"/>
              </w:rPr>
              <w:t>Consultant</w:t>
            </w:r>
            <w:r w:rsidRPr="006A73B2">
              <w:rPr>
                <w:lang w:val="en-US"/>
              </w:rPr>
              <w:t xml:space="preserve"> shall mark any copyright works comprising Foreground Information with the legend © Crown Copyright (insert y</w:t>
            </w:r>
            <w:r>
              <w:rPr>
                <w:lang w:val="en-US"/>
              </w:rPr>
              <w:t>ear of generation of the works)</w:t>
            </w:r>
          </w:p>
        </w:tc>
      </w:tr>
      <w:tr w:rsidR="00EE5D9D" w:rsidRPr="006A73B2" w:rsidTr="00826BC8">
        <w:tc>
          <w:tcPr>
            <w:tcW w:w="2376" w:type="dxa"/>
          </w:tcPr>
          <w:p w:rsidR="00EE5D9D" w:rsidRDefault="00EE5D9D" w:rsidP="00826BC8">
            <w:pPr>
              <w:pStyle w:val="Heading3CD"/>
              <w:rPr>
                <w:bCs/>
                <w:iCs/>
              </w:rPr>
            </w:pPr>
            <w:r>
              <w:rPr>
                <w:bCs/>
                <w:iCs/>
              </w:rPr>
              <w:lastRenderedPageBreak/>
              <w:t>Option Z105</w:t>
            </w:r>
          </w:p>
        </w:tc>
        <w:tc>
          <w:tcPr>
            <w:tcW w:w="7371" w:type="dxa"/>
          </w:tcPr>
          <w:p w:rsidR="00EE5D9D" w:rsidRPr="009C005E" w:rsidRDefault="00EE5D9D" w:rsidP="00826BC8">
            <w:pPr>
              <w:pStyle w:val="BulletCD"/>
              <w:numPr>
                <w:ilvl w:val="0"/>
                <w:numId w:val="0"/>
              </w:numPr>
              <w:ind w:left="284" w:hanging="284"/>
              <w:rPr>
                <w:b/>
                <w:lang w:val="en-US"/>
              </w:rPr>
            </w:pPr>
            <w:r w:rsidRPr="009C005E">
              <w:rPr>
                <w:b/>
                <w:lang w:val="en-US"/>
              </w:rPr>
              <w:t>DEFCONs</w:t>
            </w:r>
          </w:p>
          <w:p w:rsidR="00EE5D9D" w:rsidRPr="00821E21" w:rsidRDefault="00EE5D9D" w:rsidP="00826BC8">
            <w:pPr>
              <w:pStyle w:val="BulletCD"/>
              <w:numPr>
                <w:ilvl w:val="0"/>
                <w:numId w:val="0"/>
              </w:numPr>
              <w:ind w:left="284" w:hanging="284"/>
              <w:rPr>
                <w:lang w:val="en-US"/>
              </w:rPr>
            </w:pPr>
            <w:r>
              <w:rPr>
                <w:lang w:val="en-US"/>
              </w:rPr>
              <w:t xml:space="preserve">Insert </w:t>
            </w:r>
            <w:r w:rsidRPr="00821E21">
              <w:rPr>
                <w:lang w:val="en-US"/>
              </w:rPr>
              <w:t>new clause</w:t>
            </w:r>
            <w:r>
              <w:rPr>
                <w:lang w:val="en-US"/>
              </w:rPr>
              <w:t xml:space="preserve"> 102:</w:t>
            </w:r>
          </w:p>
          <w:p w:rsidR="00EE5D9D" w:rsidRPr="00821E21" w:rsidRDefault="00EE5D9D" w:rsidP="00826BC8">
            <w:pPr>
              <w:pStyle w:val="BulletCD"/>
              <w:numPr>
                <w:ilvl w:val="0"/>
                <w:numId w:val="0"/>
              </w:numPr>
              <w:tabs>
                <w:tab w:val="clear" w:pos="284"/>
                <w:tab w:val="left" w:pos="493"/>
                <w:tab w:val="left" w:pos="720"/>
              </w:tabs>
              <w:rPr>
                <w:sz w:val="20"/>
                <w:lang w:val="en-US" w:eastAsia="en-GB"/>
              </w:rPr>
            </w:pPr>
            <w:r w:rsidRPr="00821E21">
              <w:rPr>
                <w:bCs w:val="0"/>
                <w:lang w:val="en-US"/>
              </w:rPr>
              <w:t xml:space="preserve">This clause is to incorporate </w:t>
            </w:r>
            <w:proofErr w:type="spellStart"/>
            <w:r w:rsidRPr="00821E21">
              <w:rPr>
                <w:bCs w:val="0"/>
                <w:lang w:val="en-US"/>
              </w:rPr>
              <w:t>MoD</w:t>
            </w:r>
            <w:proofErr w:type="spellEnd"/>
            <w:r w:rsidRPr="00821E21">
              <w:rPr>
                <w:bCs w:val="0"/>
                <w:lang w:val="en-US"/>
              </w:rPr>
              <w:t xml:space="preserve"> special terms and conditions in the form of DEFCONs and DEFORMs as detailed at </w:t>
            </w:r>
            <w:hyperlink r:id="rId5" w:history="1">
              <w:r w:rsidRPr="00821E21">
                <w:rPr>
                  <w:rStyle w:val="Hyperlink"/>
                  <w:bCs w:val="0"/>
                  <w:lang w:val="en-US"/>
                </w:rPr>
                <w:t>https://www.gov.uk/guidance/knowledge-in-defence-kid</w:t>
              </w:r>
            </w:hyperlink>
            <w:r>
              <w:rPr>
                <w:bCs w:val="0"/>
                <w:lang w:val="en-US"/>
              </w:rPr>
              <w:t>:</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76 (</w:t>
            </w:r>
            <w:proofErr w:type="spellStart"/>
            <w:r w:rsidRPr="00821E21">
              <w:rPr>
                <w:bCs w:val="0"/>
                <w:lang w:val="en-US"/>
              </w:rPr>
              <w:t>Edn</w:t>
            </w:r>
            <w:proofErr w:type="spellEnd"/>
            <w:r w:rsidRPr="00821E21">
              <w:rPr>
                <w:bCs w:val="0"/>
                <w:lang w:val="en-US"/>
              </w:rPr>
              <w:t xml:space="preserve">. 11/22) – Contractor's Personnel at Government Establishments </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501 (</w:t>
            </w:r>
            <w:proofErr w:type="spellStart"/>
            <w:r w:rsidRPr="00821E21">
              <w:rPr>
                <w:bCs w:val="0"/>
                <w:lang w:val="en-US"/>
              </w:rPr>
              <w:t>Edn</w:t>
            </w:r>
            <w:proofErr w:type="spellEnd"/>
            <w:r w:rsidRPr="00821E21">
              <w:rPr>
                <w:bCs w:val="0"/>
                <w:lang w:val="en-US"/>
              </w:rPr>
              <w:t xml:space="preserve">. 10/21) - Definitions and Interpretations </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503 (</w:t>
            </w:r>
            <w:proofErr w:type="spellStart"/>
            <w:r w:rsidRPr="00821E21">
              <w:rPr>
                <w:bCs w:val="0"/>
                <w:lang w:val="en-US"/>
              </w:rPr>
              <w:t>Edn</w:t>
            </w:r>
            <w:proofErr w:type="spellEnd"/>
            <w:r w:rsidRPr="00821E21">
              <w:rPr>
                <w:bCs w:val="0"/>
                <w:lang w:val="en-US"/>
              </w:rPr>
              <w:t xml:space="preserve"> 06/22) – Formal Amendments to the Contract </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514 (</w:t>
            </w:r>
            <w:proofErr w:type="spellStart"/>
            <w:r w:rsidRPr="00821E21">
              <w:rPr>
                <w:bCs w:val="0"/>
                <w:lang w:val="en-US"/>
              </w:rPr>
              <w:t>Edn</w:t>
            </w:r>
            <w:proofErr w:type="spellEnd"/>
            <w:r w:rsidRPr="00821E21">
              <w:rPr>
                <w:bCs w:val="0"/>
                <w:lang w:val="en-US"/>
              </w:rPr>
              <w:t xml:space="preserve"> 08/15) – Material Breach</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516 (</w:t>
            </w:r>
            <w:proofErr w:type="spellStart"/>
            <w:r w:rsidRPr="00821E21">
              <w:rPr>
                <w:bCs w:val="0"/>
                <w:lang w:val="en-US"/>
              </w:rPr>
              <w:t>Edn</w:t>
            </w:r>
            <w:proofErr w:type="spellEnd"/>
            <w:r w:rsidRPr="00821E21">
              <w:rPr>
                <w:bCs w:val="0"/>
                <w:lang w:val="en-US"/>
              </w:rPr>
              <w:t xml:space="preserve"> 04/12) – Equality</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515 (</w:t>
            </w:r>
            <w:proofErr w:type="spellStart"/>
            <w:r w:rsidRPr="00821E21">
              <w:rPr>
                <w:bCs w:val="0"/>
                <w:lang w:val="en-US"/>
              </w:rPr>
              <w:t>Edn</w:t>
            </w:r>
            <w:proofErr w:type="spellEnd"/>
            <w:r w:rsidRPr="00821E21">
              <w:rPr>
                <w:bCs w:val="0"/>
                <w:lang w:val="en-US"/>
              </w:rPr>
              <w:t xml:space="preserve"> 06/21) - Bankruptcy and Insolvency</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518 (</w:t>
            </w:r>
            <w:proofErr w:type="spellStart"/>
            <w:r w:rsidRPr="00821E21">
              <w:rPr>
                <w:bCs w:val="0"/>
                <w:lang w:val="en-US"/>
              </w:rPr>
              <w:t>Edn</w:t>
            </w:r>
            <w:proofErr w:type="spellEnd"/>
            <w:r w:rsidRPr="00821E21">
              <w:rPr>
                <w:bCs w:val="0"/>
                <w:lang w:val="en-US"/>
              </w:rPr>
              <w:t xml:space="preserve"> 02/17) - Transfer</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520 (</w:t>
            </w:r>
            <w:proofErr w:type="spellStart"/>
            <w:r w:rsidRPr="00821E21">
              <w:rPr>
                <w:bCs w:val="0"/>
                <w:lang w:val="en-US"/>
              </w:rPr>
              <w:t>Edn</w:t>
            </w:r>
            <w:proofErr w:type="spellEnd"/>
            <w:r w:rsidRPr="00821E21">
              <w:rPr>
                <w:bCs w:val="0"/>
                <w:lang w:val="en-US"/>
              </w:rPr>
              <w:t xml:space="preserve"> 08/21) - Corrupt Gifts and Payments of Commission</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526 (</w:t>
            </w:r>
            <w:proofErr w:type="spellStart"/>
            <w:r w:rsidRPr="00821E21">
              <w:rPr>
                <w:bCs w:val="0"/>
                <w:lang w:val="en-US"/>
              </w:rPr>
              <w:t>Edn</w:t>
            </w:r>
            <w:proofErr w:type="spellEnd"/>
            <w:r w:rsidRPr="00821E21">
              <w:rPr>
                <w:bCs w:val="0"/>
                <w:lang w:val="en-US"/>
              </w:rPr>
              <w:t xml:space="preserve"> 08/02) - Notices</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531 (</w:t>
            </w:r>
            <w:proofErr w:type="spellStart"/>
            <w:r w:rsidRPr="00821E21">
              <w:rPr>
                <w:bCs w:val="0"/>
                <w:lang w:val="en-US"/>
              </w:rPr>
              <w:t>Edn</w:t>
            </w:r>
            <w:proofErr w:type="spellEnd"/>
            <w:r w:rsidRPr="00821E21">
              <w:rPr>
                <w:bCs w:val="0"/>
                <w:lang w:val="en-US"/>
              </w:rPr>
              <w:t>. 09/21) - Disclosure of Information</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lastRenderedPageBreak/>
              <w:t>DEFCON 532B (</w:t>
            </w:r>
            <w:proofErr w:type="spellStart"/>
            <w:r w:rsidRPr="00821E21">
              <w:rPr>
                <w:bCs w:val="0"/>
                <w:lang w:val="en-US"/>
              </w:rPr>
              <w:t>Edn</w:t>
            </w:r>
            <w:proofErr w:type="spellEnd"/>
            <w:r w:rsidRPr="00821E21">
              <w:rPr>
                <w:bCs w:val="0"/>
                <w:lang w:val="en-US"/>
              </w:rPr>
              <w:t xml:space="preserve">. 12/22) - Protection Of Personal Data (Where Personal Data is being </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processed on behalf of the Authority)</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534 (</w:t>
            </w:r>
            <w:proofErr w:type="spellStart"/>
            <w:r w:rsidRPr="00821E21">
              <w:rPr>
                <w:bCs w:val="0"/>
                <w:lang w:val="en-US"/>
              </w:rPr>
              <w:t>Edn</w:t>
            </w:r>
            <w:proofErr w:type="spellEnd"/>
            <w:r w:rsidRPr="00821E21">
              <w:rPr>
                <w:bCs w:val="0"/>
                <w:lang w:val="en-US"/>
              </w:rPr>
              <w:t xml:space="preserve"> 06/21) – Subcontracting and Prompt Payment</w:t>
            </w:r>
          </w:p>
          <w:p w:rsidR="00EE5D9D"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537 (</w:t>
            </w:r>
            <w:proofErr w:type="spellStart"/>
            <w:r w:rsidRPr="00821E21">
              <w:rPr>
                <w:bCs w:val="0"/>
                <w:lang w:val="en-US"/>
              </w:rPr>
              <w:t>Edn</w:t>
            </w:r>
            <w:proofErr w:type="spellEnd"/>
            <w:r w:rsidRPr="00821E21">
              <w:rPr>
                <w:bCs w:val="0"/>
                <w:lang w:val="en-US"/>
              </w:rPr>
              <w:t xml:space="preserve"> 12/21) - Rights of Third Parties</w:t>
            </w:r>
          </w:p>
          <w:p w:rsidR="00EE5D9D" w:rsidRPr="00821E21" w:rsidRDefault="00EE5D9D" w:rsidP="00EE5D9D">
            <w:pPr>
              <w:pStyle w:val="BulletCD"/>
              <w:numPr>
                <w:ilvl w:val="0"/>
                <w:numId w:val="3"/>
              </w:numPr>
              <w:tabs>
                <w:tab w:val="clear" w:pos="284"/>
                <w:tab w:val="clear" w:pos="972"/>
                <w:tab w:val="left" w:pos="720"/>
              </w:tabs>
              <w:rPr>
                <w:bCs w:val="0"/>
                <w:lang w:val="en-US"/>
              </w:rPr>
            </w:pPr>
            <w:r>
              <w:rPr>
                <w:bCs w:val="0"/>
                <w:lang w:val="en-US"/>
              </w:rPr>
              <w:t>DEFCON 539 (</w:t>
            </w:r>
            <w:proofErr w:type="spellStart"/>
            <w:r>
              <w:rPr>
                <w:bCs w:val="0"/>
                <w:lang w:val="en-US"/>
              </w:rPr>
              <w:t>Edn</w:t>
            </w:r>
            <w:proofErr w:type="spellEnd"/>
            <w:r>
              <w:rPr>
                <w:bCs w:val="0"/>
                <w:lang w:val="en-US"/>
              </w:rPr>
              <w:t xml:space="preserve"> 01/22) – Transparency </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538 (</w:t>
            </w:r>
            <w:proofErr w:type="spellStart"/>
            <w:r w:rsidRPr="00821E21">
              <w:rPr>
                <w:bCs w:val="0"/>
                <w:lang w:val="en-US"/>
              </w:rPr>
              <w:t>Edn</w:t>
            </w:r>
            <w:proofErr w:type="spellEnd"/>
            <w:r w:rsidRPr="00821E21">
              <w:rPr>
                <w:bCs w:val="0"/>
                <w:lang w:val="en-US"/>
              </w:rPr>
              <w:t xml:space="preserve"> 06/02) - Severability</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566 (</w:t>
            </w:r>
            <w:proofErr w:type="spellStart"/>
            <w:r w:rsidRPr="00821E21">
              <w:rPr>
                <w:bCs w:val="0"/>
                <w:lang w:val="en-US"/>
              </w:rPr>
              <w:t>Edn</w:t>
            </w:r>
            <w:proofErr w:type="spellEnd"/>
            <w:r w:rsidRPr="00821E21">
              <w:rPr>
                <w:bCs w:val="0"/>
                <w:lang w:val="en-US"/>
              </w:rPr>
              <w:t xml:space="preserve"> 10/20) - Change of Control of Contractor</w:t>
            </w:r>
          </w:p>
          <w:p w:rsidR="00EE5D9D" w:rsidRPr="00821E21"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632 (</w:t>
            </w:r>
            <w:proofErr w:type="spellStart"/>
            <w:r w:rsidRPr="00821E21">
              <w:rPr>
                <w:bCs w:val="0"/>
                <w:lang w:val="en-US"/>
              </w:rPr>
              <w:t>Edn</w:t>
            </w:r>
            <w:proofErr w:type="spellEnd"/>
            <w:r w:rsidRPr="00821E21">
              <w:rPr>
                <w:bCs w:val="0"/>
                <w:lang w:val="en-US"/>
              </w:rPr>
              <w:t xml:space="preserve"> 11/21) - Third Party Intellectual Property - Rights and Restrictions</w:t>
            </w:r>
          </w:p>
          <w:p w:rsidR="00EE5D9D" w:rsidRDefault="00EE5D9D" w:rsidP="00EE5D9D">
            <w:pPr>
              <w:pStyle w:val="BulletCD"/>
              <w:numPr>
                <w:ilvl w:val="0"/>
                <w:numId w:val="3"/>
              </w:numPr>
              <w:tabs>
                <w:tab w:val="clear" w:pos="284"/>
                <w:tab w:val="clear" w:pos="972"/>
                <w:tab w:val="left" w:pos="720"/>
              </w:tabs>
              <w:rPr>
                <w:bCs w:val="0"/>
                <w:lang w:val="en-US"/>
              </w:rPr>
            </w:pPr>
            <w:r w:rsidRPr="00821E21">
              <w:rPr>
                <w:bCs w:val="0"/>
                <w:lang w:val="en-US"/>
              </w:rPr>
              <w:t>DEFCON 658 (</w:t>
            </w:r>
            <w:proofErr w:type="spellStart"/>
            <w:r w:rsidRPr="00821E21">
              <w:rPr>
                <w:bCs w:val="0"/>
                <w:lang w:val="en-US"/>
              </w:rPr>
              <w:t>Edn</w:t>
            </w:r>
            <w:proofErr w:type="spellEnd"/>
            <w:r w:rsidRPr="00821E21">
              <w:rPr>
                <w:bCs w:val="0"/>
                <w:lang w:val="en-US"/>
              </w:rPr>
              <w:t xml:space="preserve"> 10/22) </w:t>
            </w:r>
            <w:r>
              <w:rPr>
                <w:bCs w:val="0"/>
                <w:lang w:val="en-US"/>
              </w:rPr>
              <w:t>–</w:t>
            </w:r>
            <w:r w:rsidRPr="00821E21">
              <w:rPr>
                <w:bCs w:val="0"/>
                <w:lang w:val="en-US"/>
              </w:rPr>
              <w:t xml:space="preserve"> Cyber</w:t>
            </w:r>
          </w:p>
          <w:p w:rsidR="00EE5D9D" w:rsidRPr="006A73B2" w:rsidRDefault="00EE5D9D" w:rsidP="00EE5D9D">
            <w:pPr>
              <w:pStyle w:val="BulletCD"/>
              <w:numPr>
                <w:ilvl w:val="0"/>
                <w:numId w:val="3"/>
              </w:numPr>
              <w:tabs>
                <w:tab w:val="clear" w:pos="284"/>
                <w:tab w:val="clear" w:pos="972"/>
                <w:tab w:val="left" w:pos="720"/>
              </w:tabs>
              <w:rPr>
                <w:bCs w:val="0"/>
                <w:lang w:val="en-US"/>
              </w:rPr>
            </w:pPr>
            <w:r w:rsidRPr="006A73B2">
              <w:rPr>
                <w:bCs w:val="0"/>
                <w:lang w:val="en-US"/>
              </w:rPr>
              <w:t>DEFCON 659A (</w:t>
            </w:r>
            <w:proofErr w:type="spellStart"/>
            <w:r w:rsidRPr="006A73B2">
              <w:rPr>
                <w:bCs w:val="0"/>
                <w:lang w:val="en-US"/>
              </w:rPr>
              <w:t>Edn</w:t>
            </w:r>
            <w:proofErr w:type="spellEnd"/>
            <w:r w:rsidRPr="006A73B2">
              <w:rPr>
                <w:bCs w:val="0"/>
                <w:lang w:val="en-US"/>
              </w:rPr>
              <w:t xml:space="preserve"> 09/21) - Security Measures</w:t>
            </w:r>
          </w:p>
        </w:tc>
      </w:tr>
      <w:tr w:rsidR="00EE5D9D" w:rsidRPr="00A0629A" w:rsidTr="00826BC8">
        <w:tc>
          <w:tcPr>
            <w:tcW w:w="2376" w:type="dxa"/>
          </w:tcPr>
          <w:p w:rsidR="00EE5D9D" w:rsidRDefault="00EE5D9D" w:rsidP="00826BC8">
            <w:pPr>
              <w:pStyle w:val="Heading3CD"/>
              <w:rPr>
                <w:bCs/>
                <w:iCs/>
              </w:rPr>
            </w:pPr>
            <w:r>
              <w:rPr>
                <w:bCs/>
                <w:iCs/>
              </w:rPr>
              <w:lastRenderedPageBreak/>
              <w:t>Option Z106</w:t>
            </w:r>
          </w:p>
        </w:tc>
        <w:tc>
          <w:tcPr>
            <w:tcW w:w="7371" w:type="dxa"/>
          </w:tcPr>
          <w:p w:rsidR="00EE5D9D" w:rsidRDefault="00EE5D9D" w:rsidP="00826BC8">
            <w:pPr>
              <w:pStyle w:val="BulletCD"/>
              <w:numPr>
                <w:ilvl w:val="0"/>
                <w:numId w:val="0"/>
              </w:numPr>
              <w:ind w:left="284" w:hanging="284"/>
              <w:rPr>
                <w:b/>
                <w:lang w:val="en-US"/>
              </w:rPr>
            </w:pPr>
            <w:r>
              <w:rPr>
                <w:b/>
                <w:lang w:val="en-US"/>
              </w:rPr>
              <w:t>Official Secrets Act</w:t>
            </w:r>
          </w:p>
          <w:p w:rsidR="00EE5D9D" w:rsidRPr="00A0629A" w:rsidRDefault="00EE5D9D" w:rsidP="00826BC8">
            <w:pPr>
              <w:pStyle w:val="BulletCD"/>
              <w:numPr>
                <w:ilvl w:val="0"/>
                <w:numId w:val="0"/>
              </w:numPr>
              <w:ind w:left="284" w:hanging="284"/>
              <w:rPr>
                <w:lang w:val="en-US"/>
              </w:rPr>
            </w:pPr>
            <w:r>
              <w:rPr>
                <w:lang w:val="en-US"/>
              </w:rPr>
              <w:t>Insert new clause 103:</w:t>
            </w:r>
          </w:p>
          <w:p w:rsidR="00EE5D9D" w:rsidRPr="00A0629A" w:rsidRDefault="00EE5D9D" w:rsidP="00826BC8">
            <w:pPr>
              <w:pStyle w:val="BulletCD"/>
              <w:numPr>
                <w:ilvl w:val="0"/>
                <w:numId w:val="0"/>
              </w:numPr>
              <w:tabs>
                <w:tab w:val="clear" w:pos="284"/>
                <w:tab w:val="left" w:pos="493"/>
              </w:tabs>
              <w:rPr>
                <w:lang w:val="en-US"/>
              </w:rPr>
            </w:pPr>
            <w:r w:rsidRPr="00A0629A">
              <w:rPr>
                <w:lang w:val="en-US"/>
              </w:rPr>
              <w:t xml:space="preserve">The </w:t>
            </w:r>
            <w:r w:rsidRPr="00A0629A">
              <w:rPr>
                <w:i/>
                <w:lang w:val="en-US"/>
              </w:rPr>
              <w:t>Consultant</w:t>
            </w:r>
            <w:r w:rsidRPr="00A0629A">
              <w:rPr>
                <w:lang w:val="en-US"/>
              </w:rPr>
              <w:t xml:space="preserve"> warrants that they have not done and will not do anything that would result in a breach of the </w:t>
            </w:r>
            <w:r w:rsidRPr="00A0629A">
              <w:rPr>
                <w:i/>
                <w:lang w:val="en-US"/>
              </w:rPr>
              <w:t>Client’s</w:t>
            </w:r>
            <w:r w:rsidRPr="00A0629A">
              <w:rPr>
                <w:lang w:val="en-US"/>
              </w:rPr>
              <w:t xml:space="preserve"> Security Procedures or the Official Secrets Act.</w:t>
            </w:r>
          </w:p>
        </w:tc>
      </w:tr>
      <w:tr w:rsidR="00EE5D9D" w:rsidTr="00826BC8">
        <w:tc>
          <w:tcPr>
            <w:tcW w:w="2376" w:type="dxa"/>
          </w:tcPr>
          <w:p w:rsidR="00EE5D9D" w:rsidRDefault="00EE5D9D" w:rsidP="00826BC8">
            <w:pPr>
              <w:pStyle w:val="Heading3CD"/>
              <w:rPr>
                <w:bCs/>
                <w:iCs/>
              </w:rPr>
            </w:pPr>
            <w:r>
              <w:rPr>
                <w:bCs/>
                <w:iCs/>
              </w:rPr>
              <w:t>Option Z107</w:t>
            </w:r>
          </w:p>
        </w:tc>
        <w:tc>
          <w:tcPr>
            <w:tcW w:w="7371" w:type="dxa"/>
          </w:tcPr>
          <w:p w:rsidR="00EE5D9D" w:rsidRDefault="00EE5D9D" w:rsidP="00826BC8">
            <w:pPr>
              <w:pStyle w:val="BulletCD"/>
              <w:numPr>
                <w:ilvl w:val="0"/>
                <w:numId w:val="0"/>
              </w:numPr>
              <w:ind w:left="284" w:hanging="284"/>
              <w:rPr>
                <w:b/>
                <w:lang w:val="en-US"/>
              </w:rPr>
            </w:pPr>
            <w:r>
              <w:rPr>
                <w:b/>
                <w:lang w:val="en-US"/>
              </w:rPr>
              <w:t>Prohibited Acts</w:t>
            </w:r>
          </w:p>
          <w:p w:rsidR="00EE5D9D" w:rsidRPr="00A0629A" w:rsidRDefault="00EE5D9D" w:rsidP="00826BC8">
            <w:pPr>
              <w:pStyle w:val="BulletCD"/>
              <w:numPr>
                <w:ilvl w:val="0"/>
                <w:numId w:val="0"/>
              </w:numPr>
              <w:ind w:left="284" w:hanging="284"/>
              <w:rPr>
                <w:lang w:val="en-US"/>
              </w:rPr>
            </w:pPr>
            <w:r>
              <w:rPr>
                <w:lang w:val="en-US"/>
              </w:rPr>
              <w:t>Insert new clause 104:</w:t>
            </w:r>
          </w:p>
          <w:p w:rsidR="00EE5D9D" w:rsidRPr="00A0629A" w:rsidRDefault="00EE5D9D" w:rsidP="00826BC8">
            <w:pPr>
              <w:pStyle w:val="BulletCD"/>
              <w:numPr>
                <w:ilvl w:val="0"/>
                <w:numId w:val="0"/>
              </w:numPr>
              <w:tabs>
                <w:tab w:val="clear" w:pos="284"/>
              </w:tabs>
            </w:pPr>
            <w:r w:rsidRPr="00A0629A">
              <w:t xml:space="preserve">The </w:t>
            </w:r>
            <w:r w:rsidRPr="00A0629A">
              <w:rPr>
                <w:i/>
              </w:rPr>
              <w:t>Consultant</w:t>
            </w:r>
            <w:r w:rsidRPr="00A0629A">
              <w:t xml:space="preserve"> warrants that it has not done and will not do any of the following (hereafter referred to as "Prohibited Acts"):</w:t>
            </w:r>
          </w:p>
          <w:p w:rsidR="00EE5D9D" w:rsidRPr="00A0629A" w:rsidRDefault="00EE5D9D" w:rsidP="00826BC8">
            <w:pPr>
              <w:pStyle w:val="BulletCD"/>
              <w:numPr>
                <w:ilvl w:val="0"/>
                <w:numId w:val="0"/>
              </w:numPr>
            </w:pPr>
            <w:r w:rsidRPr="00A0629A">
              <w:t>a) offered, given or agreed to give to any Crown servant any gift or consideration of any kind as an inducement or reward;</w:t>
            </w:r>
          </w:p>
          <w:p w:rsidR="00EE5D9D" w:rsidRPr="00A0629A" w:rsidRDefault="00EE5D9D" w:rsidP="00826BC8">
            <w:pPr>
              <w:pStyle w:val="BulletCD"/>
              <w:numPr>
                <w:ilvl w:val="0"/>
                <w:numId w:val="0"/>
              </w:numPr>
            </w:pPr>
            <w:r w:rsidRPr="00A0629A">
              <w:t>i) for doing or not doing (or for having done or not having done) any act in relation to the obtaining or execution of this or any other contract with the Crown; or</w:t>
            </w:r>
          </w:p>
          <w:p w:rsidR="00EE5D9D" w:rsidRPr="00A0629A" w:rsidRDefault="00EE5D9D" w:rsidP="00826BC8">
            <w:pPr>
              <w:pStyle w:val="BulletCD"/>
              <w:numPr>
                <w:ilvl w:val="0"/>
                <w:numId w:val="0"/>
              </w:numPr>
            </w:pPr>
            <w:r w:rsidRPr="00A0629A">
              <w:t>ii) for showing or not showing favour or disfavour to any person in relation to this or any other contract with the Crown;</w:t>
            </w:r>
          </w:p>
          <w:p w:rsidR="00EE5D9D" w:rsidRPr="00A0629A" w:rsidRDefault="00EE5D9D" w:rsidP="00826BC8">
            <w:pPr>
              <w:pStyle w:val="BulletCD"/>
              <w:numPr>
                <w:ilvl w:val="0"/>
                <w:numId w:val="0"/>
              </w:numPr>
            </w:pPr>
            <w:r w:rsidRPr="00A0629A">
              <w:t xml:space="preserve">b) entered into this or any other contract with the Crown in connection with which commission has been paid or has been agreed to be paid by it or on its behalf, or to its knowledge, unless before the contract is made particulars of such commission and of the terms and conditions of any such agreement for the payment thereof have been disclosed in writing to the </w:t>
            </w:r>
            <w:r w:rsidRPr="00A0629A">
              <w:rPr>
                <w:i/>
              </w:rPr>
              <w:t>Client</w:t>
            </w:r>
            <w:r w:rsidRPr="00A0629A">
              <w:t xml:space="preserve">, and in respect of any breach of any of the above warranties and undertakings the </w:t>
            </w:r>
            <w:r w:rsidRPr="00A0629A">
              <w:rPr>
                <w:i/>
              </w:rPr>
              <w:t>Consultant</w:t>
            </w:r>
            <w:r w:rsidRPr="00A0629A">
              <w:t xml:space="preserve"> acknowledges that the </w:t>
            </w:r>
            <w:r w:rsidRPr="00A0629A">
              <w:rPr>
                <w:i/>
              </w:rPr>
              <w:t>Client</w:t>
            </w:r>
            <w:r w:rsidRPr="00A0629A">
              <w:t xml:space="preserve"> will be entitled to claim damages against the </w:t>
            </w:r>
            <w:r w:rsidRPr="00A0629A">
              <w:rPr>
                <w:i/>
              </w:rPr>
              <w:t>Consultant</w:t>
            </w:r>
            <w:r w:rsidRPr="00A0629A">
              <w:t>.</w:t>
            </w:r>
          </w:p>
          <w:p w:rsidR="00EE5D9D" w:rsidRDefault="00EE5D9D" w:rsidP="00826BC8">
            <w:pPr>
              <w:pStyle w:val="BulletCD"/>
              <w:numPr>
                <w:ilvl w:val="0"/>
                <w:numId w:val="0"/>
              </w:numPr>
              <w:ind w:left="284" w:hanging="284"/>
              <w:rPr>
                <w:b/>
                <w:lang w:val="en-US"/>
              </w:rPr>
            </w:pPr>
          </w:p>
        </w:tc>
      </w:tr>
      <w:tr w:rsidR="00EE5D9D" w:rsidTr="00826BC8">
        <w:tc>
          <w:tcPr>
            <w:tcW w:w="2376" w:type="dxa"/>
          </w:tcPr>
          <w:p w:rsidR="00EE5D9D" w:rsidRDefault="00EE5D9D" w:rsidP="00826BC8">
            <w:pPr>
              <w:pStyle w:val="Heading3CD"/>
              <w:rPr>
                <w:bCs/>
                <w:iCs/>
              </w:rPr>
            </w:pPr>
            <w:r>
              <w:rPr>
                <w:bCs/>
                <w:iCs/>
              </w:rPr>
              <w:t>Option Z108</w:t>
            </w:r>
          </w:p>
        </w:tc>
        <w:tc>
          <w:tcPr>
            <w:tcW w:w="7371" w:type="dxa"/>
          </w:tcPr>
          <w:p w:rsidR="00EE5D9D" w:rsidRDefault="00EE5D9D" w:rsidP="00826BC8">
            <w:pPr>
              <w:pStyle w:val="BulletCD"/>
              <w:numPr>
                <w:ilvl w:val="0"/>
                <w:numId w:val="0"/>
              </w:numPr>
              <w:ind w:left="284" w:hanging="284"/>
              <w:rPr>
                <w:b/>
                <w:lang w:val="en-US"/>
              </w:rPr>
            </w:pPr>
            <w:r>
              <w:rPr>
                <w:b/>
                <w:lang w:val="en-US"/>
              </w:rPr>
              <w:t>Fraud</w:t>
            </w:r>
          </w:p>
          <w:p w:rsidR="00EE5D9D" w:rsidRPr="00C97387" w:rsidRDefault="00EE5D9D" w:rsidP="00826BC8">
            <w:pPr>
              <w:pStyle w:val="BulletCD"/>
              <w:numPr>
                <w:ilvl w:val="0"/>
                <w:numId w:val="0"/>
              </w:numPr>
              <w:ind w:left="284" w:hanging="284"/>
              <w:rPr>
                <w:lang w:val="en-US"/>
              </w:rPr>
            </w:pPr>
            <w:r>
              <w:rPr>
                <w:lang w:val="en-US"/>
              </w:rPr>
              <w:t>Insert new clause 105:</w:t>
            </w:r>
          </w:p>
          <w:p w:rsidR="00EE5D9D" w:rsidRPr="00C97387" w:rsidRDefault="00EE5D9D" w:rsidP="00826BC8">
            <w:pPr>
              <w:pStyle w:val="BulletCD"/>
              <w:numPr>
                <w:ilvl w:val="0"/>
                <w:numId w:val="0"/>
              </w:numPr>
              <w:tabs>
                <w:tab w:val="clear" w:pos="284"/>
                <w:tab w:val="left" w:pos="0"/>
              </w:tabs>
            </w:pPr>
            <w:r w:rsidRPr="00C97387">
              <w:lastRenderedPageBreak/>
              <w:t xml:space="preserve">At all stages of its involvement under and in connection with the services, the </w:t>
            </w:r>
            <w:r w:rsidRPr="00C97387">
              <w:rPr>
                <w:i/>
              </w:rPr>
              <w:t>Consultant</w:t>
            </w:r>
            <w:r w:rsidRPr="00C97387">
              <w:t xml:space="preserve"> shall take all practicable steps to prevent fraud and/or the risk of fraud arising. If in the reasonable opinion of the </w:t>
            </w:r>
            <w:r w:rsidRPr="00C97387">
              <w:rPr>
                <w:i/>
              </w:rPr>
              <w:t>Client</w:t>
            </w:r>
            <w:r w:rsidRPr="00C97387">
              <w:t xml:space="preserve"> the </w:t>
            </w:r>
            <w:r w:rsidRPr="00C97387">
              <w:rPr>
                <w:i/>
              </w:rPr>
              <w:t>Consultant</w:t>
            </w:r>
            <w:r w:rsidRPr="00C97387">
              <w:t xml:space="preserve"> commits any fraud (as defined by the Law of the Contract)  in relation to the services or any contract with the </w:t>
            </w:r>
            <w:r w:rsidRPr="00C97387">
              <w:rPr>
                <w:i/>
              </w:rPr>
              <w:t>Client</w:t>
            </w:r>
            <w:r w:rsidRPr="00C97387">
              <w:t xml:space="preserve"> or any other public body then the </w:t>
            </w:r>
            <w:r w:rsidRPr="00C97387">
              <w:rPr>
                <w:i/>
              </w:rPr>
              <w:t>Client</w:t>
            </w:r>
            <w:r w:rsidRPr="00C97387">
              <w:t xml:space="preserve">  may terminate the services for the </w:t>
            </w:r>
            <w:r w:rsidRPr="00C97387">
              <w:rPr>
                <w:i/>
              </w:rPr>
              <w:t>Consultant’s</w:t>
            </w:r>
            <w:r w:rsidRPr="00C97387">
              <w:t xml:space="preserve"> default by giving 10 Working Days’ notice to the </w:t>
            </w:r>
            <w:r w:rsidRPr="00C97387">
              <w:rPr>
                <w:i/>
              </w:rPr>
              <w:t>Consultant</w:t>
            </w:r>
            <w:r w:rsidRPr="00C97387">
              <w:t xml:space="preserve">. The </w:t>
            </w:r>
            <w:r w:rsidRPr="00C97387">
              <w:rPr>
                <w:i/>
              </w:rPr>
              <w:t>Consultant</w:t>
            </w:r>
            <w:r w:rsidRPr="00C97387">
              <w:t xml:space="preserve"> shall keep and maintain all relevant records, invoices, approvals, notes; minutes of meetings and all such other original documents as may be required to verify the services carried out by the </w:t>
            </w:r>
            <w:r w:rsidRPr="00C97387">
              <w:rPr>
                <w:i/>
              </w:rPr>
              <w:t>Consultant</w:t>
            </w:r>
            <w:r w:rsidRPr="00C97387">
              <w:t xml:space="preserve"> and its </w:t>
            </w:r>
            <w:proofErr w:type="spellStart"/>
            <w:r w:rsidRPr="00C97387">
              <w:t>Subconsultants</w:t>
            </w:r>
            <w:proofErr w:type="spellEnd"/>
            <w:r w:rsidRPr="00C97387">
              <w:t xml:space="preserve"> so that they may be provided upon request by the </w:t>
            </w:r>
            <w:r w:rsidRPr="00C97387">
              <w:rPr>
                <w:i/>
              </w:rPr>
              <w:t>Client</w:t>
            </w:r>
            <w:r w:rsidRPr="00C97387">
              <w:t xml:space="preserve">.  The </w:t>
            </w:r>
            <w:r w:rsidRPr="00C97387">
              <w:rPr>
                <w:i/>
              </w:rPr>
              <w:t>Consultant</w:t>
            </w:r>
            <w:r w:rsidRPr="00C97387">
              <w:t xml:space="preserve"> shall immediately report to the </w:t>
            </w:r>
            <w:r w:rsidRPr="00C97387">
              <w:rPr>
                <w:i/>
              </w:rPr>
              <w:t>Client</w:t>
            </w:r>
            <w:r w:rsidRPr="00C97387">
              <w:t xml:space="preserve"> any circumstances giving rise to fraud within its own organisation, that of its </w:t>
            </w:r>
            <w:proofErr w:type="spellStart"/>
            <w:r w:rsidRPr="00C97387">
              <w:t>Subconsultants</w:t>
            </w:r>
            <w:proofErr w:type="spellEnd"/>
            <w:r w:rsidRPr="00C97387">
              <w:t xml:space="preserve">, the </w:t>
            </w:r>
            <w:r w:rsidRPr="00C97387">
              <w:rPr>
                <w:i/>
              </w:rPr>
              <w:t>Client</w:t>
            </w:r>
            <w:r w:rsidRPr="00C97387">
              <w:t xml:space="preserve"> or otherwise in relation to the services and shall provide all such relevant information which may assist the </w:t>
            </w:r>
            <w:r w:rsidRPr="00C97387">
              <w:rPr>
                <w:i/>
              </w:rPr>
              <w:t>Client</w:t>
            </w:r>
            <w:r w:rsidRPr="00C97387">
              <w:t xml:space="preserve"> in dealing with such report efficiently and effectively.  The </w:t>
            </w:r>
            <w:r w:rsidRPr="00C97387">
              <w:rPr>
                <w:i/>
              </w:rPr>
              <w:t>Client</w:t>
            </w:r>
            <w:r w:rsidRPr="00C97387">
              <w:t xml:space="preserve"> shall be entitled to set-off, deduct, abate or recover as a debt against the </w:t>
            </w:r>
            <w:r w:rsidRPr="00C97387">
              <w:rPr>
                <w:i/>
              </w:rPr>
              <w:t>Consultant</w:t>
            </w:r>
            <w:r w:rsidRPr="00C97387">
              <w:t xml:space="preserve"> all losses howsoever arising in connection with or sustained as a consequence of fraud including all associated investigation costs.</w:t>
            </w:r>
          </w:p>
          <w:p w:rsidR="00EE5D9D" w:rsidRDefault="00EE5D9D" w:rsidP="00826BC8">
            <w:pPr>
              <w:pStyle w:val="BulletCD"/>
              <w:numPr>
                <w:ilvl w:val="0"/>
                <w:numId w:val="0"/>
              </w:numPr>
              <w:ind w:left="284" w:hanging="284"/>
              <w:rPr>
                <w:b/>
                <w:lang w:val="en-US"/>
              </w:rPr>
            </w:pPr>
          </w:p>
        </w:tc>
      </w:tr>
      <w:tr w:rsidR="00EE5D9D" w:rsidRPr="00C97387" w:rsidTr="00826BC8">
        <w:tc>
          <w:tcPr>
            <w:tcW w:w="2376" w:type="dxa"/>
          </w:tcPr>
          <w:p w:rsidR="00EE5D9D" w:rsidRDefault="00EE5D9D" w:rsidP="00826BC8">
            <w:pPr>
              <w:pStyle w:val="Heading3CD"/>
              <w:rPr>
                <w:bCs/>
                <w:iCs/>
              </w:rPr>
            </w:pPr>
            <w:r>
              <w:rPr>
                <w:bCs/>
                <w:iCs/>
              </w:rPr>
              <w:lastRenderedPageBreak/>
              <w:t>Option Z108</w:t>
            </w:r>
          </w:p>
        </w:tc>
        <w:tc>
          <w:tcPr>
            <w:tcW w:w="7371" w:type="dxa"/>
          </w:tcPr>
          <w:p w:rsidR="00EE5D9D" w:rsidRPr="00C97387" w:rsidRDefault="00EE5D9D" w:rsidP="00826BC8">
            <w:pPr>
              <w:pStyle w:val="BulletCD"/>
              <w:numPr>
                <w:ilvl w:val="0"/>
                <w:numId w:val="0"/>
              </w:numPr>
              <w:ind w:left="284" w:hanging="284"/>
              <w:rPr>
                <w:b/>
                <w:i/>
                <w:lang w:val="en-US"/>
              </w:rPr>
            </w:pPr>
            <w:r w:rsidRPr="00C97387">
              <w:rPr>
                <w:b/>
                <w:lang w:val="en-US"/>
              </w:rPr>
              <w:t xml:space="preserve">Use of </w:t>
            </w:r>
            <w:r w:rsidRPr="00C97387">
              <w:rPr>
                <w:b/>
                <w:i/>
                <w:lang w:val="en-US"/>
              </w:rPr>
              <w:t xml:space="preserve">Client’s </w:t>
            </w:r>
            <w:r w:rsidRPr="00C97387">
              <w:rPr>
                <w:b/>
                <w:lang w:val="en-US"/>
              </w:rPr>
              <w:t>IT Systems</w:t>
            </w:r>
          </w:p>
          <w:p w:rsidR="00EE5D9D" w:rsidRPr="00C97387" w:rsidRDefault="00EE5D9D" w:rsidP="00826BC8">
            <w:pPr>
              <w:pStyle w:val="BulletCD"/>
              <w:numPr>
                <w:ilvl w:val="0"/>
                <w:numId w:val="0"/>
              </w:numPr>
              <w:ind w:left="284" w:hanging="284"/>
              <w:rPr>
                <w:i/>
                <w:lang w:val="en-US"/>
              </w:rPr>
            </w:pPr>
            <w:r w:rsidRPr="00C97387">
              <w:rPr>
                <w:lang w:val="en-US"/>
              </w:rPr>
              <w:t>Insert new clause 106:</w:t>
            </w:r>
          </w:p>
          <w:p w:rsidR="00EE5D9D" w:rsidRPr="00EE5D9D" w:rsidRDefault="00EE5D9D" w:rsidP="00826BC8">
            <w:pPr>
              <w:rPr>
                <w:rFonts w:ascii="Arial" w:hAnsi="Arial" w:cs="Arial"/>
              </w:rPr>
            </w:pPr>
            <w:r w:rsidRPr="00EE5D9D">
              <w:rPr>
                <w:rFonts w:ascii="Arial" w:hAnsi="Arial" w:cs="Arial"/>
              </w:rPr>
              <w:t xml:space="preserve">The </w:t>
            </w:r>
            <w:r w:rsidRPr="00EE5D9D">
              <w:rPr>
                <w:rFonts w:ascii="Arial" w:hAnsi="Arial" w:cs="Arial"/>
                <w:i/>
              </w:rPr>
              <w:t>Consultant</w:t>
            </w:r>
            <w:r w:rsidRPr="00EE5D9D">
              <w:rPr>
                <w:rFonts w:ascii="Arial" w:hAnsi="Arial" w:cs="Arial"/>
              </w:rPr>
              <w:t xml:space="preserve"> and its </w:t>
            </w:r>
            <w:proofErr w:type="spellStart"/>
            <w:r w:rsidRPr="00EE5D9D">
              <w:rPr>
                <w:rFonts w:ascii="Arial" w:hAnsi="Arial" w:cs="Arial"/>
              </w:rPr>
              <w:t>Subconsultants</w:t>
            </w:r>
            <w:proofErr w:type="spellEnd"/>
            <w:r w:rsidRPr="00EE5D9D">
              <w:rPr>
                <w:rFonts w:ascii="Arial" w:hAnsi="Arial" w:cs="Arial"/>
              </w:rPr>
              <w:t xml:space="preserve"> may use any of the </w:t>
            </w:r>
            <w:r w:rsidRPr="00EE5D9D">
              <w:rPr>
                <w:rFonts w:ascii="Arial" w:hAnsi="Arial" w:cs="Arial"/>
                <w:i/>
              </w:rPr>
              <w:t>Client’s</w:t>
            </w:r>
            <w:r w:rsidRPr="00EE5D9D">
              <w:rPr>
                <w:rFonts w:ascii="Arial" w:hAnsi="Arial" w:cs="Arial"/>
              </w:rPr>
              <w:t xml:space="preserve"> IT Systems including connections to the internet or intranet services, with express permission from the </w:t>
            </w:r>
            <w:r w:rsidRPr="00EE5D9D">
              <w:rPr>
                <w:rFonts w:ascii="Arial" w:hAnsi="Arial" w:cs="Arial"/>
                <w:i/>
              </w:rPr>
              <w:t>Client</w:t>
            </w:r>
            <w:r w:rsidRPr="00EE5D9D">
              <w:rPr>
                <w:rFonts w:ascii="Arial" w:hAnsi="Arial" w:cs="Arial"/>
              </w:rPr>
              <w:t xml:space="preserve">, and appropriate security clearance and only for the performance of the services.  Use of a third party’s computer equipment and software, including any connections to the internet or intranet services, on the </w:t>
            </w:r>
            <w:r w:rsidRPr="00EE5D9D">
              <w:rPr>
                <w:rFonts w:ascii="Arial" w:hAnsi="Arial" w:cs="Arial"/>
                <w:i/>
              </w:rPr>
              <w:t>Client’s</w:t>
            </w:r>
            <w:r w:rsidRPr="00EE5D9D">
              <w:rPr>
                <w:rFonts w:ascii="Arial" w:hAnsi="Arial" w:cs="Arial"/>
              </w:rPr>
              <w:t xml:space="preserve"> premises, is subject to the approval of the </w:t>
            </w:r>
            <w:r w:rsidRPr="00EE5D9D">
              <w:rPr>
                <w:rFonts w:ascii="Arial" w:hAnsi="Arial" w:cs="Arial"/>
                <w:i/>
              </w:rPr>
              <w:t>Client</w:t>
            </w:r>
            <w:r w:rsidRPr="00EE5D9D">
              <w:rPr>
                <w:rFonts w:ascii="Arial" w:hAnsi="Arial" w:cs="Arial"/>
              </w:rPr>
              <w:t xml:space="preserve"> and said third party.  The </w:t>
            </w:r>
            <w:r w:rsidRPr="00EE5D9D">
              <w:rPr>
                <w:rFonts w:ascii="Arial" w:hAnsi="Arial" w:cs="Arial"/>
                <w:i/>
              </w:rPr>
              <w:t>Consultant</w:t>
            </w:r>
            <w:r w:rsidRPr="00EE5D9D">
              <w:rPr>
                <w:rFonts w:ascii="Arial" w:hAnsi="Arial" w:cs="Arial"/>
              </w:rPr>
              <w:t xml:space="preserve"> shall procure that its employees, and its </w:t>
            </w:r>
            <w:proofErr w:type="spellStart"/>
            <w:r w:rsidRPr="00EE5D9D">
              <w:rPr>
                <w:rFonts w:ascii="Arial" w:hAnsi="Arial" w:cs="Arial"/>
              </w:rPr>
              <w:t>Subconsultants</w:t>
            </w:r>
            <w:proofErr w:type="spellEnd"/>
            <w:r w:rsidRPr="00EE5D9D">
              <w:rPr>
                <w:rFonts w:ascii="Arial" w:hAnsi="Arial" w:cs="Arial"/>
              </w:rPr>
              <w:t xml:space="preserve"> and their employees, comply with the </w:t>
            </w:r>
            <w:r w:rsidRPr="00EE5D9D">
              <w:rPr>
                <w:rFonts w:ascii="Arial" w:hAnsi="Arial" w:cs="Arial"/>
                <w:i/>
              </w:rPr>
              <w:t>Client’s</w:t>
            </w:r>
            <w:r w:rsidRPr="00EE5D9D">
              <w:rPr>
                <w:rFonts w:ascii="Arial" w:hAnsi="Arial" w:cs="Arial"/>
              </w:rPr>
              <w:t xml:space="preserve"> policies, procedures and instructions in respect of computer hardware and software, including any connections to the internet or intranet services.  The </w:t>
            </w:r>
            <w:r w:rsidRPr="00EE5D9D">
              <w:rPr>
                <w:rFonts w:ascii="Arial" w:hAnsi="Arial" w:cs="Arial"/>
                <w:i/>
              </w:rPr>
              <w:t>Client</w:t>
            </w:r>
            <w:r w:rsidRPr="00EE5D9D">
              <w:rPr>
                <w:rFonts w:ascii="Arial" w:hAnsi="Arial" w:cs="Arial"/>
              </w:rPr>
              <w:t xml:space="preserve"> may on reasonable notice from time to time make reasonable or necessary amendments to such policies, procedures and instructions.  The </w:t>
            </w:r>
            <w:r w:rsidRPr="00EE5D9D">
              <w:rPr>
                <w:rFonts w:ascii="Arial" w:hAnsi="Arial" w:cs="Arial"/>
                <w:i/>
              </w:rPr>
              <w:t>Consultant</w:t>
            </w:r>
            <w:r w:rsidRPr="00EE5D9D">
              <w:rPr>
                <w:rFonts w:ascii="Arial" w:hAnsi="Arial" w:cs="Arial"/>
              </w:rPr>
              <w:t xml:space="preserve"> shall take all reasonably practicable precautions to ensure that its employees, and its </w:t>
            </w:r>
            <w:proofErr w:type="spellStart"/>
            <w:r w:rsidRPr="00EE5D9D">
              <w:rPr>
                <w:rFonts w:ascii="Arial" w:hAnsi="Arial" w:cs="Arial"/>
              </w:rPr>
              <w:t>Subconsultants</w:t>
            </w:r>
            <w:proofErr w:type="spellEnd"/>
            <w:r w:rsidRPr="00EE5D9D">
              <w:rPr>
                <w:rFonts w:ascii="Arial" w:hAnsi="Arial" w:cs="Arial"/>
              </w:rPr>
              <w:t xml:space="preserve"> and their employees, do not use computer hardware or software, including any connections to the internet or intranet services, unlawfully or for unlawful purposes.  The </w:t>
            </w:r>
            <w:r w:rsidRPr="00EE5D9D">
              <w:rPr>
                <w:rFonts w:ascii="Arial" w:hAnsi="Arial" w:cs="Arial"/>
                <w:i/>
              </w:rPr>
              <w:t>Consultant</w:t>
            </w:r>
            <w:r w:rsidRPr="00EE5D9D">
              <w:rPr>
                <w:rFonts w:ascii="Arial" w:hAnsi="Arial" w:cs="Arial"/>
              </w:rPr>
              <w:t xml:space="preserve"> shall not cause or allow any of its employees, or its </w:t>
            </w:r>
            <w:proofErr w:type="spellStart"/>
            <w:r w:rsidRPr="00EE5D9D">
              <w:rPr>
                <w:rFonts w:ascii="Arial" w:hAnsi="Arial" w:cs="Arial"/>
              </w:rPr>
              <w:t>Subconsultants</w:t>
            </w:r>
            <w:proofErr w:type="spellEnd"/>
            <w:r w:rsidRPr="00EE5D9D">
              <w:rPr>
                <w:rFonts w:ascii="Arial" w:hAnsi="Arial" w:cs="Arial"/>
              </w:rPr>
              <w:t xml:space="preserve"> and their employees, to bring the reputation of the </w:t>
            </w:r>
            <w:r w:rsidRPr="00EE5D9D">
              <w:rPr>
                <w:rFonts w:ascii="Arial" w:hAnsi="Arial" w:cs="Arial"/>
                <w:i/>
              </w:rPr>
              <w:t>Client</w:t>
            </w:r>
            <w:r w:rsidRPr="00EE5D9D">
              <w:rPr>
                <w:rFonts w:ascii="Arial" w:hAnsi="Arial" w:cs="Arial"/>
              </w:rPr>
              <w:t xml:space="preserve"> into disrepute by any action, activity or behaviour in connection with computer hardware or software.  Failure by the </w:t>
            </w:r>
            <w:r w:rsidRPr="00EE5D9D">
              <w:rPr>
                <w:rFonts w:ascii="Arial" w:hAnsi="Arial" w:cs="Arial"/>
                <w:i/>
              </w:rPr>
              <w:t>Consultant</w:t>
            </w:r>
            <w:r w:rsidRPr="00EE5D9D">
              <w:rPr>
                <w:rFonts w:ascii="Arial" w:hAnsi="Arial" w:cs="Arial"/>
              </w:rPr>
              <w:t xml:space="preserve"> to comply with this Clause shall constitute a material breach of this agreement which may lead to termination.</w:t>
            </w:r>
          </w:p>
          <w:p w:rsidR="00EE5D9D" w:rsidRPr="00C97387" w:rsidRDefault="00EE5D9D" w:rsidP="00826BC8">
            <w:pPr>
              <w:pStyle w:val="BulletCD"/>
              <w:numPr>
                <w:ilvl w:val="0"/>
                <w:numId w:val="0"/>
              </w:numPr>
              <w:tabs>
                <w:tab w:val="clear" w:pos="284"/>
                <w:tab w:val="left" w:pos="68"/>
              </w:tabs>
              <w:rPr>
                <w:b/>
                <w:i/>
                <w:lang w:val="en-US"/>
              </w:rPr>
            </w:pPr>
          </w:p>
        </w:tc>
      </w:tr>
      <w:tr w:rsidR="00EE5D9D" w:rsidRPr="00784CC6" w:rsidTr="00826BC8">
        <w:tc>
          <w:tcPr>
            <w:tcW w:w="2376" w:type="dxa"/>
          </w:tcPr>
          <w:p w:rsidR="00EE5D9D" w:rsidRDefault="00EE5D9D" w:rsidP="00826BC8">
            <w:pPr>
              <w:pStyle w:val="Heading3CD"/>
              <w:rPr>
                <w:bCs/>
                <w:iCs/>
              </w:rPr>
            </w:pPr>
            <w:r>
              <w:rPr>
                <w:bCs/>
                <w:iCs/>
              </w:rPr>
              <w:t>Option Z109</w:t>
            </w:r>
          </w:p>
        </w:tc>
        <w:tc>
          <w:tcPr>
            <w:tcW w:w="7371" w:type="dxa"/>
          </w:tcPr>
          <w:p w:rsidR="00EE5D9D" w:rsidRDefault="00EE5D9D" w:rsidP="00826BC8">
            <w:pPr>
              <w:pStyle w:val="BulletCD"/>
              <w:numPr>
                <w:ilvl w:val="0"/>
                <w:numId w:val="0"/>
              </w:numPr>
              <w:ind w:left="284" w:hanging="284"/>
              <w:rPr>
                <w:b/>
                <w:lang w:val="en-US"/>
              </w:rPr>
            </w:pPr>
            <w:r>
              <w:rPr>
                <w:b/>
                <w:lang w:val="en-US"/>
              </w:rPr>
              <w:t>RIBA 3 Option</w:t>
            </w:r>
          </w:p>
          <w:p w:rsidR="00EE5D9D" w:rsidRDefault="00EE5D9D" w:rsidP="00826BC8">
            <w:pPr>
              <w:pStyle w:val="BulletCD"/>
              <w:numPr>
                <w:ilvl w:val="0"/>
                <w:numId w:val="0"/>
              </w:numPr>
              <w:ind w:left="284" w:hanging="284"/>
              <w:rPr>
                <w:lang w:val="en-US"/>
              </w:rPr>
            </w:pPr>
            <w:r>
              <w:rPr>
                <w:lang w:val="en-US"/>
              </w:rPr>
              <w:t>Insert new clause 107:</w:t>
            </w:r>
          </w:p>
          <w:p w:rsidR="00EE5D9D" w:rsidRPr="00784CC6" w:rsidRDefault="00EE5D9D" w:rsidP="00826BC8">
            <w:pPr>
              <w:pStyle w:val="BulletCD"/>
              <w:numPr>
                <w:ilvl w:val="0"/>
                <w:numId w:val="0"/>
              </w:numPr>
              <w:tabs>
                <w:tab w:val="clear" w:pos="284"/>
                <w:tab w:val="left" w:pos="68"/>
              </w:tabs>
            </w:pPr>
            <w:r>
              <w:lastRenderedPageBreak/>
              <w:t>107.1</w:t>
            </w:r>
            <w:r w:rsidRPr="00784CC6">
              <w:tab/>
              <w:t xml:space="preserve">The </w:t>
            </w:r>
            <w:r w:rsidRPr="009463D5">
              <w:rPr>
                <w:i/>
              </w:rPr>
              <w:t>Consultant</w:t>
            </w:r>
            <w:r w:rsidRPr="00784CC6">
              <w:t xml:space="preserve"> agrees that the option for RIBA 3 services in the </w:t>
            </w:r>
            <w:r>
              <w:t>Pricing Workbook</w:t>
            </w:r>
            <w:r w:rsidRPr="00784CC6">
              <w:t xml:space="preserve"> is firm priced and is valid throughout the duration of the Contract. The </w:t>
            </w:r>
            <w:r w:rsidRPr="009463D5">
              <w:rPr>
                <w:i/>
              </w:rPr>
              <w:t>Consultant</w:t>
            </w:r>
            <w:r w:rsidRPr="00784CC6">
              <w:t xml:space="preserve"> can only change this firm price if an event occurs that meets the criteria of clause 60.1 to this contract, otherwise the </w:t>
            </w:r>
            <w:r w:rsidRPr="009463D5">
              <w:rPr>
                <w:i/>
              </w:rPr>
              <w:t>Consultant</w:t>
            </w:r>
            <w:r w:rsidRPr="00784CC6">
              <w:t xml:space="preserve"> must keep the price firm.</w:t>
            </w:r>
          </w:p>
          <w:p w:rsidR="00EE5D9D" w:rsidRPr="00784CC6" w:rsidRDefault="00EE5D9D" w:rsidP="00826BC8">
            <w:pPr>
              <w:pStyle w:val="BulletCD"/>
              <w:numPr>
                <w:ilvl w:val="0"/>
                <w:numId w:val="0"/>
              </w:numPr>
              <w:tabs>
                <w:tab w:val="clear" w:pos="284"/>
                <w:tab w:val="left" w:pos="493"/>
              </w:tabs>
            </w:pPr>
            <w:r>
              <w:t>107.2</w:t>
            </w:r>
            <w:r w:rsidRPr="00784CC6">
              <w:t xml:space="preserve"> </w:t>
            </w:r>
            <w:r w:rsidRPr="00784CC6">
              <w:tab/>
            </w:r>
            <w:r w:rsidRPr="009463D5">
              <w:rPr>
                <w:lang w:val="en-US"/>
              </w:rPr>
              <w:t xml:space="preserve">The </w:t>
            </w:r>
            <w:r w:rsidRPr="009463D5">
              <w:rPr>
                <w:i/>
                <w:lang w:val="en-US"/>
              </w:rPr>
              <w:t>Client</w:t>
            </w:r>
            <w:r w:rsidRPr="009463D5">
              <w:rPr>
                <w:lang w:val="en-US"/>
              </w:rPr>
              <w:t xml:space="preserve"> is under no obligation to invoke the option but reserves the right to do so at any time through a </w:t>
            </w:r>
            <w:r w:rsidRPr="009463D5">
              <w:rPr>
                <w:i/>
                <w:lang w:val="en-US"/>
              </w:rPr>
              <w:t>Service Manager’s</w:t>
            </w:r>
            <w:r w:rsidRPr="009463D5">
              <w:rPr>
                <w:lang w:val="en-US"/>
              </w:rPr>
              <w:t xml:space="preserve"> instruction i</w:t>
            </w:r>
            <w:r>
              <w:rPr>
                <w:lang w:val="en-US"/>
              </w:rPr>
              <w:t xml:space="preserve">n </w:t>
            </w:r>
            <w:r w:rsidRPr="009463D5">
              <w:rPr>
                <w:lang w:val="en-US"/>
              </w:rPr>
              <w:t>a</w:t>
            </w:r>
            <w:r>
              <w:rPr>
                <w:lang w:val="en-US"/>
              </w:rPr>
              <w:t xml:space="preserve">ccordance </w:t>
            </w:r>
            <w:r w:rsidRPr="009463D5">
              <w:rPr>
                <w:lang w:val="en-US"/>
              </w:rPr>
              <w:t>w</w:t>
            </w:r>
            <w:r>
              <w:rPr>
                <w:lang w:val="en-US"/>
              </w:rPr>
              <w:t>ith</w:t>
            </w:r>
            <w:r w:rsidRPr="009463D5">
              <w:rPr>
                <w:lang w:val="en-US"/>
              </w:rPr>
              <w:t xml:space="preserve"> 60.1 (1)</w:t>
            </w:r>
            <w:r>
              <w:rPr>
                <w:lang w:val="en-US"/>
              </w:rPr>
              <w:t>.</w:t>
            </w:r>
          </w:p>
          <w:p w:rsidR="00EE5D9D" w:rsidRPr="00784CC6" w:rsidRDefault="00EE5D9D" w:rsidP="00826BC8">
            <w:pPr>
              <w:pStyle w:val="BulletCD"/>
              <w:numPr>
                <w:ilvl w:val="0"/>
                <w:numId w:val="0"/>
              </w:numPr>
              <w:rPr>
                <w:lang w:val="en-US"/>
              </w:rPr>
            </w:pPr>
          </w:p>
        </w:tc>
      </w:tr>
      <w:tr w:rsidR="00EE5D9D" w:rsidRPr="00784CC6" w:rsidTr="00826BC8">
        <w:tc>
          <w:tcPr>
            <w:tcW w:w="2376" w:type="dxa"/>
          </w:tcPr>
          <w:p w:rsidR="00EE5D9D" w:rsidRDefault="00EE5D9D" w:rsidP="00826BC8">
            <w:pPr>
              <w:pStyle w:val="Heading3CD"/>
              <w:rPr>
                <w:bCs/>
                <w:iCs/>
              </w:rPr>
            </w:pPr>
            <w:r>
              <w:rPr>
                <w:bCs/>
                <w:iCs/>
              </w:rPr>
              <w:lastRenderedPageBreak/>
              <w:t>Option Z110</w:t>
            </w:r>
          </w:p>
        </w:tc>
        <w:tc>
          <w:tcPr>
            <w:tcW w:w="7371" w:type="dxa"/>
          </w:tcPr>
          <w:p w:rsidR="00EE5D9D" w:rsidRDefault="00EE5D9D" w:rsidP="00826BC8">
            <w:pPr>
              <w:pStyle w:val="BulletCD"/>
              <w:numPr>
                <w:ilvl w:val="0"/>
                <w:numId w:val="0"/>
              </w:numPr>
              <w:ind w:left="284" w:hanging="284"/>
              <w:rPr>
                <w:b/>
                <w:lang w:val="en-US"/>
              </w:rPr>
            </w:pPr>
            <w:r>
              <w:rPr>
                <w:b/>
                <w:lang w:val="en-US"/>
              </w:rPr>
              <w:t>Russian &amp; Belarussian Products/Services</w:t>
            </w:r>
          </w:p>
          <w:p w:rsidR="00EE5D9D" w:rsidRPr="00784CC6" w:rsidRDefault="00EE5D9D" w:rsidP="00826BC8">
            <w:pPr>
              <w:pStyle w:val="BulletCD"/>
              <w:numPr>
                <w:ilvl w:val="0"/>
                <w:numId w:val="0"/>
              </w:numPr>
              <w:ind w:left="284" w:hanging="284"/>
              <w:rPr>
                <w:lang w:val="en-US"/>
              </w:rPr>
            </w:pPr>
            <w:r>
              <w:rPr>
                <w:lang w:val="en-US"/>
              </w:rPr>
              <w:t>Insert new clause 108:</w:t>
            </w:r>
          </w:p>
        </w:tc>
      </w:tr>
      <w:tr w:rsidR="00EE5D9D" w:rsidTr="00826BC8">
        <w:tc>
          <w:tcPr>
            <w:tcW w:w="2376" w:type="dxa"/>
          </w:tcPr>
          <w:p w:rsidR="00EE5D9D" w:rsidRDefault="00EE5D9D" w:rsidP="00826BC8">
            <w:pPr>
              <w:pStyle w:val="Heading3CD"/>
              <w:rPr>
                <w:bCs/>
                <w:iCs/>
              </w:rPr>
            </w:pPr>
          </w:p>
        </w:tc>
        <w:tc>
          <w:tcPr>
            <w:tcW w:w="7371" w:type="dxa"/>
          </w:tcPr>
          <w:p w:rsidR="00EE5D9D" w:rsidRPr="00784CC6" w:rsidRDefault="00EE5D9D" w:rsidP="00826BC8">
            <w:pPr>
              <w:pStyle w:val="BulletCD"/>
              <w:numPr>
                <w:ilvl w:val="0"/>
                <w:numId w:val="0"/>
              </w:numPr>
              <w:tabs>
                <w:tab w:val="clear" w:pos="284"/>
                <w:tab w:val="left" w:pos="0"/>
              </w:tabs>
              <w:ind w:left="68"/>
            </w:pPr>
            <w:r>
              <w:t xml:space="preserve">108.1     </w:t>
            </w:r>
            <w:r w:rsidRPr="00784CC6">
              <w:t xml:space="preserve">The </w:t>
            </w:r>
            <w:r>
              <w:rPr>
                <w:i/>
              </w:rPr>
              <w:t>Consultant</w:t>
            </w:r>
            <w:r w:rsidRPr="00784CC6">
              <w:t xml:space="preserve"> shall, a</w:t>
            </w:r>
            <w:r>
              <w:t xml:space="preserve">nd shall procure that their </w:t>
            </w:r>
            <w:proofErr w:type="spellStart"/>
            <w:r>
              <w:t>Subconsultants</w:t>
            </w:r>
            <w:proofErr w:type="spellEnd"/>
            <w:r>
              <w:t xml:space="preserve"> </w:t>
            </w:r>
            <w:r w:rsidRPr="00784CC6">
              <w:t>shall, notify the Authority in writing as soon as they become aware that:</w:t>
            </w:r>
          </w:p>
          <w:p w:rsidR="00EE5D9D" w:rsidRPr="00784CC6" w:rsidRDefault="00EE5D9D" w:rsidP="00826BC8">
            <w:pPr>
              <w:pStyle w:val="BulletCD"/>
              <w:numPr>
                <w:ilvl w:val="0"/>
                <w:numId w:val="0"/>
              </w:numPr>
              <w:ind w:left="360"/>
            </w:pPr>
            <w:r w:rsidRPr="00784CC6">
              <w:t>a.</w:t>
            </w:r>
            <w:r w:rsidRPr="00784CC6">
              <w:tab/>
              <w:t xml:space="preserve">the </w:t>
            </w:r>
            <w:r>
              <w:rPr>
                <w:i/>
              </w:rPr>
              <w:t>service</w:t>
            </w:r>
            <w:r w:rsidRPr="00784CC6">
              <w:t xml:space="preserve"> contain</w:t>
            </w:r>
            <w:r>
              <w:t>s</w:t>
            </w:r>
            <w:r w:rsidRPr="00784CC6">
              <w:t xml:space="preserve"> any Russian/Belarussian products and/or services; or</w:t>
            </w:r>
          </w:p>
          <w:p w:rsidR="00EE5D9D" w:rsidRPr="00784CC6" w:rsidRDefault="00EE5D9D" w:rsidP="00826BC8">
            <w:pPr>
              <w:pStyle w:val="BulletCD"/>
              <w:numPr>
                <w:ilvl w:val="0"/>
                <w:numId w:val="0"/>
              </w:numPr>
              <w:ind w:left="360"/>
            </w:pPr>
            <w:r w:rsidRPr="00784CC6">
              <w:t>b. </w:t>
            </w:r>
            <w:r w:rsidRPr="00784CC6">
              <w:tab/>
              <w:t xml:space="preserve">that the </w:t>
            </w:r>
            <w:r>
              <w:rPr>
                <w:i/>
              </w:rPr>
              <w:t>Consultant</w:t>
            </w:r>
            <w:r w:rsidRPr="00784CC6">
              <w:t xml:space="preserve"> or any part of the </w:t>
            </w:r>
            <w:r>
              <w:rPr>
                <w:i/>
              </w:rPr>
              <w:t xml:space="preserve">Consultant’s </w:t>
            </w:r>
            <w:r w:rsidRPr="00784CC6">
              <w:t xml:space="preserve">supply chain is linked to entities who are constituted or organised under the law of Russia or Belarus, or under the control (full or partial) of a Russian/Belarusian person or entity. Please note that this does not include companies: </w:t>
            </w:r>
          </w:p>
          <w:p w:rsidR="00EE5D9D" w:rsidRPr="00784CC6" w:rsidRDefault="00EE5D9D" w:rsidP="00EE5D9D">
            <w:pPr>
              <w:pStyle w:val="BulletCD"/>
              <w:numPr>
                <w:ilvl w:val="0"/>
                <w:numId w:val="4"/>
              </w:numPr>
            </w:pPr>
            <w:r w:rsidRPr="00784CC6">
              <w:t>registered in the UK or in a country with which the UK has a relevant international agreement providing reciprocal rights of access in the relevant field of public procurement; and/or</w:t>
            </w:r>
          </w:p>
          <w:p w:rsidR="00EE5D9D" w:rsidRPr="00784CC6" w:rsidRDefault="00EE5D9D" w:rsidP="00EE5D9D">
            <w:pPr>
              <w:pStyle w:val="BulletCD"/>
              <w:numPr>
                <w:ilvl w:val="0"/>
                <w:numId w:val="4"/>
              </w:numPr>
            </w:pPr>
            <w:proofErr w:type="gramStart"/>
            <w:r w:rsidRPr="00784CC6">
              <w:t>which</w:t>
            </w:r>
            <w:proofErr w:type="gramEnd"/>
            <w:r w:rsidRPr="00784CC6">
              <w:t xml:space="preserve"> have significant business operations in the UK or in a country with which the UK has a relevant international agreement providing reciprocal rights of access in the relevant field of public procurement.</w:t>
            </w:r>
          </w:p>
          <w:p w:rsidR="00EE5D9D" w:rsidRPr="00784CC6" w:rsidRDefault="00EE5D9D" w:rsidP="00826BC8">
            <w:pPr>
              <w:pStyle w:val="BulletCD"/>
              <w:ind w:left="0"/>
            </w:pPr>
            <w:r>
              <w:t xml:space="preserve">108.2      </w:t>
            </w:r>
            <w:r w:rsidRPr="00784CC6">
              <w:t xml:space="preserve">The </w:t>
            </w:r>
            <w:r>
              <w:rPr>
                <w:i/>
              </w:rPr>
              <w:t>Consultant</w:t>
            </w:r>
            <w:r w:rsidRPr="00784CC6">
              <w:t xml:space="preserve"> shall, and shall procure that their </w:t>
            </w:r>
            <w:proofErr w:type="spellStart"/>
            <w:r>
              <w:t>Subconsultants</w:t>
            </w:r>
            <w:proofErr w:type="spellEnd"/>
            <w:r>
              <w:t xml:space="preserve"> </w:t>
            </w:r>
            <w:r w:rsidRPr="00784CC6">
              <w:t xml:space="preserve">shall, include in such notification (or as soon as reasonably practicable following the notification) full details of the Russian products, services and/or entities and shall provide all reasonable assistance to the </w:t>
            </w:r>
            <w:r>
              <w:rPr>
                <w:i/>
              </w:rPr>
              <w:t>Client</w:t>
            </w:r>
            <w:r w:rsidRPr="00784CC6">
              <w:t xml:space="preserve"> to understand the nature, scope and impact of any such products, services and/or entities on the provision of the </w:t>
            </w:r>
            <w:r>
              <w:rPr>
                <w:i/>
              </w:rPr>
              <w:t>service</w:t>
            </w:r>
            <w:r w:rsidRPr="00784CC6">
              <w:t>.   </w:t>
            </w:r>
          </w:p>
          <w:p w:rsidR="00EE5D9D" w:rsidRPr="00CE357D" w:rsidRDefault="00EE5D9D" w:rsidP="00826BC8">
            <w:pPr>
              <w:pStyle w:val="BulletCD"/>
              <w:ind w:left="0"/>
            </w:pPr>
            <w:r>
              <w:t>108.3</w:t>
            </w:r>
            <w:r w:rsidRPr="00784CC6">
              <w:t xml:space="preserve"> </w:t>
            </w:r>
            <w:r w:rsidRPr="00784CC6">
              <w:tab/>
              <w:t xml:space="preserve">The </w:t>
            </w:r>
            <w:r>
              <w:rPr>
                <w:i/>
              </w:rPr>
              <w:t>Client</w:t>
            </w:r>
            <w:r w:rsidRPr="00784CC6">
              <w:t xml:space="preserve"> shall consider </w:t>
            </w:r>
            <w:r w:rsidRPr="00CE357D">
              <w:t xml:space="preserve">the notification and information provided by the </w:t>
            </w:r>
            <w:r>
              <w:rPr>
                <w:i/>
              </w:rPr>
              <w:t>Consultant</w:t>
            </w:r>
            <w:r w:rsidRPr="00CE357D">
              <w:t xml:space="preserve"> and advise the </w:t>
            </w:r>
            <w:r>
              <w:rPr>
                <w:i/>
              </w:rPr>
              <w:t>Consultant</w:t>
            </w:r>
            <w:r w:rsidRPr="00CE357D">
              <w:t xml:space="preserve"> in writing of any concerns the </w:t>
            </w:r>
            <w:r>
              <w:rPr>
                <w:i/>
              </w:rPr>
              <w:t>Client</w:t>
            </w:r>
            <w:r w:rsidRPr="00CE357D">
              <w:t xml:space="preserve"> may have and/or any action which the </w:t>
            </w:r>
            <w:r>
              <w:rPr>
                <w:i/>
              </w:rPr>
              <w:t>Client</w:t>
            </w:r>
            <w:r w:rsidRPr="00CE357D">
              <w:t xml:space="preserve"> will require the </w:t>
            </w:r>
            <w:r>
              <w:rPr>
                <w:i/>
              </w:rPr>
              <w:t>Consultant</w:t>
            </w:r>
            <w:r w:rsidRPr="00CE357D">
              <w:t xml:space="preserve"> to take. The </w:t>
            </w:r>
            <w:r>
              <w:rPr>
                <w:i/>
              </w:rPr>
              <w:t>Consultant</w:t>
            </w:r>
            <w:r w:rsidRPr="00CE357D">
              <w:t xml:space="preserve"> shall be required to submit a response to the concerns raised by the </w:t>
            </w:r>
            <w:r>
              <w:rPr>
                <w:i/>
              </w:rPr>
              <w:t>Client</w:t>
            </w:r>
            <w:r w:rsidRPr="00CE357D">
              <w:t xml:space="preserve">, including any plans to mitigate those concerns, within 14 business days of receipt of the </w:t>
            </w:r>
            <w:r>
              <w:rPr>
                <w:i/>
              </w:rPr>
              <w:t>Client’s</w:t>
            </w:r>
            <w:r w:rsidRPr="00CE357D">
              <w:t xml:space="preserve"> written concerns, for the </w:t>
            </w:r>
            <w:r>
              <w:rPr>
                <w:i/>
              </w:rPr>
              <w:t>Client’s</w:t>
            </w:r>
            <w:r w:rsidRPr="00CE357D">
              <w:t xml:space="preserve"> consideration.</w:t>
            </w:r>
          </w:p>
          <w:p w:rsidR="00EE5D9D" w:rsidRPr="00784CC6" w:rsidRDefault="00EE5D9D" w:rsidP="00826BC8">
            <w:pPr>
              <w:pStyle w:val="BulletCD"/>
              <w:numPr>
                <w:ilvl w:val="0"/>
                <w:numId w:val="0"/>
              </w:numPr>
              <w:tabs>
                <w:tab w:val="clear" w:pos="284"/>
                <w:tab w:val="left" w:pos="0"/>
              </w:tabs>
              <w:rPr>
                <w:b/>
              </w:rPr>
            </w:pPr>
            <w:r>
              <w:t>108.4</w:t>
            </w:r>
            <w:r w:rsidRPr="00CE357D">
              <w:t xml:space="preserve"> </w:t>
            </w:r>
            <w:r>
              <w:t xml:space="preserve">     </w:t>
            </w:r>
            <w:r w:rsidRPr="00CE357D">
              <w:t xml:space="preserve">The </w:t>
            </w:r>
            <w:r>
              <w:rPr>
                <w:i/>
              </w:rPr>
              <w:t>Consultant</w:t>
            </w:r>
            <w:r w:rsidRPr="00CE357D">
              <w:t xml:space="preserve"> shall include provisions equivalent to those set out in this clau</w:t>
            </w:r>
            <w:r>
              <w:t>se in all relevant Sub-contracts.</w:t>
            </w:r>
            <w:r w:rsidRPr="00784CC6">
              <w:rPr>
                <w:b/>
              </w:rPr>
              <w:t xml:space="preserve"> </w:t>
            </w:r>
          </w:p>
          <w:p w:rsidR="00EE5D9D" w:rsidRDefault="00EE5D9D" w:rsidP="00826BC8">
            <w:pPr>
              <w:pStyle w:val="BulletCD"/>
              <w:numPr>
                <w:ilvl w:val="0"/>
                <w:numId w:val="0"/>
              </w:numPr>
              <w:rPr>
                <w:b/>
                <w:lang w:val="en-US"/>
              </w:rPr>
            </w:pPr>
          </w:p>
        </w:tc>
      </w:tr>
    </w:tbl>
    <w:p w:rsidR="00593211" w:rsidRPr="00470F34" w:rsidRDefault="00593211" w:rsidP="00593211">
      <w:pPr>
        <w:pStyle w:val="NoSpacing"/>
        <w:jc w:val="center"/>
      </w:pPr>
    </w:p>
    <w:sectPr w:rsidR="00593211" w:rsidRPr="00470F34" w:rsidSect="0009266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46338"/>
    <w:multiLevelType w:val="hybridMultilevel"/>
    <w:tmpl w:val="3BC66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D759BA"/>
    <w:multiLevelType w:val="hybridMultilevel"/>
    <w:tmpl w:val="0890D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2C078A"/>
    <w:multiLevelType w:val="hybridMultilevel"/>
    <w:tmpl w:val="E2E2BA60"/>
    <w:lvl w:ilvl="0" w:tplc="4F027968">
      <w:start w:val="1"/>
      <w:numFmt w:val="decimal"/>
      <w:lvlText w:val="(%1)"/>
      <w:lvlJc w:val="left"/>
      <w:pPr>
        <w:ind w:left="1494" w:hanging="360"/>
      </w:pPr>
    </w:lvl>
    <w:lvl w:ilvl="1" w:tplc="FFFFFFFF">
      <w:start w:val="1"/>
      <w:numFmt w:val="lowerLetter"/>
      <w:lvlText w:val="%2."/>
      <w:lvlJc w:val="left"/>
      <w:pPr>
        <w:ind w:left="2214" w:hanging="360"/>
      </w:pPr>
    </w:lvl>
    <w:lvl w:ilvl="2" w:tplc="FFFFFFFF">
      <w:start w:val="1"/>
      <w:numFmt w:val="lowerRoman"/>
      <w:lvlText w:val="%3."/>
      <w:lvlJc w:val="right"/>
      <w:pPr>
        <w:ind w:left="2934" w:hanging="180"/>
      </w:pPr>
    </w:lvl>
    <w:lvl w:ilvl="3" w:tplc="FFFFFFFF">
      <w:start w:val="1"/>
      <w:numFmt w:val="decimal"/>
      <w:lvlText w:val="%4."/>
      <w:lvlJc w:val="left"/>
      <w:pPr>
        <w:ind w:left="3654" w:hanging="360"/>
      </w:pPr>
    </w:lvl>
    <w:lvl w:ilvl="4" w:tplc="FFFFFFFF">
      <w:start w:val="1"/>
      <w:numFmt w:val="lowerLetter"/>
      <w:lvlText w:val="%5."/>
      <w:lvlJc w:val="left"/>
      <w:pPr>
        <w:ind w:left="4374" w:hanging="360"/>
      </w:pPr>
    </w:lvl>
    <w:lvl w:ilvl="5" w:tplc="FFFFFFFF">
      <w:start w:val="1"/>
      <w:numFmt w:val="lowerRoman"/>
      <w:lvlText w:val="%6."/>
      <w:lvlJc w:val="right"/>
      <w:pPr>
        <w:ind w:left="5094" w:hanging="180"/>
      </w:pPr>
    </w:lvl>
    <w:lvl w:ilvl="6" w:tplc="FFFFFFFF">
      <w:start w:val="1"/>
      <w:numFmt w:val="decimal"/>
      <w:lvlText w:val="%7."/>
      <w:lvlJc w:val="left"/>
      <w:pPr>
        <w:ind w:left="5814" w:hanging="360"/>
      </w:pPr>
    </w:lvl>
    <w:lvl w:ilvl="7" w:tplc="FFFFFFFF">
      <w:start w:val="1"/>
      <w:numFmt w:val="lowerLetter"/>
      <w:lvlText w:val="%8."/>
      <w:lvlJc w:val="left"/>
      <w:pPr>
        <w:ind w:left="6534" w:hanging="360"/>
      </w:pPr>
    </w:lvl>
    <w:lvl w:ilvl="8" w:tplc="FFFFFFFF">
      <w:start w:val="1"/>
      <w:numFmt w:val="lowerRoman"/>
      <w:lvlText w:val="%9."/>
      <w:lvlJc w:val="right"/>
      <w:pPr>
        <w:ind w:left="7254"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F34"/>
    <w:rsid w:val="0009266C"/>
    <w:rsid w:val="002219CA"/>
    <w:rsid w:val="0034301C"/>
    <w:rsid w:val="003573AA"/>
    <w:rsid w:val="003C5370"/>
    <w:rsid w:val="00470F34"/>
    <w:rsid w:val="00501ACB"/>
    <w:rsid w:val="00593211"/>
    <w:rsid w:val="0061246F"/>
    <w:rsid w:val="00762A1F"/>
    <w:rsid w:val="007B502B"/>
    <w:rsid w:val="008A47B4"/>
    <w:rsid w:val="008E7BAA"/>
    <w:rsid w:val="00BD5819"/>
    <w:rsid w:val="00C40E69"/>
    <w:rsid w:val="00E600AE"/>
    <w:rsid w:val="00EE3025"/>
    <w:rsid w:val="00EE5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C87FF"/>
  <w15:chartTrackingRefBased/>
  <w15:docId w15:val="{C8ABD33D-3F49-4D9F-9721-F3EB28CE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F34"/>
    <w:pPr>
      <w:spacing w:after="0" w:line="240" w:lineRule="auto"/>
    </w:pPr>
  </w:style>
  <w:style w:type="paragraph" w:styleId="ListParagraph">
    <w:name w:val="List Paragraph"/>
    <w:basedOn w:val="Normal"/>
    <w:uiPriority w:val="34"/>
    <w:qFormat/>
    <w:rsid w:val="00470F34"/>
    <w:pPr>
      <w:ind w:left="720"/>
      <w:contextualSpacing/>
    </w:pPr>
  </w:style>
  <w:style w:type="character" w:styleId="Hyperlink">
    <w:name w:val="Hyperlink"/>
    <w:basedOn w:val="DefaultParagraphFont"/>
    <w:uiPriority w:val="99"/>
    <w:unhideWhenUsed/>
    <w:rsid w:val="00BD5819"/>
    <w:rPr>
      <w:color w:val="0563C1" w:themeColor="hyperlink"/>
      <w:u w:val="single"/>
    </w:rPr>
  </w:style>
  <w:style w:type="paragraph" w:customStyle="1" w:styleId="BulletCD">
    <w:name w:val="Bullet CD"/>
    <w:basedOn w:val="Normal"/>
    <w:link w:val="BulletCDChar"/>
    <w:uiPriority w:val="99"/>
    <w:rsid w:val="00EE5D9D"/>
    <w:pPr>
      <w:numPr>
        <w:numId w:val="2"/>
      </w:numPr>
      <w:tabs>
        <w:tab w:val="left" w:pos="284"/>
        <w:tab w:val="left" w:pos="972"/>
      </w:tabs>
      <w:spacing w:before="120" w:after="120" w:line="264" w:lineRule="auto"/>
    </w:pPr>
    <w:rPr>
      <w:rFonts w:ascii="Arial" w:eastAsia="Times New Roman" w:hAnsi="Arial" w:cs="Arial"/>
      <w:bCs/>
      <w:szCs w:val="20"/>
    </w:rPr>
  </w:style>
  <w:style w:type="paragraph" w:customStyle="1" w:styleId="Heading3CD">
    <w:name w:val="Heading 3 CD"/>
    <w:basedOn w:val="Normal"/>
    <w:uiPriority w:val="99"/>
    <w:rsid w:val="00EE5D9D"/>
    <w:pPr>
      <w:spacing w:before="120" w:after="120" w:line="240" w:lineRule="auto"/>
      <w:jc w:val="right"/>
    </w:pPr>
    <w:rPr>
      <w:rFonts w:ascii="Arial" w:eastAsia="Times New Roman" w:hAnsi="Arial" w:cs="Arial"/>
      <w:b/>
      <w:spacing w:val="-3"/>
      <w:szCs w:val="20"/>
    </w:rPr>
  </w:style>
  <w:style w:type="character" w:customStyle="1" w:styleId="BulletCDChar">
    <w:name w:val="Bullet CD Char"/>
    <w:link w:val="BulletCD"/>
    <w:uiPriority w:val="99"/>
    <w:locked/>
    <w:rsid w:val="00EE5D9D"/>
    <w:rPr>
      <w:rFonts w:ascii="Arial" w:eastAsia="Times New Roman" w:hAnsi="Arial"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knowledge-in-defence-k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Garwood</dc:creator>
  <cp:keywords/>
  <dc:description/>
  <cp:lastModifiedBy>Gough Blake</cp:lastModifiedBy>
  <cp:revision>2</cp:revision>
  <dcterms:created xsi:type="dcterms:W3CDTF">2023-11-28T15:35:00Z</dcterms:created>
  <dcterms:modified xsi:type="dcterms:W3CDTF">2023-11-28T15:35:00Z</dcterms:modified>
</cp:coreProperties>
</file>