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938F" w14:textId="1F3A167B" w:rsidR="00A62052" w:rsidRPr="00FB5E9F" w:rsidRDefault="00414550" w:rsidP="008D1EBF">
      <w:pPr>
        <w:keepNext/>
        <w:keepLines/>
        <w:shd w:val="clear" w:color="auto" w:fill="FFFFFF"/>
        <w:spacing w:after="450"/>
        <w:jc w:val="center"/>
        <w:outlineLvl w:val="0"/>
        <w:rPr>
          <w:rFonts w:asciiTheme="majorHAnsi" w:eastAsiaTheme="majorEastAsia" w:hAnsiTheme="majorHAnsi" w:cstheme="majorBidi"/>
          <w:sz w:val="32"/>
          <w:szCs w:val="32"/>
        </w:rPr>
      </w:pPr>
      <w:r w:rsidRPr="0041455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Provision and Support of Self-Contained Air Diving Equipment (SCADE) 711234451 </w:t>
      </w:r>
      <w:r w:rsidR="008D1EB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–</w:t>
      </w:r>
      <w:r w:rsidRPr="0041455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8D1EBF" w:rsidRPr="0041455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</w:t>
      </w:r>
      <w:r w:rsidR="008D1EB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coring Guidance for the Qualification </w:t>
      </w:r>
      <w:r w:rsidR="00E34F2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Envelope </w:t>
      </w:r>
      <w:r w:rsidR="00E34F26" w:rsidRPr="0041455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(</w:t>
      </w:r>
      <w:r w:rsidR="00E34F2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  <w:t>Financial)</w:t>
      </w:r>
    </w:p>
    <w:p w14:paraId="1F47E1E5" w14:textId="2F8E1BF6" w:rsidR="00FA45EC" w:rsidRDefault="00E34F26" w:rsidP="00FA45EC">
      <w:pPr>
        <w:pStyle w:val="ListParagraph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ascii="Arial" w:eastAsia="Arial" w:hAnsi="Arial" w:cs="Arial"/>
          <w:lang w:eastAsia="en-GB"/>
        </w:rPr>
      </w:pPr>
      <w:r w:rsidRPr="00FB5E9F">
        <w:rPr>
          <w:rFonts w:ascii="Arial" w:eastAsia="Arial" w:hAnsi="Arial" w:cs="Arial"/>
          <w:lang w:eastAsia="en-GB"/>
        </w:rPr>
        <w:t>Each</w:t>
      </w:r>
      <w:r w:rsidRPr="00FB5E9F">
        <w:rPr>
          <w:rFonts w:ascii="Calibri" w:eastAsia="Arial" w:hAnsi="Calibri" w:cs="Arial"/>
          <w:lang w:eastAsia="en-GB"/>
        </w:rPr>
        <w:t xml:space="preserve"> </w:t>
      </w:r>
      <w:r w:rsidRPr="00FB5E9F">
        <w:rPr>
          <w:rFonts w:ascii="Arial" w:eastAsia="Arial" w:hAnsi="Arial" w:cs="Arial"/>
          <w:lang w:eastAsia="en-GB"/>
        </w:rPr>
        <w:t xml:space="preserve">Potential </w:t>
      </w:r>
      <w:r w:rsidR="00FA45EC" w:rsidRPr="00FB5E9F">
        <w:rPr>
          <w:rFonts w:ascii="Arial" w:eastAsia="Arial" w:hAnsi="Arial" w:cs="Arial"/>
          <w:lang w:eastAsia="en-GB"/>
        </w:rPr>
        <w:t>Supplier</w:t>
      </w:r>
      <w:r w:rsidRPr="00FB5E9F">
        <w:rPr>
          <w:rFonts w:ascii="Arial" w:eastAsia="Arial" w:hAnsi="Arial" w:cs="Arial"/>
          <w:lang w:eastAsia="en-GB"/>
        </w:rPr>
        <w:t xml:space="preserve"> must provide responses to </w:t>
      </w:r>
      <w:r w:rsidR="00FA45EC" w:rsidRPr="00FB5E9F">
        <w:rPr>
          <w:rFonts w:ascii="Arial" w:eastAsia="Times New Roman" w:hAnsi="Arial" w:cs="Arial"/>
          <w:lang w:eastAsia="en-GB"/>
        </w:rPr>
        <w:t xml:space="preserve">questions </w:t>
      </w:r>
      <w:r w:rsidR="00BE4027" w:rsidRPr="00FB5E9F">
        <w:rPr>
          <w:rFonts w:ascii="Arial" w:eastAsia="Times New Roman" w:hAnsi="Arial" w:cs="Arial"/>
          <w:lang w:eastAsia="en-GB"/>
        </w:rPr>
        <w:t>1.9.1 – 1.9.</w:t>
      </w:r>
      <w:r w:rsidR="00FB5E9F" w:rsidRPr="00FB5E9F">
        <w:rPr>
          <w:rFonts w:ascii="Arial" w:eastAsia="Times New Roman" w:hAnsi="Arial" w:cs="Arial"/>
          <w:lang w:eastAsia="en-GB"/>
        </w:rPr>
        <w:t>8</w:t>
      </w:r>
      <w:r w:rsidR="00FB5E9F" w:rsidRPr="00FB5E9F">
        <w:rPr>
          <w:rFonts w:ascii="Arial" w:eastAsia="Times New Roman" w:hAnsi="Arial" w:cs="Arial"/>
          <w:bCs/>
          <w:lang w:eastAsia="en-GB"/>
        </w:rPr>
        <w:t xml:space="preserve"> </w:t>
      </w:r>
      <w:r w:rsidR="00FA45EC">
        <w:rPr>
          <w:rFonts w:ascii="Arial" w:eastAsia="Arial" w:hAnsi="Arial" w:cs="Arial"/>
          <w:lang w:eastAsia="en-GB"/>
        </w:rPr>
        <w:t xml:space="preserve">in </w:t>
      </w:r>
      <w:r w:rsidRPr="00BE7B20">
        <w:rPr>
          <w:rFonts w:ascii="Arial" w:eastAsia="Arial" w:hAnsi="Arial" w:cs="Arial"/>
          <w:lang w:eastAsia="en-GB"/>
        </w:rPr>
        <w:t xml:space="preserve">order for the Authority to carry out its financial health assessment.  If a Potential </w:t>
      </w:r>
      <w:r w:rsidR="00FA45EC">
        <w:rPr>
          <w:rFonts w:ascii="Arial" w:eastAsia="Arial" w:hAnsi="Arial" w:cs="Arial"/>
          <w:lang w:eastAsia="en-GB"/>
        </w:rPr>
        <w:t>Supplier</w:t>
      </w:r>
      <w:r w:rsidRPr="00BE7B20">
        <w:rPr>
          <w:rFonts w:ascii="Arial" w:eastAsia="Arial" w:hAnsi="Arial" w:cs="Arial"/>
          <w:lang w:eastAsia="en-GB"/>
        </w:rPr>
        <w:t xml:space="preserve"> fails to provide the requested information, the Authority shall exclude the Potential </w:t>
      </w:r>
      <w:r w:rsidR="00FA45EC">
        <w:rPr>
          <w:rFonts w:ascii="Arial" w:eastAsia="Arial" w:hAnsi="Arial" w:cs="Arial"/>
          <w:lang w:eastAsia="en-GB"/>
        </w:rPr>
        <w:t xml:space="preserve">Supplier </w:t>
      </w:r>
      <w:r w:rsidRPr="00BE7B20">
        <w:rPr>
          <w:rFonts w:ascii="Arial" w:eastAsia="Arial" w:hAnsi="Arial" w:cs="Arial"/>
          <w:lang w:eastAsia="en-GB"/>
        </w:rPr>
        <w:t xml:space="preserve">from further participation in the Procurement.  </w:t>
      </w:r>
    </w:p>
    <w:p w14:paraId="79284335" w14:textId="77777777" w:rsidR="00FA45EC" w:rsidRDefault="00FA45EC" w:rsidP="00FA45EC">
      <w:pPr>
        <w:pStyle w:val="ListParagraph"/>
        <w:tabs>
          <w:tab w:val="left" w:pos="1276"/>
        </w:tabs>
        <w:spacing w:after="0" w:line="240" w:lineRule="auto"/>
        <w:rPr>
          <w:rFonts w:ascii="Arial" w:eastAsia="Arial" w:hAnsi="Arial" w:cs="Arial"/>
          <w:lang w:eastAsia="en-GB"/>
        </w:rPr>
      </w:pPr>
    </w:p>
    <w:p w14:paraId="6E96E383" w14:textId="77777777" w:rsidR="00060DCA" w:rsidRPr="00060DCA" w:rsidRDefault="00E34F26" w:rsidP="004C19F1">
      <w:pPr>
        <w:pStyle w:val="ListParagraph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ascii="Arial" w:eastAsia="Arial" w:hAnsi="Arial" w:cs="Arial"/>
          <w:lang w:eastAsia="en-GB"/>
        </w:rPr>
      </w:pPr>
      <w:r w:rsidRPr="00FA45EC">
        <w:rPr>
          <w:rFonts w:ascii="Arial" w:eastAsia="Times New Roman" w:hAnsi="Arial" w:cs="Arial"/>
          <w:bCs/>
          <w:lang w:eastAsia="en-GB"/>
        </w:rPr>
        <w:t>The Authority will use the information provided in the responses to questions</w:t>
      </w:r>
      <w:r w:rsidR="00874063">
        <w:rPr>
          <w:rFonts w:ascii="Arial" w:eastAsia="Times New Roman" w:hAnsi="Arial" w:cs="Arial"/>
          <w:bCs/>
          <w:lang w:eastAsia="en-GB"/>
        </w:rPr>
        <w:t xml:space="preserve"> in</w:t>
      </w:r>
      <w:r w:rsidRPr="00FA45EC">
        <w:rPr>
          <w:rFonts w:ascii="Arial" w:eastAsia="Times New Roman" w:hAnsi="Arial" w:cs="Arial"/>
          <w:bCs/>
          <w:lang w:eastAsia="en-GB"/>
        </w:rPr>
        <w:t xml:space="preserve"> </w:t>
      </w:r>
      <w:r w:rsidR="00EE1D4F">
        <w:rPr>
          <w:rFonts w:ascii="Arial" w:eastAsia="Times New Roman" w:hAnsi="Arial" w:cs="Arial"/>
          <w:bCs/>
          <w:lang w:eastAsia="en-GB"/>
        </w:rPr>
        <w:t>S</w:t>
      </w:r>
      <w:r w:rsidR="00541590" w:rsidRPr="00541590">
        <w:rPr>
          <w:rFonts w:ascii="Arial" w:eastAsia="Times New Roman" w:hAnsi="Arial" w:cs="Arial"/>
          <w:bCs/>
          <w:lang w:eastAsia="en-GB"/>
        </w:rPr>
        <w:t>ection 1.9 to</w:t>
      </w:r>
      <w:r w:rsidRPr="00FA45EC">
        <w:rPr>
          <w:rFonts w:ascii="Arial" w:eastAsia="Times New Roman" w:hAnsi="Arial" w:cs="Arial"/>
          <w:bCs/>
          <w:lang w:eastAsia="en-GB"/>
        </w:rPr>
        <w:t xml:space="preserve"> assess the financial standing of each Potential </w:t>
      </w:r>
      <w:r w:rsidR="00DA0556">
        <w:rPr>
          <w:rFonts w:ascii="Arial" w:eastAsia="Times New Roman" w:hAnsi="Arial" w:cs="Arial"/>
          <w:bCs/>
          <w:lang w:eastAsia="en-GB"/>
        </w:rPr>
        <w:t xml:space="preserve">Supplier </w:t>
      </w:r>
      <w:r w:rsidRPr="00FA45EC">
        <w:rPr>
          <w:rFonts w:ascii="Arial" w:eastAsia="Times New Roman" w:hAnsi="Arial" w:cs="Arial"/>
          <w:bCs/>
          <w:lang w:eastAsia="en-GB"/>
        </w:rPr>
        <w:t xml:space="preserve">in accordance with the qualification standards set out in </w:t>
      </w:r>
      <w:r w:rsidR="00AB3ED4">
        <w:rPr>
          <w:rFonts w:ascii="Arial" w:eastAsia="Times New Roman" w:hAnsi="Arial" w:cs="Arial"/>
          <w:bCs/>
          <w:lang w:eastAsia="en-GB"/>
        </w:rPr>
        <w:t>Table</w:t>
      </w:r>
      <w:r w:rsidRPr="00FA45EC">
        <w:rPr>
          <w:rFonts w:ascii="Arial" w:eastAsia="Times New Roman" w:hAnsi="Arial" w:cs="Arial"/>
          <w:bCs/>
          <w:lang w:eastAsia="en-GB"/>
        </w:rPr>
        <w:t xml:space="preserve"> 1 below. </w:t>
      </w:r>
    </w:p>
    <w:p w14:paraId="2DA31BB7" w14:textId="77777777" w:rsidR="00060DCA" w:rsidRPr="00060DCA" w:rsidRDefault="00060DCA" w:rsidP="00060DCA">
      <w:pPr>
        <w:pStyle w:val="ListParagraph"/>
        <w:rPr>
          <w:rFonts w:ascii="Arial" w:eastAsia="Times New Roman" w:hAnsi="Arial" w:cs="Arial"/>
          <w:bCs/>
          <w:lang w:eastAsia="en-GB"/>
        </w:rPr>
      </w:pPr>
    </w:p>
    <w:p w14:paraId="4E15A766" w14:textId="09C1E5BB" w:rsidR="00E34F26" w:rsidRPr="004C19F1" w:rsidRDefault="00E34F26" w:rsidP="004C19F1">
      <w:pPr>
        <w:pStyle w:val="ListParagraph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ascii="Arial" w:eastAsia="Arial" w:hAnsi="Arial" w:cs="Arial"/>
          <w:lang w:eastAsia="en-GB"/>
        </w:rPr>
      </w:pPr>
      <w:r w:rsidRPr="00FA45EC">
        <w:rPr>
          <w:rFonts w:ascii="Arial" w:eastAsia="Times New Roman" w:hAnsi="Arial" w:cs="Arial"/>
          <w:bCs/>
          <w:lang w:eastAsia="en-GB"/>
        </w:rPr>
        <w:t xml:space="preserve">The resulting assessment will lead to a PASS/FAIL evaluation based on whether the Potential </w:t>
      </w:r>
      <w:r w:rsidR="000062A4">
        <w:rPr>
          <w:rFonts w:ascii="Arial" w:eastAsia="Times New Roman" w:hAnsi="Arial" w:cs="Arial"/>
          <w:bCs/>
          <w:lang w:eastAsia="en-GB"/>
        </w:rPr>
        <w:t xml:space="preserve">Supplier </w:t>
      </w:r>
      <w:r w:rsidRPr="00FA45EC">
        <w:rPr>
          <w:rFonts w:ascii="Arial" w:eastAsia="Times New Roman" w:hAnsi="Arial" w:cs="Arial"/>
          <w:bCs/>
          <w:lang w:eastAsia="en-GB"/>
        </w:rPr>
        <w:t>has demonstrated, through meeting the qualification standards, that it has sufficient economic and financial standing to provide services of the technical scope and scale of</w:t>
      </w:r>
      <w:r w:rsidR="001421DF">
        <w:rPr>
          <w:rFonts w:ascii="Arial" w:eastAsia="Times New Roman" w:hAnsi="Arial" w:cs="Arial"/>
          <w:bCs/>
          <w:lang w:eastAsia="en-GB"/>
        </w:rPr>
        <w:t xml:space="preserve"> </w:t>
      </w:r>
      <w:r w:rsidR="004C19F1">
        <w:rPr>
          <w:rFonts w:ascii="Arial" w:eastAsia="Times New Roman" w:hAnsi="Arial" w:cs="Arial"/>
          <w:bCs/>
          <w:lang w:eastAsia="en-GB"/>
        </w:rPr>
        <w:t xml:space="preserve">the SCADE project.  The </w:t>
      </w:r>
      <w:r w:rsidRPr="00FA45EC">
        <w:rPr>
          <w:rFonts w:ascii="Arial" w:eastAsia="Times New Roman" w:hAnsi="Arial" w:cs="Arial"/>
          <w:bCs/>
          <w:lang w:eastAsia="en-GB"/>
        </w:rPr>
        <w:t xml:space="preserve">Authority reserves the right to exclude a </w:t>
      </w:r>
      <w:r w:rsidR="004C19F1">
        <w:rPr>
          <w:rFonts w:ascii="Arial" w:eastAsia="Times New Roman" w:hAnsi="Arial" w:cs="Arial"/>
          <w:bCs/>
          <w:lang w:eastAsia="en-GB"/>
        </w:rPr>
        <w:t xml:space="preserve">Potential Supplier </w:t>
      </w:r>
      <w:r w:rsidRPr="00FA45EC">
        <w:rPr>
          <w:rFonts w:ascii="Arial" w:eastAsia="Times New Roman" w:hAnsi="Arial" w:cs="Arial"/>
          <w:bCs/>
          <w:lang w:eastAsia="en-GB"/>
        </w:rPr>
        <w:t xml:space="preserve">that does not meet the qualification standards set out in </w:t>
      </w:r>
      <w:r w:rsidR="004C19F1">
        <w:rPr>
          <w:rFonts w:ascii="Arial" w:eastAsia="Times New Roman" w:hAnsi="Arial" w:cs="Arial"/>
          <w:bCs/>
          <w:lang w:eastAsia="en-GB"/>
        </w:rPr>
        <w:t>Table 1</w:t>
      </w:r>
      <w:r w:rsidR="004C19F1" w:rsidRPr="004C19F1">
        <w:rPr>
          <w:rFonts w:ascii="Arial" w:eastAsia="Times New Roman" w:hAnsi="Arial" w:cs="Arial"/>
          <w:bCs/>
          <w:lang w:eastAsia="en-GB"/>
        </w:rPr>
        <w:t xml:space="preserve"> below</w:t>
      </w:r>
      <w:r w:rsidRPr="004C19F1">
        <w:rPr>
          <w:rFonts w:ascii="Arial" w:eastAsia="Times New Roman" w:hAnsi="Arial" w:cs="Arial"/>
          <w:bCs/>
          <w:lang w:eastAsia="en-GB"/>
        </w:rPr>
        <w:t xml:space="preserve">. </w:t>
      </w:r>
    </w:p>
    <w:p w14:paraId="430266FF" w14:textId="77777777" w:rsidR="004C19F1" w:rsidRPr="00CF03E0" w:rsidRDefault="004C19F1" w:rsidP="00CF03E0">
      <w:pPr>
        <w:rPr>
          <w:rFonts w:ascii="Arial" w:eastAsia="Arial" w:hAnsi="Arial" w:cs="Arial"/>
          <w:lang w:eastAsia="en-GB"/>
        </w:rPr>
      </w:pPr>
    </w:p>
    <w:p w14:paraId="425E9EE4" w14:textId="0BFA268E" w:rsidR="004C19F1" w:rsidRPr="004B7C5F" w:rsidRDefault="00CF03E0" w:rsidP="004B7C5F">
      <w:pPr>
        <w:pStyle w:val="Heading2"/>
        <w:rPr>
          <w:rFonts w:eastAsia="Batang"/>
          <w:lang w:eastAsia="ko-KR"/>
        </w:rPr>
      </w:pPr>
      <w:r w:rsidRPr="004B7C5F">
        <w:rPr>
          <w:rFonts w:eastAsia="Batang"/>
          <w:lang w:eastAsia="ko-KR"/>
        </w:rPr>
        <w:t>Table 1:  Economic and financial standing qualification standard</w:t>
      </w:r>
    </w:p>
    <w:p w14:paraId="2FC3E56C" w14:textId="77777777" w:rsidR="00E34F26" w:rsidRPr="00E34F26" w:rsidRDefault="00E34F26" w:rsidP="00E34F26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tbl>
      <w:tblPr>
        <w:tblStyle w:val="TableGrid2"/>
        <w:tblW w:w="5006" w:type="pct"/>
        <w:tblInd w:w="562" w:type="dxa"/>
        <w:tblLayout w:type="fixed"/>
        <w:tblLook w:val="04A0" w:firstRow="1" w:lastRow="0" w:firstColumn="1" w:lastColumn="0" w:noHBand="0" w:noVBand="1"/>
      </w:tblPr>
      <w:tblGrid>
        <w:gridCol w:w="1843"/>
        <w:gridCol w:w="2549"/>
        <w:gridCol w:w="4635"/>
      </w:tblGrid>
      <w:tr w:rsidR="00E34F26" w:rsidRPr="00E34F26" w14:paraId="2F6EB385" w14:textId="77777777" w:rsidTr="004C19F1">
        <w:trPr>
          <w:tblHeader/>
        </w:trPr>
        <w:tc>
          <w:tcPr>
            <w:tcW w:w="1843" w:type="dxa"/>
            <w:shd w:val="clear" w:color="auto" w:fill="FFF2CC" w:themeFill="accent4" w:themeFillTint="33"/>
          </w:tcPr>
          <w:p w14:paraId="09453342" w14:textId="77777777" w:rsidR="00E34F26" w:rsidRPr="004C19F1" w:rsidRDefault="00E34F26" w:rsidP="00E34F26">
            <w:pPr>
              <w:keepNext/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b/>
                <w:lang w:eastAsia="ko-KR"/>
              </w:rPr>
            </w:pPr>
            <w:r w:rsidRPr="004C19F1">
              <w:rPr>
                <w:rFonts w:ascii="Arial" w:eastAsia="Batang" w:hAnsi="Arial" w:cs="Arial"/>
                <w:b/>
                <w:lang w:eastAsia="ko-KR"/>
              </w:rPr>
              <w:t>Assessment</w:t>
            </w:r>
          </w:p>
        </w:tc>
        <w:tc>
          <w:tcPr>
            <w:tcW w:w="2549" w:type="dxa"/>
            <w:shd w:val="clear" w:color="auto" w:fill="FFF2CC" w:themeFill="accent4" w:themeFillTint="33"/>
          </w:tcPr>
          <w:p w14:paraId="3ECC2858" w14:textId="77777777" w:rsidR="00E34F26" w:rsidRPr="004C19F1" w:rsidRDefault="00E34F26" w:rsidP="00E34F26">
            <w:pPr>
              <w:keepNext/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b/>
                <w:lang w:eastAsia="ko-KR"/>
              </w:rPr>
            </w:pPr>
            <w:r w:rsidRPr="004C19F1">
              <w:rPr>
                <w:rFonts w:ascii="Arial" w:eastAsia="Batang" w:hAnsi="Arial" w:cs="Arial"/>
                <w:b/>
                <w:lang w:eastAsia="ko-KR"/>
              </w:rPr>
              <w:t>Methodology</w:t>
            </w:r>
          </w:p>
        </w:tc>
        <w:tc>
          <w:tcPr>
            <w:tcW w:w="4635" w:type="dxa"/>
            <w:shd w:val="clear" w:color="auto" w:fill="FFF2CC" w:themeFill="accent4" w:themeFillTint="33"/>
          </w:tcPr>
          <w:p w14:paraId="393488BE" w14:textId="77777777" w:rsidR="00E34F26" w:rsidRPr="004C19F1" w:rsidRDefault="00E34F26" w:rsidP="00E34F26">
            <w:pPr>
              <w:keepNext/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b/>
                <w:lang w:eastAsia="ko-KR"/>
              </w:rPr>
            </w:pPr>
            <w:r w:rsidRPr="004C19F1">
              <w:rPr>
                <w:rFonts w:ascii="Arial" w:eastAsia="Batang" w:hAnsi="Arial" w:cs="Arial"/>
                <w:b/>
                <w:lang w:eastAsia="ko-KR"/>
              </w:rPr>
              <w:t>Qualification standard</w:t>
            </w:r>
          </w:p>
        </w:tc>
      </w:tr>
      <w:tr w:rsidR="00E34F26" w:rsidRPr="00E34F26" w14:paraId="5F7755F6" w14:textId="77777777" w:rsidTr="004C19F1">
        <w:tc>
          <w:tcPr>
            <w:tcW w:w="1843" w:type="dxa"/>
          </w:tcPr>
          <w:p w14:paraId="44E9CEA2" w14:textId="77777777" w:rsidR="00E34F26" w:rsidRPr="004C19F1" w:rsidRDefault="00E34F26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>All financial information</w:t>
            </w:r>
          </w:p>
        </w:tc>
        <w:tc>
          <w:tcPr>
            <w:tcW w:w="2549" w:type="dxa"/>
          </w:tcPr>
          <w:p w14:paraId="58A8E41B" w14:textId="56D78581" w:rsidR="00E34F26" w:rsidRPr="004C19F1" w:rsidRDefault="00E34F26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>The Authority will review all financial information obtained from the response</w:t>
            </w:r>
            <w:r w:rsidR="003B01F5">
              <w:rPr>
                <w:rFonts w:ascii="Arial" w:eastAsia="Batang" w:hAnsi="Arial" w:cs="Arial"/>
                <w:lang w:eastAsia="ko-KR"/>
              </w:rPr>
              <w:t>s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 pr</w:t>
            </w:r>
            <w:r w:rsidRPr="008B76FF">
              <w:rPr>
                <w:rFonts w:ascii="Arial" w:eastAsia="Batang" w:hAnsi="Arial" w:cs="Arial"/>
                <w:lang w:eastAsia="ko-KR"/>
              </w:rPr>
              <w:t xml:space="preserve">ovided to questions </w:t>
            </w:r>
            <w:r w:rsidR="006870A0" w:rsidRPr="008B76FF">
              <w:rPr>
                <w:rFonts w:ascii="Arial" w:eastAsia="Batang" w:hAnsi="Arial" w:cs="Arial"/>
                <w:lang w:eastAsia="ko-KR"/>
              </w:rPr>
              <w:t>in Se</w:t>
            </w:r>
            <w:r w:rsidR="008B76FF" w:rsidRPr="008B76FF">
              <w:rPr>
                <w:rFonts w:ascii="Arial" w:eastAsia="Batang" w:hAnsi="Arial" w:cs="Arial"/>
                <w:lang w:eastAsia="ko-KR"/>
              </w:rPr>
              <w:t>ction 1.9</w:t>
            </w:r>
            <w:r w:rsidRPr="008B76FF">
              <w:rPr>
                <w:rFonts w:ascii="Arial" w:eastAsia="Batang" w:hAnsi="Arial" w:cs="Arial"/>
                <w:lang w:eastAsia="ko-KR"/>
              </w:rPr>
              <w:t xml:space="preserve"> </w:t>
            </w:r>
            <w:r w:rsidRPr="004C19F1">
              <w:rPr>
                <w:rFonts w:ascii="Arial" w:eastAsia="Arial" w:hAnsi="Arial" w:cs="Arial"/>
                <w:lang w:eastAsia="ko-KR"/>
              </w:rPr>
              <w:t>Potential</w:t>
            </w:r>
            <w:r w:rsidR="004C19F1">
              <w:rPr>
                <w:rFonts w:ascii="Arial" w:eastAsia="Arial" w:hAnsi="Arial" w:cs="Arial"/>
                <w:lang w:eastAsia="ko-KR"/>
              </w:rPr>
              <w:t xml:space="preserve"> Supplier </w:t>
            </w:r>
            <w:r w:rsidRPr="004C19F1">
              <w:rPr>
                <w:rFonts w:ascii="Arial" w:eastAsia="Batang" w:hAnsi="Arial" w:cs="Arial"/>
                <w:lang w:eastAsia="ko-KR"/>
              </w:rPr>
              <w:t>accounts and the Company Watch credit rating check in order to establish a holistic view of the state of the Potential</w:t>
            </w:r>
            <w:r w:rsidR="00252C12">
              <w:rPr>
                <w:rFonts w:ascii="Arial" w:eastAsia="Batang" w:hAnsi="Arial" w:cs="Arial"/>
                <w:lang w:eastAsia="ko-KR"/>
              </w:rPr>
              <w:t xml:space="preserve"> Suppliers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 financial health.</w:t>
            </w:r>
          </w:p>
        </w:tc>
        <w:tc>
          <w:tcPr>
            <w:tcW w:w="4635" w:type="dxa"/>
          </w:tcPr>
          <w:p w14:paraId="6243D60B" w14:textId="12A4CDB7" w:rsidR="00E34F26" w:rsidRPr="004C19F1" w:rsidRDefault="00E34F26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 xml:space="preserve">Failure to provide the financial information requested in this DPQQ will result in the Potential </w:t>
            </w:r>
            <w:r w:rsidR="003B01F5">
              <w:rPr>
                <w:rFonts w:ascii="Arial" w:eastAsia="Batang" w:hAnsi="Arial" w:cs="Arial"/>
                <w:lang w:eastAsia="ko-KR"/>
              </w:rPr>
              <w:t>Supplier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 failing to meet this qualification standard.</w:t>
            </w:r>
          </w:p>
        </w:tc>
      </w:tr>
      <w:tr w:rsidR="00E34F26" w:rsidRPr="00E34F26" w14:paraId="5CDE291B" w14:textId="77777777" w:rsidTr="004C19F1">
        <w:tc>
          <w:tcPr>
            <w:tcW w:w="1843" w:type="dxa"/>
          </w:tcPr>
          <w:p w14:paraId="0029A2C6" w14:textId="77777777" w:rsidR="00E34F26" w:rsidRPr="004C19F1" w:rsidRDefault="00E34F26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>Turnover</w:t>
            </w:r>
          </w:p>
        </w:tc>
        <w:tc>
          <w:tcPr>
            <w:tcW w:w="2549" w:type="dxa"/>
          </w:tcPr>
          <w:p w14:paraId="585648B1" w14:textId="6B5E38A8" w:rsidR="00E34F26" w:rsidRPr="004C19F1" w:rsidRDefault="00E34F26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 xml:space="preserve">The Authority will review each </w:t>
            </w:r>
            <w:r w:rsidRPr="004C19F1">
              <w:rPr>
                <w:rFonts w:ascii="Arial" w:eastAsia="Arial" w:hAnsi="Arial" w:cs="Arial"/>
                <w:lang w:eastAsia="ko-KR"/>
              </w:rPr>
              <w:t xml:space="preserve">Potential </w:t>
            </w:r>
            <w:r w:rsidR="003B01F5">
              <w:rPr>
                <w:rFonts w:ascii="Arial" w:eastAsia="Arial" w:hAnsi="Arial" w:cs="Arial"/>
                <w:lang w:eastAsia="ko-KR"/>
              </w:rPr>
              <w:t xml:space="preserve">Suppliers 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turnover for the </w:t>
            </w:r>
            <w:r w:rsidR="00A71C12">
              <w:rPr>
                <w:rFonts w:ascii="Arial" w:eastAsia="Batang" w:hAnsi="Arial" w:cs="Arial"/>
                <w:lang w:eastAsia="ko-KR"/>
              </w:rPr>
              <w:t xml:space="preserve">three 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full financial years prior to the date of this DPQQ. </w:t>
            </w:r>
          </w:p>
          <w:p w14:paraId="012F8214" w14:textId="77777777" w:rsidR="00E34F26" w:rsidRPr="004C19F1" w:rsidRDefault="00E34F26" w:rsidP="00E34F26">
            <w:pPr>
              <w:rPr>
                <w:rFonts w:ascii="Arial" w:eastAsia="Batang" w:hAnsi="Arial" w:cs="Arial"/>
                <w:lang w:eastAsia="ko-KR"/>
              </w:rPr>
            </w:pPr>
          </w:p>
          <w:p w14:paraId="169DD79D" w14:textId="77777777" w:rsidR="00E34F26" w:rsidRPr="004C19F1" w:rsidRDefault="00E34F26" w:rsidP="00E34F26">
            <w:pPr>
              <w:rPr>
                <w:rFonts w:ascii="Arial" w:eastAsia="Batang" w:hAnsi="Arial" w:cs="Arial"/>
                <w:lang w:eastAsia="ko-KR"/>
              </w:rPr>
            </w:pPr>
          </w:p>
          <w:p w14:paraId="40656B2B" w14:textId="77777777" w:rsidR="00E34F26" w:rsidRPr="004C19F1" w:rsidRDefault="00E34F26" w:rsidP="00E34F26">
            <w:pPr>
              <w:rPr>
                <w:rFonts w:ascii="Arial" w:eastAsia="Batang" w:hAnsi="Arial" w:cs="Arial"/>
                <w:lang w:eastAsia="ko-KR"/>
              </w:rPr>
            </w:pPr>
          </w:p>
          <w:p w14:paraId="0DCD1A64" w14:textId="77777777" w:rsidR="00E34F26" w:rsidRPr="004C19F1" w:rsidRDefault="00E34F26" w:rsidP="00E34F26">
            <w:pPr>
              <w:rPr>
                <w:rFonts w:ascii="Arial" w:eastAsia="Batang" w:hAnsi="Arial" w:cs="Arial"/>
                <w:lang w:eastAsia="ko-KR"/>
              </w:rPr>
            </w:pPr>
          </w:p>
          <w:p w14:paraId="107A2E52" w14:textId="77777777" w:rsidR="00E34F26" w:rsidRPr="004C19F1" w:rsidRDefault="00E34F26" w:rsidP="00E34F26">
            <w:pPr>
              <w:rPr>
                <w:rFonts w:ascii="Arial" w:eastAsia="Batang" w:hAnsi="Arial" w:cs="Arial"/>
                <w:lang w:eastAsia="ko-KR"/>
              </w:rPr>
            </w:pPr>
          </w:p>
          <w:p w14:paraId="3A4FB7E9" w14:textId="77777777" w:rsidR="00E34F26" w:rsidRPr="004C19F1" w:rsidRDefault="00E34F26" w:rsidP="00E34F26">
            <w:pPr>
              <w:rPr>
                <w:rFonts w:ascii="Arial" w:eastAsia="Batang" w:hAnsi="Arial" w:cs="Arial"/>
                <w:lang w:eastAsia="ko-KR"/>
              </w:rPr>
            </w:pPr>
          </w:p>
          <w:p w14:paraId="1F4F415C" w14:textId="77777777" w:rsidR="00E34F26" w:rsidRPr="004C19F1" w:rsidRDefault="00E34F26" w:rsidP="00E34F26">
            <w:pPr>
              <w:rPr>
                <w:rFonts w:ascii="Arial" w:eastAsia="Batang" w:hAnsi="Arial" w:cs="Arial"/>
                <w:lang w:eastAsia="ko-KR"/>
              </w:rPr>
            </w:pPr>
          </w:p>
          <w:p w14:paraId="3E8B267C" w14:textId="77777777" w:rsidR="00E34F26" w:rsidRPr="004C19F1" w:rsidRDefault="00E34F26" w:rsidP="00E34F26">
            <w:pPr>
              <w:rPr>
                <w:rFonts w:ascii="Arial" w:eastAsia="Batang" w:hAnsi="Arial" w:cs="Arial"/>
                <w:lang w:eastAsia="ko-KR"/>
              </w:rPr>
            </w:pPr>
          </w:p>
          <w:p w14:paraId="7B50487F" w14:textId="77777777" w:rsidR="00E34F26" w:rsidRPr="004C19F1" w:rsidRDefault="00E34F26" w:rsidP="00E34F26">
            <w:pPr>
              <w:jc w:val="right"/>
              <w:rPr>
                <w:rFonts w:ascii="Arial" w:eastAsia="Batang" w:hAnsi="Arial" w:cs="Arial"/>
                <w:lang w:eastAsia="ko-KR"/>
              </w:rPr>
            </w:pPr>
          </w:p>
        </w:tc>
        <w:tc>
          <w:tcPr>
            <w:tcW w:w="4635" w:type="dxa"/>
          </w:tcPr>
          <w:p w14:paraId="51FA2E17" w14:textId="5760B072" w:rsidR="00E34F26" w:rsidRPr="004C19F1" w:rsidRDefault="00E34F26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lastRenderedPageBreak/>
              <w:t xml:space="preserve">If the estimated annual contract value for this procurement exceeds fifty per cent. (50%) of a Potential </w:t>
            </w:r>
            <w:r w:rsidR="00CF03E0">
              <w:rPr>
                <w:rFonts w:ascii="Arial" w:eastAsia="Batang" w:hAnsi="Arial" w:cs="Arial"/>
                <w:lang w:eastAsia="ko-KR"/>
              </w:rPr>
              <w:t xml:space="preserve">Suppliers 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annual turnover, the Potential </w:t>
            </w:r>
            <w:r w:rsidR="00CF03E0">
              <w:rPr>
                <w:rFonts w:ascii="Arial" w:eastAsia="Batang" w:hAnsi="Arial" w:cs="Arial"/>
                <w:lang w:eastAsia="ko-KR"/>
              </w:rPr>
              <w:t xml:space="preserve">Supplier 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will not meet this qualification standard.  </w:t>
            </w:r>
          </w:p>
          <w:p w14:paraId="05C70F3C" w14:textId="1C216BAA" w:rsidR="00E34F26" w:rsidRPr="004C19F1" w:rsidRDefault="00E34F26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 xml:space="preserve">Where the </w:t>
            </w:r>
            <w:r w:rsidRPr="004C19F1">
              <w:rPr>
                <w:rFonts w:ascii="Arial" w:eastAsia="Arial" w:hAnsi="Arial" w:cs="Arial"/>
                <w:lang w:eastAsia="ko-KR"/>
              </w:rPr>
              <w:t xml:space="preserve">Potential </w:t>
            </w:r>
            <w:r w:rsidR="00252C12">
              <w:rPr>
                <w:rFonts w:ascii="Arial" w:eastAsia="Arial" w:hAnsi="Arial" w:cs="Arial"/>
                <w:lang w:eastAsia="ko-KR"/>
              </w:rPr>
              <w:t>Supplier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 intends to provide all or some of </w:t>
            </w:r>
            <w:r w:rsidR="00CF03E0" w:rsidRPr="00A71C12">
              <w:rPr>
                <w:rFonts w:ascii="Arial" w:eastAsia="Batang" w:hAnsi="Arial" w:cs="Arial"/>
                <w:lang w:eastAsia="ko-KR"/>
              </w:rPr>
              <w:t>SCADE</w:t>
            </w:r>
            <w:r w:rsidR="00CF03E0">
              <w:rPr>
                <w:rFonts w:ascii="Arial" w:eastAsia="Batang" w:hAnsi="Arial" w:cs="Arial"/>
                <w:color w:val="FF0000"/>
                <w:lang w:eastAsia="ko-KR"/>
              </w:rPr>
              <w:t xml:space="preserve"> 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services via a joint-venture company, Consortium Member, or other special purpose vehicle, the Authority will apply the assessment equally to the </w:t>
            </w:r>
            <w:r w:rsidR="00CF03E0">
              <w:rPr>
                <w:rFonts w:ascii="Arial" w:eastAsia="Batang" w:hAnsi="Arial" w:cs="Arial"/>
                <w:lang w:eastAsia="ko-KR"/>
              </w:rPr>
              <w:t xml:space="preserve">Potential Supplier </w:t>
            </w:r>
          </w:p>
          <w:p w14:paraId="40A03355" w14:textId="409AE69F" w:rsidR="00E34F26" w:rsidRPr="004C19F1" w:rsidRDefault="00E34F26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 xml:space="preserve">Accordingly, where the value of a Potential </w:t>
            </w:r>
            <w:r w:rsidR="00CF03E0">
              <w:rPr>
                <w:rFonts w:ascii="Arial" w:eastAsia="Batang" w:hAnsi="Arial" w:cs="Arial"/>
                <w:lang w:eastAsia="ko-KR"/>
              </w:rPr>
              <w:t>Suppliers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 intended contractual obligations and financial liabilities exceeds 50% of its </w:t>
            </w:r>
            <w:r w:rsidRPr="004C19F1">
              <w:rPr>
                <w:rFonts w:ascii="Arial" w:eastAsia="Batang" w:hAnsi="Arial" w:cs="Arial"/>
                <w:lang w:eastAsia="ko-KR"/>
              </w:rPr>
              <w:lastRenderedPageBreak/>
              <w:t xml:space="preserve">annual turnover, the Potential </w:t>
            </w:r>
            <w:r w:rsidR="00CF03E0">
              <w:rPr>
                <w:rFonts w:ascii="Arial" w:eastAsia="Batang" w:hAnsi="Arial" w:cs="Arial"/>
                <w:lang w:eastAsia="ko-KR"/>
              </w:rPr>
              <w:t>Supplier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 will not meet this qualification standard. </w:t>
            </w:r>
          </w:p>
        </w:tc>
      </w:tr>
      <w:tr w:rsidR="00E34F26" w:rsidRPr="00E34F26" w14:paraId="68A311CF" w14:textId="77777777" w:rsidTr="004C19F1">
        <w:tc>
          <w:tcPr>
            <w:tcW w:w="1843" w:type="dxa"/>
            <w:tcBorders>
              <w:bottom w:val="single" w:sz="4" w:space="0" w:color="auto"/>
            </w:tcBorders>
          </w:tcPr>
          <w:p w14:paraId="51DBD9DB" w14:textId="77777777" w:rsidR="00E34F26" w:rsidRPr="004C19F1" w:rsidRDefault="00E34F26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lastRenderedPageBreak/>
              <w:t>Liquidity ratios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A4199B8" w14:textId="3451A646" w:rsidR="00E34F26" w:rsidRPr="004C19F1" w:rsidRDefault="00E34F26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 xml:space="preserve">A </w:t>
            </w:r>
            <w:r w:rsidR="00CF03E0" w:rsidRPr="004C19F1">
              <w:rPr>
                <w:rFonts w:ascii="Arial" w:eastAsia="Arial" w:hAnsi="Arial" w:cs="Arial"/>
                <w:lang w:eastAsia="ko-KR"/>
              </w:rPr>
              <w:t xml:space="preserve">Potential </w:t>
            </w:r>
            <w:r w:rsidR="00CF03E0">
              <w:rPr>
                <w:rFonts w:ascii="Arial" w:eastAsia="Arial" w:hAnsi="Arial" w:cs="Arial"/>
                <w:lang w:eastAsia="ko-KR"/>
              </w:rPr>
              <w:t>Supplier</w:t>
            </w:r>
            <w:r w:rsidR="00CF03E0" w:rsidRPr="004C19F1">
              <w:rPr>
                <w:rFonts w:ascii="Arial" w:eastAsia="Arial" w:hAnsi="Arial" w:cs="Arial"/>
                <w:lang w:eastAsia="ko-KR"/>
              </w:rPr>
              <w:t xml:space="preserve"> </w:t>
            </w:r>
            <w:r w:rsidR="00CF03E0" w:rsidRPr="004C19F1">
              <w:rPr>
                <w:rFonts w:ascii="Arial" w:eastAsia="Batang" w:hAnsi="Arial" w:cs="Arial"/>
                <w:lang w:eastAsia="ko-KR"/>
              </w:rPr>
              <w:t>current asset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 </w:t>
            </w:r>
            <w:proofErr w:type="gramStart"/>
            <w:r w:rsidRPr="004C19F1">
              <w:rPr>
                <w:rFonts w:ascii="Arial" w:eastAsia="Batang" w:hAnsi="Arial" w:cs="Arial"/>
                <w:lang w:eastAsia="ko-KR"/>
              </w:rPr>
              <w:t>are</w:t>
            </w:r>
            <w:proofErr w:type="gramEnd"/>
            <w:r w:rsidRPr="004C19F1">
              <w:rPr>
                <w:rFonts w:ascii="Arial" w:eastAsia="Batang" w:hAnsi="Arial" w:cs="Arial"/>
                <w:lang w:eastAsia="ko-KR"/>
              </w:rPr>
              <w:t xml:space="preserve"> divided by current liabilities to establish if there are sufficient assets to cover all of the </w:t>
            </w:r>
            <w:r w:rsidRPr="004C19F1">
              <w:rPr>
                <w:rFonts w:ascii="Arial" w:eastAsia="Arial" w:hAnsi="Arial" w:cs="Arial"/>
                <w:lang w:eastAsia="ko-KR"/>
              </w:rPr>
              <w:t xml:space="preserve">Potential </w:t>
            </w:r>
            <w:r w:rsidR="00CF03E0">
              <w:rPr>
                <w:rFonts w:ascii="Arial" w:eastAsia="Arial" w:hAnsi="Arial" w:cs="Arial"/>
                <w:lang w:eastAsia="ko-KR"/>
              </w:rPr>
              <w:t xml:space="preserve">Supplier s 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liabilities as they fall due over the course of one year.  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14:paraId="41B32F04" w14:textId="7ECD3D6E" w:rsidR="00E34F26" w:rsidRPr="004C19F1" w:rsidRDefault="00E34F26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 xml:space="preserve">The Authority requires a </w:t>
            </w:r>
            <w:r w:rsidRPr="004C19F1">
              <w:rPr>
                <w:rFonts w:ascii="Arial" w:eastAsia="Arial" w:hAnsi="Arial" w:cs="Arial"/>
                <w:lang w:eastAsia="ko-KR"/>
              </w:rPr>
              <w:t>Potential</w:t>
            </w:r>
            <w:r w:rsidR="00CF03E0">
              <w:rPr>
                <w:rFonts w:ascii="Arial" w:eastAsia="Arial" w:hAnsi="Arial" w:cs="Arial"/>
                <w:lang w:eastAsia="ko-KR"/>
              </w:rPr>
              <w:t xml:space="preserve"> Supplier</w:t>
            </w:r>
            <w:r w:rsidRPr="004C19F1">
              <w:rPr>
                <w:rFonts w:ascii="Arial" w:eastAsia="Arial" w:hAnsi="Arial" w:cs="Arial"/>
                <w:lang w:eastAsia="ko-KR"/>
              </w:rPr>
              <w:t xml:space="preserve"> </w:t>
            </w:r>
            <w:r w:rsidRPr="004C19F1">
              <w:rPr>
                <w:rFonts w:ascii="Arial" w:eastAsia="Batang" w:hAnsi="Arial" w:cs="Arial"/>
                <w:lang w:eastAsia="ko-KR"/>
              </w:rPr>
              <w:t>to have:</w:t>
            </w:r>
          </w:p>
          <w:p w14:paraId="121F7A02" w14:textId="77777777" w:rsidR="00E34F26" w:rsidRPr="004C19F1" w:rsidRDefault="00E34F26" w:rsidP="00E34F26">
            <w:pPr>
              <w:numPr>
                <w:ilvl w:val="0"/>
                <w:numId w:val="4"/>
              </w:num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spacing w:after="200" w:line="276" w:lineRule="auto"/>
              <w:contextualSpacing/>
              <w:rPr>
                <w:rFonts w:ascii="Arial" w:eastAsia="Batang" w:hAnsi="Arial" w:cs="Arial"/>
                <w:lang w:eastAsia="en-GB"/>
              </w:rPr>
            </w:pPr>
            <w:r w:rsidRPr="004C19F1">
              <w:rPr>
                <w:rFonts w:ascii="Arial" w:eastAsia="Batang" w:hAnsi="Arial" w:cs="Arial"/>
                <w:lang w:eastAsia="en-GB"/>
              </w:rPr>
              <w:t>a minimum current ratio of 1.0; and</w:t>
            </w:r>
          </w:p>
          <w:p w14:paraId="5C985220" w14:textId="77777777" w:rsidR="00E34F26" w:rsidRPr="004C19F1" w:rsidRDefault="00E34F26" w:rsidP="00E34F26">
            <w:pPr>
              <w:numPr>
                <w:ilvl w:val="0"/>
                <w:numId w:val="4"/>
              </w:num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spacing w:after="200" w:line="276" w:lineRule="auto"/>
              <w:contextualSpacing/>
              <w:rPr>
                <w:rFonts w:ascii="Arial" w:eastAsia="Batang" w:hAnsi="Arial" w:cs="Arial"/>
                <w:lang w:eastAsia="en-GB"/>
              </w:rPr>
            </w:pPr>
            <w:r w:rsidRPr="004C19F1">
              <w:rPr>
                <w:rFonts w:ascii="Arial" w:eastAsia="Batang" w:hAnsi="Arial" w:cs="Arial"/>
                <w:lang w:eastAsia="en-GB"/>
              </w:rPr>
              <w:t>a minimum acid test ratio of 0.8.</w:t>
            </w:r>
          </w:p>
          <w:p w14:paraId="5A9386B1" w14:textId="1B6D249C" w:rsidR="00E34F26" w:rsidRPr="004C19F1" w:rsidRDefault="00E34F26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 xml:space="preserve">If these ratios are not met, the </w:t>
            </w:r>
            <w:r w:rsidRPr="004C19F1">
              <w:rPr>
                <w:rFonts w:ascii="Arial" w:eastAsia="Arial" w:hAnsi="Arial" w:cs="Arial"/>
                <w:lang w:eastAsia="ko-KR"/>
              </w:rPr>
              <w:t xml:space="preserve">Potential </w:t>
            </w:r>
            <w:r w:rsidR="00CF03E0">
              <w:rPr>
                <w:rFonts w:ascii="Arial" w:eastAsia="Arial" w:hAnsi="Arial" w:cs="Arial"/>
                <w:lang w:eastAsia="ko-KR"/>
              </w:rPr>
              <w:t xml:space="preserve">Supplier 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will not meet this qualification standard.  </w:t>
            </w:r>
          </w:p>
        </w:tc>
      </w:tr>
      <w:tr w:rsidR="00E34F26" w:rsidRPr="00E34F26" w14:paraId="236C8F2C" w14:textId="77777777" w:rsidTr="004C19F1">
        <w:tc>
          <w:tcPr>
            <w:tcW w:w="1843" w:type="dxa"/>
            <w:tcBorders>
              <w:bottom w:val="single" w:sz="4" w:space="0" w:color="auto"/>
            </w:tcBorders>
          </w:tcPr>
          <w:p w14:paraId="52EF266A" w14:textId="77777777" w:rsidR="00E34F26" w:rsidRPr="004C19F1" w:rsidRDefault="00E34F26" w:rsidP="00E34F26">
            <w:pPr>
              <w:keepNext/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>Company Watch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0ADB0D7A" w14:textId="77777777" w:rsidR="00E34F26" w:rsidRDefault="00E34F26" w:rsidP="00E34F26">
            <w:pPr>
              <w:keepNext/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 xml:space="preserve">Company Watch "H-Score" (an overall measure of a business' financial health – for more information, see </w:t>
            </w:r>
            <w:hyperlink r:id="rId7" w:history="1">
              <w:r w:rsidRPr="004C19F1">
                <w:rPr>
                  <w:rFonts w:ascii="Arial" w:eastAsia="Batang" w:hAnsi="Arial" w:cs="Arial"/>
                  <w:color w:val="0000FF"/>
                  <w:u w:val="single"/>
                  <w:lang w:eastAsia="ko-KR"/>
                </w:rPr>
                <w:t>www.companywatch.net/analytics-insight/h-score</w:t>
              </w:r>
            </w:hyperlink>
            <w:r w:rsidRPr="004C19F1">
              <w:rPr>
                <w:rFonts w:ascii="Arial" w:eastAsia="Batang" w:hAnsi="Arial" w:cs="Arial"/>
                <w:lang w:eastAsia="ko-KR"/>
              </w:rPr>
              <w:t>).</w:t>
            </w:r>
          </w:p>
          <w:p w14:paraId="3BA17FC8" w14:textId="77777777" w:rsidR="00CF03E0" w:rsidRPr="004C19F1" w:rsidRDefault="00CF03E0" w:rsidP="00E34F26">
            <w:pPr>
              <w:keepNext/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14:paraId="3DAFFC3D" w14:textId="0A4512E9" w:rsidR="00E34F26" w:rsidRPr="004C19F1" w:rsidRDefault="00E34F26" w:rsidP="00E34F26">
            <w:pPr>
              <w:keepNext/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rPr>
                <w:rFonts w:ascii="Arial" w:eastAsia="Batang" w:hAnsi="Arial" w:cs="Arial"/>
                <w:lang w:eastAsia="ko-KR"/>
              </w:rPr>
            </w:pPr>
            <w:r w:rsidRPr="004C19F1">
              <w:rPr>
                <w:rFonts w:ascii="Arial" w:eastAsia="Batang" w:hAnsi="Arial" w:cs="Arial"/>
                <w:lang w:eastAsia="ko-KR"/>
              </w:rPr>
              <w:t xml:space="preserve">If a Potential </w:t>
            </w:r>
            <w:r w:rsidR="00CF03E0">
              <w:rPr>
                <w:rFonts w:ascii="Arial" w:eastAsia="Batang" w:hAnsi="Arial" w:cs="Arial"/>
                <w:lang w:eastAsia="ko-KR"/>
              </w:rPr>
              <w:t xml:space="preserve">Suppler </w:t>
            </w:r>
            <w:r w:rsidRPr="004C19F1">
              <w:rPr>
                <w:rFonts w:ascii="Arial" w:eastAsia="Batang" w:hAnsi="Arial" w:cs="Arial"/>
                <w:lang w:eastAsia="ko-KR"/>
              </w:rPr>
              <w:t xml:space="preserve">does not have a score of 20 or above, the </w:t>
            </w:r>
            <w:r w:rsidRPr="004C19F1">
              <w:rPr>
                <w:rFonts w:ascii="Arial" w:eastAsia="Arial" w:hAnsi="Arial" w:cs="Arial"/>
                <w:lang w:eastAsia="ko-KR"/>
              </w:rPr>
              <w:t xml:space="preserve">Potential </w:t>
            </w:r>
            <w:r w:rsidR="00CF03E0">
              <w:rPr>
                <w:rFonts w:ascii="Arial" w:eastAsia="Arial" w:hAnsi="Arial" w:cs="Arial"/>
                <w:lang w:eastAsia="ko-KR"/>
              </w:rPr>
              <w:t xml:space="preserve">Supplier </w:t>
            </w:r>
            <w:r w:rsidRPr="004C19F1">
              <w:rPr>
                <w:rFonts w:ascii="Arial" w:eastAsia="Batang" w:hAnsi="Arial" w:cs="Arial"/>
                <w:lang w:eastAsia="ko-KR"/>
              </w:rPr>
              <w:t>will not meet this qualification standard.</w:t>
            </w:r>
          </w:p>
        </w:tc>
      </w:tr>
      <w:tr w:rsidR="00E34F26" w:rsidRPr="00E67B8A" w14:paraId="74AD8B97" w14:textId="77777777" w:rsidTr="004C19F1">
        <w:tc>
          <w:tcPr>
            <w:tcW w:w="9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08795" w14:textId="77777777" w:rsidR="00CF03E0" w:rsidRPr="00E67B8A" w:rsidRDefault="00CF03E0" w:rsidP="00E34F26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jc w:val="center"/>
              <w:rPr>
                <w:rFonts w:ascii="Arial" w:eastAsia="Batang" w:hAnsi="Arial" w:cs="Arial"/>
                <w:b/>
                <w:lang w:eastAsia="ko-KR"/>
              </w:rPr>
            </w:pPr>
          </w:p>
          <w:p w14:paraId="76E97154" w14:textId="77777777" w:rsidR="00E34F26" w:rsidRPr="00E67B8A" w:rsidRDefault="00E34F26" w:rsidP="00CF03E0">
            <w:pPr>
              <w:tabs>
                <w:tab w:val="left" w:pos="709"/>
                <w:tab w:val="left" w:pos="1559"/>
                <w:tab w:val="left" w:pos="2268"/>
                <w:tab w:val="left" w:pos="2977"/>
                <w:tab w:val="left" w:pos="3686"/>
                <w:tab w:val="left" w:pos="4394"/>
                <w:tab w:val="right" w:pos="8789"/>
              </w:tabs>
              <w:contextualSpacing/>
              <w:jc w:val="center"/>
              <w:rPr>
                <w:rFonts w:ascii="Arial" w:eastAsia="Batang" w:hAnsi="Arial" w:cs="Arial"/>
                <w:b/>
                <w:lang w:eastAsia="ko-KR"/>
              </w:rPr>
            </w:pPr>
          </w:p>
        </w:tc>
      </w:tr>
    </w:tbl>
    <w:p w14:paraId="24B73E25" w14:textId="77777777" w:rsidR="006D6B12" w:rsidRDefault="00E34F26" w:rsidP="00A71C12">
      <w:pPr>
        <w:pStyle w:val="ListParagraph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E67B8A">
        <w:rPr>
          <w:rFonts w:ascii="Arial" w:eastAsia="Times New Roman" w:hAnsi="Arial" w:cs="Arial"/>
          <w:bCs/>
          <w:lang w:eastAsia="en-GB"/>
        </w:rPr>
        <w:t xml:space="preserve">If a Potential </w:t>
      </w:r>
      <w:r w:rsidR="00A71C12" w:rsidRPr="00E67B8A">
        <w:rPr>
          <w:rFonts w:ascii="Arial" w:eastAsia="Times New Roman" w:hAnsi="Arial" w:cs="Arial"/>
          <w:bCs/>
          <w:lang w:eastAsia="en-GB"/>
        </w:rPr>
        <w:t xml:space="preserve">Supplier </w:t>
      </w:r>
      <w:r w:rsidRPr="00E67B8A">
        <w:rPr>
          <w:rFonts w:ascii="Arial" w:eastAsia="Times New Roman" w:hAnsi="Arial" w:cs="Arial"/>
          <w:bCs/>
          <w:lang w:eastAsia="en-GB"/>
        </w:rPr>
        <w:t xml:space="preserve">meets all of the qualification standards set out in </w:t>
      </w:r>
      <w:r w:rsidR="00A71C12" w:rsidRPr="00E67B8A">
        <w:rPr>
          <w:rFonts w:ascii="Arial" w:eastAsia="Times New Roman" w:hAnsi="Arial" w:cs="Arial"/>
          <w:bCs/>
          <w:lang w:eastAsia="en-GB"/>
        </w:rPr>
        <w:t>Table</w:t>
      </w:r>
      <w:r w:rsidRPr="00E67B8A">
        <w:rPr>
          <w:rFonts w:ascii="Arial" w:eastAsia="Times New Roman" w:hAnsi="Arial" w:cs="Arial"/>
          <w:bCs/>
          <w:lang w:eastAsia="en-GB"/>
        </w:rPr>
        <w:t xml:space="preserve"> 1 </w:t>
      </w:r>
      <w:r w:rsidR="00A71C12" w:rsidRPr="00E67B8A">
        <w:rPr>
          <w:rFonts w:ascii="Arial" w:eastAsia="Times New Roman" w:hAnsi="Arial" w:cs="Arial"/>
          <w:bCs/>
          <w:lang w:eastAsia="en-GB"/>
        </w:rPr>
        <w:t>above,</w:t>
      </w:r>
      <w:r w:rsidRPr="00E67B8A">
        <w:rPr>
          <w:rFonts w:ascii="Arial" w:eastAsia="Times New Roman" w:hAnsi="Arial" w:cs="Arial"/>
          <w:bCs/>
          <w:lang w:eastAsia="en-GB"/>
        </w:rPr>
        <w:t xml:space="preserve"> they will be awarded a PASS. </w:t>
      </w:r>
    </w:p>
    <w:p w14:paraId="0A3BFCE7" w14:textId="77777777" w:rsidR="006D6B12" w:rsidRDefault="006D6B12" w:rsidP="006D6B12">
      <w:pPr>
        <w:pStyle w:val="ListParagraph"/>
        <w:tabs>
          <w:tab w:val="left" w:pos="1276"/>
        </w:tabs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4B86778A" w14:textId="55C810C3" w:rsidR="00A71C12" w:rsidRPr="00E67B8A" w:rsidRDefault="00E34F26" w:rsidP="00A71C12">
      <w:pPr>
        <w:pStyle w:val="ListParagraph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E67B8A">
        <w:rPr>
          <w:rFonts w:ascii="Arial" w:eastAsia="Times New Roman" w:hAnsi="Arial" w:cs="Arial"/>
          <w:bCs/>
          <w:lang w:eastAsia="en-GB"/>
        </w:rPr>
        <w:t xml:space="preserve">Subject to paragraph </w:t>
      </w:r>
      <w:r w:rsidR="006D6B12">
        <w:rPr>
          <w:rFonts w:ascii="Arial" w:eastAsia="Times New Roman" w:hAnsi="Arial" w:cs="Arial"/>
          <w:bCs/>
          <w:lang w:eastAsia="en-GB"/>
        </w:rPr>
        <w:t>6</w:t>
      </w:r>
      <w:r w:rsidR="00A71C12" w:rsidRPr="00E67B8A">
        <w:rPr>
          <w:rFonts w:ascii="Arial" w:eastAsia="Times New Roman" w:hAnsi="Arial" w:cs="Arial"/>
          <w:bCs/>
          <w:lang w:eastAsia="en-GB"/>
        </w:rPr>
        <w:t xml:space="preserve"> </w:t>
      </w:r>
      <w:r w:rsidRPr="00E67B8A">
        <w:rPr>
          <w:rFonts w:ascii="Arial" w:eastAsia="Times New Roman" w:hAnsi="Arial" w:cs="Arial"/>
          <w:bCs/>
          <w:lang w:eastAsia="en-GB"/>
        </w:rPr>
        <w:t xml:space="preserve">below, if a Potential </w:t>
      </w:r>
      <w:r w:rsidR="00A71C12" w:rsidRPr="00E67B8A">
        <w:rPr>
          <w:rFonts w:ascii="Arial" w:eastAsia="Times New Roman" w:hAnsi="Arial" w:cs="Arial"/>
          <w:bCs/>
          <w:lang w:eastAsia="en-GB"/>
        </w:rPr>
        <w:t>Supplier</w:t>
      </w:r>
      <w:r w:rsidRPr="00E67B8A">
        <w:rPr>
          <w:rFonts w:ascii="Arial" w:eastAsia="Times New Roman" w:hAnsi="Arial" w:cs="Arial"/>
          <w:bCs/>
          <w:lang w:eastAsia="en-GB"/>
        </w:rPr>
        <w:t xml:space="preserve"> does not meet one or more of the qualification standards set out in Figure 1 above, the Authority may award a FAIL for this evaluation.</w:t>
      </w:r>
    </w:p>
    <w:p w14:paraId="3E4FFE60" w14:textId="77777777" w:rsidR="00A71C12" w:rsidRPr="00E67B8A" w:rsidRDefault="00A71C12" w:rsidP="00A71C12">
      <w:pPr>
        <w:pStyle w:val="ListParagraph"/>
        <w:tabs>
          <w:tab w:val="left" w:pos="1276"/>
        </w:tabs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38D2B5CB" w14:textId="57DBD06E" w:rsidR="00A71C12" w:rsidRPr="00E67B8A" w:rsidRDefault="00E34F26" w:rsidP="00A71C12">
      <w:pPr>
        <w:pStyle w:val="ListParagraph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E67B8A">
        <w:rPr>
          <w:rFonts w:ascii="Arial" w:eastAsia="Times New Roman" w:hAnsi="Arial" w:cs="Arial"/>
          <w:lang w:eastAsia="en-GB"/>
        </w:rPr>
        <w:t xml:space="preserve">The Authority may choose not to award a FAIL despite a Potential </w:t>
      </w:r>
      <w:r w:rsidR="004421AD">
        <w:rPr>
          <w:rFonts w:ascii="Arial" w:eastAsia="Times New Roman" w:hAnsi="Arial" w:cs="Arial"/>
          <w:lang w:eastAsia="en-GB"/>
        </w:rPr>
        <w:t xml:space="preserve">Supplier </w:t>
      </w:r>
      <w:r w:rsidRPr="00E67B8A">
        <w:rPr>
          <w:rFonts w:ascii="Arial" w:eastAsia="Times New Roman" w:hAnsi="Arial" w:cs="Arial"/>
          <w:lang w:eastAsia="en-GB"/>
        </w:rPr>
        <w:t>not meeting a qualification standard if:</w:t>
      </w:r>
    </w:p>
    <w:p w14:paraId="06950DB5" w14:textId="77777777" w:rsidR="00A71C12" w:rsidRPr="00E67B8A" w:rsidRDefault="00A71C12" w:rsidP="00A71C12">
      <w:pPr>
        <w:pStyle w:val="ListParagraph"/>
        <w:rPr>
          <w:rFonts w:ascii="Arial" w:eastAsia="Times New Roman" w:hAnsi="Arial" w:cs="Arial"/>
          <w:lang w:eastAsia="en-GB"/>
        </w:rPr>
      </w:pPr>
    </w:p>
    <w:p w14:paraId="3ADE9663" w14:textId="5138E96E" w:rsidR="00A71C12" w:rsidRPr="00E67B8A" w:rsidRDefault="00A71C12" w:rsidP="00A71C12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E67B8A">
        <w:rPr>
          <w:rFonts w:ascii="Arial" w:eastAsia="Times New Roman" w:hAnsi="Arial" w:cs="Arial"/>
          <w:lang w:eastAsia="en-GB"/>
        </w:rPr>
        <w:t xml:space="preserve"> </w:t>
      </w:r>
      <w:r w:rsidR="00E34F26" w:rsidRPr="00E67B8A">
        <w:rPr>
          <w:rFonts w:ascii="Arial" w:eastAsia="Times New Roman" w:hAnsi="Arial" w:cs="Arial"/>
          <w:lang w:eastAsia="en-GB"/>
        </w:rPr>
        <w:t xml:space="preserve">the Potential </w:t>
      </w:r>
      <w:r w:rsidRPr="00E67B8A">
        <w:rPr>
          <w:rFonts w:ascii="Arial" w:eastAsia="Times New Roman" w:hAnsi="Arial" w:cs="Arial"/>
          <w:lang w:eastAsia="en-GB"/>
        </w:rPr>
        <w:t xml:space="preserve">Supplier </w:t>
      </w:r>
      <w:r w:rsidR="00E34F26" w:rsidRPr="00E67B8A">
        <w:rPr>
          <w:rFonts w:ascii="Arial" w:eastAsia="Times New Roman" w:hAnsi="Arial" w:cs="Arial"/>
          <w:lang w:eastAsia="en-GB"/>
        </w:rPr>
        <w:t xml:space="preserve">can provide a parent company guarantee that: </w:t>
      </w:r>
    </w:p>
    <w:p w14:paraId="356B206C" w14:textId="130551C3" w:rsidR="00A71C12" w:rsidRPr="00E67B8A" w:rsidRDefault="00E34F26" w:rsidP="00A71C12">
      <w:pPr>
        <w:pStyle w:val="ListParagraph"/>
        <w:tabs>
          <w:tab w:val="left" w:pos="1276"/>
        </w:tabs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  <w:r w:rsidRPr="00E67B8A">
        <w:rPr>
          <w:rFonts w:ascii="Arial" w:eastAsia="Times New Roman" w:hAnsi="Arial" w:cs="Arial"/>
          <w:lang w:eastAsia="en-GB"/>
        </w:rPr>
        <w:t>meets the requirements set out in paragraph</w:t>
      </w:r>
      <w:r w:rsidR="00726B0D">
        <w:rPr>
          <w:rFonts w:ascii="Arial" w:eastAsia="Times New Roman" w:hAnsi="Arial" w:cs="Arial"/>
          <w:lang w:eastAsia="en-GB"/>
        </w:rPr>
        <w:t xml:space="preserve"> 7</w:t>
      </w:r>
      <w:r w:rsidR="004B7C5F" w:rsidRPr="00E67B8A">
        <w:rPr>
          <w:rFonts w:ascii="Arial" w:eastAsia="Times New Roman" w:hAnsi="Arial" w:cs="Arial"/>
          <w:lang w:eastAsia="en-GB"/>
        </w:rPr>
        <w:t xml:space="preserve"> </w:t>
      </w:r>
      <w:r w:rsidRPr="00E67B8A">
        <w:rPr>
          <w:rFonts w:ascii="Arial" w:eastAsia="Times New Roman" w:hAnsi="Arial" w:cs="Arial"/>
          <w:lang w:eastAsia="en-GB"/>
        </w:rPr>
        <w:t xml:space="preserve">below; and </w:t>
      </w:r>
    </w:p>
    <w:p w14:paraId="71C34985" w14:textId="77777777" w:rsidR="00A71C12" w:rsidRPr="00E67B8A" w:rsidRDefault="00A71C12" w:rsidP="00A71C12">
      <w:pPr>
        <w:pStyle w:val="ListParagraph"/>
        <w:tabs>
          <w:tab w:val="left" w:pos="1276"/>
        </w:tabs>
        <w:spacing w:after="0" w:line="240" w:lineRule="auto"/>
        <w:ind w:left="1440"/>
        <w:rPr>
          <w:rFonts w:ascii="Arial" w:eastAsia="Times New Roman" w:hAnsi="Arial" w:cs="Arial"/>
          <w:bCs/>
          <w:lang w:eastAsia="en-GB"/>
        </w:rPr>
      </w:pPr>
    </w:p>
    <w:p w14:paraId="685301B7" w14:textId="71FB055F" w:rsidR="004B7C5F" w:rsidRPr="00E67B8A" w:rsidRDefault="00E34F26" w:rsidP="004B7C5F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E67B8A">
        <w:rPr>
          <w:rFonts w:ascii="Arial" w:eastAsia="Times New Roman" w:hAnsi="Arial" w:cs="Arial"/>
          <w:lang w:eastAsia="en-GB"/>
        </w:rPr>
        <w:t xml:space="preserve">in the Authority's opinion, gives the Authority sufficient comfort that the risks associated with the Potential </w:t>
      </w:r>
      <w:r w:rsidR="00252C12">
        <w:rPr>
          <w:rFonts w:ascii="Arial" w:eastAsia="Times New Roman" w:hAnsi="Arial" w:cs="Arial"/>
          <w:lang w:eastAsia="en-GB"/>
        </w:rPr>
        <w:t xml:space="preserve">Supplier </w:t>
      </w:r>
      <w:r w:rsidRPr="00E67B8A">
        <w:rPr>
          <w:rFonts w:ascii="Arial" w:eastAsia="Times New Roman" w:hAnsi="Arial" w:cs="Arial"/>
          <w:lang w:eastAsia="en-GB"/>
        </w:rPr>
        <w:t>not meeting the qualification standard(s) will be effectively managed by the guarantee; and/or</w:t>
      </w:r>
    </w:p>
    <w:p w14:paraId="6662CBCA" w14:textId="77777777" w:rsidR="004B7C5F" w:rsidRPr="00E67B8A" w:rsidRDefault="004B7C5F" w:rsidP="004B7C5F">
      <w:pPr>
        <w:pStyle w:val="ListParagraph"/>
        <w:tabs>
          <w:tab w:val="left" w:pos="1276"/>
        </w:tabs>
        <w:spacing w:after="0" w:line="240" w:lineRule="auto"/>
        <w:ind w:left="1440"/>
        <w:rPr>
          <w:rFonts w:ascii="Arial" w:eastAsia="Times New Roman" w:hAnsi="Arial" w:cs="Arial"/>
          <w:bCs/>
          <w:lang w:eastAsia="en-GB"/>
        </w:rPr>
      </w:pPr>
    </w:p>
    <w:p w14:paraId="1D69DA9F" w14:textId="77777777" w:rsidR="004B7C5F" w:rsidRPr="00E67B8A" w:rsidRDefault="00E34F26" w:rsidP="004B7C5F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E67B8A">
        <w:rPr>
          <w:rFonts w:ascii="Arial" w:eastAsia="Times New Roman" w:hAnsi="Arial" w:cs="Arial"/>
          <w:lang w:eastAsia="en-GB"/>
        </w:rPr>
        <w:t xml:space="preserve">the Authority considers that there are appropriate mitigating factors demonstrating that the reason(s) behind not meeting the qualification standard(s)are either: </w:t>
      </w:r>
    </w:p>
    <w:p w14:paraId="00F4BF29" w14:textId="77777777" w:rsidR="004B7C5F" w:rsidRPr="00E67B8A" w:rsidRDefault="004B7C5F" w:rsidP="004B7C5F">
      <w:pPr>
        <w:pStyle w:val="ListParagraph"/>
        <w:rPr>
          <w:rFonts w:ascii="Arial" w:eastAsia="Times New Roman" w:hAnsi="Arial" w:cs="Arial"/>
          <w:lang w:eastAsia="en-GB"/>
        </w:rPr>
      </w:pPr>
    </w:p>
    <w:p w14:paraId="7D6B73AA" w14:textId="77777777" w:rsidR="004B7C5F" w:rsidRPr="00E67B8A" w:rsidRDefault="00E34F26" w:rsidP="004B7C5F">
      <w:pPr>
        <w:pStyle w:val="ListParagraph"/>
        <w:numPr>
          <w:ilvl w:val="2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E67B8A">
        <w:rPr>
          <w:rFonts w:ascii="Arial" w:eastAsia="Times New Roman" w:hAnsi="Arial" w:cs="Arial"/>
          <w:lang w:eastAsia="en-GB"/>
        </w:rPr>
        <w:t xml:space="preserve">unlikely to recur; or </w:t>
      </w:r>
    </w:p>
    <w:p w14:paraId="5C0527BB" w14:textId="79A13C2C" w:rsidR="00E34F26" w:rsidRPr="00E67B8A" w:rsidRDefault="00E34F26" w:rsidP="004B7C5F">
      <w:pPr>
        <w:pStyle w:val="ListParagraph"/>
        <w:numPr>
          <w:ilvl w:val="2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E67B8A">
        <w:rPr>
          <w:rFonts w:ascii="Arial" w:eastAsia="Times New Roman" w:hAnsi="Arial" w:cs="Arial"/>
          <w:lang w:eastAsia="en-GB"/>
        </w:rPr>
        <w:t xml:space="preserve">unlikely to expose the Authority to a significant degree of risk if a contract were to be awarded to the Potential </w:t>
      </w:r>
      <w:r w:rsidR="00560DCF">
        <w:rPr>
          <w:rFonts w:ascii="Arial" w:eastAsia="Times New Roman" w:hAnsi="Arial" w:cs="Arial"/>
          <w:lang w:eastAsia="en-GB"/>
        </w:rPr>
        <w:t>Supplier</w:t>
      </w:r>
      <w:r w:rsidRPr="00E67B8A">
        <w:rPr>
          <w:rFonts w:ascii="Arial" w:eastAsia="Times New Roman" w:hAnsi="Arial" w:cs="Arial"/>
          <w:lang w:eastAsia="en-GB"/>
        </w:rPr>
        <w:t xml:space="preserve"> at the end of the procurement.  </w:t>
      </w:r>
    </w:p>
    <w:p w14:paraId="41F9787D" w14:textId="77777777" w:rsidR="00E34F26" w:rsidRPr="00E67B8A" w:rsidRDefault="00E34F26" w:rsidP="00E34F26">
      <w:pPr>
        <w:spacing w:after="0" w:line="240" w:lineRule="auto"/>
        <w:contextualSpacing/>
        <w:rPr>
          <w:rFonts w:ascii="Verdana" w:eastAsia="Times New Roman" w:hAnsi="Verdana" w:cs="Times New Roman"/>
          <w:lang w:eastAsia="en-GB"/>
        </w:rPr>
      </w:pPr>
    </w:p>
    <w:p w14:paraId="419DAEF2" w14:textId="48F75405" w:rsidR="004B7C5F" w:rsidRPr="00E67B8A" w:rsidRDefault="00E34F26" w:rsidP="004B7C5F">
      <w:pPr>
        <w:pStyle w:val="ListParagraph"/>
        <w:numPr>
          <w:ilvl w:val="0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67B8A">
        <w:rPr>
          <w:rFonts w:ascii="Arial" w:eastAsia="Times New Roman" w:hAnsi="Arial" w:cs="Arial"/>
          <w:lang w:eastAsia="en-GB"/>
        </w:rPr>
        <w:t xml:space="preserve">The Authority may also require a parent company guarantee from a Potential </w:t>
      </w:r>
      <w:r w:rsidR="00560DCF">
        <w:rPr>
          <w:rFonts w:ascii="Arial" w:eastAsia="Times New Roman" w:hAnsi="Arial" w:cs="Arial"/>
          <w:lang w:eastAsia="en-GB"/>
        </w:rPr>
        <w:t>Supplier</w:t>
      </w:r>
      <w:r w:rsidRPr="00E67B8A">
        <w:rPr>
          <w:rFonts w:ascii="Arial" w:eastAsia="Times New Roman" w:hAnsi="Arial" w:cs="Arial"/>
          <w:lang w:eastAsia="en-GB"/>
        </w:rPr>
        <w:t xml:space="preserve"> ultimate parent company.  The Authority may require this in a number of circumstances, including where:</w:t>
      </w:r>
    </w:p>
    <w:p w14:paraId="05CF6D95" w14:textId="77777777" w:rsidR="004B7C5F" w:rsidRPr="00E67B8A" w:rsidRDefault="004B7C5F" w:rsidP="004B7C5F">
      <w:pPr>
        <w:pStyle w:val="ListParagraph"/>
        <w:tabs>
          <w:tab w:val="left" w:pos="1276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49637D6" w14:textId="60027540" w:rsidR="00AA5D0D" w:rsidRPr="00E67B8A" w:rsidRDefault="00E34F26" w:rsidP="00AA5D0D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67B8A">
        <w:rPr>
          <w:rFonts w:ascii="Arial" w:eastAsia="Batang" w:hAnsi="Arial" w:cs="Arial"/>
          <w:bCs/>
          <w:lang w:eastAsia="en-GB"/>
        </w:rPr>
        <w:lastRenderedPageBreak/>
        <w:t>There</w:t>
      </w:r>
      <w:r w:rsidRPr="00E67B8A">
        <w:rPr>
          <w:rFonts w:ascii="Arial" w:eastAsia="Batang" w:hAnsi="Arial" w:cs="Arial"/>
          <w:lang w:eastAsia="en-GB"/>
        </w:rPr>
        <w:t xml:space="preserve"> is a failure to meet one or more of the qualification standards described at paragraph</w:t>
      </w:r>
      <w:r w:rsidRPr="00404A79">
        <w:rPr>
          <w:rFonts w:ascii="Arial" w:eastAsia="Batang" w:hAnsi="Arial" w:cs="Arial"/>
          <w:lang w:eastAsia="en-GB"/>
        </w:rPr>
        <w:t xml:space="preserve"> </w:t>
      </w:r>
      <w:r w:rsidR="001F4647">
        <w:rPr>
          <w:rFonts w:ascii="Arial" w:eastAsia="Batang" w:hAnsi="Arial" w:cs="Arial"/>
          <w:lang w:eastAsia="en-GB"/>
        </w:rPr>
        <w:t>table 1</w:t>
      </w:r>
      <w:r w:rsidR="00C724AE" w:rsidRPr="00404A79">
        <w:rPr>
          <w:rFonts w:ascii="Arial" w:eastAsia="Batang" w:hAnsi="Arial" w:cs="Arial"/>
          <w:lang w:eastAsia="en-GB"/>
        </w:rPr>
        <w:t xml:space="preserve"> </w:t>
      </w:r>
      <w:r w:rsidR="00E67B8A" w:rsidRPr="00E67B8A">
        <w:rPr>
          <w:rFonts w:ascii="Arial" w:eastAsia="Batang" w:hAnsi="Arial" w:cs="Arial"/>
          <w:lang w:eastAsia="en-GB"/>
        </w:rPr>
        <w:t>above.</w:t>
      </w:r>
    </w:p>
    <w:p w14:paraId="6FF6A762" w14:textId="77777777" w:rsidR="00AA5D0D" w:rsidRPr="00E67B8A" w:rsidRDefault="00AA5D0D" w:rsidP="00AA5D0D">
      <w:pPr>
        <w:pStyle w:val="ListParagraph"/>
        <w:tabs>
          <w:tab w:val="left" w:pos="1276"/>
        </w:tabs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</w:p>
    <w:p w14:paraId="27ACA44A" w14:textId="4A8336BA" w:rsidR="00AA5D0D" w:rsidRPr="00E67B8A" w:rsidRDefault="00E34F26" w:rsidP="00AA5D0D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67B8A">
        <w:rPr>
          <w:rFonts w:ascii="Arial" w:eastAsia="Batang" w:hAnsi="Arial" w:cs="Arial"/>
          <w:bCs/>
          <w:lang w:eastAsia="en-GB"/>
        </w:rPr>
        <w:t xml:space="preserve">The </w:t>
      </w:r>
      <w:r w:rsidRPr="00E67B8A">
        <w:rPr>
          <w:rFonts w:ascii="Arial" w:eastAsia="Batang" w:hAnsi="Arial" w:cs="Arial"/>
          <w:lang w:eastAsia="en-GB"/>
        </w:rPr>
        <w:t xml:space="preserve">Potential </w:t>
      </w:r>
      <w:r w:rsidR="00405726">
        <w:rPr>
          <w:rFonts w:ascii="Arial" w:eastAsia="Batang" w:hAnsi="Arial" w:cs="Arial"/>
          <w:lang w:eastAsia="en-GB"/>
        </w:rPr>
        <w:t xml:space="preserve">Supplier </w:t>
      </w:r>
      <w:r w:rsidRPr="00E67B8A">
        <w:rPr>
          <w:rFonts w:ascii="Arial" w:eastAsia="Batang" w:hAnsi="Arial" w:cs="Arial"/>
          <w:lang w:eastAsia="en-GB"/>
        </w:rPr>
        <w:t xml:space="preserve">that would contract with the Authority is a dormant or "shell" company for an intermediary </w:t>
      </w:r>
      <w:r w:rsidR="00127549" w:rsidRPr="00E67B8A">
        <w:rPr>
          <w:rFonts w:ascii="Arial" w:eastAsia="Batang" w:hAnsi="Arial" w:cs="Arial"/>
          <w:lang w:eastAsia="en-GB"/>
        </w:rPr>
        <w:t>company.</w:t>
      </w:r>
    </w:p>
    <w:p w14:paraId="252768DA" w14:textId="77777777" w:rsidR="00AA5D0D" w:rsidRPr="00E67B8A" w:rsidRDefault="00AA5D0D" w:rsidP="00AA5D0D">
      <w:pPr>
        <w:pStyle w:val="ListParagraph"/>
        <w:rPr>
          <w:rFonts w:ascii="Arial" w:eastAsia="Batang" w:hAnsi="Arial" w:cs="Arial"/>
          <w:bCs/>
          <w:lang w:eastAsia="en-GB"/>
        </w:rPr>
      </w:pPr>
    </w:p>
    <w:p w14:paraId="29EABF50" w14:textId="77777777" w:rsidR="00AA5D0D" w:rsidRPr="00E67B8A" w:rsidRDefault="00E34F26" w:rsidP="00AA5D0D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67B8A">
        <w:rPr>
          <w:rFonts w:ascii="Arial" w:eastAsia="Batang" w:hAnsi="Arial" w:cs="Arial"/>
          <w:bCs/>
          <w:lang w:eastAsia="en-GB"/>
        </w:rPr>
        <w:t>The</w:t>
      </w:r>
      <w:r w:rsidRPr="00E67B8A">
        <w:rPr>
          <w:rFonts w:ascii="Arial" w:eastAsia="Batang" w:hAnsi="Arial" w:cs="Arial"/>
          <w:lang w:eastAsia="en-GB"/>
        </w:rPr>
        <w:t xml:space="preserve"> contracting entity would be a joint venture company, Consortium Member, or other special purpose vehicle; or</w:t>
      </w:r>
    </w:p>
    <w:p w14:paraId="2DBA2107" w14:textId="77777777" w:rsidR="00AA5D0D" w:rsidRPr="00E67B8A" w:rsidRDefault="00AA5D0D" w:rsidP="00AA5D0D">
      <w:pPr>
        <w:pStyle w:val="ListParagraph"/>
        <w:rPr>
          <w:rFonts w:ascii="Arial" w:eastAsia="Batang" w:hAnsi="Arial" w:cs="Arial"/>
          <w:bCs/>
          <w:lang w:eastAsia="en-GB"/>
        </w:rPr>
      </w:pPr>
    </w:p>
    <w:p w14:paraId="56EA95AD" w14:textId="77777777" w:rsidR="00AA5D0D" w:rsidRPr="00E67B8A" w:rsidRDefault="00E34F26" w:rsidP="00AA5D0D">
      <w:pPr>
        <w:pStyle w:val="ListParagraph"/>
        <w:numPr>
          <w:ilvl w:val="1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67B8A">
        <w:rPr>
          <w:rFonts w:ascii="Arial" w:eastAsia="Batang" w:hAnsi="Arial" w:cs="Arial"/>
          <w:bCs/>
          <w:lang w:eastAsia="en-GB"/>
        </w:rPr>
        <w:t>The</w:t>
      </w:r>
      <w:r w:rsidRPr="00E67B8A">
        <w:rPr>
          <w:rFonts w:ascii="Arial" w:eastAsia="Batang" w:hAnsi="Arial" w:cs="Arial"/>
          <w:lang w:eastAsia="en-GB"/>
        </w:rPr>
        <w:t xml:space="preserve"> contracting entity otherwise: </w:t>
      </w:r>
    </w:p>
    <w:p w14:paraId="007CF926" w14:textId="77777777" w:rsidR="00AA5D0D" w:rsidRPr="00E67B8A" w:rsidRDefault="00AA5D0D" w:rsidP="00AA5D0D">
      <w:pPr>
        <w:pStyle w:val="ListParagraph"/>
        <w:rPr>
          <w:rFonts w:ascii="Arial" w:eastAsia="Batang" w:hAnsi="Arial" w:cs="Arial"/>
          <w:bCs/>
          <w:lang w:eastAsia="en-GB"/>
        </w:rPr>
      </w:pPr>
    </w:p>
    <w:p w14:paraId="201B2FF9" w14:textId="77777777" w:rsidR="00AA5D0D" w:rsidRPr="00E67B8A" w:rsidRDefault="00E34F26" w:rsidP="00AA5D0D">
      <w:pPr>
        <w:pStyle w:val="ListParagraph"/>
        <w:numPr>
          <w:ilvl w:val="2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67B8A">
        <w:rPr>
          <w:rFonts w:ascii="Arial" w:eastAsia="Batang" w:hAnsi="Arial" w:cs="Arial"/>
          <w:bCs/>
          <w:lang w:eastAsia="en-GB"/>
        </w:rPr>
        <w:t>Has</w:t>
      </w:r>
      <w:r w:rsidRPr="00E67B8A">
        <w:rPr>
          <w:rFonts w:ascii="Arial" w:eastAsia="Batang" w:hAnsi="Arial" w:cs="Arial"/>
          <w:lang w:eastAsia="en-GB"/>
        </w:rPr>
        <w:t xml:space="preserve"> no adequate financial track record that the Authority is able to assess; or </w:t>
      </w:r>
    </w:p>
    <w:p w14:paraId="4505F063" w14:textId="77777777" w:rsidR="00AA5D0D" w:rsidRPr="00E67B8A" w:rsidRDefault="00AA5D0D" w:rsidP="00AA5D0D">
      <w:pPr>
        <w:pStyle w:val="ListParagraph"/>
        <w:tabs>
          <w:tab w:val="left" w:pos="1276"/>
        </w:tabs>
        <w:spacing w:after="0" w:line="240" w:lineRule="auto"/>
        <w:ind w:left="2160"/>
        <w:rPr>
          <w:rFonts w:ascii="Arial" w:eastAsia="Times New Roman" w:hAnsi="Arial" w:cs="Arial"/>
          <w:lang w:eastAsia="en-GB"/>
        </w:rPr>
      </w:pPr>
    </w:p>
    <w:p w14:paraId="377848B9" w14:textId="761D10CA" w:rsidR="00AA5D0D" w:rsidRPr="00E67B8A" w:rsidRDefault="00E34F26" w:rsidP="00AA5D0D">
      <w:pPr>
        <w:pStyle w:val="ListParagraph"/>
        <w:numPr>
          <w:ilvl w:val="2"/>
          <w:numId w:val="5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67B8A">
        <w:rPr>
          <w:rFonts w:ascii="Arial" w:eastAsia="Batang" w:hAnsi="Arial" w:cs="Arial"/>
          <w:bCs/>
          <w:lang w:eastAsia="en-GB"/>
        </w:rPr>
        <w:t>Lacks</w:t>
      </w:r>
      <w:r w:rsidRPr="00E67B8A">
        <w:rPr>
          <w:rFonts w:ascii="Arial" w:eastAsia="Batang" w:hAnsi="Arial" w:cs="Arial"/>
          <w:lang w:eastAsia="en-GB"/>
        </w:rPr>
        <w:t xml:space="preserve"> the financial capacity required to perform the services provided under </w:t>
      </w:r>
      <w:r w:rsidR="00127549" w:rsidRPr="00127549">
        <w:rPr>
          <w:rFonts w:ascii="Arial" w:eastAsia="Batang" w:hAnsi="Arial" w:cs="Arial"/>
          <w:lang w:eastAsia="en-GB"/>
        </w:rPr>
        <w:t xml:space="preserve">SCADE </w:t>
      </w:r>
      <w:r w:rsidRPr="00E67B8A">
        <w:rPr>
          <w:rFonts w:ascii="Arial" w:eastAsia="Batang" w:hAnsi="Arial" w:cs="Arial"/>
          <w:lang w:eastAsia="en-GB"/>
        </w:rPr>
        <w:t xml:space="preserve">but is otherwise, in the Authority's opinion, financially sound.  </w:t>
      </w:r>
    </w:p>
    <w:p w14:paraId="1C8AA432" w14:textId="77777777" w:rsidR="00AA5D0D" w:rsidRPr="00E67B8A" w:rsidRDefault="00AA5D0D" w:rsidP="00AA5D0D">
      <w:pPr>
        <w:pStyle w:val="ListParagraph"/>
        <w:rPr>
          <w:rFonts w:ascii="Arial" w:eastAsia="Batang" w:hAnsi="Arial" w:cs="Arial"/>
          <w:lang w:eastAsia="en-GB"/>
        </w:rPr>
      </w:pPr>
    </w:p>
    <w:p w14:paraId="6ECE6306" w14:textId="7998F158" w:rsidR="00E34F26" w:rsidRPr="00A769A0" w:rsidRDefault="00E34F26" w:rsidP="00A769A0">
      <w:pPr>
        <w:pStyle w:val="ListParagraph"/>
        <w:numPr>
          <w:ilvl w:val="0"/>
          <w:numId w:val="6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A769A0">
        <w:rPr>
          <w:rFonts w:ascii="Arial" w:eastAsia="Batang" w:hAnsi="Arial" w:cs="Arial"/>
          <w:lang w:eastAsia="en-GB"/>
        </w:rPr>
        <w:t xml:space="preserve">The financial standing of any such parent company will be assessed in the same way as if the parent company were a </w:t>
      </w:r>
      <w:r w:rsidRPr="00A769A0">
        <w:rPr>
          <w:rFonts w:ascii="Arial" w:eastAsia="Arial" w:hAnsi="Arial" w:cs="Arial"/>
          <w:bCs/>
          <w:lang w:eastAsia="en-GB"/>
        </w:rPr>
        <w:t xml:space="preserve">Potential </w:t>
      </w:r>
      <w:r w:rsidR="00127549" w:rsidRPr="00A769A0">
        <w:rPr>
          <w:rFonts w:ascii="Arial" w:eastAsia="Arial" w:hAnsi="Arial" w:cs="Arial"/>
          <w:bCs/>
          <w:lang w:eastAsia="en-GB"/>
        </w:rPr>
        <w:t>Supplier</w:t>
      </w:r>
    </w:p>
    <w:p w14:paraId="7EB9CA6C" w14:textId="77777777" w:rsidR="00E34F26" w:rsidRPr="00E67B8A" w:rsidRDefault="00E34F26" w:rsidP="00E34F26">
      <w:pPr>
        <w:spacing w:after="0" w:line="240" w:lineRule="auto"/>
        <w:contextualSpacing/>
        <w:rPr>
          <w:rFonts w:ascii="Verdana" w:eastAsia="Times New Roman" w:hAnsi="Verdana" w:cs="Times New Roman"/>
          <w:lang w:eastAsia="en-GB"/>
        </w:rPr>
      </w:pPr>
    </w:p>
    <w:p w14:paraId="38978B25" w14:textId="551583E8" w:rsidR="00E34F26" w:rsidRPr="00E67B8A" w:rsidRDefault="00E34F26" w:rsidP="00A769A0">
      <w:pPr>
        <w:pStyle w:val="ListParagraph"/>
        <w:numPr>
          <w:ilvl w:val="0"/>
          <w:numId w:val="6"/>
        </w:numPr>
        <w:tabs>
          <w:tab w:val="left" w:pos="127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67B8A">
        <w:rPr>
          <w:rFonts w:ascii="Arial" w:eastAsia="Times New Roman" w:hAnsi="Arial" w:cs="Arial"/>
          <w:lang w:eastAsia="en-GB"/>
        </w:rPr>
        <w:t xml:space="preserve">Where a Potential </w:t>
      </w:r>
      <w:r w:rsidR="00127549">
        <w:rPr>
          <w:rFonts w:ascii="Arial" w:eastAsia="Times New Roman" w:hAnsi="Arial" w:cs="Arial"/>
          <w:lang w:eastAsia="en-GB"/>
        </w:rPr>
        <w:t xml:space="preserve">Supplier </w:t>
      </w:r>
      <w:r w:rsidRPr="00E67B8A">
        <w:rPr>
          <w:rFonts w:ascii="Arial" w:eastAsia="Times New Roman" w:hAnsi="Arial" w:cs="Arial"/>
          <w:lang w:eastAsia="en-GB"/>
        </w:rPr>
        <w:t>does not have an ultimate parent company, the Authority may request a bank guarantee be obtained instead.</w:t>
      </w:r>
    </w:p>
    <w:p w14:paraId="09725F0C" w14:textId="77777777" w:rsidR="000B2D5A" w:rsidRPr="000B2D5A" w:rsidRDefault="000B2D5A" w:rsidP="000B2D5A">
      <w:pPr>
        <w:pStyle w:val="ListParagraph"/>
        <w:rPr>
          <w:rFonts w:ascii="Arial" w:hAnsi="Arial" w:cs="Arial"/>
        </w:rPr>
      </w:pPr>
    </w:p>
    <w:sectPr w:rsidR="000B2D5A" w:rsidRPr="000B2D5A" w:rsidSect="00E34F2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C30D" w14:textId="77777777" w:rsidR="006E5E0F" w:rsidRDefault="006E5E0F" w:rsidP="00C966C2">
      <w:pPr>
        <w:spacing w:after="0" w:line="240" w:lineRule="auto"/>
      </w:pPr>
      <w:r>
        <w:separator/>
      </w:r>
    </w:p>
  </w:endnote>
  <w:endnote w:type="continuationSeparator" w:id="0">
    <w:p w14:paraId="13DE5685" w14:textId="77777777" w:rsidR="006E5E0F" w:rsidRDefault="006E5E0F" w:rsidP="00C966C2">
      <w:pPr>
        <w:spacing w:after="0" w:line="240" w:lineRule="auto"/>
      </w:pPr>
      <w:r>
        <w:continuationSeparator/>
      </w:r>
    </w:p>
  </w:endnote>
  <w:endnote w:type="continuationNotice" w:id="1">
    <w:p w14:paraId="3A87978D" w14:textId="77777777" w:rsidR="006E5E0F" w:rsidRDefault="006E5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BC31" w14:textId="2CA4568D" w:rsidR="00C966C2" w:rsidRDefault="00CF03E0">
    <w:pPr>
      <w:pStyle w:val="Footer"/>
      <w:jc w:val="center"/>
    </w:pPr>
    <w:r>
      <w:t>B</w:t>
    </w:r>
    <w:sdt>
      <w:sdtPr>
        <w:id w:val="14584512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66C2">
          <w:fldChar w:fldCharType="begin"/>
        </w:r>
        <w:r w:rsidR="00C966C2">
          <w:instrText xml:space="preserve"> PAGE   \* MERGEFORMAT </w:instrText>
        </w:r>
        <w:r w:rsidR="00C966C2">
          <w:fldChar w:fldCharType="separate"/>
        </w:r>
        <w:r w:rsidR="00C966C2">
          <w:rPr>
            <w:noProof/>
          </w:rPr>
          <w:t>2</w:t>
        </w:r>
        <w:r w:rsidR="00C966C2">
          <w:rPr>
            <w:noProof/>
          </w:rPr>
          <w:fldChar w:fldCharType="end"/>
        </w:r>
      </w:sdtContent>
    </w:sdt>
  </w:p>
  <w:p w14:paraId="6B7409F7" w14:textId="72C20AF8" w:rsidR="00C966C2" w:rsidRPr="00C966C2" w:rsidRDefault="00C966C2" w:rsidP="00C966C2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48A8" w14:textId="77777777" w:rsidR="006E5E0F" w:rsidRDefault="006E5E0F" w:rsidP="00C966C2">
      <w:pPr>
        <w:spacing w:after="0" w:line="240" w:lineRule="auto"/>
      </w:pPr>
      <w:r>
        <w:separator/>
      </w:r>
    </w:p>
  </w:footnote>
  <w:footnote w:type="continuationSeparator" w:id="0">
    <w:p w14:paraId="23EBC4FE" w14:textId="77777777" w:rsidR="006E5E0F" w:rsidRDefault="006E5E0F" w:rsidP="00C966C2">
      <w:pPr>
        <w:spacing w:after="0" w:line="240" w:lineRule="auto"/>
      </w:pPr>
      <w:r>
        <w:continuationSeparator/>
      </w:r>
    </w:p>
  </w:footnote>
  <w:footnote w:type="continuationNotice" w:id="1">
    <w:p w14:paraId="09D55EF4" w14:textId="77777777" w:rsidR="006E5E0F" w:rsidRDefault="006E5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78E3" w14:textId="428D3C8E" w:rsidR="00C966C2" w:rsidRPr="00C966C2" w:rsidRDefault="00C966C2" w:rsidP="00C966C2">
    <w:pPr>
      <w:pStyle w:val="Header"/>
      <w:jc w:val="right"/>
      <w:rPr>
        <w:rFonts w:ascii="Arial" w:hAnsi="Arial" w:cs="Arial"/>
      </w:rPr>
    </w:pPr>
    <w:r w:rsidRPr="00C966C2">
      <w:rPr>
        <w:rFonts w:ascii="Arial" w:hAnsi="Arial" w:cs="Arial"/>
      </w:rPr>
      <w:t xml:space="preserve">Annex </w:t>
    </w:r>
    <w:r w:rsidR="00E34F26">
      <w:rPr>
        <w:rFonts w:ascii="Arial" w:hAnsi="Arial" w:cs="Arial"/>
      </w:rPr>
      <w:t>B</w:t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60D"/>
    <w:multiLevelType w:val="multilevel"/>
    <w:tmpl w:val="54CEB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43E72"/>
    <w:multiLevelType w:val="hybridMultilevel"/>
    <w:tmpl w:val="DCD0A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4035"/>
    <w:multiLevelType w:val="hybridMultilevel"/>
    <w:tmpl w:val="6B1C8424"/>
    <w:name w:val="Schedule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2AD2"/>
    <w:multiLevelType w:val="hybridMultilevel"/>
    <w:tmpl w:val="64826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D1AC5"/>
    <w:multiLevelType w:val="hybridMultilevel"/>
    <w:tmpl w:val="21E008E6"/>
    <w:lvl w:ilvl="0" w:tplc="6AA2284A">
      <w:start w:val="9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5B5F"/>
    <w:multiLevelType w:val="hybridMultilevel"/>
    <w:tmpl w:val="4A3E7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48237">
    <w:abstractNumId w:val="3"/>
  </w:num>
  <w:num w:numId="2" w16cid:durableId="1701011527">
    <w:abstractNumId w:val="1"/>
  </w:num>
  <w:num w:numId="3" w16cid:durableId="208491008">
    <w:abstractNumId w:val="0"/>
  </w:num>
  <w:num w:numId="4" w16cid:durableId="1544096569">
    <w:abstractNumId w:val="2"/>
  </w:num>
  <w:num w:numId="5" w16cid:durableId="24061641">
    <w:abstractNumId w:val="5"/>
  </w:num>
  <w:num w:numId="6" w16cid:durableId="1010834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51"/>
    <w:rsid w:val="00002E68"/>
    <w:rsid w:val="000062A4"/>
    <w:rsid w:val="00015562"/>
    <w:rsid w:val="000174FB"/>
    <w:rsid w:val="00020D37"/>
    <w:rsid w:val="000219B7"/>
    <w:rsid w:val="00022178"/>
    <w:rsid w:val="00060DCA"/>
    <w:rsid w:val="000B2D5A"/>
    <w:rsid w:val="000D73B7"/>
    <w:rsid w:val="00114E38"/>
    <w:rsid w:val="00116BB2"/>
    <w:rsid w:val="00127549"/>
    <w:rsid w:val="001421DF"/>
    <w:rsid w:val="001466F0"/>
    <w:rsid w:val="001848DC"/>
    <w:rsid w:val="001A4DCF"/>
    <w:rsid w:val="001A6A39"/>
    <w:rsid w:val="001F4647"/>
    <w:rsid w:val="00225E5B"/>
    <w:rsid w:val="00237C9B"/>
    <w:rsid w:val="00243F52"/>
    <w:rsid w:val="00252C12"/>
    <w:rsid w:val="00295FD6"/>
    <w:rsid w:val="002A4A9A"/>
    <w:rsid w:val="002A607C"/>
    <w:rsid w:val="002B77C5"/>
    <w:rsid w:val="002C70E0"/>
    <w:rsid w:val="002D395A"/>
    <w:rsid w:val="002D487D"/>
    <w:rsid w:val="002E35C2"/>
    <w:rsid w:val="002F7527"/>
    <w:rsid w:val="003174CC"/>
    <w:rsid w:val="00330558"/>
    <w:rsid w:val="00382BF7"/>
    <w:rsid w:val="00385DCF"/>
    <w:rsid w:val="003A52CD"/>
    <w:rsid w:val="003B01F5"/>
    <w:rsid w:val="003B77E6"/>
    <w:rsid w:val="003B7E8D"/>
    <w:rsid w:val="003D7C21"/>
    <w:rsid w:val="003E32A9"/>
    <w:rsid w:val="003E5568"/>
    <w:rsid w:val="003E6BB5"/>
    <w:rsid w:val="00404A79"/>
    <w:rsid w:val="00405726"/>
    <w:rsid w:val="00406E1D"/>
    <w:rsid w:val="00414550"/>
    <w:rsid w:val="00421151"/>
    <w:rsid w:val="0042756D"/>
    <w:rsid w:val="004421AD"/>
    <w:rsid w:val="00453D5C"/>
    <w:rsid w:val="00465629"/>
    <w:rsid w:val="00475288"/>
    <w:rsid w:val="004B1FB2"/>
    <w:rsid w:val="004B7C5F"/>
    <w:rsid w:val="004C19F1"/>
    <w:rsid w:val="004D0386"/>
    <w:rsid w:val="004E2AC1"/>
    <w:rsid w:val="00541590"/>
    <w:rsid w:val="00556A1A"/>
    <w:rsid w:val="0056048D"/>
    <w:rsid w:val="00560DCF"/>
    <w:rsid w:val="00593BE6"/>
    <w:rsid w:val="005F0D5D"/>
    <w:rsid w:val="0061298D"/>
    <w:rsid w:val="006167F2"/>
    <w:rsid w:val="00626D1C"/>
    <w:rsid w:val="00626D42"/>
    <w:rsid w:val="006753E3"/>
    <w:rsid w:val="006870A0"/>
    <w:rsid w:val="006C24B5"/>
    <w:rsid w:val="006D62AD"/>
    <w:rsid w:val="006D6B12"/>
    <w:rsid w:val="006E5E0F"/>
    <w:rsid w:val="00726B0D"/>
    <w:rsid w:val="00750834"/>
    <w:rsid w:val="00755FC1"/>
    <w:rsid w:val="00762334"/>
    <w:rsid w:val="00783C95"/>
    <w:rsid w:val="007A3ABF"/>
    <w:rsid w:val="007B7CA6"/>
    <w:rsid w:val="007E01ED"/>
    <w:rsid w:val="007E2BBC"/>
    <w:rsid w:val="007F3447"/>
    <w:rsid w:val="00873EF0"/>
    <w:rsid w:val="00874063"/>
    <w:rsid w:val="00881318"/>
    <w:rsid w:val="008B76FF"/>
    <w:rsid w:val="008C0C43"/>
    <w:rsid w:val="008C520D"/>
    <w:rsid w:val="008D1EBF"/>
    <w:rsid w:val="00936FC8"/>
    <w:rsid w:val="00945F73"/>
    <w:rsid w:val="00946D90"/>
    <w:rsid w:val="009819A4"/>
    <w:rsid w:val="00983539"/>
    <w:rsid w:val="00983801"/>
    <w:rsid w:val="009A6CF4"/>
    <w:rsid w:val="009B7D41"/>
    <w:rsid w:val="009F6299"/>
    <w:rsid w:val="00A07B9B"/>
    <w:rsid w:val="00A62052"/>
    <w:rsid w:val="00A63158"/>
    <w:rsid w:val="00A71C12"/>
    <w:rsid w:val="00A769A0"/>
    <w:rsid w:val="00A91E3D"/>
    <w:rsid w:val="00AA5D0D"/>
    <w:rsid w:val="00AA78B2"/>
    <w:rsid w:val="00AB3ED4"/>
    <w:rsid w:val="00AD58C5"/>
    <w:rsid w:val="00B03704"/>
    <w:rsid w:val="00B1384E"/>
    <w:rsid w:val="00B16527"/>
    <w:rsid w:val="00B24290"/>
    <w:rsid w:val="00B262AD"/>
    <w:rsid w:val="00B36E15"/>
    <w:rsid w:val="00B442E9"/>
    <w:rsid w:val="00B656ED"/>
    <w:rsid w:val="00B96290"/>
    <w:rsid w:val="00BB04B3"/>
    <w:rsid w:val="00BD37D0"/>
    <w:rsid w:val="00BE4027"/>
    <w:rsid w:val="00BE7B20"/>
    <w:rsid w:val="00C31897"/>
    <w:rsid w:val="00C54FBC"/>
    <w:rsid w:val="00C724AE"/>
    <w:rsid w:val="00C966C2"/>
    <w:rsid w:val="00CE6B2D"/>
    <w:rsid w:val="00CF03E0"/>
    <w:rsid w:val="00CF2DA1"/>
    <w:rsid w:val="00D33959"/>
    <w:rsid w:val="00D37600"/>
    <w:rsid w:val="00D612BD"/>
    <w:rsid w:val="00DA0556"/>
    <w:rsid w:val="00DA3ACC"/>
    <w:rsid w:val="00DB2D11"/>
    <w:rsid w:val="00DB5239"/>
    <w:rsid w:val="00DB5CB8"/>
    <w:rsid w:val="00DC722D"/>
    <w:rsid w:val="00DE345D"/>
    <w:rsid w:val="00DE763A"/>
    <w:rsid w:val="00DF2AAF"/>
    <w:rsid w:val="00E31FFE"/>
    <w:rsid w:val="00E33B24"/>
    <w:rsid w:val="00E34F26"/>
    <w:rsid w:val="00E543F9"/>
    <w:rsid w:val="00E66758"/>
    <w:rsid w:val="00E67B8A"/>
    <w:rsid w:val="00E75512"/>
    <w:rsid w:val="00E932D0"/>
    <w:rsid w:val="00ED71B6"/>
    <w:rsid w:val="00EE1D4F"/>
    <w:rsid w:val="00F21DFD"/>
    <w:rsid w:val="00F2518B"/>
    <w:rsid w:val="00F2741A"/>
    <w:rsid w:val="00FA45EC"/>
    <w:rsid w:val="00FB5E9F"/>
    <w:rsid w:val="1E5366FF"/>
    <w:rsid w:val="466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5EA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1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6C2"/>
  </w:style>
  <w:style w:type="paragraph" w:styleId="Footer">
    <w:name w:val="footer"/>
    <w:basedOn w:val="Normal"/>
    <w:link w:val="FooterChar"/>
    <w:uiPriority w:val="99"/>
    <w:unhideWhenUsed/>
    <w:rsid w:val="00C9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6C2"/>
  </w:style>
  <w:style w:type="character" w:styleId="CommentReference">
    <w:name w:val="annotation reference"/>
    <w:uiPriority w:val="99"/>
    <w:semiHidden/>
    <w:rsid w:val="009B7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7D4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D41"/>
    <w:rPr>
      <w:rFonts w:ascii="Verdana" w:eastAsia="Times New Roman" w:hAnsi="Verdana" w:cs="Times New Roman"/>
      <w:sz w:val="20"/>
      <w:szCs w:val="20"/>
      <w:lang w:eastAsia="ko-KR"/>
    </w:rPr>
  </w:style>
  <w:style w:type="character" w:styleId="Hyperlink">
    <w:name w:val="Hyperlink"/>
    <w:uiPriority w:val="99"/>
    <w:rsid w:val="00E34F26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rsid w:val="00E34F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B7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companywatch.net/analytics-insight/h-scor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08DB3D3EE48A553A54C7E5B8B25" ma:contentTypeVersion="20" ma:contentTypeDescription="Create a new document." ma:contentTypeScope="" ma:versionID="71d8cfcfc2e3537e1debe50989873c48">
  <xsd:schema xmlns:xsd="http://www.w3.org/2001/XMLSchema" xmlns:xs="http://www.w3.org/2001/XMLSchema" xmlns:p="http://schemas.microsoft.com/office/2006/metadata/properties" xmlns:ns2="db973624-d5f0-4314-a6ad-2d5508efed1a" xmlns:ns3="718395d6-22a4-4996-a355-3b5483d6a8ee" xmlns:ns4="04738c6d-ecc8-46f1-821f-82e308eab3d9" targetNamespace="http://schemas.microsoft.com/office/2006/metadata/properties" ma:root="true" ma:fieldsID="27abd920ded280fa96f2ea5efd30a2e4" ns2:_="" ns3:_="" ns4:_="">
    <xsd:import namespace="db973624-d5f0-4314-a6ad-2d5508efed1a"/>
    <xsd:import namespace="718395d6-22a4-4996-a355-3b5483d6a8e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73624-d5f0-4314-a6ad-2d5508efed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95d6-22a4-4996-a355-3b5483d6a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8fbc2-c97e-4eb1-afd9-813fb89a6043}" ma:internalName="TaxCatchAll" ma:showField="CatchAllData" ma:web="db973624-d5f0-4314-a6ad-2d5508efe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973624-d5f0-4314-a6ad-2d5508efed1a">DESSALMODEL-996897140-15522</_dlc_DocId>
    <_dlc_DocIdUrl xmlns="db973624-d5f0-4314-a6ad-2d5508efed1a">
      <Url>https://modgovuk.sharepoint.com/sites/DES-SALMOMarineHeavyLiftLTD/_layouts/15/DocIdRedir.aspx?ID=DESSALMODEL-996897140-15522</Url>
      <Description>DESSALMODEL-996897140-15522</Description>
    </_dlc_DocIdUrl>
    <lcf76f155ced4ddcb4097134ff3c332f xmlns="718395d6-22a4-4996-a355-3b5483d6a8ee">
      <Terms xmlns="http://schemas.microsoft.com/office/infopath/2007/PartnerControls"/>
    </lcf76f155ced4ddcb4097134ff3c332f>
    <TaxCatchAll xmlns="04738c6d-ecc8-46f1-821f-82e308eab3d9" xsi:nil="true"/>
  </documentManagement>
</p:properties>
</file>

<file path=customXml/itemProps1.xml><?xml version="1.0" encoding="utf-8"?>
<ds:datastoreItem xmlns:ds="http://schemas.openxmlformats.org/officeDocument/2006/customXml" ds:itemID="{4E65CA04-2D41-4555-8DE0-B978E4173EC1}"/>
</file>

<file path=customXml/itemProps2.xml><?xml version="1.0" encoding="utf-8"?>
<ds:datastoreItem xmlns:ds="http://schemas.openxmlformats.org/officeDocument/2006/customXml" ds:itemID="{66BA1F84-8580-4038-A5AD-59ADA34B8E9E}"/>
</file>

<file path=customXml/itemProps3.xml><?xml version="1.0" encoding="utf-8"?>
<ds:datastoreItem xmlns:ds="http://schemas.openxmlformats.org/officeDocument/2006/customXml" ds:itemID="{1C9D1C7E-2B0A-4F97-A323-726E93A06160}"/>
</file>

<file path=customXml/itemProps4.xml><?xml version="1.0" encoding="utf-8"?>
<ds:datastoreItem xmlns:ds="http://schemas.openxmlformats.org/officeDocument/2006/customXml" ds:itemID="{37CDD200-4E73-42CF-B293-DB75AD54D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Links>
    <vt:vector size="12" baseType="variant"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http://www.companywatch.net/analytics-insight/h-score</vt:lpwstr>
      </vt:variant>
      <vt:variant>
        <vt:lpwstr/>
      </vt:variant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https://assets.publishing.service.gov.uk/government/uploads/system/uploads/attachment_data/file/987132/Assessing_and_monitoring_the_economic_and_financial_standing_of_suppliers_guidance_note_May_2021.pdf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2024-10-04T13:15:00Z</dcterms:created>
  <dcterms:modified xsi:type="dcterms:W3CDTF">2024-10-04T13:16:00Z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2024-10-04T13:16:09Z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a3364055-566e-4d18-b6d2-8c15de93e80e</vt:lpwstr>
  </property>
  <property fmtid="{D5CDD505-2E9C-101B-9397-08002B2CF9AE}" pid="8" name="MSIP_Label_d8a60473-494b-4586-a1bb-b0e66305467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0x010100D1DBB08DB3D3EE48A553A54C7E5B8B25</vt:lpwstr>
  </property>
  <property fmtid="{D5CDD505-2E9C-101B-9397-08002B2CF9AE}" pid="11" name="_dlc_DocIdItemGuid">
    <vt:lpwstr>844fa3d7-c15e-4dc8-bb86-7541ed299ef1</vt:lpwstr>
  </property>
</Properties>
</file>