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AD212" w14:textId="77777777" w:rsidR="00455E6B" w:rsidRDefault="00455E6B" w:rsidP="007279F4">
      <w:pPr>
        <w:pStyle w:val="CoverTitle"/>
        <w:rPr>
          <w:b/>
        </w:rPr>
      </w:pPr>
      <w:bookmarkStart w:id="0" w:name="_GoBack"/>
      <w:bookmarkEnd w:id="0"/>
    </w:p>
    <w:p w14:paraId="386EBECB" w14:textId="38DBA8E3" w:rsidR="00A85B19" w:rsidRPr="0041419B" w:rsidRDefault="00032803" w:rsidP="007279F4">
      <w:pPr>
        <w:pStyle w:val="CoverTitle"/>
        <w:rPr>
          <w:b/>
        </w:rPr>
      </w:pPr>
      <w:r w:rsidRPr="0041419B">
        <w:rPr>
          <w:b/>
        </w:rPr>
        <w:t>Specification for research project</w:t>
      </w:r>
    </w:p>
    <w:p w14:paraId="3875351F" w14:textId="71891E67" w:rsidR="00142B68" w:rsidRDefault="00243B34" w:rsidP="00243B34">
      <w:pPr>
        <w:pStyle w:val="CoverSubTitle"/>
      </w:pPr>
      <w:r w:rsidRPr="00243B34">
        <w:t xml:space="preserve">COF-ADA Analysis and Attribution of </w:t>
      </w:r>
      <w:r w:rsidR="0017388C">
        <w:t xml:space="preserve">Causal Self-Evident </w:t>
      </w:r>
      <w:r w:rsidRPr="00243B34">
        <w:t>Reactionary Delays</w:t>
      </w:r>
    </w:p>
    <w:p w14:paraId="0CAC17DD" w14:textId="14BC8C58" w:rsidR="00C15E13" w:rsidRDefault="00C15E13" w:rsidP="0042251D">
      <w:pPr>
        <w:pStyle w:val="Body"/>
      </w:pPr>
      <w:r>
        <w:t>The draft research specification that follows, outlines RSSB’s proposed approach to</w:t>
      </w:r>
      <w:r w:rsidR="00455E6B">
        <w:t xml:space="preserve"> develop and test a proof of concept </w:t>
      </w:r>
      <w:r w:rsidR="00704B0A">
        <w:t xml:space="preserve">to identify </w:t>
      </w:r>
      <w:r w:rsidR="00455E6B">
        <w:t>and analyse self-evident causal reactionary delay chains, to improve performance, attribution analysis and enable automating reactionary delay attribution.</w:t>
      </w:r>
      <w:r>
        <w:t xml:space="preserve">  </w:t>
      </w:r>
    </w:p>
    <w:p w14:paraId="411C2053" w14:textId="4CFF461E" w:rsidR="00C15E13" w:rsidRDefault="00C15E13" w:rsidP="00C15E13">
      <w:pPr>
        <w:pStyle w:val="Body"/>
      </w:pPr>
      <w:r w:rsidRPr="00B7351D">
        <w:t>A pre-tender supplier</w:t>
      </w:r>
      <w:r w:rsidR="00B47E4F">
        <w:t xml:space="preserve"> engagement</w:t>
      </w:r>
      <w:r w:rsidRPr="00B7351D">
        <w:t xml:space="preserve"> meeting has been arranged for </w:t>
      </w:r>
      <w:r>
        <w:t>13 September 2019 at 14:30 – 16:30, at</w:t>
      </w:r>
      <w:r w:rsidRPr="00616B20">
        <w:t xml:space="preserve"> the RSSB offices in Moorgate, London.  </w:t>
      </w:r>
      <w:r w:rsidRPr="00344434">
        <w:t xml:space="preserve">The purpose of </w:t>
      </w:r>
      <w:r w:rsidRPr="00B7351D">
        <w:t>this meeting is to:</w:t>
      </w:r>
      <w:r>
        <w:t xml:space="preserve"> </w:t>
      </w:r>
    </w:p>
    <w:p w14:paraId="6F10F2F9" w14:textId="77777777" w:rsidR="00C15E13" w:rsidRDefault="00C15E13" w:rsidP="00C15E13">
      <w:pPr>
        <w:pStyle w:val="Body"/>
        <w:numPr>
          <w:ilvl w:val="0"/>
          <w:numId w:val="59"/>
        </w:numPr>
      </w:pPr>
      <w:r>
        <w:t>Provide an outline of the project proposal</w:t>
      </w:r>
    </w:p>
    <w:p w14:paraId="78461B69" w14:textId="7FDDD311" w:rsidR="00C15E13" w:rsidRDefault="00C15E13" w:rsidP="00C15E13">
      <w:pPr>
        <w:pStyle w:val="Body"/>
        <w:numPr>
          <w:ilvl w:val="0"/>
          <w:numId w:val="59"/>
        </w:numPr>
      </w:pPr>
      <w:r>
        <w:t xml:space="preserve">Provide interested suppliers </w:t>
      </w:r>
      <w:r w:rsidR="00B47E4F">
        <w:t xml:space="preserve">with </w:t>
      </w:r>
      <w:r>
        <w:t>an opportunity to discuss, understand and inform the research specification</w:t>
      </w:r>
    </w:p>
    <w:p w14:paraId="34968D25" w14:textId="77777777" w:rsidR="00C15E13" w:rsidRDefault="00C15E13" w:rsidP="00C15E13">
      <w:pPr>
        <w:pStyle w:val="Body"/>
      </w:pPr>
      <w:r>
        <w:t>Suppliers should be prepared to discuss the following:</w:t>
      </w:r>
    </w:p>
    <w:p w14:paraId="0EB1A3FA" w14:textId="5E8F4E74" w:rsidR="00C15E13" w:rsidRDefault="00B97200" w:rsidP="006E746E">
      <w:pPr>
        <w:pStyle w:val="Body"/>
        <w:numPr>
          <w:ilvl w:val="0"/>
          <w:numId w:val="60"/>
        </w:numPr>
      </w:pPr>
      <w:r>
        <w:t xml:space="preserve">What </w:t>
      </w:r>
      <w:r w:rsidR="00C15E13">
        <w:t>data</w:t>
      </w:r>
      <w:r>
        <w:t xml:space="preserve"> and</w:t>
      </w:r>
      <w:r w:rsidR="00C15E13">
        <w:t xml:space="preserve"> information would suppliers require access to</w:t>
      </w:r>
      <w:r>
        <w:t>,</w:t>
      </w:r>
      <w:r w:rsidR="00C15E13">
        <w:t xml:space="preserve"> in order to</w:t>
      </w:r>
      <w:r>
        <w:t xml:space="preserve"> deliver robust outcomes?</w:t>
      </w:r>
    </w:p>
    <w:p w14:paraId="3AC1B08D" w14:textId="2060CEA8" w:rsidR="00B12335" w:rsidRDefault="00B12335" w:rsidP="006E746E">
      <w:pPr>
        <w:pStyle w:val="Body"/>
        <w:numPr>
          <w:ilvl w:val="0"/>
          <w:numId w:val="60"/>
        </w:numPr>
      </w:pPr>
      <w:r>
        <w:t xml:space="preserve">Are the timescales </w:t>
      </w:r>
      <w:proofErr w:type="gramStart"/>
      <w:r>
        <w:t>sufficient</w:t>
      </w:r>
      <w:proofErr w:type="gramEnd"/>
      <w:r>
        <w:t xml:space="preserve"> to deliver quality outputs to time</w:t>
      </w:r>
      <w:r w:rsidR="0042251D">
        <w:t>?</w:t>
      </w:r>
    </w:p>
    <w:p w14:paraId="3AC56F86" w14:textId="5A42F056" w:rsidR="00C15E13" w:rsidRDefault="00C15E13" w:rsidP="006E746E">
      <w:pPr>
        <w:pStyle w:val="Body"/>
        <w:numPr>
          <w:ilvl w:val="0"/>
          <w:numId w:val="60"/>
        </w:numPr>
      </w:pPr>
      <w:r>
        <w:t>What</w:t>
      </w:r>
      <w:r w:rsidRPr="005437A3">
        <w:t xml:space="preserve"> </w:t>
      </w:r>
      <w:r>
        <w:t xml:space="preserve">are the challenges and barriers to delivering this work? What enablers would support </w:t>
      </w:r>
      <w:r w:rsidRPr="005437A3">
        <w:t xml:space="preserve">successful delivery of the project? </w:t>
      </w:r>
    </w:p>
    <w:p w14:paraId="550AFC5E" w14:textId="2EC3B836" w:rsidR="00314B11" w:rsidRPr="005437A3" w:rsidRDefault="00314B11" w:rsidP="006E746E">
      <w:pPr>
        <w:pStyle w:val="Body"/>
        <w:numPr>
          <w:ilvl w:val="0"/>
          <w:numId w:val="60"/>
        </w:numPr>
      </w:pPr>
      <w:r>
        <w:t xml:space="preserve">What is the estimated effort </w:t>
      </w:r>
      <w:r w:rsidR="008B084E">
        <w:t xml:space="preserve">to deliver this work to quality and time?  </w:t>
      </w:r>
    </w:p>
    <w:p w14:paraId="11570905" w14:textId="77777777" w:rsidR="00C15E13" w:rsidRDefault="00C15E13" w:rsidP="00C15E13">
      <w:pPr>
        <w:pStyle w:val="Body"/>
        <w:jc w:val="both"/>
      </w:pPr>
    </w:p>
    <w:p w14:paraId="5301B778" w14:textId="28A36381" w:rsidR="00C15E13" w:rsidRDefault="00C15E13" w:rsidP="00C15E13">
      <w:pPr>
        <w:pStyle w:val="Body"/>
        <w:jc w:val="both"/>
      </w:pPr>
      <w:r>
        <w:t xml:space="preserve">Suppliers wishing to attend in person or by dialling into the meeting should contact </w:t>
      </w:r>
      <w:hyperlink r:id="rId11" w:history="1">
        <w:r w:rsidR="00B47E4F">
          <w:rPr>
            <w:rStyle w:val="Hyperlink"/>
            <w:lang w:val="en"/>
          </w:rPr>
          <w:t>Tanja.Odinsen@rssb.co.u</w:t>
        </w:r>
        <w:r w:rsidR="00B47E4F" w:rsidRPr="00EB30BB">
          <w:rPr>
            <w:rStyle w:val="Hyperlink"/>
            <w:lang w:val="en"/>
          </w:rPr>
          <w:t>k</w:t>
        </w:r>
      </w:hyperlink>
      <w:r>
        <w:t xml:space="preserve"> to confirm </w:t>
      </w:r>
      <w:r w:rsidR="00B47E4F">
        <w:t>attendees (maximum two people per supplier)</w:t>
      </w:r>
      <w:r w:rsidR="006E746E">
        <w:t>.</w:t>
      </w:r>
    </w:p>
    <w:p w14:paraId="03D8AFE0" w14:textId="1C95ADBE" w:rsidR="00C15E13" w:rsidRDefault="00C15E13" w:rsidP="00C15E13">
      <w:pPr>
        <w:pStyle w:val="Body"/>
        <w:jc w:val="both"/>
      </w:pPr>
    </w:p>
    <w:p w14:paraId="35370EDE" w14:textId="1C422102" w:rsidR="00B97200" w:rsidRDefault="00B97200" w:rsidP="00C15E13">
      <w:pPr>
        <w:pStyle w:val="Body"/>
        <w:jc w:val="both"/>
      </w:pPr>
    </w:p>
    <w:p w14:paraId="2FF912B5" w14:textId="014F8073" w:rsidR="00B97200" w:rsidRDefault="00B97200" w:rsidP="00C15E13">
      <w:pPr>
        <w:pStyle w:val="Body"/>
        <w:jc w:val="both"/>
      </w:pPr>
    </w:p>
    <w:p w14:paraId="61FF7552" w14:textId="2044B7D0" w:rsidR="00B97200" w:rsidRDefault="00B97200" w:rsidP="00C15E13">
      <w:pPr>
        <w:pStyle w:val="Body"/>
        <w:jc w:val="both"/>
      </w:pPr>
    </w:p>
    <w:p w14:paraId="074C7085" w14:textId="1A855C82" w:rsidR="00B97200" w:rsidRDefault="00B97200" w:rsidP="00C15E13">
      <w:pPr>
        <w:pStyle w:val="Body"/>
        <w:jc w:val="both"/>
      </w:pPr>
    </w:p>
    <w:p w14:paraId="05547A46" w14:textId="2C7DADFD" w:rsidR="0054035A" w:rsidRPr="002C7A2C" w:rsidRDefault="002C7A2C" w:rsidP="00142A33">
      <w:pPr>
        <w:pStyle w:val="Heading10"/>
        <w:keepNext/>
        <w:numPr>
          <w:ilvl w:val="0"/>
          <w:numId w:val="25"/>
        </w:numPr>
        <w:ind w:left="426" w:hanging="426"/>
        <w:outlineLvl w:val="9"/>
        <w:rPr>
          <w:rFonts w:ascii="Calibri" w:hAnsi="Calibri"/>
        </w:rPr>
      </w:pPr>
      <w:r>
        <w:rPr>
          <w:rFonts w:ascii="Calibri" w:hAnsi="Calibri"/>
        </w:rPr>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142A33">
      <w:pPr>
        <w:pStyle w:val="Bullet1"/>
        <w:numPr>
          <w:ilvl w:val="0"/>
          <w:numId w:val="26"/>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142A33">
      <w:pPr>
        <w:pStyle w:val="Bullet1"/>
        <w:numPr>
          <w:ilvl w:val="0"/>
          <w:numId w:val="26"/>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142A33">
      <w:pPr>
        <w:pStyle w:val="Bullet1"/>
        <w:numPr>
          <w:ilvl w:val="0"/>
          <w:numId w:val="26"/>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142A33">
      <w:pPr>
        <w:pStyle w:val="Bullet1"/>
        <w:numPr>
          <w:ilvl w:val="0"/>
          <w:numId w:val="26"/>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142A33">
      <w:pPr>
        <w:pStyle w:val="Heading10"/>
        <w:keepNext/>
        <w:numPr>
          <w:ilvl w:val="0"/>
          <w:numId w:val="25"/>
        </w:numPr>
        <w:ind w:left="426" w:hanging="426"/>
        <w:outlineLvl w:val="9"/>
        <w:rPr>
          <w:rFonts w:ascii="Calibri" w:hAnsi="Calibri"/>
        </w:rPr>
        <w:sectPr w:rsidR="00005F35" w:rsidSect="00D26B62">
          <w:headerReference w:type="even" r:id="rId12"/>
          <w:headerReference w:type="default" r:id="rId13"/>
          <w:footerReference w:type="even" r:id="rId14"/>
          <w:footerReference w:type="default" r:id="rId15"/>
          <w:headerReference w:type="first" r:id="rId16"/>
          <w:footerReference w:type="first" r:id="rId17"/>
          <w:pgSz w:w="11906" w:h="16838"/>
          <w:pgMar w:top="1985" w:right="1985" w:bottom="1985" w:left="1985" w:header="567" w:footer="567" w:gutter="0"/>
          <w:cols w:space="708"/>
          <w:docGrid w:linePitch="360"/>
        </w:sectPr>
      </w:pPr>
    </w:p>
    <w:p w14:paraId="1F233E2D" w14:textId="3920E045" w:rsidR="0054035A" w:rsidRDefault="005047AB" w:rsidP="00142A33">
      <w:pPr>
        <w:pStyle w:val="Heading10"/>
        <w:keepNext/>
        <w:numPr>
          <w:ilvl w:val="0"/>
          <w:numId w:val="25"/>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1E88FCCF" w14:textId="60FEAC63" w:rsidR="00256D9D" w:rsidRPr="000E3921" w:rsidRDefault="007A7336" w:rsidP="007A7336">
      <w:pPr>
        <w:pStyle w:val="Body"/>
        <w:rPr>
          <w:rFonts w:asciiTheme="minorHAnsi" w:hAnsiTheme="minorHAnsi"/>
        </w:rPr>
      </w:pPr>
      <w:r>
        <w:t xml:space="preserve">Delay attribution is the industry process for identifying and allocating responsibility of delay causes, to help responsible parties determine action plans for improving performance.  </w:t>
      </w:r>
      <w:r w:rsidR="00873771">
        <w:t>The m</w:t>
      </w:r>
      <w:r>
        <w:t xml:space="preserve">easuring and recording </w:t>
      </w:r>
      <w:r w:rsidR="00873771">
        <w:t xml:space="preserve">of </w:t>
      </w:r>
      <w:r>
        <w:t xml:space="preserve">delay causes </w:t>
      </w:r>
      <w:r w:rsidR="00873771">
        <w:t>are</w:t>
      </w:r>
      <w:r>
        <w:t xml:space="preserve"> undertaken </w:t>
      </w:r>
      <w:r w:rsidR="00873771">
        <w:t>via</w:t>
      </w:r>
      <w:r>
        <w:t xml:space="preserve"> the industry system TRUST</w:t>
      </w:r>
      <w:r w:rsidR="008A3684">
        <w:rPr>
          <w:rStyle w:val="FootnoteReference"/>
        </w:rPr>
        <w:footnoteReference w:id="1"/>
      </w:r>
      <w:r w:rsidR="00B67FAF">
        <w:t xml:space="preserve">, taking </w:t>
      </w:r>
      <w:r w:rsidR="00B67FAF" w:rsidRPr="00B67FAF">
        <w:t>“real-time data feeds of train locations from the signalling system and compares this with the timetable to work out where each train is and to identify if there are any delays” (</w:t>
      </w:r>
      <w:r w:rsidR="00B67FAF">
        <w:t xml:space="preserve">ORR </w:t>
      </w:r>
      <w:r w:rsidR="00B67FAF" w:rsidRPr="00B67FAF">
        <w:t>Delay Attribution Review, 2019, p.12)</w:t>
      </w:r>
      <w:r w:rsidR="00947106">
        <w:rPr>
          <w:rStyle w:val="FootnoteReference"/>
        </w:rPr>
        <w:footnoteReference w:id="2"/>
      </w:r>
      <w:r w:rsidR="00B67FAF">
        <w:t xml:space="preserve">.  </w:t>
      </w:r>
      <w:r w:rsidR="00873771">
        <w:t>W</w:t>
      </w:r>
      <w:r w:rsidR="00DD469E">
        <w:t xml:space="preserve">hen a delay </w:t>
      </w:r>
      <w:r w:rsidR="008801B3">
        <w:t xml:space="preserve">incident </w:t>
      </w:r>
      <w:r w:rsidR="00DD469E">
        <w:t xml:space="preserve">is recorded above </w:t>
      </w:r>
      <w:r w:rsidR="0042251D">
        <w:t xml:space="preserve">the threshold of </w:t>
      </w:r>
      <w:r w:rsidR="00FB273D">
        <w:t>3</w:t>
      </w:r>
      <w:r w:rsidR="00DD469E">
        <w:t xml:space="preserve"> minutes</w:t>
      </w:r>
      <w:r w:rsidR="008801B3">
        <w:t>,</w:t>
      </w:r>
      <w:r>
        <w:t xml:space="preserve"> </w:t>
      </w:r>
      <w:r w:rsidR="008801B3">
        <w:t xml:space="preserve">it must be </w:t>
      </w:r>
      <w:r w:rsidR="008801B3" w:rsidRPr="000E3921">
        <w:rPr>
          <w:rFonts w:asciiTheme="minorHAnsi" w:hAnsiTheme="minorHAnsi"/>
        </w:rPr>
        <w:t xml:space="preserve">investigated to </w:t>
      </w:r>
      <w:r w:rsidR="008801B3">
        <w:rPr>
          <w:rFonts w:asciiTheme="minorHAnsi" w:hAnsiTheme="minorHAnsi"/>
        </w:rPr>
        <w:t>explain</w:t>
      </w:r>
      <w:r w:rsidR="008801B3" w:rsidRPr="000E3921">
        <w:rPr>
          <w:rFonts w:asciiTheme="minorHAnsi" w:hAnsiTheme="minorHAnsi"/>
        </w:rPr>
        <w:t xml:space="preserve"> and attribut</w:t>
      </w:r>
      <w:r w:rsidR="008801B3">
        <w:rPr>
          <w:rFonts w:asciiTheme="minorHAnsi" w:hAnsiTheme="minorHAnsi"/>
        </w:rPr>
        <w:t>e</w:t>
      </w:r>
      <w:r w:rsidR="008801B3" w:rsidRPr="000E3921">
        <w:rPr>
          <w:rFonts w:asciiTheme="minorHAnsi" w:hAnsiTheme="minorHAnsi"/>
        </w:rPr>
        <w:t xml:space="preserve"> </w:t>
      </w:r>
      <w:r w:rsidR="00FB273D" w:rsidRPr="000E3921">
        <w:rPr>
          <w:rFonts w:asciiTheme="minorHAnsi" w:hAnsiTheme="minorHAnsi"/>
        </w:rPr>
        <w:t xml:space="preserve">the cause </w:t>
      </w:r>
      <w:r w:rsidR="008801B3" w:rsidRPr="000E3921">
        <w:rPr>
          <w:rStyle w:val="CommentReference"/>
          <w:rFonts w:asciiTheme="minorHAnsi" w:eastAsia="Arial" w:hAnsiTheme="minorHAnsi" w:cs="Times New Roman"/>
          <w:sz w:val="22"/>
          <w:szCs w:val="22"/>
          <w:lang w:eastAsia="en-US"/>
        </w:rPr>
        <w:t>and</w:t>
      </w:r>
      <w:r w:rsidR="0042251D" w:rsidRPr="000E3921">
        <w:rPr>
          <w:rFonts w:asciiTheme="minorHAnsi" w:hAnsiTheme="minorHAnsi"/>
        </w:rPr>
        <w:t xml:space="preserve"> </w:t>
      </w:r>
      <w:r w:rsidR="00FB273D" w:rsidRPr="000E3921">
        <w:rPr>
          <w:rFonts w:asciiTheme="minorHAnsi" w:hAnsiTheme="minorHAnsi"/>
        </w:rPr>
        <w:t xml:space="preserve">responsible party.  </w:t>
      </w:r>
    </w:p>
    <w:p w14:paraId="4350A1D3" w14:textId="46C7EBAD" w:rsidR="00256D9D" w:rsidRDefault="00256D9D" w:rsidP="00256D9D">
      <w:pPr>
        <w:pStyle w:val="Body"/>
      </w:pPr>
      <w:r>
        <w:t xml:space="preserve">Attributed above threshold delays are identified as </w:t>
      </w:r>
      <w:r w:rsidRPr="00FB273D">
        <w:rPr>
          <w:b/>
          <w:bCs/>
        </w:rPr>
        <w:t>primary</w:t>
      </w:r>
      <w:r>
        <w:t xml:space="preserve"> or </w:t>
      </w:r>
      <w:r w:rsidRPr="00FB273D">
        <w:rPr>
          <w:b/>
          <w:bCs/>
        </w:rPr>
        <w:t>reactionary</w:t>
      </w:r>
      <w:r>
        <w:t xml:space="preserve"> delay.  Primary delay is accrued from a new incident </w:t>
      </w:r>
      <w:r w:rsidRPr="00FB273D">
        <w:rPr>
          <w:bCs/>
        </w:rPr>
        <w:t>directly</w:t>
      </w:r>
      <w:r>
        <w:t xml:space="preserve"> delaying the running of a train service, </w:t>
      </w:r>
      <w:r w:rsidR="00361A1B" w:rsidRPr="00361A1B">
        <w:t>except</w:t>
      </w:r>
      <w:r w:rsidR="00361A1B" w:rsidRPr="00361A1B" w:rsidDel="00361A1B">
        <w:t xml:space="preserve"> </w:t>
      </w:r>
      <w:r>
        <w:t xml:space="preserve">from reactionary incidents which are delays linked to an existing incident.  In 2018/19, over 11.9 million delay minutes were reactionary, comprising 71% of total delay minutes on the network.  </w:t>
      </w:r>
      <w:r w:rsidR="00E6368D">
        <w:t>As such</w:t>
      </w:r>
      <w:r>
        <w:t>, majority of delay attribution process</w:t>
      </w:r>
      <w:r w:rsidR="00016785">
        <w:t>es</w:t>
      </w:r>
      <w:r>
        <w:t xml:space="preserve"> and resource</w:t>
      </w:r>
      <w:r w:rsidR="00016785">
        <w:t>s</w:t>
      </w:r>
      <w:r>
        <w:t xml:space="preserve"> </w:t>
      </w:r>
      <w:r w:rsidR="00016785">
        <w:t>are</w:t>
      </w:r>
      <w:r>
        <w:t xml:space="preserve"> consumed with investigating and attributing reactionary delays.</w:t>
      </w:r>
    </w:p>
    <w:p w14:paraId="42B564CE" w14:textId="3EAB05C0" w:rsidR="00C02ED5" w:rsidRDefault="00947106" w:rsidP="007A7336">
      <w:pPr>
        <w:pStyle w:val="Body"/>
      </w:pPr>
      <w:r>
        <w:t xml:space="preserve">Any delay below 3 minutes is considered sub-threshold, which will be unattributed, unless </w:t>
      </w:r>
      <w:r w:rsidR="005859F2">
        <w:t>it</w:t>
      </w:r>
      <w:r>
        <w:t xml:space="preserve"> causes a</w:t>
      </w:r>
      <w:r w:rsidR="0042251D">
        <w:t>n above</w:t>
      </w:r>
      <w:r>
        <w:t xml:space="preserve"> threshold reactionary delay</w:t>
      </w:r>
      <w:r w:rsidR="0042251D">
        <w:t xml:space="preserve"> to another service</w:t>
      </w:r>
      <w:r>
        <w:t xml:space="preserve">.  </w:t>
      </w:r>
      <w:r w:rsidR="00C02ED5">
        <w:t xml:space="preserve">In some cases, it </w:t>
      </w:r>
      <w:r w:rsidR="00FC766A">
        <w:t>is</w:t>
      </w:r>
      <w:r w:rsidR="00C02ED5">
        <w:t xml:space="preserve"> not possible to identify the delay cause and/or responsible owner.  </w:t>
      </w:r>
      <w:r w:rsidR="00FC766A">
        <w:t xml:space="preserve">Such incidents will be attributed uninvestigated or unexplained.  In 2018/19, there were over </w:t>
      </w:r>
      <w:r w:rsidR="00FC766A" w:rsidRPr="00FC766A">
        <w:t>972,000 primary and reactionary delay minutes uninvestigated or unexplained</w:t>
      </w:r>
      <w:r w:rsidR="00226D81">
        <w:t xml:space="preserve">, comprising </w:t>
      </w:r>
      <w:r w:rsidR="00FC766A" w:rsidRPr="00FC766A">
        <w:t>5.8% of total delay minutes</w:t>
      </w:r>
      <w:r w:rsidR="00226D81">
        <w:t xml:space="preserve"> on the network</w:t>
      </w:r>
      <w:r w:rsidR="00FC766A">
        <w:t>.</w:t>
      </w:r>
      <w:r w:rsidR="00226D81">
        <w:t xml:space="preserve"> </w:t>
      </w:r>
      <w:r w:rsidR="00BB1BE5">
        <w:t xml:space="preserve"> Consequently, limit</w:t>
      </w:r>
      <w:r w:rsidR="00226D81">
        <w:t>ing</w:t>
      </w:r>
      <w:r w:rsidR="00BB1BE5">
        <w:t xml:space="preserve"> the options to understand and improve performance. </w:t>
      </w:r>
      <w:r w:rsidR="00256D9D">
        <w:t>The figure below provides a high-level overview of the delay attribution process, and distinguishes between attributed, unattributed, uninvestigated, and unexplained delays.</w:t>
      </w:r>
    </w:p>
    <w:p w14:paraId="048BA4F3" w14:textId="37DFAF20" w:rsidR="00256D9D" w:rsidRDefault="00226D81" w:rsidP="007A7336">
      <w:pPr>
        <w:pStyle w:val="Body"/>
      </w:pPr>
      <w:r>
        <w:rPr>
          <w:noProof/>
        </w:rPr>
        <w:drawing>
          <wp:anchor distT="0" distB="0" distL="114300" distR="114300" simplePos="0" relativeHeight="251708416" behindDoc="1" locked="0" layoutInCell="1" allowOverlap="1" wp14:anchorId="4CAB61BD" wp14:editId="6DFEBF37">
            <wp:simplePos x="0" y="0"/>
            <wp:positionH relativeFrom="margin">
              <wp:posOffset>-856615</wp:posOffset>
            </wp:positionH>
            <wp:positionV relativeFrom="paragraph">
              <wp:posOffset>4445</wp:posOffset>
            </wp:positionV>
            <wp:extent cx="6855772" cy="2684846"/>
            <wp:effectExtent l="0" t="0" r="254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5772" cy="2684846"/>
                    </a:xfrm>
                    <a:prstGeom prst="rect">
                      <a:avLst/>
                    </a:prstGeom>
                    <a:noFill/>
                  </pic:spPr>
                </pic:pic>
              </a:graphicData>
            </a:graphic>
            <wp14:sizeRelH relativeFrom="margin">
              <wp14:pctWidth>0</wp14:pctWidth>
            </wp14:sizeRelH>
            <wp14:sizeRelV relativeFrom="margin">
              <wp14:pctHeight>0</wp14:pctHeight>
            </wp14:sizeRelV>
          </wp:anchor>
        </w:drawing>
      </w:r>
    </w:p>
    <w:p w14:paraId="4A270062" w14:textId="11849E8E" w:rsidR="00256D9D" w:rsidRDefault="00256D9D" w:rsidP="007A7336">
      <w:pPr>
        <w:pStyle w:val="Body"/>
      </w:pPr>
    </w:p>
    <w:p w14:paraId="0DAC0A62" w14:textId="5CAA840C" w:rsidR="00256D9D" w:rsidRDefault="00256D9D" w:rsidP="007A7336">
      <w:pPr>
        <w:pStyle w:val="Body"/>
      </w:pPr>
    </w:p>
    <w:p w14:paraId="3955EB82" w14:textId="60393C37" w:rsidR="00256D9D" w:rsidRDefault="00256D9D" w:rsidP="007A7336">
      <w:pPr>
        <w:pStyle w:val="Body"/>
      </w:pPr>
    </w:p>
    <w:p w14:paraId="0A04C5FD" w14:textId="3CB7C969" w:rsidR="00256D9D" w:rsidRDefault="00256D9D" w:rsidP="007A7336">
      <w:pPr>
        <w:pStyle w:val="Body"/>
      </w:pPr>
    </w:p>
    <w:p w14:paraId="606F0171" w14:textId="1D973BC5" w:rsidR="00256D9D" w:rsidRDefault="00256D9D" w:rsidP="007A7336">
      <w:pPr>
        <w:pStyle w:val="Body"/>
      </w:pPr>
    </w:p>
    <w:p w14:paraId="4DDCC7BC" w14:textId="0435A870" w:rsidR="00256D9D" w:rsidRDefault="00256D9D" w:rsidP="007A7336">
      <w:pPr>
        <w:pStyle w:val="Body"/>
      </w:pPr>
    </w:p>
    <w:p w14:paraId="2DB29443" w14:textId="039CC694" w:rsidR="00256D9D" w:rsidRDefault="00256D9D" w:rsidP="007A7336">
      <w:pPr>
        <w:pStyle w:val="Body"/>
      </w:pPr>
    </w:p>
    <w:p w14:paraId="2C8F24E8" w14:textId="77777777" w:rsidR="00256D9D" w:rsidRDefault="00256D9D" w:rsidP="000D03FD">
      <w:pPr>
        <w:pStyle w:val="Body"/>
      </w:pPr>
    </w:p>
    <w:p w14:paraId="2F15DDE2" w14:textId="238655FE" w:rsidR="00862BEA" w:rsidRDefault="00A571D4" w:rsidP="000D03FD">
      <w:pPr>
        <w:pStyle w:val="Body"/>
      </w:pPr>
      <w:r>
        <w:lastRenderedPageBreak/>
        <w:t xml:space="preserve">To support the delay attribution process, the rules, principles, </w:t>
      </w:r>
      <w:r w:rsidR="00C509F4">
        <w:t xml:space="preserve">guidance and resources are available at </w:t>
      </w:r>
      <w:hyperlink r:id="rId19" w:history="1">
        <w:r w:rsidR="00C509F4" w:rsidRPr="00BE70EC">
          <w:rPr>
            <w:rStyle w:val="Hyperlink"/>
          </w:rPr>
          <w:t>http://www.delayattributionboard.co.uk</w:t>
        </w:r>
      </w:hyperlink>
      <w:r>
        <w:t xml:space="preserve">.  </w:t>
      </w:r>
      <w:r w:rsidR="00862BEA">
        <w:t>These are</w:t>
      </w:r>
      <w:r w:rsidR="00C509F4">
        <w:t xml:space="preserve"> managed </w:t>
      </w:r>
      <w:r w:rsidR="00092B31">
        <w:t xml:space="preserve">by </w:t>
      </w:r>
      <w:r w:rsidR="00C509F4">
        <w:t>the Delay Attribution Board (DAB)</w:t>
      </w:r>
      <w:r w:rsidR="00862BEA">
        <w:t xml:space="preserve">, who lead, </w:t>
      </w:r>
      <w:r w:rsidR="00C509F4">
        <w:t xml:space="preserve">monitor and advise the effectiveness and accuracy of the delay attribution process.  </w:t>
      </w:r>
    </w:p>
    <w:p w14:paraId="0D727E93" w14:textId="0CDDBD14" w:rsidR="00D4511A" w:rsidRDefault="00354B41" w:rsidP="000C1BD3">
      <w:pPr>
        <w:pStyle w:val="Body"/>
      </w:pPr>
      <w:r>
        <w:t xml:space="preserve">Recently, the ORR undertook a review of delay attribution </w:t>
      </w:r>
      <w:r w:rsidR="00872002">
        <w:t xml:space="preserve">following </w:t>
      </w:r>
      <w:r>
        <w:t>concerns raised by industry during the Network Rail periodic review (PR18) consultation</w:t>
      </w:r>
      <w:r w:rsidRPr="00C95C40">
        <w:rPr>
          <w:vertAlign w:val="superscript"/>
        </w:rPr>
        <w:t>2</w:t>
      </w:r>
      <w:r>
        <w:t xml:space="preserve">.  </w:t>
      </w:r>
      <w:r w:rsidR="00C35DB4">
        <w:t>This surfaced challenges regarding the</w:t>
      </w:r>
      <w:r w:rsidR="009D033D">
        <w:t xml:space="preserve"> </w:t>
      </w:r>
      <w:r w:rsidR="00D4511A">
        <w:t xml:space="preserve">accuracy and consistency of delay attribution, </w:t>
      </w:r>
      <w:r w:rsidR="00F45C5F">
        <w:t xml:space="preserve">adverse </w:t>
      </w:r>
      <w:r w:rsidR="00D4511A">
        <w:t>impact</w:t>
      </w:r>
      <w:r w:rsidR="00F45C5F">
        <w:t>s</w:t>
      </w:r>
      <w:r w:rsidR="00D4511A">
        <w:t xml:space="preserve"> of reactionary delay, potential</w:t>
      </w:r>
      <w:r w:rsidR="00D4511A" w:rsidRPr="00D4511A">
        <w:t xml:space="preserve"> for perverse behaviours/incentive</w:t>
      </w:r>
      <w:r w:rsidR="00D4511A">
        <w:t>s, substantial</w:t>
      </w:r>
      <w:r w:rsidR="00D4511A" w:rsidRPr="00D4511A">
        <w:t xml:space="preserve"> resources required to attribute and dispute delays with limited investigation and analysis time available</w:t>
      </w:r>
      <w:r w:rsidR="00D4511A">
        <w:t>.  T</w:t>
      </w:r>
      <w:r>
        <w:t xml:space="preserve">he </w:t>
      </w:r>
      <w:r w:rsidR="00F45C5F">
        <w:t xml:space="preserve">ORR concluded scoping the </w:t>
      </w:r>
      <w:r>
        <w:t xml:space="preserve">review </w:t>
      </w:r>
      <w:r w:rsidR="00F45C5F">
        <w:t>of delay attribution in</w:t>
      </w:r>
      <w:r>
        <w:t xml:space="preserve"> July 2019</w:t>
      </w:r>
      <w:r w:rsidR="00F45C5F">
        <w:t>,</w:t>
      </w:r>
      <w:r>
        <w:t xml:space="preserve"> </w:t>
      </w:r>
      <w:r w:rsidR="00FC6D4C">
        <w:t xml:space="preserve">making </w:t>
      </w:r>
      <w:r>
        <w:t>10 recommendations</w:t>
      </w:r>
      <w:r w:rsidR="00D4511A">
        <w:t xml:space="preserve"> to industry</w:t>
      </w:r>
      <w:r w:rsidR="006C3A9E">
        <w:t xml:space="preserve">.  </w:t>
      </w:r>
      <w:r>
        <w:t xml:space="preserve">The next phase will be led by industry to identify and implement the options to close out the recommendations by April 2021.  This </w:t>
      </w:r>
      <w:r w:rsidR="000C1BD3">
        <w:t xml:space="preserve">research is aligned to supporting the ORR review of delay attribution, and should support in closing out recommendation 9, advising </w:t>
      </w:r>
      <w:r w:rsidR="000C1BD3" w:rsidRPr="006D5004">
        <w:t>“Network Rail and DAB to develop a proposal for greater automation of the attribution of reactionary delay”</w:t>
      </w:r>
      <w:r w:rsidR="000C1BD3">
        <w:t xml:space="preserve"> (p. 31).  </w:t>
      </w:r>
    </w:p>
    <w:p w14:paraId="424991B5" w14:textId="74DF3C1C" w:rsidR="00746A23" w:rsidRDefault="00434C39" w:rsidP="007E0C97">
      <w:pPr>
        <w:pStyle w:val="Body"/>
      </w:pPr>
      <w:r>
        <w:t xml:space="preserve">Automating reactionary delay attribution is a significant challenge which the </w:t>
      </w:r>
      <w:r w:rsidR="008A23CD">
        <w:t xml:space="preserve">rail </w:t>
      </w:r>
      <w:r>
        <w:t xml:space="preserve">industry </w:t>
      </w:r>
      <w:r w:rsidR="008A23CD">
        <w:t>has</w:t>
      </w:r>
      <w:r>
        <w:t xml:space="preserve"> been attempting to solve for over 20 years.  </w:t>
      </w:r>
      <w:r w:rsidR="00630245">
        <w:t>There are a multitude of d</w:t>
      </w:r>
      <w:r w:rsidR="00746A23" w:rsidRPr="00746A23">
        <w:t>ata requirements and variables that inform delay attribution</w:t>
      </w:r>
      <w:r w:rsidR="00630245">
        <w:t xml:space="preserve">, which often </w:t>
      </w:r>
      <w:r w:rsidR="007350C9">
        <w:t xml:space="preserve">need </w:t>
      </w:r>
      <w:r w:rsidR="00630245">
        <w:t xml:space="preserve">human communication and interpretation to understand the delay incident and apply the appropriate rule(s) to </w:t>
      </w:r>
      <w:r w:rsidR="007350C9">
        <w:t>codify</w:t>
      </w:r>
      <w:r w:rsidR="00630245">
        <w:t xml:space="preserve"> the delay.  </w:t>
      </w:r>
      <w:r w:rsidR="007E0C97">
        <w:t xml:space="preserve">This is particularly the case for </w:t>
      </w:r>
      <w:r w:rsidR="00630245">
        <w:t>complex scenarios</w:t>
      </w:r>
      <w:r w:rsidR="007E0C97">
        <w:t xml:space="preserve">, </w:t>
      </w:r>
      <w:r w:rsidR="007350C9">
        <w:t xml:space="preserve">such as </w:t>
      </w:r>
      <w:r w:rsidR="004509E9">
        <w:t xml:space="preserve">handling </w:t>
      </w:r>
      <w:r w:rsidR="00764AE5">
        <w:t xml:space="preserve">split responsibility delays, </w:t>
      </w:r>
      <w:r w:rsidR="007E0C97">
        <w:t>distinguishing between primary and reactionary delay when the following train has a train fault, r</w:t>
      </w:r>
      <w:r w:rsidR="007E0C97" w:rsidRPr="007E0C97">
        <w:t>eactionary delay</w:t>
      </w:r>
      <w:r w:rsidR="007350C9">
        <w:t>s</w:t>
      </w:r>
      <w:r w:rsidR="007E0C97" w:rsidRPr="007E0C97">
        <w:t xml:space="preserve"> </w:t>
      </w:r>
      <w:r w:rsidR="007350C9">
        <w:t xml:space="preserve">incurred </w:t>
      </w:r>
      <w:r w:rsidR="00F81A5C">
        <w:t>from</w:t>
      </w:r>
      <w:r w:rsidR="007350C9">
        <w:t xml:space="preserve"> </w:t>
      </w:r>
      <w:r w:rsidR="007E0C97" w:rsidRPr="007E0C97">
        <w:t>early running trains</w:t>
      </w:r>
      <w:r w:rsidR="007E0C97">
        <w:t xml:space="preserve">, </w:t>
      </w:r>
      <w:r w:rsidR="007350C9">
        <w:t xml:space="preserve">accounting for </w:t>
      </w:r>
      <w:r w:rsidR="007E0C97">
        <w:t>changes in t</w:t>
      </w:r>
      <w:r w:rsidR="007E0C97" w:rsidRPr="007E0C97">
        <w:t xml:space="preserve">rain regulation </w:t>
      </w:r>
      <w:r w:rsidR="007E0C97">
        <w:t>policies</w:t>
      </w:r>
      <w:r w:rsidR="007E0C97" w:rsidRPr="007E0C97">
        <w:t xml:space="preserve">, </w:t>
      </w:r>
      <w:r w:rsidR="007E0C97">
        <w:t>or distinguishing delays from temporary / emergency speed restrictions on</w:t>
      </w:r>
      <w:r w:rsidR="007E0C97" w:rsidRPr="007E0C97">
        <w:t xml:space="preserve"> 4 </w:t>
      </w:r>
      <w:r w:rsidR="007E0C97">
        <w:t xml:space="preserve">rail </w:t>
      </w:r>
      <w:r w:rsidR="007E0C97" w:rsidRPr="007E0C97">
        <w:t>lines</w:t>
      </w:r>
      <w:r w:rsidR="00E267EF">
        <w:t>.  Hence</w:t>
      </w:r>
      <w:r w:rsidR="002E6399">
        <w:t>, a</w:t>
      </w:r>
      <w:r w:rsidR="0062610B">
        <w:t>ny</w:t>
      </w:r>
      <w:r w:rsidR="002E6399">
        <w:t xml:space="preserve"> </w:t>
      </w:r>
      <w:r w:rsidR="00E267EF">
        <w:t xml:space="preserve">developed </w:t>
      </w:r>
      <w:r w:rsidR="002E6399">
        <w:t xml:space="preserve">solution </w:t>
      </w:r>
      <w:r w:rsidR="00E267EF">
        <w:t>should</w:t>
      </w:r>
      <w:r w:rsidR="002E6399">
        <w:t xml:space="preserve"> cater for a</w:t>
      </w:r>
      <w:r w:rsidR="002E6399" w:rsidRPr="002E6399">
        <w:t xml:space="preserve"> mix of manual and automated </w:t>
      </w:r>
      <w:r w:rsidR="002E6399">
        <w:t xml:space="preserve">attribution, </w:t>
      </w:r>
      <w:r w:rsidR="00E267EF">
        <w:t>whilst also</w:t>
      </w:r>
      <w:r w:rsidR="002E6399">
        <w:t xml:space="preserve"> </w:t>
      </w:r>
      <w:r w:rsidR="00E267EF">
        <w:t xml:space="preserve">enabling </w:t>
      </w:r>
      <w:r w:rsidR="002E6399" w:rsidRPr="002E6399">
        <w:t>manual interve</w:t>
      </w:r>
      <w:r w:rsidR="002E6399">
        <w:t>n</w:t>
      </w:r>
      <w:r w:rsidR="00E267EF">
        <w:t>tions</w:t>
      </w:r>
      <w:r w:rsidR="002E6399">
        <w:t>.</w:t>
      </w:r>
    </w:p>
    <w:p w14:paraId="79369B29" w14:textId="45A7F1FE" w:rsidR="007F346A" w:rsidRDefault="00BC2158" w:rsidP="007F346A">
      <w:pPr>
        <w:pStyle w:val="Body"/>
      </w:pPr>
      <w:r>
        <w:t>A</w:t>
      </w:r>
      <w:r w:rsidR="00733A32">
        <w:t xml:space="preserve">dvances in data science, big data analytics and availability of train and infrastructure data, present new opportunities </w:t>
      </w:r>
      <w:r w:rsidR="00E267EF">
        <w:t xml:space="preserve">for research to understand how to automate reactionary delay attribution.  </w:t>
      </w:r>
      <w:r w:rsidR="008A23CD">
        <w:t>This may include understanding lessons learnt from previous work</w:t>
      </w:r>
      <w:r w:rsidR="009A669C">
        <w:t xml:space="preserve"> and</w:t>
      </w:r>
      <w:r w:rsidR="008A23CD">
        <w:t xml:space="preserve"> build</w:t>
      </w:r>
      <w:r w:rsidR="00C308BC">
        <w:t>ing</w:t>
      </w:r>
      <w:r w:rsidR="008A23CD">
        <w:t xml:space="preserve"> on e</w:t>
      </w:r>
      <w:r w:rsidR="00733A32">
        <w:t xml:space="preserve">xisting feasibility </w:t>
      </w:r>
      <w:r w:rsidR="008A23CD">
        <w:t>research</w:t>
      </w:r>
      <w:r w:rsidR="00434C39">
        <w:t xml:space="preserve"> </w:t>
      </w:r>
      <w:r w:rsidR="008A23CD">
        <w:t xml:space="preserve">or academic </w:t>
      </w:r>
      <w:r w:rsidR="00C308BC">
        <w:t>studies</w:t>
      </w:r>
      <w:r w:rsidR="008A23CD">
        <w:t xml:space="preserve"> exploring</w:t>
      </w:r>
      <w:r w:rsidR="00434C39">
        <w:t xml:space="preserve"> automation</w:t>
      </w:r>
      <w:r w:rsidR="009E6D0A">
        <w:rPr>
          <w:rStyle w:val="FootnoteReference"/>
        </w:rPr>
        <w:footnoteReference w:id="3"/>
      </w:r>
      <w:r w:rsidR="00F61287">
        <w:t>.</w:t>
      </w:r>
      <w:r w:rsidR="00E62AB8">
        <w:t xml:space="preserve"> </w:t>
      </w:r>
      <w:r w:rsidR="00434C39">
        <w:t xml:space="preserve"> </w:t>
      </w:r>
      <w:r w:rsidR="008A23CD">
        <w:t>A key gap in existing knowledge is understanding the</w:t>
      </w:r>
      <w:r w:rsidR="003E1D79">
        <w:t xml:space="preserve"> </w:t>
      </w:r>
      <w:r w:rsidR="001B428D">
        <w:t>fundamental nature of reactionary delays</w:t>
      </w:r>
      <w:r w:rsidR="008A23CD">
        <w:t xml:space="preserve">, before they are attributed, </w:t>
      </w:r>
      <w:r w:rsidR="003E1D79">
        <w:t xml:space="preserve">what self-evident </w:t>
      </w:r>
      <w:r>
        <w:t xml:space="preserve">causal </w:t>
      </w:r>
      <w:r w:rsidR="003E1D79">
        <w:t xml:space="preserve">reactionary chains look like, how they can be </w:t>
      </w:r>
      <w:r w:rsidR="00733A32">
        <w:t>automatically investigated</w:t>
      </w:r>
      <w:r w:rsidR="003E1D79">
        <w:t xml:space="preserve"> and analysed for better delay attribution and performance analysis.  </w:t>
      </w:r>
      <w:r w:rsidR="009A669C">
        <w:t>Therefore</w:t>
      </w:r>
      <w:r w:rsidR="008E6DEA">
        <w:t xml:space="preserve">, this project involves fundamental and applied research </w:t>
      </w:r>
      <w:r w:rsidR="008E6DEA" w:rsidRPr="00AF3E98">
        <w:t>to develop and test a proof of concept which identifies and analyses self-evident causal reactionary delay chains</w:t>
      </w:r>
      <w:r w:rsidR="009A669C">
        <w:t xml:space="preserve">.  Doing so is expected to enable better </w:t>
      </w:r>
      <w:r w:rsidR="008E6DEA" w:rsidRPr="00AF3E98">
        <w:t>performance</w:t>
      </w:r>
      <w:r w:rsidR="009A669C">
        <w:t xml:space="preserve"> analysis</w:t>
      </w:r>
      <w:r w:rsidR="008E6DEA" w:rsidRPr="00AF3E98">
        <w:t xml:space="preserve">, attribution analysis and automating reactionary </w:t>
      </w:r>
      <w:r w:rsidR="008E6DEA" w:rsidRPr="00AF3E98">
        <w:lastRenderedPageBreak/>
        <w:t>delay attribution.</w:t>
      </w:r>
      <w:r w:rsidR="008E6DEA">
        <w:t xml:space="preserve">  </w:t>
      </w:r>
      <w:r w:rsidR="00F32585">
        <w:t>Given the impact delay attribution has on industry wide processes, governance and structures, this research will require understanding the industry change management requirements, and how the demonstrator will progress through higher technology readiness levels</w:t>
      </w:r>
      <w:r w:rsidR="00F32585">
        <w:rPr>
          <w:rStyle w:val="FootnoteReference"/>
        </w:rPr>
        <w:footnoteReference w:id="4"/>
      </w:r>
      <w:r w:rsidR="00F32585">
        <w:t>.</w:t>
      </w:r>
    </w:p>
    <w:p w14:paraId="5D9FCC52" w14:textId="14539E08" w:rsidR="00441ECD" w:rsidRDefault="009A669C" w:rsidP="009A669C">
      <w:pPr>
        <w:pStyle w:val="Body"/>
      </w:pPr>
      <w:r>
        <w:t>T</w:t>
      </w:r>
      <w:r w:rsidR="007F346A">
        <w:t xml:space="preserve">he research will </w:t>
      </w:r>
      <w:r w:rsidR="00D86DD3">
        <w:t xml:space="preserve">also </w:t>
      </w:r>
      <w:r w:rsidR="007F346A">
        <w:t xml:space="preserve">require </w:t>
      </w:r>
      <w:r w:rsidR="008E2293">
        <w:t xml:space="preserve">robust </w:t>
      </w:r>
      <w:r w:rsidR="00764AE5">
        <w:t xml:space="preserve">consultation </w:t>
      </w:r>
      <w:r>
        <w:t>with</w:t>
      </w:r>
      <w:r w:rsidR="00764AE5">
        <w:t xml:space="preserve"> </w:t>
      </w:r>
      <w:r>
        <w:t xml:space="preserve">key </w:t>
      </w:r>
      <w:r w:rsidR="00764AE5">
        <w:t>i</w:t>
      </w:r>
      <w:r w:rsidR="00EF1D50">
        <w:t xml:space="preserve">ndustry </w:t>
      </w:r>
      <w:r>
        <w:t>stakeholders and groups</w:t>
      </w:r>
      <w:r w:rsidR="008E2293">
        <w:t xml:space="preserve">, including </w:t>
      </w:r>
      <w:r w:rsidR="00257F28">
        <w:t>the Better Operations Programme Board (BOPB)</w:t>
      </w:r>
      <w:r>
        <w:t xml:space="preserve">, </w:t>
      </w:r>
      <w:r w:rsidR="00257F28">
        <w:t>Delay Attribution Board (DAB)</w:t>
      </w:r>
      <w:r w:rsidR="008E2293">
        <w:t xml:space="preserve">, ORR Delay Attribution Review Working Group (DAWG), Route Performance Measurement Managers Group (RPMMG) and Delay Attribution Managers Group (DAMG).  Representatives from these groups </w:t>
      </w:r>
      <w:r w:rsidR="00441ECD">
        <w:t>comprise</w:t>
      </w:r>
      <w:r w:rsidR="008E2293">
        <w:t xml:space="preserve"> the project steering group</w:t>
      </w:r>
      <w:r w:rsidR="00D86DD3">
        <w:t xml:space="preserve">, who </w:t>
      </w:r>
      <w:r w:rsidR="00441ECD">
        <w:t>will support</w:t>
      </w:r>
      <w:r w:rsidR="008E2293">
        <w:t xml:space="preserve"> and steer the research.  </w:t>
      </w:r>
      <w:r w:rsidR="00441ECD">
        <w:t>The steering group</w:t>
      </w:r>
      <w:r w:rsidR="00D86DD3">
        <w:t xml:space="preserve"> </w:t>
      </w:r>
      <w:r w:rsidR="00441ECD">
        <w:t xml:space="preserve">informed </w:t>
      </w:r>
      <w:r w:rsidR="00D86DD3">
        <w:t xml:space="preserve">the </w:t>
      </w:r>
      <w:r w:rsidR="00237F39">
        <w:t>primary and secondary research questions and key terms of reference, which can be found in Appendix A.  The primary research questions are presented below as the</w:t>
      </w:r>
      <w:r w:rsidR="00441ECD">
        <w:t xml:space="preserve"> key challenges to be addressed through this </w:t>
      </w:r>
      <w:r w:rsidR="00D86DD3">
        <w:t>work</w:t>
      </w:r>
      <w:r w:rsidR="00441ECD">
        <w:t xml:space="preserve">: </w:t>
      </w:r>
    </w:p>
    <w:p w14:paraId="329C7FBE" w14:textId="151588E0" w:rsidR="00441ECD" w:rsidRPr="00441ECD" w:rsidRDefault="00441ECD" w:rsidP="00441ECD">
      <w:pPr>
        <w:pStyle w:val="ListParagraph"/>
        <w:numPr>
          <w:ilvl w:val="0"/>
          <w:numId w:val="62"/>
        </w:numPr>
        <w:rPr>
          <w:rFonts w:ascii="Calibri" w:hAnsi="Calibri" w:cs="Arial"/>
          <w:sz w:val="22"/>
          <w:szCs w:val="22"/>
          <w:lang w:eastAsia="en-GB"/>
        </w:rPr>
      </w:pPr>
      <w:r w:rsidRPr="00441ECD">
        <w:rPr>
          <w:rFonts w:ascii="Calibri" w:hAnsi="Calibri" w:cs="Arial"/>
          <w:sz w:val="22"/>
          <w:szCs w:val="22"/>
          <w:lang w:eastAsia="en-GB"/>
        </w:rPr>
        <w:t xml:space="preserve">How will self-evident </w:t>
      </w:r>
      <w:r>
        <w:rPr>
          <w:rFonts w:ascii="Calibri" w:hAnsi="Calibri" w:cs="Arial"/>
          <w:sz w:val="22"/>
          <w:szCs w:val="22"/>
          <w:lang w:eastAsia="en-GB"/>
        </w:rPr>
        <w:t xml:space="preserve">causal </w:t>
      </w:r>
      <w:r w:rsidRPr="00441ECD">
        <w:rPr>
          <w:rFonts w:ascii="Calibri" w:hAnsi="Calibri" w:cs="Arial"/>
          <w:sz w:val="22"/>
          <w:szCs w:val="22"/>
          <w:lang w:eastAsia="en-GB"/>
        </w:rPr>
        <w:t xml:space="preserve">reactionary delay chains be identified, analysed, and to what % of accuracy and consistency can this be repeatedly achieved? </w:t>
      </w:r>
    </w:p>
    <w:p w14:paraId="50FB0846" w14:textId="3B64B320" w:rsidR="00962450" w:rsidRDefault="00962450" w:rsidP="00962450">
      <w:pPr>
        <w:pStyle w:val="Body"/>
        <w:numPr>
          <w:ilvl w:val="0"/>
          <w:numId w:val="62"/>
        </w:numPr>
      </w:pPr>
      <w:r>
        <w:t>How can we demonstrate improving performance</w:t>
      </w:r>
      <w:r w:rsidR="0061700C">
        <w:t>, attribution analysis</w:t>
      </w:r>
      <w:r>
        <w:t xml:space="preserve"> and automating reactionary delay attribution through </w:t>
      </w:r>
      <w:r w:rsidRPr="00441ECD">
        <w:t xml:space="preserve">self-evident </w:t>
      </w:r>
      <w:r>
        <w:t xml:space="preserve">causal </w:t>
      </w:r>
      <w:r w:rsidRPr="00441ECD">
        <w:t>reactionary delay chains</w:t>
      </w:r>
      <w:r>
        <w:t xml:space="preserve">? </w:t>
      </w:r>
    </w:p>
    <w:p w14:paraId="744A9BE0" w14:textId="56234DC0" w:rsidR="00441ECD" w:rsidRDefault="00441ECD" w:rsidP="00441ECD">
      <w:pPr>
        <w:pStyle w:val="ListParagraph"/>
        <w:numPr>
          <w:ilvl w:val="0"/>
          <w:numId w:val="62"/>
        </w:numPr>
        <w:rPr>
          <w:rFonts w:ascii="Calibri" w:hAnsi="Calibri" w:cs="Arial"/>
          <w:sz w:val="22"/>
          <w:szCs w:val="22"/>
          <w:lang w:eastAsia="en-GB"/>
        </w:rPr>
      </w:pPr>
      <w:r w:rsidRPr="00441ECD">
        <w:rPr>
          <w:rFonts w:ascii="Calibri" w:hAnsi="Calibri" w:cs="Arial"/>
          <w:sz w:val="22"/>
          <w:szCs w:val="22"/>
          <w:lang w:eastAsia="en-GB"/>
        </w:rPr>
        <w:t>How can we automate reactionary delay attribution</w:t>
      </w:r>
      <w:r w:rsidR="0061700C">
        <w:rPr>
          <w:rFonts w:ascii="Calibri" w:hAnsi="Calibri" w:cs="Arial"/>
          <w:sz w:val="22"/>
          <w:szCs w:val="22"/>
          <w:lang w:eastAsia="en-GB"/>
        </w:rPr>
        <w:t xml:space="preserve"> and what are the industry change management requirements for this? </w:t>
      </w:r>
    </w:p>
    <w:p w14:paraId="14E7245D" w14:textId="152DE550" w:rsidR="00441ECD" w:rsidRDefault="00441ECD">
      <w:pPr>
        <w:rPr>
          <w:rFonts w:asciiTheme="majorHAnsi" w:hAnsiTheme="majorHAnsi" w:cs="Arial"/>
          <w:color w:val="00968E"/>
          <w:sz w:val="36"/>
          <w:szCs w:val="22"/>
          <w:lang w:eastAsia="en-GB"/>
        </w:rPr>
      </w:pPr>
    </w:p>
    <w:p w14:paraId="750DE176" w14:textId="1F5B5156" w:rsidR="00032803" w:rsidRPr="00E5676E" w:rsidRDefault="005047AB" w:rsidP="00142A33">
      <w:pPr>
        <w:pStyle w:val="Heading10"/>
        <w:keepNext/>
        <w:numPr>
          <w:ilvl w:val="0"/>
          <w:numId w:val="25"/>
        </w:numPr>
        <w:ind w:left="426" w:hanging="426"/>
        <w:outlineLvl w:val="9"/>
        <w:rPr>
          <w:rFonts w:ascii="Calibri" w:hAnsi="Calibri"/>
        </w:rPr>
      </w:pPr>
      <w:r>
        <w:rPr>
          <w:rFonts w:ascii="Calibri" w:hAnsi="Calibri"/>
        </w:rPr>
        <w:t>O</w:t>
      </w:r>
      <w:r w:rsidR="00032803" w:rsidRPr="00E5676E">
        <w:rPr>
          <w:rFonts w:ascii="Calibri" w:hAnsi="Calibri"/>
        </w:rPr>
        <w:t>bjectives</w:t>
      </w:r>
    </w:p>
    <w:p w14:paraId="5AEA5CEF" w14:textId="4997E505" w:rsidR="009809A8" w:rsidRDefault="000929D5" w:rsidP="000929D5">
      <w:pPr>
        <w:pStyle w:val="Body"/>
      </w:pPr>
      <w:r>
        <w:t xml:space="preserve">This research sets out to develop and test a proof of concept that identifies and analyses self-evident reactionary chains, to improve performance, attribution analysis and enable the automation of attributing reactionary delays.  </w:t>
      </w:r>
      <w:r w:rsidR="007F4C6A" w:rsidRPr="007F4C6A">
        <w:t>It is expected that the output of the research will be a demonstrator with a route to market fully defined, including ownership, governance, sustainability and change controls of the solution.</w:t>
      </w:r>
      <w:r w:rsidR="007F4C6A">
        <w:t xml:space="preserve">  </w:t>
      </w:r>
      <w:r w:rsidR="009809A8">
        <w:t xml:space="preserve">The demonstrator should be able to </w:t>
      </w:r>
      <w:r w:rsidR="009809A8" w:rsidRPr="009809A8">
        <w:t xml:space="preserve">run in </w:t>
      </w:r>
      <w:r w:rsidR="009809A8">
        <w:t>‘</w:t>
      </w:r>
      <w:r w:rsidR="009809A8" w:rsidRPr="009809A8">
        <w:t>shadow mode</w:t>
      </w:r>
      <w:r w:rsidR="009809A8">
        <w:t>’</w:t>
      </w:r>
      <w:r w:rsidR="004A1FF9">
        <w:t>,</w:t>
      </w:r>
      <w:r w:rsidR="009809A8" w:rsidRPr="009809A8">
        <w:t xml:space="preserve"> at the same time as live delay attribution and performance </w:t>
      </w:r>
      <w:r w:rsidR="009809A8">
        <w:t xml:space="preserve">analysis and </w:t>
      </w:r>
      <w:r w:rsidR="009809A8" w:rsidRPr="009809A8">
        <w:t>reporting, to understand</w:t>
      </w:r>
      <w:r w:rsidR="009809A8">
        <w:t xml:space="preserve"> what actions could have been taken through the solution.  </w:t>
      </w:r>
    </w:p>
    <w:p w14:paraId="3705B694" w14:textId="1D4AB269" w:rsidR="000929D5" w:rsidRDefault="007F4C6A" w:rsidP="000929D5">
      <w:pPr>
        <w:pStyle w:val="Body"/>
      </w:pPr>
      <w:r>
        <w:t>The high-level objectives for COF-ADA are:</w:t>
      </w:r>
    </w:p>
    <w:p w14:paraId="7761DF1B" w14:textId="60E53DB5" w:rsidR="009820DB" w:rsidRPr="009820DB" w:rsidRDefault="009820DB" w:rsidP="00142A33">
      <w:pPr>
        <w:pStyle w:val="Body"/>
        <w:numPr>
          <w:ilvl w:val="0"/>
          <w:numId w:val="36"/>
        </w:numPr>
      </w:pPr>
      <w:r w:rsidRPr="009820DB">
        <w:t>Define the industry, functional and non-functional requirements of a novel solution to identify and analyse</w:t>
      </w:r>
      <w:r w:rsidR="00E14C5F">
        <w:t xml:space="preserve"> self-evident causal</w:t>
      </w:r>
      <w:r w:rsidRPr="009820DB">
        <w:t xml:space="preserve"> reactionary delays</w:t>
      </w:r>
    </w:p>
    <w:p w14:paraId="00B917C8" w14:textId="4167BC0F" w:rsidR="009820DB" w:rsidRPr="009820DB" w:rsidRDefault="009820DB" w:rsidP="00142A33">
      <w:pPr>
        <w:pStyle w:val="Body"/>
        <w:numPr>
          <w:ilvl w:val="0"/>
          <w:numId w:val="36"/>
        </w:numPr>
      </w:pPr>
      <w:r w:rsidRPr="009820DB">
        <w:t xml:space="preserve">Define and agree potential approaches to identify and analyse </w:t>
      </w:r>
      <w:r w:rsidR="00E14C5F">
        <w:t>self-evident causal</w:t>
      </w:r>
      <w:r w:rsidR="00E14C5F" w:rsidRPr="009820DB">
        <w:t xml:space="preserve"> </w:t>
      </w:r>
      <w:r w:rsidRPr="009820DB">
        <w:t>reactionary delays</w:t>
      </w:r>
    </w:p>
    <w:p w14:paraId="57D208A1" w14:textId="77777777" w:rsidR="009820DB" w:rsidRPr="009820DB" w:rsidRDefault="009820DB" w:rsidP="00142A33">
      <w:pPr>
        <w:pStyle w:val="Body"/>
        <w:numPr>
          <w:ilvl w:val="0"/>
          <w:numId w:val="36"/>
        </w:numPr>
      </w:pPr>
      <w:r w:rsidRPr="009820DB">
        <w:lastRenderedPageBreak/>
        <w:t xml:space="preserve">Develop the agreed approach into a proof of concept solution </w:t>
      </w:r>
    </w:p>
    <w:p w14:paraId="2FA1F270" w14:textId="77777777" w:rsidR="009820DB" w:rsidRPr="009820DB" w:rsidRDefault="009820DB" w:rsidP="00142A33">
      <w:pPr>
        <w:pStyle w:val="Body"/>
        <w:numPr>
          <w:ilvl w:val="0"/>
          <w:numId w:val="36"/>
        </w:numPr>
      </w:pPr>
      <w:r w:rsidRPr="009820DB">
        <w:t>Test and demonstrate the validity and reliability of the proof of concept</w:t>
      </w:r>
    </w:p>
    <w:p w14:paraId="117E4A0A" w14:textId="4D13342D" w:rsidR="009820DB" w:rsidRDefault="009820DB" w:rsidP="00142A33">
      <w:pPr>
        <w:pStyle w:val="Body"/>
        <w:numPr>
          <w:ilvl w:val="0"/>
          <w:numId w:val="36"/>
        </w:numPr>
      </w:pPr>
      <w:r w:rsidRPr="009820DB">
        <w:t xml:space="preserve">Support the industry change management and implementation of the proof of concept solution    </w:t>
      </w:r>
    </w:p>
    <w:p w14:paraId="74C575BD" w14:textId="5642DA3B" w:rsidR="007F4C6A" w:rsidRDefault="007F4C6A" w:rsidP="007F4C6A">
      <w:pPr>
        <w:pStyle w:val="Body"/>
      </w:pPr>
    </w:p>
    <w:p w14:paraId="308F5A9D" w14:textId="50345070" w:rsidR="00C46670" w:rsidRDefault="007F4C6A" w:rsidP="003D4D85">
      <w:pPr>
        <w:pStyle w:val="Body"/>
      </w:pPr>
      <w:r>
        <w:t xml:space="preserve">There are </w:t>
      </w:r>
      <w:r w:rsidR="00E86CBE">
        <w:t>4</w:t>
      </w:r>
      <w:r>
        <w:t xml:space="preserve"> work packages (WP) to delivering this research.  RSSB </w:t>
      </w:r>
      <w:r w:rsidR="00756A51">
        <w:t>led t</w:t>
      </w:r>
      <w:r>
        <w:t xml:space="preserve">he project development </w:t>
      </w:r>
      <w:r w:rsidR="00E86CBE">
        <w:t xml:space="preserve">(WP1) </w:t>
      </w:r>
      <w:r>
        <w:t xml:space="preserve">and procurement, </w:t>
      </w:r>
      <w:r w:rsidR="00756A51">
        <w:t xml:space="preserve">and the supplier </w:t>
      </w:r>
      <w:r w:rsidR="00DB4B46">
        <w:t>is</w:t>
      </w:r>
      <w:r w:rsidR="00756A51">
        <w:t xml:space="preserve"> expected to lead the delivery of WPs </w:t>
      </w:r>
      <w:r w:rsidR="00E86CBE">
        <w:t>2</w:t>
      </w:r>
      <w:r w:rsidR="00756A51">
        <w:t xml:space="preserve">, </w:t>
      </w:r>
      <w:r w:rsidR="00E86CBE">
        <w:t>3</w:t>
      </w:r>
      <w:r w:rsidR="00756A51">
        <w:t xml:space="preserve"> and </w:t>
      </w:r>
      <w:r w:rsidR="00E86CBE">
        <w:t>4</w:t>
      </w:r>
      <w:r w:rsidR="00756A51">
        <w:t>.  A high level overview of the WPs, key timescales and deliverables are illustrated below</w:t>
      </w:r>
      <w:r w:rsidR="005577A1">
        <w:t xml:space="preserve">, which will be detailed in the following sections. </w:t>
      </w:r>
      <w:r w:rsidR="00756A51">
        <w:t xml:space="preserve">  </w:t>
      </w:r>
    </w:p>
    <w:p w14:paraId="080668DB" w14:textId="0574CB96" w:rsidR="00E86CBE" w:rsidRDefault="00E86CBE" w:rsidP="00E86CBE">
      <w:pPr>
        <w:pStyle w:val="Body"/>
        <w:spacing w:line="240" w:lineRule="auto"/>
      </w:pPr>
      <w:r>
        <w:rPr>
          <w:noProof/>
        </w:rPr>
        <w:drawing>
          <wp:anchor distT="0" distB="0" distL="114300" distR="114300" simplePos="0" relativeHeight="251710464" behindDoc="1" locked="0" layoutInCell="1" allowOverlap="1" wp14:anchorId="5DA9327B" wp14:editId="5C1D1CFB">
            <wp:simplePos x="0" y="0"/>
            <wp:positionH relativeFrom="margin">
              <wp:align>center</wp:align>
            </wp:positionH>
            <wp:positionV relativeFrom="paragraph">
              <wp:posOffset>81915</wp:posOffset>
            </wp:positionV>
            <wp:extent cx="6458791" cy="3762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58791" cy="3762375"/>
                    </a:xfrm>
                    <a:prstGeom prst="rect">
                      <a:avLst/>
                    </a:prstGeom>
                    <a:noFill/>
                  </pic:spPr>
                </pic:pic>
              </a:graphicData>
            </a:graphic>
            <wp14:sizeRelH relativeFrom="margin">
              <wp14:pctWidth>0</wp14:pctWidth>
            </wp14:sizeRelH>
            <wp14:sizeRelV relativeFrom="margin">
              <wp14:pctHeight>0</wp14:pctHeight>
            </wp14:sizeRelV>
          </wp:anchor>
        </w:drawing>
      </w:r>
    </w:p>
    <w:p w14:paraId="3A202588" w14:textId="67EFC752" w:rsidR="007F4C6A" w:rsidRDefault="007F4C6A" w:rsidP="000E3921">
      <w:pPr>
        <w:pStyle w:val="Body"/>
        <w:spacing w:line="240" w:lineRule="auto"/>
      </w:pPr>
    </w:p>
    <w:p w14:paraId="5B134E67" w14:textId="48C0645D" w:rsidR="007F4C6A" w:rsidRDefault="007F4C6A" w:rsidP="007F4C6A">
      <w:pPr>
        <w:pStyle w:val="Body"/>
        <w:spacing w:line="240" w:lineRule="auto"/>
      </w:pPr>
    </w:p>
    <w:p w14:paraId="0693FE7F" w14:textId="77777777" w:rsidR="00032803" w:rsidRPr="00D62DE4" w:rsidRDefault="00032803" w:rsidP="00142A33">
      <w:pPr>
        <w:pStyle w:val="Heading10"/>
        <w:keepNext/>
        <w:numPr>
          <w:ilvl w:val="0"/>
          <w:numId w:val="25"/>
        </w:numPr>
        <w:ind w:left="426" w:hanging="426"/>
        <w:outlineLvl w:val="9"/>
        <w:rPr>
          <w:rFonts w:ascii="Calibri" w:hAnsi="Calibri"/>
        </w:rPr>
      </w:pPr>
      <w:r>
        <w:br w:type="page"/>
      </w:r>
      <w:r w:rsidR="005047AB">
        <w:rPr>
          <w:rFonts w:ascii="Calibri" w:hAnsi="Calibri"/>
        </w:rPr>
        <w:lastRenderedPageBreak/>
        <w:t>S</w:t>
      </w:r>
      <w:r w:rsidR="00875261" w:rsidRPr="00D62DE4">
        <w:rPr>
          <w:rFonts w:ascii="Calibri" w:hAnsi="Calibri"/>
        </w:rPr>
        <w:t>cope</w:t>
      </w:r>
    </w:p>
    <w:p w14:paraId="08CC0AE6" w14:textId="5AFC2B2B" w:rsidR="002026D1" w:rsidRPr="004111B6" w:rsidRDefault="00D97D45" w:rsidP="004111B6">
      <w:pPr>
        <w:pStyle w:val="Body"/>
      </w:pPr>
      <w:r>
        <w:t xml:space="preserve">This </w:t>
      </w:r>
      <w:r w:rsidR="002026D1">
        <w:t xml:space="preserve">section defines the </w:t>
      </w:r>
      <w:r w:rsidR="005972C7" w:rsidRPr="005972C7">
        <w:t xml:space="preserve">high-level </w:t>
      </w:r>
      <w:r w:rsidR="00231A16">
        <w:t xml:space="preserve">whole </w:t>
      </w:r>
      <w:r w:rsidR="004111B6">
        <w:t xml:space="preserve">project </w:t>
      </w:r>
      <w:r w:rsidR="005972C7" w:rsidRPr="005972C7">
        <w:t>scope</w:t>
      </w:r>
      <w:r w:rsidR="00231A16">
        <w:t>.  A</w:t>
      </w:r>
      <w:r w:rsidR="004111B6">
        <w:t xml:space="preserve"> specific scope</w:t>
      </w:r>
      <w:r w:rsidR="005972C7">
        <w:t xml:space="preserve"> </w:t>
      </w:r>
      <w:r w:rsidR="004111B6">
        <w:t xml:space="preserve">relevant to each WP is detailed </w:t>
      </w:r>
      <w:r w:rsidR="005972C7" w:rsidRPr="005972C7">
        <w:t>in Section 5</w:t>
      </w:r>
      <w:r w:rsidR="004111B6">
        <w:t xml:space="preserve"> Project Structure</w:t>
      </w:r>
      <w:r w:rsidR="005972C7">
        <w:t>.</w:t>
      </w:r>
    </w:p>
    <w:tbl>
      <w:tblPr>
        <w:tblStyle w:val="TableGrid"/>
        <w:tblW w:w="0" w:type="auto"/>
        <w:tblLook w:val="04A0" w:firstRow="1" w:lastRow="0" w:firstColumn="1" w:lastColumn="0" w:noHBand="0" w:noVBand="1"/>
      </w:tblPr>
      <w:tblGrid>
        <w:gridCol w:w="5240"/>
        <w:gridCol w:w="2686"/>
      </w:tblGrid>
      <w:tr w:rsidR="005972C7" w:rsidRPr="003D6E9C" w14:paraId="41F175F2" w14:textId="77777777" w:rsidTr="000E3921">
        <w:tc>
          <w:tcPr>
            <w:tcW w:w="5240" w:type="dxa"/>
            <w:tcBorders>
              <w:top w:val="single" w:sz="4" w:space="0" w:color="auto"/>
              <w:left w:val="single" w:sz="4" w:space="0" w:color="auto"/>
              <w:bottom w:val="single" w:sz="4" w:space="0" w:color="auto"/>
              <w:right w:val="single" w:sz="4" w:space="0" w:color="auto"/>
            </w:tcBorders>
            <w:hideMark/>
          </w:tcPr>
          <w:p w14:paraId="084CBB91" w14:textId="77777777" w:rsidR="005972C7" w:rsidRPr="003D6E9C" w:rsidRDefault="005972C7" w:rsidP="000E3921">
            <w:pPr>
              <w:pStyle w:val="Body"/>
              <w:spacing w:after="80"/>
              <w:rPr>
                <w:rFonts w:asciiTheme="minorHAnsi" w:hAnsiTheme="minorHAnsi"/>
                <w:b/>
                <w:sz w:val="20"/>
                <w:szCs w:val="20"/>
              </w:rPr>
            </w:pPr>
            <w:r w:rsidRPr="003D6E9C">
              <w:rPr>
                <w:rFonts w:asciiTheme="minorHAnsi" w:hAnsiTheme="minorHAnsi"/>
                <w:b/>
                <w:sz w:val="20"/>
                <w:szCs w:val="20"/>
              </w:rPr>
              <w:t xml:space="preserve">In scope </w:t>
            </w:r>
          </w:p>
        </w:tc>
        <w:tc>
          <w:tcPr>
            <w:tcW w:w="2686" w:type="dxa"/>
            <w:tcBorders>
              <w:top w:val="single" w:sz="4" w:space="0" w:color="auto"/>
              <w:left w:val="single" w:sz="4" w:space="0" w:color="auto"/>
              <w:bottom w:val="single" w:sz="4" w:space="0" w:color="auto"/>
              <w:right w:val="single" w:sz="4" w:space="0" w:color="auto"/>
            </w:tcBorders>
            <w:hideMark/>
          </w:tcPr>
          <w:p w14:paraId="02C45B5B" w14:textId="77777777" w:rsidR="005972C7" w:rsidRPr="003D6E9C" w:rsidRDefault="005972C7" w:rsidP="000E3921">
            <w:pPr>
              <w:pStyle w:val="Body"/>
              <w:spacing w:after="80"/>
              <w:rPr>
                <w:rFonts w:asciiTheme="minorHAnsi" w:hAnsiTheme="minorHAnsi"/>
                <w:b/>
                <w:sz w:val="20"/>
                <w:szCs w:val="20"/>
              </w:rPr>
            </w:pPr>
            <w:r w:rsidRPr="003D6E9C">
              <w:rPr>
                <w:rFonts w:asciiTheme="minorHAnsi" w:hAnsiTheme="minorHAnsi"/>
                <w:b/>
                <w:sz w:val="20"/>
                <w:szCs w:val="20"/>
              </w:rPr>
              <w:t xml:space="preserve">Out of scope </w:t>
            </w:r>
          </w:p>
        </w:tc>
      </w:tr>
      <w:tr w:rsidR="005972C7" w:rsidRPr="003D6E9C" w14:paraId="2B34398C" w14:textId="77777777" w:rsidTr="000E3921">
        <w:tc>
          <w:tcPr>
            <w:tcW w:w="5240" w:type="dxa"/>
            <w:tcBorders>
              <w:top w:val="single" w:sz="4" w:space="0" w:color="auto"/>
              <w:left w:val="single" w:sz="4" w:space="0" w:color="auto"/>
              <w:bottom w:val="single" w:sz="4" w:space="0" w:color="auto"/>
              <w:right w:val="single" w:sz="4" w:space="0" w:color="auto"/>
            </w:tcBorders>
          </w:tcPr>
          <w:p w14:paraId="40624527" w14:textId="684AB83F" w:rsidR="00A30F94" w:rsidRPr="003D6E9C" w:rsidRDefault="0064070E" w:rsidP="000E3921">
            <w:pPr>
              <w:pStyle w:val="Body"/>
              <w:numPr>
                <w:ilvl w:val="0"/>
                <w:numId w:val="37"/>
              </w:numPr>
              <w:spacing w:after="80"/>
              <w:rPr>
                <w:rFonts w:asciiTheme="minorHAnsi" w:hAnsiTheme="minorHAnsi"/>
                <w:sz w:val="20"/>
                <w:szCs w:val="20"/>
              </w:rPr>
            </w:pPr>
            <w:r w:rsidRPr="003D6E9C">
              <w:rPr>
                <w:rFonts w:asciiTheme="minorHAnsi" w:hAnsiTheme="minorHAnsi"/>
                <w:sz w:val="20"/>
                <w:szCs w:val="20"/>
              </w:rPr>
              <w:t xml:space="preserve">Define the requirements and options to develop a proof of concept solution to </w:t>
            </w:r>
            <w:r w:rsidR="00A30F94" w:rsidRPr="003D6E9C">
              <w:rPr>
                <w:rFonts w:asciiTheme="minorHAnsi" w:hAnsiTheme="minorHAnsi"/>
                <w:sz w:val="20"/>
                <w:szCs w:val="20"/>
              </w:rPr>
              <w:t xml:space="preserve">identify </w:t>
            </w:r>
            <w:r w:rsidR="00867017">
              <w:rPr>
                <w:rFonts w:asciiTheme="minorHAnsi" w:hAnsiTheme="minorHAnsi"/>
                <w:sz w:val="20"/>
                <w:szCs w:val="20"/>
              </w:rPr>
              <w:t xml:space="preserve">causal </w:t>
            </w:r>
            <w:r w:rsidRPr="003D6E9C">
              <w:rPr>
                <w:rFonts w:asciiTheme="minorHAnsi" w:hAnsiTheme="minorHAnsi"/>
                <w:sz w:val="20"/>
                <w:szCs w:val="20"/>
              </w:rPr>
              <w:t xml:space="preserve">self-evident </w:t>
            </w:r>
            <w:r w:rsidR="00A30F94" w:rsidRPr="003D6E9C">
              <w:rPr>
                <w:rFonts w:asciiTheme="minorHAnsi" w:hAnsiTheme="minorHAnsi"/>
                <w:sz w:val="20"/>
                <w:szCs w:val="20"/>
              </w:rPr>
              <w:t xml:space="preserve">reactionary delay chains </w:t>
            </w:r>
            <w:r w:rsidRPr="003D6E9C">
              <w:rPr>
                <w:rFonts w:asciiTheme="minorHAnsi" w:hAnsiTheme="minorHAnsi"/>
                <w:sz w:val="20"/>
                <w:szCs w:val="20"/>
              </w:rPr>
              <w:t>for automating attribution and improving performance analysis</w:t>
            </w:r>
          </w:p>
          <w:p w14:paraId="1503C69B" w14:textId="43FDD5CC" w:rsidR="00A30F94" w:rsidRPr="003D6E9C" w:rsidRDefault="0064070E" w:rsidP="000E3921">
            <w:pPr>
              <w:pStyle w:val="Body"/>
              <w:numPr>
                <w:ilvl w:val="1"/>
                <w:numId w:val="37"/>
              </w:numPr>
              <w:spacing w:after="80"/>
              <w:ind w:left="885"/>
              <w:rPr>
                <w:rFonts w:asciiTheme="minorHAnsi" w:hAnsiTheme="minorHAnsi"/>
                <w:sz w:val="20"/>
                <w:szCs w:val="20"/>
              </w:rPr>
            </w:pPr>
            <w:r w:rsidRPr="003D6E9C">
              <w:rPr>
                <w:rFonts w:asciiTheme="minorHAnsi" w:hAnsiTheme="minorHAnsi"/>
                <w:sz w:val="20"/>
                <w:szCs w:val="20"/>
              </w:rPr>
              <w:t>Undertake a desk-based</w:t>
            </w:r>
            <w:r w:rsidR="00A30F94" w:rsidRPr="003D6E9C">
              <w:rPr>
                <w:rFonts w:asciiTheme="minorHAnsi" w:hAnsiTheme="minorHAnsi"/>
                <w:sz w:val="20"/>
                <w:szCs w:val="20"/>
              </w:rPr>
              <w:t xml:space="preserve"> review</w:t>
            </w:r>
          </w:p>
          <w:p w14:paraId="4CE6EF31" w14:textId="17110630" w:rsidR="00A30F94" w:rsidRPr="003D6E9C" w:rsidRDefault="00867017" w:rsidP="000E3921">
            <w:pPr>
              <w:pStyle w:val="Body"/>
              <w:numPr>
                <w:ilvl w:val="1"/>
                <w:numId w:val="37"/>
              </w:numPr>
              <w:spacing w:after="80"/>
              <w:ind w:left="885"/>
              <w:rPr>
                <w:rFonts w:asciiTheme="minorHAnsi" w:hAnsiTheme="minorHAnsi"/>
                <w:sz w:val="20"/>
                <w:szCs w:val="20"/>
              </w:rPr>
            </w:pPr>
            <w:r>
              <w:rPr>
                <w:rFonts w:asciiTheme="minorHAnsi" w:hAnsiTheme="minorHAnsi"/>
                <w:sz w:val="20"/>
                <w:szCs w:val="20"/>
              </w:rPr>
              <w:t>Robust</w:t>
            </w:r>
            <w:r w:rsidRPr="003D6E9C">
              <w:rPr>
                <w:rFonts w:asciiTheme="minorHAnsi" w:hAnsiTheme="minorHAnsi"/>
                <w:sz w:val="20"/>
                <w:szCs w:val="20"/>
              </w:rPr>
              <w:t xml:space="preserve"> </w:t>
            </w:r>
            <w:r w:rsidR="0064070E" w:rsidRPr="003D6E9C">
              <w:rPr>
                <w:rFonts w:asciiTheme="minorHAnsi" w:hAnsiTheme="minorHAnsi"/>
                <w:sz w:val="20"/>
                <w:szCs w:val="20"/>
              </w:rPr>
              <w:t xml:space="preserve">industry consultation to agree </w:t>
            </w:r>
            <w:r>
              <w:rPr>
                <w:rFonts w:asciiTheme="minorHAnsi" w:hAnsiTheme="minorHAnsi"/>
                <w:sz w:val="20"/>
                <w:szCs w:val="20"/>
              </w:rPr>
              <w:t xml:space="preserve">solution </w:t>
            </w:r>
            <w:r w:rsidR="0064070E" w:rsidRPr="003D6E9C">
              <w:rPr>
                <w:rFonts w:asciiTheme="minorHAnsi" w:hAnsiTheme="minorHAnsi"/>
                <w:sz w:val="20"/>
                <w:szCs w:val="20"/>
              </w:rPr>
              <w:t xml:space="preserve">success criteria, </w:t>
            </w:r>
            <w:r w:rsidR="00A30F94" w:rsidRPr="003D6E9C">
              <w:rPr>
                <w:rFonts w:asciiTheme="minorHAnsi" w:hAnsiTheme="minorHAnsi"/>
                <w:sz w:val="20"/>
                <w:szCs w:val="20"/>
              </w:rPr>
              <w:t xml:space="preserve">minimum industry and end-user requirements </w:t>
            </w:r>
          </w:p>
          <w:p w14:paraId="5272FE32" w14:textId="720B0238" w:rsidR="00A30F94" w:rsidRPr="003D6E9C" w:rsidRDefault="00A30F94" w:rsidP="000E3921">
            <w:pPr>
              <w:pStyle w:val="Body"/>
              <w:numPr>
                <w:ilvl w:val="1"/>
                <w:numId w:val="37"/>
              </w:numPr>
              <w:spacing w:after="80"/>
              <w:ind w:left="885"/>
              <w:rPr>
                <w:rFonts w:asciiTheme="minorHAnsi" w:hAnsiTheme="minorHAnsi"/>
                <w:sz w:val="20"/>
                <w:szCs w:val="20"/>
              </w:rPr>
            </w:pPr>
            <w:r w:rsidRPr="003D6E9C">
              <w:rPr>
                <w:rFonts w:asciiTheme="minorHAnsi" w:hAnsiTheme="minorHAnsi"/>
                <w:sz w:val="20"/>
                <w:szCs w:val="20"/>
              </w:rPr>
              <w:t xml:space="preserve">Process and attribution mapping </w:t>
            </w:r>
            <w:r w:rsidR="0064070E" w:rsidRPr="003D6E9C">
              <w:rPr>
                <w:rFonts w:asciiTheme="minorHAnsi" w:hAnsiTheme="minorHAnsi"/>
                <w:sz w:val="20"/>
                <w:szCs w:val="20"/>
              </w:rPr>
              <w:t>of the agreed scenarios to be tested</w:t>
            </w:r>
          </w:p>
          <w:p w14:paraId="208EA460" w14:textId="5C9F1539" w:rsidR="00A30F94" w:rsidRPr="003D6E9C" w:rsidRDefault="0064070E" w:rsidP="000E3921">
            <w:pPr>
              <w:pStyle w:val="Body"/>
              <w:numPr>
                <w:ilvl w:val="0"/>
                <w:numId w:val="37"/>
              </w:numPr>
              <w:spacing w:after="80"/>
              <w:rPr>
                <w:rFonts w:asciiTheme="minorHAnsi" w:hAnsiTheme="minorHAnsi"/>
                <w:sz w:val="20"/>
                <w:szCs w:val="20"/>
              </w:rPr>
            </w:pPr>
            <w:r w:rsidRPr="003D6E9C">
              <w:rPr>
                <w:rFonts w:asciiTheme="minorHAnsi" w:hAnsiTheme="minorHAnsi"/>
                <w:sz w:val="20"/>
                <w:szCs w:val="20"/>
              </w:rPr>
              <w:t xml:space="preserve">Evaluate </w:t>
            </w:r>
            <w:r w:rsidR="00A30F94" w:rsidRPr="003D6E9C">
              <w:rPr>
                <w:rFonts w:asciiTheme="minorHAnsi" w:hAnsiTheme="minorHAnsi"/>
                <w:sz w:val="20"/>
                <w:szCs w:val="20"/>
              </w:rPr>
              <w:t>the options for solution develop</w:t>
            </w:r>
            <w:r w:rsidRPr="003D6E9C">
              <w:rPr>
                <w:rFonts w:asciiTheme="minorHAnsi" w:hAnsiTheme="minorHAnsi"/>
                <w:sz w:val="20"/>
                <w:szCs w:val="20"/>
              </w:rPr>
              <w:t>ment</w:t>
            </w:r>
            <w:r w:rsidR="000535A7" w:rsidRPr="003D6E9C">
              <w:rPr>
                <w:rFonts w:asciiTheme="minorHAnsi" w:hAnsiTheme="minorHAnsi"/>
                <w:sz w:val="20"/>
                <w:szCs w:val="20"/>
              </w:rPr>
              <w:t xml:space="preserve"> and</w:t>
            </w:r>
            <w:r w:rsidRPr="003D6E9C">
              <w:rPr>
                <w:rFonts w:asciiTheme="minorHAnsi" w:hAnsiTheme="minorHAnsi"/>
                <w:sz w:val="20"/>
                <w:szCs w:val="20"/>
              </w:rPr>
              <w:t xml:space="preserve"> consult </w:t>
            </w:r>
            <w:r w:rsidR="00611919" w:rsidRPr="003D6E9C">
              <w:rPr>
                <w:rFonts w:asciiTheme="minorHAnsi" w:hAnsiTheme="minorHAnsi"/>
                <w:sz w:val="20"/>
                <w:szCs w:val="20"/>
              </w:rPr>
              <w:t xml:space="preserve">the DAB and BOPB </w:t>
            </w:r>
            <w:r w:rsidRPr="003D6E9C">
              <w:rPr>
                <w:rFonts w:asciiTheme="minorHAnsi" w:hAnsiTheme="minorHAnsi"/>
                <w:sz w:val="20"/>
                <w:szCs w:val="20"/>
              </w:rPr>
              <w:t>on the</w:t>
            </w:r>
            <w:r w:rsidR="000535A7" w:rsidRPr="003D6E9C">
              <w:rPr>
                <w:rFonts w:asciiTheme="minorHAnsi" w:hAnsiTheme="minorHAnsi"/>
                <w:sz w:val="20"/>
                <w:szCs w:val="20"/>
              </w:rPr>
              <w:t>se</w:t>
            </w:r>
            <w:r w:rsidRPr="003D6E9C">
              <w:rPr>
                <w:rFonts w:asciiTheme="minorHAnsi" w:hAnsiTheme="minorHAnsi"/>
                <w:sz w:val="20"/>
                <w:szCs w:val="20"/>
              </w:rPr>
              <w:t xml:space="preserve"> </w:t>
            </w:r>
          </w:p>
          <w:p w14:paraId="538B09FD" w14:textId="5996B82F" w:rsidR="001F5B89" w:rsidRDefault="00A30F94" w:rsidP="000E3921">
            <w:pPr>
              <w:pStyle w:val="Body"/>
              <w:numPr>
                <w:ilvl w:val="0"/>
                <w:numId w:val="37"/>
              </w:numPr>
              <w:spacing w:after="80"/>
              <w:rPr>
                <w:rFonts w:asciiTheme="minorHAnsi" w:hAnsiTheme="minorHAnsi"/>
                <w:sz w:val="20"/>
                <w:szCs w:val="20"/>
              </w:rPr>
            </w:pPr>
            <w:r w:rsidRPr="003D6E9C">
              <w:rPr>
                <w:rFonts w:asciiTheme="minorHAnsi" w:hAnsiTheme="minorHAnsi"/>
                <w:sz w:val="20"/>
                <w:szCs w:val="20"/>
              </w:rPr>
              <w:t>Develop</w:t>
            </w:r>
            <w:r w:rsidR="0064070E" w:rsidRPr="003D6E9C">
              <w:rPr>
                <w:rFonts w:asciiTheme="minorHAnsi" w:hAnsiTheme="minorHAnsi"/>
                <w:sz w:val="20"/>
                <w:szCs w:val="20"/>
              </w:rPr>
              <w:t xml:space="preserve"> </w:t>
            </w:r>
            <w:r w:rsidRPr="003D6E9C">
              <w:rPr>
                <w:rFonts w:asciiTheme="minorHAnsi" w:hAnsiTheme="minorHAnsi"/>
                <w:sz w:val="20"/>
                <w:szCs w:val="20"/>
              </w:rPr>
              <w:t>a</w:t>
            </w:r>
            <w:r w:rsidR="001B0608" w:rsidRPr="003D6E9C">
              <w:rPr>
                <w:rFonts w:asciiTheme="minorHAnsi" w:hAnsiTheme="minorHAnsi"/>
                <w:sz w:val="20"/>
                <w:szCs w:val="20"/>
              </w:rPr>
              <w:t xml:space="preserve"> </w:t>
            </w:r>
            <w:r w:rsidRPr="003D6E9C">
              <w:rPr>
                <w:rFonts w:asciiTheme="minorHAnsi" w:hAnsiTheme="minorHAnsi"/>
                <w:sz w:val="20"/>
                <w:szCs w:val="20"/>
              </w:rPr>
              <w:t xml:space="preserve">proof of concept </w:t>
            </w:r>
            <w:r w:rsidR="003D6E9C" w:rsidRPr="003D6E9C">
              <w:rPr>
                <w:rFonts w:asciiTheme="minorHAnsi" w:hAnsiTheme="minorHAnsi"/>
                <w:sz w:val="20"/>
                <w:szCs w:val="20"/>
              </w:rPr>
              <w:t xml:space="preserve">including a graphic user interface </w:t>
            </w:r>
            <w:r w:rsidR="0064070E" w:rsidRPr="003D6E9C">
              <w:rPr>
                <w:rFonts w:asciiTheme="minorHAnsi" w:hAnsiTheme="minorHAnsi"/>
                <w:sz w:val="20"/>
                <w:szCs w:val="20"/>
              </w:rPr>
              <w:t>and establish it</w:t>
            </w:r>
            <w:r w:rsidR="00611919" w:rsidRPr="003D6E9C">
              <w:rPr>
                <w:rFonts w:asciiTheme="minorHAnsi" w:hAnsiTheme="minorHAnsi"/>
                <w:sz w:val="20"/>
                <w:szCs w:val="20"/>
              </w:rPr>
              <w:t>s</w:t>
            </w:r>
            <w:r w:rsidR="0064070E" w:rsidRPr="003D6E9C">
              <w:rPr>
                <w:rFonts w:asciiTheme="minorHAnsi" w:hAnsiTheme="minorHAnsi"/>
                <w:sz w:val="20"/>
                <w:szCs w:val="20"/>
              </w:rPr>
              <w:t xml:space="preserve"> feasibility</w:t>
            </w:r>
          </w:p>
          <w:p w14:paraId="0624D08C" w14:textId="4E53050A" w:rsidR="00867017" w:rsidRPr="003D6E9C" w:rsidRDefault="00867017" w:rsidP="000E3921">
            <w:pPr>
              <w:pStyle w:val="Body"/>
              <w:numPr>
                <w:ilvl w:val="0"/>
                <w:numId w:val="37"/>
              </w:numPr>
              <w:spacing w:after="80"/>
              <w:rPr>
                <w:rFonts w:asciiTheme="minorHAnsi" w:hAnsiTheme="minorHAnsi"/>
                <w:sz w:val="20"/>
                <w:szCs w:val="20"/>
              </w:rPr>
            </w:pPr>
            <w:r w:rsidRPr="00867017">
              <w:rPr>
                <w:rFonts w:asciiTheme="minorHAnsi" w:hAnsiTheme="minorHAnsi"/>
                <w:sz w:val="20"/>
                <w:szCs w:val="20"/>
              </w:rPr>
              <w:t xml:space="preserve">Creation of a </w:t>
            </w:r>
            <w:r>
              <w:rPr>
                <w:rFonts w:asciiTheme="minorHAnsi" w:hAnsiTheme="minorHAnsi"/>
                <w:sz w:val="20"/>
                <w:szCs w:val="20"/>
              </w:rPr>
              <w:t>‘</w:t>
            </w:r>
            <w:r w:rsidRPr="00867017">
              <w:rPr>
                <w:rFonts w:asciiTheme="minorHAnsi" w:hAnsiTheme="minorHAnsi"/>
                <w:sz w:val="20"/>
                <w:szCs w:val="20"/>
              </w:rPr>
              <w:t>truth</w:t>
            </w:r>
            <w:r>
              <w:rPr>
                <w:rFonts w:asciiTheme="minorHAnsi" w:hAnsiTheme="minorHAnsi"/>
                <w:sz w:val="20"/>
                <w:szCs w:val="20"/>
              </w:rPr>
              <w:t>’</w:t>
            </w:r>
            <w:r w:rsidRPr="00867017">
              <w:rPr>
                <w:rFonts w:asciiTheme="minorHAnsi" w:hAnsiTheme="minorHAnsi"/>
                <w:sz w:val="20"/>
                <w:szCs w:val="20"/>
              </w:rPr>
              <w:t xml:space="preserve"> dataset </w:t>
            </w:r>
            <w:r>
              <w:rPr>
                <w:rFonts w:asciiTheme="minorHAnsi" w:hAnsiTheme="minorHAnsi"/>
                <w:sz w:val="20"/>
                <w:szCs w:val="20"/>
              </w:rPr>
              <w:t>to</w:t>
            </w:r>
            <w:r w:rsidRPr="00867017">
              <w:rPr>
                <w:rFonts w:asciiTheme="minorHAnsi" w:hAnsiTheme="minorHAnsi"/>
                <w:sz w:val="20"/>
                <w:szCs w:val="20"/>
              </w:rPr>
              <w:t xml:space="preserve"> test</w:t>
            </w:r>
            <w:r>
              <w:rPr>
                <w:rFonts w:asciiTheme="minorHAnsi" w:hAnsiTheme="minorHAnsi"/>
                <w:sz w:val="20"/>
                <w:szCs w:val="20"/>
              </w:rPr>
              <w:t xml:space="preserve"> and establish </w:t>
            </w:r>
            <w:r w:rsidRPr="00867017">
              <w:rPr>
                <w:rFonts w:asciiTheme="minorHAnsi" w:hAnsiTheme="minorHAnsi"/>
                <w:sz w:val="20"/>
                <w:szCs w:val="20"/>
              </w:rPr>
              <w:t xml:space="preserve">the </w:t>
            </w:r>
            <w:r>
              <w:rPr>
                <w:rFonts w:asciiTheme="minorHAnsi" w:hAnsiTheme="minorHAnsi"/>
                <w:sz w:val="20"/>
                <w:szCs w:val="20"/>
              </w:rPr>
              <w:t>validity</w:t>
            </w:r>
            <w:r w:rsidRPr="00867017">
              <w:rPr>
                <w:rFonts w:asciiTheme="minorHAnsi" w:hAnsiTheme="minorHAnsi"/>
                <w:sz w:val="20"/>
                <w:szCs w:val="20"/>
              </w:rPr>
              <w:t xml:space="preserve"> and reliability of the solution  </w:t>
            </w:r>
          </w:p>
          <w:p w14:paraId="4390BADB" w14:textId="37E38988" w:rsidR="00A30F94" w:rsidRPr="003D6E9C" w:rsidRDefault="001F5B89" w:rsidP="000E3921">
            <w:pPr>
              <w:pStyle w:val="Body"/>
              <w:numPr>
                <w:ilvl w:val="0"/>
                <w:numId w:val="37"/>
              </w:numPr>
              <w:spacing w:after="80"/>
              <w:rPr>
                <w:rFonts w:asciiTheme="minorHAnsi" w:hAnsiTheme="minorHAnsi"/>
                <w:sz w:val="20"/>
                <w:szCs w:val="20"/>
              </w:rPr>
            </w:pPr>
            <w:r w:rsidRPr="003D6E9C">
              <w:rPr>
                <w:rFonts w:asciiTheme="minorHAnsi" w:hAnsiTheme="minorHAnsi"/>
                <w:sz w:val="20"/>
                <w:szCs w:val="20"/>
              </w:rPr>
              <w:t>Define the available level of IP for</w:t>
            </w:r>
            <w:r w:rsidR="00847818" w:rsidRPr="003D6E9C">
              <w:rPr>
                <w:rFonts w:asciiTheme="minorHAnsi" w:hAnsiTheme="minorHAnsi"/>
                <w:sz w:val="20"/>
                <w:szCs w:val="20"/>
              </w:rPr>
              <w:t xml:space="preserve"> </w:t>
            </w:r>
            <w:r w:rsidR="003D6E9C" w:rsidRPr="003D6E9C">
              <w:rPr>
                <w:rFonts w:asciiTheme="minorHAnsi" w:hAnsiTheme="minorHAnsi"/>
                <w:sz w:val="20"/>
                <w:szCs w:val="20"/>
              </w:rPr>
              <w:t>any</w:t>
            </w:r>
            <w:r w:rsidR="00847818" w:rsidRPr="003D6E9C">
              <w:rPr>
                <w:rFonts w:asciiTheme="minorHAnsi" w:hAnsiTheme="minorHAnsi"/>
                <w:sz w:val="20"/>
                <w:szCs w:val="20"/>
              </w:rPr>
              <w:t xml:space="preserve"> algorithm and solution</w:t>
            </w:r>
            <w:r w:rsidR="003D6E9C" w:rsidRPr="003D6E9C">
              <w:rPr>
                <w:rFonts w:asciiTheme="minorHAnsi" w:hAnsiTheme="minorHAnsi"/>
                <w:sz w:val="20"/>
                <w:szCs w:val="20"/>
              </w:rPr>
              <w:t xml:space="preserve"> that is</w:t>
            </w:r>
            <w:r w:rsidR="00847818" w:rsidRPr="003D6E9C">
              <w:rPr>
                <w:rFonts w:asciiTheme="minorHAnsi" w:hAnsiTheme="minorHAnsi"/>
                <w:sz w:val="20"/>
                <w:szCs w:val="20"/>
              </w:rPr>
              <w:t xml:space="preserve"> accessible for industry wide use </w:t>
            </w:r>
          </w:p>
          <w:p w14:paraId="7A8A1378" w14:textId="7DC8F94F" w:rsidR="00A30F94" w:rsidRPr="003D6E9C" w:rsidRDefault="00A30F94" w:rsidP="000E3921">
            <w:pPr>
              <w:pStyle w:val="Body"/>
              <w:numPr>
                <w:ilvl w:val="0"/>
                <w:numId w:val="37"/>
              </w:numPr>
              <w:spacing w:after="80"/>
              <w:rPr>
                <w:rFonts w:asciiTheme="minorHAnsi" w:hAnsiTheme="minorHAnsi"/>
                <w:sz w:val="20"/>
                <w:szCs w:val="20"/>
              </w:rPr>
            </w:pPr>
            <w:r w:rsidRPr="003D6E9C">
              <w:rPr>
                <w:rFonts w:asciiTheme="minorHAnsi" w:hAnsiTheme="minorHAnsi"/>
                <w:sz w:val="20"/>
                <w:szCs w:val="20"/>
              </w:rPr>
              <w:t xml:space="preserve">Work with TOCs and associated NR routes to test </w:t>
            </w:r>
            <w:r w:rsidR="003D6E9C" w:rsidRPr="003D6E9C">
              <w:rPr>
                <w:rFonts w:asciiTheme="minorHAnsi" w:hAnsiTheme="minorHAnsi"/>
                <w:sz w:val="20"/>
                <w:szCs w:val="20"/>
              </w:rPr>
              <w:t xml:space="preserve">and demonstrate </w:t>
            </w:r>
            <w:r w:rsidRPr="003D6E9C">
              <w:rPr>
                <w:rFonts w:asciiTheme="minorHAnsi" w:hAnsiTheme="minorHAnsi"/>
                <w:sz w:val="20"/>
                <w:szCs w:val="20"/>
              </w:rPr>
              <w:t xml:space="preserve">the effectiveness of the </w:t>
            </w:r>
            <w:r w:rsidR="003D6E9C" w:rsidRPr="003D6E9C">
              <w:rPr>
                <w:rFonts w:asciiTheme="minorHAnsi" w:hAnsiTheme="minorHAnsi"/>
                <w:sz w:val="20"/>
                <w:szCs w:val="20"/>
              </w:rPr>
              <w:t xml:space="preserve">solution, including the </w:t>
            </w:r>
            <w:r w:rsidRPr="003D6E9C">
              <w:rPr>
                <w:rFonts w:asciiTheme="minorHAnsi" w:hAnsiTheme="minorHAnsi"/>
                <w:sz w:val="20"/>
                <w:szCs w:val="20"/>
              </w:rPr>
              <w:t>validity and reliability across agreed scenarios</w:t>
            </w:r>
          </w:p>
          <w:p w14:paraId="0EDBE70C" w14:textId="77777777" w:rsidR="005972C7" w:rsidRPr="003D6E9C" w:rsidRDefault="00A30F94" w:rsidP="000E3921">
            <w:pPr>
              <w:pStyle w:val="Body"/>
              <w:numPr>
                <w:ilvl w:val="0"/>
                <w:numId w:val="37"/>
              </w:numPr>
              <w:spacing w:after="80"/>
              <w:rPr>
                <w:rFonts w:asciiTheme="minorHAnsi" w:hAnsiTheme="minorHAnsi"/>
                <w:sz w:val="20"/>
                <w:szCs w:val="20"/>
              </w:rPr>
            </w:pPr>
            <w:r w:rsidRPr="003D6E9C">
              <w:rPr>
                <w:rFonts w:asciiTheme="minorHAnsi" w:hAnsiTheme="minorHAnsi" w:cs="Times New Roman"/>
                <w:sz w:val="20"/>
                <w:szCs w:val="20"/>
                <w:lang w:eastAsia="en-US"/>
              </w:rPr>
              <w:t xml:space="preserve">Support the industry </w:t>
            </w:r>
            <w:r w:rsidR="003D6E9C" w:rsidRPr="003D6E9C">
              <w:rPr>
                <w:rFonts w:asciiTheme="minorHAnsi" w:hAnsiTheme="minorHAnsi" w:cs="Times New Roman"/>
                <w:sz w:val="20"/>
                <w:szCs w:val="20"/>
                <w:lang w:eastAsia="en-US"/>
              </w:rPr>
              <w:t xml:space="preserve">change management and </w:t>
            </w:r>
            <w:r w:rsidRPr="003D6E9C">
              <w:rPr>
                <w:rFonts w:asciiTheme="minorHAnsi" w:hAnsiTheme="minorHAnsi" w:cs="Times New Roman"/>
                <w:sz w:val="20"/>
                <w:szCs w:val="20"/>
                <w:lang w:eastAsia="en-US"/>
              </w:rPr>
              <w:t>implementation of the solution</w:t>
            </w:r>
          </w:p>
          <w:p w14:paraId="4D7C991F" w14:textId="75CF3F7A" w:rsidR="003D6E9C" w:rsidRPr="003D6E9C" w:rsidRDefault="003D6E9C" w:rsidP="000E3921">
            <w:pPr>
              <w:pStyle w:val="Body"/>
              <w:numPr>
                <w:ilvl w:val="1"/>
                <w:numId w:val="37"/>
              </w:numPr>
              <w:spacing w:after="80"/>
              <w:ind w:left="885"/>
              <w:rPr>
                <w:rFonts w:asciiTheme="minorHAnsi" w:hAnsiTheme="minorHAnsi"/>
                <w:sz w:val="20"/>
                <w:szCs w:val="20"/>
              </w:rPr>
            </w:pPr>
            <w:r w:rsidRPr="003D6E9C">
              <w:rPr>
                <w:rFonts w:asciiTheme="minorHAnsi" w:hAnsiTheme="minorHAnsi"/>
                <w:sz w:val="20"/>
                <w:szCs w:val="20"/>
                <w:lang w:eastAsia="en-US"/>
              </w:rPr>
              <w:t xml:space="preserve">Define the </w:t>
            </w:r>
            <w:r>
              <w:rPr>
                <w:rFonts w:asciiTheme="minorHAnsi" w:hAnsiTheme="minorHAnsi"/>
                <w:sz w:val="20"/>
                <w:szCs w:val="20"/>
                <w:lang w:eastAsia="en-US"/>
              </w:rPr>
              <w:t xml:space="preserve">change management requirements and </w:t>
            </w:r>
            <w:r w:rsidRPr="003D6E9C">
              <w:rPr>
                <w:rFonts w:asciiTheme="minorHAnsi" w:hAnsiTheme="minorHAnsi"/>
                <w:sz w:val="20"/>
                <w:szCs w:val="20"/>
                <w:lang w:eastAsia="en-US"/>
              </w:rPr>
              <w:t>steps to progress the solution to a market ready product</w:t>
            </w:r>
            <w:r w:rsidR="004111B6">
              <w:rPr>
                <w:rFonts w:asciiTheme="minorHAnsi" w:hAnsiTheme="minorHAnsi"/>
                <w:sz w:val="20"/>
                <w:szCs w:val="20"/>
                <w:lang w:eastAsia="en-US"/>
              </w:rPr>
              <w:t xml:space="preserve">, including </w:t>
            </w:r>
            <w:r w:rsidR="006D0CF8">
              <w:rPr>
                <w:rFonts w:asciiTheme="minorHAnsi" w:hAnsiTheme="minorHAnsi"/>
                <w:sz w:val="20"/>
                <w:szCs w:val="20"/>
                <w:lang w:eastAsia="en-US"/>
              </w:rPr>
              <w:t xml:space="preserve">proposing </w:t>
            </w:r>
            <w:r w:rsidR="004111B6">
              <w:rPr>
                <w:rFonts w:asciiTheme="minorHAnsi" w:hAnsiTheme="minorHAnsi"/>
                <w:sz w:val="20"/>
                <w:szCs w:val="20"/>
                <w:lang w:eastAsia="en-US"/>
              </w:rPr>
              <w:t xml:space="preserve">hard-coded rules for automating delay attribution </w:t>
            </w:r>
          </w:p>
          <w:p w14:paraId="2E3B727F" w14:textId="3ACA8130" w:rsidR="003D6E9C" w:rsidRPr="003D6E9C" w:rsidRDefault="003D6E9C" w:rsidP="000E3921">
            <w:pPr>
              <w:pStyle w:val="Body"/>
              <w:numPr>
                <w:ilvl w:val="1"/>
                <w:numId w:val="37"/>
              </w:numPr>
              <w:spacing w:after="80"/>
              <w:ind w:left="885"/>
              <w:rPr>
                <w:rFonts w:asciiTheme="minorHAnsi" w:hAnsiTheme="minorHAnsi"/>
                <w:sz w:val="20"/>
                <w:szCs w:val="20"/>
              </w:rPr>
            </w:pPr>
            <w:r w:rsidRPr="003D6E9C">
              <w:rPr>
                <w:rFonts w:asciiTheme="minorHAnsi" w:hAnsiTheme="minorHAnsi"/>
                <w:sz w:val="20"/>
                <w:szCs w:val="20"/>
                <w:lang w:eastAsia="en-US"/>
              </w:rPr>
              <w:t xml:space="preserve">Undertake an economic assessment of the industry adoption of the outputs  </w:t>
            </w:r>
          </w:p>
          <w:p w14:paraId="061D0374" w14:textId="587C340E" w:rsidR="003D6E9C" w:rsidRPr="003D6E9C" w:rsidRDefault="003D6E9C" w:rsidP="000E3921">
            <w:pPr>
              <w:pStyle w:val="Body"/>
              <w:numPr>
                <w:ilvl w:val="1"/>
                <w:numId w:val="37"/>
              </w:numPr>
              <w:spacing w:after="80"/>
              <w:ind w:left="885"/>
              <w:rPr>
                <w:rFonts w:asciiTheme="minorHAnsi" w:hAnsiTheme="minorHAnsi"/>
                <w:sz w:val="20"/>
                <w:szCs w:val="20"/>
              </w:rPr>
            </w:pPr>
            <w:r w:rsidRPr="003D6E9C">
              <w:rPr>
                <w:rFonts w:asciiTheme="minorHAnsi" w:hAnsiTheme="minorHAnsi"/>
                <w:sz w:val="20"/>
                <w:szCs w:val="20"/>
              </w:rPr>
              <w:t xml:space="preserve">Prepare </w:t>
            </w:r>
            <w:r>
              <w:rPr>
                <w:rFonts w:asciiTheme="minorHAnsi" w:hAnsiTheme="minorHAnsi"/>
                <w:sz w:val="20"/>
                <w:szCs w:val="20"/>
              </w:rPr>
              <w:t xml:space="preserve">engagement and support </w:t>
            </w:r>
            <w:r w:rsidRPr="003D6E9C">
              <w:rPr>
                <w:rFonts w:asciiTheme="minorHAnsi" w:hAnsiTheme="minorHAnsi"/>
                <w:sz w:val="20"/>
                <w:szCs w:val="20"/>
              </w:rPr>
              <w:t>materials</w:t>
            </w:r>
            <w:r>
              <w:rPr>
                <w:rFonts w:asciiTheme="minorHAnsi" w:hAnsiTheme="minorHAnsi"/>
                <w:sz w:val="20"/>
                <w:szCs w:val="20"/>
              </w:rPr>
              <w:t xml:space="preserve"> / guidance </w:t>
            </w:r>
            <w:r w:rsidRPr="003D6E9C">
              <w:rPr>
                <w:rFonts w:asciiTheme="minorHAnsi" w:hAnsiTheme="minorHAnsi"/>
                <w:sz w:val="20"/>
                <w:szCs w:val="20"/>
              </w:rPr>
              <w:t xml:space="preserve"> </w:t>
            </w:r>
          </w:p>
          <w:p w14:paraId="6ABD8C27" w14:textId="2F9E612B" w:rsidR="003D6E9C" w:rsidRPr="003D6E9C" w:rsidRDefault="003D6E9C" w:rsidP="000E3921">
            <w:pPr>
              <w:pStyle w:val="Body"/>
              <w:numPr>
                <w:ilvl w:val="1"/>
                <w:numId w:val="37"/>
              </w:numPr>
              <w:spacing w:after="80"/>
              <w:ind w:left="885"/>
              <w:rPr>
                <w:rFonts w:asciiTheme="minorHAnsi" w:hAnsiTheme="minorHAnsi"/>
                <w:sz w:val="20"/>
                <w:szCs w:val="20"/>
              </w:rPr>
            </w:pPr>
            <w:r w:rsidRPr="003D6E9C">
              <w:rPr>
                <w:rFonts w:asciiTheme="minorHAnsi" w:hAnsiTheme="minorHAnsi"/>
                <w:sz w:val="20"/>
                <w:szCs w:val="20"/>
              </w:rPr>
              <w:t>Present the findings to up to 5 industry groups</w:t>
            </w:r>
          </w:p>
        </w:tc>
        <w:tc>
          <w:tcPr>
            <w:tcW w:w="2686" w:type="dxa"/>
            <w:tcBorders>
              <w:top w:val="single" w:sz="4" w:space="0" w:color="auto"/>
              <w:left w:val="single" w:sz="4" w:space="0" w:color="auto"/>
              <w:bottom w:val="single" w:sz="4" w:space="0" w:color="auto"/>
              <w:right w:val="single" w:sz="4" w:space="0" w:color="auto"/>
            </w:tcBorders>
          </w:tcPr>
          <w:p w14:paraId="6F7A49B6" w14:textId="77777777" w:rsidR="005972C7" w:rsidRPr="003D6E9C" w:rsidRDefault="00A30F94" w:rsidP="000E3921">
            <w:pPr>
              <w:pStyle w:val="Body"/>
              <w:numPr>
                <w:ilvl w:val="0"/>
                <w:numId w:val="37"/>
              </w:numPr>
              <w:spacing w:after="80"/>
              <w:rPr>
                <w:rFonts w:asciiTheme="minorHAnsi" w:hAnsiTheme="minorHAnsi" w:cs="Calibri"/>
                <w:sz w:val="20"/>
                <w:szCs w:val="20"/>
              </w:rPr>
            </w:pPr>
            <w:r w:rsidRPr="003D6E9C">
              <w:rPr>
                <w:rFonts w:asciiTheme="minorHAnsi" w:hAnsiTheme="minorHAnsi"/>
                <w:sz w:val="20"/>
                <w:szCs w:val="20"/>
              </w:rPr>
              <w:t>Changes to staff job roles/design</w:t>
            </w:r>
          </w:p>
          <w:p w14:paraId="17715814" w14:textId="77777777" w:rsidR="00A30F94" w:rsidRPr="003D6E9C" w:rsidRDefault="00A30F94" w:rsidP="000E3921">
            <w:pPr>
              <w:pStyle w:val="Body"/>
              <w:numPr>
                <w:ilvl w:val="0"/>
                <w:numId w:val="37"/>
              </w:numPr>
              <w:spacing w:after="80"/>
              <w:rPr>
                <w:rFonts w:asciiTheme="minorHAnsi" w:hAnsiTheme="minorHAnsi" w:cs="Calibri"/>
                <w:sz w:val="20"/>
                <w:szCs w:val="20"/>
              </w:rPr>
            </w:pPr>
            <w:r w:rsidRPr="003D6E9C">
              <w:rPr>
                <w:rFonts w:asciiTheme="minorHAnsi" w:hAnsiTheme="minorHAnsi"/>
                <w:sz w:val="20"/>
                <w:szCs w:val="20"/>
              </w:rPr>
              <w:t>Automating the attribution of primary delays</w:t>
            </w:r>
          </w:p>
          <w:p w14:paraId="58FC021B" w14:textId="77777777" w:rsidR="00A30F94" w:rsidRPr="003D6E9C" w:rsidRDefault="00A30F94" w:rsidP="000E3921">
            <w:pPr>
              <w:pStyle w:val="Body"/>
              <w:numPr>
                <w:ilvl w:val="0"/>
                <w:numId w:val="37"/>
              </w:numPr>
              <w:spacing w:after="80"/>
              <w:rPr>
                <w:rFonts w:asciiTheme="minorHAnsi" w:hAnsiTheme="minorHAnsi" w:cs="Calibri"/>
                <w:sz w:val="20"/>
                <w:szCs w:val="20"/>
              </w:rPr>
            </w:pPr>
            <w:r w:rsidRPr="003D6E9C">
              <w:rPr>
                <w:rFonts w:asciiTheme="minorHAnsi" w:hAnsiTheme="minorHAnsi"/>
                <w:sz w:val="20"/>
                <w:szCs w:val="20"/>
              </w:rPr>
              <w:t>Schedule 8 and other financial contractual arrangements</w:t>
            </w:r>
          </w:p>
          <w:p w14:paraId="5A73308B" w14:textId="0D04CD12" w:rsidR="00A30F94" w:rsidRPr="003D6E9C" w:rsidRDefault="00867017" w:rsidP="000E3921">
            <w:pPr>
              <w:pStyle w:val="Body"/>
              <w:numPr>
                <w:ilvl w:val="0"/>
                <w:numId w:val="37"/>
              </w:numPr>
              <w:spacing w:after="80"/>
              <w:rPr>
                <w:rFonts w:asciiTheme="minorHAnsi" w:hAnsiTheme="minorHAnsi" w:cs="Calibri"/>
                <w:sz w:val="20"/>
                <w:szCs w:val="20"/>
              </w:rPr>
            </w:pPr>
            <w:r>
              <w:rPr>
                <w:rFonts w:asciiTheme="minorHAnsi" w:hAnsiTheme="minorHAnsi"/>
                <w:sz w:val="20"/>
                <w:szCs w:val="20"/>
              </w:rPr>
              <w:t xml:space="preserve">Validating the solution against </w:t>
            </w:r>
            <w:r w:rsidR="00A30F94" w:rsidRPr="003D6E9C">
              <w:rPr>
                <w:rFonts w:asciiTheme="minorHAnsi" w:hAnsiTheme="minorHAnsi"/>
                <w:sz w:val="20"/>
                <w:szCs w:val="20"/>
              </w:rPr>
              <w:t>manual delay attribution</w:t>
            </w:r>
          </w:p>
          <w:p w14:paraId="368DC831" w14:textId="3BBC4519" w:rsidR="00A30F94" w:rsidRPr="00080E22" w:rsidRDefault="00A30F94" w:rsidP="000E3921">
            <w:pPr>
              <w:pStyle w:val="Body"/>
              <w:numPr>
                <w:ilvl w:val="0"/>
                <w:numId w:val="37"/>
              </w:numPr>
              <w:spacing w:after="80"/>
              <w:rPr>
                <w:rFonts w:asciiTheme="minorHAnsi" w:hAnsiTheme="minorHAnsi" w:cs="Calibri"/>
                <w:sz w:val="20"/>
                <w:szCs w:val="20"/>
              </w:rPr>
            </w:pPr>
            <w:r w:rsidRPr="003D6E9C">
              <w:rPr>
                <w:rFonts w:asciiTheme="minorHAnsi" w:hAnsiTheme="minorHAnsi"/>
                <w:sz w:val="20"/>
                <w:szCs w:val="20"/>
              </w:rPr>
              <w:t>Staff competency framework for delay attribution</w:t>
            </w:r>
          </w:p>
          <w:p w14:paraId="40B3A799" w14:textId="706391C7" w:rsidR="00080E22" w:rsidRPr="00080E22" w:rsidRDefault="00080E22" w:rsidP="000E3921">
            <w:pPr>
              <w:pStyle w:val="Body"/>
              <w:numPr>
                <w:ilvl w:val="0"/>
                <w:numId w:val="37"/>
              </w:numPr>
              <w:spacing w:after="80"/>
              <w:rPr>
                <w:rFonts w:asciiTheme="minorHAnsi" w:hAnsiTheme="minorHAnsi" w:cs="Calibri"/>
                <w:sz w:val="20"/>
                <w:szCs w:val="20"/>
              </w:rPr>
            </w:pPr>
            <w:r>
              <w:rPr>
                <w:rFonts w:asciiTheme="minorHAnsi" w:hAnsiTheme="minorHAnsi"/>
                <w:sz w:val="20"/>
                <w:szCs w:val="20"/>
              </w:rPr>
              <w:t>Market ready product</w:t>
            </w:r>
          </w:p>
          <w:p w14:paraId="36DC8531" w14:textId="0C3BEAEF" w:rsidR="00080E22" w:rsidRPr="003D6E9C" w:rsidRDefault="006D0CF8" w:rsidP="000E3921">
            <w:pPr>
              <w:pStyle w:val="Body"/>
              <w:numPr>
                <w:ilvl w:val="0"/>
                <w:numId w:val="37"/>
              </w:numPr>
              <w:spacing w:after="80"/>
              <w:rPr>
                <w:rFonts w:asciiTheme="minorHAnsi" w:hAnsiTheme="minorHAnsi" w:cs="Calibri"/>
                <w:sz w:val="20"/>
                <w:szCs w:val="20"/>
              </w:rPr>
            </w:pPr>
            <w:r w:rsidRPr="006D0CF8">
              <w:rPr>
                <w:rFonts w:asciiTheme="minorHAnsi" w:hAnsiTheme="minorHAnsi" w:cs="Calibri"/>
                <w:sz w:val="20"/>
                <w:szCs w:val="20"/>
              </w:rPr>
              <w:t xml:space="preserve">Undertaking </w:t>
            </w:r>
            <w:r>
              <w:rPr>
                <w:rFonts w:asciiTheme="minorHAnsi" w:hAnsiTheme="minorHAnsi" w:cs="Calibri"/>
                <w:sz w:val="20"/>
                <w:szCs w:val="20"/>
              </w:rPr>
              <w:t xml:space="preserve">full industry consultation </w:t>
            </w:r>
            <w:r w:rsidRPr="006D0CF8">
              <w:rPr>
                <w:rFonts w:asciiTheme="minorHAnsi" w:hAnsiTheme="minorHAnsi" w:cs="Calibri"/>
                <w:sz w:val="20"/>
                <w:szCs w:val="20"/>
              </w:rPr>
              <w:t>process to change delay</w:t>
            </w:r>
            <w:r>
              <w:rPr>
                <w:rFonts w:asciiTheme="minorHAnsi" w:hAnsiTheme="minorHAnsi" w:cs="Calibri"/>
                <w:sz w:val="20"/>
                <w:szCs w:val="20"/>
              </w:rPr>
              <w:t xml:space="preserve"> </w:t>
            </w:r>
            <w:r w:rsidRPr="006D0CF8">
              <w:rPr>
                <w:rFonts w:asciiTheme="minorHAnsi" w:hAnsiTheme="minorHAnsi" w:cs="Calibri"/>
                <w:sz w:val="20"/>
                <w:szCs w:val="20"/>
              </w:rPr>
              <w:t>attribution rules</w:t>
            </w:r>
          </w:p>
          <w:p w14:paraId="59B5AA06" w14:textId="77777777" w:rsidR="00A30F94" w:rsidRPr="003D6E9C" w:rsidRDefault="00A30F94" w:rsidP="000E3921">
            <w:pPr>
              <w:pStyle w:val="Body"/>
              <w:numPr>
                <w:ilvl w:val="0"/>
                <w:numId w:val="37"/>
              </w:numPr>
              <w:spacing w:after="80"/>
              <w:rPr>
                <w:rFonts w:asciiTheme="minorHAnsi" w:hAnsiTheme="minorHAnsi" w:cs="Calibri"/>
                <w:sz w:val="20"/>
                <w:szCs w:val="20"/>
              </w:rPr>
            </w:pPr>
            <w:r w:rsidRPr="003D6E9C">
              <w:rPr>
                <w:rFonts w:asciiTheme="minorHAnsi" w:hAnsiTheme="minorHAnsi"/>
                <w:sz w:val="20"/>
                <w:szCs w:val="20"/>
              </w:rPr>
              <w:t>Live / actual attribution of reactionary delays (i.e. the research will end with a demonstrator and proposal of hard-coded rules to implement the solution)</w:t>
            </w:r>
          </w:p>
          <w:p w14:paraId="2E37BC01" w14:textId="0B533ECD" w:rsidR="00A30F94" w:rsidRPr="003D6E9C" w:rsidRDefault="00A30F94" w:rsidP="000E3921">
            <w:pPr>
              <w:pStyle w:val="Body"/>
              <w:numPr>
                <w:ilvl w:val="0"/>
                <w:numId w:val="37"/>
              </w:numPr>
              <w:spacing w:after="80"/>
              <w:rPr>
                <w:rFonts w:asciiTheme="minorHAnsi" w:hAnsiTheme="minorHAnsi" w:cs="Calibri"/>
                <w:sz w:val="20"/>
                <w:szCs w:val="20"/>
              </w:rPr>
            </w:pPr>
            <w:r w:rsidRPr="003D6E9C">
              <w:rPr>
                <w:rFonts w:asciiTheme="minorHAnsi" w:hAnsiTheme="minorHAnsi"/>
                <w:sz w:val="20"/>
                <w:szCs w:val="20"/>
              </w:rPr>
              <w:t>Predicting and preventing delays</w:t>
            </w:r>
          </w:p>
        </w:tc>
      </w:tr>
    </w:tbl>
    <w:p w14:paraId="7BCCAD39" w14:textId="10CA2FD2" w:rsidR="006D4A18" w:rsidRPr="00A55716" w:rsidRDefault="004C4608" w:rsidP="00142A33">
      <w:pPr>
        <w:pStyle w:val="Heading10"/>
        <w:keepNext/>
        <w:numPr>
          <w:ilvl w:val="0"/>
          <w:numId w:val="25"/>
        </w:numPr>
        <w:ind w:left="426" w:hanging="426"/>
        <w:outlineLvl w:val="9"/>
        <w:rPr>
          <w:rFonts w:ascii="Calibri" w:hAnsi="Calibri"/>
        </w:rPr>
      </w:pPr>
      <w:r>
        <w:rPr>
          <w:rFonts w:ascii="Calibri" w:hAnsi="Calibri"/>
        </w:rPr>
        <w:lastRenderedPageBreak/>
        <w:t>Project structure</w:t>
      </w:r>
    </w:p>
    <w:p w14:paraId="761E6362" w14:textId="16EDB621" w:rsidR="004C4608" w:rsidRDefault="004C4608" w:rsidP="004C4608">
      <w:pPr>
        <w:pStyle w:val="Body"/>
      </w:pPr>
      <w:r>
        <w:t xml:space="preserve">This project is structured in </w:t>
      </w:r>
      <w:r w:rsidR="00AC15D7">
        <w:t>4</w:t>
      </w:r>
      <w:r>
        <w:t xml:space="preserve"> </w:t>
      </w:r>
      <w:r w:rsidR="00AC15D7">
        <w:t xml:space="preserve">work </w:t>
      </w:r>
      <w:r>
        <w:t xml:space="preserve">packages, </w:t>
      </w:r>
      <w:r w:rsidRPr="00576B14">
        <w:rPr>
          <w:b/>
        </w:rPr>
        <w:t>of which Work Packag</w:t>
      </w:r>
      <w:r w:rsidRPr="00C86455">
        <w:rPr>
          <w:b/>
        </w:rPr>
        <w:t>e</w:t>
      </w:r>
      <w:r w:rsidR="00AC15D7">
        <w:rPr>
          <w:b/>
        </w:rPr>
        <w:t>s</w:t>
      </w:r>
      <w:r w:rsidRPr="00C86455">
        <w:rPr>
          <w:b/>
        </w:rPr>
        <w:t xml:space="preserve"> </w:t>
      </w:r>
      <w:r w:rsidR="00AC15D7">
        <w:rPr>
          <w:b/>
        </w:rPr>
        <w:t>COF-ADA-0</w:t>
      </w:r>
      <w:r w:rsidR="0017388C">
        <w:rPr>
          <w:b/>
        </w:rPr>
        <w:t>2</w:t>
      </w:r>
      <w:r w:rsidR="00AC15D7">
        <w:rPr>
          <w:b/>
        </w:rPr>
        <w:t>, COF-ADA-0</w:t>
      </w:r>
      <w:r w:rsidR="0017388C">
        <w:rPr>
          <w:b/>
        </w:rPr>
        <w:t>3</w:t>
      </w:r>
      <w:r w:rsidR="00AC15D7">
        <w:rPr>
          <w:b/>
        </w:rPr>
        <w:t>, and COF-ADA-0</w:t>
      </w:r>
      <w:r w:rsidR="0017388C">
        <w:rPr>
          <w:b/>
        </w:rPr>
        <w:t>4</w:t>
      </w:r>
      <w:r w:rsidR="00AC15D7">
        <w:rPr>
          <w:b/>
        </w:rPr>
        <w:t xml:space="preserve"> are</w:t>
      </w:r>
      <w:r w:rsidRPr="00576B14">
        <w:rPr>
          <w:b/>
        </w:rPr>
        <w:t xml:space="preserve"> </w:t>
      </w:r>
      <w:r w:rsidRPr="00AC15D7">
        <w:rPr>
          <w:b/>
          <w:u w:val="single"/>
        </w:rPr>
        <w:t>subject to</w:t>
      </w:r>
      <w:r w:rsidR="00AC15D7" w:rsidRPr="00AC15D7">
        <w:rPr>
          <w:b/>
          <w:u w:val="single"/>
        </w:rPr>
        <w:t xml:space="preserve"> this</w:t>
      </w:r>
      <w:r w:rsidRPr="00AC15D7">
        <w:rPr>
          <w:b/>
          <w:u w:val="single"/>
        </w:rPr>
        <w:t xml:space="preserve"> tender</w:t>
      </w:r>
      <w:r>
        <w:t>.</w:t>
      </w:r>
      <w:r w:rsidR="00AC15D7">
        <w:t xml:space="preserve">  Each work package is outlined below, including the timescales, scope and deliverables.</w:t>
      </w:r>
    </w:p>
    <w:tbl>
      <w:tblPr>
        <w:tblStyle w:val="TableGrid"/>
        <w:tblW w:w="8787" w:type="dxa"/>
        <w:jc w:val="center"/>
        <w:tblLook w:val="04A0" w:firstRow="1" w:lastRow="0" w:firstColumn="1" w:lastColumn="0" w:noHBand="0" w:noVBand="1"/>
      </w:tblPr>
      <w:tblGrid>
        <w:gridCol w:w="1413"/>
        <w:gridCol w:w="7374"/>
      </w:tblGrid>
      <w:tr w:rsidR="004C4608" w:rsidRPr="004D31C9" w14:paraId="175E1EA9" w14:textId="77777777" w:rsidTr="00FC766A">
        <w:trPr>
          <w:trHeight w:val="168"/>
          <w:jc w:val="center"/>
        </w:trPr>
        <w:tc>
          <w:tcPr>
            <w:tcW w:w="8787" w:type="dxa"/>
            <w:gridSpan w:val="2"/>
          </w:tcPr>
          <w:p w14:paraId="06D7943A" w14:textId="7BD56622" w:rsidR="004C4608" w:rsidRPr="004D31C9" w:rsidRDefault="004C4608" w:rsidP="00FC766A">
            <w:pPr>
              <w:pStyle w:val="Heading30"/>
              <w:spacing w:before="0"/>
              <w:rPr>
                <w:b/>
                <w:bCs/>
                <w:sz w:val="20"/>
                <w:szCs w:val="20"/>
              </w:rPr>
            </w:pPr>
            <w:r w:rsidRPr="004D31C9">
              <w:rPr>
                <w:b/>
                <w:bCs/>
                <w:sz w:val="20"/>
                <w:szCs w:val="20"/>
              </w:rPr>
              <w:t xml:space="preserve">Work Package </w:t>
            </w:r>
            <w:r w:rsidR="00CD515F" w:rsidRPr="004D31C9">
              <w:rPr>
                <w:b/>
                <w:bCs/>
                <w:sz w:val="20"/>
                <w:szCs w:val="20"/>
              </w:rPr>
              <w:t>COF-ADA-0</w:t>
            </w:r>
            <w:r w:rsidR="00E86CBE">
              <w:rPr>
                <w:b/>
                <w:bCs/>
                <w:sz w:val="20"/>
                <w:szCs w:val="20"/>
              </w:rPr>
              <w:t>1</w:t>
            </w:r>
            <w:r w:rsidR="00CD515F" w:rsidRPr="004D31C9">
              <w:rPr>
                <w:b/>
                <w:bCs/>
                <w:sz w:val="20"/>
                <w:szCs w:val="20"/>
              </w:rPr>
              <w:t xml:space="preserve"> (</w:t>
            </w:r>
            <w:r w:rsidR="00E86CBE">
              <w:rPr>
                <w:b/>
                <w:bCs/>
                <w:sz w:val="20"/>
                <w:szCs w:val="20"/>
              </w:rPr>
              <w:t>underway</w:t>
            </w:r>
            <w:r w:rsidR="00CD515F" w:rsidRPr="004D31C9">
              <w:rPr>
                <w:b/>
                <w:bCs/>
                <w:sz w:val="20"/>
                <w:szCs w:val="20"/>
              </w:rPr>
              <w:t>)</w:t>
            </w:r>
          </w:p>
        </w:tc>
      </w:tr>
      <w:tr w:rsidR="004C4608" w:rsidRPr="004D31C9" w14:paraId="22BC0B92" w14:textId="77777777" w:rsidTr="004D31C9">
        <w:trPr>
          <w:trHeight w:val="373"/>
          <w:jc w:val="center"/>
        </w:trPr>
        <w:tc>
          <w:tcPr>
            <w:tcW w:w="1413" w:type="dxa"/>
          </w:tcPr>
          <w:p w14:paraId="10CAE59B" w14:textId="77777777" w:rsidR="004C4608" w:rsidRPr="004D31C9" w:rsidRDefault="004C4608" w:rsidP="00FC766A">
            <w:pPr>
              <w:pStyle w:val="Body"/>
              <w:rPr>
                <w:sz w:val="20"/>
                <w:szCs w:val="20"/>
              </w:rPr>
            </w:pPr>
            <w:r w:rsidRPr="004D31C9">
              <w:rPr>
                <w:b/>
                <w:sz w:val="20"/>
                <w:szCs w:val="20"/>
              </w:rPr>
              <w:t>Title</w:t>
            </w:r>
          </w:p>
        </w:tc>
        <w:tc>
          <w:tcPr>
            <w:tcW w:w="7374" w:type="dxa"/>
          </w:tcPr>
          <w:p w14:paraId="52D7253A" w14:textId="44BC0DD4" w:rsidR="004C4608" w:rsidRPr="004D31C9" w:rsidRDefault="00CD515F" w:rsidP="00FC766A">
            <w:pPr>
              <w:pStyle w:val="Body"/>
              <w:rPr>
                <w:b/>
                <w:bCs/>
                <w:sz w:val="20"/>
                <w:szCs w:val="20"/>
              </w:rPr>
            </w:pPr>
            <w:r w:rsidRPr="004D31C9">
              <w:rPr>
                <w:b/>
                <w:bCs/>
                <w:sz w:val="20"/>
                <w:szCs w:val="20"/>
              </w:rPr>
              <w:t xml:space="preserve">Analysis and Attribution of </w:t>
            </w:r>
            <w:r w:rsidR="0017388C">
              <w:rPr>
                <w:b/>
                <w:bCs/>
                <w:sz w:val="20"/>
                <w:szCs w:val="20"/>
              </w:rPr>
              <w:t xml:space="preserve">Causal Self-Evident </w:t>
            </w:r>
            <w:r w:rsidRPr="004D31C9">
              <w:rPr>
                <w:b/>
                <w:bCs/>
                <w:sz w:val="20"/>
                <w:szCs w:val="20"/>
              </w:rPr>
              <w:t xml:space="preserve">Reactionary Delays </w:t>
            </w:r>
            <w:r w:rsidR="004C4608" w:rsidRPr="004D31C9">
              <w:rPr>
                <w:b/>
                <w:bCs/>
                <w:sz w:val="20"/>
                <w:szCs w:val="20"/>
              </w:rPr>
              <w:t xml:space="preserve">- RSSB </w:t>
            </w:r>
            <w:r w:rsidR="0017388C">
              <w:rPr>
                <w:b/>
                <w:bCs/>
                <w:sz w:val="20"/>
                <w:szCs w:val="20"/>
              </w:rPr>
              <w:t xml:space="preserve">project </w:t>
            </w:r>
            <w:r w:rsidR="005A39F8">
              <w:rPr>
                <w:b/>
                <w:bCs/>
                <w:sz w:val="20"/>
                <w:szCs w:val="20"/>
              </w:rPr>
              <w:t>definition</w:t>
            </w:r>
          </w:p>
        </w:tc>
      </w:tr>
      <w:tr w:rsidR="004C4608" w:rsidRPr="004D31C9" w14:paraId="1EFFA988" w14:textId="77777777" w:rsidTr="004D31C9">
        <w:trPr>
          <w:trHeight w:val="436"/>
          <w:jc w:val="center"/>
        </w:trPr>
        <w:tc>
          <w:tcPr>
            <w:tcW w:w="1413" w:type="dxa"/>
          </w:tcPr>
          <w:p w14:paraId="2314B04A" w14:textId="77777777" w:rsidR="004C4608" w:rsidRPr="004D31C9" w:rsidRDefault="004C4608" w:rsidP="00FC766A">
            <w:pPr>
              <w:pStyle w:val="Body"/>
              <w:rPr>
                <w:b/>
                <w:sz w:val="20"/>
                <w:szCs w:val="20"/>
              </w:rPr>
            </w:pPr>
            <w:r w:rsidRPr="004D31C9">
              <w:rPr>
                <w:b/>
                <w:sz w:val="20"/>
                <w:szCs w:val="20"/>
              </w:rPr>
              <w:t xml:space="preserve">Delivery </w:t>
            </w:r>
          </w:p>
        </w:tc>
        <w:tc>
          <w:tcPr>
            <w:tcW w:w="7374" w:type="dxa"/>
          </w:tcPr>
          <w:p w14:paraId="6BBBCEF6" w14:textId="77777777" w:rsidR="004C4608" w:rsidRPr="004D31C9" w:rsidRDefault="004C4608" w:rsidP="00FC766A">
            <w:pPr>
              <w:pStyle w:val="Body"/>
              <w:rPr>
                <w:sz w:val="20"/>
                <w:szCs w:val="20"/>
              </w:rPr>
            </w:pPr>
            <w:r w:rsidRPr="004D31C9">
              <w:rPr>
                <w:sz w:val="20"/>
                <w:szCs w:val="20"/>
              </w:rPr>
              <w:t>RSSB</w:t>
            </w:r>
          </w:p>
        </w:tc>
      </w:tr>
      <w:tr w:rsidR="004C4608" w:rsidRPr="004D31C9" w14:paraId="43203C2C" w14:textId="77777777" w:rsidTr="004D31C9">
        <w:trPr>
          <w:trHeight w:val="420"/>
          <w:jc w:val="center"/>
        </w:trPr>
        <w:tc>
          <w:tcPr>
            <w:tcW w:w="1413" w:type="dxa"/>
          </w:tcPr>
          <w:p w14:paraId="51178B1D" w14:textId="77777777" w:rsidR="004C4608" w:rsidRPr="004D31C9" w:rsidRDefault="004C4608" w:rsidP="00FC766A">
            <w:pPr>
              <w:pStyle w:val="Body"/>
              <w:rPr>
                <w:sz w:val="20"/>
                <w:szCs w:val="20"/>
              </w:rPr>
            </w:pPr>
            <w:r w:rsidRPr="004D31C9">
              <w:rPr>
                <w:b/>
                <w:sz w:val="20"/>
                <w:szCs w:val="20"/>
              </w:rPr>
              <w:t>Start</w:t>
            </w:r>
          </w:p>
        </w:tc>
        <w:tc>
          <w:tcPr>
            <w:tcW w:w="7374" w:type="dxa"/>
          </w:tcPr>
          <w:p w14:paraId="0F40C708" w14:textId="7F5BE34C" w:rsidR="004C4608" w:rsidRPr="004D31C9" w:rsidRDefault="00CD515F" w:rsidP="00FC766A">
            <w:pPr>
              <w:pStyle w:val="Body"/>
              <w:rPr>
                <w:sz w:val="20"/>
                <w:szCs w:val="20"/>
              </w:rPr>
            </w:pPr>
            <w:r w:rsidRPr="004D31C9">
              <w:rPr>
                <w:sz w:val="20"/>
                <w:szCs w:val="20"/>
              </w:rPr>
              <w:t>August 2018</w:t>
            </w:r>
          </w:p>
        </w:tc>
      </w:tr>
      <w:tr w:rsidR="004C4608" w:rsidRPr="004D31C9" w14:paraId="7315DFB6" w14:textId="77777777" w:rsidTr="004D31C9">
        <w:trPr>
          <w:trHeight w:val="420"/>
          <w:jc w:val="center"/>
        </w:trPr>
        <w:tc>
          <w:tcPr>
            <w:tcW w:w="1413" w:type="dxa"/>
          </w:tcPr>
          <w:p w14:paraId="46B13BA7" w14:textId="77777777" w:rsidR="004C4608" w:rsidRPr="004D31C9" w:rsidRDefault="004C4608" w:rsidP="00FC766A">
            <w:pPr>
              <w:pStyle w:val="Body"/>
              <w:rPr>
                <w:b/>
                <w:sz w:val="20"/>
                <w:szCs w:val="20"/>
              </w:rPr>
            </w:pPr>
            <w:r w:rsidRPr="004D31C9">
              <w:rPr>
                <w:b/>
                <w:sz w:val="20"/>
                <w:szCs w:val="20"/>
              </w:rPr>
              <w:t>Completion</w:t>
            </w:r>
          </w:p>
        </w:tc>
        <w:tc>
          <w:tcPr>
            <w:tcW w:w="7374" w:type="dxa"/>
          </w:tcPr>
          <w:p w14:paraId="184A3D14" w14:textId="19581D8F" w:rsidR="004C4608" w:rsidRPr="004D31C9" w:rsidRDefault="00CD515F" w:rsidP="00FC766A">
            <w:pPr>
              <w:pStyle w:val="Body"/>
              <w:rPr>
                <w:sz w:val="20"/>
                <w:szCs w:val="20"/>
              </w:rPr>
            </w:pPr>
            <w:r w:rsidRPr="004D31C9">
              <w:rPr>
                <w:sz w:val="20"/>
                <w:szCs w:val="20"/>
              </w:rPr>
              <w:t>September 2019</w:t>
            </w:r>
          </w:p>
        </w:tc>
      </w:tr>
    </w:tbl>
    <w:p w14:paraId="293432D8" w14:textId="77777777" w:rsidR="004C4608" w:rsidRDefault="004C4608" w:rsidP="004C4608">
      <w:pPr>
        <w:rPr>
          <w:lang w:eastAsia="en-GB"/>
        </w:rPr>
      </w:pPr>
    </w:p>
    <w:tbl>
      <w:tblPr>
        <w:tblStyle w:val="TableGrid"/>
        <w:tblW w:w="8817" w:type="dxa"/>
        <w:jc w:val="center"/>
        <w:tblLook w:val="04A0" w:firstRow="1" w:lastRow="0" w:firstColumn="1" w:lastColumn="0" w:noHBand="0" w:noVBand="1"/>
      </w:tblPr>
      <w:tblGrid>
        <w:gridCol w:w="1271"/>
        <w:gridCol w:w="7546"/>
      </w:tblGrid>
      <w:tr w:rsidR="004C4608" w:rsidRPr="009B6B89" w14:paraId="5DB070ED" w14:textId="77777777" w:rsidTr="00FC766A">
        <w:trPr>
          <w:trHeight w:val="205"/>
          <w:jc w:val="center"/>
        </w:trPr>
        <w:tc>
          <w:tcPr>
            <w:tcW w:w="8817" w:type="dxa"/>
            <w:gridSpan w:val="2"/>
          </w:tcPr>
          <w:p w14:paraId="528F4755" w14:textId="7D6B5202" w:rsidR="004C4608" w:rsidRPr="009B6B89" w:rsidRDefault="004C4608" w:rsidP="009B6B89">
            <w:pPr>
              <w:pStyle w:val="Heading30"/>
              <w:spacing w:before="0" w:after="60" w:line="276" w:lineRule="auto"/>
              <w:rPr>
                <w:b/>
                <w:sz w:val="20"/>
                <w:szCs w:val="20"/>
              </w:rPr>
            </w:pPr>
            <w:r w:rsidRPr="009B6B89">
              <w:rPr>
                <w:b/>
                <w:sz w:val="20"/>
                <w:szCs w:val="20"/>
              </w:rPr>
              <w:t xml:space="preserve">Work Package </w:t>
            </w:r>
            <w:r w:rsidR="00CD515F" w:rsidRPr="009B6B89">
              <w:rPr>
                <w:b/>
                <w:sz w:val="20"/>
                <w:szCs w:val="20"/>
              </w:rPr>
              <w:t>COF-ADA-0</w:t>
            </w:r>
            <w:r w:rsidR="00E86CBE">
              <w:rPr>
                <w:b/>
                <w:sz w:val="20"/>
                <w:szCs w:val="20"/>
              </w:rPr>
              <w:t>2</w:t>
            </w:r>
          </w:p>
        </w:tc>
      </w:tr>
      <w:tr w:rsidR="004C4608" w:rsidRPr="009B6B89" w14:paraId="3F227D5B" w14:textId="77777777" w:rsidTr="003E3F2A">
        <w:trPr>
          <w:trHeight w:val="70"/>
          <w:jc w:val="center"/>
        </w:trPr>
        <w:tc>
          <w:tcPr>
            <w:tcW w:w="1271" w:type="dxa"/>
          </w:tcPr>
          <w:p w14:paraId="54E92743" w14:textId="77777777" w:rsidR="004C4608" w:rsidRPr="009B6B89" w:rsidRDefault="004C4608" w:rsidP="009B6B89">
            <w:pPr>
              <w:pStyle w:val="Body"/>
              <w:spacing w:after="60" w:line="276" w:lineRule="auto"/>
              <w:rPr>
                <w:sz w:val="20"/>
                <w:szCs w:val="20"/>
              </w:rPr>
            </w:pPr>
            <w:r w:rsidRPr="009B6B89">
              <w:rPr>
                <w:b/>
                <w:sz w:val="20"/>
                <w:szCs w:val="20"/>
              </w:rPr>
              <w:t>Title</w:t>
            </w:r>
          </w:p>
        </w:tc>
        <w:tc>
          <w:tcPr>
            <w:tcW w:w="7546" w:type="dxa"/>
          </w:tcPr>
          <w:p w14:paraId="0F941627" w14:textId="27F24100" w:rsidR="004C4608" w:rsidRPr="009B6B89" w:rsidRDefault="00CD515F" w:rsidP="009B6B89">
            <w:pPr>
              <w:pStyle w:val="Body"/>
              <w:spacing w:after="60" w:line="276" w:lineRule="auto"/>
              <w:rPr>
                <w:b/>
                <w:bCs/>
                <w:sz w:val="20"/>
                <w:szCs w:val="20"/>
              </w:rPr>
            </w:pPr>
            <w:r w:rsidRPr="0012128F">
              <w:rPr>
                <w:b/>
                <w:bCs/>
                <w:sz w:val="20"/>
                <w:szCs w:val="20"/>
              </w:rPr>
              <w:t xml:space="preserve">Requirements and Options </w:t>
            </w:r>
            <w:r w:rsidR="0063719E" w:rsidRPr="0012128F">
              <w:rPr>
                <w:b/>
                <w:bCs/>
                <w:sz w:val="20"/>
                <w:szCs w:val="20"/>
              </w:rPr>
              <w:t>(objective 1 &amp; 2)</w:t>
            </w:r>
          </w:p>
        </w:tc>
      </w:tr>
      <w:tr w:rsidR="004C4608" w:rsidRPr="009B6B89" w14:paraId="1F7E7292" w14:textId="77777777" w:rsidTr="003E3F2A">
        <w:trPr>
          <w:trHeight w:val="433"/>
          <w:jc w:val="center"/>
        </w:trPr>
        <w:tc>
          <w:tcPr>
            <w:tcW w:w="1271" w:type="dxa"/>
          </w:tcPr>
          <w:p w14:paraId="292FE5D3" w14:textId="77777777" w:rsidR="004C4608" w:rsidRPr="009B6B89" w:rsidRDefault="004C4608" w:rsidP="009B6B89">
            <w:pPr>
              <w:pStyle w:val="Body"/>
              <w:spacing w:after="60" w:line="276" w:lineRule="auto"/>
              <w:rPr>
                <w:b/>
                <w:sz w:val="20"/>
                <w:szCs w:val="20"/>
              </w:rPr>
            </w:pPr>
            <w:r w:rsidRPr="009B6B89">
              <w:rPr>
                <w:b/>
                <w:sz w:val="20"/>
                <w:szCs w:val="20"/>
              </w:rPr>
              <w:t>Delivery</w:t>
            </w:r>
          </w:p>
        </w:tc>
        <w:tc>
          <w:tcPr>
            <w:tcW w:w="7546" w:type="dxa"/>
          </w:tcPr>
          <w:p w14:paraId="2D909A5B" w14:textId="3829FE09" w:rsidR="004C4608" w:rsidRPr="009B6B89" w:rsidRDefault="00CD515F" w:rsidP="009B6B89">
            <w:pPr>
              <w:pStyle w:val="Body"/>
              <w:spacing w:after="60" w:line="276" w:lineRule="auto"/>
              <w:rPr>
                <w:sz w:val="20"/>
                <w:szCs w:val="20"/>
              </w:rPr>
            </w:pPr>
            <w:r w:rsidRPr="009B6B89">
              <w:rPr>
                <w:sz w:val="20"/>
                <w:szCs w:val="20"/>
              </w:rPr>
              <w:t>Subject to this c</w:t>
            </w:r>
            <w:r w:rsidR="004C4608" w:rsidRPr="009B6B89">
              <w:rPr>
                <w:sz w:val="20"/>
                <w:szCs w:val="20"/>
              </w:rPr>
              <w:t>ompetitive tender</w:t>
            </w:r>
          </w:p>
        </w:tc>
      </w:tr>
      <w:tr w:rsidR="004C4608" w:rsidRPr="009B6B89" w14:paraId="0B767008" w14:textId="77777777" w:rsidTr="003E3F2A">
        <w:trPr>
          <w:trHeight w:val="417"/>
          <w:jc w:val="center"/>
        </w:trPr>
        <w:tc>
          <w:tcPr>
            <w:tcW w:w="1271" w:type="dxa"/>
          </w:tcPr>
          <w:p w14:paraId="50FE18E4" w14:textId="77777777" w:rsidR="004C4608" w:rsidRPr="009B6B89" w:rsidRDefault="004C4608" w:rsidP="009B6B89">
            <w:pPr>
              <w:pStyle w:val="Body"/>
              <w:spacing w:after="60" w:line="276" w:lineRule="auto"/>
              <w:rPr>
                <w:sz w:val="20"/>
                <w:szCs w:val="20"/>
              </w:rPr>
            </w:pPr>
            <w:r w:rsidRPr="009B6B89">
              <w:rPr>
                <w:b/>
                <w:sz w:val="20"/>
                <w:szCs w:val="20"/>
              </w:rPr>
              <w:t>Start</w:t>
            </w:r>
          </w:p>
        </w:tc>
        <w:tc>
          <w:tcPr>
            <w:tcW w:w="7546" w:type="dxa"/>
          </w:tcPr>
          <w:p w14:paraId="3F0DB21A" w14:textId="265B9025" w:rsidR="004C4608" w:rsidRPr="009B6B89" w:rsidRDefault="0063719E" w:rsidP="009B6B89">
            <w:pPr>
              <w:pStyle w:val="Body"/>
              <w:spacing w:after="60" w:line="276" w:lineRule="auto"/>
              <w:rPr>
                <w:sz w:val="20"/>
                <w:szCs w:val="20"/>
              </w:rPr>
            </w:pPr>
            <w:r w:rsidRPr="009B6B89">
              <w:rPr>
                <w:sz w:val="20"/>
                <w:szCs w:val="20"/>
              </w:rPr>
              <w:t>December 2019</w:t>
            </w:r>
          </w:p>
        </w:tc>
      </w:tr>
      <w:tr w:rsidR="004C4608" w:rsidRPr="009B6B89" w14:paraId="6DBD8446" w14:textId="77777777" w:rsidTr="003E3F2A">
        <w:trPr>
          <w:trHeight w:val="417"/>
          <w:jc w:val="center"/>
        </w:trPr>
        <w:tc>
          <w:tcPr>
            <w:tcW w:w="1271" w:type="dxa"/>
          </w:tcPr>
          <w:p w14:paraId="59B49B8D" w14:textId="77777777" w:rsidR="004C4608" w:rsidRPr="009B6B89" w:rsidRDefault="004C4608" w:rsidP="009B6B89">
            <w:pPr>
              <w:pStyle w:val="Body"/>
              <w:spacing w:after="60" w:line="276" w:lineRule="auto"/>
              <w:rPr>
                <w:b/>
                <w:sz w:val="20"/>
                <w:szCs w:val="20"/>
              </w:rPr>
            </w:pPr>
            <w:r w:rsidRPr="009B6B89">
              <w:rPr>
                <w:b/>
                <w:sz w:val="20"/>
                <w:szCs w:val="20"/>
              </w:rPr>
              <w:t xml:space="preserve">Completion </w:t>
            </w:r>
          </w:p>
        </w:tc>
        <w:tc>
          <w:tcPr>
            <w:tcW w:w="7546" w:type="dxa"/>
          </w:tcPr>
          <w:p w14:paraId="00C0565B" w14:textId="1352D4E2" w:rsidR="004C4608" w:rsidRPr="009B6B89" w:rsidRDefault="0063719E" w:rsidP="009B6B89">
            <w:pPr>
              <w:pStyle w:val="Body"/>
              <w:spacing w:after="60" w:line="276" w:lineRule="auto"/>
              <w:rPr>
                <w:sz w:val="20"/>
                <w:szCs w:val="20"/>
              </w:rPr>
            </w:pPr>
            <w:r w:rsidRPr="009B6B89">
              <w:rPr>
                <w:sz w:val="20"/>
                <w:szCs w:val="20"/>
              </w:rPr>
              <w:t>April 2020</w:t>
            </w:r>
          </w:p>
        </w:tc>
      </w:tr>
      <w:tr w:rsidR="00CD515F" w:rsidRPr="009B6B89" w14:paraId="0033B71E" w14:textId="77777777" w:rsidTr="003E3F2A">
        <w:trPr>
          <w:trHeight w:val="417"/>
          <w:jc w:val="center"/>
        </w:trPr>
        <w:tc>
          <w:tcPr>
            <w:tcW w:w="1271" w:type="dxa"/>
          </w:tcPr>
          <w:p w14:paraId="4600E282" w14:textId="79011B6D" w:rsidR="00CD515F" w:rsidRPr="009B6B89" w:rsidRDefault="00CD515F" w:rsidP="009B6B89">
            <w:pPr>
              <w:pStyle w:val="Body"/>
              <w:spacing w:after="60" w:line="276" w:lineRule="auto"/>
              <w:rPr>
                <w:b/>
                <w:sz w:val="20"/>
                <w:szCs w:val="20"/>
              </w:rPr>
            </w:pPr>
            <w:r w:rsidRPr="009B6B89">
              <w:rPr>
                <w:b/>
                <w:sz w:val="20"/>
                <w:szCs w:val="20"/>
              </w:rPr>
              <w:t xml:space="preserve">Scope </w:t>
            </w:r>
          </w:p>
        </w:tc>
        <w:tc>
          <w:tcPr>
            <w:tcW w:w="7546" w:type="dxa"/>
          </w:tcPr>
          <w:p w14:paraId="43178A2F" w14:textId="360C5166" w:rsidR="004D31C9" w:rsidRPr="009B6B89" w:rsidRDefault="004D31C9" w:rsidP="009B6B89">
            <w:pPr>
              <w:pStyle w:val="Body"/>
              <w:spacing w:after="60" w:line="276" w:lineRule="auto"/>
              <w:rPr>
                <w:b/>
                <w:bCs/>
                <w:sz w:val="20"/>
                <w:szCs w:val="20"/>
              </w:rPr>
            </w:pPr>
            <w:r w:rsidRPr="009B6B89">
              <w:rPr>
                <w:b/>
                <w:bCs/>
                <w:sz w:val="20"/>
                <w:szCs w:val="20"/>
              </w:rPr>
              <w:t xml:space="preserve">1. Define the industry, functional and non-functional requirements to identifying and analysing </w:t>
            </w:r>
            <w:r w:rsidR="005C2904">
              <w:rPr>
                <w:b/>
                <w:bCs/>
                <w:sz w:val="20"/>
                <w:szCs w:val="20"/>
              </w:rPr>
              <w:t xml:space="preserve">self-evident </w:t>
            </w:r>
            <w:r w:rsidRPr="009B6B89">
              <w:rPr>
                <w:b/>
                <w:bCs/>
                <w:sz w:val="20"/>
                <w:szCs w:val="20"/>
              </w:rPr>
              <w:t>causal reactionary delay chains</w:t>
            </w:r>
          </w:p>
          <w:p w14:paraId="791CFCF2" w14:textId="0482C8EE" w:rsidR="004D31C9" w:rsidRPr="009B6B89" w:rsidRDefault="004F635E" w:rsidP="00142A33">
            <w:pPr>
              <w:pStyle w:val="Body"/>
              <w:numPr>
                <w:ilvl w:val="0"/>
                <w:numId w:val="38"/>
              </w:numPr>
              <w:spacing w:after="60" w:line="276" w:lineRule="auto"/>
              <w:rPr>
                <w:sz w:val="20"/>
                <w:szCs w:val="20"/>
              </w:rPr>
            </w:pPr>
            <w:r>
              <w:rPr>
                <w:sz w:val="20"/>
                <w:szCs w:val="20"/>
              </w:rPr>
              <w:t>Undertake a desk-based review to understand</w:t>
            </w:r>
            <w:r w:rsidR="0043477C">
              <w:rPr>
                <w:sz w:val="20"/>
                <w:szCs w:val="20"/>
              </w:rPr>
              <w:t xml:space="preserve"> </w:t>
            </w:r>
            <w:r>
              <w:rPr>
                <w:sz w:val="20"/>
                <w:szCs w:val="20"/>
              </w:rPr>
              <w:t xml:space="preserve">the requirements for </w:t>
            </w:r>
            <w:r w:rsidR="004D31C9" w:rsidRPr="009B6B89">
              <w:rPr>
                <w:sz w:val="20"/>
                <w:szCs w:val="20"/>
              </w:rPr>
              <w:t>develop</w:t>
            </w:r>
            <w:r w:rsidR="0043477C">
              <w:rPr>
                <w:sz w:val="20"/>
                <w:szCs w:val="20"/>
              </w:rPr>
              <w:t>ing</w:t>
            </w:r>
            <w:r w:rsidR="004D31C9" w:rsidRPr="009B6B89">
              <w:rPr>
                <w:sz w:val="20"/>
                <w:szCs w:val="20"/>
              </w:rPr>
              <w:t xml:space="preserve"> the proof of concept.  This should consider previous, current and academic work</w:t>
            </w:r>
            <w:r w:rsidR="0043477C">
              <w:rPr>
                <w:sz w:val="20"/>
                <w:szCs w:val="20"/>
              </w:rPr>
              <w:t>,</w:t>
            </w:r>
            <w:r w:rsidR="004D31C9" w:rsidRPr="009B6B89">
              <w:rPr>
                <w:sz w:val="20"/>
                <w:szCs w:val="20"/>
              </w:rPr>
              <w:t xml:space="preserve"> delay attribution rules</w:t>
            </w:r>
            <w:r w:rsidR="0043477C">
              <w:rPr>
                <w:sz w:val="20"/>
                <w:szCs w:val="20"/>
              </w:rPr>
              <w:t xml:space="preserve"> and</w:t>
            </w:r>
            <w:r w:rsidR="004D31C9" w:rsidRPr="009B6B89">
              <w:rPr>
                <w:sz w:val="20"/>
                <w:szCs w:val="20"/>
              </w:rPr>
              <w:t xml:space="preserve"> principles</w:t>
            </w:r>
            <w:r w:rsidR="0043477C">
              <w:rPr>
                <w:sz w:val="20"/>
                <w:szCs w:val="20"/>
              </w:rPr>
              <w:t>,</w:t>
            </w:r>
            <w:r w:rsidR="004D31C9" w:rsidRPr="009B6B89">
              <w:rPr>
                <w:sz w:val="20"/>
                <w:szCs w:val="20"/>
              </w:rPr>
              <w:t xml:space="preserve"> good practice guidance</w:t>
            </w:r>
            <w:r w:rsidR="0043477C">
              <w:rPr>
                <w:sz w:val="20"/>
                <w:szCs w:val="20"/>
              </w:rPr>
              <w:t>,</w:t>
            </w:r>
            <w:r w:rsidR="004D31C9" w:rsidRPr="009B6B89">
              <w:rPr>
                <w:sz w:val="20"/>
                <w:szCs w:val="20"/>
              </w:rPr>
              <w:t xml:space="preserve"> ORR review of delay attribution</w:t>
            </w:r>
            <w:r w:rsidR="0043477C">
              <w:rPr>
                <w:sz w:val="20"/>
                <w:szCs w:val="20"/>
              </w:rPr>
              <w:t>,</w:t>
            </w:r>
            <w:r w:rsidR="004D31C9" w:rsidRPr="009B6B89">
              <w:rPr>
                <w:sz w:val="20"/>
                <w:szCs w:val="20"/>
              </w:rPr>
              <w:t xml:space="preserve"> international practice</w:t>
            </w:r>
            <w:r w:rsidR="0043477C">
              <w:rPr>
                <w:sz w:val="20"/>
                <w:szCs w:val="20"/>
              </w:rPr>
              <w:t>,</w:t>
            </w:r>
            <w:r w:rsidR="004D31C9" w:rsidRPr="009B6B89">
              <w:rPr>
                <w:sz w:val="20"/>
                <w:szCs w:val="20"/>
              </w:rPr>
              <w:t xml:space="preserve"> current / near future (1-5 years) systems a solution would need to interface with (e.g. traffic management, ERTMS)</w:t>
            </w:r>
            <w:r w:rsidR="00781D36" w:rsidRPr="009B6B89">
              <w:rPr>
                <w:sz w:val="20"/>
                <w:szCs w:val="20"/>
              </w:rPr>
              <w:t>.</w:t>
            </w:r>
          </w:p>
          <w:p w14:paraId="6820C1E1" w14:textId="6EC9D041" w:rsidR="004D31C9" w:rsidRPr="009B6B89" w:rsidRDefault="004D31C9" w:rsidP="00142A33">
            <w:pPr>
              <w:pStyle w:val="Body"/>
              <w:numPr>
                <w:ilvl w:val="0"/>
                <w:numId w:val="38"/>
              </w:numPr>
              <w:spacing w:after="60" w:line="276" w:lineRule="auto"/>
              <w:rPr>
                <w:sz w:val="20"/>
                <w:szCs w:val="20"/>
              </w:rPr>
            </w:pPr>
            <w:r w:rsidRPr="009B6B89">
              <w:rPr>
                <w:sz w:val="20"/>
                <w:szCs w:val="20"/>
              </w:rPr>
              <w:t xml:space="preserve">Undertake extensive industry consultation to identify minimum industry and end-user requirements </w:t>
            </w:r>
            <w:r w:rsidR="009844D9">
              <w:rPr>
                <w:sz w:val="20"/>
                <w:szCs w:val="20"/>
              </w:rPr>
              <w:t>for</w:t>
            </w:r>
            <w:r w:rsidRPr="009B6B89">
              <w:rPr>
                <w:sz w:val="20"/>
                <w:szCs w:val="20"/>
              </w:rPr>
              <w:t xml:space="preserve"> the proof of concept. This must include senior and practitioner representatives from NR, TOCs, FOCs and supply chain.  The consultation should</w:t>
            </w:r>
            <w:r w:rsidR="003A4AFA">
              <w:rPr>
                <w:sz w:val="20"/>
                <w:szCs w:val="20"/>
              </w:rPr>
              <w:t>:</w:t>
            </w:r>
            <w:r w:rsidRPr="009B6B89">
              <w:rPr>
                <w:sz w:val="20"/>
                <w:szCs w:val="20"/>
              </w:rPr>
              <w:t xml:space="preserve"> understand the industry barriers, constraints and opportunities; required change management processes and behaviours; agreed mix of complex and frequent scenarios to map reactionary chains; and the acceptable level of accuracy.  </w:t>
            </w:r>
          </w:p>
          <w:p w14:paraId="32844D8C" w14:textId="1E459B9A" w:rsidR="0043477C" w:rsidRPr="009B6B89" w:rsidRDefault="0043477C" w:rsidP="00142A33">
            <w:pPr>
              <w:pStyle w:val="Body"/>
              <w:numPr>
                <w:ilvl w:val="0"/>
                <w:numId w:val="38"/>
              </w:numPr>
              <w:spacing w:after="60" w:line="276" w:lineRule="auto"/>
              <w:rPr>
                <w:sz w:val="20"/>
                <w:szCs w:val="20"/>
              </w:rPr>
            </w:pPr>
            <w:r>
              <w:rPr>
                <w:sz w:val="20"/>
                <w:szCs w:val="20"/>
              </w:rPr>
              <w:t xml:space="preserve">Understand the performance and delay attribution workflows to inform developing the proof of concept  </w:t>
            </w:r>
          </w:p>
          <w:p w14:paraId="55606312" w14:textId="770D58DB" w:rsidR="004D31C9" w:rsidRPr="009B6B89" w:rsidRDefault="004D31C9" w:rsidP="00142A33">
            <w:pPr>
              <w:pStyle w:val="Body"/>
              <w:numPr>
                <w:ilvl w:val="0"/>
                <w:numId w:val="38"/>
              </w:numPr>
              <w:spacing w:after="60" w:line="276" w:lineRule="auto"/>
              <w:rPr>
                <w:sz w:val="20"/>
                <w:szCs w:val="20"/>
              </w:rPr>
            </w:pPr>
            <w:r w:rsidRPr="009B6B89">
              <w:rPr>
                <w:sz w:val="20"/>
                <w:szCs w:val="20"/>
              </w:rPr>
              <w:t xml:space="preserve">Attribution mapping / decision trees of reactionary delay chains across agreed scenarios varying in delay frequency and complexity  </w:t>
            </w:r>
          </w:p>
          <w:p w14:paraId="6DC59F8C" w14:textId="3BAD7EB5" w:rsidR="004D31C9" w:rsidRPr="009B6B89" w:rsidRDefault="004D31C9" w:rsidP="00142A33">
            <w:pPr>
              <w:pStyle w:val="Body"/>
              <w:numPr>
                <w:ilvl w:val="0"/>
                <w:numId w:val="38"/>
              </w:numPr>
              <w:spacing w:after="60" w:line="276" w:lineRule="auto"/>
              <w:rPr>
                <w:sz w:val="20"/>
                <w:szCs w:val="20"/>
              </w:rPr>
            </w:pPr>
            <w:r w:rsidRPr="009B6B89">
              <w:rPr>
                <w:sz w:val="20"/>
                <w:szCs w:val="20"/>
              </w:rPr>
              <w:t xml:space="preserve">Define what </w:t>
            </w:r>
            <w:r w:rsidR="0043477C">
              <w:rPr>
                <w:sz w:val="20"/>
                <w:szCs w:val="20"/>
              </w:rPr>
              <w:t xml:space="preserve">causal </w:t>
            </w:r>
            <w:r w:rsidRPr="009B6B89">
              <w:rPr>
                <w:sz w:val="20"/>
                <w:szCs w:val="20"/>
              </w:rPr>
              <w:t xml:space="preserve">self-evident reactionary delay chains looks like, how accurate and consistent identification and allocation of reactionary chains can be achieved within defined boundaries </w:t>
            </w:r>
          </w:p>
          <w:p w14:paraId="5186C148" w14:textId="1BD34D87" w:rsidR="004D31C9" w:rsidRPr="009B6B89" w:rsidRDefault="004D31C9" w:rsidP="00142A33">
            <w:pPr>
              <w:pStyle w:val="Body"/>
              <w:numPr>
                <w:ilvl w:val="0"/>
                <w:numId w:val="38"/>
              </w:numPr>
              <w:spacing w:after="60" w:line="276" w:lineRule="auto"/>
              <w:rPr>
                <w:sz w:val="20"/>
                <w:szCs w:val="20"/>
              </w:rPr>
            </w:pPr>
            <w:r w:rsidRPr="009B6B89">
              <w:rPr>
                <w:sz w:val="20"/>
                <w:szCs w:val="20"/>
              </w:rPr>
              <w:lastRenderedPageBreak/>
              <w:t>Define the agreed industry success criteria for the solution, including the % accuracy of identifying reactionary delay chains against the rules, % of consistency allocating reactionary delay chains, and % of reactionary scenarios that can be identified and allocated to the agreed level of accuracy and consistency.</w:t>
            </w:r>
          </w:p>
          <w:p w14:paraId="39B1D813" w14:textId="7E8B8C12" w:rsidR="004D31C9" w:rsidRPr="009B6B89" w:rsidRDefault="004D31C9" w:rsidP="00142A33">
            <w:pPr>
              <w:pStyle w:val="Body"/>
              <w:numPr>
                <w:ilvl w:val="0"/>
                <w:numId w:val="38"/>
              </w:numPr>
              <w:spacing w:after="60" w:line="276" w:lineRule="auto"/>
              <w:rPr>
                <w:sz w:val="20"/>
                <w:szCs w:val="20"/>
              </w:rPr>
            </w:pPr>
            <w:r w:rsidRPr="009B6B89">
              <w:rPr>
                <w:sz w:val="20"/>
                <w:szCs w:val="20"/>
              </w:rPr>
              <w:t>Define what good looks like to implement the solution, including better transparency, the required resources, sustainability costs, and management of disputes</w:t>
            </w:r>
          </w:p>
          <w:p w14:paraId="76BB2079" w14:textId="3768CEFB" w:rsidR="004D31C9" w:rsidRPr="009B6B89" w:rsidRDefault="004D31C9" w:rsidP="00142A33">
            <w:pPr>
              <w:pStyle w:val="Body"/>
              <w:numPr>
                <w:ilvl w:val="0"/>
                <w:numId w:val="38"/>
              </w:numPr>
              <w:spacing w:after="60" w:line="276" w:lineRule="auto"/>
              <w:rPr>
                <w:sz w:val="20"/>
                <w:szCs w:val="20"/>
              </w:rPr>
            </w:pPr>
            <w:r w:rsidRPr="009B6B89">
              <w:rPr>
                <w:sz w:val="20"/>
                <w:szCs w:val="20"/>
              </w:rPr>
              <w:t xml:space="preserve">Identify the reactionary delay scenarios that cannot be causally identified within a chain </w:t>
            </w:r>
          </w:p>
          <w:p w14:paraId="54D6A716" w14:textId="3E2A2747" w:rsidR="00CD515F" w:rsidRPr="009B6B89" w:rsidRDefault="004D31C9" w:rsidP="00142A33">
            <w:pPr>
              <w:pStyle w:val="Body"/>
              <w:numPr>
                <w:ilvl w:val="0"/>
                <w:numId w:val="38"/>
              </w:numPr>
              <w:spacing w:after="60" w:line="276" w:lineRule="auto"/>
              <w:rPr>
                <w:sz w:val="20"/>
                <w:szCs w:val="20"/>
              </w:rPr>
            </w:pPr>
            <w:r w:rsidRPr="009B6B89">
              <w:rPr>
                <w:sz w:val="20"/>
                <w:szCs w:val="20"/>
              </w:rPr>
              <w:t xml:space="preserve">Identify what will </w:t>
            </w:r>
            <w:r w:rsidR="009844D9">
              <w:rPr>
                <w:sz w:val="20"/>
                <w:szCs w:val="20"/>
              </w:rPr>
              <w:t xml:space="preserve">be </w:t>
            </w:r>
            <w:r w:rsidRPr="009B6B89">
              <w:rPr>
                <w:sz w:val="20"/>
                <w:szCs w:val="20"/>
              </w:rPr>
              <w:t>lost from manual delay attribution through automation (e.g. communication and interpretation) and how to mitigate this</w:t>
            </w:r>
          </w:p>
          <w:p w14:paraId="5E0F641E" w14:textId="77777777" w:rsidR="00781D36" w:rsidRPr="009B6B89" w:rsidRDefault="00781D36" w:rsidP="009B6B89">
            <w:pPr>
              <w:pStyle w:val="Body"/>
              <w:spacing w:after="60" w:line="276" w:lineRule="auto"/>
              <w:rPr>
                <w:sz w:val="20"/>
                <w:szCs w:val="20"/>
              </w:rPr>
            </w:pPr>
            <w:r w:rsidRPr="009B6B89">
              <w:rPr>
                <w:b/>
                <w:bCs/>
                <w:sz w:val="20"/>
                <w:szCs w:val="20"/>
              </w:rPr>
              <w:t xml:space="preserve">2. Evaluate and present the options for a solution </w:t>
            </w:r>
            <w:r w:rsidRPr="009B6B89">
              <w:rPr>
                <w:rFonts w:eastAsia="Calibri"/>
                <w:b/>
                <w:bCs/>
                <w:sz w:val="20"/>
                <w:szCs w:val="20"/>
                <w:lang w:val="en-US"/>
              </w:rPr>
              <w:t xml:space="preserve">to be developed.  </w:t>
            </w:r>
          </w:p>
          <w:p w14:paraId="0F80BBF4" w14:textId="705C8223" w:rsidR="00781D36" w:rsidRPr="009B6B89" w:rsidRDefault="00781D36" w:rsidP="00142A33">
            <w:pPr>
              <w:pStyle w:val="Body"/>
              <w:numPr>
                <w:ilvl w:val="0"/>
                <w:numId w:val="38"/>
              </w:numPr>
              <w:spacing w:after="60" w:line="276" w:lineRule="auto"/>
              <w:rPr>
                <w:sz w:val="20"/>
                <w:szCs w:val="20"/>
              </w:rPr>
            </w:pPr>
            <w:r w:rsidRPr="009B6B89">
              <w:rPr>
                <w:rFonts w:eastAsia="Calibri"/>
                <w:sz w:val="20"/>
                <w:szCs w:val="20"/>
                <w:lang w:val="en-US"/>
              </w:rPr>
              <w:t xml:space="preserve">For each option, consider the data, features and operations that satisfy the functional and industry requirements </w:t>
            </w:r>
          </w:p>
          <w:p w14:paraId="58B72614" w14:textId="447945BB" w:rsidR="00781D36" w:rsidRPr="009B6B89" w:rsidRDefault="00781D36" w:rsidP="00142A33">
            <w:pPr>
              <w:pStyle w:val="Body"/>
              <w:numPr>
                <w:ilvl w:val="0"/>
                <w:numId w:val="38"/>
              </w:numPr>
              <w:spacing w:after="60" w:line="276" w:lineRule="auto"/>
              <w:rPr>
                <w:sz w:val="20"/>
                <w:szCs w:val="20"/>
              </w:rPr>
            </w:pPr>
            <w:r w:rsidRPr="009B6B89">
              <w:rPr>
                <w:sz w:val="20"/>
                <w:szCs w:val="20"/>
              </w:rPr>
              <w:t xml:space="preserve">The strengths, limitations and viability of each option </w:t>
            </w:r>
          </w:p>
          <w:p w14:paraId="2AFE7DFA" w14:textId="295E378C" w:rsidR="00781D36" w:rsidRPr="009B6B89" w:rsidRDefault="00781D36" w:rsidP="00142A33">
            <w:pPr>
              <w:pStyle w:val="Body"/>
              <w:numPr>
                <w:ilvl w:val="0"/>
                <w:numId w:val="38"/>
              </w:numPr>
              <w:spacing w:after="60" w:line="276" w:lineRule="auto"/>
              <w:rPr>
                <w:sz w:val="20"/>
                <w:szCs w:val="20"/>
              </w:rPr>
            </w:pPr>
            <w:r w:rsidRPr="009B6B89">
              <w:rPr>
                <w:sz w:val="20"/>
                <w:szCs w:val="20"/>
              </w:rPr>
              <w:t xml:space="preserve">Consult industry practitioners and senior stakeholders on the proposed options and agree the reactionary delay scenarios in which the solution </w:t>
            </w:r>
            <w:r w:rsidR="0012128F">
              <w:rPr>
                <w:sz w:val="20"/>
                <w:szCs w:val="20"/>
              </w:rPr>
              <w:t>will</w:t>
            </w:r>
            <w:r w:rsidR="0012128F" w:rsidRPr="009B6B89">
              <w:rPr>
                <w:sz w:val="20"/>
                <w:szCs w:val="20"/>
              </w:rPr>
              <w:t xml:space="preserve"> </w:t>
            </w:r>
            <w:r w:rsidRPr="009B6B89">
              <w:rPr>
                <w:sz w:val="20"/>
                <w:szCs w:val="20"/>
              </w:rPr>
              <w:t>be developed and tested against.  This should include</w:t>
            </w:r>
            <w:r w:rsidR="0012128F">
              <w:rPr>
                <w:sz w:val="20"/>
                <w:szCs w:val="20"/>
              </w:rPr>
              <w:t xml:space="preserve">, as a minimum, consulting </w:t>
            </w:r>
            <w:r w:rsidRPr="009B6B89">
              <w:rPr>
                <w:sz w:val="20"/>
                <w:szCs w:val="20"/>
              </w:rPr>
              <w:t>the BOPB</w:t>
            </w:r>
            <w:r w:rsidR="0012128F">
              <w:rPr>
                <w:sz w:val="20"/>
                <w:szCs w:val="20"/>
              </w:rPr>
              <w:t xml:space="preserve"> and</w:t>
            </w:r>
            <w:r w:rsidRPr="009B6B89">
              <w:rPr>
                <w:sz w:val="20"/>
                <w:szCs w:val="20"/>
              </w:rPr>
              <w:t xml:space="preserve"> DA</w:t>
            </w:r>
            <w:r w:rsidR="0012128F">
              <w:rPr>
                <w:sz w:val="20"/>
                <w:szCs w:val="20"/>
              </w:rPr>
              <w:t>B.</w:t>
            </w:r>
            <w:r w:rsidRPr="009B6B89">
              <w:rPr>
                <w:sz w:val="20"/>
                <w:szCs w:val="20"/>
              </w:rPr>
              <w:t xml:space="preserve"> review group.</w:t>
            </w:r>
          </w:p>
        </w:tc>
      </w:tr>
      <w:tr w:rsidR="00CD515F" w:rsidRPr="009B6B89" w14:paraId="067B5095" w14:textId="77777777" w:rsidTr="003E3F2A">
        <w:trPr>
          <w:trHeight w:val="417"/>
          <w:jc w:val="center"/>
        </w:trPr>
        <w:tc>
          <w:tcPr>
            <w:tcW w:w="1271" w:type="dxa"/>
          </w:tcPr>
          <w:p w14:paraId="6404096D" w14:textId="37F9168D" w:rsidR="00CD515F" w:rsidRPr="009B6B89" w:rsidRDefault="00CD515F" w:rsidP="009B6B89">
            <w:pPr>
              <w:pStyle w:val="Body"/>
              <w:spacing w:after="60" w:line="276" w:lineRule="auto"/>
              <w:rPr>
                <w:b/>
                <w:sz w:val="20"/>
                <w:szCs w:val="20"/>
              </w:rPr>
            </w:pPr>
            <w:r w:rsidRPr="009B6B89">
              <w:rPr>
                <w:b/>
                <w:sz w:val="20"/>
                <w:szCs w:val="20"/>
              </w:rPr>
              <w:lastRenderedPageBreak/>
              <w:t xml:space="preserve">Deliverables </w:t>
            </w:r>
          </w:p>
        </w:tc>
        <w:tc>
          <w:tcPr>
            <w:tcW w:w="7546" w:type="dxa"/>
          </w:tcPr>
          <w:p w14:paraId="4802EC59" w14:textId="30A5B7C2" w:rsidR="004C12C6" w:rsidRPr="009B6B89" w:rsidRDefault="004C12C6" w:rsidP="009B6B89">
            <w:pPr>
              <w:pStyle w:val="Body"/>
              <w:spacing w:after="60" w:line="276" w:lineRule="auto"/>
              <w:rPr>
                <w:sz w:val="20"/>
                <w:szCs w:val="20"/>
              </w:rPr>
            </w:pPr>
            <w:r w:rsidRPr="009B6B89">
              <w:rPr>
                <w:sz w:val="20"/>
                <w:szCs w:val="20"/>
              </w:rPr>
              <w:t xml:space="preserve">This work package shall produce as a minimum the following deliverables: </w:t>
            </w:r>
          </w:p>
          <w:p w14:paraId="72A1884D" w14:textId="18374634" w:rsidR="00A760DC" w:rsidRPr="009B6B89" w:rsidRDefault="004C12C6" w:rsidP="00142A33">
            <w:pPr>
              <w:pStyle w:val="Body"/>
              <w:numPr>
                <w:ilvl w:val="0"/>
                <w:numId w:val="39"/>
              </w:numPr>
              <w:spacing w:after="60" w:line="276" w:lineRule="auto"/>
              <w:rPr>
                <w:sz w:val="20"/>
                <w:szCs w:val="20"/>
              </w:rPr>
            </w:pPr>
            <w:r w:rsidRPr="009B6B89">
              <w:rPr>
                <w:b/>
                <w:bCs/>
                <w:sz w:val="20"/>
                <w:szCs w:val="20"/>
              </w:rPr>
              <w:t>T</w:t>
            </w:r>
            <w:r w:rsidR="00781D36" w:rsidRPr="009B6B89">
              <w:rPr>
                <w:b/>
                <w:bCs/>
                <w:sz w:val="20"/>
                <w:szCs w:val="20"/>
              </w:rPr>
              <w:t>echnical report</w:t>
            </w:r>
            <w:r w:rsidR="00A760DC" w:rsidRPr="009B6B89">
              <w:rPr>
                <w:b/>
                <w:bCs/>
                <w:sz w:val="20"/>
                <w:szCs w:val="20"/>
              </w:rPr>
              <w:t xml:space="preserve">: Requirements and Options </w:t>
            </w:r>
            <w:r w:rsidR="004F635E">
              <w:rPr>
                <w:b/>
                <w:bCs/>
                <w:sz w:val="20"/>
                <w:szCs w:val="20"/>
              </w:rPr>
              <w:t>for developing a proof of concept to a</w:t>
            </w:r>
            <w:r w:rsidR="004F635E" w:rsidRPr="004F635E">
              <w:rPr>
                <w:b/>
                <w:bCs/>
                <w:sz w:val="20"/>
                <w:szCs w:val="20"/>
              </w:rPr>
              <w:t>nalys</w:t>
            </w:r>
            <w:r w:rsidR="004F635E">
              <w:rPr>
                <w:b/>
                <w:bCs/>
                <w:sz w:val="20"/>
                <w:szCs w:val="20"/>
              </w:rPr>
              <w:t>e</w:t>
            </w:r>
            <w:r w:rsidR="004F635E" w:rsidRPr="004F635E">
              <w:rPr>
                <w:b/>
                <w:bCs/>
                <w:sz w:val="20"/>
                <w:szCs w:val="20"/>
              </w:rPr>
              <w:t xml:space="preserve"> and </w:t>
            </w:r>
            <w:r w:rsidR="004F635E">
              <w:rPr>
                <w:b/>
                <w:bCs/>
                <w:sz w:val="20"/>
                <w:szCs w:val="20"/>
              </w:rPr>
              <w:t>a</w:t>
            </w:r>
            <w:r w:rsidR="004F635E" w:rsidRPr="004F635E">
              <w:rPr>
                <w:b/>
                <w:bCs/>
                <w:sz w:val="20"/>
                <w:szCs w:val="20"/>
              </w:rPr>
              <w:t>ttribut</w:t>
            </w:r>
            <w:r w:rsidR="004F635E">
              <w:rPr>
                <w:b/>
                <w:bCs/>
                <w:sz w:val="20"/>
                <w:szCs w:val="20"/>
              </w:rPr>
              <w:t>e</w:t>
            </w:r>
            <w:r w:rsidR="004F635E" w:rsidRPr="004F635E">
              <w:rPr>
                <w:b/>
                <w:bCs/>
                <w:sz w:val="20"/>
                <w:szCs w:val="20"/>
              </w:rPr>
              <w:t xml:space="preserve"> </w:t>
            </w:r>
            <w:r w:rsidR="004F635E">
              <w:rPr>
                <w:b/>
                <w:bCs/>
                <w:sz w:val="20"/>
                <w:szCs w:val="20"/>
              </w:rPr>
              <w:t>c</w:t>
            </w:r>
            <w:r w:rsidR="004F635E" w:rsidRPr="004F635E">
              <w:rPr>
                <w:b/>
                <w:bCs/>
                <w:sz w:val="20"/>
                <w:szCs w:val="20"/>
              </w:rPr>
              <w:t xml:space="preserve">ausal </w:t>
            </w:r>
            <w:r w:rsidR="004F635E">
              <w:rPr>
                <w:b/>
                <w:bCs/>
                <w:sz w:val="20"/>
                <w:szCs w:val="20"/>
              </w:rPr>
              <w:t>s</w:t>
            </w:r>
            <w:r w:rsidR="004F635E" w:rsidRPr="004F635E">
              <w:rPr>
                <w:b/>
                <w:bCs/>
                <w:sz w:val="20"/>
                <w:szCs w:val="20"/>
              </w:rPr>
              <w:t>elf-</w:t>
            </w:r>
            <w:r w:rsidR="004F635E">
              <w:rPr>
                <w:b/>
                <w:bCs/>
                <w:sz w:val="20"/>
                <w:szCs w:val="20"/>
              </w:rPr>
              <w:t>e</w:t>
            </w:r>
            <w:r w:rsidR="004F635E" w:rsidRPr="004F635E">
              <w:rPr>
                <w:b/>
                <w:bCs/>
                <w:sz w:val="20"/>
                <w:szCs w:val="20"/>
              </w:rPr>
              <w:t xml:space="preserve">vident </w:t>
            </w:r>
            <w:r w:rsidR="004F635E">
              <w:rPr>
                <w:b/>
                <w:bCs/>
                <w:sz w:val="20"/>
                <w:szCs w:val="20"/>
              </w:rPr>
              <w:t>r</w:t>
            </w:r>
            <w:r w:rsidR="004F635E" w:rsidRPr="004F635E">
              <w:rPr>
                <w:b/>
                <w:bCs/>
                <w:sz w:val="20"/>
                <w:szCs w:val="20"/>
              </w:rPr>
              <w:t xml:space="preserve">eactionary </w:t>
            </w:r>
            <w:r w:rsidR="004F635E">
              <w:rPr>
                <w:b/>
                <w:bCs/>
                <w:sz w:val="20"/>
                <w:szCs w:val="20"/>
              </w:rPr>
              <w:t>d</w:t>
            </w:r>
            <w:r w:rsidR="004F635E" w:rsidRPr="004F635E">
              <w:rPr>
                <w:b/>
                <w:bCs/>
                <w:sz w:val="20"/>
                <w:szCs w:val="20"/>
              </w:rPr>
              <w:t>elays</w:t>
            </w:r>
            <w:r w:rsidR="00A760DC" w:rsidRPr="009B6B89">
              <w:rPr>
                <w:b/>
                <w:bCs/>
                <w:sz w:val="20"/>
                <w:szCs w:val="20"/>
              </w:rPr>
              <w:t xml:space="preserve">.  </w:t>
            </w:r>
            <w:r w:rsidR="00A760DC" w:rsidRPr="009B6B89">
              <w:rPr>
                <w:sz w:val="20"/>
                <w:szCs w:val="20"/>
              </w:rPr>
              <w:t xml:space="preserve">This report shall </w:t>
            </w:r>
            <w:r w:rsidR="004F635E">
              <w:rPr>
                <w:sz w:val="20"/>
                <w:szCs w:val="20"/>
              </w:rPr>
              <w:t xml:space="preserve">include as a minimum, </w:t>
            </w:r>
            <w:r w:rsidR="007A01D3">
              <w:rPr>
                <w:sz w:val="20"/>
                <w:szCs w:val="20"/>
              </w:rPr>
              <w:t>f</w:t>
            </w:r>
            <w:r w:rsidR="00A760DC" w:rsidRPr="009B6B89">
              <w:rPr>
                <w:sz w:val="20"/>
                <w:szCs w:val="20"/>
              </w:rPr>
              <w:t xml:space="preserve">indings </w:t>
            </w:r>
            <w:r w:rsidR="004F635E">
              <w:rPr>
                <w:sz w:val="20"/>
                <w:szCs w:val="20"/>
              </w:rPr>
              <w:t>from</w:t>
            </w:r>
            <w:r w:rsidR="004F635E" w:rsidRPr="009B6B89">
              <w:rPr>
                <w:sz w:val="20"/>
                <w:szCs w:val="20"/>
              </w:rPr>
              <w:t xml:space="preserve"> </w:t>
            </w:r>
            <w:r w:rsidR="00A760DC" w:rsidRPr="009B6B89">
              <w:rPr>
                <w:sz w:val="20"/>
                <w:szCs w:val="20"/>
              </w:rPr>
              <w:t xml:space="preserve">the </w:t>
            </w:r>
            <w:r w:rsidR="004F635E">
              <w:rPr>
                <w:sz w:val="20"/>
                <w:szCs w:val="20"/>
              </w:rPr>
              <w:t>desk-based</w:t>
            </w:r>
            <w:r w:rsidR="004F635E" w:rsidRPr="009B6B89">
              <w:rPr>
                <w:sz w:val="20"/>
                <w:szCs w:val="20"/>
              </w:rPr>
              <w:t xml:space="preserve"> </w:t>
            </w:r>
            <w:r w:rsidR="00A760DC" w:rsidRPr="009B6B89">
              <w:rPr>
                <w:sz w:val="20"/>
                <w:szCs w:val="20"/>
              </w:rPr>
              <w:t>review, industry consultation,</w:t>
            </w:r>
            <w:r w:rsidR="007A01D3">
              <w:rPr>
                <w:sz w:val="20"/>
                <w:szCs w:val="20"/>
              </w:rPr>
              <w:t xml:space="preserve"> </w:t>
            </w:r>
            <w:r w:rsidR="00A760DC" w:rsidRPr="009B6B89">
              <w:rPr>
                <w:sz w:val="20"/>
                <w:szCs w:val="20"/>
              </w:rPr>
              <w:t xml:space="preserve">attribution mapping, synthesis and analysis of the options for developing a proof of concept.   </w:t>
            </w:r>
            <w:r w:rsidR="00A661A7" w:rsidRPr="009B6B89">
              <w:rPr>
                <w:sz w:val="20"/>
                <w:szCs w:val="20"/>
              </w:rPr>
              <w:t xml:space="preserve">This shall include understanding the methodology </w:t>
            </w:r>
            <w:r w:rsidR="009F72C4" w:rsidRPr="009B6B89">
              <w:rPr>
                <w:sz w:val="20"/>
                <w:szCs w:val="20"/>
              </w:rPr>
              <w:t>of</w:t>
            </w:r>
            <w:r w:rsidR="00A661A7" w:rsidRPr="009B6B89">
              <w:rPr>
                <w:sz w:val="20"/>
                <w:szCs w:val="20"/>
              </w:rPr>
              <w:t xml:space="preserve"> how </w:t>
            </w:r>
            <w:r w:rsidR="00734F74">
              <w:rPr>
                <w:sz w:val="20"/>
                <w:szCs w:val="20"/>
              </w:rPr>
              <w:t xml:space="preserve">causal </w:t>
            </w:r>
            <w:r w:rsidR="00A661A7" w:rsidRPr="009B6B89">
              <w:rPr>
                <w:sz w:val="20"/>
                <w:szCs w:val="20"/>
              </w:rPr>
              <w:t xml:space="preserve">self-evident reactionary chains </w:t>
            </w:r>
            <w:r w:rsidR="00734F74">
              <w:rPr>
                <w:sz w:val="20"/>
                <w:szCs w:val="20"/>
              </w:rPr>
              <w:t>will</w:t>
            </w:r>
            <w:r w:rsidR="00734F74" w:rsidRPr="009B6B89">
              <w:rPr>
                <w:sz w:val="20"/>
                <w:szCs w:val="20"/>
              </w:rPr>
              <w:t xml:space="preserve"> </w:t>
            </w:r>
            <w:r w:rsidR="00A661A7" w:rsidRPr="009B6B89">
              <w:rPr>
                <w:sz w:val="20"/>
                <w:szCs w:val="20"/>
              </w:rPr>
              <w:t xml:space="preserve">be investigated and analysed for performance and attribution </w:t>
            </w:r>
            <w:r w:rsidR="009F6B31" w:rsidRPr="009B6B89">
              <w:rPr>
                <w:sz w:val="20"/>
                <w:szCs w:val="20"/>
              </w:rPr>
              <w:t>analysis and</w:t>
            </w:r>
            <w:r w:rsidR="00734F74">
              <w:rPr>
                <w:sz w:val="20"/>
                <w:szCs w:val="20"/>
              </w:rPr>
              <w:t xml:space="preserve"> enable automation </w:t>
            </w:r>
            <w:r w:rsidR="00A661A7" w:rsidRPr="009B6B89">
              <w:rPr>
                <w:sz w:val="20"/>
                <w:szCs w:val="20"/>
              </w:rPr>
              <w:t>to the agreed industry success criteria.</w:t>
            </w:r>
          </w:p>
          <w:p w14:paraId="43D3146F" w14:textId="0A9A4F6D" w:rsidR="00A661A7" w:rsidRPr="009B6B89" w:rsidRDefault="004C12C6" w:rsidP="00142A33">
            <w:pPr>
              <w:pStyle w:val="Body"/>
              <w:numPr>
                <w:ilvl w:val="0"/>
                <w:numId w:val="39"/>
              </w:numPr>
              <w:spacing w:after="60" w:line="276" w:lineRule="auto"/>
              <w:rPr>
                <w:b/>
                <w:bCs/>
                <w:sz w:val="20"/>
                <w:szCs w:val="20"/>
              </w:rPr>
            </w:pPr>
            <w:r w:rsidRPr="009B6B89">
              <w:rPr>
                <w:b/>
                <w:bCs/>
                <w:sz w:val="20"/>
                <w:szCs w:val="20"/>
              </w:rPr>
              <w:t>P</w:t>
            </w:r>
            <w:r w:rsidR="00781D36" w:rsidRPr="009B6B89">
              <w:rPr>
                <w:b/>
                <w:bCs/>
                <w:sz w:val="20"/>
                <w:szCs w:val="20"/>
              </w:rPr>
              <w:t>resentation</w:t>
            </w:r>
            <w:r w:rsidR="00A661A7" w:rsidRPr="009B6B89">
              <w:rPr>
                <w:b/>
                <w:bCs/>
                <w:sz w:val="20"/>
                <w:szCs w:val="20"/>
              </w:rPr>
              <w:t xml:space="preserve">: Options for developing a proof of concept.  </w:t>
            </w:r>
            <w:r w:rsidR="003E3F2A" w:rsidRPr="009B6B89">
              <w:rPr>
                <w:sz w:val="20"/>
                <w:szCs w:val="20"/>
              </w:rPr>
              <w:t xml:space="preserve">The presentation illustrates the key findings from this work package and presents the options for developing a proof of concept to the agreed industry success criteria.  </w:t>
            </w:r>
            <w:r w:rsidR="0012128F">
              <w:rPr>
                <w:sz w:val="20"/>
                <w:szCs w:val="20"/>
              </w:rPr>
              <w:t xml:space="preserve">This should be used as part of consulting industry practitioners and senior stakeholders, </w:t>
            </w:r>
            <w:r w:rsidR="003E3F2A" w:rsidRPr="009B6B89">
              <w:rPr>
                <w:sz w:val="20"/>
                <w:szCs w:val="20"/>
              </w:rPr>
              <w:t xml:space="preserve">to confirm the option </w:t>
            </w:r>
            <w:r w:rsidR="0012128F">
              <w:rPr>
                <w:sz w:val="20"/>
                <w:szCs w:val="20"/>
              </w:rPr>
              <w:t xml:space="preserve">that shall </w:t>
            </w:r>
            <w:r w:rsidR="003E3F2A" w:rsidRPr="009B6B89">
              <w:rPr>
                <w:sz w:val="20"/>
                <w:szCs w:val="20"/>
              </w:rPr>
              <w:t xml:space="preserve">proceed to </w:t>
            </w:r>
            <w:r w:rsidR="0012128F">
              <w:rPr>
                <w:sz w:val="20"/>
                <w:szCs w:val="20"/>
              </w:rPr>
              <w:t>development and testing.</w:t>
            </w:r>
            <w:r w:rsidR="003E3F2A" w:rsidRPr="009B6B89">
              <w:rPr>
                <w:sz w:val="20"/>
                <w:szCs w:val="20"/>
              </w:rPr>
              <w:t xml:space="preserve">  </w:t>
            </w:r>
          </w:p>
          <w:p w14:paraId="09EA8EF7" w14:textId="6ACC0FA5" w:rsidR="004C12C6" w:rsidRPr="009B6B89" w:rsidRDefault="00A661A7" w:rsidP="009B6B89">
            <w:pPr>
              <w:pStyle w:val="Body"/>
              <w:spacing w:after="60" w:line="276" w:lineRule="auto"/>
              <w:rPr>
                <w:sz w:val="20"/>
                <w:szCs w:val="20"/>
              </w:rPr>
            </w:pPr>
            <w:r w:rsidRPr="009B6B89">
              <w:rPr>
                <w:sz w:val="20"/>
                <w:szCs w:val="20"/>
              </w:rPr>
              <w:t>A</w:t>
            </w:r>
            <w:r w:rsidR="004C12C6" w:rsidRPr="009B6B89">
              <w:rPr>
                <w:sz w:val="20"/>
                <w:szCs w:val="20"/>
              </w:rPr>
              <w:t xml:space="preserve">ll deliverables </w:t>
            </w:r>
            <w:r w:rsidR="004C12C6" w:rsidRPr="009B6B89">
              <w:rPr>
                <w:rFonts w:asciiTheme="minorHAnsi" w:hAnsiTheme="minorHAnsi" w:cstheme="minorHAnsi"/>
                <w:sz w:val="20"/>
                <w:szCs w:val="20"/>
              </w:rPr>
              <w:t>shall be submitted to RSSB for review and comment before approving the final deliverable.  All documentation to be produced in the standard RSSB format and to be made widely available.</w:t>
            </w:r>
          </w:p>
        </w:tc>
      </w:tr>
    </w:tbl>
    <w:p w14:paraId="3945B957" w14:textId="77777777" w:rsidR="00A37245" w:rsidRDefault="005047AB" w:rsidP="00A37245">
      <w:pPr>
        <w:pStyle w:val="Body"/>
        <w:spacing w:line="240" w:lineRule="auto"/>
        <w:rPr>
          <w:b/>
          <w:u w:val="single"/>
        </w:rPr>
      </w:pPr>
      <w:r w:rsidRPr="009B21F8">
        <w:br/>
      </w:r>
      <w:r w:rsidR="00A37245">
        <w:rPr>
          <w:b/>
          <w:u w:val="single"/>
        </w:rPr>
        <w:t>Stage Gate</w:t>
      </w:r>
    </w:p>
    <w:p w14:paraId="53CECC37" w14:textId="61693518" w:rsidR="005156AD" w:rsidRDefault="00A37245" w:rsidP="000E3921">
      <w:pPr>
        <w:pStyle w:val="Body"/>
        <w:spacing w:line="240" w:lineRule="auto"/>
        <w:rPr>
          <w:b/>
          <w:i/>
        </w:rPr>
      </w:pPr>
      <w:r>
        <w:rPr>
          <w:b/>
          <w:i/>
        </w:rPr>
        <w:t xml:space="preserve">Following delivery of work package </w:t>
      </w:r>
      <w:r w:rsidR="005156AD">
        <w:rPr>
          <w:b/>
          <w:i/>
        </w:rPr>
        <w:t>COF-ADA</w:t>
      </w:r>
      <w:r>
        <w:rPr>
          <w:b/>
          <w:i/>
        </w:rPr>
        <w:t>-0</w:t>
      </w:r>
      <w:r w:rsidR="0012128F">
        <w:rPr>
          <w:b/>
          <w:i/>
        </w:rPr>
        <w:t>2</w:t>
      </w:r>
      <w:r>
        <w:rPr>
          <w:b/>
          <w:i/>
        </w:rPr>
        <w:t>, a stage gate review meeting will be held with the project steering group</w:t>
      </w:r>
      <w:r w:rsidR="006F65EB">
        <w:rPr>
          <w:b/>
          <w:i/>
        </w:rPr>
        <w:t xml:space="preserve"> to agree the options for progressing the research, informed by </w:t>
      </w:r>
      <w:r w:rsidR="005156AD">
        <w:rPr>
          <w:b/>
          <w:i/>
        </w:rPr>
        <w:t xml:space="preserve">evidence </w:t>
      </w:r>
      <w:r w:rsidR="006F65EB">
        <w:rPr>
          <w:b/>
          <w:i/>
        </w:rPr>
        <w:t xml:space="preserve">gathered. </w:t>
      </w:r>
      <w:r w:rsidR="005156AD">
        <w:rPr>
          <w:b/>
          <w:i/>
        </w:rPr>
        <w:t>Depending on the outcome of this review, the project will either:</w:t>
      </w:r>
      <w:r w:rsidR="006F65EB">
        <w:rPr>
          <w:b/>
          <w:i/>
        </w:rPr>
        <w:t xml:space="preserve"> (1) St</w:t>
      </w:r>
      <w:r w:rsidR="005156AD">
        <w:rPr>
          <w:b/>
          <w:i/>
        </w:rPr>
        <w:t>op</w:t>
      </w:r>
      <w:r w:rsidR="006F65EB">
        <w:rPr>
          <w:b/>
          <w:i/>
        </w:rPr>
        <w:t>, (2) P</w:t>
      </w:r>
      <w:r w:rsidR="005156AD">
        <w:rPr>
          <w:b/>
          <w:i/>
        </w:rPr>
        <w:t>roceed to the next work package</w:t>
      </w:r>
      <w:r w:rsidR="006F65EB">
        <w:rPr>
          <w:b/>
          <w:i/>
        </w:rPr>
        <w:t>, or (3) R</w:t>
      </w:r>
      <w:r w:rsidR="005156AD">
        <w:rPr>
          <w:b/>
          <w:i/>
        </w:rPr>
        <w:t>eview the scope and proceed with a revised scope</w:t>
      </w:r>
      <w:r w:rsidR="006F65EB">
        <w:rPr>
          <w:b/>
          <w:i/>
        </w:rPr>
        <w:t>.</w:t>
      </w:r>
    </w:p>
    <w:p w14:paraId="658D5FB4" w14:textId="3992369B" w:rsidR="00CD515F" w:rsidRDefault="00CD515F" w:rsidP="009B21F8">
      <w:pPr>
        <w:rPr>
          <w:rFonts w:ascii="Calibri" w:hAnsi="Calibri" w:cs="Arial"/>
          <w:b/>
          <w:bCs/>
          <w:sz w:val="22"/>
          <w:szCs w:val="22"/>
          <w:lang w:eastAsia="en-GB"/>
        </w:rPr>
      </w:pPr>
    </w:p>
    <w:tbl>
      <w:tblPr>
        <w:tblStyle w:val="TableGrid"/>
        <w:tblW w:w="8817" w:type="dxa"/>
        <w:jc w:val="center"/>
        <w:tblLook w:val="04A0" w:firstRow="1" w:lastRow="0" w:firstColumn="1" w:lastColumn="0" w:noHBand="0" w:noVBand="1"/>
      </w:tblPr>
      <w:tblGrid>
        <w:gridCol w:w="1244"/>
        <w:gridCol w:w="7573"/>
      </w:tblGrid>
      <w:tr w:rsidR="00CD515F" w:rsidRPr="009B6B89" w14:paraId="358414AD" w14:textId="77777777" w:rsidTr="003E4867">
        <w:trPr>
          <w:trHeight w:val="205"/>
          <w:jc w:val="center"/>
        </w:trPr>
        <w:tc>
          <w:tcPr>
            <w:tcW w:w="8817" w:type="dxa"/>
            <w:gridSpan w:val="2"/>
          </w:tcPr>
          <w:p w14:paraId="48E5DE0A" w14:textId="1C26C8FD" w:rsidR="00CD515F" w:rsidRPr="009B6B89" w:rsidRDefault="00CD515F" w:rsidP="009B6B89">
            <w:pPr>
              <w:pStyle w:val="Heading30"/>
              <w:spacing w:before="0" w:after="60" w:line="276" w:lineRule="auto"/>
              <w:rPr>
                <w:b/>
                <w:sz w:val="20"/>
                <w:szCs w:val="20"/>
              </w:rPr>
            </w:pPr>
            <w:r w:rsidRPr="009B6B89">
              <w:rPr>
                <w:b/>
                <w:sz w:val="20"/>
                <w:szCs w:val="20"/>
              </w:rPr>
              <w:lastRenderedPageBreak/>
              <w:t>Work Package COF-ADA-0</w:t>
            </w:r>
            <w:r w:rsidR="00E86CBE">
              <w:rPr>
                <w:b/>
                <w:sz w:val="20"/>
                <w:szCs w:val="20"/>
              </w:rPr>
              <w:t>3</w:t>
            </w:r>
          </w:p>
        </w:tc>
      </w:tr>
      <w:tr w:rsidR="00CD515F" w:rsidRPr="009B6B89" w14:paraId="636F6A58" w14:textId="77777777" w:rsidTr="008A4801">
        <w:trPr>
          <w:trHeight w:val="70"/>
          <w:jc w:val="center"/>
        </w:trPr>
        <w:tc>
          <w:tcPr>
            <w:tcW w:w="1129" w:type="dxa"/>
          </w:tcPr>
          <w:p w14:paraId="271A1208" w14:textId="77777777" w:rsidR="00CD515F" w:rsidRPr="009B6B89" w:rsidRDefault="00CD515F" w:rsidP="009B6B89">
            <w:pPr>
              <w:pStyle w:val="Body"/>
              <w:spacing w:after="60" w:line="276" w:lineRule="auto"/>
              <w:rPr>
                <w:sz w:val="20"/>
                <w:szCs w:val="20"/>
              </w:rPr>
            </w:pPr>
            <w:r w:rsidRPr="009B6B89">
              <w:rPr>
                <w:b/>
                <w:sz w:val="20"/>
                <w:szCs w:val="20"/>
              </w:rPr>
              <w:t>Title</w:t>
            </w:r>
          </w:p>
        </w:tc>
        <w:tc>
          <w:tcPr>
            <w:tcW w:w="7688" w:type="dxa"/>
          </w:tcPr>
          <w:p w14:paraId="2E3286F0" w14:textId="4971348C" w:rsidR="00CD515F" w:rsidRPr="007B75B4" w:rsidRDefault="0063719E" w:rsidP="009B6B89">
            <w:pPr>
              <w:pStyle w:val="Body"/>
              <w:spacing w:after="60" w:line="276" w:lineRule="auto"/>
              <w:rPr>
                <w:b/>
                <w:bCs/>
                <w:sz w:val="20"/>
                <w:szCs w:val="20"/>
              </w:rPr>
            </w:pPr>
            <w:r w:rsidRPr="007B75B4">
              <w:rPr>
                <w:b/>
                <w:bCs/>
                <w:sz w:val="20"/>
                <w:szCs w:val="20"/>
              </w:rPr>
              <w:t>Develop and test proof of concept (Objectives 3 &amp; 4)</w:t>
            </w:r>
          </w:p>
        </w:tc>
      </w:tr>
      <w:tr w:rsidR="00CD515F" w:rsidRPr="009B6B89" w14:paraId="5B16B6C6" w14:textId="77777777" w:rsidTr="008A4801">
        <w:trPr>
          <w:trHeight w:val="433"/>
          <w:jc w:val="center"/>
        </w:trPr>
        <w:tc>
          <w:tcPr>
            <w:tcW w:w="1129" w:type="dxa"/>
          </w:tcPr>
          <w:p w14:paraId="444FA4E9" w14:textId="77777777" w:rsidR="00CD515F" w:rsidRPr="009B6B89" w:rsidRDefault="00CD515F" w:rsidP="009B6B89">
            <w:pPr>
              <w:pStyle w:val="Body"/>
              <w:spacing w:after="60" w:line="276" w:lineRule="auto"/>
              <w:rPr>
                <w:b/>
                <w:sz w:val="20"/>
                <w:szCs w:val="20"/>
              </w:rPr>
            </w:pPr>
            <w:r w:rsidRPr="009B6B89">
              <w:rPr>
                <w:b/>
                <w:sz w:val="20"/>
                <w:szCs w:val="20"/>
              </w:rPr>
              <w:t>Delivery</w:t>
            </w:r>
          </w:p>
        </w:tc>
        <w:tc>
          <w:tcPr>
            <w:tcW w:w="7688" w:type="dxa"/>
          </w:tcPr>
          <w:p w14:paraId="3E764A8C" w14:textId="77777777" w:rsidR="00CD515F" w:rsidRPr="009B6B89" w:rsidRDefault="00CD515F" w:rsidP="009B6B89">
            <w:pPr>
              <w:pStyle w:val="Body"/>
              <w:spacing w:after="60" w:line="276" w:lineRule="auto"/>
              <w:rPr>
                <w:sz w:val="20"/>
                <w:szCs w:val="20"/>
              </w:rPr>
            </w:pPr>
            <w:r w:rsidRPr="009B6B89">
              <w:rPr>
                <w:sz w:val="20"/>
                <w:szCs w:val="20"/>
              </w:rPr>
              <w:t>Subject to this competitive tender</w:t>
            </w:r>
          </w:p>
        </w:tc>
      </w:tr>
      <w:tr w:rsidR="00CD515F" w:rsidRPr="009B6B89" w14:paraId="592FF54C" w14:textId="77777777" w:rsidTr="008A4801">
        <w:trPr>
          <w:trHeight w:val="417"/>
          <w:jc w:val="center"/>
        </w:trPr>
        <w:tc>
          <w:tcPr>
            <w:tcW w:w="1129" w:type="dxa"/>
          </w:tcPr>
          <w:p w14:paraId="116EA293" w14:textId="77777777" w:rsidR="00CD515F" w:rsidRPr="009B6B89" w:rsidRDefault="00CD515F" w:rsidP="009B6B89">
            <w:pPr>
              <w:pStyle w:val="Body"/>
              <w:spacing w:after="60" w:line="276" w:lineRule="auto"/>
              <w:rPr>
                <w:sz w:val="20"/>
                <w:szCs w:val="20"/>
              </w:rPr>
            </w:pPr>
            <w:r w:rsidRPr="009B6B89">
              <w:rPr>
                <w:b/>
                <w:sz w:val="20"/>
                <w:szCs w:val="20"/>
              </w:rPr>
              <w:t>Start</w:t>
            </w:r>
          </w:p>
        </w:tc>
        <w:tc>
          <w:tcPr>
            <w:tcW w:w="7688" w:type="dxa"/>
          </w:tcPr>
          <w:p w14:paraId="5C5F904E" w14:textId="145ACAF4" w:rsidR="00CD515F" w:rsidRPr="009B6B89" w:rsidRDefault="0063719E" w:rsidP="009B6B89">
            <w:pPr>
              <w:pStyle w:val="Body"/>
              <w:spacing w:after="60" w:line="276" w:lineRule="auto"/>
              <w:rPr>
                <w:sz w:val="20"/>
                <w:szCs w:val="20"/>
              </w:rPr>
            </w:pPr>
            <w:r w:rsidRPr="009B6B89">
              <w:rPr>
                <w:sz w:val="20"/>
                <w:szCs w:val="20"/>
              </w:rPr>
              <w:t>May 2020</w:t>
            </w:r>
          </w:p>
        </w:tc>
      </w:tr>
      <w:tr w:rsidR="00CD515F" w:rsidRPr="009B6B89" w14:paraId="0F900FE2" w14:textId="77777777" w:rsidTr="008A4801">
        <w:trPr>
          <w:trHeight w:val="417"/>
          <w:jc w:val="center"/>
        </w:trPr>
        <w:tc>
          <w:tcPr>
            <w:tcW w:w="1129" w:type="dxa"/>
          </w:tcPr>
          <w:p w14:paraId="1FE25335" w14:textId="77777777" w:rsidR="00CD515F" w:rsidRPr="009B6B89" w:rsidRDefault="00CD515F" w:rsidP="009B6B89">
            <w:pPr>
              <w:pStyle w:val="Body"/>
              <w:spacing w:after="60" w:line="276" w:lineRule="auto"/>
              <w:rPr>
                <w:b/>
                <w:sz w:val="20"/>
                <w:szCs w:val="20"/>
              </w:rPr>
            </w:pPr>
            <w:r w:rsidRPr="009B6B89">
              <w:rPr>
                <w:b/>
                <w:sz w:val="20"/>
                <w:szCs w:val="20"/>
              </w:rPr>
              <w:t xml:space="preserve">Completion </w:t>
            </w:r>
          </w:p>
        </w:tc>
        <w:tc>
          <w:tcPr>
            <w:tcW w:w="7688" w:type="dxa"/>
          </w:tcPr>
          <w:p w14:paraId="489ECFA0" w14:textId="2D140E5E" w:rsidR="00CD515F" w:rsidRPr="009B6B89" w:rsidRDefault="0063719E" w:rsidP="009B6B89">
            <w:pPr>
              <w:pStyle w:val="Body"/>
              <w:spacing w:after="60" w:line="276" w:lineRule="auto"/>
              <w:rPr>
                <w:sz w:val="20"/>
                <w:szCs w:val="20"/>
              </w:rPr>
            </w:pPr>
            <w:r w:rsidRPr="009B6B89">
              <w:rPr>
                <w:sz w:val="20"/>
                <w:szCs w:val="20"/>
              </w:rPr>
              <w:t>April 2021</w:t>
            </w:r>
          </w:p>
        </w:tc>
      </w:tr>
      <w:tr w:rsidR="00CD515F" w:rsidRPr="009B6B89" w14:paraId="037C9E8F" w14:textId="77777777" w:rsidTr="008A4801">
        <w:trPr>
          <w:trHeight w:val="417"/>
          <w:jc w:val="center"/>
        </w:trPr>
        <w:tc>
          <w:tcPr>
            <w:tcW w:w="1129" w:type="dxa"/>
          </w:tcPr>
          <w:p w14:paraId="24BE1404" w14:textId="77777777" w:rsidR="00CD515F" w:rsidRPr="009B6B89" w:rsidRDefault="00CD515F" w:rsidP="009B6B89">
            <w:pPr>
              <w:pStyle w:val="Body"/>
              <w:spacing w:after="60" w:line="276" w:lineRule="auto"/>
              <w:rPr>
                <w:b/>
                <w:sz w:val="20"/>
                <w:szCs w:val="20"/>
              </w:rPr>
            </w:pPr>
            <w:r w:rsidRPr="009B6B89">
              <w:rPr>
                <w:b/>
                <w:sz w:val="20"/>
                <w:szCs w:val="20"/>
              </w:rPr>
              <w:t xml:space="preserve">Scope </w:t>
            </w:r>
          </w:p>
        </w:tc>
        <w:tc>
          <w:tcPr>
            <w:tcW w:w="7688" w:type="dxa"/>
          </w:tcPr>
          <w:p w14:paraId="7FDEDE79" w14:textId="44F7088D" w:rsidR="00781D36" w:rsidRPr="009B6B89" w:rsidRDefault="00781D36" w:rsidP="009B6B89">
            <w:pPr>
              <w:pStyle w:val="Body"/>
              <w:spacing w:after="60" w:line="276" w:lineRule="auto"/>
              <w:rPr>
                <w:b/>
                <w:bCs/>
                <w:sz w:val="20"/>
                <w:szCs w:val="20"/>
              </w:rPr>
            </w:pPr>
            <w:r w:rsidRPr="009B6B89">
              <w:rPr>
                <w:b/>
                <w:bCs/>
                <w:sz w:val="20"/>
                <w:szCs w:val="20"/>
              </w:rPr>
              <w:t xml:space="preserve">3. Develop a proof of concept solution to identify and analyse </w:t>
            </w:r>
            <w:r w:rsidR="005C2904">
              <w:rPr>
                <w:b/>
                <w:bCs/>
                <w:sz w:val="20"/>
                <w:szCs w:val="20"/>
              </w:rPr>
              <w:t>self-evident</w:t>
            </w:r>
            <w:r w:rsidRPr="009B6B89">
              <w:rPr>
                <w:b/>
                <w:bCs/>
                <w:sz w:val="20"/>
                <w:szCs w:val="20"/>
              </w:rPr>
              <w:t xml:space="preserve"> </w:t>
            </w:r>
            <w:r w:rsidR="005C2904" w:rsidRPr="009B6B89">
              <w:rPr>
                <w:b/>
                <w:bCs/>
                <w:sz w:val="20"/>
                <w:szCs w:val="20"/>
              </w:rPr>
              <w:t>causal</w:t>
            </w:r>
            <w:r w:rsidR="005C2904">
              <w:rPr>
                <w:b/>
                <w:bCs/>
                <w:sz w:val="20"/>
                <w:szCs w:val="20"/>
              </w:rPr>
              <w:t xml:space="preserve"> </w:t>
            </w:r>
            <w:r w:rsidRPr="009B6B89">
              <w:rPr>
                <w:b/>
                <w:bCs/>
                <w:sz w:val="20"/>
                <w:szCs w:val="20"/>
              </w:rPr>
              <w:t>reactionary delay chains, which should cater for:</w:t>
            </w:r>
            <w:r w:rsidR="005C2904">
              <w:rPr>
                <w:b/>
                <w:bCs/>
                <w:sz w:val="20"/>
                <w:szCs w:val="20"/>
              </w:rPr>
              <w:t xml:space="preserve"> </w:t>
            </w:r>
          </w:p>
          <w:p w14:paraId="2409C6AA" w14:textId="63F02886" w:rsidR="00781D36" w:rsidRPr="009B6B89" w:rsidRDefault="00781D36" w:rsidP="00B93088">
            <w:pPr>
              <w:pStyle w:val="Body"/>
              <w:numPr>
                <w:ilvl w:val="0"/>
                <w:numId w:val="41"/>
              </w:numPr>
              <w:spacing w:after="60" w:line="276" w:lineRule="auto"/>
              <w:rPr>
                <w:sz w:val="20"/>
                <w:szCs w:val="20"/>
              </w:rPr>
            </w:pPr>
            <w:r w:rsidRPr="009B6B89">
              <w:rPr>
                <w:rFonts w:eastAsia="Calibri"/>
                <w:sz w:val="20"/>
                <w:szCs w:val="20"/>
              </w:rPr>
              <w:t>Accurately distinguishes the difference between primary and reactionary delays</w:t>
            </w:r>
          </w:p>
          <w:p w14:paraId="2617213B" w14:textId="16F961A3" w:rsidR="00781D36" w:rsidRPr="009B6B89" w:rsidRDefault="00781D36" w:rsidP="00B93088">
            <w:pPr>
              <w:pStyle w:val="Body"/>
              <w:numPr>
                <w:ilvl w:val="0"/>
                <w:numId w:val="41"/>
              </w:numPr>
              <w:spacing w:after="60" w:line="276" w:lineRule="auto"/>
              <w:rPr>
                <w:sz w:val="20"/>
                <w:szCs w:val="20"/>
              </w:rPr>
            </w:pPr>
            <w:r w:rsidRPr="009B6B89">
              <w:rPr>
                <w:sz w:val="20"/>
                <w:szCs w:val="20"/>
              </w:rPr>
              <w:t xml:space="preserve">Existing delay attribution data and other available data that increase the accuracy and consistency of identifying and allocating </w:t>
            </w:r>
            <w:r w:rsidR="00B04CB9">
              <w:rPr>
                <w:sz w:val="20"/>
                <w:szCs w:val="20"/>
              </w:rPr>
              <w:t xml:space="preserve">causal self-evident </w:t>
            </w:r>
            <w:r w:rsidRPr="009B6B89">
              <w:rPr>
                <w:sz w:val="20"/>
                <w:szCs w:val="20"/>
              </w:rPr>
              <w:t>reactionary delays</w:t>
            </w:r>
            <w:r w:rsidRPr="009B6B89">
              <w:rPr>
                <w:rFonts w:eastAsia="Calibri"/>
                <w:sz w:val="20"/>
                <w:szCs w:val="20"/>
              </w:rPr>
              <w:t xml:space="preserve"> </w:t>
            </w:r>
          </w:p>
          <w:p w14:paraId="6062941F" w14:textId="6AE5F97A" w:rsidR="00781D36" w:rsidRPr="009B6B89" w:rsidRDefault="00781D36" w:rsidP="00B93088">
            <w:pPr>
              <w:pStyle w:val="Body"/>
              <w:numPr>
                <w:ilvl w:val="0"/>
                <w:numId w:val="41"/>
              </w:numPr>
              <w:spacing w:after="60" w:line="276" w:lineRule="auto"/>
              <w:rPr>
                <w:sz w:val="20"/>
                <w:szCs w:val="20"/>
              </w:rPr>
            </w:pPr>
            <w:r w:rsidRPr="009B6B89">
              <w:rPr>
                <w:rFonts w:eastAsia="Calibri"/>
                <w:sz w:val="20"/>
                <w:szCs w:val="20"/>
                <w:lang w:val="en-US"/>
              </w:rPr>
              <w:t xml:space="preserve">Following a rules-based approach (existing, new, or combination, which achieves the best accuracy and consistency) </w:t>
            </w:r>
          </w:p>
          <w:p w14:paraId="40D9523D" w14:textId="135D97A3" w:rsidR="00781D36" w:rsidRPr="009B6B89" w:rsidRDefault="00781D36" w:rsidP="00B93088">
            <w:pPr>
              <w:pStyle w:val="Body"/>
              <w:numPr>
                <w:ilvl w:val="0"/>
                <w:numId w:val="41"/>
              </w:numPr>
              <w:spacing w:after="60" w:line="276" w:lineRule="auto"/>
              <w:rPr>
                <w:sz w:val="20"/>
                <w:szCs w:val="20"/>
              </w:rPr>
            </w:pPr>
            <w:r w:rsidRPr="009B6B89">
              <w:rPr>
                <w:rFonts w:eastAsia="Calibri"/>
                <w:sz w:val="20"/>
                <w:szCs w:val="20"/>
                <w:lang w:val="en-US"/>
              </w:rPr>
              <w:t>Modifying rules and reactionary delay scenarios without compromising effectiveness, and any required change processes to be followed</w:t>
            </w:r>
          </w:p>
          <w:p w14:paraId="6C34B3FE" w14:textId="01550F63" w:rsidR="00781D36" w:rsidRPr="009B6B89" w:rsidRDefault="008B68BF" w:rsidP="00B93088">
            <w:pPr>
              <w:pStyle w:val="Body"/>
              <w:numPr>
                <w:ilvl w:val="0"/>
                <w:numId w:val="41"/>
              </w:numPr>
              <w:spacing w:after="60" w:line="276" w:lineRule="auto"/>
              <w:rPr>
                <w:sz w:val="20"/>
                <w:szCs w:val="20"/>
              </w:rPr>
            </w:pPr>
            <w:r>
              <w:rPr>
                <w:rFonts w:eastAsia="Calibri"/>
                <w:sz w:val="20"/>
                <w:szCs w:val="20"/>
                <w:lang w:val="en-US"/>
              </w:rPr>
              <w:t>I</w:t>
            </w:r>
            <w:r w:rsidRPr="009B6B89">
              <w:rPr>
                <w:rFonts w:eastAsia="Calibri"/>
                <w:sz w:val="20"/>
                <w:szCs w:val="20"/>
                <w:lang w:val="en-US"/>
              </w:rPr>
              <w:t>dentif</w:t>
            </w:r>
            <w:r>
              <w:rPr>
                <w:rFonts w:eastAsia="Calibri"/>
                <w:sz w:val="20"/>
                <w:szCs w:val="20"/>
                <w:lang w:val="en-US"/>
              </w:rPr>
              <w:t>ying</w:t>
            </w:r>
            <w:r w:rsidR="00781D36" w:rsidRPr="009B6B89">
              <w:rPr>
                <w:rFonts w:eastAsia="Calibri"/>
                <w:sz w:val="20"/>
                <w:szCs w:val="20"/>
                <w:lang w:val="en-US"/>
              </w:rPr>
              <w:t xml:space="preserve"> options for improving performance and delay attribution</w:t>
            </w:r>
          </w:p>
          <w:p w14:paraId="3CE9FC34" w14:textId="1461500D" w:rsidR="00781D36" w:rsidRPr="009B6B89" w:rsidRDefault="00781D36" w:rsidP="00B93088">
            <w:pPr>
              <w:pStyle w:val="Body"/>
              <w:numPr>
                <w:ilvl w:val="0"/>
                <w:numId w:val="41"/>
              </w:numPr>
              <w:spacing w:after="60" w:line="276" w:lineRule="auto"/>
              <w:rPr>
                <w:sz w:val="20"/>
                <w:szCs w:val="20"/>
              </w:rPr>
            </w:pPr>
            <w:bookmarkStart w:id="1" w:name="_Hlk17356212"/>
            <w:r w:rsidRPr="009B6B89">
              <w:rPr>
                <w:rFonts w:eastAsia="Calibri"/>
                <w:sz w:val="20"/>
                <w:szCs w:val="20"/>
                <w:lang w:val="en-US"/>
              </w:rPr>
              <w:t xml:space="preserve">A mix of manual and automated analysis, including manually intervening automated scenarios  </w:t>
            </w:r>
          </w:p>
          <w:bookmarkEnd w:id="1"/>
          <w:p w14:paraId="777D2423" w14:textId="521DC647" w:rsidR="00781D36" w:rsidRPr="009B6B89" w:rsidRDefault="00781D36" w:rsidP="00B93088">
            <w:pPr>
              <w:pStyle w:val="Body"/>
              <w:numPr>
                <w:ilvl w:val="0"/>
                <w:numId w:val="41"/>
              </w:numPr>
              <w:spacing w:after="60" w:line="276" w:lineRule="auto"/>
              <w:rPr>
                <w:sz w:val="20"/>
                <w:szCs w:val="20"/>
              </w:rPr>
            </w:pPr>
            <w:r w:rsidRPr="009B6B89">
              <w:rPr>
                <w:rFonts w:eastAsia="Calibri"/>
                <w:sz w:val="20"/>
                <w:szCs w:val="20"/>
              </w:rPr>
              <w:t xml:space="preserve">Aligning to delay attribution governance (e.g. auditing, disputes, etc.) </w:t>
            </w:r>
            <w:r w:rsidR="00B93088">
              <w:rPr>
                <w:rFonts w:eastAsia="Calibri"/>
                <w:sz w:val="20"/>
                <w:szCs w:val="20"/>
              </w:rPr>
              <w:t>and quality assurance methods (existing or new to support the solution)</w:t>
            </w:r>
          </w:p>
          <w:p w14:paraId="16E05D56" w14:textId="1583B361" w:rsidR="00781D36" w:rsidRPr="009B6B89" w:rsidRDefault="00B93088" w:rsidP="000E3921">
            <w:pPr>
              <w:pStyle w:val="Body"/>
              <w:numPr>
                <w:ilvl w:val="0"/>
                <w:numId w:val="41"/>
              </w:numPr>
              <w:spacing w:after="80"/>
              <w:rPr>
                <w:sz w:val="20"/>
                <w:szCs w:val="20"/>
              </w:rPr>
            </w:pPr>
            <w:r w:rsidRPr="00867017">
              <w:rPr>
                <w:rFonts w:asciiTheme="minorHAnsi" w:hAnsiTheme="minorHAnsi"/>
                <w:sz w:val="20"/>
                <w:szCs w:val="20"/>
              </w:rPr>
              <w:t xml:space="preserve">Creation of a </w:t>
            </w:r>
            <w:r>
              <w:rPr>
                <w:rFonts w:asciiTheme="minorHAnsi" w:hAnsiTheme="minorHAnsi"/>
                <w:sz w:val="20"/>
                <w:szCs w:val="20"/>
              </w:rPr>
              <w:t>‘</w:t>
            </w:r>
            <w:r w:rsidRPr="00867017">
              <w:rPr>
                <w:rFonts w:asciiTheme="minorHAnsi" w:hAnsiTheme="minorHAnsi"/>
                <w:sz w:val="20"/>
                <w:szCs w:val="20"/>
              </w:rPr>
              <w:t>truth</w:t>
            </w:r>
            <w:r>
              <w:rPr>
                <w:rFonts w:asciiTheme="minorHAnsi" w:hAnsiTheme="minorHAnsi"/>
                <w:sz w:val="20"/>
                <w:szCs w:val="20"/>
              </w:rPr>
              <w:t>’</w:t>
            </w:r>
            <w:r w:rsidRPr="00867017">
              <w:rPr>
                <w:rFonts w:asciiTheme="minorHAnsi" w:hAnsiTheme="minorHAnsi"/>
                <w:sz w:val="20"/>
                <w:szCs w:val="20"/>
              </w:rPr>
              <w:t xml:space="preserve"> dataset</w:t>
            </w:r>
            <w:r>
              <w:rPr>
                <w:rFonts w:asciiTheme="minorHAnsi" w:hAnsiTheme="minorHAnsi"/>
                <w:sz w:val="20"/>
                <w:szCs w:val="20"/>
              </w:rPr>
              <w:t xml:space="preserve"> and calibration method</w:t>
            </w:r>
            <w:r w:rsidR="00781D36" w:rsidRPr="009B6B89">
              <w:rPr>
                <w:rFonts w:eastAsia="Calibri"/>
                <w:sz w:val="20"/>
                <w:szCs w:val="20"/>
              </w:rPr>
              <w:t xml:space="preserve"> </w:t>
            </w:r>
          </w:p>
          <w:p w14:paraId="3DC364EE" w14:textId="5E22E432" w:rsidR="00781D36" w:rsidRPr="009B6B89" w:rsidRDefault="00781D36" w:rsidP="00B93088">
            <w:pPr>
              <w:pStyle w:val="Body"/>
              <w:numPr>
                <w:ilvl w:val="0"/>
                <w:numId w:val="41"/>
              </w:numPr>
              <w:spacing w:after="60" w:line="276" w:lineRule="auto"/>
              <w:rPr>
                <w:sz w:val="20"/>
                <w:szCs w:val="20"/>
              </w:rPr>
            </w:pPr>
            <w:r w:rsidRPr="009B6B89">
              <w:rPr>
                <w:rFonts w:eastAsia="Calibri"/>
                <w:sz w:val="20"/>
                <w:szCs w:val="20"/>
                <w:lang w:val="en-US"/>
              </w:rPr>
              <w:t xml:space="preserve">A useable graphic user interface </w:t>
            </w:r>
          </w:p>
          <w:p w14:paraId="73F560C0" w14:textId="77347EDD" w:rsidR="003B216D" w:rsidRDefault="003B216D" w:rsidP="009E0397">
            <w:pPr>
              <w:pStyle w:val="Body"/>
              <w:numPr>
                <w:ilvl w:val="0"/>
                <w:numId w:val="40"/>
              </w:numPr>
              <w:spacing w:after="60" w:line="276" w:lineRule="auto"/>
              <w:rPr>
                <w:sz w:val="20"/>
                <w:szCs w:val="20"/>
              </w:rPr>
            </w:pPr>
            <w:r>
              <w:rPr>
                <w:rFonts w:eastAsia="Calibri"/>
                <w:sz w:val="20"/>
                <w:szCs w:val="20"/>
                <w:lang w:val="en-US"/>
              </w:rPr>
              <w:t>O</w:t>
            </w:r>
            <w:r w:rsidR="009E0397" w:rsidRPr="002F1285">
              <w:rPr>
                <w:sz w:val="20"/>
                <w:szCs w:val="20"/>
              </w:rPr>
              <w:t xml:space="preserve">pen source </w:t>
            </w:r>
            <w:r>
              <w:rPr>
                <w:sz w:val="20"/>
                <w:szCs w:val="20"/>
              </w:rPr>
              <w:t>solution,</w:t>
            </w:r>
            <w:r w:rsidR="009E0397">
              <w:rPr>
                <w:sz w:val="20"/>
                <w:szCs w:val="20"/>
              </w:rPr>
              <w:t xml:space="preserve"> </w:t>
            </w:r>
            <w:r>
              <w:rPr>
                <w:sz w:val="20"/>
                <w:szCs w:val="20"/>
              </w:rPr>
              <w:t>accessible for</w:t>
            </w:r>
            <w:r w:rsidR="009E0397">
              <w:rPr>
                <w:sz w:val="20"/>
                <w:szCs w:val="20"/>
              </w:rPr>
              <w:t xml:space="preserve"> </w:t>
            </w:r>
            <w:r>
              <w:rPr>
                <w:sz w:val="20"/>
                <w:szCs w:val="20"/>
              </w:rPr>
              <w:t xml:space="preserve">industry use and </w:t>
            </w:r>
            <w:r w:rsidR="009E0397">
              <w:rPr>
                <w:sz w:val="20"/>
                <w:szCs w:val="20"/>
              </w:rPr>
              <w:t>further development</w:t>
            </w:r>
            <w:r>
              <w:rPr>
                <w:sz w:val="20"/>
                <w:szCs w:val="20"/>
              </w:rPr>
              <w:t xml:space="preserve"> </w:t>
            </w:r>
          </w:p>
          <w:p w14:paraId="71CC26BA" w14:textId="62E16CC7" w:rsidR="009E0397" w:rsidRDefault="009E0397" w:rsidP="009E0397">
            <w:pPr>
              <w:pStyle w:val="Body"/>
              <w:numPr>
                <w:ilvl w:val="0"/>
                <w:numId w:val="40"/>
              </w:numPr>
              <w:spacing w:after="60" w:line="276" w:lineRule="auto"/>
              <w:rPr>
                <w:sz w:val="20"/>
                <w:szCs w:val="20"/>
              </w:rPr>
            </w:pPr>
            <w:r>
              <w:rPr>
                <w:sz w:val="20"/>
                <w:szCs w:val="20"/>
              </w:rPr>
              <w:t>I</w:t>
            </w:r>
            <w:r w:rsidRPr="002F1285">
              <w:rPr>
                <w:sz w:val="20"/>
                <w:szCs w:val="20"/>
              </w:rPr>
              <w:t>nterfa</w:t>
            </w:r>
            <w:r w:rsidR="003B216D">
              <w:rPr>
                <w:sz w:val="20"/>
                <w:szCs w:val="20"/>
              </w:rPr>
              <w:t>cing</w:t>
            </w:r>
            <w:r w:rsidRPr="002F1285">
              <w:rPr>
                <w:sz w:val="20"/>
                <w:szCs w:val="20"/>
              </w:rPr>
              <w:t xml:space="preserve"> with current</w:t>
            </w:r>
            <w:r>
              <w:rPr>
                <w:sz w:val="20"/>
                <w:szCs w:val="20"/>
              </w:rPr>
              <w:t xml:space="preserve"> industry systems</w:t>
            </w:r>
            <w:r w:rsidR="003B216D">
              <w:rPr>
                <w:sz w:val="20"/>
                <w:szCs w:val="20"/>
              </w:rPr>
              <w:t>,</w:t>
            </w:r>
            <w:r>
              <w:rPr>
                <w:sz w:val="20"/>
                <w:szCs w:val="20"/>
              </w:rPr>
              <w:t xml:space="preserve"> and p</w:t>
            </w:r>
            <w:r w:rsidRPr="002F1285">
              <w:rPr>
                <w:sz w:val="20"/>
                <w:szCs w:val="20"/>
              </w:rPr>
              <w:t>otential</w:t>
            </w:r>
            <w:r>
              <w:rPr>
                <w:sz w:val="20"/>
                <w:szCs w:val="20"/>
              </w:rPr>
              <w:t xml:space="preserve"> near</w:t>
            </w:r>
            <w:r w:rsidRPr="002F1285">
              <w:rPr>
                <w:sz w:val="20"/>
                <w:szCs w:val="20"/>
              </w:rPr>
              <w:t xml:space="preserve"> future systems</w:t>
            </w:r>
            <w:r>
              <w:rPr>
                <w:sz w:val="20"/>
                <w:szCs w:val="20"/>
              </w:rPr>
              <w:t xml:space="preserve"> (</w:t>
            </w:r>
            <w:r w:rsidR="003B216D">
              <w:rPr>
                <w:sz w:val="20"/>
                <w:szCs w:val="20"/>
              </w:rPr>
              <w:t xml:space="preserve">e.g. ERTMS, </w:t>
            </w:r>
            <w:r w:rsidR="00B353A0">
              <w:rPr>
                <w:sz w:val="20"/>
                <w:szCs w:val="20"/>
              </w:rPr>
              <w:t>traffic management, TRUST replacement</w:t>
            </w:r>
            <w:r>
              <w:rPr>
                <w:sz w:val="20"/>
                <w:szCs w:val="20"/>
              </w:rPr>
              <w:t>).</w:t>
            </w:r>
          </w:p>
          <w:p w14:paraId="454ABFC5" w14:textId="77777777" w:rsidR="00B353A0" w:rsidRPr="000E3921" w:rsidRDefault="00781D36" w:rsidP="00B93088">
            <w:pPr>
              <w:pStyle w:val="Body"/>
              <w:numPr>
                <w:ilvl w:val="0"/>
                <w:numId w:val="41"/>
              </w:numPr>
              <w:spacing w:after="60" w:line="276" w:lineRule="auto"/>
              <w:rPr>
                <w:sz w:val="20"/>
                <w:szCs w:val="20"/>
              </w:rPr>
            </w:pPr>
            <w:r w:rsidRPr="009B6B89">
              <w:rPr>
                <w:rFonts w:eastAsia="Calibri"/>
                <w:sz w:val="20"/>
                <w:szCs w:val="20"/>
              </w:rPr>
              <w:t>Feasibility results of the proof of concept, including whether ‘live’ analysis is possible.</w:t>
            </w:r>
          </w:p>
          <w:p w14:paraId="09A21E41" w14:textId="1308C585" w:rsidR="00781D36" w:rsidRPr="009B6B89" w:rsidRDefault="00781D36" w:rsidP="00B93088">
            <w:pPr>
              <w:pStyle w:val="Body"/>
              <w:numPr>
                <w:ilvl w:val="0"/>
                <w:numId w:val="41"/>
              </w:numPr>
              <w:spacing w:after="60" w:line="276" w:lineRule="auto"/>
              <w:rPr>
                <w:sz w:val="20"/>
                <w:szCs w:val="20"/>
              </w:rPr>
            </w:pPr>
            <w:r w:rsidRPr="009B6B89">
              <w:rPr>
                <w:rFonts w:eastAsia="Calibri"/>
                <w:sz w:val="20"/>
                <w:szCs w:val="20"/>
              </w:rPr>
              <w:t>Where necessary, undertake any additional refining and retesting</w:t>
            </w:r>
          </w:p>
          <w:p w14:paraId="49EDE2A9" w14:textId="27263C8E" w:rsidR="00D940BE" w:rsidRPr="009B6B89" w:rsidRDefault="00781D36" w:rsidP="00B93088">
            <w:pPr>
              <w:pStyle w:val="Body"/>
              <w:numPr>
                <w:ilvl w:val="0"/>
                <w:numId w:val="41"/>
              </w:numPr>
              <w:spacing w:after="60" w:line="276" w:lineRule="auto"/>
              <w:rPr>
                <w:sz w:val="20"/>
                <w:szCs w:val="20"/>
              </w:rPr>
            </w:pPr>
            <w:r w:rsidRPr="009B6B89">
              <w:rPr>
                <w:rFonts w:eastAsia="Calibri"/>
                <w:sz w:val="20"/>
                <w:szCs w:val="20"/>
              </w:rPr>
              <w:t xml:space="preserve">A robust testing plan </w:t>
            </w:r>
            <w:r w:rsidR="00D1101C">
              <w:rPr>
                <w:rFonts w:eastAsia="Calibri"/>
                <w:sz w:val="20"/>
                <w:szCs w:val="20"/>
              </w:rPr>
              <w:t>to demonstrate the effectiveness of the proof of concept</w:t>
            </w:r>
          </w:p>
          <w:p w14:paraId="3C0F7935" w14:textId="3DF7771B" w:rsidR="00D940BE" w:rsidRPr="009B6B89" w:rsidRDefault="00D940BE" w:rsidP="009B6B89">
            <w:pPr>
              <w:pStyle w:val="Body"/>
              <w:spacing w:after="60" w:line="276" w:lineRule="auto"/>
              <w:rPr>
                <w:rFonts w:eastAsia="Calibri"/>
                <w:b/>
                <w:bCs/>
                <w:sz w:val="20"/>
                <w:szCs w:val="20"/>
              </w:rPr>
            </w:pPr>
            <w:r w:rsidRPr="009B6B89">
              <w:rPr>
                <w:rFonts w:eastAsia="Calibri"/>
                <w:b/>
                <w:bCs/>
                <w:sz w:val="20"/>
                <w:szCs w:val="20"/>
              </w:rPr>
              <w:t xml:space="preserve">4. Test </w:t>
            </w:r>
            <w:r w:rsidR="000F2FD1">
              <w:rPr>
                <w:rFonts w:eastAsia="Calibri"/>
                <w:b/>
                <w:bCs/>
                <w:sz w:val="20"/>
                <w:szCs w:val="20"/>
              </w:rPr>
              <w:t xml:space="preserve">and demonstrate </w:t>
            </w:r>
            <w:r w:rsidRPr="009B6B89">
              <w:rPr>
                <w:rFonts w:eastAsia="Calibri"/>
                <w:b/>
                <w:bCs/>
                <w:sz w:val="20"/>
                <w:szCs w:val="20"/>
              </w:rPr>
              <w:t xml:space="preserve">the effectiveness of the proof of concept in at least two </w:t>
            </w:r>
            <w:r w:rsidR="00EC24FA">
              <w:rPr>
                <w:rFonts w:eastAsia="Calibri"/>
                <w:b/>
                <w:bCs/>
                <w:sz w:val="20"/>
                <w:szCs w:val="20"/>
              </w:rPr>
              <w:t xml:space="preserve">locations, </w:t>
            </w:r>
            <w:r w:rsidR="00897362">
              <w:rPr>
                <w:rFonts w:eastAsia="Calibri"/>
                <w:b/>
                <w:bCs/>
                <w:sz w:val="20"/>
                <w:szCs w:val="20"/>
              </w:rPr>
              <w:t xml:space="preserve">including </w:t>
            </w:r>
            <w:r w:rsidR="00EC24FA">
              <w:rPr>
                <w:rFonts w:eastAsia="Calibri"/>
                <w:b/>
                <w:bCs/>
                <w:sz w:val="20"/>
                <w:szCs w:val="20"/>
              </w:rPr>
              <w:t xml:space="preserve">one </w:t>
            </w:r>
            <w:r w:rsidRPr="009B6B89">
              <w:rPr>
                <w:rFonts w:eastAsia="Calibri"/>
                <w:b/>
                <w:bCs/>
                <w:sz w:val="20"/>
                <w:szCs w:val="20"/>
              </w:rPr>
              <w:t xml:space="preserve">north and </w:t>
            </w:r>
            <w:r w:rsidR="00EC24FA">
              <w:rPr>
                <w:rFonts w:eastAsia="Calibri"/>
                <w:b/>
                <w:bCs/>
                <w:sz w:val="20"/>
                <w:szCs w:val="20"/>
              </w:rPr>
              <w:t xml:space="preserve">one </w:t>
            </w:r>
            <w:r w:rsidRPr="009B6B89">
              <w:rPr>
                <w:rFonts w:eastAsia="Calibri"/>
                <w:b/>
                <w:bCs/>
                <w:sz w:val="20"/>
                <w:szCs w:val="20"/>
              </w:rPr>
              <w:t>south GB locations</w:t>
            </w:r>
          </w:p>
          <w:p w14:paraId="77D0698F" w14:textId="12C23C39" w:rsidR="000F2FD1" w:rsidRDefault="000F2FD1" w:rsidP="00B93088">
            <w:pPr>
              <w:pStyle w:val="Body"/>
              <w:numPr>
                <w:ilvl w:val="0"/>
                <w:numId w:val="41"/>
              </w:numPr>
              <w:spacing w:after="60" w:line="276" w:lineRule="auto"/>
              <w:rPr>
                <w:rFonts w:eastAsia="Calibri"/>
                <w:sz w:val="20"/>
                <w:szCs w:val="20"/>
              </w:rPr>
            </w:pPr>
            <w:r>
              <w:rPr>
                <w:rFonts w:eastAsia="Calibri"/>
                <w:sz w:val="20"/>
                <w:szCs w:val="20"/>
              </w:rPr>
              <w:t>The testing should</w:t>
            </w:r>
            <w:r w:rsidR="004750B8">
              <w:rPr>
                <w:rFonts w:eastAsia="Calibri"/>
                <w:sz w:val="20"/>
                <w:szCs w:val="20"/>
              </w:rPr>
              <w:t xml:space="preserve"> include:</w:t>
            </w:r>
            <w:r>
              <w:rPr>
                <w:rFonts w:eastAsia="Calibri"/>
                <w:sz w:val="20"/>
                <w:szCs w:val="20"/>
              </w:rPr>
              <w:t xml:space="preserve"> </w:t>
            </w:r>
          </w:p>
          <w:p w14:paraId="7275C091" w14:textId="6D2D301F" w:rsidR="004750B8" w:rsidRDefault="004750B8" w:rsidP="00F60146">
            <w:pPr>
              <w:pStyle w:val="Body"/>
              <w:numPr>
                <w:ilvl w:val="1"/>
                <w:numId w:val="41"/>
              </w:numPr>
              <w:spacing w:after="60" w:line="276" w:lineRule="auto"/>
              <w:rPr>
                <w:rFonts w:eastAsia="Calibri"/>
                <w:sz w:val="20"/>
                <w:szCs w:val="20"/>
              </w:rPr>
            </w:pPr>
            <w:r w:rsidRPr="003D4160">
              <w:rPr>
                <w:rFonts w:eastAsia="Calibri"/>
                <w:sz w:val="20"/>
                <w:szCs w:val="20"/>
              </w:rPr>
              <w:t>Running</w:t>
            </w:r>
            <w:r w:rsidRPr="004750B8">
              <w:rPr>
                <w:rFonts w:eastAsia="Calibri"/>
                <w:sz w:val="20"/>
                <w:szCs w:val="20"/>
              </w:rPr>
              <w:t xml:space="preserve"> the </w:t>
            </w:r>
            <w:r w:rsidR="00D940BE" w:rsidRPr="004750B8">
              <w:rPr>
                <w:rFonts w:eastAsia="Calibri"/>
                <w:sz w:val="20"/>
                <w:szCs w:val="20"/>
              </w:rPr>
              <w:t>solution in ‘shadow</w:t>
            </w:r>
            <w:r w:rsidR="00D940BE" w:rsidRPr="003D4160">
              <w:rPr>
                <w:rFonts w:eastAsia="Calibri"/>
                <w:sz w:val="20"/>
                <w:szCs w:val="20"/>
              </w:rPr>
              <w:t xml:space="preserve"> mode’</w:t>
            </w:r>
            <w:r w:rsidRPr="004750B8">
              <w:rPr>
                <w:rFonts w:eastAsia="Calibri"/>
                <w:sz w:val="20"/>
                <w:szCs w:val="20"/>
              </w:rPr>
              <w:t>,</w:t>
            </w:r>
            <w:r w:rsidR="00D940BE" w:rsidRPr="004750B8">
              <w:rPr>
                <w:rFonts w:eastAsia="Calibri"/>
                <w:sz w:val="20"/>
                <w:szCs w:val="20"/>
              </w:rPr>
              <w:t xml:space="preserve"> </w:t>
            </w:r>
            <w:r w:rsidRPr="009809A8">
              <w:t xml:space="preserve">at the same time as live delay attribution and performance </w:t>
            </w:r>
            <w:r>
              <w:t xml:space="preserve">analysis and </w:t>
            </w:r>
            <w:r w:rsidRPr="009809A8">
              <w:t>reporting,</w:t>
            </w:r>
            <w:r>
              <w:t xml:space="preserve"> t</w:t>
            </w:r>
            <w:r w:rsidRPr="003D4160">
              <w:rPr>
                <w:rFonts w:eastAsia="Calibri"/>
                <w:sz w:val="20"/>
                <w:szCs w:val="20"/>
              </w:rPr>
              <w:t>o g</w:t>
            </w:r>
            <w:r w:rsidRPr="004750B8">
              <w:rPr>
                <w:rFonts w:eastAsia="Calibri"/>
                <w:sz w:val="20"/>
                <w:szCs w:val="20"/>
              </w:rPr>
              <w:t xml:space="preserve">ather statistical evidence </w:t>
            </w:r>
            <w:r>
              <w:rPr>
                <w:rFonts w:eastAsia="Calibri"/>
                <w:sz w:val="20"/>
                <w:szCs w:val="20"/>
              </w:rPr>
              <w:t xml:space="preserve">and </w:t>
            </w:r>
            <w:r w:rsidRPr="003D4160">
              <w:rPr>
                <w:rFonts w:eastAsia="Calibri"/>
                <w:sz w:val="20"/>
                <w:szCs w:val="20"/>
              </w:rPr>
              <w:t xml:space="preserve">understand </w:t>
            </w:r>
            <w:r w:rsidRPr="004750B8">
              <w:rPr>
                <w:rFonts w:eastAsia="Calibri"/>
                <w:sz w:val="20"/>
                <w:szCs w:val="20"/>
              </w:rPr>
              <w:t xml:space="preserve">what actions could have been taken </w:t>
            </w:r>
          </w:p>
          <w:p w14:paraId="46B67785" w14:textId="77777777" w:rsidR="004750B8" w:rsidRPr="009B6B89" w:rsidRDefault="004750B8" w:rsidP="004750B8">
            <w:pPr>
              <w:pStyle w:val="Body"/>
              <w:numPr>
                <w:ilvl w:val="1"/>
                <w:numId w:val="41"/>
              </w:numPr>
              <w:spacing w:after="60" w:line="276" w:lineRule="auto"/>
              <w:rPr>
                <w:rFonts w:eastAsia="Calibri"/>
                <w:sz w:val="20"/>
                <w:szCs w:val="20"/>
              </w:rPr>
            </w:pPr>
            <w:r>
              <w:rPr>
                <w:rFonts w:eastAsia="Calibri"/>
                <w:sz w:val="20"/>
                <w:szCs w:val="20"/>
              </w:rPr>
              <w:t>Understanding t</w:t>
            </w:r>
            <w:r w:rsidRPr="009B6B89">
              <w:rPr>
                <w:rFonts w:eastAsia="Calibri"/>
                <w:sz w:val="20"/>
                <w:szCs w:val="20"/>
              </w:rPr>
              <w:t>he application of the solution across agreed scenarios</w:t>
            </w:r>
          </w:p>
          <w:p w14:paraId="1503B356" w14:textId="799BFCBC" w:rsidR="00D940BE" w:rsidRPr="009B6B89" w:rsidRDefault="00D940BE" w:rsidP="00B93088">
            <w:pPr>
              <w:pStyle w:val="Body"/>
              <w:numPr>
                <w:ilvl w:val="1"/>
                <w:numId w:val="41"/>
              </w:numPr>
              <w:spacing w:after="60" w:line="276" w:lineRule="auto"/>
              <w:rPr>
                <w:rFonts w:eastAsia="Calibri"/>
                <w:sz w:val="20"/>
                <w:szCs w:val="20"/>
              </w:rPr>
            </w:pPr>
            <w:r w:rsidRPr="009B6B89">
              <w:rPr>
                <w:rFonts w:eastAsia="Calibri"/>
                <w:sz w:val="20"/>
                <w:szCs w:val="20"/>
              </w:rPr>
              <w:t>Demonstrat</w:t>
            </w:r>
            <w:r w:rsidR="0090746B">
              <w:rPr>
                <w:rFonts w:eastAsia="Calibri"/>
                <w:sz w:val="20"/>
                <w:szCs w:val="20"/>
              </w:rPr>
              <w:t>ing</w:t>
            </w:r>
            <w:r w:rsidRPr="009B6B89">
              <w:rPr>
                <w:rFonts w:eastAsia="Calibri"/>
                <w:sz w:val="20"/>
                <w:szCs w:val="20"/>
              </w:rPr>
              <w:t xml:space="preserve"> the tested</w:t>
            </w:r>
            <w:r w:rsidR="000F2FD1">
              <w:rPr>
                <w:rFonts w:eastAsia="Calibri"/>
                <w:sz w:val="20"/>
                <w:szCs w:val="20"/>
              </w:rPr>
              <w:t xml:space="preserve"> </w:t>
            </w:r>
            <w:r w:rsidR="000F2FD1" w:rsidRPr="009B6B89">
              <w:rPr>
                <w:rFonts w:eastAsia="Calibri"/>
                <w:sz w:val="20"/>
                <w:szCs w:val="20"/>
              </w:rPr>
              <w:t>applicability</w:t>
            </w:r>
            <w:r w:rsidR="000F2FD1">
              <w:rPr>
                <w:rFonts w:eastAsia="Calibri"/>
                <w:sz w:val="20"/>
                <w:szCs w:val="20"/>
              </w:rPr>
              <w:t>,</w:t>
            </w:r>
            <w:r w:rsidR="000F2FD1" w:rsidRPr="009B6B89">
              <w:rPr>
                <w:rFonts w:eastAsia="Calibri"/>
                <w:sz w:val="20"/>
                <w:szCs w:val="20"/>
              </w:rPr>
              <w:t xml:space="preserve"> effectiveness</w:t>
            </w:r>
            <w:r w:rsidR="000F2FD1">
              <w:rPr>
                <w:rFonts w:eastAsia="Calibri"/>
                <w:sz w:val="20"/>
                <w:szCs w:val="20"/>
              </w:rPr>
              <w:t>,</w:t>
            </w:r>
            <w:r w:rsidR="000F2FD1" w:rsidRPr="009B6B89">
              <w:rPr>
                <w:rFonts w:eastAsia="Calibri"/>
                <w:sz w:val="20"/>
                <w:szCs w:val="20"/>
              </w:rPr>
              <w:t xml:space="preserve"> </w:t>
            </w:r>
            <w:r w:rsidRPr="009B6B89">
              <w:rPr>
                <w:rFonts w:eastAsia="Calibri"/>
                <w:sz w:val="20"/>
                <w:szCs w:val="20"/>
              </w:rPr>
              <w:t>validity and reliability of the solution</w:t>
            </w:r>
          </w:p>
          <w:p w14:paraId="096DFE52" w14:textId="21CB3816" w:rsidR="00FE5ECE" w:rsidRDefault="00FE5ECE" w:rsidP="00FE5ECE">
            <w:pPr>
              <w:pStyle w:val="Body"/>
              <w:numPr>
                <w:ilvl w:val="1"/>
                <w:numId w:val="41"/>
              </w:numPr>
              <w:spacing w:after="60" w:line="276" w:lineRule="auto"/>
              <w:rPr>
                <w:rFonts w:eastAsia="Calibri"/>
                <w:sz w:val="20"/>
                <w:szCs w:val="20"/>
              </w:rPr>
            </w:pPr>
            <w:r>
              <w:rPr>
                <w:rFonts w:eastAsia="Calibri"/>
                <w:sz w:val="20"/>
                <w:szCs w:val="20"/>
              </w:rPr>
              <w:t>Understand</w:t>
            </w:r>
            <w:r w:rsidR="0090746B">
              <w:rPr>
                <w:rFonts w:eastAsia="Calibri"/>
                <w:sz w:val="20"/>
                <w:szCs w:val="20"/>
              </w:rPr>
              <w:t>ing</w:t>
            </w:r>
            <w:r>
              <w:rPr>
                <w:rFonts w:eastAsia="Calibri"/>
                <w:sz w:val="20"/>
                <w:szCs w:val="20"/>
              </w:rPr>
              <w:t xml:space="preserve"> any false negatives and false positives </w:t>
            </w:r>
          </w:p>
          <w:p w14:paraId="76759C32" w14:textId="77777777" w:rsidR="00D940BE" w:rsidRPr="009B6B89" w:rsidRDefault="00D940BE" w:rsidP="00B93088">
            <w:pPr>
              <w:pStyle w:val="Body"/>
              <w:numPr>
                <w:ilvl w:val="1"/>
                <w:numId w:val="41"/>
              </w:numPr>
              <w:spacing w:after="60" w:line="276" w:lineRule="auto"/>
              <w:rPr>
                <w:rFonts w:eastAsia="Calibri"/>
                <w:sz w:val="20"/>
                <w:szCs w:val="20"/>
              </w:rPr>
            </w:pPr>
            <w:r w:rsidRPr="009B6B89">
              <w:rPr>
                <w:rFonts w:eastAsia="Calibri"/>
                <w:sz w:val="20"/>
                <w:szCs w:val="20"/>
              </w:rPr>
              <w:lastRenderedPageBreak/>
              <w:t xml:space="preserve">Any identified changes to the performance and attribution profile through the application of the solution </w:t>
            </w:r>
          </w:p>
          <w:p w14:paraId="011EF347" w14:textId="77777777" w:rsidR="00D940BE" w:rsidRPr="009B6B89" w:rsidRDefault="00D940BE" w:rsidP="00B93088">
            <w:pPr>
              <w:pStyle w:val="Body"/>
              <w:numPr>
                <w:ilvl w:val="1"/>
                <w:numId w:val="41"/>
              </w:numPr>
              <w:spacing w:after="60" w:line="276" w:lineRule="auto"/>
              <w:rPr>
                <w:rFonts w:eastAsia="Calibri"/>
                <w:sz w:val="20"/>
                <w:szCs w:val="20"/>
              </w:rPr>
            </w:pPr>
            <w:r w:rsidRPr="009B6B89">
              <w:rPr>
                <w:rFonts w:eastAsia="Calibri"/>
                <w:sz w:val="20"/>
                <w:szCs w:val="20"/>
              </w:rPr>
              <w:t xml:space="preserve">Usability of the graphic user interface </w:t>
            </w:r>
          </w:p>
          <w:p w14:paraId="2209FCA6" w14:textId="77777777" w:rsidR="00CD515F" w:rsidRDefault="00D940BE" w:rsidP="00B93088">
            <w:pPr>
              <w:pStyle w:val="Body"/>
              <w:numPr>
                <w:ilvl w:val="1"/>
                <w:numId w:val="41"/>
              </w:numPr>
              <w:spacing w:after="60" w:line="276" w:lineRule="auto"/>
              <w:rPr>
                <w:rFonts w:eastAsia="Calibri"/>
                <w:sz w:val="20"/>
                <w:szCs w:val="20"/>
              </w:rPr>
            </w:pPr>
            <w:r w:rsidRPr="009B6B89">
              <w:rPr>
                <w:rFonts w:eastAsia="Calibri"/>
                <w:sz w:val="20"/>
                <w:szCs w:val="20"/>
              </w:rPr>
              <w:t>The estimated industry benefits and impact of the solution, including the reactionary, primary and sub-threshold delays</w:t>
            </w:r>
          </w:p>
          <w:p w14:paraId="67E01006" w14:textId="77777777" w:rsidR="000F2FD1" w:rsidRDefault="000F2FD1" w:rsidP="00B93088">
            <w:pPr>
              <w:pStyle w:val="Body"/>
              <w:numPr>
                <w:ilvl w:val="0"/>
                <w:numId w:val="41"/>
              </w:numPr>
              <w:spacing w:after="60"/>
              <w:rPr>
                <w:sz w:val="20"/>
                <w:szCs w:val="20"/>
              </w:rPr>
            </w:pPr>
            <w:r w:rsidRPr="008A4801">
              <w:rPr>
                <w:sz w:val="20"/>
                <w:szCs w:val="20"/>
              </w:rPr>
              <w:t xml:space="preserve">Define the hard-coded rules, evidence and requirements to automate reactionary delay attribution using the proof of concept solution developed </w:t>
            </w:r>
          </w:p>
          <w:p w14:paraId="2B1298CC" w14:textId="2D8B40BE" w:rsidR="000F2FD1" w:rsidRPr="000F2FD1" w:rsidRDefault="000F2FD1" w:rsidP="00B93088">
            <w:pPr>
              <w:pStyle w:val="Body"/>
              <w:numPr>
                <w:ilvl w:val="0"/>
                <w:numId w:val="41"/>
              </w:numPr>
              <w:spacing w:after="60"/>
              <w:rPr>
                <w:sz w:val="20"/>
                <w:szCs w:val="20"/>
              </w:rPr>
            </w:pPr>
            <w:r>
              <w:rPr>
                <w:sz w:val="20"/>
                <w:szCs w:val="20"/>
              </w:rPr>
              <w:t xml:space="preserve">Develop a user manual / guidance for the proof of concept </w:t>
            </w:r>
          </w:p>
        </w:tc>
      </w:tr>
      <w:tr w:rsidR="00CD515F" w:rsidRPr="009B6B89" w14:paraId="5F84B8BF" w14:textId="77777777" w:rsidTr="008A4801">
        <w:trPr>
          <w:trHeight w:val="417"/>
          <w:jc w:val="center"/>
        </w:trPr>
        <w:tc>
          <w:tcPr>
            <w:tcW w:w="1129" w:type="dxa"/>
          </w:tcPr>
          <w:p w14:paraId="5EDB7C42" w14:textId="77777777" w:rsidR="00CD515F" w:rsidRPr="009B6B89" w:rsidRDefault="00CD515F" w:rsidP="009B6B89">
            <w:pPr>
              <w:pStyle w:val="Body"/>
              <w:spacing w:after="60" w:line="276" w:lineRule="auto"/>
              <w:rPr>
                <w:b/>
                <w:sz w:val="20"/>
                <w:szCs w:val="20"/>
              </w:rPr>
            </w:pPr>
            <w:r w:rsidRPr="00080E22">
              <w:rPr>
                <w:b/>
                <w:sz w:val="20"/>
                <w:szCs w:val="20"/>
              </w:rPr>
              <w:lastRenderedPageBreak/>
              <w:t>Deliverables</w:t>
            </w:r>
            <w:r w:rsidRPr="009B6B89">
              <w:rPr>
                <w:b/>
                <w:sz w:val="20"/>
                <w:szCs w:val="20"/>
              </w:rPr>
              <w:t xml:space="preserve"> </w:t>
            </w:r>
          </w:p>
        </w:tc>
        <w:tc>
          <w:tcPr>
            <w:tcW w:w="7688" w:type="dxa"/>
          </w:tcPr>
          <w:p w14:paraId="259AD6B7" w14:textId="61E3B90D" w:rsidR="00E736B9" w:rsidRPr="00E736B9" w:rsidRDefault="00AA3598" w:rsidP="00142A33">
            <w:pPr>
              <w:pStyle w:val="Body"/>
              <w:numPr>
                <w:ilvl w:val="0"/>
                <w:numId w:val="40"/>
              </w:numPr>
              <w:spacing w:after="60" w:line="276" w:lineRule="auto"/>
              <w:rPr>
                <w:b/>
                <w:bCs/>
                <w:sz w:val="20"/>
                <w:szCs w:val="20"/>
              </w:rPr>
            </w:pPr>
            <w:r w:rsidRPr="00AA3598">
              <w:rPr>
                <w:b/>
                <w:bCs/>
                <w:sz w:val="20"/>
                <w:szCs w:val="20"/>
              </w:rPr>
              <w:t>Technical report: Proof of concept methodology and findings for analysing and attributing</w:t>
            </w:r>
            <w:r w:rsidR="005C2904">
              <w:rPr>
                <w:b/>
                <w:bCs/>
                <w:sz w:val="20"/>
                <w:szCs w:val="20"/>
              </w:rPr>
              <w:t xml:space="preserve"> self-evident</w:t>
            </w:r>
            <w:r w:rsidRPr="00AA3598">
              <w:rPr>
                <w:b/>
                <w:bCs/>
                <w:sz w:val="20"/>
                <w:szCs w:val="20"/>
              </w:rPr>
              <w:t xml:space="preserve"> reactionary delays</w:t>
            </w:r>
            <w:r>
              <w:rPr>
                <w:b/>
                <w:bCs/>
                <w:sz w:val="20"/>
                <w:szCs w:val="20"/>
              </w:rPr>
              <w:t>.</w:t>
            </w:r>
            <w:r>
              <w:rPr>
                <w:sz w:val="20"/>
                <w:szCs w:val="20"/>
              </w:rPr>
              <w:t xml:space="preserve">  This report details the methodology taken to develop and test the proof of concept, and the demonstrated effectiveness of the solution.  This shall include </w:t>
            </w:r>
            <w:r w:rsidR="002F6C04">
              <w:rPr>
                <w:sz w:val="20"/>
                <w:szCs w:val="20"/>
              </w:rPr>
              <w:t>as a minimum</w:t>
            </w:r>
            <w:r w:rsidR="00E736B9">
              <w:rPr>
                <w:sz w:val="20"/>
                <w:szCs w:val="20"/>
              </w:rPr>
              <w:t>;</w:t>
            </w:r>
          </w:p>
          <w:p w14:paraId="719774FB" w14:textId="16194302" w:rsidR="00CD515F" w:rsidRPr="00E736B9" w:rsidRDefault="00E736B9" w:rsidP="00142A33">
            <w:pPr>
              <w:pStyle w:val="Body"/>
              <w:numPr>
                <w:ilvl w:val="1"/>
                <w:numId w:val="40"/>
              </w:numPr>
              <w:spacing w:after="60" w:line="276" w:lineRule="auto"/>
              <w:rPr>
                <w:b/>
                <w:bCs/>
                <w:sz w:val="20"/>
                <w:szCs w:val="20"/>
              </w:rPr>
            </w:pPr>
            <w:r>
              <w:rPr>
                <w:sz w:val="20"/>
                <w:szCs w:val="20"/>
              </w:rPr>
              <w:t>S</w:t>
            </w:r>
            <w:r w:rsidR="00AA3598">
              <w:rPr>
                <w:sz w:val="20"/>
                <w:szCs w:val="20"/>
              </w:rPr>
              <w:t>olution design</w:t>
            </w:r>
            <w:r>
              <w:rPr>
                <w:sz w:val="20"/>
                <w:szCs w:val="20"/>
              </w:rPr>
              <w:t xml:space="preserve">, </w:t>
            </w:r>
            <w:r w:rsidR="002F6C04">
              <w:rPr>
                <w:sz w:val="20"/>
                <w:szCs w:val="20"/>
              </w:rPr>
              <w:t xml:space="preserve">functional </w:t>
            </w:r>
            <w:r>
              <w:rPr>
                <w:sz w:val="20"/>
                <w:szCs w:val="20"/>
              </w:rPr>
              <w:t xml:space="preserve">and non-functional </w:t>
            </w:r>
            <w:r w:rsidR="002F6C04">
              <w:rPr>
                <w:sz w:val="20"/>
                <w:szCs w:val="20"/>
              </w:rPr>
              <w:t>outline</w:t>
            </w:r>
            <w:r>
              <w:rPr>
                <w:sz w:val="20"/>
                <w:szCs w:val="20"/>
              </w:rPr>
              <w:t>,</w:t>
            </w:r>
            <w:r w:rsidR="002F6C04">
              <w:rPr>
                <w:sz w:val="20"/>
                <w:szCs w:val="20"/>
              </w:rPr>
              <w:t xml:space="preserve"> technical architecture,</w:t>
            </w:r>
            <w:r>
              <w:rPr>
                <w:sz w:val="20"/>
                <w:szCs w:val="20"/>
              </w:rPr>
              <w:t xml:space="preserve"> and</w:t>
            </w:r>
            <w:r w:rsidR="002F6C04">
              <w:rPr>
                <w:sz w:val="20"/>
                <w:szCs w:val="20"/>
              </w:rPr>
              <w:t xml:space="preserve"> next steps and requirements in the route to market</w:t>
            </w:r>
            <w:r>
              <w:rPr>
                <w:sz w:val="20"/>
                <w:szCs w:val="20"/>
              </w:rPr>
              <w:t xml:space="preserve">.  </w:t>
            </w:r>
          </w:p>
          <w:p w14:paraId="367E5BC7" w14:textId="77777777" w:rsidR="00E736B9" w:rsidRPr="00E736B9" w:rsidRDefault="00E736B9" w:rsidP="00142A33">
            <w:pPr>
              <w:pStyle w:val="Body"/>
              <w:numPr>
                <w:ilvl w:val="1"/>
                <w:numId w:val="40"/>
              </w:numPr>
              <w:spacing w:after="60" w:line="276" w:lineRule="auto"/>
              <w:rPr>
                <w:b/>
                <w:bCs/>
                <w:sz w:val="20"/>
                <w:szCs w:val="20"/>
              </w:rPr>
            </w:pPr>
            <w:r>
              <w:rPr>
                <w:sz w:val="20"/>
                <w:szCs w:val="20"/>
              </w:rPr>
              <w:t>Testing methodology</w:t>
            </w:r>
          </w:p>
          <w:p w14:paraId="622C667C" w14:textId="59F19F82" w:rsidR="00E736B9" w:rsidRPr="00080E22" w:rsidRDefault="00E736B9" w:rsidP="00142A33">
            <w:pPr>
              <w:pStyle w:val="Body"/>
              <w:numPr>
                <w:ilvl w:val="1"/>
                <w:numId w:val="40"/>
              </w:numPr>
              <w:spacing w:after="60" w:line="276" w:lineRule="auto"/>
              <w:rPr>
                <w:b/>
                <w:bCs/>
                <w:sz w:val="20"/>
                <w:szCs w:val="20"/>
              </w:rPr>
            </w:pPr>
            <w:r>
              <w:rPr>
                <w:sz w:val="20"/>
                <w:szCs w:val="20"/>
              </w:rPr>
              <w:t xml:space="preserve">Analysis and findings on the effectiveness of the solution, including its validity, reliability, feasibility, applicability, and </w:t>
            </w:r>
            <w:r w:rsidRPr="00E736B9">
              <w:rPr>
                <w:sz w:val="20"/>
                <w:szCs w:val="20"/>
              </w:rPr>
              <w:t>performance benefits and impact</w:t>
            </w:r>
          </w:p>
          <w:p w14:paraId="25812C60" w14:textId="0FC10764" w:rsidR="00080E22" w:rsidRPr="00E736B9" w:rsidRDefault="00080E22" w:rsidP="00142A33">
            <w:pPr>
              <w:pStyle w:val="Body"/>
              <w:numPr>
                <w:ilvl w:val="1"/>
                <w:numId w:val="40"/>
              </w:numPr>
              <w:spacing w:after="60" w:line="276" w:lineRule="auto"/>
              <w:rPr>
                <w:b/>
                <w:bCs/>
                <w:sz w:val="20"/>
                <w:szCs w:val="20"/>
              </w:rPr>
            </w:pPr>
            <w:r>
              <w:rPr>
                <w:sz w:val="20"/>
                <w:szCs w:val="20"/>
              </w:rPr>
              <w:t>Hard coded rules for effective performance analysis and automating reactionary delay attribution</w:t>
            </w:r>
            <w:r>
              <w:rPr>
                <w:rStyle w:val="FootnoteReference"/>
                <w:sz w:val="20"/>
                <w:szCs w:val="20"/>
              </w:rPr>
              <w:footnoteReference w:id="5"/>
            </w:r>
            <w:r>
              <w:rPr>
                <w:sz w:val="20"/>
                <w:szCs w:val="20"/>
              </w:rPr>
              <w:t xml:space="preserve">.   </w:t>
            </w:r>
          </w:p>
          <w:p w14:paraId="491A20B4" w14:textId="48394A86" w:rsidR="00781D36" w:rsidRDefault="00080E22" w:rsidP="00142A33">
            <w:pPr>
              <w:pStyle w:val="Body"/>
              <w:numPr>
                <w:ilvl w:val="0"/>
                <w:numId w:val="40"/>
              </w:numPr>
              <w:spacing w:after="60" w:line="276" w:lineRule="auto"/>
              <w:rPr>
                <w:sz w:val="20"/>
                <w:szCs w:val="20"/>
              </w:rPr>
            </w:pPr>
            <w:r w:rsidRPr="002F1285">
              <w:rPr>
                <w:b/>
                <w:bCs/>
                <w:sz w:val="20"/>
                <w:szCs w:val="20"/>
              </w:rPr>
              <w:t>S</w:t>
            </w:r>
            <w:r w:rsidR="00781D36" w:rsidRPr="002F1285">
              <w:rPr>
                <w:b/>
                <w:bCs/>
                <w:sz w:val="20"/>
                <w:szCs w:val="20"/>
              </w:rPr>
              <w:t>olution (demonstrator)</w:t>
            </w:r>
            <w:r w:rsidR="005C2904" w:rsidRPr="002F1285">
              <w:rPr>
                <w:b/>
                <w:bCs/>
                <w:sz w:val="20"/>
                <w:szCs w:val="20"/>
              </w:rPr>
              <w:t xml:space="preserve"> to analyse and attribute self-evident reactionary delays</w:t>
            </w:r>
            <w:r w:rsidR="005C2904" w:rsidRPr="002F1285">
              <w:rPr>
                <w:sz w:val="20"/>
                <w:szCs w:val="20"/>
              </w:rPr>
              <w:t xml:space="preserve">. </w:t>
            </w:r>
            <w:r w:rsidR="005C2904" w:rsidRPr="002F1285">
              <w:rPr>
                <w:b/>
                <w:bCs/>
                <w:sz w:val="20"/>
                <w:szCs w:val="20"/>
              </w:rPr>
              <w:t xml:space="preserve"> </w:t>
            </w:r>
            <w:r w:rsidR="00467B7E" w:rsidRPr="002F1285">
              <w:rPr>
                <w:sz w:val="20"/>
                <w:szCs w:val="20"/>
              </w:rPr>
              <w:t xml:space="preserve">The developed solution, including </w:t>
            </w:r>
            <w:r w:rsidR="002F1285" w:rsidRPr="002F1285">
              <w:rPr>
                <w:sz w:val="20"/>
                <w:szCs w:val="20"/>
              </w:rPr>
              <w:t xml:space="preserve">any </w:t>
            </w:r>
            <w:r w:rsidR="00467B7E" w:rsidRPr="002F1285">
              <w:rPr>
                <w:sz w:val="20"/>
                <w:szCs w:val="20"/>
              </w:rPr>
              <w:t xml:space="preserve">software application / graphic user interface and developed algorithms shall be </w:t>
            </w:r>
            <w:r w:rsidR="002F1285" w:rsidRPr="002F1285">
              <w:rPr>
                <w:sz w:val="20"/>
                <w:szCs w:val="20"/>
              </w:rPr>
              <w:t>accessible via SPARK</w:t>
            </w:r>
            <w:r w:rsidR="00572120">
              <w:rPr>
                <w:rStyle w:val="FootnoteReference"/>
                <w:sz w:val="20"/>
                <w:szCs w:val="20"/>
              </w:rPr>
              <w:footnoteReference w:id="6"/>
            </w:r>
            <w:r w:rsidR="002F1285" w:rsidRPr="002F1285">
              <w:rPr>
                <w:sz w:val="20"/>
                <w:szCs w:val="20"/>
              </w:rPr>
              <w:t xml:space="preserve"> in an open source framework</w:t>
            </w:r>
            <w:r w:rsidR="00FA5495">
              <w:rPr>
                <w:sz w:val="20"/>
                <w:szCs w:val="20"/>
              </w:rPr>
              <w:t>,</w:t>
            </w:r>
            <w:r w:rsidR="002F1285" w:rsidRPr="002F1285">
              <w:rPr>
                <w:sz w:val="20"/>
                <w:szCs w:val="20"/>
              </w:rPr>
              <w:t xml:space="preserve"> for RSSB members to develop further for NR, TOC, FOC, supplier systems.  The solution must interfac</w:t>
            </w:r>
            <w:r w:rsidR="002F1285">
              <w:rPr>
                <w:sz w:val="20"/>
                <w:szCs w:val="20"/>
              </w:rPr>
              <w:t>e</w:t>
            </w:r>
            <w:r w:rsidR="002F1285" w:rsidRPr="002F1285">
              <w:rPr>
                <w:sz w:val="20"/>
                <w:szCs w:val="20"/>
              </w:rPr>
              <w:t xml:space="preserve"> with current</w:t>
            </w:r>
            <w:r w:rsidR="002F1285">
              <w:rPr>
                <w:sz w:val="20"/>
                <w:szCs w:val="20"/>
              </w:rPr>
              <w:t xml:space="preserve"> industry systems and allow interfacing with p</w:t>
            </w:r>
            <w:r w:rsidR="002F1285" w:rsidRPr="002F1285">
              <w:rPr>
                <w:sz w:val="20"/>
                <w:szCs w:val="20"/>
              </w:rPr>
              <w:t>otential</w:t>
            </w:r>
            <w:r w:rsidR="003A4AFA">
              <w:rPr>
                <w:sz w:val="20"/>
                <w:szCs w:val="20"/>
              </w:rPr>
              <w:t xml:space="preserve"> near</w:t>
            </w:r>
            <w:r w:rsidR="002F1285" w:rsidRPr="002F1285">
              <w:rPr>
                <w:sz w:val="20"/>
                <w:szCs w:val="20"/>
              </w:rPr>
              <w:t xml:space="preserve"> future systems</w:t>
            </w:r>
            <w:r w:rsidR="002F1285">
              <w:rPr>
                <w:sz w:val="20"/>
                <w:szCs w:val="20"/>
              </w:rPr>
              <w:t xml:space="preserve"> (1-5 years).</w:t>
            </w:r>
          </w:p>
          <w:p w14:paraId="07338E16" w14:textId="138A7934" w:rsidR="00D87766" w:rsidRPr="002F1285" w:rsidRDefault="00D87766" w:rsidP="00142A33">
            <w:pPr>
              <w:pStyle w:val="Body"/>
              <w:numPr>
                <w:ilvl w:val="0"/>
                <w:numId w:val="40"/>
              </w:numPr>
              <w:spacing w:after="60" w:line="276" w:lineRule="auto"/>
              <w:rPr>
                <w:sz w:val="20"/>
                <w:szCs w:val="20"/>
              </w:rPr>
            </w:pPr>
            <w:r>
              <w:rPr>
                <w:b/>
                <w:bCs/>
                <w:sz w:val="20"/>
                <w:szCs w:val="20"/>
              </w:rPr>
              <w:t xml:space="preserve">Solution user </w:t>
            </w:r>
            <w:r w:rsidR="00A60AA4">
              <w:rPr>
                <w:b/>
                <w:bCs/>
                <w:sz w:val="20"/>
                <w:szCs w:val="20"/>
              </w:rPr>
              <w:t>m</w:t>
            </w:r>
            <w:r>
              <w:rPr>
                <w:b/>
                <w:bCs/>
                <w:sz w:val="20"/>
                <w:szCs w:val="20"/>
              </w:rPr>
              <w:t>anu</w:t>
            </w:r>
            <w:r w:rsidR="00A60AA4">
              <w:rPr>
                <w:b/>
                <w:bCs/>
                <w:sz w:val="20"/>
                <w:szCs w:val="20"/>
              </w:rPr>
              <w:t>a</w:t>
            </w:r>
            <w:r>
              <w:rPr>
                <w:b/>
                <w:bCs/>
                <w:sz w:val="20"/>
                <w:szCs w:val="20"/>
              </w:rPr>
              <w:t xml:space="preserve">l / guidance. </w:t>
            </w:r>
            <w:r w:rsidR="00071DDB">
              <w:rPr>
                <w:sz w:val="20"/>
                <w:szCs w:val="20"/>
              </w:rPr>
              <w:t xml:space="preserve">This report shall include as a minimum guidance on the installation, use and troubleshooting of the solution, including </w:t>
            </w:r>
            <w:r w:rsidR="003737DF">
              <w:rPr>
                <w:sz w:val="20"/>
                <w:szCs w:val="20"/>
              </w:rPr>
              <w:t xml:space="preserve">quality assurance and calibration methods, </w:t>
            </w:r>
            <w:r w:rsidR="00071DDB">
              <w:rPr>
                <w:sz w:val="20"/>
                <w:szCs w:val="20"/>
              </w:rPr>
              <w:t xml:space="preserve">how to use the solution to improve performance and attribution analysis, and automating reactionary delay attribution. </w:t>
            </w:r>
          </w:p>
          <w:p w14:paraId="253AE58A" w14:textId="0B0A072E" w:rsidR="00F76085" w:rsidRPr="009B6B89" w:rsidRDefault="00F76085" w:rsidP="00F76085">
            <w:pPr>
              <w:pStyle w:val="Body"/>
              <w:spacing w:after="60" w:line="276" w:lineRule="auto"/>
              <w:rPr>
                <w:sz w:val="20"/>
                <w:szCs w:val="20"/>
              </w:rPr>
            </w:pPr>
            <w:r w:rsidRPr="009B6B89">
              <w:rPr>
                <w:sz w:val="20"/>
                <w:szCs w:val="20"/>
              </w:rPr>
              <w:t xml:space="preserve">All deliverables </w:t>
            </w:r>
            <w:r w:rsidRPr="009B6B89">
              <w:rPr>
                <w:rFonts w:asciiTheme="minorHAnsi" w:hAnsiTheme="minorHAnsi" w:cstheme="minorHAnsi"/>
                <w:sz w:val="20"/>
                <w:szCs w:val="20"/>
              </w:rPr>
              <w:t>shall be submitted to RSSB for review and comment before approving the final deliverable.  All documentation to be produced in the standard RSSB format and to be made widely available.</w:t>
            </w:r>
          </w:p>
        </w:tc>
      </w:tr>
    </w:tbl>
    <w:p w14:paraId="44DCDC4A" w14:textId="77777777" w:rsidR="003737DF" w:rsidRDefault="003737DF" w:rsidP="009B21F8">
      <w:pPr>
        <w:rPr>
          <w:rFonts w:ascii="Calibri" w:hAnsi="Calibri" w:cs="Arial"/>
          <w:b/>
          <w:bCs/>
          <w:sz w:val="22"/>
          <w:szCs w:val="22"/>
          <w:lang w:eastAsia="en-GB"/>
        </w:rPr>
      </w:pPr>
    </w:p>
    <w:p w14:paraId="1C6B5E0C" w14:textId="77777777" w:rsidR="00CA51C4" w:rsidRDefault="00CA51C4" w:rsidP="00CA51C4">
      <w:pPr>
        <w:pStyle w:val="Body"/>
        <w:spacing w:line="240" w:lineRule="auto"/>
        <w:rPr>
          <w:b/>
          <w:u w:val="single"/>
        </w:rPr>
      </w:pPr>
      <w:r>
        <w:rPr>
          <w:b/>
          <w:u w:val="single"/>
        </w:rPr>
        <w:t>Stage Gate</w:t>
      </w:r>
    </w:p>
    <w:p w14:paraId="1C940AE0" w14:textId="5D901121" w:rsidR="006F65EB" w:rsidRDefault="006F65EB" w:rsidP="00CA51C4">
      <w:pPr>
        <w:pStyle w:val="Body"/>
        <w:spacing w:line="240" w:lineRule="auto"/>
        <w:rPr>
          <w:b/>
          <w:iCs/>
        </w:rPr>
      </w:pPr>
      <w:r w:rsidRPr="000E3921">
        <w:rPr>
          <w:b/>
          <w:iCs/>
        </w:rPr>
        <w:t>Following delivery of work package COF-ADA-0</w:t>
      </w:r>
      <w:r>
        <w:rPr>
          <w:b/>
          <w:iCs/>
        </w:rPr>
        <w:t>3</w:t>
      </w:r>
      <w:r w:rsidRPr="000E3921">
        <w:rPr>
          <w:b/>
          <w:iCs/>
        </w:rPr>
        <w:t xml:space="preserve">, a stage gate review meeting will be held with the project steering group to agree the options for progressing the research, informed by evidence gathered. Depending on the outcome of this review, the project </w:t>
      </w:r>
      <w:r w:rsidRPr="000E3921">
        <w:rPr>
          <w:b/>
          <w:iCs/>
        </w:rPr>
        <w:lastRenderedPageBreak/>
        <w:t>will either: (1) Stop, (2) Proceed to the next work package, or (3) Review the scope and proceed with a revised scope.</w:t>
      </w:r>
    </w:p>
    <w:p w14:paraId="7AEE105A" w14:textId="77777777" w:rsidR="006F65EB" w:rsidRPr="000E3921" w:rsidRDefault="006F65EB" w:rsidP="00CA51C4">
      <w:pPr>
        <w:pStyle w:val="Body"/>
        <w:spacing w:line="240" w:lineRule="auto"/>
        <w:rPr>
          <w:b/>
          <w:iCs/>
        </w:rPr>
      </w:pPr>
    </w:p>
    <w:tbl>
      <w:tblPr>
        <w:tblStyle w:val="TableGrid"/>
        <w:tblW w:w="8817" w:type="dxa"/>
        <w:jc w:val="center"/>
        <w:tblLook w:val="04A0" w:firstRow="1" w:lastRow="0" w:firstColumn="1" w:lastColumn="0" w:noHBand="0" w:noVBand="1"/>
      </w:tblPr>
      <w:tblGrid>
        <w:gridCol w:w="1244"/>
        <w:gridCol w:w="7573"/>
      </w:tblGrid>
      <w:tr w:rsidR="00CD515F" w:rsidRPr="008A4801" w14:paraId="452E2B46" w14:textId="77777777" w:rsidTr="003E4867">
        <w:trPr>
          <w:trHeight w:val="205"/>
          <w:jc w:val="center"/>
        </w:trPr>
        <w:tc>
          <w:tcPr>
            <w:tcW w:w="8817" w:type="dxa"/>
            <w:gridSpan w:val="2"/>
          </w:tcPr>
          <w:p w14:paraId="2BE32C7B" w14:textId="50C49AF9" w:rsidR="00CD515F" w:rsidRPr="008A4801" w:rsidRDefault="00CD515F" w:rsidP="000F2FD1">
            <w:pPr>
              <w:pStyle w:val="Heading30"/>
              <w:spacing w:before="0" w:after="60"/>
              <w:rPr>
                <w:b/>
                <w:sz w:val="20"/>
                <w:szCs w:val="20"/>
              </w:rPr>
            </w:pPr>
            <w:r w:rsidRPr="008A4801">
              <w:rPr>
                <w:b/>
                <w:sz w:val="20"/>
                <w:szCs w:val="20"/>
              </w:rPr>
              <w:t>Work Package COF-ADA-0</w:t>
            </w:r>
            <w:r w:rsidR="00E86CBE">
              <w:rPr>
                <w:b/>
                <w:sz w:val="20"/>
                <w:szCs w:val="20"/>
              </w:rPr>
              <w:t>4</w:t>
            </w:r>
          </w:p>
        </w:tc>
      </w:tr>
      <w:tr w:rsidR="00CD515F" w:rsidRPr="008A4801" w14:paraId="4099ADE3" w14:textId="77777777" w:rsidTr="008A4801">
        <w:trPr>
          <w:trHeight w:val="70"/>
          <w:jc w:val="center"/>
        </w:trPr>
        <w:tc>
          <w:tcPr>
            <w:tcW w:w="1129" w:type="dxa"/>
          </w:tcPr>
          <w:p w14:paraId="173EE5F0" w14:textId="77777777" w:rsidR="00CD515F" w:rsidRPr="008A4801" w:rsidRDefault="00CD515F" w:rsidP="000F2FD1">
            <w:pPr>
              <w:pStyle w:val="Body"/>
              <w:spacing w:after="60"/>
              <w:rPr>
                <w:sz w:val="20"/>
                <w:szCs w:val="20"/>
              </w:rPr>
            </w:pPr>
            <w:r w:rsidRPr="008A4801">
              <w:rPr>
                <w:b/>
                <w:sz w:val="20"/>
                <w:szCs w:val="20"/>
              </w:rPr>
              <w:t>Title</w:t>
            </w:r>
          </w:p>
        </w:tc>
        <w:tc>
          <w:tcPr>
            <w:tcW w:w="7688" w:type="dxa"/>
          </w:tcPr>
          <w:p w14:paraId="6307E2EE" w14:textId="247CE819" w:rsidR="00CD515F" w:rsidRPr="008A4801" w:rsidRDefault="0063719E" w:rsidP="000F2FD1">
            <w:pPr>
              <w:pStyle w:val="Body"/>
              <w:spacing w:after="60"/>
              <w:rPr>
                <w:b/>
                <w:bCs/>
                <w:sz w:val="20"/>
                <w:szCs w:val="20"/>
              </w:rPr>
            </w:pPr>
            <w:r w:rsidRPr="008A4801">
              <w:rPr>
                <w:b/>
                <w:bCs/>
                <w:sz w:val="20"/>
                <w:szCs w:val="20"/>
              </w:rPr>
              <w:t>Implementation support and change management (objective 5)</w:t>
            </w:r>
          </w:p>
        </w:tc>
      </w:tr>
      <w:tr w:rsidR="00CD515F" w:rsidRPr="008A4801" w14:paraId="6051A547" w14:textId="77777777" w:rsidTr="008A4801">
        <w:trPr>
          <w:trHeight w:val="433"/>
          <w:jc w:val="center"/>
        </w:trPr>
        <w:tc>
          <w:tcPr>
            <w:tcW w:w="1129" w:type="dxa"/>
          </w:tcPr>
          <w:p w14:paraId="62B0A6BE" w14:textId="77777777" w:rsidR="00CD515F" w:rsidRPr="008A4801" w:rsidRDefault="00CD515F" w:rsidP="000F2FD1">
            <w:pPr>
              <w:pStyle w:val="Body"/>
              <w:spacing w:after="60"/>
              <w:rPr>
                <w:b/>
                <w:sz w:val="20"/>
                <w:szCs w:val="20"/>
              </w:rPr>
            </w:pPr>
            <w:r w:rsidRPr="008A4801">
              <w:rPr>
                <w:b/>
                <w:sz w:val="20"/>
                <w:szCs w:val="20"/>
              </w:rPr>
              <w:t>Delivery</w:t>
            </w:r>
          </w:p>
        </w:tc>
        <w:tc>
          <w:tcPr>
            <w:tcW w:w="7688" w:type="dxa"/>
          </w:tcPr>
          <w:p w14:paraId="2DF9B997" w14:textId="77777777" w:rsidR="00CD515F" w:rsidRPr="008A4801" w:rsidRDefault="00CD515F" w:rsidP="000F2FD1">
            <w:pPr>
              <w:pStyle w:val="Body"/>
              <w:spacing w:after="60"/>
              <w:rPr>
                <w:sz w:val="20"/>
                <w:szCs w:val="20"/>
              </w:rPr>
            </w:pPr>
            <w:r w:rsidRPr="008A4801">
              <w:rPr>
                <w:sz w:val="20"/>
                <w:szCs w:val="20"/>
              </w:rPr>
              <w:t>Subject to this competitive tender</w:t>
            </w:r>
          </w:p>
        </w:tc>
      </w:tr>
      <w:tr w:rsidR="00CD515F" w:rsidRPr="008A4801" w14:paraId="664F2DE4" w14:textId="77777777" w:rsidTr="008A4801">
        <w:trPr>
          <w:trHeight w:val="417"/>
          <w:jc w:val="center"/>
        </w:trPr>
        <w:tc>
          <w:tcPr>
            <w:tcW w:w="1129" w:type="dxa"/>
          </w:tcPr>
          <w:p w14:paraId="373E8350" w14:textId="77777777" w:rsidR="00CD515F" w:rsidRPr="008A4801" w:rsidRDefault="00CD515F" w:rsidP="000F2FD1">
            <w:pPr>
              <w:pStyle w:val="Body"/>
              <w:spacing w:after="60"/>
              <w:rPr>
                <w:sz w:val="20"/>
                <w:szCs w:val="20"/>
              </w:rPr>
            </w:pPr>
            <w:r w:rsidRPr="008A4801">
              <w:rPr>
                <w:b/>
                <w:sz w:val="20"/>
                <w:szCs w:val="20"/>
              </w:rPr>
              <w:t>Start</w:t>
            </w:r>
          </w:p>
        </w:tc>
        <w:tc>
          <w:tcPr>
            <w:tcW w:w="7688" w:type="dxa"/>
          </w:tcPr>
          <w:p w14:paraId="74406AD4" w14:textId="56F401BB" w:rsidR="00CD515F" w:rsidRPr="008A4801" w:rsidRDefault="0063719E" w:rsidP="000F2FD1">
            <w:pPr>
              <w:pStyle w:val="Body"/>
              <w:spacing w:after="60"/>
              <w:rPr>
                <w:sz w:val="20"/>
                <w:szCs w:val="20"/>
              </w:rPr>
            </w:pPr>
            <w:r w:rsidRPr="008A4801">
              <w:rPr>
                <w:sz w:val="20"/>
                <w:szCs w:val="20"/>
              </w:rPr>
              <w:t>May 2021</w:t>
            </w:r>
          </w:p>
        </w:tc>
      </w:tr>
      <w:tr w:rsidR="00CD515F" w:rsidRPr="008A4801" w14:paraId="2C09E50D" w14:textId="77777777" w:rsidTr="008A4801">
        <w:trPr>
          <w:trHeight w:val="417"/>
          <w:jc w:val="center"/>
        </w:trPr>
        <w:tc>
          <w:tcPr>
            <w:tcW w:w="1129" w:type="dxa"/>
          </w:tcPr>
          <w:p w14:paraId="06A06CCE" w14:textId="77777777" w:rsidR="00CD515F" w:rsidRPr="008A4801" w:rsidRDefault="00CD515F" w:rsidP="000F2FD1">
            <w:pPr>
              <w:pStyle w:val="Body"/>
              <w:spacing w:after="60"/>
              <w:rPr>
                <w:b/>
                <w:sz w:val="20"/>
                <w:szCs w:val="20"/>
              </w:rPr>
            </w:pPr>
            <w:r w:rsidRPr="008A4801">
              <w:rPr>
                <w:b/>
                <w:sz w:val="20"/>
                <w:szCs w:val="20"/>
              </w:rPr>
              <w:t xml:space="preserve">Completion </w:t>
            </w:r>
          </w:p>
        </w:tc>
        <w:tc>
          <w:tcPr>
            <w:tcW w:w="7688" w:type="dxa"/>
          </w:tcPr>
          <w:p w14:paraId="537AE0AB" w14:textId="7E9266CF" w:rsidR="00CD515F" w:rsidRPr="008A4801" w:rsidRDefault="0063719E" w:rsidP="000F2FD1">
            <w:pPr>
              <w:pStyle w:val="Body"/>
              <w:spacing w:after="60"/>
              <w:rPr>
                <w:sz w:val="20"/>
                <w:szCs w:val="20"/>
              </w:rPr>
            </w:pPr>
            <w:r w:rsidRPr="008A4801">
              <w:rPr>
                <w:sz w:val="20"/>
                <w:szCs w:val="20"/>
              </w:rPr>
              <w:t>July 2021</w:t>
            </w:r>
          </w:p>
        </w:tc>
      </w:tr>
      <w:tr w:rsidR="00CD515F" w:rsidRPr="008A4801" w14:paraId="7A870B69" w14:textId="77777777" w:rsidTr="008A4801">
        <w:trPr>
          <w:trHeight w:val="417"/>
          <w:jc w:val="center"/>
        </w:trPr>
        <w:tc>
          <w:tcPr>
            <w:tcW w:w="1129" w:type="dxa"/>
          </w:tcPr>
          <w:p w14:paraId="12A4F0E7" w14:textId="77777777" w:rsidR="00CD515F" w:rsidRPr="008A4801" w:rsidRDefault="00CD515F" w:rsidP="000F2FD1">
            <w:pPr>
              <w:pStyle w:val="Body"/>
              <w:spacing w:after="60"/>
              <w:rPr>
                <w:b/>
                <w:sz w:val="20"/>
                <w:szCs w:val="20"/>
              </w:rPr>
            </w:pPr>
            <w:r w:rsidRPr="008A4801">
              <w:rPr>
                <w:b/>
                <w:sz w:val="20"/>
                <w:szCs w:val="20"/>
              </w:rPr>
              <w:t xml:space="preserve">Scope </w:t>
            </w:r>
          </w:p>
        </w:tc>
        <w:tc>
          <w:tcPr>
            <w:tcW w:w="7688" w:type="dxa"/>
          </w:tcPr>
          <w:p w14:paraId="48CF8B08" w14:textId="5C4AB458" w:rsidR="00D940BE" w:rsidRPr="00641FE6" w:rsidRDefault="00D940BE" w:rsidP="000F2FD1">
            <w:pPr>
              <w:pStyle w:val="Body"/>
              <w:spacing w:after="60"/>
              <w:rPr>
                <w:b/>
                <w:bCs/>
                <w:sz w:val="20"/>
                <w:szCs w:val="20"/>
              </w:rPr>
            </w:pPr>
            <w:r w:rsidRPr="00641FE6">
              <w:rPr>
                <w:rFonts w:eastAsia="Calibri"/>
                <w:b/>
                <w:bCs/>
                <w:sz w:val="20"/>
                <w:szCs w:val="20"/>
                <w:lang w:val="en-US"/>
              </w:rPr>
              <w:t>5. Support the industry implementation and change management process to adopt the novel solution, including:</w:t>
            </w:r>
          </w:p>
          <w:p w14:paraId="6935AF64" w14:textId="217A22F8" w:rsidR="00641FE6" w:rsidRPr="00641FE6" w:rsidRDefault="00641FE6" w:rsidP="00142A33">
            <w:pPr>
              <w:pStyle w:val="ListParagraph"/>
              <w:numPr>
                <w:ilvl w:val="0"/>
                <w:numId w:val="42"/>
              </w:numPr>
              <w:rPr>
                <w:rFonts w:ascii="Calibri" w:hAnsi="Calibri" w:cs="Arial"/>
                <w:sz w:val="20"/>
                <w:szCs w:val="20"/>
                <w:lang w:eastAsia="en-GB"/>
              </w:rPr>
            </w:pPr>
            <w:r w:rsidRPr="00641FE6">
              <w:rPr>
                <w:rFonts w:ascii="Calibri" w:hAnsi="Calibri" w:cs="Arial"/>
                <w:sz w:val="20"/>
                <w:szCs w:val="20"/>
                <w:lang w:eastAsia="en-GB"/>
              </w:rPr>
              <w:t>2 Workshops with practitioner and senior stakeholders to support the industry use of the demonstrator solution and understand next steps in the route to market.</w:t>
            </w:r>
          </w:p>
          <w:p w14:paraId="1CC1C587" w14:textId="4C516252" w:rsidR="00D940BE" w:rsidRPr="008A4801" w:rsidRDefault="00D940BE" w:rsidP="00142A33">
            <w:pPr>
              <w:pStyle w:val="Body"/>
              <w:numPr>
                <w:ilvl w:val="0"/>
                <w:numId w:val="42"/>
              </w:numPr>
              <w:spacing w:after="60"/>
              <w:rPr>
                <w:sz w:val="20"/>
                <w:szCs w:val="20"/>
              </w:rPr>
            </w:pPr>
            <w:r w:rsidRPr="008A4801">
              <w:rPr>
                <w:sz w:val="20"/>
                <w:szCs w:val="20"/>
              </w:rPr>
              <w:t xml:space="preserve">An implementation strategy/roadmap to industry wide use of the solution </w:t>
            </w:r>
          </w:p>
          <w:p w14:paraId="50C39EFD" w14:textId="3FF85D67" w:rsidR="00D940BE" w:rsidRPr="008A4801" w:rsidRDefault="00D940BE" w:rsidP="00142A33">
            <w:pPr>
              <w:pStyle w:val="Body"/>
              <w:numPr>
                <w:ilvl w:val="0"/>
                <w:numId w:val="42"/>
              </w:numPr>
              <w:spacing w:after="60"/>
              <w:rPr>
                <w:sz w:val="20"/>
                <w:szCs w:val="20"/>
              </w:rPr>
            </w:pPr>
            <w:r w:rsidRPr="008A4801">
              <w:rPr>
                <w:sz w:val="20"/>
                <w:szCs w:val="20"/>
              </w:rPr>
              <w:t xml:space="preserve">Guidance and training materials to support practitioner and senior staff </w:t>
            </w:r>
          </w:p>
          <w:p w14:paraId="7BB72CAB" w14:textId="47FAC0AB" w:rsidR="00D940BE" w:rsidRPr="008A4801" w:rsidRDefault="00D940BE" w:rsidP="00142A33">
            <w:pPr>
              <w:pStyle w:val="Body"/>
              <w:numPr>
                <w:ilvl w:val="0"/>
                <w:numId w:val="42"/>
              </w:numPr>
              <w:spacing w:after="60"/>
              <w:rPr>
                <w:sz w:val="20"/>
                <w:szCs w:val="20"/>
              </w:rPr>
            </w:pPr>
            <w:r w:rsidRPr="008A4801">
              <w:rPr>
                <w:sz w:val="20"/>
                <w:szCs w:val="20"/>
              </w:rPr>
              <w:t>Promotional and engagement support (e.g. workshops, communications material)</w:t>
            </w:r>
          </w:p>
          <w:p w14:paraId="3D399761" w14:textId="58CC6D4D" w:rsidR="00D940BE" w:rsidRPr="008A4801" w:rsidRDefault="00D940BE" w:rsidP="00142A33">
            <w:pPr>
              <w:pStyle w:val="Body"/>
              <w:numPr>
                <w:ilvl w:val="0"/>
                <w:numId w:val="42"/>
              </w:numPr>
              <w:spacing w:after="60"/>
              <w:rPr>
                <w:sz w:val="20"/>
                <w:szCs w:val="20"/>
              </w:rPr>
            </w:pPr>
            <w:r w:rsidRPr="008A4801">
              <w:rPr>
                <w:rFonts w:eastAsia="Calibri"/>
                <w:sz w:val="20"/>
                <w:szCs w:val="20"/>
              </w:rPr>
              <w:t xml:space="preserve">Recommendations and implications on current practice, including alignment to the PIMS and RM3P </w:t>
            </w:r>
            <w:r w:rsidR="00750CAE" w:rsidRPr="008A4801">
              <w:rPr>
                <w:rFonts w:eastAsia="Calibri"/>
                <w:sz w:val="20"/>
                <w:szCs w:val="20"/>
              </w:rPr>
              <w:t>self-assessments</w:t>
            </w:r>
            <w:r w:rsidRPr="008A4801">
              <w:rPr>
                <w:rFonts w:eastAsia="Calibri"/>
                <w:sz w:val="20"/>
                <w:szCs w:val="20"/>
              </w:rPr>
              <w:t xml:space="preserve"> and increasing maturity levels</w:t>
            </w:r>
          </w:p>
          <w:p w14:paraId="6571366F" w14:textId="4461F0DA" w:rsidR="00D940BE" w:rsidRPr="008A4801" w:rsidRDefault="00D940BE" w:rsidP="00142A33">
            <w:pPr>
              <w:pStyle w:val="Body"/>
              <w:numPr>
                <w:ilvl w:val="0"/>
                <w:numId w:val="42"/>
              </w:numPr>
              <w:spacing w:after="60"/>
              <w:rPr>
                <w:sz w:val="20"/>
                <w:szCs w:val="20"/>
              </w:rPr>
            </w:pPr>
            <w:r w:rsidRPr="008A4801">
              <w:rPr>
                <w:rFonts w:eastAsia="Calibri"/>
                <w:sz w:val="20"/>
                <w:szCs w:val="20"/>
              </w:rPr>
              <w:t>Define the industry change management and engagement processes required to implement the solution, including governance, change controls, defining responsibility of maintaining inputs/validation of the solution.  This should include guidance for managing change and industry behaviours</w:t>
            </w:r>
          </w:p>
          <w:p w14:paraId="43422421" w14:textId="58EA3399" w:rsidR="00D940BE" w:rsidRPr="008A4801" w:rsidRDefault="00D940BE" w:rsidP="00142A33">
            <w:pPr>
              <w:pStyle w:val="Body"/>
              <w:numPr>
                <w:ilvl w:val="0"/>
                <w:numId w:val="42"/>
              </w:numPr>
              <w:spacing w:after="60"/>
              <w:rPr>
                <w:sz w:val="20"/>
                <w:szCs w:val="20"/>
              </w:rPr>
            </w:pPr>
            <w:r w:rsidRPr="008A4801">
              <w:rPr>
                <w:rFonts w:eastAsia="Calibri"/>
                <w:sz w:val="20"/>
                <w:szCs w:val="20"/>
              </w:rPr>
              <w:t xml:space="preserve">Economic assessment for industry adoption of the solution </w:t>
            </w:r>
          </w:p>
          <w:p w14:paraId="5CBA84D7" w14:textId="383A291D" w:rsidR="006858A7" w:rsidRPr="006858A7" w:rsidRDefault="00D940BE" w:rsidP="00142A33">
            <w:pPr>
              <w:pStyle w:val="Body"/>
              <w:numPr>
                <w:ilvl w:val="0"/>
                <w:numId w:val="42"/>
              </w:numPr>
              <w:spacing w:after="60"/>
              <w:rPr>
                <w:sz w:val="20"/>
                <w:szCs w:val="20"/>
              </w:rPr>
            </w:pPr>
            <w:r w:rsidRPr="008A4801">
              <w:rPr>
                <w:sz w:val="20"/>
                <w:szCs w:val="20"/>
              </w:rPr>
              <w:t>Presentation of the findings to up to 5 industry groups, including BOPB, DAB, DA</w:t>
            </w:r>
            <w:r w:rsidR="005E360C">
              <w:rPr>
                <w:sz w:val="20"/>
                <w:szCs w:val="20"/>
              </w:rPr>
              <w:t>WG</w:t>
            </w:r>
            <w:r w:rsidRPr="008A4801">
              <w:rPr>
                <w:sz w:val="20"/>
                <w:szCs w:val="20"/>
              </w:rPr>
              <w:t>.</w:t>
            </w:r>
            <w:r w:rsidR="006858A7" w:rsidRPr="006858A7">
              <w:rPr>
                <w:sz w:val="20"/>
                <w:szCs w:val="20"/>
              </w:rPr>
              <w:t xml:space="preserve"> </w:t>
            </w:r>
          </w:p>
        </w:tc>
      </w:tr>
      <w:tr w:rsidR="00CD515F" w:rsidRPr="008A4801" w14:paraId="66B127FF" w14:textId="77777777" w:rsidTr="008A4801">
        <w:trPr>
          <w:trHeight w:val="417"/>
          <w:jc w:val="center"/>
        </w:trPr>
        <w:tc>
          <w:tcPr>
            <w:tcW w:w="1129" w:type="dxa"/>
          </w:tcPr>
          <w:p w14:paraId="29CDBD26" w14:textId="77777777" w:rsidR="00CD515F" w:rsidRPr="008A4801" w:rsidRDefault="00CD515F" w:rsidP="000F2FD1">
            <w:pPr>
              <w:pStyle w:val="Body"/>
              <w:spacing w:after="60"/>
              <w:rPr>
                <w:b/>
                <w:sz w:val="20"/>
                <w:szCs w:val="20"/>
              </w:rPr>
            </w:pPr>
            <w:r w:rsidRPr="000F2FD1">
              <w:rPr>
                <w:b/>
                <w:sz w:val="20"/>
                <w:szCs w:val="20"/>
              </w:rPr>
              <w:t>Deliverables</w:t>
            </w:r>
            <w:r w:rsidRPr="008A4801">
              <w:rPr>
                <w:b/>
                <w:sz w:val="20"/>
                <w:szCs w:val="20"/>
              </w:rPr>
              <w:t xml:space="preserve"> </w:t>
            </w:r>
          </w:p>
        </w:tc>
        <w:tc>
          <w:tcPr>
            <w:tcW w:w="7688" w:type="dxa"/>
          </w:tcPr>
          <w:p w14:paraId="6143BB23" w14:textId="36AA818A" w:rsidR="00CD515F" w:rsidRPr="008A4801" w:rsidRDefault="003D79D2" w:rsidP="00142A33">
            <w:pPr>
              <w:pStyle w:val="Body"/>
              <w:numPr>
                <w:ilvl w:val="0"/>
                <w:numId w:val="43"/>
              </w:numPr>
              <w:spacing w:after="60"/>
              <w:rPr>
                <w:sz w:val="20"/>
                <w:szCs w:val="20"/>
              </w:rPr>
            </w:pPr>
            <w:r w:rsidRPr="003D79D2">
              <w:rPr>
                <w:b/>
                <w:bCs/>
                <w:sz w:val="20"/>
                <w:szCs w:val="20"/>
              </w:rPr>
              <w:t>I</w:t>
            </w:r>
            <w:r w:rsidR="00D940BE" w:rsidRPr="003D79D2">
              <w:rPr>
                <w:b/>
                <w:bCs/>
                <w:sz w:val="20"/>
                <w:szCs w:val="20"/>
              </w:rPr>
              <w:t>mplementation report</w:t>
            </w:r>
            <w:r>
              <w:rPr>
                <w:sz w:val="20"/>
                <w:szCs w:val="20"/>
              </w:rPr>
              <w:t xml:space="preserve">.  This </w:t>
            </w:r>
            <w:r w:rsidR="00FC5F23">
              <w:rPr>
                <w:sz w:val="20"/>
                <w:szCs w:val="20"/>
              </w:rPr>
              <w:t xml:space="preserve">report </w:t>
            </w:r>
            <w:r>
              <w:rPr>
                <w:sz w:val="20"/>
                <w:szCs w:val="20"/>
              </w:rPr>
              <w:t>shal</w:t>
            </w:r>
            <w:r w:rsidR="00FC5F23">
              <w:rPr>
                <w:sz w:val="20"/>
                <w:szCs w:val="20"/>
              </w:rPr>
              <w:t>l</w:t>
            </w:r>
            <w:r w:rsidR="003E4867">
              <w:rPr>
                <w:sz w:val="20"/>
                <w:szCs w:val="20"/>
              </w:rPr>
              <w:t>,</w:t>
            </w:r>
            <w:r w:rsidR="00FC5F23">
              <w:rPr>
                <w:sz w:val="20"/>
                <w:szCs w:val="20"/>
              </w:rPr>
              <w:t xml:space="preserve"> as a minimum</w:t>
            </w:r>
            <w:r w:rsidR="003E4867">
              <w:rPr>
                <w:sz w:val="20"/>
                <w:szCs w:val="20"/>
              </w:rPr>
              <w:t>,</w:t>
            </w:r>
            <w:r w:rsidR="00FC5F23">
              <w:rPr>
                <w:sz w:val="20"/>
                <w:szCs w:val="20"/>
              </w:rPr>
              <w:t xml:space="preserve"> detail the implementation strategy for the route to market and industry wide adoption</w:t>
            </w:r>
            <w:r w:rsidR="005B076C">
              <w:rPr>
                <w:sz w:val="20"/>
                <w:szCs w:val="20"/>
              </w:rPr>
              <w:t>,</w:t>
            </w:r>
            <w:r w:rsidR="003737DF">
              <w:rPr>
                <w:sz w:val="20"/>
                <w:szCs w:val="20"/>
              </w:rPr>
              <w:t xml:space="preserve"> including</w:t>
            </w:r>
            <w:r w:rsidR="00FC5F23">
              <w:rPr>
                <w:sz w:val="20"/>
                <w:szCs w:val="20"/>
              </w:rPr>
              <w:t xml:space="preserve"> recommendations for current practice</w:t>
            </w:r>
            <w:r w:rsidR="003737DF">
              <w:rPr>
                <w:sz w:val="20"/>
                <w:szCs w:val="20"/>
              </w:rPr>
              <w:t xml:space="preserve">, </w:t>
            </w:r>
            <w:r w:rsidR="00FC5F23">
              <w:rPr>
                <w:sz w:val="20"/>
                <w:szCs w:val="20"/>
              </w:rPr>
              <w:t>industry change management</w:t>
            </w:r>
            <w:r w:rsidR="003737DF">
              <w:rPr>
                <w:sz w:val="20"/>
                <w:szCs w:val="20"/>
              </w:rPr>
              <w:t>,</w:t>
            </w:r>
            <w:r w:rsidR="00FC5F23">
              <w:rPr>
                <w:sz w:val="20"/>
                <w:szCs w:val="20"/>
              </w:rPr>
              <w:t xml:space="preserve"> engagement</w:t>
            </w:r>
            <w:r w:rsidR="003737DF">
              <w:rPr>
                <w:sz w:val="20"/>
                <w:szCs w:val="20"/>
              </w:rPr>
              <w:t>,</w:t>
            </w:r>
            <w:r w:rsidR="00FC5F23">
              <w:rPr>
                <w:sz w:val="20"/>
                <w:szCs w:val="20"/>
              </w:rPr>
              <w:t xml:space="preserve"> </w:t>
            </w:r>
            <w:r w:rsidR="00DC0220">
              <w:rPr>
                <w:sz w:val="20"/>
                <w:szCs w:val="20"/>
              </w:rPr>
              <w:t xml:space="preserve">staff training, solution </w:t>
            </w:r>
            <w:r w:rsidR="003737DF">
              <w:rPr>
                <w:sz w:val="20"/>
                <w:szCs w:val="20"/>
              </w:rPr>
              <w:t>ownership and sustainability requirements for industry wide adoption</w:t>
            </w:r>
            <w:r w:rsidR="00FC5F23">
              <w:rPr>
                <w:sz w:val="20"/>
                <w:szCs w:val="20"/>
              </w:rPr>
              <w:t xml:space="preserve">. </w:t>
            </w:r>
            <w:r w:rsidR="005B076C">
              <w:rPr>
                <w:sz w:val="20"/>
                <w:szCs w:val="20"/>
              </w:rPr>
              <w:t xml:space="preserve"> The implementation report shall also identify potential tangible and intangible benefits from implementing the solution (without further development) to improve performance of today’s railway. </w:t>
            </w:r>
          </w:p>
          <w:p w14:paraId="6CCF7AAB" w14:textId="7F539B62" w:rsidR="00D940BE" w:rsidRPr="008A4801" w:rsidRDefault="003E4867" w:rsidP="00142A33">
            <w:pPr>
              <w:pStyle w:val="Body"/>
              <w:numPr>
                <w:ilvl w:val="0"/>
                <w:numId w:val="43"/>
              </w:numPr>
              <w:spacing w:after="60"/>
              <w:rPr>
                <w:sz w:val="20"/>
                <w:szCs w:val="20"/>
              </w:rPr>
            </w:pPr>
            <w:r>
              <w:rPr>
                <w:b/>
                <w:bCs/>
                <w:sz w:val="20"/>
                <w:szCs w:val="20"/>
              </w:rPr>
              <w:t>Solution b</w:t>
            </w:r>
            <w:r w:rsidR="00D940BE" w:rsidRPr="003E4867">
              <w:rPr>
                <w:b/>
                <w:bCs/>
                <w:sz w:val="20"/>
                <w:szCs w:val="20"/>
              </w:rPr>
              <w:t>usiness case</w:t>
            </w:r>
            <w:r>
              <w:rPr>
                <w:b/>
                <w:bCs/>
                <w:sz w:val="20"/>
                <w:szCs w:val="20"/>
              </w:rPr>
              <w:t xml:space="preserve">.   </w:t>
            </w:r>
            <w:r w:rsidRPr="003E4867">
              <w:rPr>
                <w:sz w:val="20"/>
                <w:szCs w:val="20"/>
              </w:rPr>
              <w:t xml:space="preserve">This </w:t>
            </w:r>
            <w:r w:rsidR="003737DF">
              <w:rPr>
                <w:sz w:val="20"/>
                <w:szCs w:val="20"/>
              </w:rPr>
              <w:t xml:space="preserve">report </w:t>
            </w:r>
            <w:r>
              <w:rPr>
                <w:sz w:val="20"/>
                <w:szCs w:val="20"/>
              </w:rPr>
              <w:t>shall detail</w:t>
            </w:r>
            <w:r w:rsidRPr="003E4867">
              <w:rPr>
                <w:sz w:val="20"/>
                <w:szCs w:val="20"/>
              </w:rPr>
              <w:t xml:space="preserve"> as a minimum,</w:t>
            </w:r>
            <w:r>
              <w:rPr>
                <w:b/>
                <w:bCs/>
                <w:sz w:val="20"/>
                <w:szCs w:val="20"/>
              </w:rPr>
              <w:t xml:space="preserve"> </w:t>
            </w:r>
            <w:r>
              <w:rPr>
                <w:sz w:val="20"/>
                <w:szCs w:val="20"/>
              </w:rPr>
              <w:t>a realistic economic assessment of the industry wide adoption of the solutio</w:t>
            </w:r>
            <w:r w:rsidR="003737DF">
              <w:rPr>
                <w:sz w:val="20"/>
                <w:szCs w:val="20"/>
              </w:rPr>
              <w:t>n, including potential impact on passengers and improving operational performance</w:t>
            </w:r>
            <w:r w:rsidR="005B076C">
              <w:rPr>
                <w:sz w:val="20"/>
                <w:szCs w:val="20"/>
              </w:rPr>
              <w:t>.</w:t>
            </w:r>
          </w:p>
          <w:p w14:paraId="49AB569B" w14:textId="20EF7C3F" w:rsidR="005B076C" w:rsidRDefault="00750CAE" w:rsidP="00142A33">
            <w:pPr>
              <w:pStyle w:val="Body"/>
              <w:numPr>
                <w:ilvl w:val="0"/>
                <w:numId w:val="43"/>
              </w:numPr>
              <w:spacing w:after="60"/>
              <w:rPr>
                <w:sz w:val="20"/>
                <w:szCs w:val="20"/>
              </w:rPr>
            </w:pPr>
            <w:r w:rsidRPr="00DC0220">
              <w:rPr>
                <w:b/>
                <w:bCs/>
                <w:sz w:val="20"/>
                <w:szCs w:val="20"/>
              </w:rPr>
              <w:t>Engagement and dissemination material</w:t>
            </w:r>
            <w:r w:rsidRPr="00DC0220">
              <w:rPr>
                <w:sz w:val="20"/>
                <w:szCs w:val="20"/>
              </w:rPr>
              <w:t xml:space="preserve"> to </w:t>
            </w:r>
            <w:r w:rsidR="00DC0220" w:rsidRPr="00DC0220">
              <w:rPr>
                <w:sz w:val="20"/>
                <w:szCs w:val="20"/>
              </w:rPr>
              <w:t xml:space="preserve">brief practitioner and senior </w:t>
            </w:r>
            <w:r w:rsidR="00D940BE" w:rsidRPr="00DC0220">
              <w:rPr>
                <w:sz w:val="20"/>
                <w:szCs w:val="20"/>
              </w:rPr>
              <w:t xml:space="preserve">staff </w:t>
            </w:r>
            <w:r w:rsidR="00DC0220" w:rsidRPr="00DC0220">
              <w:rPr>
                <w:sz w:val="20"/>
                <w:szCs w:val="20"/>
              </w:rPr>
              <w:t xml:space="preserve">on the solution, including preparing material (e.g. </w:t>
            </w:r>
            <w:r w:rsidR="00641FE6" w:rsidRPr="00DC0220">
              <w:rPr>
                <w:sz w:val="20"/>
                <w:szCs w:val="20"/>
              </w:rPr>
              <w:t>PowerPoint</w:t>
            </w:r>
            <w:r w:rsidR="00DC0220" w:rsidRPr="00DC0220">
              <w:rPr>
                <w:sz w:val="20"/>
                <w:szCs w:val="20"/>
              </w:rPr>
              <w:t xml:space="preserve"> slides) to support staff briefing workshops/training</w:t>
            </w:r>
            <w:r w:rsidR="00DC0220">
              <w:rPr>
                <w:rStyle w:val="FootnoteReference"/>
                <w:sz w:val="20"/>
                <w:szCs w:val="20"/>
              </w:rPr>
              <w:footnoteReference w:id="7"/>
            </w:r>
            <w:r w:rsidR="00DC0220" w:rsidRPr="00DC0220">
              <w:rPr>
                <w:sz w:val="20"/>
                <w:szCs w:val="20"/>
              </w:rPr>
              <w:t>.</w:t>
            </w:r>
          </w:p>
          <w:p w14:paraId="46AC67C8" w14:textId="2B127D2D" w:rsidR="00D940BE" w:rsidRDefault="00DC0220" w:rsidP="00142A33">
            <w:pPr>
              <w:pStyle w:val="Body"/>
              <w:numPr>
                <w:ilvl w:val="0"/>
                <w:numId w:val="43"/>
              </w:numPr>
              <w:spacing w:after="60"/>
              <w:rPr>
                <w:sz w:val="20"/>
                <w:szCs w:val="20"/>
              </w:rPr>
            </w:pPr>
            <w:r w:rsidRPr="00DC0220">
              <w:rPr>
                <w:b/>
                <w:bCs/>
                <w:sz w:val="20"/>
                <w:szCs w:val="20"/>
              </w:rPr>
              <w:lastRenderedPageBreak/>
              <w:t xml:space="preserve">Executive summary </w:t>
            </w:r>
            <w:r w:rsidR="00D940BE" w:rsidRPr="00DC0220">
              <w:rPr>
                <w:b/>
                <w:bCs/>
                <w:sz w:val="20"/>
                <w:szCs w:val="20"/>
              </w:rPr>
              <w:t>presentation</w:t>
            </w:r>
            <w:r>
              <w:rPr>
                <w:sz w:val="20"/>
                <w:szCs w:val="20"/>
              </w:rPr>
              <w:t xml:space="preserve">.  </w:t>
            </w:r>
            <w:r w:rsidR="00B04868">
              <w:rPr>
                <w:sz w:val="20"/>
                <w:szCs w:val="20"/>
              </w:rPr>
              <w:t xml:space="preserve">This presentation </w:t>
            </w:r>
            <w:r w:rsidR="00B04868" w:rsidRPr="00B04868">
              <w:rPr>
                <w:sz w:val="20"/>
                <w:szCs w:val="20"/>
              </w:rPr>
              <w:t>cover</w:t>
            </w:r>
            <w:r w:rsidR="00B04868">
              <w:rPr>
                <w:sz w:val="20"/>
                <w:szCs w:val="20"/>
              </w:rPr>
              <w:t>s</w:t>
            </w:r>
            <w:r w:rsidR="00B04868" w:rsidRPr="00B04868">
              <w:rPr>
                <w:sz w:val="20"/>
                <w:szCs w:val="20"/>
              </w:rPr>
              <w:t xml:space="preserve"> the key findings from the research</w:t>
            </w:r>
            <w:r w:rsidR="00B04868">
              <w:rPr>
                <w:sz w:val="20"/>
                <w:szCs w:val="20"/>
              </w:rPr>
              <w:t>, and t</w:t>
            </w:r>
            <w:r w:rsidR="00B04868" w:rsidRPr="00B04868">
              <w:rPr>
                <w:sz w:val="20"/>
                <w:szCs w:val="20"/>
              </w:rPr>
              <w:t>he presentation will be provided by the supplier to the project steering group</w:t>
            </w:r>
            <w:r w:rsidR="00641FE6">
              <w:rPr>
                <w:sz w:val="20"/>
                <w:szCs w:val="20"/>
              </w:rPr>
              <w:t xml:space="preserve"> and up to 5 industry groups. </w:t>
            </w:r>
          </w:p>
          <w:p w14:paraId="54DE13F9" w14:textId="733F22EF" w:rsidR="003D79D2" w:rsidRPr="008A4801" w:rsidRDefault="003D79D2" w:rsidP="003D79D2">
            <w:pPr>
              <w:pStyle w:val="Body"/>
              <w:spacing w:after="60"/>
              <w:rPr>
                <w:sz w:val="20"/>
                <w:szCs w:val="20"/>
              </w:rPr>
            </w:pPr>
            <w:r w:rsidRPr="009B6B89">
              <w:rPr>
                <w:sz w:val="20"/>
                <w:szCs w:val="20"/>
              </w:rPr>
              <w:t xml:space="preserve">All deliverables </w:t>
            </w:r>
            <w:r w:rsidRPr="009B6B89">
              <w:rPr>
                <w:rFonts w:asciiTheme="minorHAnsi" w:hAnsiTheme="minorHAnsi" w:cstheme="minorHAnsi"/>
                <w:sz w:val="20"/>
                <w:szCs w:val="20"/>
              </w:rPr>
              <w:t>shall be submitted to RSSB for review and comment before approving the final deliverable.  All documentation to be produced in the standard RSSB format and to be made widely available.</w:t>
            </w:r>
          </w:p>
        </w:tc>
      </w:tr>
    </w:tbl>
    <w:p w14:paraId="1F3E161D" w14:textId="77777777" w:rsidR="00CD515F" w:rsidRPr="00CD515F" w:rsidRDefault="00CD515F" w:rsidP="009B21F8">
      <w:pPr>
        <w:rPr>
          <w:rFonts w:ascii="Calibri" w:hAnsi="Calibri" w:cs="Arial"/>
          <w:b/>
          <w:bCs/>
          <w:sz w:val="22"/>
          <w:szCs w:val="22"/>
          <w:lang w:eastAsia="en-GB"/>
        </w:rPr>
      </w:pPr>
    </w:p>
    <w:p w14:paraId="66BC1133" w14:textId="1ABE3D1A" w:rsidR="009B21F8" w:rsidRPr="0002231C" w:rsidRDefault="009B21F8" w:rsidP="00142A33">
      <w:pPr>
        <w:pStyle w:val="Heading10"/>
        <w:keepNext/>
        <w:numPr>
          <w:ilvl w:val="0"/>
          <w:numId w:val="25"/>
        </w:numPr>
        <w:ind w:left="426" w:hanging="426"/>
        <w:outlineLvl w:val="9"/>
        <w:rPr>
          <w:rFonts w:ascii="Calibri" w:hAnsi="Calibri"/>
        </w:rPr>
      </w:pPr>
      <w:r>
        <w:rPr>
          <w:rFonts w:ascii="Calibri" w:hAnsi="Calibri"/>
        </w:rPr>
        <w:t>M</w:t>
      </w:r>
      <w:r w:rsidRPr="0002231C">
        <w:rPr>
          <w:rFonts w:ascii="Calibri" w:hAnsi="Calibri"/>
        </w:rPr>
        <w:t>ethodology</w:t>
      </w:r>
    </w:p>
    <w:p w14:paraId="57ECB39B" w14:textId="67432EAC" w:rsidR="009B21F8" w:rsidRDefault="009B21F8" w:rsidP="009B21F8">
      <w:pPr>
        <w:rPr>
          <w:rFonts w:ascii="Calibri" w:hAnsi="Calibri" w:cs="Arial"/>
          <w:sz w:val="22"/>
          <w:szCs w:val="22"/>
          <w:lang w:eastAsia="en-GB"/>
        </w:rPr>
      </w:pPr>
      <w:r w:rsidRPr="00A53EA0">
        <w:rPr>
          <w:rFonts w:ascii="Calibri" w:hAnsi="Calibri" w:cs="Arial"/>
          <w:sz w:val="22"/>
          <w:szCs w:val="22"/>
          <w:lang w:eastAsia="en-GB"/>
        </w:rPr>
        <w:t xml:space="preserve">Suppliers are </w:t>
      </w:r>
      <w:r>
        <w:rPr>
          <w:rFonts w:ascii="Calibri" w:hAnsi="Calibri" w:cs="Arial"/>
          <w:sz w:val="22"/>
          <w:szCs w:val="22"/>
          <w:lang w:eastAsia="en-GB"/>
        </w:rPr>
        <w:t>expected to explain the methodology that they are intending to use to successfully meet the</w:t>
      </w:r>
      <w:r w:rsidR="0063719E">
        <w:rPr>
          <w:rFonts w:ascii="Calibri" w:hAnsi="Calibri" w:cs="Arial"/>
          <w:sz w:val="22"/>
          <w:szCs w:val="22"/>
          <w:lang w:eastAsia="en-GB"/>
        </w:rPr>
        <w:t xml:space="preserve"> COF-ADA</w:t>
      </w:r>
      <w:r>
        <w:rPr>
          <w:rFonts w:ascii="Calibri" w:hAnsi="Calibri" w:cs="Arial"/>
          <w:sz w:val="22"/>
          <w:szCs w:val="22"/>
          <w:lang w:eastAsia="en-GB"/>
        </w:rPr>
        <w:t xml:space="preserve"> </w:t>
      </w:r>
      <w:r w:rsidRPr="000A5057">
        <w:rPr>
          <w:rFonts w:ascii="Calibri" w:hAnsi="Calibri" w:cs="Arial"/>
          <w:b/>
          <w:sz w:val="22"/>
          <w:szCs w:val="22"/>
          <w:lang w:eastAsia="en-GB"/>
        </w:rPr>
        <w:t>work package requirements</w:t>
      </w:r>
      <w:r>
        <w:rPr>
          <w:rFonts w:ascii="Calibri" w:hAnsi="Calibri" w:cs="Arial"/>
          <w:sz w:val="22"/>
          <w:szCs w:val="22"/>
          <w:lang w:eastAsia="en-GB"/>
        </w:rPr>
        <w:t>. The work package requirements are detailed within the following sections:</w:t>
      </w:r>
    </w:p>
    <w:p w14:paraId="2EB33899" w14:textId="77777777" w:rsidR="009B21F8" w:rsidRDefault="009B21F8" w:rsidP="00142A33">
      <w:pPr>
        <w:pStyle w:val="ListParagraph"/>
        <w:numPr>
          <w:ilvl w:val="0"/>
          <w:numId w:val="30"/>
        </w:numPr>
        <w:rPr>
          <w:rFonts w:ascii="Calibri" w:hAnsi="Calibri" w:cs="Arial"/>
          <w:sz w:val="22"/>
          <w:szCs w:val="22"/>
          <w:lang w:eastAsia="en-GB"/>
        </w:rPr>
      </w:pPr>
      <w:r>
        <w:rPr>
          <w:rFonts w:ascii="Calibri" w:hAnsi="Calibri" w:cs="Arial"/>
          <w:sz w:val="22"/>
          <w:szCs w:val="22"/>
          <w:lang w:eastAsia="en-GB"/>
        </w:rPr>
        <w:t>Objectives</w:t>
      </w:r>
    </w:p>
    <w:p w14:paraId="2C8EFFA7" w14:textId="176268E9" w:rsidR="009B21F8" w:rsidRDefault="009B21F8" w:rsidP="00142A33">
      <w:pPr>
        <w:pStyle w:val="ListParagraph"/>
        <w:numPr>
          <w:ilvl w:val="0"/>
          <w:numId w:val="30"/>
        </w:numPr>
        <w:rPr>
          <w:rFonts w:ascii="Calibri" w:hAnsi="Calibri" w:cs="Arial"/>
          <w:sz w:val="22"/>
          <w:szCs w:val="22"/>
          <w:lang w:eastAsia="en-GB"/>
        </w:rPr>
      </w:pPr>
      <w:r>
        <w:rPr>
          <w:rFonts w:ascii="Calibri" w:hAnsi="Calibri" w:cs="Arial"/>
          <w:sz w:val="22"/>
          <w:szCs w:val="22"/>
          <w:lang w:eastAsia="en-GB"/>
        </w:rPr>
        <w:t>Scope</w:t>
      </w:r>
    </w:p>
    <w:p w14:paraId="355F5FC1" w14:textId="4CCC8A3A" w:rsidR="0063719E" w:rsidRDefault="0063719E" w:rsidP="00142A33">
      <w:pPr>
        <w:pStyle w:val="ListParagraph"/>
        <w:numPr>
          <w:ilvl w:val="0"/>
          <w:numId w:val="30"/>
        </w:numPr>
        <w:rPr>
          <w:rFonts w:ascii="Calibri" w:hAnsi="Calibri" w:cs="Arial"/>
          <w:sz w:val="22"/>
          <w:szCs w:val="22"/>
          <w:lang w:eastAsia="en-GB"/>
        </w:rPr>
      </w:pPr>
      <w:r>
        <w:rPr>
          <w:rFonts w:ascii="Calibri" w:hAnsi="Calibri" w:cs="Arial"/>
          <w:sz w:val="22"/>
          <w:szCs w:val="22"/>
          <w:lang w:eastAsia="en-GB"/>
        </w:rPr>
        <w:t>Project structure (including detailed scope and deliverables)</w:t>
      </w:r>
    </w:p>
    <w:p w14:paraId="655B9307" w14:textId="77777777" w:rsidR="009B21F8" w:rsidRDefault="009B21F8" w:rsidP="009B21F8">
      <w:pPr>
        <w:rPr>
          <w:rFonts w:ascii="Calibri" w:hAnsi="Calibri" w:cs="Arial"/>
          <w:sz w:val="22"/>
          <w:szCs w:val="22"/>
          <w:lang w:eastAsia="en-GB"/>
        </w:rPr>
      </w:pPr>
      <w:r>
        <w:rPr>
          <w:rFonts w:ascii="Calibri" w:hAnsi="Calibri" w:cs="Arial"/>
          <w:sz w:val="22"/>
          <w:szCs w:val="22"/>
          <w:lang w:eastAsia="en-GB"/>
        </w:rPr>
        <w:br/>
        <w:t>The work package requirements are set in context by:</w:t>
      </w:r>
    </w:p>
    <w:p w14:paraId="052462BE" w14:textId="77777777" w:rsidR="00B564DB" w:rsidRDefault="009B21F8" w:rsidP="00142A33">
      <w:pPr>
        <w:pStyle w:val="ListParagraph"/>
        <w:numPr>
          <w:ilvl w:val="0"/>
          <w:numId w:val="31"/>
        </w:numPr>
        <w:rPr>
          <w:rFonts w:ascii="Calibri" w:hAnsi="Calibri" w:cs="Arial"/>
          <w:sz w:val="22"/>
          <w:szCs w:val="22"/>
          <w:lang w:eastAsia="en-GB"/>
        </w:rPr>
      </w:pPr>
      <w:r>
        <w:rPr>
          <w:rFonts w:ascii="Calibri" w:hAnsi="Calibri" w:cs="Arial"/>
          <w:sz w:val="22"/>
          <w:szCs w:val="22"/>
          <w:lang w:eastAsia="en-GB"/>
        </w:rPr>
        <w:t>Background</w:t>
      </w:r>
    </w:p>
    <w:p w14:paraId="16F88BA9" w14:textId="77777777" w:rsidR="009B21F8" w:rsidRDefault="009B21F8" w:rsidP="009B21F8">
      <w:pPr>
        <w:rPr>
          <w:rFonts w:ascii="Calibri" w:hAnsi="Calibri" w:cs="Arial"/>
          <w:color w:val="00968E"/>
          <w:sz w:val="36"/>
          <w:szCs w:val="22"/>
          <w:lang w:eastAsia="en-GB"/>
        </w:rPr>
      </w:pPr>
    </w:p>
    <w:p w14:paraId="5C69ADDE" w14:textId="0F3ACC31" w:rsidR="00425161" w:rsidRDefault="00032803" w:rsidP="00142A33">
      <w:pPr>
        <w:pStyle w:val="Heading10"/>
        <w:keepNext/>
        <w:numPr>
          <w:ilvl w:val="0"/>
          <w:numId w:val="25"/>
        </w:numPr>
        <w:ind w:left="426" w:hanging="426"/>
        <w:outlineLvl w:val="9"/>
        <w:rPr>
          <w:rFonts w:ascii="Calibri" w:hAnsi="Calibri"/>
        </w:rPr>
      </w:pPr>
      <w:r w:rsidRPr="00C8304E">
        <w:rPr>
          <w:rFonts w:ascii="Calibri" w:hAnsi="Calibri"/>
        </w:rPr>
        <w:t>Stakeholder roles and responsibilities</w:t>
      </w:r>
    </w:p>
    <w:p w14:paraId="0C160BE8" w14:textId="7D706382" w:rsidR="003D79D2" w:rsidRDefault="003D79D2" w:rsidP="003D79D2">
      <w:pPr>
        <w:pStyle w:val="Body"/>
      </w:pPr>
      <w:r>
        <w:t>This project require</w:t>
      </w:r>
      <w:r w:rsidR="000C653A">
        <w:t>s</w:t>
      </w:r>
      <w:r>
        <w:t xml:space="preserve"> </w:t>
      </w:r>
      <w:r w:rsidR="000C653A">
        <w:t xml:space="preserve">robust </w:t>
      </w:r>
      <w:r>
        <w:t xml:space="preserve">stakeholder engagement and management.  This will include consulting industry practitioners and senior stakeholders, </w:t>
      </w:r>
      <w:r w:rsidR="000C653A">
        <w:t>with</w:t>
      </w:r>
      <w:r>
        <w:t xml:space="preserve"> access </w:t>
      </w:r>
      <w:r w:rsidR="000C653A">
        <w:t xml:space="preserve">facilitated </w:t>
      </w:r>
      <w:r>
        <w:t xml:space="preserve">through the project steering group.  </w:t>
      </w:r>
      <w:r w:rsidRPr="003D79D2">
        <w:t xml:space="preserve">Practitioners to be consulted </w:t>
      </w:r>
      <w:r w:rsidR="000C653A">
        <w:t xml:space="preserve">should </w:t>
      </w:r>
      <w:r w:rsidR="00B258F1">
        <w:t xml:space="preserve">be </w:t>
      </w:r>
      <w:r w:rsidRPr="003D79D2">
        <w:t xml:space="preserve">nominated via </w:t>
      </w:r>
      <w:r w:rsidR="000C653A">
        <w:t>the</w:t>
      </w:r>
      <w:r w:rsidRPr="003D79D2">
        <w:t xml:space="preserve"> DAB in the first instance, and where required</w:t>
      </w:r>
      <w:r w:rsidR="00B258F1">
        <w:t xml:space="preserve"> the</w:t>
      </w:r>
      <w:r w:rsidRPr="003D79D2">
        <w:t xml:space="preserve"> </w:t>
      </w:r>
      <w:r w:rsidR="00B258F1">
        <w:rPr>
          <w:rFonts w:cs="Calibri"/>
        </w:rPr>
        <w:t>DAMG</w:t>
      </w:r>
      <w:r w:rsidR="00B258F1" w:rsidRPr="00B258F1">
        <w:rPr>
          <w:rFonts w:cs="Calibri"/>
        </w:rPr>
        <w:t xml:space="preserve">, </w:t>
      </w:r>
      <w:r w:rsidRPr="00B258F1">
        <w:t>RPMMG</w:t>
      </w:r>
      <w:r w:rsidR="000C653A">
        <w:t xml:space="preserve"> and DAWG</w:t>
      </w:r>
      <w:r w:rsidR="00B258F1">
        <w:t xml:space="preserve">.  </w:t>
      </w:r>
      <w:r w:rsidRPr="003D79D2">
        <w:t xml:space="preserve">Senior stakeholders </w:t>
      </w:r>
      <w:r w:rsidR="00B258F1">
        <w:t>should</w:t>
      </w:r>
      <w:r w:rsidRPr="003D79D2">
        <w:t xml:space="preserve"> be </w:t>
      </w:r>
      <w:r w:rsidR="00B258F1">
        <w:t xml:space="preserve">nominated and consulted </w:t>
      </w:r>
      <w:r w:rsidRPr="003D79D2">
        <w:t xml:space="preserve">via </w:t>
      </w:r>
      <w:r w:rsidR="00B258F1">
        <w:t xml:space="preserve">the </w:t>
      </w:r>
      <w:r w:rsidRPr="003D79D2">
        <w:t>BOPB</w:t>
      </w:r>
      <w:r w:rsidR="00B258F1">
        <w:t>.</w:t>
      </w:r>
    </w:p>
    <w:p w14:paraId="5D400D11" w14:textId="19D4999E" w:rsidR="00585D12" w:rsidRPr="00585D12" w:rsidRDefault="00585D12" w:rsidP="00585D12">
      <w:pPr>
        <w:pStyle w:val="Body"/>
      </w:pPr>
      <w:r>
        <w:t xml:space="preserve">The key stakeholders and their responsibilities </w:t>
      </w:r>
      <w:r w:rsidR="009943F9">
        <w:t xml:space="preserve">are detailed in the table below. </w:t>
      </w:r>
    </w:p>
    <w:tbl>
      <w:tblPr>
        <w:tblStyle w:val="TableGrid"/>
        <w:tblW w:w="9918" w:type="dxa"/>
        <w:jc w:val="center"/>
        <w:tblLook w:val="04A0" w:firstRow="1" w:lastRow="0" w:firstColumn="1" w:lastColumn="0" w:noHBand="0" w:noVBand="1"/>
      </w:tblPr>
      <w:tblGrid>
        <w:gridCol w:w="1423"/>
        <w:gridCol w:w="6227"/>
        <w:gridCol w:w="2268"/>
      </w:tblGrid>
      <w:tr w:rsidR="00425161" w:rsidRPr="003D79D2" w14:paraId="5935D0F7" w14:textId="77777777" w:rsidTr="000E3921">
        <w:trPr>
          <w:jc w:val="center"/>
        </w:trPr>
        <w:tc>
          <w:tcPr>
            <w:tcW w:w="1423" w:type="dxa"/>
          </w:tcPr>
          <w:p w14:paraId="7D4222D5" w14:textId="77777777" w:rsidR="00425161" w:rsidRPr="003D79D2" w:rsidRDefault="002D2271" w:rsidP="005B0E60">
            <w:pPr>
              <w:pStyle w:val="Body"/>
              <w:jc w:val="center"/>
              <w:rPr>
                <w:rFonts w:cs="Calibri"/>
                <w:b/>
                <w:sz w:val="20"/>
                <w:szCs w:val="20"/>
              </w:rPr>
            </w:pPr>
            <w:r w:rsidRPr="003D79D2">
              <w:rPr>
                <w:rFonts w:cs="Calibri"/>
                <w:b/>
                <w:sz w:val="20"/>
                <w:szCs w:val="20"/>
              </w:rPr>
              <w:t>Stakeholder(s)</w:t>
            </w:r>
          </w:p>
        </w:tc>
        <w:tc>
          <w:tcPr>
            <w:tcW w:w="6227" w:type="dxa"/>
          </w:tcPr>
          <w:p w14:paraId="6D3F4787" w14:textId="77777777" w:rsidR="00425161" w:rsidRPr="003D79D2" w:rsidRDefault="00425161" w:rsidP="005B0E60">
            <w:pPr>
              <w:jc w:val="center"/>
              <w:rPr>
                <w:rFonts w:ascii="Calibri" w:hAnsi="Calibri" w:cs="Calibri"/>
                <w:sz w:val="20"/>
                <w:szCs w:val="20"/>
                <w:lang w:eastAsia="en-GB"/>
              </w:rPr>
            </w:pPr>
            <w:r w:rsidRPr="003D79D2">
              <w:rPr>
                <w:rFonts w:ascii="Calibri" w:hAnsi="Calibri" w:cs="Calibri"/>
                <w:b/>
                <w:bCs/>
                <w:kern w:val="28"/>
                <w:sz w:val="20"/>
                <w:szCs w:val="20"/>
              </w:rPr>
              <w:t>General role in project</w:t>
            </w:r>
          </w:p>
        </w:tc>
        <w:tc>
          <w:tcPr>
            <w:tcW w:w="2268" w:type="dxa"/>
          </w:tcPr>
          <w:p w14:paraId="2FA7F384" w14:textId="77777777" w:rsidR="00425161" w:rsidRPr="003D79D2" w:rsidRDefault="00425161" w:rsidP="005B0E60">
            <w:pPr>
              <w:jc w:val="center"/>
              <w:rPr>
                <w:rFonts w:ascii="Calibri" w:hAnsi="Calibri" w:cs="Calibri"/>
                <w:sz w:val="20"/>
                <w:szCs w:val="20"/>
                <w:lang w:eastAsia="en-GB"/>
              </w:rPr>
            </w:pPr>
            <w:r w:rsidRPr="003D79D2">
              <w:rPr>
                <w:rFonts w:ascii="Calibri" w:hAnsi="Calibri" w:cs="Calibri"/>
                <w:b/>
                <w:bCs/>
                <w:kern w:val="28"/>
                <w:sz w:val="20"/>
                <w:szCs w:val="20"/>
              </w:rPr>
              <w:t>Specific role in acceptance of deliverables</w:t>
            </w:r>
          </w:p>
        </w:tc>
      </w:tr>
      <w:tr w:rsidR="00425161" w:rsidRPr="003D79D2" w14:paraId="62E43D0D" w14:textId="77777777" w:rsidTr="000E3921">
        <w:trPr>
          <w:jc w:val="center"/>
        </w:trPr>
        <w:tc>
          <w:tcPr>
            <w:tcW w:w="1423" w:type="dxa"/>
            <w:vAlign w:val="center"/>
          </w:tcPr>
          <w:p w14:paraId="009E6E8C" w14:textId="77777777" w:rsidR="00425161" w:rsidRPr="003D79D2" w:rsidRDefault="00BE0E6B" w:rsidP="00875261">
            <w:pPr>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 xml:space="preserve">RSSB </w:t>
            </w:r>
            <w:r w:rsidR="00C514B3" w:rsidRPr="003D79D2">
              <w:rPr>
                <w:rFonts w:ascii="Calibri" w:hAnsi="Calibri" w:cs="Calibri"/>
                <w:color w:val="000000" w:themeColor="dark1"/>
                <w:kern w:val="28"/>
                <w:sz w:val="20"/>
                <w:szCs w:val="20"/>
              </w:rPr>
              <w:t>Project</w:t>
            </w:r>
            <w:r w:rsidRPr="003D79D2">
              <w:rPr>
                <w:rFonts w:ascii="Calibri" w:hAnsi="Calibri" w:cs="Calibri"/>
                <w:color w:val="000000" w:themeColor="dark1"/>
                <w:kern w:val="28"/>
                <w:sz w:val="20"/>
                <w:szCs w:val="20"/>
              </w:rPr>
              <w:t xml:space="preserve"> M</w:t>
            </w:r>
            <w:r w:rsidR="00425161" w:rsidRPr="003D79D2">
              <w:rPr>
                <w:rFonts w:ascii="Calibri" w:hAnsi="Calibri" w:cs="Calibri"/>
                <w:color w:val="000000" w:themeColor="dark1"/>
                <w:kern w:val="28"/>
                <w:sz w:val="20"/>
                <w:szCs w:val="20"/>
              </w:rPr>
              <w:t>anager</w:t>
            </w:r>
          </w:p>
        </w:tc>
        <w:tc>
          <w:tcPr>
            <w:tcW w:w="6227" w:type="dxa"/>
            <w:vAlign w:val="center"/>
          </w:tcPr>
          <w:p w14:paraId="5903AA07" w14:textId="77777777" w:rsidR="00425161" w:rsidRPr="003D79D2" w:rsidRDefault="00425161" w:rsidP="00875261">
            <w:pPr>
              <w:pStyle w:val="NormalWeb"/>
              <w:spacing w:before="40" w:beforeAutospacing="0" w:after="40" w:afterAutospacing="0" w:line="260" w:lineRule="exact"/>
              <w:rPr>
                <w:rFonts w:ascii="Calibri" w:hAnsi="Calibri" w:cs="Calibri"/>
                <w:color w:val="000000" w:themeColor="dark1"/>
                <w:kern w:val="28"/>
                <w:sz w:val="20"/>
                <w:szCs w:val="20"/>
                <w:lang w:eastAsia="en-US"/>
              </w:rPr>
            </w:pPr>
            <w:r w:rsidRPr="003D79D2">
              <w:rPr>
                <w:rFonts w:ascii="Calibri" w:hAnsi="Calibri" w:cs="Calibri"/>
                <w:color w:val="000000" w:themeColor="dark1"/>
                <w:kern w:val="28"/>
                <w:sz w:val="20"/>
                <w:szCs w:val="20"/>
                <w:lang w:eastAsia="en-US"/>
              </w:rPr>
              <w:t>The RSSB</w:t>
            </w:r>
            <w:r w:rsidR="00BE0E6B" w:rsidRPr="003D79D2">
              <w:rPr>
                <w:rFonts w:ascii="Calibri" w:hAnsi="Calibri" w:cs="Calibri"/>
                <w:color w:val="000000" w:themeColor="dark1"/>
                <w:kern w:val="28"/>
                <w:sz w:val="20"/>
                <w:szCs w:val="20"/>
                <w:lang w:eastAsia="en-US"/>
              </w:rPr>
              <w:t xml:space="preserve"> </w:t>
            </w:r>
            <w:r w:rsidR="00F72317" w:rsidRPr="003D79D2">
              <w:rPr>
                <w:rFonts w:ascii="Calibri" w:hAnsi="Calibri" w:cs="Calibri"/>
                <w:color w:val="000000" w:themeColor="dark1"/>
                <w:kern w:val="28"/>
                <w:sz w:val="20"/>
                <w:szCs w:val="20"/>
                <w:lang w:eastAsia="en-US"/>
              </w:rPr>
              <w:t>Project</w:t>
            </w:r>
            <w:r w:rsidR="00BE0E6B" w:rsidRPr="003D79D2">
              <w:rPr>
                <w:rFonts w:ascii="Calibri" w:hAnsi="Calibri" w:cs="Calibri"/>
                <w:color w:val="000000" w:themeColor="dark1"/>
                <w:kern w:val="28"/>
                <w:sz w:val="20"/>
                <w:szCs w:val="20"/>
                <w:lang w:eastAsia="en-US"/>
              </w:rPr>
              <w:t xml:space="preserve"> M</w:t>
            </w:r>
            <w:r w:rsidRPr="003D79D2">
              <w:rPr>
                <w:rFonts w:ascii="Calibri" w:hAnsi="Calibri" w:cs="Calibri"/>
                <w:color w:val="000000" w:themeColor="dark1"/>
                <w:kern w:val="28"/>
                <w:sz w:val="20"/>
                <w:szCs w:val="20"/>
                <w:lang w:eastAsia="en-US"/>
              </w:rPr>
              <w:t>anager is the first point of c</w:t>
            </w:r>
            <w:r w:rsidR="00BE0E6B" w:rsidRPr="003D79D2">
              <w:rPr>
                <w:rFonts w:ascii="Calibri" w:hAnsi="Calibri" w:cs="Calibri"/>
                <w:color w:val="000000" w:themeColor="dark1"/>
                <w:kern w:val="28"/>
                <w:sz w:val="20"/>
                <w:szCs w:val="20"/>
                <w:lang w:eastAsia="en-US"/>
              </w:rPr>
              <w:t xml:space="preserve">ontact during project delivery and is </w:t>
            </w:r>
            <w:r w:rsidRPr="003D79D2">
              <w:rPr>
                <w:rFonts w:ascii="Calibri" w:hAnsi="Calibri" w:cs="Calibri"/>
                <w:color w:val="000000" w:themeColor="dark1"/>
                <w:kern w:val="28"/>
                <w:sz w:val="20"/>
                <w:szCs w:val="20"/>
                <w:lang w:eastAsia="en-US"/>
              </w:rPr>
              <w:t xml:space="preserve">responsible for the detailed project management including project schedules, cost reporting and other relevant project management tasks. </w:t>
            </w:r>
          </w:p>
          <w:p w14:paraId="7C9EBF15" w14:textId="77777777" w:rsidR="00425161" w:rsidRPr="003D79D2" w:rsidRDefault="001145A1" w:rsidP="00875261">
            <w:pPr>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 xml:space="preserve">The </w:t>
            </w:r>
            <w:r w:rsidR="00F72317" w:rsidRPr="003D79D2">
              <w:rPr>
                <w:rFonts w:ascii="Calibri" w:hAnsi="Calibri" w:cs="Calibri"/>
                <w:color w:val="000000" w:themeColor="dark1"/>
                <w:kern w:val="28"/>
                <w:sz w:val="20"/>
                <w:szCs w:val="20"/>
              </w:rPr>
              <w:t>Project</w:t>
            </w:r>
            <w:r w:rsidRPr="003D79D2">
              <w:rPr>
                <w:rFonts w:ascii="Calibri" w:hAnsi="Calibri" w:cs="Calibri"/>
                <w:color w:val="000000" w:themeColor="dark1"/>
                <w:kern w:val="28"/>
                <w:sz w:val="20"/>
                <w:szCs w:val="20"/>
              </w:rPr>
              <w:t xml:space="preserve"> M</w:t>
            </w:r>
            <w:r w:rsidR="00425161" w:rsidRPr="003D79D2">
              <w:rPr>
                <w:rFonts w:ascii="Calibri" w:hAnsi="Calibri" w:cs="Calibri"/>
                <w:color w:val="000000" w:themeColor="dark1"/>
                <w:kern w:val="28"/>
                <w:sz w:val="20"/>
                <w:szCs w:val="20"/>
              </w:rPr>
              <w:t>anager leads the project in organising meetings, etc and ensures timely and effective delivery towards project objectives.</w:t>
            </w:r>
          </w:p>
        </w:tc>
        <w:tc>
          <w:tcPr>
            <w:tcW w:w="2268" w:type="dxa"/>
          </w:tcPr>
          <w:p w14:paraId="71158D8D" w14:textId="77777777" w:rsidR="00425161" w:rsidRPr="003D79D2" w:rsidRDefault="00425161" w:rsidP="00875261">
            <w:pPr>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Facilitates technical review and acceptance processes, identifies and monitors corrective actions where needed, including facilitating decision making.</w:t>
            </w:r>
          </w:p>
        </w:tc>
      </w:tr>
      <w:tr w:rsidR="00425161" w:rsidRPr="003D79D2" w14:paraId="6A4C1BF5" w14:textId="77777777" w:rsidTr="000E3921">
        <w:trPr>
          <w:jc w:val="center"/>
        </w:trPr>
        <w:tc>
          <w:tcPr>
            <w:tcW w:w="1423" w:type="dxa"/>
            <w:vAlign w:val="center"/>
          </w:tcPr>
          <w:p w14:paraId="69070C0A" w14:textId="77777777" w:rsidR="00425161" w:rsidRPr="003D79D2" w:rsidRDefault="00BE0E6B" w:rsidP="00875261">
            <w:pPr>
              <w:rPr>
                <w:rFonts w:ascii="Calibri" w:hAnsi="Calibri" w:cs="Calibri"/>
                <w:sz w:val="20"/>
                <w:szCs w:val="20"/>
                <w:lang w:eastAsia="en-GB"/>
              </w:rPr>
            </w:pPr>
            <w:r w:rsidRPr="003D79D2">
              <w:rPr>
                <w:rFonts w:ascii="Calibri" w:hAnsi="Calibri" w:cs="Calibri"/>
                <w:color w:val="000000" w:themeColor="dark1"/>
                <w:kern w:val="28"/>
                <w:sz w:val="20"/>
                <w:szCs w:val="20"/>
              </w:rPr>
              <w:t xml:space="preserve">RSSB </w:t>
            </w:r>
            <w:r w:rsidR="00425161" w:rsidRPr="003D79D2">
              <w:rPr>
                <w:rFonts w:ascii="Calibri" w:hAnsi="Calibri" w:cs="Calibri"/>
                <w:color w:val="000000" w:themeColor="dark1"/>
                <w:kern w:val="28"/>
                <w:sz w:val="20"/>
                <w:szCs w:val="20"/>
              </w:rPr>
              <w:t xml:space="preserve">Technical </w:t>
            </w:r>
            <w:r w:rsidRPr="003D79D2">
              <w:rPr>
                <w:rFonts w:ascii="Calibri" w:hAnsi="Calibri" w:cs="Calibri"/>
                <w:color w:val="000000" w:themeColor="dark1"/>
                <w:kern w:val="28"/>
                <w:sz w:val="20"/>
                <w:szCs w:val="20"/>
              </w:rPr>
              <w:t>Lead</w:t>
            </w:r>
          </w:p>
        </w:tc>
        <w:tc>
          <w:tcPr>
            <w:tcW w:w="6227" w:type="dxa"/>
            <w:vAlign w:val="center"/>
          </w:tcPr>
          <w:p w14:paraId="4E65C030" w14:textId="77777777" w:rsidR="00425161" w:rsidRPr="003D79D2" w:rsidRDefault="00425161" w:rsidP="00875261">
            <w:pPr>
              <w:pStyle w:val="NormalWeb"/>
              <w:spacing w:before="40" w:beforeAutospacing="0" w:after="40" w:afterAutospacing="0" w:line="260" w:lineRule="exact"/>
              <w:rPr>
                <w:rFonts w:ascii="Calibri" w:hAnsi="Calibri" w:cs="Calibri"/>
                <w:sz w:val="20"/>
                <w:szCs w:val="20"/>
              </w:rPr>
            </w:pPr>
            <w:r w:rsidRPr="003D79D2">
              <w:rPr>
                <w:rFonts w:ascii="Calibri" w:hAnsi="Calibri" w:cs="Calibri"/>
                <w:color w:val="000000" w:themeColor="dark1"/>
                <w:kern w:val="28"/>
                <w:sz w:val="20"/>
                <w:szCs w:val="20"/>
              </w:rPr>
              <w:t xml:space="preserve">Throughout the project, the RSSB </w:t>
            </w:r>
            <w:r w:rsidR="00EA6B4D" w:rsidRPr="003D79D2">
              <w:rPr>
                <w:rFonts w:ascii="Calibri" w:hAnsi="Calibri" w:cs="Calibri"/>
                <w:color w:val="000000" w:themeColor="dark1"/>
                <w:kern w:val="28"/>
                <w:sz w:val="20"/>
                <w:szCs w:val="20"/>
              </w:rPr>
              <w:t>Technical Lead</w:t>
            </w:r>
            <w:r w:rsidRPr="003D79D2">
              <w:rPr>
                <w:rFonts w:ascii="Calibri" w:hAnsi="Calibri" w:cs="Calibri"/>
                <w:color w:val="000000" w:themeColor="dark1"/>
                <w:kern w:val="28"/>
                <w:sz w:val="20"/>
                <w:szCs w:val="20"/>
              </w:rPr>
              <w:t xml:space="preserve"> ensures that technical aspects are reflected accurately. </w:t>
            </w:r>
          </w:p>
          <w:p w14:paraId="308AC223" w14:textId="77777777" w:rsidR="00425161" w:rsidRPr="003D79D2" w:rsidRDefault="00425161" w:rsidP="00875261">
            <w:pPr>
              <w:rPr>
                <w:rFonts w:ascii="Calibri" w:hAnsi="Calibri" w:cs="Calibri"/>
                <w:sz w:val="20"/>
                <w:szCs w:val="20"/>
                <w:lang w:eastAsia="en-GB"/>
              </w:rPr>
            </w:pPr>
            <w:r w:rsidRPr="003D79D2">
              <w:rPr>
                <w:rFonts w:ascii="Calibri" w:hAnsi="Calibri" w:cs="Calibri"/>
                <w:color w:val="000000" w:themeColor="dark1"/>
                <w:kern w:val="28"/>
                <w:sz w:val="20"/>
                <w:szCs w:val="20"/>
              </w:rPr>
              <w:t>Technical aspects can refer to specific issues around railway signalling, track engineering, safety relevant operations or any other specialist field.</w:t>
            </w:r>
          </w:p>
        </w:tc>
        <w:tc>
          <w:tcPr>
            <w:tcW w:w="2268" w:type="dxa"/>
          </w:tcPr>
          <w:p w14:paraId="5646843E" w14:textId="77777777" w:rsidR="00425161" w:rsidRPr="003D79D2" w:rsidRDefault="00425161" w:rsidP="00875261">
            <w:pPr>
              <w:rPr>
                <w:rFonts w:ascii="Calibri" w:hAnsi="Calibri" w:cs="Calibri"/>
                <w:sz w:val="20"/>
                <w:szCs w:val="20"/>
                <w:lang w:eastAsia="en-GB"/>
              </w:rPr>
            </w:pPr>
            <w:r w:rsidRPr="003D79D2">
              <w:rPr>
                <w:rFonts w:ascii="Calibri" w:hAnsi="Calibri" w:cs="Calibri"/>
                <w:color w:val="000000" w:themeColor="dark1"/>
                <w:kern w:val="28"/>
                <w:sz w:val="20"/>
                <w:szCs w:val="20"/>
              </w:rPr>
              <w:t xml:space="preserve">Reviews emerging outputs from </w:t>
            </w:r>
            <w:r w:rsidR="00EA6B4D" w:rsidRPr="003D79D2">
              <w:rPr>
                <w:rFonts w:ascii="Calibri" w:hAnsi="Calibri" w:cs="Calibri"/>
                <w:color w:val="000000" w:themeColor="dark1"/>
                <w:kern w:val="28"/>
                <w:sz w:val="20"/>
                <w:szCs w:val="20"/>
              </w:rPr>
              <w:t xml:space="preserve">a </w:t>
            </w:r>
            <w:r w:rsidRPr="003D79D2">
              <w:rPr>
                <w:rFonts w:ascii="Calibri" w:hAnsi="Calibri" w:cs="Calibri"/>
                <w:color w:val="000000" w:themeColor="dark1"/>
                <w:kern w:val="28"/>
                <w:sz w:val="20"/>
                <w:szCs w:val="20"/>
              </w:rPr>
              <w:t>technical perspective.</w:t>
            </w:r>
          </w:p>
        </w:tc>
      </w:tr>
      <w:tr w:rsidR="00425161" w:rsidRPr="003D79D2" w14:paraId="67155AAF" w14:textId="77777777" w:rsidTr="000E3921">
        <w:trPr>
          <w:jc w:val="center"/>
        </w:trPr>
        <w:tc>
          <w:tcPr>
            <w:tcW w:w="1423" w:type="dxa"/>
            <w:vAlign w:val="center"/>
          </w:tcPr>
          <w:p w14:paraId="04D97341" w14:textId="77777777" w:rsidR="00425161" w:rsidRPr="003D79D2" w:rsidRDefault="002A6750" w:rsidP="00875261">
            <w:pPr>
              <w:rPr>
                <w:rFonts w:ascii="Calibri" w:hAnsi="Calibri" w:cs="Calibri"/>
                <w:sz w:val="20"/>
                <w:szCs w:val="20"/>
                <w:lang w:eastAsia="en-GB"/>
              </w:rPr>
            </w:pPr>
            <w:r w:rsidRPr="003D79D2">
              <w:rPr>
                <w:rFonts w:ascii="Calibri" w:hAnsi="Calibri" w:cs="Calibri"/>
                <w:color w:val="000000" w:themeColor="dark1"/>
                <w:kern w:val="28"/>
                <w:sz w:val="20"/>
                <w:szCs w:val="20"/>
              </w:rPr>
              <w:lastRenderedPageBreak/>
              <w:t xml:space="preserve">Industry sponsor </w:t>
            </w:r>
            <w:r w:rsidR="001B78A2" w:rsidRPr="003D79D2">
              <w:rPr>
                <w:rFonts w:ascii="Calibri" w:hAnsi="Calibri" w:cs="Calibri"/>
                <w:sz w:val="20"/>
                <w:szCs w:val="20"/>
                <w:lang w:eastAsia="en-GB"/>
              </w:rPr>
              <w:t xml:space="preserve"> </w:t>
            </w:r>
          </w:p>
        </w:tc>
        <w:tc>
          <w:tcPr>
            <w:tcW w:w="6227" w:type="dxa"/>
            <w:vAlign w:val="center"/>
          </w:tcPr>
          <w:p w14:paraId="252731A6" w14:textId="77777777" w:rsidR="00425161" w:rsidRPr="003D79D2" w:rsidRDefault="00067A43" w:rsidP="00875261">
            <w:pPr>
              <w:pStyle w:val="NormalWeb"/>
              <w:spacing w:before="40" w:beforeAutospacing="0" w:after="40" w:afterAutospacing="0" w:line="260" w:lineRule="exact"/>
              <w:rPr>
                <w:rFonts w:ascii="Calibri" w:hAnsi="Calibri" w:cs="Calibri"/>
                <w:sz w:val="20"/>
                <w:szCs w:val="20"/>
              </w:rPr>
            </w:pPr>
            <w:r w:rsidRPr="003D79D2">
              <w:rPr>
                <w:rFonts w:ascii="Calibri" w:hAnsi="Calibri" w:cs="Calibri"/>
                <w:color w:val="000000" w:themeColor="dark1"/>
                <w:kern w:val="28"/>
                <w:sz w:val="20"/>
                <w:szCs w:val="20"/>
              </w:rPr>
              <w:t xml:space="preserve">The </w:t>
            </w:r>
            <w:r w:rsidR="00B564DB" w:rsidRPr="003D79D2">
              <w:rPr>
                <w:rFonts w:ascii="Calibri" w:hAnsi="Calibri" w:cs="Calibri"/>
                <w:color w:val="000000" w:themeColor="dark1"/>
                <w:kern w:val="28"/>
                <w:sz w:val="20"/>
                <w:szCs w:val="20"/>
              </w:rPr>
              <w:t>I</w:t>
            </w:r>
            <w:r w:rsidR="00425161" w:rsidRPr="003D79D2">
              <w:rPr>
                <w:rFonts w:ascii="Calibri" w:hAnsi="Calibri" w:cs="Calibri"/>
                <w:color w:val="000000" w:themeColor="dark1"/>
                <w:kern w:val="28"/>
                <w:sz w:val="20"/>
                <w:szCs w:val="20"/>
              </w:rPr>
              <w:t>nd</w:t>
            </w:r>
            <w:r w:rsidR="008D4416" w:rsidRPr="003D79D2">
              <w:rPr>
                <w:rFonts w:ascii="Calibri" w:hAnsi="Calibri" w:cs="Calibri"/>
                <w:color w:val="000000" w:themeColor="dark1"/>
                <w:kern w:val="28"/>
                <w:sz w:val="20"/>
                <w:szCs w:val="20"/>
              </w:rPr>
              <w:t xml:space="preserve">ustry </w:t>
            </w:r>
            <w:r w:rsidR="00B564DB" w:rsidRPr="003D79D2">
              <w:rPr>
                <w:rFonts w:ascii="Calibri" w:hAnsi="Calibri" w:cs="Calibri"/>
                <w:color w:val="000000" w:themeColor="dark1"/>
                <w:kern w:val="28"/>
                <w:sz w:val="20"/>
                <w:szCs w:val="20"/>
              </w:rPr>
              <w:t>S</w:t>
            </w:r>
            <w:r w:rsidR="001B78A2" w:rsidRPr="003D79D2">
              <w:rPr>
                <w:rFonts w:ascii="Calibri" w:hAnsi="Calibri" w:cs="Calibri"/>
                <w:color w:val="000000" w:themeColor="dark1"/>
                <w:kern w:val="28"/>
                <w:sz w:val="20"/>
                <w:szCs w:val="20"/>
              </w:rPr>
              <w:t>ponsor</w:t>
            </w:r>
            <w:r w:rsidR="008D4416" w:rsidRPr="003D79D2">
              <w:rPr>
                <w:rFonts w:ascii="Calibri" w:hAnsi="Calibri" w:cs="Calibri"/>
                <w:color w:val="000000" w:themeColor="dark1"/>
                <w:kern w:val="28"/>
                <w:sz w:val="20"/>
                <w:szCs w:val="20"/>
              </w:rPr>
              <w:t xml:space="preserve"> act</w:t>
            </w:r>
            <w:r w:rsidR="00103FDD" w:rsidRPr="003D79D2">
              <w:rPr>
                <w:rFonts w:ascii="Calibri" w:hAnsi="Calibri" w:cs="Calibri"/>
                <w:color w:val="000000" w:themeColor="dark1"/>
                <w:kern w:val="28"/>
                <w:sz w:val="20"/>
                <w:szCs w:val="20"/>
              </w:rPr>
              <w:t>s</w:t>
            </w:r>
            <w:r w:rsidR="008D4416" w:rsidRPr="003D79D2">
              <w:rPr>
                <w:rFonts w:ascii="Calibri" w:hAnsi="Calibri" w:cs="Calibri"/>
                <w:color w:val="000000" w:themeColor="dark1"/>
                <w:kern w:val="28"/>
                <w:sz w:val="20"/>
                <w:szCs w:val="20"/>
              </w:rPr>
              <w:t xml:space="preserve"> as</w:t>
            </w:r>
            <w:r w:rsidR="00425161" w:rsidRPr="003D79D2">
              <w:rPr>
                <w:rFonts w:ascii="Calibri" w:hAnsi="Calibri" w:cs="Calibri"/>
                <w:color w:val="000000" w:themeColor="dark1"/>
                <w:kern w:val="28"/>
                <w:sz w:val="20"/>
                <w:szCs w:val="20"/>
              </w:rPr>
              <w:t xml:space="preserve"> figurehead for the research, championing its importance and its outputs. </w:t>
            </w:r>
          </w:p>
          <w:p w14:paraId="6BA86726" w14:textId="77777777" w:rsidR="00425161" w:rsidRPr="003D79D2" w:rsidRDefault="00103FDD" w:rsidP="00875261">
            <w:pPr>
              <w:rPr>
                <w:rFonts w:ascii="Calibri" w:hAnsi="Calibri" w:cs="Calibri"/>
                <w:sz w:val="20"/>
                <w:szCs w:val="20"/>
                <w:lang w:eastAsia="en-GB"/>
              </w:rPr>
            </w:pPr>
            <w:r w:rsidRPr="003D79D2">
              <w:rPr>
                <w:rFonts w:ascii="Calibri" w:hAnsi="Calibri" w:cs="Calibri"/>
                <w:color w:val="000000" w:themeColor="dark1"/>
                <w:kern w:val="28"/>
                <w:sz w:val="20"/>
                <w:szCs w:val="20"/>
              </w:rPr>
              <w:t xml:space="preserve">The </w:t>
            </w:r>
            <w:r w:rsidR="00B564DB" w:rsidRPr="003D79D2">
              <w:rPr>
                <w:rFonts w:ascii="Calibri" w:hAnsi="Calibri" w:cs="Calibri"/>
                <w:color w:val="000000" w:themeColor="dark1"/>
                <w:kern w:val="28"/>
                <w:sz w:val="20"/>
                <w:szCs w:val="20"/>
              </w:rPr>
              <w:t>I</w:t>
            </w:r>
            <w:r w:rsidRPr="003D79D2">
              <w:rPr>
                <w:rFonts w:ascii="Calibri" w:hAnsi="Calibri" w:cs="Calibri"/>
                <w:color w:val="000000" w:themeColor="dark1"/>
                <w:kern w:val="28"/>
                <w:sz w:val="20"/>
                <w:szCs w:val="20"/>
              </w:rPr>
              <w:t xml:space="preserve">ndustry </w:t>
            </w:r>
            <w:r w:rsidR="00B564DB" w:rsidRPr="003D79D2">
              <w:rPr>
                <w:rFonts w:ascii="Calibri" w:hAnsi="Calibri" w:cs="Calibri"/>
                <w:color w:val="000000" w:themeColor="dark1"/>
                <w:kern w:val="28"/>
                <w:sz w:val="20"/>
                <w:szCs w:val="20"/>
              </w:rPr>
              <w:t>S</w:t>
            </w:r>
            <w:r w:rsidRPr="003D79D2">
              <w:rPr>
                <w:rFonts w:ascii="Calibri" w:hAnsi="Calibri" w:cs="Calibri"/>
                <w:color w:val="000000" w:themeColor="dark1"/>
                <w:kern w:val="28"/>
                <w:sz w:val="20"/>
                <w:szCs w:val="20"/>
              </w:rPr>
              <w:t>ponsor forms part of the project steering group, however, t</w:t>
            </w:r>
            <w:r w:rsidR="00425161" w:rsidRPr="003D79D2">
              <w:rPr>
                <w:rFonts w:ascii="Calibri" w:hAnsi="Calibri" w:cs="Calibri"/>
                <w:color w:val="000000" w:themeColor="dark1"/>
                <w:kern w:val="28"/>
                <w:sz w:val="20"/>
                <w:szCs w:val="20"/>
              </w:rPr>
              <w:t xml:space="preserve">heir key role </w:t>
            </w:r>
            <w:r w:rsidRPr="003D79D2">
              <w:rPr>
                <w:rFonts w:ascii="Calibri" w:hAnsi="Calibri" w:cs="Calibri"/>
                <w:color w:val="000000" w:themeColor="dark1"/>
                <w:kern w:val="28"/>
                <w:sz w:val="20"/>
                <w:szCs w:val="20"/>
              </w:rPr>
              <w:t xml:space="preserve">as sponsor </w:t>
            </w:r>
            <w:r w:rsidR="00425161" w:rsidRPr="003D79D2">
              <w:rPr>
                <w:rFonts w:ascii="Calibri" w:hAnsi="Calibri" w:cs="Calibri"/>
                <w:color w:val="000000" w:themeColor="dark1"/>
                <w:kern w:val="28"/>
                <w:sz w:val="20"/>
                <w:szCs w:val="20"/>
              </w:rPr>
              <w:t xml:space="preserve">is to provide steer to the research as it progresses and </w:t>
            </w:r>
            <w:r w:rsidR="00267F2D" w:rsidRPr="003D79D2">
              <w:rPr>
                <w:rFonts w:ascii="Calibri" w:hAnsi="Calibri" w:cs="Calibri"/>
                <w:color w:val="000000" w:themeColor="dark1"/>
                <w:kern w:val="28"/>
                <w:sz w:val="20"/>
                <w:szCs w:val="20"/>
              </w:rPr>
              <w:t xml:space="preserve">to </w:t>
            </w:r>
            <w:r w:rsidR="00425161" w:rsidRPr="003D79D2">
              <w:rPr>
                <w:rFonts w:ascii="Calibri" w:hAnsi="Calibri" w:cs="Calibri"/>
                <w:color w:val="000000" w:themeColor="dark1"/>
                <w:kern w:val="28"/>
                <w:sz w:val="20"/>
                <w:szCs w:val="20"/>
              </w:rPr>
              <w:t>exert pressure on industry to make use of its findings.</w:t>
            </w:r>
          </w:p>
        </w:tc>
        <w:tc>
          <w:tcPr>
            <w:tcW w:w="2268" w:type="dxa"/>
          </w:tcPr>
          <w:p w14:paraId="3689FF56" w14:textId="77777777" w:rsidR="00425161" w:rsidRPr="003D79D2" w:rsidRDefault="00B30018" w:rsidP="00875261">
            <w:pPr>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Reviews emerging outputs from a technical perspective.</w:t>
            </w:r>
          </w:p>
        </w:tc>
      </w:tr>
      <w:tr w:rsidR="00425161" w:rsidRPr="003D79D2" w14:paraId="0A53A047" w14:textId="77777777" w:rsidTr="000E3921">
        <w:trPr>
          <w:jc w:val="center"/>
        </w:trPr>
        <w:tc>
          <w:tcPr>
            <w:tcW w:w="1423" w:type="dxa"/>
            <w:vAlign w:val="center"/>
          </w:tcPr>
          <w:p w14:paraId="3944E09D" w14:textId="77777777" w:rsidR="00425161" w:rsidRPr="003D79D2" w:rsidRDefault="00425161" w:rsidP="00875261">
            <w:pPr>
              <w:rPr>
                <w:rFonts w:ascii="Calibri" w:hAnsi="Calibri" w:cs="Calibri"/>
                <w:sz w:val="20"/>
                <w:szCs w:val="20"/>
                <w:lang w:eastAsia="en-GB"/>
              </w:rPr>
            </w:pPr>
            <w:r w:rsidRPr="003D79D2">
              <w:rPr>
                <w:rFonts w:ascii="Calibri" w:hAnsi="Calibri" w:cs="Calibri"/>
                <w:color w:val="000000" w:themeColor="dark1"/>
                <w:kern w:val="28"/>
                <w:sz w:val="20"/>
                <w:szCs w:val="20"/>
              </w:rPr>
              <w:t>Project steering group</w:t>
            </w:r>
          </w:p>
        </w:tc>
        <w:tc>
          <w:tcPr>
            <w:tcW w:w="6227" w:type="dxa"/>
            <w:vAlign w:val="center"/>
          </w:tcPr>
          <w:p w14:paraId="5C877985" w14:textId="77777777" w:rsidR="00425161" w:rsidRDefault="00425161" w:rsidP="00C51932">
            <w:pPr>
              <w:pStyle w:val="NormalWeb"/>
              <w:spacing w:before="40" w:beforeAutospacing="0" w:after="40" w:afterAutospacing="0" w:line="260" w:lineRule="exact"/>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The project steering group ensures the project delivers to industry needs. As such, it helps formulate specifications, assesses tenders, reviews draft and final outputs and other relevant tasks.</w:t>
            </w:r>
            <w:r w:rsidR="00B258F1">
              <w:rPr>
                <w:rFonts w:ascii="Calibri" w:hAnsi="Calibri" w:cs="Calibri"/>
                <w:color w:val="000000" w:themeColor="dark1"/>
                <w:kern w:val="28"/>
                <w:sz w:val="20"/>
                <w:szCs w:val="20"/>
              </w:rPr>
              <w:t xml:space="preserve">  </w:t>
            </w:r>
          </w:p>
          <w:p w14:paraId="2269B63D" w14:textId="53D61C70" w:rsidR="00B258F1" w:rsidRPr="003D79D2" w:rsidRDefault="00B258F1" w:rsidP="00C51932">
            <w:pPr>
              <w:pStyle w:val="NormalWeb"/>
              <w:spacing w:before="40" w:beforeAutospacing="0" w:after="40" w:afterAutospacing="0" w:line="260" w:lineRule="exact"/>
              <w:rPr>
                <w:rFonts w:ascii="Calibri" w:hAnsi="Calibri" w:cs="Calibri"/>
                <w:sz w:val="20"/>
                <w:szCs w:val="20"/>
              </w:rPr>
            </w:pPr>
            <w:r w:rsidRPr="00B258F1">
              <w:rPr>
                <w:rFonts w:ascii="Calibri" w:hAnsi="Calibri" w:cs="Calibri"/>
                <w:sz w:val="20"/>
                <w:szCs w:val="20"/>
              </w:rPr>
              <w:t xml:space="preserve">The steering group includes representatives from key industry groups, including the DAB, BOPB, </w:t>
            </w:r>
            <w:r>
              <w:rPr>
                <w:rFonts w:ascii="Calibri" w:hAnsi="Calibri" w:cs="Calibri"/>
                <w:sz w:val="20"/>
                <w:szCs w:val="20"/>
              </w:rPr>
              <w:t>DAMG</w:t>
            </w:r>
            <w:r w:rsidRPr="00B258F1">
              <w:rPr>
                <w:rFonts w:ascii="Calibri" w:hAnsi="Calibri" w:cs="Calibri"/>
                <w:sz w:val="20"/>
                <w:szCs w:val="20"/>
              </w:rPr>
              <w:t xml:space="preserve">, </w:t>
            </w:r>
            <w:r>
              <w:rPr>
                <w:rFonts w:ascii="Calibri" w:hAnsi="Calibri" w:cs="Calibri"/>
                <w:sz w:val="20"/>
                <w:szCs w:val="20"/>
              </w:rPr>
              <w:t>RPMMG</w:t>
            </w:r>
            <w:r w:rsidRPr="00B258F1">
              <w:rPr>
                <w:rFonts w:ascii="Calibri" w:hAnsi="Calibri" w:cs="Calibri"/>
                <w:sz w:val="20"/>
                <w:szCs w:val="20"/>
              </w:rPr>
              <w:t xml:space="preserve">, and the </w:t>
            </w:r>
            <w:r w:rsidR="000C653A">
              <w:rPr>
                <w:rFonts w:ascii="Calibri" w:hAnsi="Calibri" w:cs="Calibri"/>
                <w:sz w:val="20"/>
                <w:szCs w:val="20"/>
              </w:rPr>
              <w:t>DAWG.</w:t>
            </w:r>
            <w:r w:rsidRPr="00B258F1">
              <w:rPr>
                <w:rFonts w:ascii="Calibri" w:hAnsi="Calibri" w:cs="Calibri"/>
                <w:sz w:val="20"/>
                <w:szCs w:val="20"/>
              </w:rPr>
              <w:t xml:space="preserve">  </w:t>
            </w:r>
          </w:p>
        </w:tc>
        <w:tc>
          <w:tcPr>
            <w:tcW w:w="2268" w:type="dxa"/>
          </w:tcPr>
          <w:p w14:paraId="4C80F569" w14:textId="77777777" w:rsidR="00425161" w:rsidRPr="003D79D2" w:rsidRDefault="00B30018" w:rsidP="00875261">
            <w:pPr>
              <w:rPr>
                <w:rFonts w:ascii="Calibri" w:hAnsi="Calibri" w:cs="Calibri"/>
                <w:sz w:val="20"/>
                <w:szCs w:val="20"/>
                <w:lang w:eastAsia="en-GB"/>
              </w:rPr>
            </w:pPr>
            <w:r w:rsidRPr="003D79D2">
              <w:rPr>
                <w:rFonts w:ascii="Calibri" w:hAnsi="Calibri" w:cs="Calibri"/>
                <w:color w:val="000000" w:themeColor="dark1"/>
                <w:kern w:val="28"/>
                <w:sz w:val="20"/>
                <w:szCs w:val="20"/>
              </w:rPr>
              <w:t>Reviews emerging outputs from a technical perspective.</w:t>
            </w:r>
          </w:p>
        </w:tc>
      </w:tr>
      <w:tr w:rsidR="00D002F7" w:rsidRPr="003D79D2" w14:paraId="63BA4830" w14:textId="77777777" w:rsidTr="000E3921">
        <w:trPr>
          <w:jc w:val="center"/>
        </w:trPr>
        <w:tc>
          <w:tcPr>
            <w:tcW w:w="1423" w:type="dxa"/>
            <w:vAlign w:val="center"/>
          </w:tcPr>
          <w:p w14:paraId="4538832F" w14:textId="77777777" w:rsidR="00D002F7" w:rsidRPr="003D79D2" w:rsidRDefault="00D002F7" w:rsidP="00875261">
            <w:pPr>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 xml:space="preserve">Primary client group </w:t>
            </w:r>
          </w:p>
        </w:tc>
        <w:tc>
          <w:tcPr>
            <w:tcW w:w="6227" w:type="dxa"/>
            <w:vAlign w:val="center"/>
          </w:tcPr>
          <w:p w14:paraId="240D6F2D" w14:textId="7AAD387B" w:rsidR="00F043C4" w:rsidRPr="003D79D2" w:rsidRDefault="00ED501C" w:rsidP="00875261">
            <w:pPr>
              <w:pStyle w:val="NormalWeb"/>
              <w:spacing w:before="40" w:beforeAutospacing="0" w:after="40" w:afterAutospacing="0" w:line="260" w:lineRule="exact"/>
              <w:rPr>
                <w:rFonts w:ascii="Calibri" w:hAnsi="Calibri" w:cs="Calibri"/>
                <w:color w:val="000000" w:themeColor="dark1"/>
                <w:kern w:val="28"/>
                <w:sz w:val="20"/>
                <w:szCs w:val="20"/>
              </w:rPr>
            </w:pPr>
            <w:r w:rsidRPr="003D79D2">
              <w:rPr>
                <w:rFonts w:ascii="Calibri" w:hAnsi="Calibri" w:cs="Calibri"/>
                <w:color w:val="000000" w:themeColor="dark1"/>
                <w:kern w:val="28"/>
                <w:sz w:val="20"/>
                <w:szCs w:val="20"/>
              </w:rPr>
              <w:t xml:space="preserve">The primary client group is </w:t>
            </w:r>
            <w:r w:rsidR="00F043C4" w:rsidRPr="003D79D2">
              <w:rPr>
                <w:rFonts w:ascii="Calibri" w:hAnsi="Calibri" w:cs="Calibri"/>
                <w:color w:val="000000" w:themeColor="dark1"/>
                <w:kern w:val="28"/>
                <w:sz w:val="20"/>
                <w:szCs w:val="20"/>
              </w:rPr>
              <w:t xml:space="preserve">made </w:t>
            </w:r>
            <w:r w:rsidRPr="003D79D2">
              <w:rPr>
                <w:rFonts w:ascii="Calibri" w:hAnsi="Calibri" w:cs="Calibri"/>
                <w:color w:val="000000" w:themeColor="dark1"/>
                <w:kern w:val="28"/>
                <w:sz w:val="20"/>
                <w:szCs w:val="20"/>
              </w:rPr>
              <w:t>up o</w:t>
            </w:r>
            <w:r w:rsidR="00F043C4" w:rsidRPr="003D79D2">
              <w:rPr>
                <w:rFonts w:ascii="Calibri" w:hAnsi="Calibri" w:cs="Calibri"/>
                <w:color w:val="000000" w:themeColor="dark1"/>
                <w:kern w:val="28"/>
                <w:sz w:val="20"/>
                <w:szCs w:val="20"/>
              </w:rPr>
              <w:t>f RSSB members and other stakeholders across industry.</w:t>
            </w:r>
            <w:r w:rsidR="00B258F1">
              <w:rPr>
                <w:rFonts w:ascii="Calibri" w:hAnsi="Calibri" w:cs="Calibri"/>
                <w:color w:val="000000" w:themeColor="dark1"/>
                <w:kern w:val="28"/>
                <w:sz w:val="20"/>
                <w:szCs w:val="20"/>
              </w:rPr>
              <w:t xml:space="preserve"> </w:t>
            </w:r>
          </w:p>
        </w:tc>
        <w:tc>
          <w:tcPr>
            <w:tcW w:w="2268" w:type="dxa"/>
          </w:tcPr>
          <w:p w14:paraId="326EE7AB" w14:textId="77777777" w:rsidR="00D002F7" w:rsidRPr="003D79D2" w:rsidRDefault="00582678" w:rsidP="00875261">
            <w:pPr>
              <w:rPr>
                <w:rFonts w:ascii="Calibri" w:hAnsi="Calibri" w:cs="Calibri"/>
                <w:color w:val="000000" w:themeColor="dark1"/>
                <w:kern w:val="28"/>
                <w:sz w:val="20"/>
                <w:szCs w:val="20"/>
                <w:highlight w:val="yellow"/>
              </w:rPr>
            </w:pPr>
            <w:r w:rsidRPr="003D79D2">
              <w:rPr>
                <w:rFonts w:ascii="Calibri" w:hAnsi="Calibri" w:cs="Calibri"/>
                <w:color w:val="000000" w:themeColor="dark1"/>
                <w:kern w:val="28"/>
                <w:sz w:val="20"/>
                <w:szCs w:val="20"/>
              </w:rPr>
              <w:t>Informed of deliverables.</w:t>
            </w:r>
          </w:p>
        </w:tc>
      </w:tr>
    </w:tbl>
    <w:p w14:paraId="23E7DBE7" w14:textId="77777777" w:rsidR="003D79D2" w:rsidRPr="00F7318B" w:rsidRDefault="003D79D2" w:rsidP="00F7318B">
      <w:pPr>
        <w:pStyle w:val="Heading10"/>
        <w:keepNext/>
        <w:spacing w:after="120"/>
        <w:ind w:left="425"/>
        <w:outlineLvl w:val="9"/>
        <w:rPr>
          <w:rFonts w:ascii="Calibri" w:hAnsi="Calibri"/>
          <w:sz w:val="24"/>
          <w:szCs w:val="16"/>
        </w:rPr>
      </w:pPr>
    </w:p>
    <w:p w14:paraId="77A29A01" w14:textId="26AD0C37" w:rsidR="00694131" w:rsidRPr="00191D59" w:rsidRDefault="000C653A" w:rsidP="00142A33">
      <w:pPr>
        <w:pStyle w:val="Heading10"/>
        <w:keepNext/>
        <w:numPr>
          <w:ilvl w:val="0"/>
          <w:numId w:val="25"/>
        </w:numPr>
        <w:ind w:left="426" w:hanging="426"/>
        <w:outlineLvl w:val="9"/>
        <w:rPr>
          <w:rFonts w:ascii="Calibri" w:hAnsi="Calibri"/>
        </w:rPr>
      </w:pPr>
      <w:r>
        <w:rPr>
          <w:rFonts w:ascii="Calibri" w:hAnsi="Calibri"/>
        </w:rPr>
        <w:t>T</w:t>
      </w:r>
      <w:r w:rsidR="00032803" w:rsidRPr="004161CA">
        <w:rPr>
          <w:rFonts w:ascii="Calibri" w:hAnsi="Calibri"/>
        </w:rPr>
        <w:t xml:space="preserve">imescales </w:t>
      </w:r>
    </w:p>
    <w:p w14:paraId="0BEA1B67" w14:textId="77777777" w:rsidR="00F161BA" w:rsidRDefault="00F161BA" w:rsidP="00694131">
      <w:pPr>
        <w:rPr>
          <w:rFonts w:ascii="Calibri" w:hAnsi="Calibri" w:cs="Arial"/>
          <w:sz w:val="22"/>
          <w:szCs w:val="22"/>
          <w:lang w:eastAsia="en-GB"/>
        </w:rPr>
        <w:sectPr w:rsidR="00F161BA" w:rsidSect="00D26B62">
          <w:pgSz w:w="11906" w:h="16838"/>
          <w:pgMar w:top="1985" w:right="1985" w:bottom="1985" w:left="1985" w:header="567" w:footer="567" w:gutter="0"/>
          <w:cols w:space="708"/>
          <w:docGrid w:linePitch="360"/>
        </w:sectPr>
      </w:pPr>
    </w:p>
    <w:p w14:paraId="6DB58AFC" w14:textId="7A404300" w:rsidR="000C653A" w:rsidRPr="00694131" w:rsidRDefault="00CF599D" w:rsidP="00694131">
      <w:pPr>
        <w:rPr>
          <w:rFonts w:ascii="Calibri" w:hAnsi="Calibri" w:cs="Arial"/>
          <w:sz w:val="22"/>
          <w:szCs w:val="22"/>
          <w:lang w:eastAsia="en-GB"/>
        </w:rPr>
      </w:pPr>
      <w:r>
        <w:rPr>
          <w:rFonts w:ascii="Calibri" w:hAnsi="Calibri" w:cs="Arial"/>
          <w:sz w:val="22"/>
          <w:szCs w:val="22"/>
          <w:lang w:eastAsia="en-GB"/>
        </w:rPr>
        <w:t xml:space="preserve">RSSB expects the work to start </w:t>
      </w:r>
      <w:r w:rsidR="00694131" w:rsidRPr="00694131">
        <w:rPr>
          <w:rFonts w:ascii="Calibri" w:hAnsi="Calibri" w:cs="Arial"/>
          <w:sz w:val="22"/>
          <w:szCs w:val="22"/>
          <w:lang w:eastAsia="en-GB"/>
        </w:rPr>
        <w:t xml:space="preserve">in </w:t>
      </w:r>
      <w:r w:rsidR="00641FE6">
        <w:rPr>
          <w:rFonts w:ascii="Calibri" w:hAnsi="Calibri" w:cs="Arial"/>
          <w:sz w:val="22"/>
          <w:szCs w:val="22"/>
          <w:lang w:eastAsia="en-GB"/>
        </w:rPr>
        <w:t>December 2019</w:t>
      </w:r>
      <w:r w:rsidR="0058708B">
        <w:rPr>
          <w:rFonts w:ascii="Calibri" w:hAnsi="Calibri" w:cs="Arial"/>
          <w:sz w:val="22"/>
          <w:szCs w:val="22"/>
          <w:lang w:eastAsia="en-GB"/>
        </w:rPr>
        <w:t xml:space="preserve"> and </w:t>
      </w:r>
      <w:r>
        <w:rPr>
          <w:rFonts w:ascii="Calibri" w:hAnsi="Calibri" w:cs="Arial"/>
          <w:sz w:val="22"/>
          <w:szCs w:val="22"/>
          <w:lang w:eastAsia="en-GB"/>
        </w:rPr>
        <w:t xml:space="preserve">conclude </w:t>
      </w:r>
      <w:r w:rsidR="0058708B">
        <w:rPr>
          <w:rFonts w:ascii="Calibri" w:hAnsi="Calibri" w:cs="Arial"/>
          <w:sz w:val="22"/>
          <w:szCs w:val="22"/>
          <w:lang w:eastAsia="en-GB"/>
        </w:rPr>
        <w:t xml:space="preserve">by </w:t>
      </w:r>
      <w:r w:rsidR="00641FE6">
        <w:rPr>
          <w:rFonts w:ascii="Calibri" w:hAnsi="Calibri" w:cs="Arial"/>
          <w:sz w:val="22"/>
          <w:szCs w:val="22"/>
          <w:lang w:eastAsia="en-GB"/>
        </w:rPr>
        <w:t>July 2021</w:t>
      </w:r>
      <w:r w:rsidR="00694131" w:rsidRPr="00694131">
        <w:rPr>
          <w:rFonts w:ascii="Calibri" w:hAnsi="Calibri" w:cs="Arial"/>
          <w:sz w:val="22"/>
          <w:szCs w:val="22"/>
          <w:lang w:eastAsia="en-GB"/>
        </w:rPr>
        <w:t xml:space="preserve">. </w:t>
      </w:r>
      <w:r>
        <w:rPr>
          <w:rFonts w:ascii="Calibri" w:hAnsi="Calibri" w:cs="Arial"/>
          <w:sz w:val="22"/>
          <w:szCs w:val="22"/>
          <w:lang w:eastAsia="en-GB"/>
        </w:rPr>
        <w:t>However, t</w:t>
      </w:r>
      <w:r w:rsidR="00694131" w:rsidRPr="00694131">
        <w:rPr>
          <w:rFonts w:ascii="Calibri" w:hAnsi="Calibri" w:cs="Arial"/>
          <w:sz w:val="22"/>
          <w:szCs w:val="22"/>
          <w:lang w:eastAsia="en-GB"/>
        </w:rPr>
        <w:t xml:space="preserve">hese are indicative dates and RSSB </w:t>
      </w:r>
      <w:r>
        <w:rPr>
          <w:rFonts w:ascii="Calibri" w:hAnsi="Calibri" w:cs="Arial"/>
          <w:sz w:val="22"/>
          <w:szCs w:val="22"/>
          <w:lang w:eastAsia="en-GB"/>
        </w:rPr>
        <w:t>will consider bids that cannot meet these expectations if the supplier includes a robust project plan and an explanation as to why they cannot meet the preferred start and end dates, while still meeting the project objectives.</w:t>
      </w:r>
    </w:p>
    <w:p w14:paraId="2AD131F5" w14:textId="77777777" w:rsidR="00E6586B" w:rsidRDefault="00CA7DFA" w:rsidP="00E6586B">
      <w:r>
        <w:t xml:space="preserve"> </w:t>
      </w:r>
    </w:p>
    <w:p w14:paraId="0D71D69D" w14:textId="77777777" w:rsidR="00F161BA" w:rsidRPr="004161CA" w:rsidRDefault="00F161BA" w:rsidP="00F161BA">
      <w:pPr>
        <w:pStyle w:val="Heading10"/>
        <w:numPr>
          <w:ilvl w:val="0"/>
          <w:numId w:val="25"/>
        </w:numPr>
        <w:ind w:left="426" w:hanging="426"/>
        <w:outlineLvl w:val="9"/>
        <w:rPr>
          <w:rFonts w:ascii="Calibri" w:hAnsi="Calibri"/>
        </w:rPr>
      </w:pPr>
      <w:r w:rsidRPr="004161CA">
        <w:rPr>
          <w:rFonts w:ascii="Calibri" w:hAnsi="Calibri"/>
        </w:rPr>
        <w:t xml:space="preserve">Critical success </w:t>
      </w:r>
      <w:r>
        <w:rPr>
          <w:rFonts w:ascii="Calibri" w:hAnsi="Calibri"/>
        </w:rPr>
        <w:t>criteria</w:t>
      </w:r>
      <w:r w:rsidRPr="004161CA">
        <w:rPr>
          <w:rFonts w:ascii="Calibri" w:hAnsi="Calibri"/>
        </w:rPr>
        <w:t xml:space="preserve"> and risk management</w:t>
      </w:r>
    </w:p>
    <w:p w14:paraId="63430639" w14:textId="77777777" w:rsidR="00F161BA" w:rsidRPr="00610B0B" w:rsidRDefault="00F161BA" w:rsidP="00F161BA">
      <w:pPr>
        <w:rPr>
          <w:rFonts w:ascii="Calibri" w:hAnsi="Calibri" w:cs="Arial"/>
          <w:sz w:val="22"/>
          <w:szCs w:val="22"/>
          <w:lang w:eastAsia="en-GB"/>
        </w:rPr>
      </w:pPr>
      <w:r w:rsidRPr="00610B0B">
        <w:rPr>
          <w:rFonts w:ascii="Calibri" w:hAnsi="Calibri" w:cs="Arial"/>
          <w:sz w:val="22"/>
          <w:szCs w:val="22"/>
          <w:lang w:eastAsia="en-GB"/>
        </w:rPr>
        <w:t>The followin</w:t>
      </w:r>
      <w:r>
        <w:rPr>
          <w:rFonts w:ascii="Calibri" w:hAnsi="Calibri" w:cs="Arial"/>
          <w:sz w:val="22"/>
          <w:szCs w:val="22"/>
          <w:lang w:eastAsia="en-GB"/>
        </w:rPr>
        <w:t>g critical success criteria</w:t>
      </w:r>
      <w:r w:rsidRPr="00610B0B">
        <w:rPr>
          <w:rFonts w:ascii="Calibri" w:hAnsi="Calibri" w:cs="Arial"/>
          <w:sz w:val="22"/>
          <w:szCs w:val="22"/>
          <w:lang w:eastAsia="en-GB"/>
        </w:rPr>
        <w:t xml:space="preserve"> have been identified to help ensure successful delivery and </w:t>
      </w:r>
      <w:r>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Pr>
          <w:rFonts w:ascii="Calibri" w:hAnsi="Calibri" w:cs="Arial"/>
          <w:sz w:val="22"/>
          <w:szCs w:val="22"/>
          <w:lang w:eastAsia="en-GB"/>
        </w:rPr>
        <w:t>:</w:t>
      </w:r>
    </w:p>
    <w:p w14:paraId="1D529399" w14:textId="3D266560" w:rsidR="00F161BA" w:rsidRPr="004D3497" w:rsidRDefault="00F161BA" w:rsidP="00F161BA">
      <w:pPr>
        <w:pStyle w:val="ListParagraph"/>
        <w:numPr>
          <w:ilvl w:val="0"/>
          <w:numId w:val="24"/>
        </w:numPr>
        <w:rPr>
          <w:rFonts w:asciiTheme="minorHAnsi" w:hAnsiTheme="minorHAnsi"/>
          <w:b/>
          <w:bCs/>
          <w:sz w:val="22"/>
          <w:szCs w:val="22"/>
        </w:rPr>
      </w:pPr>
      <w:r w:rsidRPr="00656EBA">
        <w:rPr>
          <w:rFonts w:asciiTheme="minorHAnsi" w:hAnsiTheme="minorHAnsi"/>
          <w:b/>
          <w:bCs/>
          <w:sz w:val="22"/>
          <w:szCs w:val="22"/>
        </w:rPr>
        <w:t>Impartial, evidenced-based, and transparent approach to the consultation, development, testing and reporting</w:t>
      </w:r>
      <w:r>
        <w:rPr>
          <w:rFonts w:asciiTheme="minorHAnsi" w:hAnsiTheme="minorHAnsi"/>
          <w:sz w:val="22"/>
          <w:szCs w:val="22"/>
        </w:rPr>
        <w:t xml:space="preserve">. </w:t>
      </w:r>
      <w:r w:rsidR="003F7A99">
        <w:rPr>
          <w:rFonts w:asciiTheme="minorHAnsi" w:hAnsiTheme="minorHAnsi"/>
          <w:sz w:val="22"/>
          <w:szCs w:val="22"/>
        </w:rPr>
        <w:t>This</w:t>
      </w:r>
      <w:r>
        <w:rPr>
          <w:rFonts w:asciiTheme="minorHAnsi" w:hAnsiTheme="minorHAnsi"/>
          <w:sz w:val="22"/>
          <w:szCs w:val="22"/>
        </w:rPr>
        <w:t xml:space="preserve"> must be demonstrated throughout the research, by all parties involved, </w:t>
      </w:r>
      <w:r w:rsidR="003F7A99">
        <w:rPr>
          <w:rFonts w:asciiTheme="minorHAnsi" w:hAnsiTheme="minorHAnsi"/>
          <w:sz w:val="22"/>
          <w:szCs w:val="22"/>
        </w:rPr>
        <w:t xml:space="preserve">including </w:t>
      </w:r>
      <w:r>
        <w:rPr>
          <w:rFonts w:asciiTheme="minorHAnsi" w:hAnsiTheme="minorHAnsi"/>
          <w:sz w:val="22"/>
          <w:szCs w:val="22"/>
        </w:rPr>
        <w:t>for example, keeping audit trails, declaring any conflict</w:t>
      </w:r>
      <w:r w:rsidR="003F7A99">
        <w:rPr>
          <w:rFonts w:asciiTheme="minorHAnsi" w:hAnsiTheme="minorHAnsi"/>
          <w:sz w:val="22"/>
          <w:szCs w:val="22"/>
        </w:rPr>
        <w:t>s</w:t>
      </w:r>
      <w:r>
        <w:rPr>
          <w:rFonts w:asciiTheme="minorHAnsi" w:hAnsiTheme="minorHAnsi"/>
          <w:sz w:val="22"/>
          <w:szCs w:val="22"/>
        </w:rPr>
        <w:t xml:space="preserve"> of interest, regular communication with key stakeholders.   </w:t>
      </w:r>
    </w:p>
    <w:p w14:paraId="03F514BA" w14:textId="59815A2A" w:rsidR="00F161BA" w:rsidRPr="00656EBA" w:rsidRDefault="00F161BA" w:rsidP="00F161BA">
      <w:pPr>
        <w:pStyle w:val="ListParagraph"/>
        <w:numPr>
          <w:ilvl w:val="0"/>
          <w:numId w:val="24"/>
        </w:numPr>
        <w:rPr>
          <w:rFonts w:asciiTheme="minorHAnsi" w:hAnsiTheme="minorHAnsi"/>
          <w:b/>
          <w:bCs/>
          <w:sz w:val="22"/>
          <w:szCs w:val="22"/>
        </w:rPr>
      </w:pPr>
      <w:r w:rsidRPr="004D3497">
        <w:rPr>
          <w:rFonts w:asciiTheme="minorHAnsi" w:hAnsiTheme="minorHAnsi"/>
          <w:b/>
          <w:bCs/>
          <w:sz w:val="22"/>
          <w:szCs w:val="22"/>
        </w:rPr>
        <w:t>Key engagement with critical groups and focused messaging on benefits</w:t>
      </w:r>
      <w:r>
        <w:rPr>
          <w:rFonts w:asciiTheme="minorHAnsi" w:hAnsiTheme="minorHAnsi"/>
          <w:b/>
          <w:bCs/>
          <w:sz w:val="22"/>
          <w:szCs w:val="22"/>
        </w:rPr>
        <w:t xml:space="preserve">.  </w:t>
      </w:r>
      <w:r>
        <w:rPr>
          <w:rFonts w:asciiTheme="minorHAnsi" w:hAnsiTheme="minorHAnsi"/>
          <w:sz w:val="22"/>
          <w:szCs w:val="22"/>
        </w:rPr>
        <w:t xml:space="preserve">RSSB, the supplier and project steering group must work collaboratively to agree and implement a robust project communication and engagement plan throughout project delivery.    </w:t>
      </w:r>
      <w:r w:rsidRPr="00656EBA">
        <w:rPr>
          <w:rFonts w:asciiTheme="minorHAnsi" w:hAnsiTheme="minorHAnsi"/>
          <w:sz w:val="22"/>
          <w:szCs w:val="22"/>
        </w:rPr>
        <w:t xml:space="preserve"> </w:t>
      </w:r>
      <w:r w:rsidRPr="00656EBA">
        <w:rPr>
          <w:rFonts w:asciiTheme="minorHAnsi" w:hAnsiTheme="minorHAnsi"/>
          <w:b/>
          <w:bCs/>
          <w:sz w:val="22"/>
          <w:szCs w:val="22"/>
        </w:rPr>
        <w:t xml:space="preserve">  </w:t>
      </w:r>
    </w:p>
    <w:p w14:paraId="6C28C343" w14:textId="48936AA8" w:rsidR="00F161BA" w:rsidRPr="00BB0D55" w:rsidRDefault="00F161BA" w:rsidP="00F161BA">
      <w:pPr>
        <w:pStyle w:val="ListParagraph"/>
        <w:numPr>
          <w:ilvl w:val="0"/>
          <w:numId w:val="24"/>
        </w:numPr>
        <w:rPr>
          <w:rFonts w:asciiTheme="minorHAnsi" w:hAnsiTheme="minorHAnsi"/>
          <w:b/>
          <w:bCs/>
          <w:sz w:val="22"/>
          <w:szCs w:val="22"/>
        </w:rPr>
      </w:pPr>
      <w:r w:rsidRPr="00BB0D55">
        <w:rPr>
          <w:rFonts w:asciiTheme="minorHAnsi" w:hAnsiTheme="minorHAnsi"/>
          <w:b/>
          <w:bCs/>
          <w:sz w:val="22"/>
          <w:szCs w:val="22"/>
        </w:rPr>
        <w:t>Feasible, applicable and effective</w:t>
      </w:r>
      <w:r>
        <w:rPr>
          <w:rFonts w:asciiTheme="minorHAnsi" w:hAnsiTheme="minorHAnsi"/>
          <w:b/>
          <w:bCs/>
          <w:sz w:val="22"/>
          <w:szCs w:val="22"/>
        </w:rPr>
        <w:t xml:space="preserve"> </w:t>
      </w:r>
      <w:r w:rsidRPr="00BB0D55">
        <w:rPr>
          <w:rFonts w:asciiTheme="minorHAnsi" w:hAnsiTheme="minorHAnsi"/>
          <w:b/>
          <w:bCs/>
          <w:sz w:val="22"/>
          <w:szCs w:val="22"/>
        </w:rPr>
        <w:t xml:space="preserve">outputs </w:t>
      </w:r>
      <w:r>
        <w:rPr>
          <w:rFonts w:asciiTheme="minorHAnsi" w:hAnsiTheme="minorHAnsi"/>
          <w:b/>
          <w:bCs/>
          <w:sz w:val="22"/>
          <w:szCs w:val="22"/>
        </w:rPr>
        <w:t xml:space="preserve">/ solution </w:t>
      </w:r>
      <w:r>
        <w:rPr>
          <w:rFonts w:asciiTheme="minorHAnsi" w:hAnsiTheme="minorHAnsi"/>
          <w:sz w:val="22"/>
          <w:szCs w:val="22"/>
        </w:rPr>
        <w:t>that</w:t>
      </w:r>
      <w:r w:rsidRPr="00BB0D55">
        <w:rPr>
          <w:rFonts w:asciiTheme="minorHAnsi" w:hAnsiTheme="minorHAnsi"/>
          <w:sz w:val="22"/>
          <w:szCs w:val="22"/>
        </w:rPr>
        <w:t xml:space="preserve"> align</w:t>
      </w:r>
      <w:r>
        <w:rPr>
          <w:rFonts w:asciiTheme="minorHAnsi" w:hAnsiTheme="minorHAnsi"/>
          <w:sz w:val="22"/>
          <w:szCs w:val="22"/>
        </w:rPr>
        <w:t>s</w:t>
      </w:r>
      <w:r w:rsidRPr="00BB0D55">
        <w:rPr>
          <w:rFonts w:asciiTheme="minorHAnsi" w:hAnsiTheme="minorHAnsi"/>
          <w:sz w:val="22"/>
          <w:szCs w:val="22"/>
        </w:rPr>
        <w:t xml:space="preserve"> </w:t>
      </w:r>
      <w:r>
        <w:rPr>
          <w:rFonts w:asciiTheme="minorHAnsi" w:hAnsiTheme="minorHAnsi"/>
          <w:sz w:val="22"/>
          <w:szCs w:val="22"/>
        </w:rPr>
        <w:t>with</w:t>
      </w:r>
      <w:r w:rsidRPr="00BB0D55">
        <w:rPr>
          <w:rFonts w:asciiTheme="minorHAnsi" w:hAnsiTheme="minorHAnsi"/>
          <w:sz w:val="22"/>
          <w:szCs w:val="22"/>
        </w:rPr>
        <w:t xml:space="preserve"> industry expectations, structure, processes, governance, ways of working, systems and requirements</w:t>
      </w:r>
      <w:r w:rsidRPr="00BB0D55">
        <w:rPr>
          <w:rFonts w:asciiTheme="minorHAnsi" w:hAnsiTheme="minorHAnsi"/>
          <w:b/>
          <w:bCs/>
          <w:sz w:val="22"/>
          <w:szCs w:val="22"/>
        </w:rPr>
        <w:t xml:space="preserve">.  </w:t>
      </w:r>
      <w:r>
        <w:rPr>
          <w:rFonts w:asciiTheme="minorHAnsi" w:hAnsiTheme="minorHAnsi"/>
          <w:sz w:val="22"/>
          <w:szCs w:val="22"/>
        </w:rPr>
        <w:t>W</w:t>
      </w:r>
      <w:r w:rsidRPr="00BB0D55">
        <w:rPr>
          <w:rFonts w:asciiTheme="minorHAnsi" w:hAnsiTheme="minorHAnsi"/>
          <w:sz w:val="22"/>
          <w:szCs w:val="22"/>
        </w:rPr>
        <w:t xml:space="preserve">ork package </w:t>
      </w:r>
      <w:r w:rsidR="00DB11C7">
        <w:rPr>
          <w:rFonts w:asciiTheme="minorHAnsi" w:hAnsiTheme="minorHAnsi"/>
          <w:sz w:val="22"/>
          <w:szCs w:val="22"/>
        </w:rPr>
        <w:t>2</w:t>
      </w:r>
      <w:r>
        <w:rPr>
          <w:rFonts w:asciiTheme="minorHAnsi" w:hAnsiTheme="minorHAnsi"/>
          <w:sz w:val="22"/>
          <w:szCs w:val="22"/>
        </w:rPr>
        <w:t xml:space="preserve"> </w:t>
      </w:r>
      <w:r w:rsidRPr="00BB0D55">
        <w:rPr>
          <w:rFonts w:asciiTheme="minorHAnsi" w:hAnsiTheme="minorHAnsi"/>
          <w:sz w:val="22"/>
          <w:szCs w:val="22"/>
        </w:rPr>
        <w:t xml:space="preserve">must establish the minimum industry requirements and success criteria in which the proof of concept will be tested against.  </w:t>
      </w:r>
      <w:r>
        <w:rPr>
          <w:rFonts w:asciiTheme="minorHAnsi" w:hAnsiTheme="minorHAnsi"/>
          <w:sz w:val="22"/>
          <w:szCs w:val="22"/>
        </w:rPr>
        <w:t>S</w:t>
      </w:r>
      <w:r w:rsidRPr="00BB0D55">
        <w:rPr>
          <w:rFonts w:asciiTheme="minorHAnsi" w:hAnsiTheme="minorHAnsi"/>
          <w:sz w:val="22"/>
          <w:szCs w:val="22"/>
        </w:rPr>
        <w:t xml:space="preserve">uppliers must manage the industry’s expectations through identifying </w:t>
      </w:r>
      <w:r>
        <w:rPr>
          <w:rFonts w:asciiTheme="minorHAnsi" w:hAnsiTheme="minorHAnsi"/>
          <w:sz w:val="22"/>
          <w:szCs w:val="22"/>
        </w:rPr>
        <w:t xml:space="preserve">any </w:t>
      </w:r>
      <w:r w:rsidRPr="00BB0D55">
        <w:rPr>
          <w:rFonts w:asciiTheme="minorHAnsi" w:hAnsiTheme="minorHAnsi"/>
          <w:sz w:val="22"/>
          <w:szCs w:val="22"/>
        </w:rPr>
        <w:t xml:space="preserve">parts </w:t>
      </w:r>
      <w:r>
        <w:rPr>
          <w:rFonts w:asciiTheme="minorHAnsi" w:hAnsiTheme="minorHAnsi"/>
          <w:sz w:val="22"/>
          <w:szCs w:val="22"/>
        </w:rPr>
        <w:t>of</w:t>
      </w:r>
      <w:r w:rsidRPr="00BB0D55">
        <w:rPr>
          <w:rFonts w:asciiTheme="minorHAnsi" w:hAnsiTheme="minorHAnsi"/>
          <w:sz w:val="22"/>
          <w:szCs w:val="22"/>
        </w:rPr>
        <w:t xml:space="preserve"> the </w:t>
      </w:r>
      <w:r>
        <w:rPr>
          <w:rFonts w:asciiTheme="minorHAnsi" w:hAnsiTheme="minorHAnsi"/>
          <w:sz w:val="22"/>
          <w:szCs w:val="22"/>
        </w:rPr>
        <w:t xml:space="preserve">solution </w:t>
      </w:r>
      <w:r w:rsidRPr="00BB0D55">
        <w:rPr>
          <w:rFonts w:asciiTheme="minorHAnsi" w:hAnsiTheme="minorHAnsi"/>
          <w:sz w:val="22"/>
          <w:szCs w:val="22"/>
        </w:rPr>
        <w:t xml:space="preserve">that </w:t>
      </w:r>
      <w:r>
        <w:rPr>
          <w:rFonts w:asciiTheme="minorHAnsi" w:hAnsiTheme="minorHAnsi"/>
          <w:sz w:val="22"/>
          <w:szCs w:val="22"/>
        </w:rPr>
        <w:t>cannot be developed or tested to</w:t>
      </w:r>
      <w:r w:rsidRPr="00BB0D55">
        <w:rPr>
          <w:rFonts w:asciiTheme="minorHAnsi" w:hAnsiTheme="minorHAnsi"/>
          <w:sz w:val="22"/>
          <w:szCs w:val="22"/>
        </w:rPr>
        <w:t xml:space="preserve"> meet </w:t>
      </w:r>
      <w:r>
        <w:rPr>
          <w:rFonts w:asciiTheme="minorHAnsi" w:hAnsiTheme="minorHAnsi"/>
          <w:sz w:val="22"/>
          <w:szCs w:val="22"/>
        </w:rPr>
        <w:t>industry</w:t>
      </w:r>
      <w:r w:rsidR="00DB11C7">
        <w:rPr>
          <w:rFonts w:asciiTheme="minorHAnsi" w:hAnsiTheme="minorHAnsi"/>
          <w:sz w:val="22"/>
          <w:szCs w:val="22"/>
        </w:rPr>
        <w:t>’s</w:t>
      </w:r>
      <w:r>
        <w:rPr>
          <w:rFonts w:asciiTheme="minorHAnsi" w:hAnsiTheme="minorHAnsi"/>
          <w:sz w:val="22"/>
          <w:szCs w:val="22"/>
        </w:rPr>
        <w:t xml:space="preserve"> requirements and </w:t>
      </w:r>
      <w:r w:rsidRPr="00BB0D55">
        <w:rPr>
          <w:rFonts w:asciiTheme="minorHAnsi" w:hAnsiTheme="minorHAnsi"/>
          <w:sz w:val="22"/>
          <w:szCs w:val="22"/>
        </w:rPr>
        <w:t>success criteria.</w:t>
      </w:r>
    </w:p>
    <w:p w14:paraId="72D7DB2C" w14:textId="76BE1F30" w:rsidR="00F161BA" w:rsidRPr="001B12F7" w:rsidRDefault="00F161BA" w:rsidP="00F161BA">
      <w:pPr>
        <w:pStyle w:val="ListParagraph"/>
        <w:numPr>
          <w:ilvl w:val="0"/>
          <w:numId w:val="24"/>
        </w:numPr>
        <w:rPr>
          <w:rFonts w:asciiTheme="minorHAnsi" w:hAnsiTheme="minorHAnsi"/>
          <w:sz w:val="22"/>
          <w:szCs w:val="22"/>
        </w:rPr>
      </w:pPr>
      <w:r w:rsidRPr="001B12F7">
        <w:rPr>
          <w:rFonts w:asciiTheme="minorHAnsi" w:hAnsiTheme="minorHAnsi"/>
          <w:b/>
          <w:bCs/>
          <w:sz w:val="22"/>
          <w:szCs w:val="22"/>
        </w:rPr>
        <w:t>Identifying the performance and delay attribution benefits and impact</w:t>
      </w:r>
      <w:r>
        <w:rPr>
          <w:rFonts w:asciiTheme="minorHAnsi" w:hAnsiTheme="minorHAnsi"/>
          <w:b/>
          <w:bCs/>
          <w:sz w:val="22"/>
          <w:szCs w:val="22"/>
        </w:rPr>
        <w:t>s</w:t>
      </w:r>
      <w:r w:rsidRPr="001B12F7">
        <w:rPr>
          <w:rFonts w:asciiTheme="minorHAnsi" w:hAnsiTheme="minorHAnsi"/>
          <w:sz w:val="22"/>
          <w:szCs w:val="22"/>
        </w:rPr>
        <w:t xml:space="preserve">.  This should include understanding the options to improve performance and attribution analysis of reactionary delays, </w:t>
      </w:r>
      <w:r w:rsidR="0083230F">
        <w:rPr>
          <w:rFonts w:asciiTheme="minorHAnsi" w:hAnsiTheme="minorHAnsi"/>
          <w:sz w:val="22"/>
          <w:szCs w:val="22"/>
        </w:rPr>
        <w:t>and any indirect</w:t>
      </w:r>
      <w:r w:rsidRPr="001B12F7">
        <w:rPr>
          <w:rFonts w:asciiTheme="minorHAnsi" w:hAnsiTheme="minorHAnsi"/>
          <w:sz w:val="22"/>
          <w:szCs w:val="22"/>
        </w:rPr>
        <w:t xml:space="preserve"> benefits </w:t>
      </w:r>
      <w:r w:rsidR="0083230F">
        <w:rPr>
          <w:rFonts w:asciiTheme="minorHAnsi" w:hAnsiTheme="minorHAnsi"/>
          <w:sz w:val="22"/>
          <w:szCs w:val="22"/>
        </w:rPr>
        <w:t xml:space="preserve">applicable to </w:t>
      </w:r>
      <w:r>
        <w:rPr>
          <w:rFonts w:asciiTheme="minorHAnsi" w:hAnsiTheme="minorHAnsi"/>
          <w:sz w:val="22"/>
          <w:szCs w:val="22"/>
        </w:rPr>
        <w:t xml:space="preserve">improving the </w:t>
      </w:r>
      <w:r w:rsidRPr="001B12F7">
        <w:rPr>
          <w:rFonts w:asciiTheme="minorHAnsi" w:hAnsiTheme="minorHAnsi"/>
          <w:sz w:val="22"/>
          <w:szCs w:val="22"/>
        </w:rPr>
        <w:t>analysis of prime cause</w:t>
      </w:r>
      <w:r>
        <w:rPr>
          <w:rFonts w:asciiTheme="minorHAnsi" w:hAnsiTheme="minorHAnsi"/>
          <w:sz w:val="22"/>
          <w:szCs w:val="22"/>
        </w:rPr>
        <w:t>,</w:t>
      </w:r>
      <w:r w:rsidRPr="001B12F7">
        <w:rPr>
          <w:rFonts w:asciiTheme="minorHAnsi" w:hAnsiTheme="minorHAnsi"/>
          <w:sz w:val="22"/>
          <w:szCs w:val="22"/>
        </w:rPr>
        <w:t xml:space="preserve"> </w:t>
      </w:r>
      <w:r>
        <w:rPr>
          <w:rFonts w:asciiTheme="minorHAnsi" w:hAnsiTheme="minorHAnsi"/>
          <w:sz w:val="22"/>
          <w:szCs w:val="22"/>
        </w:rPr>
        <w:t xml:space="preserve">unexplained and uninvestigated </w:t>
      </w:r>
      <w:r w:rsidRPr="001B12F7">
        <w:rPr>
          <w:rFonts w:asciiTheme="minorHAnsi" w:hAnsiTheme="minorHAnsi"/>
          <w:sz w:val="22"/>
          <w:szCs w:val="22"/>
        </w:rPr>
        <w:t xml:space="preserve">delays.  </w:t>
      </w:r>
    </w:p>
    <w:p w14:paraId="5E000E4F" w14:textId="77777777" w:rsidR="00F161BA" w:rsidRPr="007A7336" w:rsidRDefault="00F161BA" w:rsidP="00F161BA">
      <w:pPr>
        <w:pStyle w:val="Body"/>
        <w:numPr>
          <w:ilvl w:val="0"/>
          <w:numId w:val="24"/>
        </w:numPr>
      </w:pPr>
      <w:r>
        <w:rPr>
          <w:b/>
          <w:bCs/>
        </w:rPr>
        <w:lastRenderedPageBreak/>
        <w:t xml:space="preserve">Enabling </w:t>
      </w:r>
      <w:r w:rsidRPr="00BB0D55">
        <w:rPr>
          <w:b/>
          <w:bCs/>
        </w:rPr>
        <w:t>recommendation 9 from the ORR review of delay attribution</w:t>
      </w:r>
      <w:r>
        <w:rPr>
          <w:b/>
          <w:bCs/>
        </w:rPr>
        <w:t xml:space="preserve"> to be closed out</w:t>
      </w:r>
      <w:r>
        <w:t xml:space="preserve"> (automating reactionary delay attribution).  RSSB and the supplier will liaise with the DAWG to align and support this recommendation. </w:t>
      </w:r>
    </w:p>
    <w:p w14:paraId="0A2B8478" w14:textId="77777777" w:rsidR="00F161BA" w:rsidRDefault="00F161BA" w:rsidP="00E6586B"/>
    <w:p w14:paraId="16916AA7" w14:textId="77777777" w:rsidR="00F161BA" w:rsidRPr="000545C4" w:rsidRDefault="00F161BA" w:rsidP="00F161BA">
      <w:pPr>
        <w:rPr>
          <w:rFonts w:ascii="Calibri" w:hAnsi="Calibri" w:cs="Arial"/>
          <w:sz w:val="22"/>
          <w:szCs w:val="22"/>
          <w:lang w:eastAsia="en-GB"/>
        </w:rPr>
      </w:pPr>
      <w:r w:rsidRPr="000545C4">
        <w:rPr>
          <w:rFonts w:ascii="Calibri" w:hAnsi="Calibri" w:cs="Arial"/>
          <w:sz w:val="22"/>
          <w:szCs w:val="22"/>
          <w:lang w:eastAsia="en-GB"/>
        </w:rPr>
        <w:t xml:space="preserve">The </w:t>
      </w:r>
      <w:r>
        <w:rPr>
          <w:rFonts w:ascii="Calibri" w:hAnsi="Calibri" w:cs="Arial"/>
          <w:sz w:val="22"/>
          <w:szCs w:val="22"/>
          <w:lang w:eastAsia="en-GB"/>
        </w:rPr>
        <w:t>following risks have been identified to highlight where the project may encounter issues during delivery:</w:t>
      </w:r>
    </w:p>
    <w:p w14:paraId="63B53FD0" w14:textId="77777777" w:rsidR="00F161BA" w:rsidRPr="00F94313" w:rsidRDefault="00F161BA" w:rsidP="00F161BA">
      <w:pPr>
        <w:pStyle w:val="ListParagraph"/>
        <w:numPr>
          <w:ilvl w:val="0"/>
          <w:numId w:val="47"/>
        </w:numPr>
        <w:rPr>
          <w:rFonts w:asciiTheme="minorHAnsi" w:hAnsiTheme="minorHAnsi"/>
          <w:sz w:val="22"/>
          <w:szCs w:val="22"/>
        </w:rPr>
      </w:pPr>
      <w:r>
        <w:rPr>
          <w:rFonts w:asciiTheme="minorHAnsi" w:hAnsiTheme="minorHAnsi"/>
          <w:b/>
          <w:bCs/>
          <w:sz w:val="22"/>
          <w:szCs w:val="22"/>
        </w:rPr>
        <w:t>Scope</w:t>
      </w:r>
      <w:r w:rsidRPr="00F94313">
        <w:rPr>
          <w:rFonts w:asciiTheme="minorHAnsi" w:hAnsiTheme="minorHAnsi"/>
          <w:b/>
          <w:bCs/>
          <w:sz w:val="22"/>
          <w:szCs w:val="22"/>
        </w:rPr>
        <w:t xml:space="preserve"> creep</w:t>
      </w:r>
      <w:r w:rsidRPr="00F94313">
        <w:rPr>
          <w:rFonts w:asciiTheme="minorHAnsi" w:hAnsiTheme="minorHAnsi"/>
          <w:sz w:val="22"/>
          <w:szCs w:val="22"/>
        </w:rPr>
        <w:t xml:space="preserve"> – mitigated through project governance structure, close engagement with key stakeholders and managing and engaging stakeholders</w:t>
      </w:r>
      <w:r>
        <w:rPr>
          <w:rFonts w:asciiTheme="minorHAnsi" w:hAnsiTheme="minorHAnsi"/>
          <w:sz w:val="22"/>
          <w:szCs w:val="22"/>
        </w:rPr>
        <w:t xml:space="preserve"> should be</w:t>
      </w:r>
      <w:r w:rsidRPr="00F94313">
        <w:rPr>
          <w:rFonts w:asciiTheme="minorHAnsi" w:hAnsiTheme="minorHAnsi"/>
          <w:sz w:val="22"/>
          <w:szCs w:val="22"/>
        </w:rPr>
        <w:t xml:space="preserve"> factored within budget</w:t>
      </w:r>
      <w:r>
        <w:rPr>
          <w:rFonts w:asciiTheme="minorHAnsi" w:hAnsiTheme="minorHAnsi"/>
          <w:sz w:val="22"/>
          <w:szCs w:val="22"/>
        </w:rPr>
        <w:t>s</w:t>
      </w:r>
      <w:r w:rsidRPr="00F94313">
        <w:rPr>
          <w:rFonts w:asciiTheme="minorHAnsi" w:hAnsiTheme="minorHAnsi"/>
          <w:sz w:val="22"/>
          <w:szCs w:val="22"/>
        </w:rPr>
        <w:t xml:space="preserve">. </w:t>
      </w:r>
    </w:p>
    <w:p w14:paraId="3B5E02C7" w14:textId="77777777" w:rsidR="00F161BA" w:rsidRDefault="00F161BA" w:rsidP="00F161BA">
      <w:pPr>
        <w:pStyle w:val="ListParagraph"/>
        <w:numPr>
          <w:ilvl w:val="0"/>
          <w:numId w:val="47"/>
        </w:numPr>
        <w:rPr>
          <w:rFonts w:asciiTheme="minorHAnsi" w:hAnsiTheme="minorHAnsi"/>
          <w:sz w:val="22"/>
          <w:szCs w:val="22"/>
        </w:rPr>
      </w:pPr>
      <w:r>
        <w:rPr>
          <w:rFonts w:asciiTheme="minorHAnsi" w:hAnsiTheme="minorHAnsi"/>
          <w:b/>
          <w:bCs/>
          <w:sz w:val="22"/>
          <w:szCs w:val="22"/>
        </w:rPr>
        <w:t>Managing c</w:t>
      </w:r>
      <w:r w:rsidRPr="00C019B9">
        <w:rPr>
          <w:rFonts w:asciiTheme="minorHAnsi" w:hAnsiTheme="minorHAnsi"/>
          <w:b/>
          <w:bCs/>
          <w:sz w:val="22"/>
          <w:szCs w:val="22"/>
        </w:rPr>
        <w:t>onflicting stakeholder views</w:t>
      </w:r>
      <w:r>
        <w:rPr>
          <w:rFonts w:asciiTheme="minorHAnsi" w:hAnsiTheme="minorHAnsi"/>
          <w:sz w:val="22"/>
          <w:szCs w:val="22"/>
        </w:rPr>
        <w:t xml:space="preserve"> – mitigated through the supplier’s expertise in stakeholder management and applying appropriate methods to manage and resolve conflict.  Where necessary, the supplier can be supported by RSSB and the project steering group.  </w:t>
      </w:r>
    </w:p>
    <w:p w14:paraId="209D5B92" w14:textId="0EF23259" w:rsidR="00F161BA" w:rsidRDefault="00F161BA" w:rsidP="00F161BA">
      <w:pPr>
        <w:pStyle w:val="ListParagraph"/>
        <w:numPr>
          <w:ilvl w:val="0"/>
          <w:numId w:val="47"/>
        </w:numPr>
        <w:rPr>
          <w:rFonts w:asciiTheme="minorHAnsi" w:hAnsiTheme="minorHAnsi"/>
          <w:sz w:val="22"/>
          <w:szCs w:val="22"/>
        </w:rPr>
      </w:pPr>
      <w:r>
        <w:rPr>
          <w:rFonts w:asciiTheme="minorHAnsi" w:hAnsiTheme="minorHAnsi"/>
          <w:b/>
          <w:bCs/>
          <w:sz w:val="22"/>
          <w:szCs w:val="22"/>
        </w:rPr>
        <w:t xml:space="preserve">The solution does not meet industry requirements or expectations </w:t>
      </w:r>
      <w:r>
        <w:rPr>
          <w:rFonts w:asciiTheme="minorHAnsi" w:hAnsiTheme="minorHAnsi"/>
          <w:sz w:val="22"/>
          <w:szCs w:val="22"/>
        </w:rPr>
        <w:t>– mitigated</w:t>
      </w:r>
      <w:r w:rsidR="00C06F85">
        <w:rPr>
          <w:rFonts w:asciiTheme="minorHAnsi" w:hAnsiTheme="minorHAnsi"/>
          <w:sz w:val="22"/>
          <w:szCs w:val="22"/>
        </w:rPr>
        <w:t xml:space="preserve"> by</w:t>
      </w:r>
      <w:r>
        <w:rPr>
          <w:rFonts w:asciiTheme="minorHAnsi" w:hAnsiTheme="minorHAnsi"/>
          <w:sz w:val="22"/>
          <w:szCs w:val="22"/>
        </w:rPr>
        <w:t xml:space="preserve"> stage gates at key junctions in the research</w:t>
      </w:r>
      <w:r w:rsidR="00C06F85">
        <w:rPr>
          <w:rFonts w:asciiTheme="minorHAnsi" w:hAnsiTheme="minorHAnsi"/>
          <w:sz w:val="22"/>
          <w:szCs w:val="22"/>
        </w:rPr>
        <w:t>.  S</w:t>
      </w:r>
      <w:r>
        <w:rPr>
          <w:rFonts w:asciiTheme="minorHAnsi" w:hAnsiTheme="minorHAnsi"/>
          <w:sz w:val="22"/>
          <w:szCs w:val="22"/>
        </w:rPr>
        <w:t>hould it emerge that automating reactionary delay attribution is not possible, the research may still de</w:t>
      </w:r>
      <w:r w:rsidR="00C06F85">
        <w:rPr>
          <w:rFonts w:asciiTheme="minorHAnsi" w:hAnsiTheme="minorHAnsi"/>
          <w:sz w:val="22"/>
          <w:szCs w:val="22"/>
        </w:rPr>
        <w:t xml:space="preserve">liver </w:t>
      </w:r>
      <w:r>
        <w:rPr>
          <w:rFonts w:asciiTheme="minorHAnsi" w:hAnsiTheme="minorHAnsi"/>
          <w:sz w:val="22"/>
          <w:szCs w:val="22"/>
        </w:rPr>
        <w:t xml:space="preserve">a benefit through focusing outputs on improving performance </w:t>
      </w:r>
    </w:p>
    <w:p w14:paraId="4FCEAA42" w14:textId="77777777" w:rsidR="00F161BA" w:rsidRPr="00E2299D" w:rsidRDefault="00F161BA" w:rsidP="00F161BA">
      <w:pPr>
        <w:pStyle w:val="ListParagraph"/>
        <w:numPr>
          <w:ilvl w:val="0"/>
          <w:numId w:val="47"/>
        </w:numPr>
        <w:rPr>
          <w:rFonts w:asciiTheme="minorHAnsi" w:hAnsiTheme="minorHAnsi"/>
          <w:sz w:val="22"/>
          <w:szCs w:val="22"/>
        </w:rPr>
      </w:pPr>
      <w:r w:rsidRPr="00C019B9">
        <w:rPr>
          <w:rFonts w:asciiTheme="minorHAnsi" w:hAnsiTheme="minorHAnsi"/>
          <w:b/>
          <w:bCs/>
          <w:sz w:val="22"/>
          <w:szCs w:val="22"/>
        </w:rPr>
        <w:t>Access to staff, information and data</w:t>
      </w:r>
      <w:r w:rsidRPr="00F94313">
        <w:rPr>
          <w:rFonts w:asciiTheme="minorHAnsi" w:hAnsiTheme="minorHAnsi"/>
          <w:sz w:val="22"/>
          <w:szCs w:val="22"/>
        </w:rPr>
        <w:t xml:space="preserve"> - mitigated through securing industry support at the</w:t>
      </w:r>
      <w:r>
        <w:rPr>
          <w:rFonts w:asciiTheme="minorHAnsi" w:hAnsiTheme="minorHAnsi"/>
          <w:sz w:val="22"/>
          <w:szCs w:val="22"/>
        </w:rPr>
        <w:t xml:space="preserve"> BOPB, DAB and through the project steering group</w:t>
      </w:r>
      <w:r w:rsidRPr="00F94313">
        <w:rPr>
          <w:rFonts w:asciiTheme="minorHAnsi" w:hAnsiTheme="minorHAnsi"/>
          <w:sz w:val="22"/>
          <w:szCs w:val="22"/>
        </w:rPr>
        <w:t>.</w:t>
      </w:r>
    </w:p>
    <w:p w14:paraId="466684FC" w14:textId="77777777" w:rsidR="00F161BA" w:rsidRDefault="00F161BA" w:rsidP="00F161BA">
      <w:pPr>
        <w:rPr>
          <w:rFonts w:cs="Arial"/>
          <w:lang w:eastAsia="en-GB"/>
        </w:rPr>
      </w:pPr>
      <w:r w:rsidRPr="00F94313">
        <w:rPr>
          <w:rFonts w:asciiTheme="minorHAnsi" w:hAnsiTheme="minorHAnsi"/>
          <w:sz w:val="22"/>
          <w:szCs w:val="22"/>
        </w:rPr>
        <w:t xml:space="preserve">  </w:t>
      </w:r>
    </w:p>
    <w:p w14:paraId="66089DAC" w14:textId="77777777" w:rsidR="00F161BA" w:rsidRDefault="00F161BA" w:rsidP="00F161BA">
      <w:pPr>
        <w:pStyle w:val="Body"/>
      </w:pPr>
      <w:r>
        <w:t>A detailed risk</w:t>
      </w:r>
      <w:r w:rsidRPr="008574B4">
        <w:t xml:space="preserve"> </w:t>
      </w:r>
      <w:r>
        <w:t>and mitigations register should be provided as part of the submission illustrating</w:t>
      </w:r>
      <w:r w:rsidRPr="008574B4">
        <w:t xml:space="preserve"> required </w:t>
      </w:r>
      <w:r>
        <w:t xml:space="preserve">actions </w:t>
      </w:r>
      <w:r w:rsidRPr="008574B4">
        <w:t xml:space="preserve">to </w:t>
      </w:r>
      <w:r>
        <w:t>support the</w:t>
      </w:r>
      <w:r w:rsidRPr="008574B4">
        <w:t xml:space="preserve"> success of the </w:t>
      </w:r>
      <w:r>
        <w:t>work package</w:t>
      </w:r>
      <w:r w:rsidRPr="008574B4">
        <w:t>.</w:t>
      </w:r>
    </w:p>
    <w:p w14:paraId="1D51C9C1" w14:textId="77777777" w:rsidR="00F161BA" w:rsidRDefault="00F161BA" w:rsidP="00E6586B"/>
    <w:p w14:paraId="0743C654" w14:textId="77777777" w:rsidR="00F161BA" w:rsidRDefault="00F161BA" w:rsidP="00E6586B"/>
    <w:p w14:paraId="294F430D" w14:textId="65B5B73F" w:rsidR="00F161BA" w:rsidRDefault="00F161BA" w:rsidP="000E3921">
      <w:pPr>
        <w:sectPr w:rsidR="00F161BA" w:rsidSect="00F161BA">
          <w:type w:val="continuous"/>
          <w:pgSz w:w="11906" w:h="16838"/>
          <w:pgMar w:top="1985" w:right="1985" w:bottom="1985" w:left="1985" w:header="567" w:footer="567" w:gutter="0"/>
          <w:cols w:space="708"/>
          <w:docGrid w:linePitch="360"/>
        </w:sectPr>
      </w:pPr>
    </w:p>
    <w:p w14:paraId="565D27B0" w14:textId="77777777" w:rsidR="002D4E08" w:rsidRDefault="002D4E08" w:rsidP="00610B0B">
      <w:pPr>
        <w:rPr>
          <w:rFonts w:cs="Arial"/>
          <w:lang w:eastAsia="en-GB"/>
        </w:rPr>
      </w:pPr>
    </w:p>
    <w:p w14:paraId="69E35949" w14:textId="170D3266" w:rsidR="00237F39" w:rsidRDefault="00237F39" w:rsidP="00BF1853">
      <w:pPr>
        <w:pStyle w:val="Body"/>
      </w:pPr>
    </w:p>
    <w:p w14:paraId="716A05F1" w14:textId="435B65A9" w:rsidR="004D3497" w:rsidRDefault="004D3497" w:rsidP="004D3497">
      <w:pPr>
        <w:pStyle w:val="Heading10"/>
        <w:keepNext/>
        <w:outlineLvl w:val="9"/>
        <w:rPr>
          <w:rFonts w:ascii="Calibri" w:hAnsi="Calibri"/>
        </w:rPr>
      </w:pPr>
      <w:r>
        <w:rPr>
          <w:rFonts w:ascii="Calibri" w:hAnsi="Calibri"/>
        </w:rPr>
        <w:t>Appendix A</w:t>
      </w:r>
      <w:r w:rsidR="00237F39">
        <w:rPr>
          <w:rFonts w:ascii="Calibri" w:hAnsi="Calibri"/>
        </w:rPr>
        <w:t>:</w:t>
      </w:r>
      <w:r>
        <w:rPr>
          <w:rFonts w:ascii="Calibri" w:hAnsi="Calibri"/>
        </w:rPr>
        <w:t xml:space="preserve"> </w:t>
      </w:r>
      <w:r w:rsidR="00237F39">
        <w:rPr>
          <w:rFonts w:ascii="Calibri" w:hAnsi="Calibri"/>
        </w:rPr>
        <w:t xml:space="preserve">Research questions and terms of reference </w:t>
      </w:r>
    </w:p>
    <w:p w14:paraId="63829DF2" w14:textId="30BDB8A3" w:rsidR="00237F39" w:rsidRPr="000E3921" w:rsidRDefault="00237F39" w:rsidP="000E3921">
      <w:pPr>
        <w:pStyle w:val="Body"/>
      </w:pPr>
      <w:r>
        <w:rPr>
          <w:b/>
          <w:bCs/>
        </w:rPr>
        <w:t>Primary and secondary research questions,</w:t>
      </w:r>
      <w:r>
        <w:t xml:space="preserve"> representing the challenges to be addressed through this project: </w:t>
      </w:r>
    </w:p>
    <w:p w14:paraId="70A277D5" w14:textId="51E54486" w:rsidR="00237F39" w:rsidRPr="006C3A9E" w:rsidRDefault="00237F39" w:rsidP="00237F39">
      <w:pPr>
        <w:pStyle w:val="Body"/>
        <w:numPr>
          <w:ilvl w:val="0"/>
          <w:numId w:val="33"/>
        </w:numPr>
        <w:rPr>
          <w:b/>
          <w:bCs/>
        </w:rPr>
      </w:pPr>
      <w:r w:rsidRPr="006C3A9E">
        <w:rPr>
          <w:b/>
          <w:bCs/>
        </w:rPr>
        <w:t xml:space="preserve">How will self-evident </w:t>
      </w:r>
      <w:r>
        <w:rPr>
          <w:b/>
          <w:bCs/>
        </w:rPr>
        <w:t xml:space="preserve">causal </w:t>
      </w:r>
      <w:r w:rsidRPr="006C3A9E">
        <w:rPr>
          <w:b/>
          <w:bCs/>
        </w:rPr>
        <w:t xml:space="preserve">reactionary delay chains be identified, analysed, and to what % of accuracy and consistency can this be repeatedly achieved? </w:t>
      </w:r>
    </w:p>
    <w:p w14:paraId="23DC1A38" w14:textId="77777777" w:rsidR="00237F39" w:rsidRPr="007A7336" w:rsidRDefault="00237F39" w:rsidP="00237F39">
      <w:pPr>
        <w:pStyle w:val="Body"/>
        <w:numPr>
          <w:ilvl w:val="1"/>
          <w:numId w:val="33"/>
        </w:numPr>
      </w:pPr>
      <w:r w:rsidRPr="007A7336">
        <w:t>How much of the total reactionary delay profile will this cover?</w:t>
      </w:r>
    </w:p>
    <w:p w14:paraId="4DE6A94A" w14:textId="77777777" w:rsidR="00237F39" w:rsidRPr="007A7336" w:rsidRDefault="00237F39" w:rsidP="00237F39">
      <w:pPr>
        <w:pStyle w:val="Body"/>
        <w:numPr>
          <w:ilvl w:val="1"/>
          <w:numId w:val="33"/>
        </w:numPr>
      </w:pPr>
      <w:r w:rsidRPr="007A7336">
        <w:t>How will this help staff better understand reactionary delays and mitigate the adverse impact of reactionary delays?</w:t>
      </w:r>
    </w:p>
    <w:p w14:paraId="24F958A5" w14:textId="77777777" w:rsidR="00237F39" w:rsidRPr="007A7336" w:rsidRDefault="00237F39" w:rsidP="00237F39">
      <w:pPr>
        <w:pStyle w:val="Body"/>
        <w:numPr>
          <w:ilvl w:val="1"/>
          <w:numId w:val="33"/>
        </w:numPr>
      </w:pPr>
      <w:r w:rsidRPr="007A7336">
        <w:t xml:space="preserve">How will this improve operational performance?  </w:t>
      </w:r>
    </w:p>
    <w:p w14:paraId="0CCA86D7" w14:textId="77777777" w:rsidR="00237F39" w:rsidRPr="007A7336" w:rsidRDefault="00237F39" w:rsidP="00237F39">
      <w:pPr>
        <w:pStyle w:val="Body"/>
        <w:numPr>
          <w:ilvl w:val="1"/>
          <w:numId w:val="33"/>
        </w:numPr>
      </w:pPr>
      <w:r w:rsidRPr="007A7336">
        <w:t>What impact will this have on understanding unattributed, uninvestigated, and unexplained delays?</w:t>
      </w:r>
    </w:p>
    <w:p w14:paraId="52C11B5E" w14:textId="565DE494" w:rsidR="00962450" w:rsidRPr="000E3921" w:rsidRDefault="00962450" w:rsidP="00962450">
      <w:pPr>
        <w:pStyle w:val="Body"/>
        <w:numPr>
          <w:ilvl w:val="0"/>
          <w:numId w:val="33"/>
        </w:numPr>
        <w:rPr>
          <w:b/>
          <w:bCs/>
        </w:rPr>
      </w:pPr>
      <w:r w:rsidRPr="000E3921">
        <w:rPr>
          <w:b/>
          <w:bCs/>
        </w:rPr>
        <w:t xml:space="preserve">How can we demonstrate improving performance and automating reactionary delay attribution through self-evident causal reactionary delay chains? </w:t>
      </w:r>
    </w:p>
    <w:p w14:paraId="4C70F22A" w14:textId="42C9632C" w:rsidR="003D4160" w:rsidRDefault="003D4160" w:rsidP="00353C55">
      <w:pPr>
        <w:pStyle w:val="Body"/>
        <w:numPr>
          <w:ilvl w:val="1"/>
          <w:numId w:val="33"/>
        </w:numPr>
      </w:pPr>
      <w:r>
        <w:t>How will testing be undertaken to demonstrate the effectiveness of the solution?</w:t>
      </w:r>
    </w:p>
    <w:p w14:paraId="52B2331D" w14:textId="3412D59E" w:rsidR="00903D09" w:rsidRDefault="00903D09" w:rsidP="00353C55">
      <w:pPr>
        <w:pStyle w:val="Body"/>
        <w:numPr>
          <w:ilvl w:val="1"/>
          <w:numId w:val="33"/>
        </w:numPr>
      </w:pPr>
      <w:r>
        <w:t>How will false positives and false negatives be identified?</w:t>
      </w:r>
    </w:p>
    <w:p w14:paraId="5C0633F7" w14:textId="0AE5FC75" w:rsidR="003D4160" w:rsidRPr="000E3921" w:rsidRDefault="003D4160" w:rsidP="000E3921">
      <w:pPr>
        <w:pStyle w:val="Body"/>
        <w:numPr>
          <w:ilvl w:val="1"/>
          <w:numId w:val="33"/>
        </w:numPr>
      </w:pPr>
      <w:r w:rsidRPr="000E3921">
        <w:t>How will the benefits and impact</w:t>
      </w:r>
      <w:r>
        <w:t>s</w:t>
      </w:r>
      <w:r w:rsidRPr="000E3921">
        <w:t xml:space="preserve"> of the solution be assessed?</w:t>
      </w:r>
    </w:p>
    <w:p w14:paraId="50A391DD" w14:textId="7290126C" w:rsidR="00237F39" w:rsidRPr="000E3921" w:rsidRDefault="00237F39" w:rsidP="000E3921">
      <w:pPr>
        <w:pStyle w:val="ListParagraph"/>
        <w:numPr>
          <w:ilvl w:val="0"/>
          <w:numId w:val="33"/>
        </w:numPr>
        <w:rPr>
          <w:rFonts w:asciiTheme="minorHAnsi" w:hAnsiTheme="minorHAnsi" w:cstheme="minorHAnsi"/>
          <w:b/>
          <w:bCs/>
        </w:rPr>
      </w:pPr>
      <w:r w:rsidRPr="000E3921">
        <w:rPr>
          <w:rFonts w:asciiTheme="minorHAnsi" w:hAnsiTheme="minorHAnsi" w:cstheme="minorHAnsi"/>
          <w:b/>
          <w:bCs/>
          <w:sz w:val="22"/>
          <w:szCs w:val="22"/>
        </w:rPr>
        <w:t>How can we automate reactionary delay attribution</w:t>
      </w:r>
      <w:r w:rsidR="0061700C" w:rsidRPr="000E3921">
        <w:rPr>
          <w:rFonts w:asciiTheme="minorHAnsi" w:hAnsiTheme="minorHAnsi" w:cstheme="minorHAnsi"/>
          <w:b/>
          <w:bCs/>
          <w:sz w:val="22"/>
          <w:szCs w:val="22"/>
        </w:rPr>
        <w:t xml:space="preserve"> </w:t>
      </w:r>
      <w:r w:rsidR="0061700C" w:rsidRPr="000E3921">
        <w:rPr>
          <w:rFonts w:asciiTheme="minorHAnsi" w:hAnsiTheme="minorHAnsi" w:cstheme="minorHAnsi"/>
          <w:b/>
          <w:bCs/>
          <w:sz w:val="22"/>
          <w:szCs w:val="22"/>
          <w:lang w:eastAsia="en-GB"/>
        </w:rPr>
        <w:t xml:space="preserve">and what are the industry change management requirements for this? </w:t>
      </w:r>
    </w:p>
    <w:p w14:paraId="2E1FA81F" w14:textId="77777777" w:rsidR="00237F39" w:rsidRPr="007A7336" w:rsidRDefault="00237F39" w:rsidP="00237F39">
      <w:pPr>
        <w:pStyle w:val="Body"/>
        <w:numPr>
          <w:ilvl w:val="1"/>
          <w:numId w:val="33"/>
        </w:numPr>
      </w:pPr>
      <w:r w:rsidRPr="007A7336">
        <w:t xml:space="preserve">How will data science and analytics enable automation (e.g. self-learning)?  </w:t>
      </w:r>
    </w:p>
    <w:p w14:paraId="0F818921" w14:textId="77777777" w:rsidR="00237F39" w:rsidRPr="007A7336" w:rsidRDefault="00237F39" w:rsidP="00237F39">
      <w:pPr>
        <w:pStyle w:val="Body"/>
        <w:numPr>
          <w:ilvl w:val="1"/>
          <w:numId w:val="33"/>
        </w:numPr>
      </w:pPr>
      <w:r w:rsidRPr="007A7336">
        <w:t>What is the balance of rule simplicity vs complexity that would enable automation?</w:t>
      </w:r>
    </w:p>
    <w:p w14:paraId="77765E9F" w14:textId="77777777" w:rsidR="00237F39" w:rsidRPr="007A7336" w:rsidRDefault="00237F39" w:rsidP="00237F39">
      <w:pPr>
        <w:pStyle w:val="Body"/>
        <w:numPr>
          <w:ilvl w:val="1"/>
          <w:numId w:val="33"/>
        </w:numPr>
      </w:pPr>
      <w:r w:rsidRPr="007A7336">
        <w:t>What and how many hard-coded rules will be required to achieve the highest level of agreed accuracy and consistency?</w:t>
      </w:r>
    </w:p>
    <w:p w14:paraId="1318FD57" w14:textId="77777777" w:rsidR="00237F39" w:rsidRPr="007A7336" w:rsidRDefault="00237F39" w:rsidP="00237F39">
      <w:pPr>
        <w:pStyle w:val="Body"/>
        <w:numPr>
          <w:ilvl w:val="1"/>
          <w:numId w:val="33"/>
        </w:numPr>
      </w:pPr>
      <w:r w:rsidRPr="007A7336">
        <w:t>What required inputs are available now or would be needed to enable automation?</w:t>
      </w:r>
    </w:p>
    <w:p w14:paraId="40BBA495" w14:textId="77777777" w:rsidR="00237F39" w:rsidRDefault="00237F39" w:rsidP="0012128F">
      <w:pPr>
        <w:pStyle w:val="Body"/>
        <w:numPr>
          <w:ilvl w:val="1"/>
          <w:numId w:val="33"/>
        </w:numPr>
      </w:pPr>
      <w:r w:rsidRPr="007A7336">
        <w:t>How will industry undergo change management to automate reactionary delay attribution?</w:t>
      </w:r>
    </w:p>
    <w:p w14:paraId="67F22E8C" w14:textId="1CFCE951" w:rsidR="00237F39" w:rsidRDefault="00237F39" w:rsidP="00237F39">
      <w:pPr>
        <w:pStyle w:val="Body"/>
      </w:pPr>
    </w:p>
    <w:p w14:paraId="77BF67AA" w14:textId="2A2C2629" w:rsidR="00237F39" w:rsidRPr="00756A51" w:rsidRDefault="00237F39" w:rsidP="00237F39">
      <w:pPr>
        <w:pStyle w:val="Body"/>
      </w:pPr>
      <w:r>
        <w:rPr>
          <w:b/>
          <w:bCs/>
        </w:rPr>
        <w:t>Key t</w:t>
      </w:r>
      <w:r w:rsidRPr="007F346A">
        <w:rPr>
          <w:b/>
          <w:bCs/>
        </w:rPr>
        <w:t xml:space="preserve">erms of reference </w:t>
      </w:r>
      <w:r>
        <w:t>provide clarity on the key references applicable to this project:</w:t>
      </w:r>
    </w:p>
    <w:p w14:paraId="04F8CB1D" w14:textId="77777777" w:rsidR="00237F39" w:rsidRPr="007A7336" w:rsidRDefault="00237F39" w:rsidP="00237F39">
      <w:pPr>
        <w:pStyle w:val="Body"/>
        <w:numPr>
          <w:ilvl w:val="0"/>
          <w:numId w:val="35"/>
        </w:numPr>
      </w:pPr>
      <w:r w:rsidRPr="00257F28">
        <w:rPr>
          <w:b/>
          <w:bCs/>
        </w:rPr>
        <w:t>Good delay attribution</w:t>
      </w:r>
      <w:r w:rsidRPr="007A7336">
        <w:t xml:space="preserve"> is the </w:t>
      </w:r>
      <w:r w:rsidRPr="00257F28">
        <w:rPr>
          <w:i/>
          <w:iCs/>
          <w:u w:val="single"/>
        </w:rPr>
        <w:t>timely accurate identification and consistent allocation</w:t>
      </w:r>
      <w:r w:rsidRPr="007A7336">
        <w:t xml:space="preserve"> of delay causes and responsible parties, to understand the impact of delays and inform action plans for improving operational performance</w:t>
      </w:r>
    </w:p>
    <w:p w14:paraId="5794CFCE" w14:textId="77777777" w:rsidR="00237F39" w:rsidRPr="007A7336" w:rsidRDefault="00237F39" w:rsidP="00237F39">
      <w:pPr>
        <w:pStyle w:val="Body"/>
        <w:numPr>
          <w:ilvl w:val="0"/>
          <w:numId w:val="35"/>
        </w:numPr>
      </w:pPr>
      <w:r w:rsidRPr="007A7336">
        <w:t xml:space="preserve">The </w:t>
      </w:r>
      <w:r w:rsidRPr="00257F28">
        <w:rPr>
          <w:b/>
          <w:bCs/>
        </w:rPr>
        <w:t>accurate identification of a reactionary delay</w:t>
      </w:r>
      <w:r w:rsidRPr="007A7336">
        <w:t xml:space="preserve"> is when the identified reactionary delay </w:t>
      </w:r>
      <w:r w:rsidRPr="00257F28">
        <w:rPr>
          <w:i/>
          <w:iCs/>
          <w:u w:val="single"/>
        </w:rPr>
        <w:t>is</w:t>
      </w:r>
      <w:r w:rsidRPr="007A7336">
        <w:t xml:space="preserve"> a reactionary delay, and correctly allocated (validity)</w:t>
      </w:r>
    </w:p>
    <w:p w14:paraId="02F4FB7D" w14:textId="77777777" w:rsidR="00237F39" w:rsidRPr="007A7336" w:rsidRDefault="00237F39" w:rsidP="00237F39">
      <w:pPr>
        <w:pStyle w:val="Body"/>
        <w:numPr>
          <w:ilvl w:val="0"/>
          <w:numId w:val="35"/>
        </w:numPr>
      </w:pPr>
      <w:r w:rsidRPr="007A7336">
        <w:t xml:space="preserve">The </w:t>
      </w:r>
      <w:r w:rsidRPr="00257F28">
        <w:rPr>
          <w:b/>
          <w:bCs/>
        </w:rPr>
        <w:t>consistent allocation of a reactionary delay</w:t>
      </w:r>
      <w:r w:rsidRPr="007A7336">
        <w:t xml:space="preserve"> is when the reactionary delay is allocated </w:t>
      </w:r>
      <w:r w:rsidRPr="00257F28">
        <w:rPr>
          <w:i/>
          <w:iCs/>
          <w:u w:val="single"/>
        </w:rPr>
        <w:t>the same in every situation</w:t>
      </w:r>
      <w:r w:rsidRPr="007A7336">
        <w:t xml:space="preserve"> (reliability)</w:t>
      </w:r>
    </w:p>
    <w:p w14:paraId="0B60A23C" w14:textId="77777777" w:rsidR="00237F39" w:rsidRPr="007A7336" w:rsidRDefault="00237F39" w:rsidP="00237F39">
      <w:pPr>
        <w:pStyle w:val="Body"/>
        <w:numPr>
          <w:ilvl w:val="0"/>
          <w:numId w:val="35"/>
        </w:numPr>
      </w:pPr>
      <w:r w:rsidRPr="00257F28">
        <w:rPr>
          <w:b/>
          <w:bCs/>
        </w:rPr>
        <w:lastRenderedPageBreak/>
        <w:t>Reliability events</w:t>
      </w:r>
      <w:r w:rsidRPr="007A7336">
        <w:t xml:space="preserve"> occur when a train is unable to make all booked calls shown on the train schedule, including part and full cancellations, and failing to call at booked stops. </w:t>
      </w:r>
    </w:p>
    <w:p w14:paraId="153C97A4" w14:textId="77777777" w:rsidR="00237F39" w:rsidRPr="007A7336" w:rsidRDefault="00237F39" w:rsidP="00237F39">
      <w:pPr>
        <w:pStyle w:val="Body"/>
        <w:numPr>
          <w:ilvl w:val="0"/>
          <w:numId w:val="35"/>
        </w:numPr>
      </w:pPr>
      <w:r w:rsidRPr="00257F28">
        <w:rPr>
          <w:b/>
          <w:bCs/>
        </w:rPr>
        <w:t>Good performance analysis</w:t>
      </w:r>
      <w:r w:rsidRPr="007A7336">
        <w:t xml:space="preserve"> provides a robust understanding of the issues affecting operational performance, which achieves evidence-based practical, applicable and effective conclusions. </w:t>
      </w:r>
    </w:p>
    <w:p w14:paraId="50922FC1" w14:textId="77777777" w:rsidR="00237F39" w:rsidRPr="007A7336" w:rsidRDefault="00237F39" w:rsidP="00237F39">
      <w:pPr>
        <w:pStyle w:val="Body"/>
        <w:numPr>
          <w:ilvl w:val="0"/>
          <w:numId w:val="35"/>
        </w:numPr>
      </w:pPr>
      <w:r w:rsidRPr="007A7336">
        <w:t xml:space="preserve">A </w:t>
      </w:r>
      <w:r w:rsidRPr="00257F28">
        <w:rPr>
          <w:b/>
          <w:bCs/>
        </w:rPr>
        <w:t>reactionary chain</w:t>
      </w:r>
      <w:r w:rsidRPr="007A7336">
        <w:t xml:space="preserve"> represents the causal relationship between a primary delay and the reactionary delay/or reliability event, to one or more train service agnostic of any other reason outside the linked chain</w:t>
      </w:r>
    </w:p>
    <w:p w14:paraId="133EF11F" w14:textId="064AAE78" w:rsidR="00237F39" w:rsidRDefault="00237F39" w:rsidP="00237F39">
      <w:pPr>
        <w:pStyle w:val="Body"/>
        <w:numPr>
          <w:ilvl w:val="0"/>
          <w:numId w:val="35"/>
        </w:numPr>
      </w:pPr>
      <w:r w:rsidRPr="00257F28">
        <w:rPr>
          <w:b/>
          <w:bCs/>
        </w:rPr>
        <w:t>Self-evident reactionary chains</w:t>
      </w:r>
      <w:r w:rsidRPr="007A7336">
        <w:t xml:space="preserve"> utilise data feeds to identify and allocate delay causes and responsible parties, following hard-coded rules to agreed success criteria, negating manual investigation</w:t>
      </w:r>
    </w:p>
    <w:p w14:paraId="7A13E48B" w14:textId="77777777" w:rsidR="00F36078" w:rsidRDefault="00F36078" w:rsidP="000E3921">
      <w:pPr>
        <w:pStyle w:val="Body"/>
        <w:ind w:left="360"/>
      </w:pPr>
    </w:p>
    <w:sectPr w:rsidR="00F36078" w:rsidSect="006E746E">
      <w:pgSz w:w="11906" w:h="16838" w:code="9"/>
      <w:pgMar w:top="1440" w:right="1797" w:bottom="1559" w:left="179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6CA7" w14:textId="77777777" w:rsidR="00CD054B" w:rsidRDefault="00CD054B" w:rsidP="0003785D">
      <w:r>
        <w:separator/>
      </w:r>
    </w:p>
  </w:endnote>
  <w:endnote w:type="continuationSeparator" w:id="0">
    <w:p w14:paraId="5420FCBA" w14:textId="77777777" w:rsidR="00CD054B" w:rsidRDefault="00CD054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9157" w14:textId="77777777" w:rsidR="00F36078" w:rsidRDefault="00F36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9DFD" w14:textId="53FD69E4" w:rsidR="009E0397" w:rsidRDefault="003815D0" w:rsidP="00CA5943">
    <w:pPr>
      <w:pStyle w:val="Footer"/>
    </w:pPr>
    <w:sdt>
      <w:sdtPr>
        <w:id w:val="116267860"/>
        <w:docPartObj>
          <w:docPartGallery w:val="Page Numbers (Bottom of Page)"/>
          <w:docPartUnique/>
        </w:docPartObj>
      </w:sdtPr>
      <w:sdtEndPr>
        <w:rPr>
          <w:noProof/>
        </w:rPr>
      </w:sdtEndPr>
      <w:sdtContent>
        <w:r w:rsidR="009E0397">
          <w:fldChar w:fldCharType="begin"/>
        </w:r>
        <w:r w:rsidR="009E0397">
          <w:instrText xml:space="preserve"> PAGE   \* MERGEFORMAT </w:instrText>
        </w:r>
        <w:r w:rsidR="009E0397">
          <w:fldChar w:fldCharType="separate"/>
        </w:r>
        <w:r w:rsidR="009E0397">
          <w:rPr>
            <w:noProof/>
          </w:rPr>
          <w:t>2</w:t>
        </w:r>
        <w:r w:rsidR="009E0397">
          <w:rPr>
            <w:noProof/>
          </w:rPr>
          <w:fldChar w:fldCharType="end"/>
        </w:r>
      </w:sdtContent>
    </w:sdt>
    <w:r w:rsidR="009E0397">
      <w:rPr>
        <w:noProof/>
      </w:rPr>
      <w:tab/>
    </w:r>
    <w:r w:rsidR="009E0397">
      <w:t>COF-ADA v0.2</w:t>
    </w:r>
    <w:r w:rsidR="009E0397">
      <w:tab/>
      <w:t>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B536" w14:textId="77777777" w:rsidR="00F36078" w:rsidRDefault="00F36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C8DC4" w14:textId="77777777" w:rsidR="00CD054B" w:rsidRDefault="00CD054B" w:rsidP="0003785D">
      <w:r>
        <w:separator/>
      </w:r>
    </w:p>
  </w:footnote>
  <w:footnote w:type="continuationSeparator" w:id="0">
    <w:p w14:paraId="72A6E3CA" w14:textId="77777777" w:rsidR="00CD054B" w:rsidRDefault="00CD054B" w:rsidP="0003785D">
      <w:r>
        <w:continuationSeparator/>
      </w:r>
    </w:p>
  </w:footnote>
  <w:footnote w:id="1">
    <w:p w14:paraId="239DA634" w14:textId="60AA6612" w:rsidR="009E0397" w:rsidRPr="00B67FAF" w:rsidRDefault="009E0397">
      <w:pPr>
        <w:pStyle w:val="FootnoteText"/>
        <w:rPr>
          <w:rFonts w:asciiTheme="minorHAnsi" w:hAnsiTheme="minorHAnsi" w:cstheme="minorHAnsi"/>
          <w:sz w:val="16"/>
          <w:szCs w:val="16"/>
        </w:rPr>
      </w:pPr>
      <w:r w:rsidRPr="00B67FAF">
        <w:rPr>
          <w:rStyle w:val="FootnoteReference"/>
          <w:rFonts w:asciiTheme="minorHAnsi" w:hAnsiTheme="minorHAnsi" w:cstheme="minorHAnsi"/>
          <w:sz w:val="16"/>
          <w:szCs w:val="16"/>
        </w:rPr>
        <w:footnoteRef/>
      </w:r>
      <w:r w:rsidRPr="00B67FAF">
        <w:rPr>
          <w:rFonts w:asciiTheme="minorHAnsi" w:hAnsiTheme="minorHAnsi" w:cstheme="minorHAnsi"/>
          <w:sz w:val="16"/>
          <w:szCs w:val="16"/>
        </w:rPr>
        <w:t xml:space="preserve"> TRUST is an acronym for the </w:t>
      </w:r>
      <w:r w:rsidRPr="00B67FAF">
        <w:rPr>
          <w:rFonts w:asciiTheme="minorHAnsi" w:hAnsiTheme="minorHAnsi" w:cstheme="minorHAnsi"/>
          <w:b/>
          <w:bCs/>
          <w:sz w:val="16"/>
          <w:szCs w:val="16"/>
        </w:rPr>
        <w:t>T</w:t>
      </w:r>
      <w:r w:rsidRPr="00B67FAF">
        <w:rPr>
          <w:rFonts w:asciiTheme="minorHAnsi" w:hAnsiTheme="minorHAnsi" w:cstheme="minorHAnsi"/>
          <w:sz w:val="16"/>
          <w:szCs w:val="16"/>
        </w:rPr>
        <w:t xml:space="preserve">rain </w:t>
      </w:r>
      <w:r w:rsidRPr="00B67FAF">
        <w:rPr>
          <w:rFonts w:asciiTheme="minorHAnsi" w:hAnsiTheme="minorHAnsi" w:cstheme="minorHAnsi"/>
          <w:b/>
          <w:bCs/>
          <w:sz w:val="16"/>
          <w:szCs w:val="16"/>
        </w:rPr>
        <w:t>R</w:t>
      </w:r>
      <w:r w:rsidRPr="00B67FAF">
        <w:rPr>
          <w:rFonts w:asciiTheme="minorHAnsi" w:hAnsiTheme="minorHAnsi" w:cstheme="minorHAnsi"/>
          <w:sz w:val="16"/>
          <w:szCs w:val="16"/>
        </w:rPr>
        <w:t xml:space="preserve">unning </w:t>
      </w:r>
      <w:r w:rsidRPr="00B67FAF">
        <w:rPr>
          <w:rFonts w:asciiTheme="minorHAnsi" w:hAnsiTheme="minorHAnsi" w:cstheme="minorHAnsi"/>
          <w:b/>
          <w:bCs/>
          <w:sz w:val="16"/>
          <w:szCs w:val="16"/>
        </w:rPr>
        <w:t>U</w:t>
      </w:r>
      <w:r w:rsidRPr="00B67FAF">
        <w:rPr>
          <w:rFonts w:asciiTheme="minorHAnsi" w:hAnsiTheme="minorHAnsi" w:cstheme="minorHAnsi"/>
          <w:sz w:val="16"/>
          <w:szCs w:val="16"/>
        </w:rPr>
        <w:t xml:space="preserve">nder </w:t>
      </w:r>
      <w:r w:rsidRPr="00B67FAF">
        <w:rPr>
          <w:rFonts w:asciiTheme="minorHAnsi" w:hAnsiTheme="minorHAnsi" w:cstheme="minorHAnsi"/>
          <w:b/>
          <w:bCs/>
          <w:sz w:val="16"/>
          <w:szCs w:val="16"/>
        </w:rPr>
        <w:t>S</w:t>
      </w:r>
      <w:r w:rsidRPr="00B67FAF">
        <w:rPr>
          <w:rFonts w:asciiTheme="minorHAnsi" w:hAnsiTheme="minorHAnsi" w:cstheme="minorHAnsi"/>
          <w:sz w:val="16"/>
          <w:szCs w:val="16"/>
        </w:rPr>
        <w:t xml:space="preserve">ystem </w:t>
      </w:r>
      <w:r w:rsidRPr="00B67FAF">
        <w:rPr>
          <w:rFonts w:asciiTheme="minorHAnsi" w:hAnsiTheme="minorHAnsi" w:cstheme="minorHAnsi"/>
          <w:b/>
          <w:bCs/>
          <w:sz w:val="16"/>
          <w:szCs w:val="16"/>
        </w:rPr>
        <w:t>T</w:t>
      </w:r>
      <w:r w:rsidRPr="00B67FAF">
        <w:rPr>
          <w:rFonts w:asciiTheme="minorHAnsi" w:hAnsiTheme="minorHAnsi" w:cstheme="minorHAnsi"/>
          <w:sz w:val="16"/>
          <w:szCs w:val="16"/>
        </w:rPr>
        <w:t xml:space="preserve">OPS (Total Operations Processing System).  </w:t>
      </w:r>
    </w:p>
  </w:footnote>
  <w:footnote w:id="2">
    <w:p w14:paraId="0A3ABF2D" w14:textId="0332B4A0" w:rsidR="009E0397" w:rsidRPr="00947106" w:rsidRDefault="009E0397">
      <w:pPr>
        <w:pStyle w:val="FootnoteText"/>
        <w:rPr>
          <w:rFonts w:asciiTheme="minorHAnsi" w:hAnsiTheme="minorHAnsi" w:cstheme="minorHAnsi"/>
        </w:rPr>
      </w:pPr>
      <w:r w:rsidRPr="00947106">
        <w:rPr>
          <w:rStyle w:val="FootnoteReference"/>
          <w:rFonts w:asciiTheme="minorHAnsi" w:hAnsiTheme="minorHAnsi" w:cstheme="minorHAnsi"/>
          <w:sz w:val="16"/>
          <w:szCs w:val="16"/>
        </w:rPr>
        <w:footnoteRef/>
      </w:r>
      <w:r w:rsidRPr="00947106">
        <w:rPr>
          <w:rFonts w:asciiTheme="minorHAnsi" w:hAnsiTheme="minorHAnsi" w:cstheme="minorHAnsi"/>
          <w:sz w:val="16"/>
          <w:szCs w:val="16"/>
        </w:rPr>
        <w:t xml:space="preserve"> </w:t>
      </w:r>
      <w:hyperlink r:id="rId1" w:history="1">
        <w:r w:rsidRPr="00947106">
          <w:rPr>
            <w:rStyle w:val="Hyperlink"/>
            <w:rFonts w:asciiTheme="minorHAnsi" w:hAnsiTheme="minorHAnsi" w:cstheme="minorHAnsi"/>
            <w:sz w:val="16"/>
            <w:szCs w:val="16"/>
          </w:rPr>
          <w:t>https://orr.gov.uk/rail/consultations/policy-consultations-by-topic/economic-regulation/delay-attribution-review</w:t>
        </w:r>
      </w:hyperlink>
      <w:r w:rsidRPr="00947106">
        <w:rPr>
          <w:rFonts w:asciiTheme="minorHAnsi" w:hAnsiTheme="minorHAnsi" w:cstheme="minorHAnsi"/>
          <w:sz w:val="16"/>
          <w:szCs w:val="16"/>
        </w:rPr>
        <w:t xml:space="preserve"> </w:t>
      </w:r>
    </w:p>
  </w:footnote>
  <w:footnote w:id="3">
    <w:p w14:paraId="20B636B9" w14:textId="1877A320" w:rsidR="009E0397" w:rsidRPr="009E6D0A" w:rsidRDefault="009E0397">
      <w:pPr>
        <w:pStyle w:val="FootnoteText"/>
        <w:rPr>
          <w:rFonts w:asciiTheme="minorHAnsi" w:hAnsiTheme="minorHAnsi"/>
          <w:sz w:val="16"/>
          <w:szCs w:val="16"/>
        </w:rPr>
      </w:pPr>
      <w:r w:rsidRPr="009E6D0A">
        <w:rPr>
          <w:rStyle w:val="FootnoteReference"/>
          <w:rFonts w:asciiTheme="minorHAnsi" w:hAnsiTheme="minorHAnsi"/>
          <w:sz w:val="16"/>
          <w:szCs w:val="16"/>
        </w:rPr>
        <w:footnoteRef/>
      </w:r>
      <w:r w:rsidRPr="009E6D0A">
        <w:rPr>
          <w:rFonts w:asciiTheme="minorHAnsi" w:hAnsiTheme="minorHAnsi"/>
          <w:sz w:val="16"/>
          <w:szCs w:val="16"/>
        </w:rPr>
        <w:t xml:space="preserve"> for example; </w:t>
      </w:r>
    </w:p>
    <w:p w14:paraId="7B0887FF" w14:textId="2BB01434" w:rsidR="009E0397" w:rsidRPr="009E6D0A" w:rsidRDefault="009E0397" w:rsidP="00142A33">
      <w:pPr>
        <w:pStyle w:val="FootnoteText"/>
        <w:numPr>
          <w:ilvl w:val="0"/>
          <w:numId w:val="34"/>
        </w:numPr>
        <w:rPr>
          <w:rFonts w:asciiTheme="minorHAnsi" w:hAnsiTheme="minorHAnsi"/>
          <w:sz w:val="16"/>
          <w:szCs w:val="16"/>
        </w:rPr>
      </w:pPr>
      <w:r w:rsidRPr="009E6D0A">
        <w:rPr>
          <w:rFonts w:asciiTheme="minorHAnsi" w:hAnsiTheme="minorHAnsi"/>
          <w:sz w:val="16"/>
          <w:szCs w:val="16"/>
        </w:rPr>
        <w:t xml:space="preserve">A feasibility study on developing an intelligence ensemble system for predicting and preventing train delays (COF-INP-02) </w:t>
      </w:r>
      <w:hyperlink r:id="rId2" w:history="1">
        <w:r w:rsidRPr="009E6D0A">
          <w:rPr>
            <w:rStyle w:val="Hyperlink"/>
            <w:rFonts w:asciiTheme="minorHAnsi" w:hAnsiTheme="minorHAnsi"/>
            <w:sz w:val="16"/>
            <w:szCs w:val="16"/>
          </w:rPr>
          <w:t>https://www.sparkrail.org/Lists/Records/DispForm.aspx?ID=26157</w:t>
        </w:r>
      </w:hyperlink>
    </w:p>
    <w:p w14:paraId="46E45BD3" w14:textId="3289E276" w:rsidR="009E0397" w:rsidRPr="007F346A" w:rsidRDefault="009E0397" w:rsidP="00142A33">
      <w:pPr>
        <w:pStyle w:val="FootnoteText"/>
        <w:numPr>
          <w:ilvl w:val="0"/>
          <w:numId w:val="34"/>
        </w:numPr>
        <w:rPr>
          <w:rFonts w:asciiTheme="minorHAnsi" w:hAnsiTheme="minorHAnsi"/>
          <w:sz w:val="16"/>
          <w:szCs w:val="16"/>
        </w:rPr>
      </w:pPr>
      <w:r w:rsidRPr="009E6D0A">
        <w:rPr>
          <w:rFonts w:asciiTheme="minorHAnsi" w:hAnsiTheme="minorHAnsi"/>
          <w:sz w:val="16"/>
          <w:szCs w:val="16"/>
        </w:rPr>
        <w:t>Non-Discriminatory Automatic Registration of Knock-On Train Delays</w:t>
      </w:r>
      <w:r>
        <w:rPr>
          <w:rFonts w:asciiTheme="minorHAnsi" w:hAnsiTheme="minorHAnsi"/>
          <w:sz w:val="16"/>
          <w:szCs w:val="16"/>
        </w:rPr>
        <w:t xml:space="preserve"> </w:t>
      </w:r>
      <w:hyperlink r:id="rId3" w:history="1">
        <w:r w:rsidRPr="00BE70EC">
          <w:rPr>
            <w:rStyle w:val="Hyperlink"/>
            <w:rFonts w:asciiTheme="minorHAnsi" w:hAnsiTheme="minorHAnsi"/>
            <w:sz w:val="16"/>
            <w:szCs w:val="16"/>
          </w:rPr>
          <w:t>https://link.springer.com/article/10.1007/s11067-008-9087-2</w:t>
        </w:r>
      </w:hyperlink>
      <w:r>
        <w:rPr>
          <w:rFonts w:asciiTheme="minorHAnsi" w:hAnsiTheme="minorHAnsi"/>
          <w:sz w:val="16"/>
          <w:szCs w:val="16"/>
        </w:rPr>
        <w:t xml:space="preserve"> </w:t>
      </w:r>
    </w:p>
  </w:footnote>
  <w:footnote w:id="4">
    <w:p w14:paraId="4D015295" w14:textId="55F16DA1" w:rsidR="009E0397" w:rsidRPr="000E3921" w:rsidRDefault="009E0397">
      <w:pPr>
        <w:pStyle w:val="FootnoteText"/>
        <w:rPr>
          <w:rFonts w:asciiTheme="minorHAnsi" w:hAnsiTheme="minorHAnsi" w:cstheme="minorHAnsi"/>
          <w:sz w:val="16"/>
          <w:szCs w:val="16"/>
        </w:rPr>
      </w:pPr>
      <w:r w:rsidRPr="000E3921">
        <w:rPr>
          <w:rStyle w:val="FootnoteReference"/>
          <w:rFonts w:asciiTheme="minorHAnsi" w:hAnsiTheme="minorHAnsi" w:cstheme="minorHAnsi"/>
          <w:sz w:val="16"/>
          <w:szCs w:val="16"/>
        </w:rPr>
        <w:footnoteRef/>
      </w:r>
      <w:r w:rsidRPr="000E3921">
        <w:rPr>
          <w:rFonts w:asciiTheme="minorHAnsi" w:hAnsiTheme="minorHAnsi" w:cstheme="minorHAnsi"/>
          <w:sz w:val="16"/>
          <w:szCs w:val="16"/>
        </w:rPr>
        <w:t xml:space="preserve"> Information on technology readiness levels can be found here: </w:t>
      </w:r>
      <w:hyperlink r:id="rId4" w:history="1">
        <w:r w:rsidRPr="000E3921">
          <w:rPr>
            <w:rStyle w:val="Hyperlink"/>
            <w:rFonts w:asciiTheme="minorHAnsi" w:hAnsiTheme="minorHAnsi" w:cstheme="minorHAnsi"/>
            <w:sz w:val="16"/>
            <w:szCs w:val="16"/>
          </w:rPr>
          <w:t>https://www.railengineer.co.uk/2019/04/09/rail-industry-readiness-levels-rirls-defined-and-explained/</w:t>
        </w:r>
      </w:hyperlink>
      <w:r w:rsidRPr="000E3921">
        <w:rPr>
          <w:rFonts w:asciiTheme="minorHAnsi" w:hAnsiTheme="minorHAnsi" w:cstheme="minorHAnsi"/>
          <w:sz w:val="16"/>
          <w:szCs w:val="16"/>
        </w:rPr>
        <w:t xml:space="preserve"> </w:t>
      </w:r>
    </w:p>
  </w:footnote>
  <w:footnote w:id="5">
    <w:p w14:paraId="7B453BED" w14:textId="006F4786" w:rsidR="009E0397" w:rsidRPr="00080E22" w:rsidRDefault="009E0397">
      <w:pPr>
        <w:pStyle w:val="FootnoteText"/>
        <w:rPr>
          <w:rFonts w:asciiTheme="minorHAnsi" w:hAnsiTheme="minorHAnsi"/>
        </w:rPr>
      </w:pPr>
      <w:r w:rsidRPr="00080E22">
        <w:rPr>
          <w:rStyle w:val="FootnoteReference"/>
          <w:rFonts w:asciiTheme="minorHAnsi" w:hAnsiTheme="minorHAnsi"/>
          <w:sz w:val="16"/>
          <w:szCs w:val="16"/>
        </w:rPr>
        <w:footnoteRef/>
      </w:r>
      <w:r w:rsidRPr="00080E22">
        <w:rPr>
          <w:rFonts w:asciiTheme="minorHAnsi" w:hAnsiTheme="minorHAnsi"/>
          <w:sz w:val="16"/>
          <w:szCs w:val="16"/>
        </w:rPr>
        <w:t xml:space="preserve"> COF-ADA should propose rules for automating reactionary delay attribution through the developed solution, which should include consultation and integrating feedback from the project steering group and DAB.  Undertaking the process to change delay attribution rules is out of scope.    </w:t>
      </w:r>
    </w:p>
  </w:footnote>
  <w:footnote w:id="6">
    <w:p w14:paraId="743A00D3" w14:textId="48DA559E" w:rsidR="009E0397" w:rsidRPr="00572120" w:rsidRDefault="009E0397">
      <w:pPr>
        <w:pStyle w:val="FootnoteText"/>
        <w:rPr>
          <w:rFonts w:asciiTheme="minorHAnsi" w:hAnsiTheme="minorHAnsi"/>
        </w:rPr>
      </w:pPr>
      <w:r w:rsidRPr="00572120">
        <w:rPr>
          <w:rStyle w:val="FootnoteReference"/>
          <w:rFonts w:asciiTheme="minorHAnsi" w:hAnsiTheme="minorHAnsi"/>
          <w:sz w:val="16"/>
          <w:szCs w:val="16"/>
        </w:rPr>
        <w:footnoteRef/>
      </w:r>
      <w:r w:rsidRPr="00572120">
        <w:rPr>
          <w:rFonts w:asciiTheme="minorHAnsi" w:hAnsiTheme="minorHAnsi"/>
          <w:sz w:val="16"/>
          <w:szCs w:val="16"/>
        </w:rPr>
        <w:t xml:space="preserve"> The </w:t>
      </w:r>
      <w:r>
        <w:rPr>
          <w:rFonts w:asciiTheme="minorHAnsi" w:hAnsiTheme="minorHAnsi"/>
          <w:sz w:val="16"/>
          <w:szCs w:val="16"/>
        </w:rPr>
        <w:t xml:space="preserve">developed </w:t>
      </w:r>
      <w:r w:rsidRPr="00572120">
        <w:rPr>
          <w:rFonts w:asciiTheme="minorHAnsi" w:hAnsiTheme="minorHAnsi"/>
          <w:sz w:val="16"/>
          <w:szCs w:val="16"/>
        </w:rPr>
        <w:t>solution will be restricted to RSSB members only on SPARK.</w:t>
      </w:r>
      <w:r>
        <w:rPr>
          <w:rFonts w:asciiTheme="minorHAnsi" w:hAnsiTheme="minorHAnsi"/>
          <w:sz w:val="16"/>
          <w:szCs w:val="16"/>
        </w:rPr>
        <w:t xml:space="preserve">  </w:t>
      </w:r>
    </w:p>
  </w:footnote>
  <w:footnote w:id="7">
    <w:p w14:paraId="54DF8BB2" w14:textId="23BF8C3D" w:rsidR="009E0397" w:rsidRPr="00DC0220" w:rsidRDefault="009E0397">
      <w:pPr>
        <w:pStyle w:val="FootnoteText"/>
        <w:rPr>
          <w:rFonts w:asciiTheme="minorHAnsi" w:hAnsiTheme="minorHAnsi"/>
        </w:rPr>
      </w:pPr>
      <w:r w:rsidRPr="00DC0220">
        <w:rPr>
          <w:rStyle w:val="FootnoteReference"/>
          <w:rFonts w:asciiTheme="minorHAnsi" w:hAnsiTheme="minorHAnsi"/>
          <w:sz w:val="16"/>
          <w:szCs w:val="16"/>
        </w:rPr>
        <w:footnoteRef/>
      </w:r>
      <w:r w:rsidRPr="00DC0220">
        <w:rPr>
          <w:rFonts w:asciiTheme="minorHAnsi" w:hAnsiTheme="minorHAnsi"/>
          <w:sz w:val="16"/>
          <w:szCs w:val="16"/>
        </w:rPr>
        <w:t xml:space="preserve"> </w:t>
      </w:r>
      <w:r>
        <w:rPr>
          <w:rFonts w:asciiTheme="minorHAnsi" w:hAnsiTheme="minorHAnsi"/>
          <w:sz w:val="16"/>
          <w:szCs w:val="16"/>
        </w:rPr>
        <w:t>U</w:t>
      </w:r>
      <w:r w:rsidRPr="00DC0220">
        <w:rPr>
          <w:rFonts w:asciiTheme="minorHAnsi" w:hAnsiTheme="minorHAnsi"/>
          <w:sz w:val="16"/>
          <w:szCs w:val="16"/>
        </w:rPr>
        <w:t>ndertaking staff training is out of scope, however.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34B8E" w14:textId="1CCFCCBD" w:rsidR="00F36078" w:rsidRDefault="00F36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A9FD" w14:textId="6AEE249B" w:rsidR="00F36078" w:rsidRDefault="00F36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7153" w14:textId="36CACAB8" w:rsidR="00F36078" w:rsidRDefault="00F36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55C50D0"/>
    <w:multiLevelType w:val="hybridMultilevel"/>
    <w:tmpl w:val="EB70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94BC4"/>
    <w:multiLevelType w:val="hybridMultilevel"/>
    <w:tmpl w:val="D060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0B40C8"/>
    <w:multiLevelType w:val="multilevel"/>
    <w:tmpl w:val="9642E97E"/>
    <w:lvl w:ilvl="0">
      <w:start w:val="1"/>
      <w:numFmt w:val="bullet"/>
      <w:lvlText w:val=""/>
      <w:lvlJc w:val="left"/>
      <w:pPr>
        <w:ind w:left="360" w:hanging="360"/>
      </w:pPr>
      <w:rPr>
        <w:rFonts w:ascii="Symbol" w:hAnsi="Symbol" w:hint="default"/>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6F44AB"/>
    <w:multiLevelType w:val="hybridMultilevel"/>
    <w:tmpl w:val="6C74F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24D4F"/>
    <w:multiLevelType w:val="multilevel"/>
    <w:tmpl w:val="9642E97E"/>
    <w:lvl w:ilvl="0">
      <w:start w:val="1"/>
      <w:numFmt w:val="bullet"/>
      <w:lvlText w:val=""/>
      <w:lvlJc w:val="left"/>
      <w:pPr>
        <w:ind w:left="360" w:hanging="360"/>
      </w:pPr>
      <w:rPr>
        <w:rFonts w:ascii="Symbol" w:hAnsi="Symbol" w:hint="default"/>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3E33E3"/>
    <w:multiLevelType w:val="hybridMultilevel"/>
    <w:tmpl w:val="6F6E3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C37944"/>
    <w:multiLevelType w:val="hybridMultilevel"/>
    <w:tmpl w:val="EFD6A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F839F3"/>
    <w:multiLevelType w:val="multilevel"/>
    <w:tmpl w:val="FCB075F8"/>
    <w:lvl w:ilvl="0">
      <w:start w:val="1"/>
      <w:numFmt w:val="lowerLetter"/>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1B4DA4"/>
    <w:multiLevelType w:val="hybridMultilevel"/>
    <w:tmpl w:val="B944F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179F4"/>
    <w:multiLevelType w:val="hybridMultilevel"/>
    <w:tmpl w:val="BADE5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2" w15:restartNumberingAfterBreak="0">
    <w:nsid w:val="2C044542"/>
    <w:multiLevelType w:val="hybridMultilevel"/>
    <w:tmpl w:val="E69683CA"/>
    <w:lvl w:ilvl="0" w:tplc="25AA66BE">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4322156"/>
    <w:multiLevelType w:val="hybridMultilevel"/>
    <w:tmpl w:val="0B6E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661F7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C72C33"/>
    <w:multiLevelType w:val="hybridMultilevel"/>
    <w:tmpl w:val="C58C2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136C68"/>
    <w:multiLevelType w:val="hybridMultilevel"/>
    <w:tmpl w:val="5BF8B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2"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9328D"/>
    <w:multiLevelType w:val="hybridMultilevel"/>
    <w:tmpl w:val="2864E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6" w15:restartNumberingAfterBreak="0">
    <w:nsid w:val="434905FF"/>
    <w:multiLevelType w:val="hybridMultilevel"/>
    <w:tmpl w:val="88804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327C30"/>
    <w:multiLevelType w:val="hybridMultilevel"/>
    <w:tmpl w:val="3F064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48C9112B"/>
    <w:multiLevelType w:val="hybridMultilevel"/>
    <w:tmpl w:val="6EBEF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8901B4"/>
    <w:multiLevelType w:val="hybridMultilevel"/>
    <w:tmpl w:val="9B7EDA98"/>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B304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58C2CFD"/>
    <w:multiLevelType w:val="hybridMultilevel"/>
    <w:tmpl w:val="4B50C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8806810"/>
    <w:multiLevelType w:val="hybridMultilevel"/>
    <w:tmpl w:val="FCA2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9293C3A"/>
    <w:multiLevelType w:val="multilevel"/>
    <w:tmpl w:val="83D4EAB6"/>
    <w:lvl w:ilvl="0">
      <w:start w:val="1"/>
      <w:numFmt w:val="lowerLetter"/>
      <w:lvlText w:val="%1)"/>
      <w:lvlJc w:val="left"/>
      <w:pPr>
        <w:ind w:left="360" w:hanging="360"/>
      </w:pPr>
      <w:rPr>
        <w:rFonts w:hint="default"/>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446F0C"/>
    <w:multiLevelType w:val="hybridMultilevel"/>
    <w:tmpl w:val="F0E06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6D30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65176B53"/>
    <w:multiLevelType w:val="hybridMultilevel"/>
    <w:tmpl w:val="11B237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54" w15:restartNumberingAfterBreak="0">
    <w:nsid w:val="6BB9726E"/>
    <w:multiLevelType w:val="multilevel"/>
    <w:tmpl w:val="EAF07DCC"/>
    <w:lvl w:ilvl="0">
      <w:numFmt w:val="decimal"/>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C24A1B"/>
    <w:multiLevelType w:val="hybridMultilevel"/>
    <w:tmpl w:val="7CB21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7" w15:restartNumberingAfterBreak="0">
    <w:nsid w:val="6FCD63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B8548A"/>
    <w:multiLevelType w:val="hybridMultilevel"/>
    <w:tmpl w:val="5BCAC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2"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24"/>
  </w:num>
  <w:num w:numId="3">
    <w:abstractNumId w:val="16"/>
  </w:num>
  <w:num w:numId="4">
    <w:abstractNumId w:val="34"/>
  </w:num>
  <w:num w:numId="5">
    <w:abstractNumId w:val="58"/>
  </w:num>
  <w:num w:numId="6">
    <w:abstractNumId w:val="0"/>
  </w:num>
  <w:num w:numId="7">
    <w:abstractNumId w:val="61"/>
  </w:num>
  <w:num w:numId="8">
    <w:abstractNumId w:val="56"/>
  </w:num>
  <w:num w:numId="9">
    <w:abstractNumId w:val="1"/>
  </w:num>
  <w:num w:numId="10">
    <w:abstractNumId w:val="35"/>
  </w:num>
  <w:num w:numId="11">
    <w:abstractNumId w:val="63"/>
  </w:num>
  <w:num w:numId="12">
    <w:abstractNumId w:val="3"/>
  </w:num>
  <w:num w:numId="13">
    <w:abstractNumId w:val="62"/>
  </w:num>
  <w:num w:numId="14">
    <w:abstractNumId w:val="45"/>
  </w:num>
  <w:num w:numId="15">
    <w:abstractNumId w:val="41"/>
  </w:num>
  <w:num w:numId="16">
    <w:abstractNumId w:val="5"/>
  </w:num>
  <w:num w:numId="17">
    <w:abstractNumId w:val="51"/>
  </w:num>
  <w:num w:numId="18">
    <w:abstractNumId w:val="8"/>
  </w:num>
  <w:num w:numId="19">
    <w:abstractNumId w:val="26"/>
  </w:num>
  <w:num w:numId="20">
    <w:abstractNumId w:val="29"/>
  </w:num>
  <w:num w:numId="21">
    <w:abstractNumId w:val="43"/>
  </w:num>
  <w:num w:numId="22">
    <w:abstractNumId w:val="31"/>
  </w:num>
  <w:num w:numId="23">
    <w:abstractNumId w:val="21"/>
  </w:num>
  <w:num w:numId="24">
    <w:abstractNumId w:val="39"/>
  </w:num>
  <w:num w:numId="25">
    <w:abstractNumId w:val="42"/>
  </w:num>
  <w:num w:numId="26">
    <w:abstractNumId w:val="13"/>
  </w:num>
  <w:num w:numId="27">
    <w:abstractNumId w:val="7"/>
  </w:num>
  <w:num w:numId="28">
    <w:abstractNumId w:val="23"/>
  </w:num>
  <w:num w:numId="29">
    <w:abstractNumId w:val="9"/>
  </w:num>
  <w:num w:numId="30">
    <w:abstractNumId w:val="59"/>
  </w:num>
  <w:num w:numId="31">
    <w:abstractNumId w:val="10"/>
  </w:num>
  <w:num w:numId="32">
    <w:abstractNumId w:val="52"/>
  </w:num>
  <w:num w:numId="33">
    <w:abstractNumId w:val="27"/>
  </w:num>
  <w:num w:numId="34">
    <w:abstractNumId w:val="33"/>
  </w:num>
  <w:num w:numId="35">
    <w:abstractNumId w:val="46"/>
  </w:num>
  <w:num w:numId="36">
    <w:abstractNumId w:val="57"/>
  </w:num>
  <w:num w:numId="37">
    <w:abstractNumId w:val="55"/>
  </w:num>
  <w:num w:numId="38">
    <w:abstractNumId w:val="28"/>
  </w:num>
  <w:num w:numId="39">
    <w:abstractNumId w:val="18"/>
  </w:num>
  <w:num w:numId="40">
    <w:abstractNumId w:val="14"/>
  </w:num>
  <w:num w:numId="41">
    <w:abstractNumId w:val="49"/>
  </w:num>
  <w:num w:numId="42">
    <w:abstractNumId w:val="30"/>
  </w:num>
  <w:num w:numId="43">
    <w:abstractNumId w:val="48"/>
  </w:num>
  <w:num w:numId="44">
    <w:abstractNumId w:val="50"/>
  </w:num>
  <w:num w:numId="45">
    <w:abstractNumId w:val="44"/>
  </w:num>
  <w:num w:numId="46">
    <w:abstractNumId w:val="6"/>
  </w:num>
  <w:num w:numId="47">
    <w:abstractNumId w:val="19"/>
  </w:num>
  <w:num w:numId="48">
    <w:abstractNumId w:val="17"/>
  </w:num>
  <w:num w:numId="49">
    <w:abstractNumId w:val="47"/>
  </w:num>
  <w:num w:numId="50">
    <w:abstractNumId w:val="12"/>
  </w:num>
  <w:num w:numId="51">
    <w:abstractNumId w:val="32"/>
  </w:num>
  <w:num w:numId="52">
    <w:abstractNumId w:val="54"/>
  </w:num>
  <w:num w:numId="53">
    <w:abstractNumId w:val="53"/>
  </w:num>
  <w:num w:numId="54">
    <w:abstractNumId w:val="20"/>
  </w:num>
  <w:num w:numId="55">
    <w:abstractNumId w:val="15"/>
  </w:num>
  <w:num w:numId="56">
    <w:abstractNumId w:val="36"/>
  </w:num>
  <w:num w:numId="57">
    <w:abstractNumId w:val="38"/>
  </w:num>
  <w:num w:numId="58">
    <w:abstractNumId w:val="4"/>
  </w:num>
  <w:num w:numId="59">
    <w:abstractNumId w:val="40"/>
  </w:num>
  <w:num w:numId="60">
    <w:abstractNumId w:val="37"/>
  </w:num>
  <w:num w:numId="61">
    <w:abstractNumId w:val="22"/>
  </w:num>
  <w:num w:numId="62">
    <w:abstractNumId w:val="25"/>
  </w:num>
  <w:num w:numId="63">
    <w:abstractNumId w:val="60"/>
  </w:num>
  <w:num w:numId="6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AB4"/>
    <w:rsid w:val="00004E67"/>
    <w:rsid w:val="00005F35"/>
    <w:rsid w:val="000161E6"/>
    <w:rsid w:val="00016785"/>
    <w:rsid w:val="00020859"/>
    <w:rsid w:val="0002231C"/>
    <w:rsid w:val="00023C66"/>
    <w:rsid w:val="00023DDF"/>
    <w:rsid w:val="00027D88"/>
    <w:rsid w:val="00031959"/>
    <w:rsid w:val="00032803"/>
    <w:rsid w:val="000345A2"/>
    <w:rsid w:val="00036305"/>
    <w:rsid w:val="0003785D"/>
    <w:rsid w:val="00040064"/>
    <w:rsid w:val="00040660"/>
    <w:rsid w:val="00042BB8"/>
    <w:rsid w:val="00050D31"/>
    <w:rsid w:val="0005122A"/>
    <w:rsid w:val="000535A7"/>
    <w:rsid w:val="000545C4"/>
    <w:rsid w:val="00055E7F"/>
    <w:rsid w:val="00057B5C"/>
    <w:rsid w:val="00062711"/>
    <w:rsid w:val="00064BD0"/>
    <w:rsid w:val="00065405"/>
    <w:rsid w:val="00067A43"/>
    <w:rsid w:val="00071DDB"/>
    <w:rsid w:val="00073708"/>
    <w:rsid w:val="00073BF3"/>
    <w:rsid w:val="00077D42"/>
    <w:rsid w:val="00080E22"/>
    <w:rsid w:val="000911E9"/>
    <w:rsid w:val="00091DF7"/>
    <w:rsid w:val="000929D5"/>
    <w:rsid w:val="00092B31"/>
    <w:rsid w:val="00095757"/>
    <w:rsid w:val="00095A03"/>
    <w:rsid w:val="00096479"/>
    <w:rsid w:val="000A04BD"/>
    <w:rsid w:val="000A3709"/>
    <w:rsid w:val="000A5057"/>
    <w:rsid w:val="000A7430"/>
    <w:rsid w:val="000B3445"/>
    <w:rsid w:val="000B397F"/>
    <w:rsid w:val="000B6F82"/>
    <w:rsid w:val="000C1BD3"/>
    <w:rsid w:val="000C5475"/>
    <w:rsid w:val="000C653A"/>
    <w:rsid w:val="000D03FD"/>
    <w:rsid w:val="000D1938"/>
    <w:rsid w:val="000D29A2"/>
    <w:rsid w:val="000D3F24"/>
    <w:rsid w:val="000D7E0F"/>
    <w:rsid w:val="000E1B11"/>
    <w:rsid w:val="000E3921"/>
    <w:rsid w:val="000E5223"/>
    <w:rsid w:val="000F2FD1"/>
    <w:rsid w:val="000F3413"/>
    <w:rsid w:val="000F4C25"/>
    <w:rsid w:val="001007D1"/>
    <w:rsid w:val="00100BAD"/>
    <w:rsid w:val="00103FDD"/>
    <w:rsid w:val="00105AA8"/>
    <w:rsid w:val="001145A1"/>
    <w:rsid w:val="00114D12"/>
    <w:rsid w:val="00116A88"/>
    <w:rsid w:val="0012128F"/>
    <w:rsid w:val="001217F7"/>
    <w:rsid w:val="00122840"/>
    <w:rsid w:val="00130F63"/>
    <w:rsid w:val="0013478B"/>
    <w:rsid w:val="00134A7B"/>
    <w:rsid w:val="0013560C"/>
    <w:rsid w:val="0014075C"/>
    <w:rsid w:val="00142A33"/>
    <w:rsid w:val="00142B68"/>
    <w:rsid w:val="00152783"/>
    <w:rsid w:val="00152787"/>
    <w:rsid w:val="00154CD4"/>
    <w:rsid w:val="00163BA1"/>
    <w:rsid w:val="001640EB"/>
    <w:rsid w:val="00167865"/>
    <w:rsid w:val="0017053B"/>
    <w:rsid w:val="0017283E"/>
    <w:rsid w:val="00173170"/>
    <w:rsid w:val="0017388C"/>
    <w:rsid w:val="00176DDD"/>
    <w:rsid w:val="00177EC5"/>
    <w:rsid w:val="001802BE"/>
    <w:rsid w:val="00180DB2"/>
    <w:rsid w:val="00182FF6"/>
    <w:rsid w:val="00184B6D"/>
    <w:rsid w:val="001851C3"/>
    <w:rsid w:val="00191D59"/>
    <w:rsid w:val="00197D47"/>
    <w:rsid w:val="001A21FB"/>
    <w:rsid w:val="001B0608"/>
    <w:rsid w:val="001B1224"/>
    <w:rsid w:val="001B12F7"/>
    <w:rsid w:val="001B2E89"/>
    <w:rsid w:val="001B367C"/>
    <w:rsid w:val="001B428D"/>
    <w:rsid w:val="001B4560"/>
    <w:rsid w:val="001B78A2"/>
    <w:rsid w:val="001B7C1B"/>
    <w:rsid w:val="001C2122"/>
    <w:rsid w:val="001C4B6E"/>
    <w:rsid w:val="001D3EF0"/>
    <w:rsid w:val="001D4B6F"/>
    <w:rsid w:val="001D775D"/>
    <w:rsid w:val="001E146A"/>
    <w:rsid w:val="001E1B9F"/>
    <w:rsid w:val="001E3419"/>
    <w:rsid w:val="001E38A6"/>
    <w:rsid w:val="001E52E2"/>
    <w:rsid w:val="001E604B"/>
    <w:rsid w:val="001E6E1E"/>
    <w:rsid w:val="001E7B04"/>
    <w:rsid w:val="001F22B3"/>
    <w:rsid w:val="001F2882"/>
    <w:rsid w:val="001F5925"/>
    <w:rsid w:val="001F5B89"/>
    <w:rsid w:val="001F6223"/>
    <w:rsid w:val="001F7840"/>
    <w:rsid w:val="002026D1"/>
    <w:rsid w:val="0020300A"/>
    <w:rsid w:val="00204A1B"/>
    <w:rsid w:val="00207354"/>
    <w:rsid w:val="0021088A"/>
    <w:rsid w:val="002123E6"/>
    <w:rsid w:val="00222D2F"/>
    <w:rsid w:val="00222F75"/>
    <w:rsid w:val="00226D81"/>
    <w:rsid w:val="00231A16"/>
    <w:rsid w:val="002333DF"/>
    <w:rsid w:val="002345D7"/>
    <w:rsid w:val="00237F39"/>
    <w:rsid w:val="002401A8"/>
    <w:rsid w:val="002402CB"/>
    <w:rsid w:val="00241B1C"/>
    <w:rsid w:val="00243B34"/>
    <w:rsid w:val="00246B2F"/>
    <w:rsid w:val="00247F4F"/>
    <w:rsid w:val="00255F2B"/>
    <w:rsid w:val="002569DA"/>
    <w:rsid w:val="00256D9D"/>
    <w:rsid w:val="00257F28"/>
    <w:rsid w:val="002628DD"/>
    <w:rsid w:val="00267C6F"/>
    <w:rsid w:val="00267F2D"/>
    <w:rsid w:val="00271D1D"/>
    <w:rsid w:val="00275AEF"/>
    <w:rsid w:val="0028713F"/>
    <w:rsid w:val="00290D4D"/>
    <w:rsid w:val="002912E1"/>
    <w:rsid w:val="002A2A92"/>
    <w:rsid w:val="002A427C"/>
    <w:rsid w:val="002A4FD2"/>
    <w:rsid w:val="002A6750"/>
    <w:rsid w:val="002A7F4D"/>
    <w:rsid w:val="002B1A30"/>
    <w:rsid w:val="002B28E4"/>
    <w:rsid w:val="002B545D"/>
    <w:rsid w:val="002B7A89"/>
    <w:rsid w:val="002C3A20"/>
    <w:rsid w:val="002C5C7E"/>
    <w:rsid w:val="002C7A2C"/>
    <w:rsid w:val="002D2271"/>
    <w:rsid w:val="002D2E9C"/>
    <w:rsid w:val="002D2FA7"/>
    <w:rsid w:val="002D477C"/>
    <w:rsid w:val="002D4E08"/>
    <w:rsid w:val="002D5FF4"/>
    <w:rsid w:val="002E12EF"/>
    <w:rsid w:val="002E1E8B"/>
    <w:rsid w:val="002E2F7E"/>
    <w:rsid w:val="002E5223"/>
    <w:rsid w:val="002E6399"/>
    <w:rsid w:val="002F1285"/>
    <w:rsid w:val="002F1FAC"/>
    <w:rsid w:val="002F2093"/>
    <w:rsid w:val="002F6C04"/>
    <w:rsid w:val="00301677"/>
    <w:rsid w:val="0030238E"/>
    <w:rsid w:val="003030E2"/>
    <w:rsid w:val="00307AB8"/>
    <w:rsid w:val="00311017"/>
    <w:rsid w:val="003112E3"/>
    <w:rsid w:val="00314B11"/>
    <w:rsid w:val="0031591E"/>
    <w:rsid w:val="00315B74"/>
    <w:rsid w:val="00321152"/>
    <w:rsid w:val="00323074"/>
    <w:rsid w:val="00324A79"/>
    <w:rsid w:val="00326011"/>
    <w:rsid w:val="00326CC6"/>
    <w:rsid w:val="00326D86"/>
    <w:rsid w:val="00330696"/>
    <w:rsid w:val="00332581"/>
    <w:rsid w:val="00334BFE"/>
    <w:rsid w:val="00341334"/>
    <w:rsid w:val="00342762"/>
    <w:rsid w:val="00346A9F"/>
    <w:rsid w:val="00353C55"/>
    <w:rsid w:val="0035434B"/>
    <w:rsid w:val="0035436B"/>
    <w:rsid w:val="00354B41"/>
    <w:rsid w:val="003577D4"/>
    <w:rsid w:val="00360B24"/>
    <w:rsid w:val="00361A1B"/>
    <w:rsid w:val="0036424F"/>
    <w:rsid w:val="00370B83"/>
    <w:rsid w:val="003737DF"/>
    <w:rsid w:val="00380F5A"/>
    <w:rsid w:val="003815D0"/>
    <w:rsid w:val="00385D51"/>
    <w:rsid w:val="0039120C"/>
    <w:rsid w:val="00392D19"/>
    <w:rsid w:val="00395222"/>
    <w:rsid w:val="003966C4"/>
    <w:rsid w:val="00396BCF"/>
    <w:rsid w:val="00397AA2"/>
    <w:rsid w:val="003A07B0"/>
    <w:rsid w:val="003A3C81"/>
    <w:rsid w:val="003A4015"/>
    <w:rsid w:val="003A4AFA"/>
    <w:rsid w:val="003A63C9"/>
    <w:rsid w:val="003B01F9"/>
    <w:rsid w:val="003B05EF"/>
    <w:rsid w:val="003B1BB4"/>
    <w:rsid w:val="003B216D"/>
    <w:rsid w:val="003B662E"/>
    <w:rsid w:val="003B7CED"/>
    <w:rsid w:val="003C1431"/>
    <w:rsid w:val="003D4160"/>
    <w:rsid w:val="003D45F2"/>
    <w:rsid w:val="003D4D85"/>
    <w:rsid w:val="003D6E9C"/>
    <w:rsid w:val="003D77DC"/>
    <w:rsid w:val="003D79D2"/>
    <w:rsid w:val="003E1D79"/>
    <w:rsid w:val="003E20EF"/>
    <w:rsid w:val="003E26D7"/>
    <w:rsid w:val="003E3F2A"/>
    <w:rsid w:val="003E425C"/>
    <w:rsid w:val="003E4867"/>
    <w:rsid w:val="003E60E0"/>
    <w:rsid w:val="003E6342"/>
    <w:rsid w:val="003F0294"/>
    <w:rsid w:val="003F076B"/>
    <w:rsid w:val="003F1B1B"/>
    <w:rsid w:val="003F4A30"/>
    <w:rsid w:val="003F524A"/>
    <w:rsid w:val="003F6FCA"/>
    <w:rsid w:val="003F7A99"/>
    <w:rsid w:val="00400488"/>
    <w:rsid w:val="00402B26"/>
    <w:rsid w:val="00403E77"/>
    <w:rsid w:val="00403FD0"/>
    <w:rsid w:val="004045D0"/>
    <w:rsid w:val="00404A2D"/>
    <w:rsid w:val="00410F07"/>
    <w:rsid w:val="004111B6"/>
    <w:rsid w:val="00411E8E"/>
    <w:rsid w:val="0041419B"/>
    <w:rsid w:val="004161CA"/>
    <w:rsid w:val="004163CF"/>
    <w:rsid w:val="00416982"/>
    <w:rsid w:val="00417B7B"/>
    <w:rsid w:val="0042251D"/>
    <w:rsid w:val="004236BB"/>
    <w:rsid w:val="00425161"/>
    <w:rsid w:val="004264C0"/>
    <w:rsid w:val="00427D02"/>
    <w:rsid w:val="004306CA"/>
    <w:rsid w:val="0043477C"/>
    <w:rsid w:val="00434C39"/>
    <w:rsid w:val="004413B0"/>
    <w:rsid w:val="00441ECD"/>
    <w:rsid w:val="00442865"/>
    <w:rsid w:val="00443FAF"/>
    <w:rsid w:val="0044412F"/>
    <w:rsid w:val="00444959"/>
    <w:rsid w:val="00446335"/>
    <w:rsid w:val="004500F8"/>
    <w:rsid w:val="004509E9"/>
    <w:rsid w:val="00455E6B"/>
    <w:rsid w:val="0045692B"/>
    <w:rsid w:val="004625AC"/>
    <w:rsid w:val="00462C6B"/>
    <w:rsid w:val="00463B4A"/>
    <w:rsid w:val="00463DCC"/>
    <w:rsid w:val="004664D7"/>
    <w:rsid w:val="004666E1"/>
    <w:rsid w:val="00467B78"/>
    <w:rsid w:val="00467B7E"/>
    <w:rsid w:val="004750B8"/>
    <w:rsid w:val="00481106"/>
    <w:rsid w:val="0048171A"/>
    <w:rsid w:val="00482299"/>
    <w:rsid w:val="0048358F"/>
    <w:rsid w:val="00483C4B"/>
    <w:rsid w:val="00494CC7"/>
    <w:rsid w:val="004A0C64"/>
    <w:rsid w:val="004A111C"/>
    <w:rsid w:val="004A1675"/>
    <w:rsid w:val="004A1FF9"/>
    <w:rsid w:val="004A3787"/>
    <w:rsid w:val="004A4181"/>
    <w:rsid w:val="004A7544"/>
    <w:rsid w:val="004B3208"/>
    <w:rsid w:val="004B5C20"/>
    <w:rsid w:val="004C12C6"/>
    <w:rsid w:val="004C1A4E"/>
    <w:rsid w:val="004C4608"/>
    <w:rsid w:val="004C59B1"/>
    <w:rsid w:val="004C5BAF"/>
    <w:rsid w:val="004D06B4"/>
    <w:rsid w:val="004D1829"/>
    <w:rsid w:val="004D2368"/>
    <w:rsid w:val="004D2FCE"/>
    <w:rsid w:val="004D31C9"/>
    <w:rsid w:val="004D3497"/>
    <w:rsid w:val="004D7273"/>
    <w:rsid w:val="004E5CB1"/>
    <w:rsid w:val="004E658A"/>
    <w:rsid w:val="004E6C22"/>
    <w:rsid w:val="004E7128"/>
    <w:rsid w:val="004F0353"/>
    <w:rsid w:val="004F635E"/>
    <w:rsid w:val="004F6564"/>
    <w:rsid w:val="00503098"/>
    <w:rsid w:val="005047AB"/>
    <w:rsid w:val="0050724D"/>
    <w:rsid w:val="0050796B"/>
    <w:rsid w:val="005150E3"/>
    <w:rsid w:val="005156AD"/>
    <w:rsid w:val="00515E6D"/>
    <w:rsid w:val="00516C06"/>
    <w:rsid w:val="005170FA"/>
    <w:rsid w:val="0051745B"/>
    <w:rsid w:val="00521FD3"/>
    <w:rsid w:val="00523E0C"/>
    <w:rsid w:val="0052436A"/>
    <w:rsid w:val="0052646E"/>
    <w:rsid w:val="005302A4"/>
    <w:rsid w:val="00532FAF"/>
    <w:rsid w:val="00535C6B"/>
    <w:rsid w:val="005373BC"/>
    <w:rsid w:val="0054035A"/>
    <w:rsid w:val="00544785"/>
    <w:rsid w:val="00544FE5"/>
    <w:rsid w:val="00546361"/>
    <w:rsid w:val="00547F63"/>
    <w:rsid w:val="00552852"/>
    <w:rsid w:val="00553060"/>
    <w:rsid w:val="005577A1"/>
    <w:rsid w:val="00560914"/>
    <w:rsid w:val="005636AE"/>
    <w:rsid w:val="00565059"/>
    <w:rsid w:val="00570B83"/>
    <w:rsid w:val="00572120"/>
    <w:rsid w:val="0057352C"/>
    <w:rsid w:val="005751D8"/>
    <w:rsid w:val="00576B14"/>
    <w:rsid w:val="00577801"/>
    <w:rsid w:val="00582678"/>
    <w:rsid w:val="00582A2C"/>
    <w:rsid w:val="00583EDD"/>
    <w:rsid w:val="005859F2"/>
    <w:rsid w:val="00585CFB"/>
    <w:rsid w:val="00585D12"/>
    <w:rsid w:val="00586A7A"/>
    <w:rsid w:val="0058708B"/>
    <w:rsid w:val="00587B6D"/>
    <w:rsid w:val="00587CCB"/>
    <w:rsid w:val="00587FD9"/>
    <w:rsid w:val="005920CD"/>
    <w:rsid w:val="00592C7C"/>
    <w:rsid w:val="005972C7"/>
    <w:rsid w:val="005A0CC7"/>
    <w:rsid w:val="005A3995"/>
    <w:rsid w:val="005A39F8"/>
    <w:rsid w:val="005A798E"/>
    <w:rsid w:val="005B076C"/>
    <w:rsid w:val="005B0E60"/>
    <w:rsid w:val="005C1DDB"/>
    <w:rsid w:val="005C2665"/>
    <w:rsid w:val="005C2904"/>
    <w:rsid w:val="005C62D0"/>
    <w:rsid w:val="005C67EF"/>
    <w:rsid w:val="005D263C"/>
    <w:rsid w:val="005D644D"/>
    <w:rsid w:val="005E0E5F"/>
    <w:rsid w:val="005E0FA3"/>
    <w:rsid w:val="005E360C"/>
    <w:rsid w:val="005E4B66"/>
    <w:rsid w:val="005E6B5A"/>
    <w:rsid w:val="005E7A71"/>
    <w:rsid w:val="005F1D65"/>
    <w:rsid w:val="005F41FA"/>
    <w:rsid w:val="005F4D9A"/>
    <w:rsid w:val="005F5FD4"/>
    <w:rsid w:val="005F6FBC"/>
    <w:rsid w:val="00600713"/>
    <w:rsid w:val="006007BE"/>
    <w:rsid w:val="006031A4"/>
    <w:rsid w:val="00606213"/>
    <w:rsid w:val="00610885"/>
    <w:rsid w:val="00610B0B"/>
    <w:rsid w:val="00611919"/>
    <w:rsid w:val="0061191F"/>
    <w:rsid w:val="0061700C"/>
    <w:rsid w:val="006207AB"/>
    <w:rsid w:val="00620FA0"/>
    <w:rsid w:val="0062110D"/>
    <w:rsid w:val="00622787"/>
    <w:rsid w:val="00622A78"/>
    <w:rsid w:val="0062610B"/>
    <w:rsid w:val="00630245"/>
    <w:rsid w:val="00635AE9"/>
    <w:rsid w:val="00635B97"/>
    <w:rsid w:val="0063719E"/>
    <w:rsid w:val="0064070E"/>
    <w:rsid w:val="00640A11"/>
    <w:rsid w:val="00641FE6"/>
    <w:rsid w:val="0064370B"/>
    <w:rsid w:val="006520E9"/>
    <w:rsid w:val="0065477A"/>
    <w:rsid w:val="00656EBA"/>
    <w:rsid w:val="006578C7"/>
    <w:rsid w:val="006645FA"/>
    <w:rsid w:val="006719F2"/>
    <w:rsid w:val="00674166"/>
    <w:rsid w:val="006750CF"/>
    <w:rsid w:val="00677B4C"/>
    <w:rsid w:val="0068523D"/>
    <w:rsid w:val="006858A7"/>
    <w:rsid w:val="0068622C"/>
    <w:rsid w:val="00687527"/>
    <w:rsid w:val="006879E5"/>
    <w:rsid w:val="0069072A"/>
    <w:rsid w:val="00694131"/>
    <w:rsid w:val="0069657D"/>
    <w:rsid w:val="00696D1C"/>
    <w:rsid w:val="006A15C4"/>
    <w:rsid w:val="006A2A93"/>
    <w:rsid w:val="006A5F95"/>
    <w:rsid w:val="006B0D09"/>
    <w:rsid w:val="006B7269"/>
    <w:rsid w:val="006C1BA3"/>
    <w:rsid w:val="006C2F7C"/>
    <w:rsid w:val="006C3A9E"/>
    <w:rsid w:val="006C56F1"/>
    <w:rsid w:val="006D0CF8"/>
    <w:rsid w:val="006D4A18"/>
    <w:rsid w:val="006D5004"/>
    <w:rsid w:val="006D5304"/>
    <w:rsid w:val="006E2708"/>
    <w:rsid w:val="006E348E"/>
    <w:rsid w:val="006E59D3"/>
    <w:rsid w:val="006E69B3"/>
    <w:rsid w:val="006E746E"/>
    <w:rsid w:val="006E7F8F"/>
    <w:rsid w:val="006F65EB"/>
    <w:rsid w:val="006F7521"/>
    <w:rsid w:val="0070097E"/>
    <w:rsid w:val="00704B0A"/>
    <w:rsid w:val="00706259"/>
    <w:rsid w:val="007070D1"/>
    <w:rsid w:val="0071454E"/>
    <w:rsid w:val="00714819"/>
    <w:rsid w:val="0071601A"/>
    <w:rsid w:val="007167B6"/>
    <w:rsid w:val="00720811"/>
    <w:rsid w:val="007279F4"/>
    <w:rsid w:val="00727F38"/>
    <w:rsid w:val="00733A32"/>
    <w:rsid w:val="00734F74"/>
    <w:rsid w:val="007350A2"/>
    <w:rsid w:val="007350C9"/>
    <w:rsid w:val="0074071F"/>
    <w:rsid w:val="00740722"/>
    <w:rsid w:val="00741332"/>
    <w:rsid w:val="007419E2"/>
    <w:rsid w:val="00742F2A"/>
    <w:rsid w:val="0074315D"/>
    <w:rsid w:val="007458AB"/>
    <w:rsid w:val="00746A23"/>
    <w:rsid w:val="00746C68"/>
    <w:rsid w:val="00747F2F"/>
    <w:rsid w:val="007501A1"/>
    <w:rsid w:val="00750268"/>
    <w:rsid w:val="00750CAE"/>
    <w:rsid w:val="007511AE"/>
    <w:rsid w:val="007531C3"/>
    <w:rsid w:val="007536DC"/>
    <w:rsid w:val="0075464C"/>
    <w:rsid w:val="00756A51"/>
    <w:rsid w:val="0075783D"/>
    <w:rsid w:val="007632CC"/>
    <w:rsid w:val="00763F4D"/>
    <w:rsid w:val="00764AE5"/>
    <w:rsid w:val="00765FD3"/>
    <w:rsid w:val="00771B12"/>
    <w:rsid w:val="0077663C"/>
    <w:rsid w:val="00781D36"/>
    <w:rsid w:val="00784994"/>
    <w:rsid w:val="007866E2"/>
    <w:rsid w:val="00786AC9"/>
    <w:rsid w:val="00786BEE"/>
    <w:rsid w:val="00795FEF"/>
    <w:rsid w:val="0079747F"/>
    <w:rsid w:val="007A01D3"/>
    <w:rsid w:val="007A6DDC"/>
    <w:rsid w:val="007A7336"/>
    <w:rsid w:val="007B096E"/>
    <w:rsid w:val="007B19BD"/>
    <w:rsid w:val="007B4813"/>
    <w:rsid w:val="007B54B4"/>
    <w:rsid w:val="007B6028"/>
    <w:rsid w:val="007B75B4"/>
    <w:rsid w:val="007B7955"/>
    <w:rsid w:val="007B7CAE"/>
    <w:rsid w:val="007C5EF0"/>
    <w:rsid w:val="007C61C6"/>
    <w:rsid w:val="007C6D8B"/>
    <w:rsid w:val="007D0976"/>
    <w:rsid w:val="007D21C3"/>
    <w:rsid w:val="007D6211"/>
    <w:rsid w:val="007D658E"/>
    <w:rsid w:val="007D7BC6"/>
    <w:rsid w:val="007E0C97"/>
    <w:rsid w:val="007E3609"/>
    <w:rsid w:val="007E54C1"/>
    <w:rsid w:val="007E65B6"/>
    <w:rsid w:val="007F346A"/>
    <w:rsid w:val="007F4A8B"/>
    <w:rsid w:val="007F4C6A"/>
    <w:rsid w:val="00804034"/>
    <w:rsid w:val="00811ACE"/>
    <w:rsid w:val="00811C66"/>
    <w:rsid w:val="0081415C"/>
    <w:rsid w:val="008148E7"/>
    <w:rsid w:val="00815061"/>
    <w:rsid w:val="00823507"/>
    <w:rsid w:val="00823C59"/>
    <w:rsid w:val="00824116"/>
    <w:rsid w:val="00826AC3"/>
    <w:rsid w:val="008310C6"/>
    <w:rsid w:val="0083230F"/>
    <w:rsid w:val="008377CB"/>
    <w:rsid w:val="00837C49"/>
    <w:rsid w:val="008426D9"/>
    <w:rsid w:val="00843B88"/>
    <w:rsid w:val="00845F71"/>
    <w:rsid w:val="00847818"/>
    <w:rsid w:val="00852708"/>
    <w:rsid w:val="00852A7E"/>
    <w:rsid w:val="00853AFA"/>
    <w:rsid w:val="0085447B"/>
    <w:rsid w:val="008553D5"/>
    <w:rsid w:val="008560C6"/>
    <w:rsid w:val="00856404"/>
    <w:rsid w:val="008570C6"/>
    <w:rsid w:val="00862BEA"/>
    <w:rsid w:val="00863A2B"/>
    <w:rsid w:val="00864231"/>
    <w:rsid w:val="00866DAA"/>
    <w:rsid w:val="00867017"/>
    <w:rsid w:val="0087163A"/>
    <w:rsid w:val="00871A76"/>
    <w:rsid w:val="00872002"/>
    <w:rsid w:val="00873771"/>
    <w:rsid w:val="00874EEF"/>
    <w:rsid w:val="00875261"/>
    <w:rsid w:val="008801B3"/>
    <w:rsid w:val="00886909"/>
    <w:rsid w:val="00887F23"/>
    <w:rsid w:val="00893112"/>
    <w:rsid w:val="00896506"/>
    <w:rsid w:val="008972BA"/>
    <w:rsid w:val="00897362"/>
    <w:rsid w:val="008A09CC"/>
    <w:rsid w:val="008A1954"/>
    <w:rsid w:val="008A23CD"/>
    <w:rsid w:val="008A252F"/>
    <w:rsid w:val="008A3684"/>
    <w:rsid w:val="008A46D0"/>
    <w:rsid w:val="008A4801"/>
    <w:rsid w:val="008A5735"/>
    <w:rsid w:val="008A7B92"/>
    <w:rsid w:val="008A7DE9"/>
    <w:rsid w:val="008B027D"/>
    <w:rsid w:val="008B084E"/>
    <w:rsid w:val="008B250E"/>
    <w:rsid w:val="008B389E"/>
    <w:rsid w:val="008B475D"/>
    <w:rsid w:val="008B57D9"/>
    <w:rsid w:val="008B68BF"/>
    <w:rsid w:val="008B696F"/>
    <w:rsid w:val="008B6D09"/>
    <w:rsid w:val="008C0D85"/>
    <w:rsid w:val="008C0F62"/>
    <w:rsid w:val="008C0F69"/>
    <w:rsid w:val="008D088D"/>
    <w:rsid w:val="008D36B9"/>
    <w:rsid w:val="008D4416"/>
    <w:rsid w:val="008D510A"/>
    <w:rsid w:val="008E0B09"/>
    <w:rsid w:val="008E2122"/>
    <w:rsid w:val="008E2293"/>
    <w:rsid w:val="008E3DE2"/>
    <w:rsid w:val="008E67D6"/>
    <w:rsid w:val="008E6DEA"/>
    <w:rsid w:val="008F04B0"/>
    <w:rsid w:val="008F1F77"/>
    <w:rsid w:val="008F302F"/>
    <w:rsid w:val="00900213"/>
    <w:rsid w:val="00903D09"/>
    <w:rsid w:val="009056AB"/>
    <w:rsid w:val="00906A75"/>
    <w:rsid w:val="0090746B"/>
    <w:rsid w:val="00907ABB"/>
    <w:rsid w:val="009108EF"/>
    <w:rsid w:val="0091375D"/>
    <w:rsid w:val="0091569D"/>
    <w:rsid w:val="00916E86"/>
    <w:rsid w:val="00923B5C"/>
    <w:rsid w:val="00924428"/>
    <w:rsid w:val="00926520"/>
    <w:rsid w:val="00927AD4"/>
    <w:rsid w:val="00931E25"/>
    <w:rsid w:val="00933E15"/>
    <w:rsid w:val="009439EB"/>
    <w:rsid w:val="00947106"/>
    <w:rsid w:val="009474F1"/>
    <w:rsid w:val="0095074C"/>
    <w:rsid w:val="00952118"/>
    <w:rsid w:val="0095236B"/>
    <w:rsid w:val="00961B2A"/>
    <w:rsid w:val="00962450"/>
    <w:rsid w:val="009628D3"/>
    <w:rsid w:val="009632BF"/>
    <w:rsid w:val="0096442A"/>
    <w:rsid w:val="00964952"/>
    <w:rsid w:val="00965E00"/>
    <w:rsid w:val="00967B84"/>
    <w:rsid w:val="00971DFA"/>
    <w:rsid w:val="00977A0A"/>
    <w:rsid w:val="009805FC"/>
    <w:rsid w:val="009809A8"/>
    <w:rsid w:val="00980E6B"/>
    <w:rsid w:val="009820DB"/>
    <w:rsid w:val="00982B67"/>
    <w:rsid w:val="009844D9"/>
    <w:rsid w:val="00990DE7"/>
    <w:rsid w:val="00993A8A"/>
    <w:rsid w:val="009943F9"/>
    <w:rsid w:val="00995B11"/>
    <w:rsid w:val="009963C6"/>
    <w:rsid w:val="00997AB6"/>
    <w:rsid w:val="009A0329"/>
    <w:rsid w:val="009A43CE"/>
    <w:rsid w:val="009A669C"/>
    <w:rsid w:val="009B0375"/>
    <w:rsid w:val="009B21F8"/>
    <w:rsid w:val="009B6B89"/>
    <w:rsid w:val="009C55B0"/>
    <w:rsid w:val="009C66F7"/>
    <w:rsid w:val="009C7BE1"/>
    <w:rsid w:val="009D033D"/>
    <w:rsid w:val="009D19CA"/>
    <w:rsid w:val="009D27A8"/>
    <w:rsid w:val="009D299B"/>
    <w:rsid w:val="009D3F65"/>
    <w:rsid w:val="009D444C"/>
    <w:rsid w:val="009E0397"/>
    <w:rsid w:val="009E1F97"/>
    <w:rsid w:val="009E497E"/>
    <w:rsid w:val="009E5BF2"/>
    <w:rsid w:val="009E6D0A"/>
    <w:rsid w:val="009F0474"/>
    <w:rsid w:val="009F1720"/>
    <w:rsid w:val="009F6B31"/>
    <w:rsid w:val="009F72C4"/>
    <w:rsid w:val="00A02185"/>
    <w:rsid w:val="00A0736A"/>
    <w:rsid w:val="00A12089"/>
    <w:rsid w:val="00A121C4"/>
    <w:rsid w:val="00A13962"/>
    <w:rsid w:val="00A15044"/>
    <w:rsid w:val="00A20453"/>
    <w:rsid w:val="00A27B41"/>
    <w:rsid w:val="00A30F94"/>
    <w:rsid w:val="00A30FC4"/>
    <w:rsid w:val="00A32E86"/>
    <w:rsid w:val="00A36567"/>
    <w:rsid w:val="00A37245"/>
    <w:rsid w:val="00A43021"/>
    <w:rsid w:val="00A51996"/>
    <w:rsid w:val="00A55716"/>
    <w:rsid w:val="00A571D4"/>
    <w:rsid w:val="00A608DB"/>
    <w:rsid w:val="00A60AA4"/>
    <w:rsid w:val="00A6310B"/>
    <w:rsid w:val="00A65D6E"/>
    <w:rsid w:val="00A661A7"/>
    <w:rsid w:val="00A67F2B"/>
    <w:rsid w:val="00A71245"/>
    <w:rsid w:val="00A72A3C"/>
    <w:rsid w:val="00A760DC"/>
    <w:rsid w:val="00A76A3F"/>
    <w:rsid w:val="00A80DB7"/>
    <w:rsid w:val="00A81B3B"/>
    <w:rsid w:val="00A81B84"/>
    <w:rsid w:val="00A83C62"/>
    <w:rsid w:val="00A84106"/>
    <w:rsid w:val="00A85B19"/>
    <w:rsid w:val="00A91D84"/>
    <w:rsid w:val="00A92A2B"/>
    <w:rsid w:val="00A931A4"/>
    <w:rsid w:val="00A966ED"/>
    <w:rsid w:val="00AA076F"/>
    <w:rsid w:val="00AA2C17"/>
    <w:rsid w:val="00AA3598"/>
    <w:rsid w:val="00AA40B1"/>
    <w:rsid w:val="00AB127E"/>
    <w:rsid w:val="00AB34AE"/>
    <w:rsid w:val="00AB4B3A"/>
    <w:rsid w:val="00AB5C3B"/>
    <w:rsid w:val="00AB76FE"/>
    <w:rsid w:val="00AC15D7"/>
    <w:rsid w:val="00AC39A2"/>
    <w:rsid w:val="00AD08D0"/>
    <w:rsid w:val="00AD2CCA"/>
    <w:rsid w:val="00AD562B"/>
    <w:rsid w:val="00AD6F40"/>
    <w:rsid w:val="00AE2AB4"/>
    <w:rsid w:val="00AE4751"/>
    <w:rsid w:val="00AF06A6"/>
    <w:rsid w:val="00AF1AD1"/>
    <w:rsid w:val="00AF23D0"/>
    <w:rsid w:val="00AF4924"/>
    <w:rsid w:val="00AF4BF3"/>
    <w:rsid w:val="00AF4C21"/>
    <w:rsid w:val="00AF6E72"/>
    <w:rsid w:val="00B00C4B"/>
    <w:rsid w:val="00B026C8"/>
    <w:rsid w:val="00B04868"/>
    <w:rsid w:val="00B04CB9"/>
    <w:rsid w:val="00B06F98"/>
    <w:rsid w:val="00B12335"/>
    <w:rsid w:val="00B21B11"/>
    <w:rsid w:val="00B237A6"/>
    <w:rsid w:val="00B258F1"/>
    <w:rsid w:val="00B26DE9"/>
    <w:rsid w:val="00B278F8"/>
    <w:rsid w:val="00B27B1F"/>
    <w:rsid w:val="00B30018"/>
    <w:rsid w:val="00B32575"/>
    <w:rsid w:val="00B332E8"/>
    <w:rsid w:val="00B34E30"/>
    <w:rsid w:val="00B353A0"/>
    <w:rsid w:val="00B36F4E"/>
    <w:rsid w:val="00B37A5F"/>
    <w:rsid w:val="00B461FA"/>
    <w:rsid w:val="00B46B35"/>
    <w:rsid w:val="00B47E4F"/>
    <w:rsid w:val="00B508A9"/>
    <w:rsid w:val="00B53547"/>
    <w:rsid w:val="00B53BC6"/>
    <w:rsid w:val="00B54E70"/>
    <w:rsid w:val="00B55A28"/>
    <w:rsid w:val="00B564DB"/>
    <w:rsid w:val="00B61D29"/>
    <w:rsid w:val="00B66214"/>
    <w:rsid w:val="00B6765E"/>
    <w:rsid w:val="00B678DE"/>
    <w:rsid w:val="00B67FAF"/>
    <w:rsid w:val="00B74DAC"/>
    <w:rsid w:val="00B826E2"/>
    <w:rsid w:val="00B82724"/>
    <w:rsid w:val="00B84F90"/>
    <w:rsid w:val="00B86B8A"/>
    <w:rsid w:val="00B928F8"/>
    <w:rsid w:val="00B93088"/>
    <w:rsid w:val="00B94F2E"/>
    <w:rsid w:val="00B9637C"/>
    <w:rsid w:val="00B97200"/>
    <w:rsid w:val="00B97A83"/>
    <w:rsid w:val="00B97B90"/>
    <w:rsid w:val="00BA15D8"/>
    <w:rsid w:val="00BA2D0A"/>
    <w:rsid w:val="00BA32D4"/>
    <w:rsid w:val="00BA341D"/>
    <w:rsid w:val="00BA41BC"/>
    <w:rsid w:val="00BA4D29"/>
    <w:rsid w:val="00BA5291"/>
    <w:rsid w:val="00BA6FB0"/>
    <w:rsid w:val="00BB001D"/>
    <w:rsid w:val="00BB09E5"/>
    <w:rsid w:val="00BB0D55"/>
    <w:rsid w:val="00BB1800"/>
    <w:rsid w:val="00BB1BE5"/>
    <w:rsid w:val="00BB37E9"/>
    <w:rsid w:val="00BB53BE"/>
    <w:rsid w:val="00BB745C"/>
    <w:rsid w:val="00BC2158"/>
    <w:rsid w:val="00BC31A4"/>
    <w:rsid w:val="00BD0C83"/>
    <w:rsid w:val="00BD1A90"/>
    <w:rsid w:val="00BE0E6B"/>
    <w:rsid w:val="00BE0E8A"/>
    <w:rsid w:val="00BE1D34"/>
    <w:rsid w:val="00BE1E36"/>
    <w:rsid w:val="00BE38C8"/>
    <w:rsid w:val="00BE7205"/>
    <w:rsid w:val="00BF100B"/>
    <w:rsid w:val="00BF1853"/>
    <w:rsid w:val="00BF600D"/>
    <w:rsid w:val="00BF6F7B"/>
    <w:rsid w:val="00C0178B"/>
    <w:rsid w:val="00C019B9"/>
    <w:rsid w:val="00C02ED5"/>
    <w:rsid w:val="00C06857"/>
    <w:rsid w:val="00C06F85"/>
    <w:rsid w:val="00C12194"/>
    <w:rsid w:val="00C13662"/>
    <w:rsid w:val="00C13964"/>
    <w:rsid w:val="00C15913"/>
    <w:rsid w:val="00C15E13"/>
    <w:rsid w:val="00C225C1"/>
    <w:rsid w:val="00C23365"/>
    <w:rsid w:val="00C3027A"/>
    <w:rsid w:val="00C308BC"/>
    <w:rsid w:val="00C32F1E"/>
    <w:rsid w:val="00C341E0"/>
    <w:rsid w:val="00C34CF2"/>
    <w:rsid w:val="00C35DB4"/>
    <w:rsid w:val="00C368F7"/>
    <w:rsid w:val="00C3751F"/>
    <w:rsid w:val="00C411AA"/>
    <w:rsid w:val="00C443C8"/>
    <w:rsid w:val="00C44C24"/>
    <w:rsid w:val="00C46670"/>
    <w:rsid w:val="00C509F4"/>
    <w:rsid w:val="00C51133"/>
    <w:rsid w:val="00C514B3"/>
    <w:rsid w:val="00C51932"/>
    <w:rsid w:val="00C52001"/>
    <w:rsid w:val="00C5562F"/>
    <w:rsid w:val="00C621CC"/>
    <w:rsid w:val="00C62BAC"/>
    <w:rsid w:val="00C63020"/>
    <w:rsid w:val="00C63D1A"/>
    <w:rsid w:val="00C744F0"/>
    <w:rsid w:val="00C75BFF"/>
    <w:rsid w:val="00C75C18"/>
    <w:rsid w:val="00C816F7"/>
    <w:rsid w:val="00C81DAE"/>
    <w:rsid w:val="00C8304E"/>
    <w:rsid w:val="00C847A1"/>
    <w:rsid w:val="00C95990"/>
    <w:rsid w:val="00C95C40"/>
    <w:rsid w:val="00CA39B2"/>
    <w:rsid w:val="00CA4153"/>
    <w:rsid w:val="00CA51C4"/>
    <w:rsid w:val="00CA5943"/>
    <w:rsid w:val="00CA5CDC"/>
    <w:rsid w:val="00CA73EA"/>
    <w:rsid w:val="00CA7DFA"/>
    <w:rsid w:val="00CB02FF"/>
    <w:rsid w:val="00CB1050"/>
    <w:rsid w:val="00CB219F"/>
    <w:rsid w:val="00CB22EA"/>
    <w:rsid w:val="00CB60A5"/>
    <w:rsid w:val="00CC0375"/>
    <w:rsid w:val="00CC197C"/>
    <w:rsid w:val="00CC2358"/>
    <w:rsid w:val="00CC5A98"/>
    <w:rsid w:val="00CC6995"/>
    <w:rsid w:val="00CD054B"/>
    <w:rsid w:val="00CD2C70"/>
    <w:rsid w:val="00CD515F"/>
    <w:rsid w:val="00CE1504"/>
    <w:rsid w:val="00CE3709"/>
    <w:rsid w:val="00CE3BCA"/>
    <w:rsid w:val="00CE44E0"/>
    <w:rsid w:val="00CE4C48"/>
    <w:rsid w:val="00CE4EB8"/>
    <w:rsid w:val="00CE6067"/>
    <w:rsid w:val="00CF0BC4"/>
    <w:rsid w:val="00CF599D"/>
    <w:rsid w:val="00CF7392"/>
    <w:rsid w:val="00CF769D"/>
    <w:rsid w:val="00D002F7"/>
    <w:rsid w:val="00D02729"/>
    <w:rsid w:val="00D02A81"/>
    <w:rsid w:val="00D0489D"/>
    <w:rsid w:val="00D05C3C"/>
    <w:rsid w:val="00D10740"/>
    <w:rsid w:val="00D10AAF"/>
    <w:rsid w:val="00D1101C"/>
    <w:rsid w:val="00D11754"/>
    <w:rsid w:val="00D137B0"/>
    <w:rsid w:val="00D13CF7"/>
    <w:rsid w:val="00D1535E"/>
    <w:rsid w:val="00D22DB7"/>
    <w:rsid w:val="00D24A34"/>
    <w:rsid w:val="00D26B62"/>
    <w:rsid w:val="00D279FC"/>
    <w:rsid w:val="00D27AFB"/>
    <w:rsid w:val="00D30A16"/>
    <w:rsid w:val="00D30BED"/>
    <w:rsid w:val="00D3130F"/>
    <w:rsid w:val="00D33C9F"/>
    <w:rsid w:val="00D371CD"/>
    <w:rsid w:val="00D4511A"/>
    <w:rsid w:val="00D4621B"/>
    <w:rsid w:val="00D47499"/>
    <w:rsid w:val="00D531A6"/>
    <w:rsid w:val="00D5594F"/>
    <w:rsid w:val="00D61EF9"/>
    <w:rsid w:val="00D62DE4"/>
    <w:rsid w:val="00D65903"/>
    <w:rsid w:val="00D65AE1"/>
    <w:rsid w:val="00D65B95"/>
    <w:rsid w:val="00D67EE0"/>
    <w:rsid w:val="00D72700"/>
    <w:rsid w:val="00D73B6A"/>
    <w:rsid w:val="00D73BA2"/>
    <w:rsid w:val="00D80AFA"/>
    <w:rsid w:val="00D86ABC"/>
    <w:rsid w:val="00D86DD3"/>
    <w:rsid w:val="00D87766"/>
    <w:rsid w:val="00D939F1"/>
    <w:rsid w:val="00D93CAA"/>
    <w:rsid w:val="00D940BE"/>
    <w:rsid w:val="00D97D45"/>
    <w:rsid w:val="00DA60F7"/>
    <w:rsid w:val="00DA6651"/>
    <w:rsid w:val="00DB00A9"/>
    <w:rsid w:val="00DB11C7"/>
    <w:rsid w:val="00DB4B46"/>
    <w:rsid w:val="00DC0220"/>
    <w:rsid w:val="00DC03F8"/>
    <w:rsid w:val="00DC530C"/>
    <w:rsid w:val="00DC6E0A"/>
    <w:rsid w:val="00DD1055"/>
    <w:rsid w:val="00DD1ABC"/>
    <w:rsid w:val="00DD308D"/>
    <w:rsid w:val="00DD3C0B"/>
    <w:rsid w:val="00DD469E"/>
    <w:rsid w:val="00DD52F6"/>
    <w:rsid w:val="00DD5B48"/>
    <w:rsid w:val="00DD7F4D"/>
    <w:rsid w:val="00DE2011"/>
    <w:rsid w:val="00DF64A3"/>
    <w:rsid w:val="00E00C43"/>
    <w:rsid w:val="00E04231"/>
    <w:rsid w:val="00E059AC"/>
    <w:rsid w:val="00E07F6C"/>
    <w:rsid w:val="00E14C5F"/>
    <w:rsid w:val="00E172D2"/>
    <w:rsid w:val="00E21277"/>
    <w:rsid w:val="00E2299D"/>
    <w:rsid w:val="00E23AA2"/>
    <w:rsid w:val="00E267EF"/>
    <w:rsid w:val="00E31627"/>
    <w:rsid w:val="00E32EB0"/>
    <w:rsid w:val="00E33828"/>
    <w:rsid w:val="00E3480B"/>
    <w:rsid w:val="00E36E64"/>
    <w:rsid w:val="00E41E39"/>
    <w:rsid w:val="00E4251D"/>
    <w:rsid w:val="00E44366"/>
    <w:rsid w:val="00E51B1F"/>
    <w:rsid w:val="00E5388A"/>
    <w:rsid w:val="00E54354"/>
    <w:rsid w:val="00E5598F"/>
    <w:rsid w:val="00E5676E"/>
    <w:rsid w:val="00E607C3"/>
    <w:rsid w:val="00E615FD"/>
    <w:rsid w:val="00E62AB8"/>
    <w:rsid w:val="00E6368D"/>
    <w:rsid w:val="00E6586B"/>
    <w:rsid w:val="00E7198E"/>
    <w:rsid w:val="00E736B9"/>
    <w:rsid w:val="00E85BF7"/>
    <w:rsid w:val="00E86CBE"/>
    <w:rsid w:val="00E909DF"/>
    <w:rsid w:val="00E90B5B"/>
    <w:rsid w:val="00E920BE"/>
    <w:rsid w:val="00E94B95"/>
    <w:rsid w:val="00E96A60"/>
    <w:rsid w:val="00EA296D"/>
    <w:rsid w:val="00EA4D61"/>
    <w:rsid w:val="00EA6B4D"/>
    <w:rsid w:val="00EB22C5"/>
    <w:rsid w:val="00EC063D"/>
    <w:rsid w:val="00EC1CE3"/>
    <w:rsid w:val="00EC1D8A"/>
    <w:rsid w:val="00EC24FA"/>
    <w:rsid w:val="00EC261D"/>
    <w:rsid w:val="00EC2C5A"/>
    <w:rsid w:val="00EC2DA1"/>
    <w:rsid w:val="00EC4A73"/>
    <w:rsid w:val="00EC5B64"/>
    <w:rsid w:val="00EC673A"/>
    <w:rsid w:val="00ED16E1"/>
    <w:rsid w:val="00ED401D"/>
    <w:rsid w:val="00ED501C"/>
    <w:rsid w:val="00ED5AF3"/>
    <w:rsid w:val="00ED7D2A"/>
    <w:rsid w:val="00EE2D23"/>
    <w:rsid w:val="00EE5009"/>
    <w:rsid w:val="00EE6865"/>
    <w:rsid w:val="00EE7C6F"/>
    <w:rsid w:val="00EF18EE"/>
    <w:rsid w:val="00EF1D50"/>
    <w:rsid w:val="00EF3823"/>
    <w:rsid w:val="00F043C4"/>
    <w:rsid w:val="00F07A29"/>
    <w:rsid w:val="00F161BA"/>
    <w:rsid w:val="00F1750D"/>
    <w:rsid w:val="00F20355"/>
    <w:rsid w:val="00F20624"/>
    <w:rsid w:val="00F215B2"/>
    <w:rsid w:val="00F2244D"/>
    <w:rsid w:val="00F26681"/>
    <w:rsid w:val="00F270FA"/>
    <w:rsid w:val="00F27B14"/>
    <w:rsid w:val="00F32585"/>
    <w:rsid w:val="00F3302B"/>
    <w:rsid w:val="00F36078"/>
    <w:rsid w:val="00F451CD"/>
    <w:rsid w:val="00F45C5F"/>
    <w:rsid w:val="00F47E34"/>
    <w:rsid w:val="00F53837"/>
    <w:rsid w:val="00F53D98"/>
    <w:rsid w:val="00F56424"/>
    <w:rsid w:val="00F56632"/>
    <w:rsid w:val="00F61287"/>
    <w:rsid w:val="00F62B1B"/>
    <w:rsid w:val="00F655A8"/>
    <w:rsid w:val="00F72317"/>
    <w:rsid w:val="00F72FC9"/>
    <w:rsid w:val="00F7318B"/>
    <w:rsid w:val="00F7407A"/>
    <w:rsid w:val="00F76085"/>
    <w:rsid w:val="00F8033E"/>
    <w:rsid w:val="00F81A5C"/>
    <w:rsid w:val="00F848E6"/>
    <w:rsid w:val="00F87C08"/>
    <w:rsid w:val="00F93229"/>
    <w:rsid w:val="00F94313"/>
    <w:rsid w:val="00F9475B"/>
    <w:rsid w:val="00F970F5"/>
    <w:rsid w:val="00FA5495"/>
    <w:rsid w:val="00FB273D"/>
    <w:rsid w:val="00FB4332"/>
    <w:rsid w:val="00FB4AB7"/>
    <w:rsid w:val="00FB4F82"/>
    <w:rsid w:val="00FC142D"/>
    <w:rsid w:val="00FC4C03"/>
    <w:rsid w:val="00FC5F1F"/>
    <w:rsid w:val="00FC5F23"/>
    <w:rsid w:val="00FC6D4C"/>
    <w:rsid w:val="00FC766A"/>
    <w:rsid w:val="00FD3A39"/>
    <w:rsid w:val="00FD4746"/>
    <w:rsid w:val="00FD5A90"/>
    <w:rsid w:val="00FE378D"/>
    <w:rsid w:val="00FE3D20"/>
    <w:rsid w:val="00FE4094"/>
    <w:rsid w:val="00FE5ECE"/>
    <w:rsid w:val="00FF1285"/>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106"/>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character" w:styleId="Hyperlink">
    <w:name w:val="Hyperlink"/>
    <w:basedOn w:val="DefaultParagraphFont"/>
    <w:unhideWhenUsed/>
    <w:rsid w:val="007A7336"/>
    <w:rPr>
      <w:color w:val="0563C1" w:themeColor="hyperlink"/>
      <w:u w:val="single"/>
    </w:rPr>
  </w:style>
  <w:style w:type="paragraph" w:styleId="FootnoteText">
    <w:name w:val="footnote text"/>
    <w:basedOn w:val="Normal"/>
    <w:link w:val="FootnoteTextChar"/>
    <w:semiHidden/>
    <w:unhideWhenUsed/>
    <w:rsid w:val="008A3684"/>
    <w:rPr>
      <w:sz w:val="20"/>
      <w:szCs w:val="20"/>
    </w:rPr>
  </w:style>
  <w:style w:type="character" w:customStyle="1" w:styleId="FootnoteTextChar">
    <w:name w:val="Footnote Text Char"/>
    <w:basedOn w:val="DefaultParagraphFont"/>
    <w:link w:val="FootnoteText"/>
    <w:semiHidden/>
    <w:rsid w:val="008A3684"/>
    <w:rPr>
      <w:rFonts w:ascii="Arial" w:hAnsi="Arial"/>
      <w:lang w:eastAsia="en-US"/>
    </w:rPr>
  </w:style>
  <w:style w:type="character" w:styleId="FootnoteReference">
    <w:name w:val="footnote reference"/>
    <w:basedOn w:val="DefaultParagraphFont"/>
    <w:semiHidden/>
    <w:unhideWhenUsed/>
    <w:rsid w:val="008A3684"/>
    <w:rPr>
      <w:vertAlign w:val="superscript"/>
    </w:rPr>
  </w:style>
  <w:style w:type="character" w:styleId="UnresolvedMention">
    <w:name w:val="Unresolved Mention"/>
    <w:basedOn w:val="DefaultParagraphFont"/>
    <w:uiPriority w:val="99"/>
    <w:semiHidden/>
    <w:unhideWhenUsed/>
    <w:rsid w:val="00C509F4"/>
    <w:rPr>
      <w:color w:val="605E5C"/>
      <w:shd w:val="clear" w:color="auto" w:fill="E1DFDD"/>
    </w:rPr>
  </w:style>
  <w:style w:type="table" w:styleId="TableGridLight">
    <w:name w:val="Grid Table Light"/>
    <w:basedOn w:val="TableNormal"/>
    <w:uiPriority w:val="40"/>
    <w:rsid w:val="004D34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semiHidden/>
    <w:unhideWhenUsed/>
    <w:rsid w:val="00995B11"/>
  </w:style>
  <w:style w:type="character" w:customStyle="1" w:styleId="FooterChar">
    <w:name w:val="Footer Char"/>
    <w:basedOn w:val="DefaultParagraphFont"/>
    <w:link w:val="Footer"/>
    <w:uiPriority w:val="99"/>
    <w:rsid w:val="00CA5943"/>
    <w:rPr>
      <w:rFonts w:asciiTheme="minorHAnsi" w:hAnsiTheme="minorHAns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403">
      <w:bodyDiv w:val="1"/>
      <w:marLeft w:val="0"/>
      <w:marRight w:val="0"/>
      <w:marTop w:val="0"/>
      <w:marBottom w:val="0"/>
      <w:divBdr>
        <w:top w:val="none" w:sz="0" w:space="0" w:color="auto"/>
        <w:left w:val="none" w:sz="0" w:space="0" w:color="auto"/>
        <w:bottom w:val="none" w:sz="0" w:space="0" w:color="auto"/>
        <w:right w:val="none" w:sz="0" w:space="0" w:color="auto"/>
      </w:divBdr>
    </w:div>
    <w:div w:id="326135899">
      <w:bodyDiv w:val="1"/>
      <w:marLeft w:val="0"/>
      <w:marRight w:val="0"/>
      <w:marTop w:val="0"/>
      <w:marBottom w:val="0"/>
      <w:divBdr>
        <w:top w:val="none" w:sz="0" w:space="0" w:color="auto"/>
        <w:left w:val="none" w:sz="0" w:space="0" w:color="auto"/>
        <w:bottom w:val="none" w:sz="0" w:space="0" w:color="auto"/>
        <w:right w:val="none" w:sz="0" w:space="0" w:color="auto"/>
      </w:divBdr>
    </w:div>
    <w:div w:id="326903423">
      <w:bodyDiv w:val="1"/>
      <w:marLeft w:val="0"/>
      <w:marRight w:val="0"/>
      <w:marTop w:val="0"/>
      <w:marBottom w:val="0"/>
      <w:divBdr>
        <w:top w:val="none" w:sz="0" w:space="0" w:color="auto"/>
        <w:left w:val="none" w:sz="0" w:space="0" w:color="auto"/>
        <w:bottom w:val="none" w:sz="0" w:space="0" w:color="auto"/>
        <w:right w:val="none" w:sz="0" w:space="0" w:color="auto"/>
      </w:divBdr>
    </w:div>
    <w:div w:id="348682950">
      <w:bodyDiv w:val="1"/>
      <w:marLeft w:val="0"/>
      <w:marRight w:val="0"/>
      <w:marTop w:val="0"/>
      <w:marBottom w:val="0"/>
      <w:divBdr>
        <w:top w:val="none" w:sz="0" w:space="0" w:color="auto"/>
        <w:left w:val="none" w:sz="0" w:space="0" w:color="auto"/>
        <w:bottom w:val="none" w:sz="0" w:space="0" w:color="auto"/>
        <w:right w:val="none" w:sz="0" w:space="0" w:color="auto"/>
      </w:divBdr>
    </w:div>
    <w:div w:id="362636329">
      <w:bodyDiv w:val="1"/>
      <w:marLeft w:val="0"/>
      <w:marRight w:val="0"/>
      <w:marTop w:val="0"/>
      <w:marBottom w:val="0"/>
      <w:divBdr>
        <w:top w:val="none" w:sz="0" w:space="0" w:color="auto"/>
        <w:left w:val="none" w:sz="0" w:space="0" w:color="auto"/>
        <w:bottom w:val="none" w:sz="0" w:space="0" w:color="auto"/>
        <w:right w:val="none" w:sz="0" w:space="0" w:color="auto"/>
      </w:divBdr>
    </w:div>
    <w:div w:id="363793213">
      <w:bodyDiv w:val="1"/>
      <w:marLeft w:val="0"/>
      <w:marRight w:val="0"/>
      <w:marTop w:val="0"/>
      <w:marBottom w:val="0"/>
      <w:divBdr>
        <w:top w:val="none" w:sz="0" w:space="0" w:color="auto"/>
        <w:left w:val="none" w:sz="0" w:space="0" w:color="auto"/>
        <w:bottom w:val="none" w:sz="0" w:space="0" w:color="auto"/>
        <w:right w:val="none" w:sz="0" w:space="0" w:color="auto"/>
      </w:divBdr>
    </w:div>
    <w:div w:id="430393679">
      <w:bodyDiv w:val="1"/>
      <w:marLeft w:val="0"/>
      <w:marRight w:val="0"/>
      <w:marTop w:val="0"/>
      <w:marBottom w:val="0"/>
      <w:divBdr>
        <w:top w:val="none" w:sz="0" w:space="0" w:color="auto"/>
        <w:left w:val="none" w:sz="0" w:space="0" w:color="auto"/>
        <w:bottom w:val="none" w:sz="0" w:space="0" w:color="auto"/>
        <w:right w:val="none" w:sz="0" w:space="0" w:color="auto"/>
      </w:divBdr>
    </w:div>
    <w:div w:id="486675413">
      <w:bodyDiv w:val="1"/>
      <w:marLeft w:val="0"/>
      <w:marRight w:val="0"/>
      <w:marTop w:val="0"/>
      <w:marBottom w:val="0"/>
      <w:divBdr>
        <w:top w:val="none" w:sz="0" w:space="0" w:color="auto"/>
        <w:left w:val="none" w:sz="0" w:space="0" w:color="auto"/>
        <w:bottom w:val="none" w:sz="0" w:space="0" w:color="auto"/>
        <w:right w:val="none" w:sz="0" w:space="0" w:color="auto"/>
      </w:divBdr>
    </w:div>
    <w:div w:id="493692934">
      <w:bodyDiv w:val="1"/>
      <w:marLeft w:val="0"/>
      <w:marRight w:val="0"/>
      <w:marTop w:val="0"/>
      <w:marBottom w:val="0"/>
      <w:divBdr>
        <w:top w:val="none" w:sz="0" w:space="0" w:color="auto"/>
        <w:left w:val="none" w:sz="0" w:space="0" w:color="auto"/>
        <w:bottom w:val="none" w:sz="0" w:space="0" w:color="auto"/>
        <w:right w:val="none" w:sz="0" w:space="0" w:color="auto"/>
      </w:divBdr>
    </w:div>
    <w:div w:id="717508823">
      <w:bodyDiv w:val="1"/>
      <w:marLeft w:val="0"/>
      <w:marRight w:val="0"/>
      <w:marTop w:val="0"/>
      <w:marBottom w:val="0"/>
      <w:divBdr>
        <w:top w:val="none" w:sz="0" w:space="0" w:color="auto"/>
        <w:left w:val="none" w:sz="0" w:space="0" w:color="auto"/>
        <w:bottom w:val="none" w:sz="0" w:space="0" w:color="auto"/>
        <w:right w:val="none" w:sz="0" w:space="0" w:color="auto"/>
      </w:divBdr>
    </w:div>
    <w:div w:id="741948906">
      <w:bodyDiv w:val="1"/>
      <w:marLeft w:val="0"/>
      <w:marRight w:val="0"/>
      <w:marTop w:val="0"/>
      <w:marBottom w:val="0"/>
      <w:divBdr>
        <w:top w:val="none" w:sz="0" w:space="0" w:color="auto"/>
        <w:left w:val="none" w:sz="0" w:space="0" w:color="auto"/>
        <w:bottom w:val="none" w:sz="0" w:space="0" w:color="auto"/>
        <w:right w:val="none" w:sz="0" w:space="0" w:color="auto"/>
      </w:divBdr>
    </w:div>
    <w:div w:id="906846308">
      <w:bodyDiv w:val="1"/>
      <w:marLeft w:val="0"/>
      <w:marRight w:val="0"/>
      <w:marTop w:val="0"/>
      <w:marBottom w:val="0"/>
      <w:divBdr>
        <w:top w:val="none" w:sz="0" w:space="0" w:color="auto"/>
        <w:left w:val="none" w:sz="0" w:space="0" w:color="auto"/>
        <w:bottom w:val="none" w:sz="0" w:space="0" w:color="auto"/>
        <w:right w:val="none" w:sz="0" w:space="0" w:color="auto"/>
      </w:divBdr>
    </w:div>
    <w:div w:id="931083657">
      <w:bodyDiv w:val="1"/>
      <w:marLeft w:val="0"/>
      <w:marRight w:val="0"/>
      <w:marTop w:val="0"/>
      <w:marBottom w:val="0"/>
      <w:divBdr>
        <w:top w:val="none" w:sz="0" w:space="0" w:color="auto"/>
        <w:left w:val="none" w:sz="0" w:space="0" w:color="auto"/>
        <w:bottom w:val="none" w:sz="0" w:space="0" w:color="auto"/>
        <w:right w:val="none" w:sz="0" w:space="0" w:color="auto"/>
      </w:divBdr>
    </w:div>
    <w:div w:id="952980784">
      <w:bodyDiv w:val="1"/>
      <w:marLeft w:val="0"/>
      <w:marRight w:val="0"/>
      <w:marTop w:val="0"/>
      <w:marBottom w:val="0"/>
      <w:divBdr>
        <w:top w:val="none" w:sz="0" w:space="0" w:color="auto"/>
        <w:left w:val="none" w:sz="0" w:space="0" w:color="auto"/>
        <w:bottom w:val="none" w:sz="0" w:space="0" w:color="auto"/>
        <w:right w:val="none" w:sz="0" w:space="0" w:color="auto"/>
      </w:divBdr>
    </w:div>
    <w:div w:id="973635339">
      <w:bodyDiv w:val="1"/>
      <w:marLeft w:val="0"/>
      <w:marRight w:val="0"/>
      <w:marTop w:val="0"/>
      <w:marBottom w:val="0"/>
      <w:divBdr>
        <w:top w:val="none" w:sz="0" w:space="0" w:color="auto"/>
        <w:left w:val="none" w:sz="0" w:space="0" w:color="auto"/>
        <w:bottom w:val="none" w:sz="0" w:space="0" w:color="auto"/>
        <w:right w:val="none" w:sz="0" w:space="0" w:color="auto"/>
      </w:divBdr>
      <w:divsChild>
        <w:div w:id="1425766567">
          <w:marLeft w:val="230"/>
          <w:marRight w:val="0"/>
          <w:marTop w:val="0"/>
          <w:marBottom w:val="160"/>
          <w:divBdr>
            <w:top w:val="none" w:sz="0" w:space="0" w:color="auto"/>
            <w:left w:val="none" w:sz="0" w:space="0" w:color="auto"/>
            <w:bottom w:val="none" w:sz="0" w:space="0" w:color="auto"/>
            <w:right w:val="none" w:sz="0" w:space="0" w:color="auto"/>
          </w:divBdr>
        </w:div>
      </w:divsChild>
    </w:div>
    <w:div w:id="1017580234">
      <w:bodyDiv w:val="1"/>
      <w:marLeft w:val="0"/>
      <w:marRight w:val="0"/>
      <w:marTop w:val="0"/>
      <w:marBottom w:val="0"/>
      <w:divBdr>
        <w:top w:val="none" w:sz="0" w:space="0" w:color="auto"/>
        <w:left w:val="none" w:sz="0" w:space="0" w:color="auto"/>
        <w:bottom w:val="none" w:sz="0" w:space="0" w:color="auto"/>
        <w:right w:val="none" w:sz="0" w:space="0" w:color="auto"/>
      </w:divBdr>
      <w:divsChild>
        <w:div w:id="1379209065">
          <w:marLeft w:val="230"/>
          <w:marRight w:val="0"/>
          <w:marTop w:val="0"/>
          <w:marBottom w:val="160"/>
          <w:divBdr>
            <w:top w:val="none" w:sz="0" w:space="0" w:color="auto"/>
            <w:left w:val="none" w:sz="0" w:space="0" w:color="auto"/>
            <w:bottom w:val="none" w:sz="0" w:space="0" w:color="auto"/>
            <w:right w:val="none" w:sz="0" w:space="0" w:color="auto"/>
          </w:divBdr>
        </w:div>
        <w:div w:id="132066509">
          <w:marLeft w:val="677"/>
          <w:marRight w:val="0"/>
          <w:marTop w:val="0"/>
          <w:marBottom w:val="160"/>
          <w:divBdr>
            <w:top w:val="none" w:sz="0" w:space="0" w:color="auto"/>
            <w:left w:val="none" w:sz="0" w:space="0" w:color="auto"/>
            <w:bottom w:val="none" w:sz="0" w:space="0" w:color="auto"/>
            <w:right w:val="none" w:sz="0" w:space="0" w:color="auto"/>
          </w:divBdr>
        </w:div>
        <w:div w:id="343098380">
          <w:marLeft w:val="677"/>
          <w:marRight w:val="0"/>
          <w:marTop w:val="0"/>
          <w:marBottom w:val="160"/>
          <w:divBdr>
            <w:top w:val="none" w:sz="0" w:space="0" w:color="auto"/>
            <w:left w:val="none" w:sz="0" w:space="0" w:color="auto"/>
            <w:bottom w:val="none" w:sz="0" w:space="0" w:color="auto"/>
            <w:right w:val="none" w:sz="0" w:space="0" w:color="auto"/>
          </w:divBdr>
        </w:div>
        <w:div w:id="2008171728">
          <w:marLeft w:val="230"/>
          <w:marRight w:val="0"/>
          <w:marTop w:val="0"/>
          <w:marBottom w:val="160"/>
          <w:divBdr>
            <w:top w:val="none" w:sz="0" w:space="0" w:color="auto"/>
            <w:left w:val="none" w:sz="0" w:space="0" w:color="auto"/>
            <w:bottom w:val="none" w:sz="0" w:space="0" w:color="auto"/>
            <w:right w:val="none" w:sz="0" w:space="0" w:color="auto"/>
          </w:divBdr>
        </w:div>
        <w:div w:id="1628970881">
          <w:marLeft w:val="230"/>
          <w:marRight w:val="0"/>
          <w:marTop w:val="0"/>
          <w:marBottom w:val="160"/>
          <w:divBdr>
            <w:top w:val="none" w:sz="0" w:space="0" w:color="auto"/>
            <w:left w:val="none" w:sz="0" w:space="0" w:color="auto"/>
            <w:bottom w:val="none" w:sz="0" w:space="0" w:color="auto"/>
            <w:right w:val="none" w:sz="0" w:space="0" w:color="auto"/>
          </w:divBdr>
        </w:div>
        <w:div w:id="1607302487">
          <w:marLeft w:val="230"/>
          <w:marRight w:val="0"/>
          <w:marTop w:val="0"/>
          <w:marBottom w:val="160"/>
          <w:divBdr>
            <w:top w:val="none" w:sz="0" w:space="0" w:color="auto"/>
            <w:left w:val="none" w:sz="0" w:space="0" w:color="auto"/>
            <w:bottom w:val="none" w:sz="0" w:space="0" w:color="auto"/>
            <w:right w:val="none" w:sz="0" w:space="0" w:color="auto"/>
          </w:divBdr>
        </w:div>
        <w:div w:id="621425695">
          <w:marLeft w:val="230"/>
          <w:marRight w:val="0"/>
          <w:marTop w:val="0"/>
          <w:marBottom w:val="160"/>
          <w:divBdr>
            <w:top w:val="none" w:sz="0" w:space="0" w:color="auto"/>
            <w:left w:val="none" w:sz="0" w:space="0" w:color="auto"/>
            <w:bottom w:val="none" w:sz="0" w:space="0" w:color="auto"/>
            <w:right w:val="none" w:sz="0" w:space="0" w:color="auto"/>
          </w:divBdr>
        </w:div>
        <w:div w:id="144442630">
          <w:marLeft w:val="230"/>
          <w:marRight w:val="0"/>
          <w:marTop w:val="0"/>
          <w:marBottom w:val="160"/>
          <w:divBdr>
            <w:top w:val="none" w:sz="0" w:space="0" w:color="auto"/>
            <w:left w:val="none" w:sz="0" w:space="0" w:color="auto"/>
            <w:bottom w:val="none" w:sz="0" w:space="0" w:color="auto"/>
            <w:right w:val="none" w:sz="0" w:space="0" w:color="auto"/>
          </w:divBdr>
        </w:div>
        <w:div w:id="1247769050">
          <w:marLeft w:val="230"/>
          <w:marRight w:val="0"/>
          <w:marTop w:val="0"/>
          <w:marBottom w:val="160"/>
          <w:divBdr>
            <w:top w:val="none" w:sz="0" w:space="0" w:color="auto"/>
            <w:left w:val="none" w:sz="0" w:space="0" w:color="auto"/>
            <w:bottom w:val="none" w:sz="0" w:space="0" w:color="auto"/>
            <w:right w:val="none" w:sz="0" w:space="0" w:color="auto"/>
          </w:divBdr>
        </w:div>
        <w:div w:id="196965661">
          <w:marLeft w:val="230"/>
          <w:marRight w:val="0"/>
          <w:marTop w:val="0"/>
          <w:marBottom w:val="160"/>
          <w:divBdr>
            <w:top w:val="none" w:sz="0" w:space="0" w:color="auto"/>
            <w:left w:val="none" w:sz="0" w:space="0" w:color="auto"/>
            <w:bottom w:val="none" w:sz="0" w:space="0" w:color="auto"/>
            <w:right w:val="none" w:sz="0" w:space="0" w:color="auto"/>
          </w:divBdr>
        </w:div>
        <w:div w:id="2124808335">
          <w:marLeft w:val="230"/>
          <w:marRight w:val="0"/>
          <w:marTop w:val="0"/>
          <w:marBottom w:val="160"/>
          <w:divBdr>
            <w:top w:val="none" w:sz="0" w:space="0" w:color="auto"/>
            <w:left w:val="none" w:sz="0" w:space="0" w:color="auto"/>
            <w:bottom w:val="none" w:sz="0" w:space="0" w:color="auto"/>
            <w:right w:val="none" w:sz="0" w:space="0" w:color="auto"/>
          </w:divBdr>
        </w:div>
        <w:div w:id="688486509">
          <w:marLeft w:val="230"/>
          <w:marRight w:val="0"/>
          <w:marTop w:val="0"/>
          <w:marBottom w:val="160"/>
          <w:divBdr>
            <w:top w:val="none" w:sz="0" w:space="0" w:color="auto"/>
            <w:left w:val="none" w:sz="0" w:space="0" w:color="auto"/>
            <w:bottom w:val="none" w:sz="0" w:space="0" w:color="auto"/>
            <w:right w:val="none" w:sz="0" w:space="0" w:color="auto"/>
          </w:divBdr>
        </w:div>
        <w:div w:id="1670714139">
          <w:marLeft w:val="230"/>
          <w:marRight w:val="0"/>
          <w:marTop w:val="0"/>
          <w:marBottom w:val="160"/>
          <w:divBdr>
            <w:top w:val="none" w:sz="0" w:space="0" w:color="auto"/>
            <w:left w:val="none" w:sz="0" w:space="0" w:color="auto"/>
            <w:bottom w:val="none" w:sz="0" w:space="0" w:color="auto"/>
            <w:right w:val="none" w:sz="0" w:space="0" w:color="auto"/>
          </w:divBdr>
        </w:div>
        <w:div w:id="185021335">
          <w:marLeft w:val="230"/>
          <w:marRight w:val="0"/>
          <w:marTop w:val="0"/>
          <w:marBottom w:val="160"/>
          <w:divBdr>
            <w:top w:val="none" w:sz="0" w:space="0" w:color="auto"/>
            <w:left w:val="none" w:sz="0" w:space="0" w:color="auto"/>
            <w:bottom w:val="none" w:sz="0" w:space="0" w:color="auto"/>
            <w:right w:val="none" w:sz="0" w:space="0" w:color="auto"/>
          </w:divBdr>
        </w:div>
      </w:divsChild>
    </w:div>
    <w:div w:id="1133597750">
      <w:bodyDiv w:val="1"/>
      <w:marLeft w:val="0"/>
      <w:marRight w:val="0"/>
      <w:marTop w:val="0"/>
      <w:marBottom w:val="0"/>
      <w:divBdr>
        <w:top w:val="none" w:sz="0" w:space="0" w:color="auto"/>
        <w:left w:val="none" w:sz="0" w:space="0" w:color="auto"/>
        <w:bottom w:val="none" w:sz="0" w:space="0" w:color="auto"/>
        <w:right w:val="none" w:sz="0" w:space="0" w:color="auto"/>
      </w:divBdr>
    </w:div>
    <w:div w:id="1201362748">
      <w:bodyDiv w:val="1"/>
      <w:marLeft w:val="0"/>
      <w:marRight w:val="0"/>
      <w:marTop w:val="0"/>
      <w:marBottom w:val="0"/>
      <w:divBdr>
        <w:top w:val="none" w:sz="0" w:space="0" w:color="auto"/>
        <w:left w:val="none" w:sz="0" w:space="0" w:color="auto"/>
        <w:bottom w:val="none" w:sz="0" w:space="0" w:color="auto"/>
        <w:right w:val="none" w:sz="0" w:space="0" w:color="auto"/>
      </w:divBdr>
    </w:div>
    <w:div w:id="1240359609">
      <w:bodyDiv w:val="1"/>
      <w:marLeft w:val="0"/>
      <w:marRight w:val="0"/>
      <w:marTop w:val="0"/>
      <w:marBottom w:val="0"/>
      <w:divBdr>
        <w:top w:val="none" w:sz="0" w:space="0" w:color="auto"/>
        <w:left w:val="none" w:sz="0" w:space="0" w:color="auto"/>
        <w:bottom w:val="none" w:sz="0" w:space="0" w:color="auto"/>
        <w:right w:val="none" w:sz="0" w:space="0" w:color="auto"/>
      </w:divBdr>
    </w:div>
    <w:div w:id="1268537563">
      <w:bodyDiv w:val="1"/>
      <w:marLeft w:val="0"/>
      <w:marRight w:val="0"/>
      <w:marTop w:val="0"/>
      <w:marBottom w:val="0"/>
      <w:divBdr>
        <w:top w:val="none" w:sz="0" w:space="0" w:color="auto"/>
        <w:left w:val="none" w:sz="0" w:space="0" w:color="auto"/>
        <w:bottom w:val="none" w:sz="0" w:space="0" w:color="auto"/>
        <w:right w:val="none" w:sz="0" w:space="0" w:color="auto"/>
      </w:divBdr>
    </w:div>
    <w:div w:id="1314069674">
      <w:bodyDiv w:val="1"/>
      <w:marLeft w:val="0"/>
      <w:marRight w:val="0"/>
      <w:marTop w:val="0"/>
      <w:marBottom w:val="0"/>
      <w:divBdr>
        <w:top w:val="none" w:sz="0" w:space="0" w:color="auto"/>
        <w:left w:val="none" w:sz="0" w:space="0" w:color="auto"/>
        <w:bottom w:val="none" w:sz="0" w:space="0" w:color="auto"/>
        <w:right w:val="none" w:sz="0" w:space="0" w:color="auto"/>
      </w:divBdr>
    </w:div>
    <w:div w:id="1405104288">
      <w:bodyDiv w:val="1"/>
      <w:marLeft w:val="0"/>
      <w:marRight w:val="0"/>
      <w:marTop w:val="0"/>
      <w:marBottom w:val="0"/>
      <w:divBdr>
        <w:top w:val="none" w:sz="0" w:space="0" w:color="auto"/>
        <w:left w:val="none" w:sz="0" w:space="0" w:color="auto"/>
        <w:bottom w:val="none" w:sz="0" w:space="0" w:color="auto"/>
        <w:right w:val="none" w:sz="0" w:space="0" w:color="auto"/>
      </w:divBdr>
    </w:div>
    <w:div w:id="1412660397">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461455688">
      <w:bodyDiv w:val="1"/>
      <w:marLeft w:val="0"/>
      <w:marRight w:val="0"/>
      <w:marTop w:val="0"/>
      <w:marBottom w:val="0"/>
      <w:divBdr>
        <w:top w:val="none" w:sz="0" w:space="0" w:color="auto"/>
        <w:left w:val="none" w:sz="0" w:space="0" w:color="auto"/>
        <w:bottom w:val="none" w:sz="0" w:space="0" w:color="auto"/>
        <w:right w:val="none" w:sz="0" w:space="0" w:color="auto"/>
      </w:divBdr>
    </w:div>
    <w:div w:id="1518539615">
      <w:bodyDiv w:val="1"/>
      <w:marLeft w:val="0"/>
      <w:marRight w:val="0"/>
      <w:marTop w:val="0"/>
      <w:marBottom w:val="0"/>
      <w:divBdr>
        <w:top w:val="none" w:sz="0" w:space="0" w:color="auto"/>
        <w:left w:val="none" w:sz="0" w:space="0" w:color="auto"/>
        <w:bottom w:val="none" w:sz="0" w:space="0" w:color="auto"/>
        <w:right w:val="none" w:sz="0" w:space="0" w:color="auto"/>
      </w:divBdr>
    </w:div>
    <w:div w:id="1560362405">
      <w:bodyDiv w:val="1"/>
      <w:marLeft w:val="0"/>
      <w:marRight w:val="0"/>
      <w:marTop w:val="0"/>
      <w:marBottom w:val="0"/>
      <w:divBdr>
        <w:top w:val="none" w:sz="0" w:space="0" w:color="auto"/>
        <w:left w:val="none" w:sz="0" w:space="0" w:color="auto"/>
        <w:bottom w:val="none" w:sz="0" w:space="0" w:color="auto"/>
        <w:right w:val="none" w:sz="0" w:space="0" w:color="auto"/>
      </w:divBdr>
    </w:div>
    <w:div w:id="1601638466">
      <w:bodyDiv w:val="1"/>
      <w:marLeft w:val="0"/>
      <w:marRight w:val="0"/>
      <w:marTop w:val="0"/>
      <w:marBottom w:val="0"/>
      <w:divBdr>
        <w:top w:val="none" w:sz="0" w:space="0" w:color="auto"/>
        <w:left w:val="none" w:sz="0" w:space="0" w:color="auto"/>
        <w:bottom w:val="none" w:sz="0" w:space="0" w:color="auto"/>
        <w:right w:val="none" w:sz="0" w:space="0" w:color="auto"/>
      </w:divBdr>
      <w:divsChild>
        <w:div w:id="1788885162">
          <w:marLeft w:val="230"/>
          <w:marRight w:val="0"/>
          <w:marTop w:val="0"/>
          <w:marBottom w:val="160"/>
          <w:divBdr>
            <w:top w:val="none" w:sz="0" w:space="0" w:color="auto"/>
            <w:left w:val="none" w:sz="0" w:space="0" w:color="auto"/>
            <w:bottom w:val="none" w:sz="0" w:space="0" w:color="auto"/>
            <w:right w:val="none" w:sz="0" w:space="0" w:color="auto"/>
          </w:divBdr>
        </w:div>
      </w:divsChild>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768573901">
      <w:bodyDiv w:val="1"/>
      <w:marLeft w:val="0"/>
      <w:marRight w:val="0"/>
      <w:marTop w:val="0"/>
      <w:marBottom w:val="0"/>
      <w:divBdr>
        <w:top w:val="none" w:sz="0" w:space="0" w:color="auto"/>
        <w:left w:val="none" w:sz="0" w:space="0" w:color="auto"/>
        <w:bottom w:val="none" w:sz="0" w:space="0" w:color="auto"/>
        <w:right w:val="none" w:sz="0" w:space="0" w:color="auto"/>
      </w:divBdr>
    </w:div>
    <w:div w:id="1790005842">
      <w:bodyDiv w:val="1"/>
      <w:marLeft w:val="0"/>
      <w:marRight w:val="0"/>
      <w:marTop w:val="0"/>
      <w:marBottom w:val="0"/>
      <w:divBdr>
        <w:top w:val="none" w:sz="0" w:space="0" w:color="auto"/>
        <w:left w:val="none" w:sz="0" w:space="0" w:color="auto"/>
        <w:bottom w:val="none" w:sz="0" w:space="0" w:color="auto"/>
        <w:right w:val="none" w:sz="0" w:space="0" w:color="auto"/>
      </w:divBdr>
    </w:div>
    <w:div w:id="1797987668">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 w:id="1919828287">
      <w:bodyDiv w:val="1"/>
      <w:marLeft w:val="0"/>
      <w:marRight w:val="0"/>
      <w:marTop w:val="0"/>
      <w:marBottom w:val="0"/>
      <w:divBdr>
        <w:top w:val="none" w:sz="0" w:space="0" w:color="auto"/>
        <w:left w:val="none" w:sz="0" w:space="0" w:color="auto"/>
        <w:bottom w:val="none" w:sz="0" w:space="0" w:color="auto"/>
        <w:right w:val="none" w:sz="0" w:space="0" w:color="auto"/>
      </w:divBdr>
    </w:div>
    <w:div w:id="21254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ditt@rssb.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delayattributionboard.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nk.springer.com/article/10.1007/s11067-008-9087-2" TargetMode="External"/><Relationship Id="rId2" Type="http://schemas.openxmlformats.org/officeDocument/2006/relationships/hyperlink" Target="https://www.sparkrail.org/Lists/Records/DispForm.aspx?ID=26157" TargetMode="External"/><Relationship Id="rId1" Type="http://schemas.openxmlformats.org/officeDocument/2006/relationships/hyperlink" Target="https://orr.gov.uk/rail/consultations/policy-consultations-by-topic/economic-regulation/delay-attribution-review" TargetMode="External"/><Relationship Id="rId4" Type="http://schemas.openxmlformats.org/officeDocument/2006/relationships/hyperlink" Target="https://www.railengineer.co.uk/2019/04/09/rail-industry-readiness-levels-rirls-defined-and-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F45A268A-96B1-4D79-9B30-F946F74ACF1D}">
  <ds:schemaRefs>
    <ds:schemaRef ds:uri="http://schemas.microsoft.com/office/2006/documentManagement/types"/>
    <ds:schemaRef ds:uri="http://schemas.microsoft.com/office/infopath/2007/PartnerControls"/>
    <ds:schemaRef ds:uri="f5f58a65-2606-47be-a5f0-cc00fc74839b"/>
    <ds:schemaRef ds:uri="http://purl.org/dc/dcmitype/"/>
    <ds:schemaRef ds:uri="http://schemas.microsoft.com/sharepoint/v4"/>
    <ds:schemaRef ds:uri="http://schemas.openxmlformats.org/package/2006/metadata/core-properties"/>
    <ds:schemaRef ds:uri="4486A3F1-5225-4438-9DE8-7B687B4D3D5C"/>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AED8B-8517-4BAE-91F5-3580D81C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17</Pages>
  <Words>4777</Words>
  <Characters>28896</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COF-ADA v0.1</dc:creator>
  <cp:lastModifiedBy>Tanja Odinsen</cp:lastModifiedBy>
  <cp:revision>2</cp:revision>
  <dcterms:created xsi:type="dcterms:W3CDTF">2019-08-27T14:30:00Z</dcterms:created>
  <dcterms:modified xsi:type="dcterms:W3CDTF">2019-08-27T14:30:00Z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