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F64D" w14:textId="77777777" w:rsidR="00F43ED5" w:rsidRPr="00486E0D" w:rsidRDefault="00F43ED5" w:rsidP="00F43ED5">
      <w:pPr>
        <w:pStyle w:val="Header"/>
        <w:tabs>
          <w:tab w:val="clear" w:pos="4320"/>
          <w:tab w:val="clear" w:pos="8640"/>
        </w:tabs>
        <w:ind w:right="-1156"/>
        <w:jc w:val="right"/>
        <w:rPr>
          <w:rFonts w:ascii="Arial" w:eastAsia="Times New Roman" w:hAnsi="Arial"/>
        </w:rPr>
      </w:pPr>
      <w:bookmarkStart w:id="0" w:name="_Toc177969165"/>
      <w:bookmarkStart w:id="1" w:name="_Toc180380664"/>
    </w:p>
    <w:p w14:paraId="7C06B359" w14:textId="77777777" w:rsidR="00F43ED5" w:rsidRDefault="00F43ED5" w:rsidP="00F43ED5">
      <w:pPr>
        <w:pStyle w:val="Header"/>
        <w:tabs>
          <w:tab w:val="clear" w:pos="4320"/>
          <w:tab w:val="clear" w:pos="8640"/>
        </w:tabs>
        <w:ind w:right="-1156"/>
        <w:jc w:val="right"/>
        <w:rPr>
          <w:rFonts w:ascii="Arial" w:eastAsia="Times New Roman" w:hAnsi="Arial"/>
        </w:rPr>
      </w:pPr>
    </w:p>
    <w:p w14:paraId="281B5332" w14:textId="77777777" w:rsidR="00F43ED5" w:rsidRDefault="00F43ED5" w:rsidP="00F43ED5">
      <w:pPr>
        <w:jc w:val="right"/>
      </w:pPr>
    </w:p>
    <w:p w14:paraId="3B53745D" w14:textId="77777777" w:rsidR="00F43ED5" w:rsidRDefault="00F43ED5" w:rsidP="00F43ED5"/>
    <w:p w14:paraId="0BA3ED67" w14:textId="77777777" w:rsidR="00F43ED5" w:rsidRDefault="00F43ED5" w:rsidP="00F43ED5"/>
    <w:p w14:paraId="2AD74530" w14:textId="77777777" w:rsidR="00F43ED5" w:rsidRDefault="00F43ED5" w:rsidP="00F43ED5"/>
    <w:p w14:paraId="1F8601D4" w14:textId="77777777" w:rsidR="00F43ED5" w:rsidRDefault="00F43ED5" w:rsidP="00F43ED5"/>
    <w:p w14:paraId="7300EF1D" w14:textId="722EEC2A" w:rsidR="00F43ED5" w:rsidRPr="00FD7322" w:rsidRDefault="00934AEF" w:rsidP="00F43ED5">
      <w:r>
        <w:rPr>
          <w:noProof/>
          <w:lang w:eastAsia="en-GB"/>
        </w:rPr>
        <mc:AlternateContent>
          <mc:Choice Requires="wps">
            <w:drawing>
              <wp:anchor distT="0" distB="0" distL="114300" distR="114300" simplePos="0" relativeHeight="251665920" behindDoc="0" locked="0" layoutInCell="1" allowOverlap="1" wp14:anchorId="3FE4D48F" wp14:editId="673EE047">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90892" id="Rectangle 15" o:spid="_x0000_s1026" style="position:absolute;margin-left:387pt;margin-top:6.6pt;width:99.2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" fillcolor="#396" stroked="f" strokecolor="#36f"/>
            </w:pict>
          </mc:Fallback>
        </mc:AlternateContent>
      </w:r>
      <w:r>
        <w:rPr>
          <w:noProof/>
          <w:sz w:val="20"/>
          <w:lang w:eastAsia="en-GB"/>
        </w:rPr>
        <mc:AlternateContent>
          <mc:Choice Requires="wps">
            <w:drawing>
              <wp:anchor distT="0" distB="0" distL="114300" distR="114300" simplePos="0" relativeHeight="251664896" behindDoc="0" locked="0" layoutInCell="1" allowOverlap="1" wp14:anchorId="48BB495A" wp14:editId="04330FCC">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2A0E32DB" w14:textId="77777777" w:rsidR="003B43FF" w:rsidRDefault="003B43FF" w:rsidP="00F43ED5">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495A" id="_x0000_t202" coordsize="21600,21600" o:spt="202" path="m,l,21600r21600,l21600,xe">
                <v:stroke joinstyle="miter"/>
                <v:path gradientshapeok="t" o:connecttype="rect"/>
              </v:shapetype>
              <v:shape id="Text Box 12" o:spid="_x0000_s1026" type="#_x0000_t202" style="position:absolute;margin-left:-54pt;margin-top:6.6pt;width:441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" fillcolor="black" stroked="f" strokeweight=".25pt">
                <v:textbox inset=",1mm">
                  <w:txbxContent>
                    <w:p w14:paraId="2A0E32DB" w14:textId="77777777" w:rsidR="003B43FF" w:rsidRDefault="003B43FF" w:rsidP="00F43ED5">
                      <w:pPr>
                        <w:pStyle w:val="Header"/>
                        <w:tabs>
                          <w:tab w:val="clear" w:pos="4320"/>
                          <w:tab w:val="clear" w:pos="8640"/>
                        </w:tabs>
                        <w:rPr>
                          <w:rFonts w:ascii="Arial" w:hAnsi="Arial"/>
                          <w:color w:val="FFFFFF"/>
                          <w:sz w:val="36"/>
                        </w:rPr>
                      </w:pPr>
                    </w:p>
                  </w:txbxContent>
                </v:textbox>
              </v:shape>
            </w:pict>
          </mc:Fallback>
        </mc:AlternateContent>
      </w:r>
    </w:p>
    <w:p w14:paraId="05E22838" w14:textId="77777777" w:rsidR="00F43ED5" w:rsidRPr="00FD7322" w:rsidRDefault="00F43ED5" w:rsidP="00F43ED5"/>
    <w:p w14:paraId="502DA969" w14:textId="77777777" w:rsidR="00F43ED5" w:rsidRPr="00FD7322" w:rsidRDefault="00F43ED5" w:rsidP="00F43ED5"/>
    <w:p w14:paraId="02C8FC69" w14:textId="77777777" w:rsidR="00F43ED5" w:rsidRPr="00FD7322" w:rsidRDefault="00F43ED5" w:rsidP="00F43ED5"/>
    <w:p w14:paraId="738804C2" w14:textId="77777777" w:rsidR="00F43ED5" w:rsidRPr="00FD7322" w:rsidRDefault="00F43ED5" w:rsidP="00F43ED5"/>
    <w:p w14:paraId="442B84A9" w14:textId="77777777" w:rsidR="00F43ED5" w:rsidRPr="00FD7322" w:rsidRDefault="00F43ED5" w:rsidP="00F43ED5"/>
    <w:p w14:paraId="548D0D74" w14:textId="252DE7A3" w:rsidR="00F43ED5" w:rsidRPr="00FD7322" w:rsidRDefault="00934AEF" w:rsidP="00F43ED5">
      <w:r>
        <w:rPr>
          <w:noProof/>
          <w:sz w:val="20"/>
          <w:lang w:eastAsia="en-GB"/>
        </w:rPr>
        <mc:AlternateContent>
          <mc:Choice Requires="wps">
            <w:drawing>
              <wp:anchor distT="0" distB="0" distL="114300" distR="114300" simplePos="0" relativeHeight="251663872" behindDoc="0" locked="0" layoutInCell="1" allowOverlap="1" wp14:anchorId="53F9EA4B" wp14:editId="7ED7503B">
                <wp:simplePos x="0" y="0"/>
                <wp:positionH relativeFrom="margin">
                  <wp:align>center</wp:align>
                </wp:positionH>
                <wp:positionV relativeFrom="paragraph">
                  <wp:posOffset>50800</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84FC" w14:textId="77777777" w:rsidR="003B43FF" w:rsidRPr="00556954" w:rsidRDefault="003B43FF" w:rsidP="00F43ED5">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EA4B" id="Text Box 11" o:spid="_x0000_s1027" type="#_x0000_t202" style="position:absolute;margin-left:0;margin-top:4pt;width:6in;height:63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" filled="f" stroked="f">
                <v:textbox inset=",0,,0">
                  <w:txbxContent>
                    <w:p w14:paraId="0C8F84FC" w14:textId="77777777" w:rsidR="003B43FF" w:rsidRPr="00556954" w:rsidRDefault="003B43FF" w:rsidP="00F43ED5">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4249EE9C" w14:textId="77777777" w:rsidR="00F43ED5" w:rsidRPr="00FD7322" w:rsidRDefault="00F43ED5" w:rsidP="00F43ED5"/>
    <w:p w14:paraId="2953BDDA" w14:textId="77777777" w:rsidR="00F43ED5" w:rsidRPr="00FD7322" w:rsidRDefault="00F43ED5" w:rsidP="00F43ED5"/>
    <w:p w14:paraId="0CA70C3F" w14:textId="77777777" w:rsidR="00F43ED5" w:rsidRPr="00FD7322" w:rsidRDefault="00F43ED5" w:rsidP="00F43ED5"/>
    <w:p w14:paraId="7F8D7B44" w14:textId="77777777" w:rsidR="00F43ED5" w:rsidRPr="00FD7322" w:rsidRDefault="00F43ED5" w:rsidP="00F43ED5"/>
    <w:p w14:paraId="71BECA40" w14:textId="77777777" w:rsidR="00F43ED5" w:rsidRPr="00FD7322" w:rsidRDefault="00F43ED5" w:rsidP="00F43ED5"/>
    <w:p w14:paraId="3F61DE7A" w14:textId="77777777" w:rsidR="00F43ED5" w:rsidRPr="00FD7322" w:rsidRDefault="00F43ED5" w:rsidP="00F43ED5">
      <w:pPr>
        <w:jc w:val="center"/>
        <w:rPr>
          <w:rFonts w:ascii="Arial Black" w:hAnsi="Arial Black" w:cs="Arial"/>
          <w:sz w:val="40"/>
          <w:szCs w:val="40"/>
        </w:rPr>
      </w:pPr>
    </w:p>
    <w:p w14:paraId="28A0D772" w14:textId="77777777" w:rsidR="00F43ED5" w:rsidRPr="00FD7322" w:rsidRDefault="00F43ED5" w:rsidP="00F43ED5">
      <w:pPr>
        <w:jc w:val="center"/>
        <w:rPr>
          <w:rFonts w:ascii="Arial Black" w:hAnsi="Arial Black" w:cs="Arial"/>
          <w:sz w:val="40"/>
          <w:szCs w:val="40"/>
        </w:rPr>
      </w:pPr>
      <w:r w:rsidRPr="00FD7322">
        <w:rPr>
          <w:rFonts w:ascii="Arial Black" w:hAnsi="Arial Black" w:cs="Arial"/>
          <w:sz w:val="40"/>
          <w:szCs w:val="40"/>
        </w:rPr>
        <w:t>Provision of Stores Vans (2021)</w:t>
      </w:r>
    </w:p>
    <w:p w14:paraId="3D76042F" w14:textId="77777777" w:rsidR="00F43ED5" w:rsidRPr="00FD7322" w:rsidRDefault="00F43ED5" w:rsidP="00F43ED5">
      <w:pPr>
        <w:jc w:val="center"/>
        <w:rPr>
          <w:rFonts w:cs="Arial"/>
          <w:sz w:val="32"/>
          <w:szCs w:val="32"/>
        </w:rPr>
      </w:pPr>
      <w:r w:rsidRPr="00FD7322">
        <w:rPr>
          <w:rFonts w:cs="Arial"/>
          <w:sz w:val="32"/>
          <w:szCs w:val="32"/>
        </w:rPr>
        <w:t>Commercial Directorate</w:t>
      </w:r>
    </w:p>
    <w:p w14:paraId="738B5BC2" w14:textId="77777777" w:rsidR="00F43ED5" w:rsidRPr="00FD7322" w:rsidRDefault="00F43ED5" w:rsidP="00F43ED5"/>
    <w:p w14:paraId="444C15C4" w14:textId="77777777" w:rsidR="00F43ED5" w:rsidRPr="00FD7322" w:rsidRDefault="00F43ED5" w:rsidP="00F43ED5"/>
    <w:p w14:paraId="35EBD672" w14:textId="77777777" w:rsidR="00F43ED5" w:rsidRPr="00FD7322" w:rsidRDefault="00F43ED5" w:rsidP="00F43ED5"/>
    <w:p w14:paraId="338EAFE0" w14:textId="77777777" w:rsidR="00F43ED5" w:rsidRPr="00FD7322" w:rsidRDefault="00F43ED5" w:rsidP="00F43ED5"/>
    <w:p w14:paraId="03FE03C3" w14:textId="77777777" w:rsidR="00F43ED5" w:rsidRPr="00FD7322" w:rsidRDefault="00F43ED5" w:rsidP="00F43ED5"/>
    <w:p w14:paraId="42E30C15" w14:textId="77777777" w:rsidR="00F43ED5" w:rsidRPr="00FD7322" w:rsidRDefault="00F43ED5" w:rsidP="00F43ED5"/>
    <w:p w14:paraId="1B535CF8" w14:textId="77777777" w:rsidR="00F43ED5" w:rsidRPr="00FD7322" w:rsidRDefault="00F43ED5" w:rsidP="00F43ED5"/>
    <w:p w14:paraId="682259AD" w14:textId="77777777" w:rsidR="00F43ED5" w:rsidRPr="00FD7322" w:rsidRDefault="00F43ED5" w:rsidP="00F43ED5"/>
    <w:p w14:paraId="08D73BE9" w14:textId="77777777" w:rsidR="00F43ED5" w:rsidRPr="00FD7322" w:rsidRDefault="00F43ED5" w:rsidP="00F43ED5"/>
    <w:p w14:paraId="44220900" w14:textId="77777777" w:rsidR="00F43ED5" w:rsidRPr="00FD7322" w:rsidRDefault="00F43ED5" w:rsidP="00F43ED5"/>
    <w:p w14:paraId="68C0170B" w14:textId="77777777" w:rsidR="00F43ED5" w:rsidRPr="00FD7322" w:rsidRDefault="00F43ED5" w:rsidP="00F43ED5"/>
    <w:p w14:paraId="2C40FD3B" w14:textId="77777777" w:rsidR="00F43ED5" w:rsidRPr="00FD7322" w:rsidRDefault="00F43ED5" w:rsidP="00F43ED5"/>
    <w:p w14:paraId="543F7A0D" w14:textId="77777777" w:rsidR="00F43ED5" w:rsidRPr="00FD7322" w:rsidRDefault="00F43ED5" w:rsidP="00F43ED5">
      <w:pPr>
        <w:tabs>
          <w:tab w:val="left" w:pos="1380"/>
        </w:tabs>
        <w:jc w:val="both"/>
      </w:pPr>
    </w:p>
    <w:p w14:paraId="223A38B7" w14:textId="77777777" w:rsidR="00F43ED5" w:rsidRPr="00FD7322" w:rsidRDefault="00F43ED5" w:rsidP="00F43ED5">
      <w:pPr>
        <w:rPr>
          <w:rFonts w:cs="Arial"/>
          <w:sz w:val="36"/>
          <w:szCs w:val="36"/>
        </w:rPr>
      </w:pPr>
      <w:r w:rsidRPr="00FD7322">
        <w:rPr>
          <w:rFonts w:cs="Arial"/>
          <w:b/>
          <w:sz w:val="36"/>
          <w:szCs w:val="36"/>
        </w:rPr>
        <w:t>Contract Reference: PS/20/276</w:t>
      </w:r>
      <w:r w:rsidR="00FC1D6F">
        <w:rPr>
          <w:rFonts w:cs="Arial"/>
          <w:b/>
          <w:sz w:val="36"/>
          <w:szCs w:val="36"/>
        </w:rPr>
        <w:t xml:space="preserve"> (Lot 4)</w:t>
      </w:r>
    </w:p>
    <w:p w14:paraId="2E9E7EDA" w14:textId="77777777" w:rsidR="00F43ED5" w:rsidRPr="00FD7322" w:rsidRDefault="00F43ED5" w:rsidP="00F43ED5">
      <w:pPr>
        <w:rPr>
          <w:rFonts w:cs="Arial"/>
          <w:b/>
          <w:sz w:val="28"/>
          <w:szCs w:val="28"/>
        </w:rPr>
      </w:pPr>
    </w:p>
    <w:p w14:paraId="117537C8" w14:textId="77777777" w:rsidR="00F43ED5" w:rsidRPr="00FD7322" w:rsidRDefault="00F43ED5" w:rsidP="00F43ED5">
      <w:pPr>
        <w:rPr>
          <w:rFonts w:cs="Arial"/>
          <w:b/>
          <w:sz w:val="28"/>
          <w:szCs w:val="28"/>
        </w:rPr>
      </w:pPr>
    </w:p>
    <w:p w14:paraId="58E9AB2D" w14:textId="77777777" w:rsidR="00F43ED5" w:rsidRDefault="00F43ED5" w:rsidP="00F43ED5">
      <w:pPr>
        <w:rPr>
          <w:rFonts w:cs="Arial"/>
          <w:b/>
          <w:szCs w:val="24"/>
        </w:rPr>
      </w:pPr>
      <w:r w:rsidRPr="00FD7322">
        <w:rPr>
          <w:rFonts w:cs="Arial"/>
          <w:b/>
          <w:szCs w:val="24"/>
        </w:rPr>
        <w:t xml:space="preserve">Date: </w:t>
      </w:r>
      <w:r w:rsidR="00FC1D6F">
        <w:rPr>
          <w:rFonts w:cs="Arial"/>
          <w:b/>
          <w:szCs w:val="24"/>
        </w:rPr>
        <w:t>10/05</w:t>
      </w:r>
      <w:r w:rsidR="00AD1CC4">
        <w:rPr>
          <w:rFonts w:cs="Arial"/>
          <w:b/>
          <w:szCs w:val="24"/>
        </w:rPr>
        <w:t>/2021</w:t>
      </w:r>
    </w:p>
    <w:p w14:paraId="1758CE0B" w14:textId="77777777" w:rsidR="00AD1CC4" w:rsidRPr="00FD7322" w:rsidRDefault="00AD1CC4" w:rsidP="00F43ED5">
      <w:pPr>
        <w:rPr>
          <w:rFonts w:cs="Arial"/>
          <w:b/>
          <w:szCs w:val="24"/>
        </w:rPr>
      </w:pPr>
    </w:p>
    <w:p w14:paraId="44E536AA" w14:textId="77777777" w:rsidR="00F43ED5" w:rsidRPr="00FD7322" w:rsidRDefault="00F43ED5" w:rsidP="00F43ED5">
      <w:pPr>
        <w:rPr>
          <w:rFonts w:cs="Arial"/>
          <w:b/>
          <w:szCs w:val="24"/>
        </w:rPr>
      </w:pPr>
      <w:r w:rsidRPr="00FD7322">
        <w:rPr>
          <w:rFonts w:cs="Arial"/>
          <w:b/>
          <w:szCs w:val="24"/>
        </w:rPr>
        <w:t xml:space="preserve">Version: </w:t>
      </w:r>
      <w:r w:rsidR="00AD1CC4">
        <w:rPr>
          <w:rFonts w:cs="Arial"/>
          <w:b/>
          <w:szCs w:val="24"/>
        </w:rPr>
        <w:t>1.0</w:t>
      </w:r>
    </w:p>
    <w:p w14:paraId="286EFA37" w14:textId="77777777" w:rsidR="00FC1D6F" w:rsidRDefault="00F43ED5" w:rsidP="00EF2FFA">
      <w:pPr>
        <w:pStyle w:val="TOC2"/>
        <w:tabs>
          <w:tab w:val="right" w:pos="9350"/>
        </w:tabs>
        <w:rPr>
          <w:noProof/>
        </w:rPr>
      </w:pPr>
      <w:r w:rsidRPr="00FD7322">
        <w:rPr>
          <w:rFonts w:cs="Arial"/>
          <w:bCs w:val="0"/>
          <w:sz w:val="24"/>
          <w:szCs w:val="24"/>
        </w:rPr>
        <w:br w:type="page"/>
      </w:r>
      <w:r w:rsidR="00F4725A" w:rsidRPr="00B96BE4">
        <w:rPr>
          <w:rFonts w:cs="Arial"/>
          <w:bCs w:val="0"/>
          <w:sz w:val="22"/>
          <w:szCs w:val="24"/>
        </w:rPr>
        <w:fldChar w:fldCharType="begin"/>
      </w:r>
      <w:r w:rsidR="001A236D" w:rsidRPr="00B96BE4">
        <w:rPr>
          <w:rFonts w:cs="Arial"/>
          <w:bCs w:val="0"/>
          <w:sz w:val="22"/>
          <w:szCs w:val="24"/>
        </w:rPr>
        <w:instrText xml:space="preserve"> TOC \o "1-3" \h \z \u </w:instrText>
      </w:r>
      <w:r w:rsidR="00F4725A" w:rsidRPr="00B96BE4">
        <w:rPr>
          <w:rFonts w:cs="Arial"/>
          <w:bCs w:val="0"/>
          <w:sz w:val="22"/>
          <w:szCs w:val="24"/>
        </w:rPr>
        <w:fldChar w:fldCharType="separate"/>
      </w:r>
    </w:p>
    <w:p w14:paraId="4481DD62"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4" w:history="1">
        <w:r w:rsidR="00FC1D6F" w:rsidRPr="000263CB">
          <w:rPr>
            <w:rStyle w:val="Hyperlink"/>
            <w:noProof/>
          </w:rPr>
          <w:t>1. Introduction</w:t>
        </w:r>
        <w:r w:rsidR="00FC1D6F">
          <w:rPr>
            <w:noProof/>
            <w:webHidden/>
          </w:rPr>
          <w:tab/>
        </w:r>
        <w:r w:rsidR="00FC1D6F">
          <w:rPr>
            <w:noProof/>
            <w:webHidden/>
          </w:rPr>
          <w:fldChar w:fldCharType="begin"/>
        </w:r>
        <w:r w:rsidR="00FC1D6F">
          <w:rPr>
            <w:noProof/>
            <w:webHidden/>
          </w:rPr>
          <w:instrText xml:space="preserve"> PAGEREF _Toc71532034 \h </w:instrText>
        </w:r>
        <w:r w:rsidR="00FC1D6F">
          <w:rPr>
            <w:noProof/>
            <w:webHidden/>
          </w:rPr>
        </w:r>
        <w:r w:rsidR="00FC1D6F">
          <w:rPr>
            <w:noProof/>
            <w:webHidden/>
          </w:rPr>
          <w:fldChar w:fldCharType="separate"/>
        </w:r>
        <w:r w:rsidR="00FC1D6F">
          <w:rPr>
            <w:noProof/>
            <w:webHidden/>
          </w:rPr>
          <w:t>3</w:t>
        </w:r>
        <w:r w:rsidR="00FC1D6F">
          <w:rPr>
            <w:noProof/>
            <w:webHidden/>
          </w:rPr>
          <w:fldChar w:fldCharType="end"/>
        </w:r>
      </w:hyperlink>
    </w:p>
    <w:p w14:paraId="4516C46E"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5" w:history="1">
        <w:r w:rsidR="00FC1D6F" w:rsidRPr="000263CB">
          <w:rPr>
            <w:rStyle w:val="Hyperlink"/>
            <w:noProof/>
          </w:rPr>
          <w:t>2.Background to the Requirement</w:t>
        </w:r>
        <w:r w:rsidR="00FC1D6F">
          <w:rPr>
            <w:noProof/>
            <w:webHidden/>
          </w:rPr>
          <w:tab/>
        </w:r>
        <w:r w:rsidR="00FC1D6F">
          <w:rPr>
            <w:noProof/>
            <w:webHidden/>
          </w:rPr>
          <w:fldChar w:fldCharType="begin"/>
        </w:r>
        <w:r w:rsidR="00FC1D6F">
          <w:rPr>
            <w:noProof/>
            <w:webHidden/>
          </w:rPr>
          <w:instrText xml:space="preserve"> PAGEREF _Toc71532035 \h </w:instrText>
        </w:r>
        <w:r w:rsidR="00FC1D6F">
          <w:rPr>
            <w:noProof/>
            <w:webHidden/>
          </w:rPr>
        </w:r>
        <w:r w:rsidR="00FC1D6F">
          <w:rPr>
            <w:noProof/>
            <w:webHidden/>
          </w:rPr>
          <w:fldChar w:fldCharType="separate"/>
        </w:r>
        <w:r w:rsidR="00FC1D6F">
          <w:rPr>
            <w:noProof/>
            <w:webHidden/>
          </w:rPr>
          <w:t>3</w:t>
        </w:r>
        <w:r w:rsidR="00FC1D6F">
          <w:rPr>
            <w:noProof/>
            <w:webHidden/>
          </w:rPr>
          <w:fldChar w:fldCharType="end"/>
        </w:r>
      </w:hyperlink>
    </w:p>
    <w:p w14:paraId="157A82E9"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6" w:history="1">
        <w:r w:rsidR="00FC1D6F" w:rsidRPr="000263CB">
          <w:rPr>
            <w:rStyle w:val="Hyperlink"/>
            <w:noProof/>
          </w:rPr>
          <w:t>3. Procurement Timetable</w:t>
        </w:r>
        <w:r w:rsidR="00FC1D6F">
          <w:rPr>
            <w:noProof/>
            <w:webHidden/>
          </w:rPr>
          <w:tab/>
        </w:r>
        <w:r w:rsidR="00FC1D6F">
          <w:rPr>
            <w:noProof/>
            <w:webHidden/>
          </w:rPr>
          <w:fldChar w:fldCharType="begin"/>
        </w:r>
        <w:r w:rsidR="00FC1D6F">
          <w:rPr>
            <w:noProof/>
            <w:webHidden/>
          </w:rPr>
          <w:instrText xml:space="preserve"> PAGEREF _Toc71532036 \h </w:instrText>
        </w:r>
        <w:r w:rsidR="00FC1D6F">
          <w:rPr>
            <w:noProof/>
            <w:webHidden/>
          </w:rPr>
        </w:r>
        <w:r w:rsidR="00FC1D6F">
          <w:rPr>
            <w:noProof/>
            <w:webHidden/>
          </w:rPr>
          <w:fldChar w:fldCharType="separate"/>
        </w:r>
        <w:r w:rsidR="00FC1D6F">
          <w:rPr>
            <w:noProof/>
            <w:webHidden/>
          </w:rPr>
          <w:t>4</w:t>
        </w:r>
        <w:r w:rsidR="00FC1D6F">
          <w:rPr>
            <w:noProof/>
            <w:webHidden/>
          </w:rPr>
          <w:fldChar w:fldCharType="end"/>
        </w:r>
      </w:hyperlink>
    </w:p>
    <w:p w14:paraId="17FCDB0C"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7" w:history="1">
        <w:r w:rsidR="00FC1D6F" w:rsidRPr="000263CB">
          <w:rPr>
            <w:rStyle w:val="Hyperlink"/>
            <w:noProof/>
          </w:rPr>
          <w:t>4. Scope</w:t>
        </w:r>
        <w:r w:rsidR="00FC1D6F">
          <w:rPr>
            <w:noProof/>
            <w:webHidden/>
          </w:rPr>
          <w:tab/>
        </w:r>
        <w:r w:rsidR="00FC1D6F">
          <w:rPr>
            <w:noProof/>
            <w:webHidden/>
          </w:rPr>
          <w:fldChar w:fldCharType="begin"/>
        </w:r>
        <w:r w:rsidR="00FC1D6F">
          <w:rPr>
            <w:noProof/>
            <w:webHidden/>
          </w:rPr>
          <w:instrText xml:space="preserve"> PAGEREF _Toc71532037 \h </w:instrText>
        </w:r>
        <w:r w:rsidR="00FC1D6F">
          <w:rPr>
            <w:noProof/>
            <w:webHidden/>
          </w:rPr>
        </w:r>
        <w:r w:rsidR="00FC1D6F">
          <w:rPr>
            <w:noProof/>
            <w:webHidden/>
          </w:rPr>
          <w:fldChar w:fldCharType="separate"/>
        </w:r>
        <w:r w:rsidR="00FC1D6F">
          <w:rPr>
            <w:noProof/>
            <w:webHidden/>
          </w:rPr>
          <w:t>4</w:t>
        </w:r>
        <w:r w:rsidR="00FC1D6F">
          <w:rPr>
            <w:noProof/>
            <w:webHidden/>
          </w:rPr>
          <w:fldChar w:fldCharType="end"/>
        </w:r>
      </w:hyperlink>
    </w:p>
    <w:p w14:paraId="5A6C09E3"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8" w:history="1">
        <w:r w:rsidR="00FC1D6F" w:rsidRPr="000263CB">
          <w:rPr>
            <w:rStyle w:val="Hyperlink"/>
            <w:noProof/>
          </w:rPr>
          <w:t>5. Implementation and Deliverables</w:t>
        </w:r>
        <w:r w:rsidR="00FC1D6F">
          <w:rPr>
            <w:noProof/>
            <w:webHidden/>
          </w:rPr>
          <w:tab/>
        </w:r>
        <w:r w:rsidR="00FC1D6F">
          <w:rPr>
            <w:noProof/>
            <w:webHidden/>
          </w:rPr>
          <w:fldChar w:fldCharType="begin"/>
        </w:r>
        <w:r w:rsidR="00FC1D6F">
          <w:rPr>
            <w:noProof/>
            <w:webHidden/>
          </w:rPr>
          <w:instrText xml:space="preserve"> PAGEREF _Toc71532038 \h </w:instrText>
        </w:r>
        <w:r w:rsidR="00FC1D6F">
          <w:rPr>
            <w:noProof/>
            <w:webHidden/>
          </w:rPr>
        </w:r>
        <w:r w:rsidR="00FC1D6F">
          <w:rPr>
            <w:noProof/>
            <w:webHidden/>
          </w:rPr>
          <w:fldChar w:fldCharType="separate"/>
        </w:r>
        <w:r w:rsidR="00FC1D6F">
          <w:rPr>
            <w:noProof/>
            <w:webHidden/>
          </w:rPr>
          <w:t>5</w:t>
        </w:r>
        <w:r w:rsidR="00FC1D6F">
          <w:rPr>
            <w:noProof/>
            <w:webHidden/>
          </w:rPr>
          <w:fldChar w:fldCharType="end"/>
        </w:r>
      </w:hyperlink>
    </w:p>
    <w:p w14:paraId="7DC441F2"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39" w:history="1">
        <w:r w:rsidR="00FC1D6F" w:rsidRPr="000263CB">
          <w:rPr>
            <w:rStyle w:val="Hyperlink"/>
            <w:noProof/>
          </w:rPr>
          <w:t>6.Specifying Goods and / or Services</w:t>
        </w:r>
        <w:r w:rsidR="00FC1D6F">
          <w:rPr>
            <w:noProof/>
            <w:webHidden/>
          </w:rPr>
          <w:tab/>
        </w:r>
        <w:r w:rsidR="00FC1D6F">
          <w:rPr>
            <w:noProof/>
            <w:webHidden/>
          </w:rPr>
          <w:fldChar w:fldCharType="begin"/>
        </w:r>
        <w:r w:rsidR="00FC1D6F">
          <w:rPr>
            <w:noProof/>
            <w:webHidden/>
          </w:rPr>
          <w:instrText xml:space="preserve"> PAGEREF _Toc71532039 \h </w:instrText>
        </w:r>
        <w:r w:rsidR="00FC1D6F">
          <w:rPr>
            <w:noProof/>
            <w:webHidden/>
          </w:rPr>
        </w:r>
        <w:r w:rsidR="00FC1D6F">
          <w:rPr>
            <w:noProof/>
            <w:webHidden/>
          </w:rPr>
          <w:fldChar w:fldCharType="separate"/>
        </w:r>
        <w:r w:rsidR="00FC1D6F">
          <w:rPr>
            <w:noProof/>
            <w:webHidden/>
          </w:rPr>
          <w:t>6</w:t>
        </w:r>
        <w:r w:rsidR="00FC1D6F">
          <w:rPr>
            <w:noProof/>
            <w:webHidden/>
          </w:rPr>
          <w:fldChar w:fldCharType="end"/>
        </w:r>
      </w:hyperlink>
    </w:p>
    <w:p w14:paraId="6D22E41C"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40" w:history="1">
        <w:r w:rsidR="00FC1D6F" w:rsidRPr="000263CB">
          <w:rPr>
            <w:rStyle w:val="Hyperlink"/>
            <w:noProof/>
          </w:rPr>
          <w:t>Type A Vehicle</w:t>
        </w:r>
        <w:r w:rsidR="00FC1D6F">
          <w:rPr>
            <w:noProof/>
            <w:webHidden/>
          </w:rPr>
          <w:tab/>
        </w:r>
        <w:r w:rsidR="00FC1D6F">
          <w:rPr>
            <w:noProof/>
            <w:webHidden/>
          </w:rPr>
          <w:fldChar w:fldCharType="begin"/>
        </w:r>
        <w:r w:rsidR="00FC1D6F">
          <w:rPr>
            <w:noProof/>
            <w:webHidden/>
          </w:rPr>
          <w:instrText xml:space="preserve"> PAGEREF _Toc71532040 \h </w:instrText>
        </w:r>
        <w:r w:rsidR="00FC1D6F">
          <w:rPr>
            <w:noProof/>
            <w:webHidden/>
          </w:rPr>
        </w:r>
        <w:r w:rsidR="00FC1D6F">
          <w:rPr>
            <w:noProof/>
            <w:webHidden/>
          </w:rPr>
          <w:fldChar w:fldCharType="separate"/>
        </w:r>
        <w:r w:rsidR="00FC1D6F">
          <w:rPr>
            <w:noProof/>
            <w:webHidden/>
          </w:rPr>
          <w:t>6</w:t>
        </w:r>
        <w:r w:rsidR="00FC1D6F">
          <w:rPr>
            <w:noProof/>
            <w:webHidden/>
          </w:rPr>
          <w:fldChar w:fldCharType="end"/>
        </w:r>
      </w:hyperlink>
    </w:p>
    <w:p w14:paraId="6E960878"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41" w:history="1">
        <w:r w:rsidR="00FC1D6F" w:rsidRPr="000263CB">
          <w:rPr>
            <w:rStyle w:val="Hyperlink"/>
            <w:noProof/>
          </w:rPr>
          <w:t>Type B Vehicle</w:t>
        </w:r>
        <w:r w:rsidR="00FC1D6F">
          <w:rPr>
            <w:noProof/>
            <w:webHidden/>
          </w:rPr>
          <w:tab/>
        </w:r>
        <w:r w:rsidR="00FC1D6F">
          <w:rPr>
            <w:noProof/>
            <w:webHidden/>
          </w:rPr>
          <w:fldChar w:fldCharType="begin"/>
        </w:r>
        <w:r w:rsidR="00FC1D6F">
          <w:rPr>
            <w:noProof/>
            <w:webHidden/>
          </w:rPr>
          <w:instrText xml:space="preserve"> PAGEREF _Toc71532041 \h </w:instrText>
        </w:r>
        <w:r w:rsidR="00FC1D6F">
          <w:rPr>
            <w:noProof/>
            <w:webHidden/>
          </w:rPr>
        </w:r>
        <w:r w:rsidR="00FC1D6F">
          <w:rPr>
            <w:noProof/>
            <w:webHidden/>
          </w:rPr>
          <w:fldChar w:fldCharType="separate"/>
        </w:r>
        <w:r w:rsidR="00FC1D6F">
          <w:rPr>
            <w:noProof/>
            <w:webHidden/>
          </w:rPr>
          <w:t>7</w:t>
        </w:r>
        <w:r w:rsidR="00FC1D6F">
          <w:rPr>
            <w:noProof/>
            <w:webHidden/>
          </w:rPr>
          <w:fldChar w:fldCharType="end"/>
        </w:r>
      </w:hyperlink>
    </w:p>
    <w:p w14:paraId="0CCFDF01"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42" w:history="1">
        <w:r w:rsidR="00FC1D6F" w:rsidRPr="000263CB">
          <w:rPr>
            <w:rStyle w:val="Hyperlink"/>
            <w:noProof/>
          </w:rPr>
          <w:t>Social Value Considerations</w:t>
        </w:r>
        <w:r w:rsidR="00FC1D6F">
          <w:rPr>
            <w:noProof/>
            <w:webHidden/>
          </w:rPr>
          <w:tab/>
        </w:r>
        <w:r w:rsidR="00FC1D6F">
          <w:rPr>
            <w:noProof/>
            <w:webHidden/>
          </w:rPr>
          <w:fldChar w:fldCharType="begin"/>
        </w:r>
        <w:r w:rsidR="00FC1D6F">
          <w:rPr>
            <w:noProof/>
            <w:webHidden/>
          </w:rPr>
          <w:instrText xml:space="preserve"> PAGEREF _Toc71532042 \h </w:instrText>
        </w:r>
        <w:r w:rsidR="00FC1D6F">
          <w:rPr>
            <w:noProof/>
            <w:webHidden/>
          </w:rPr>
        </w:r>
        <w:r w:rsidR="00FC1D6F">
          <w:rPr>
            <w:noProof/>
            <w:webHidden/>
          </w:rPr>
          <w:fldChar w:fldCharType="separate"/>
        </w:r>
        <w:r w:rsidR="00FC1D6F">
          <w:rPr>
            <w:noProof/>
            <w:webHidden/>
          </w:rPr>
          <w:t>10</w:t>
        </w:r>
        <w:r w:rsidR="00FC1D6F">
          <w:rPr>
            <w:noProof/>
            <w:webHidden/>
          </w:rPr>
          <w:fldChar w:fldCharType="end"/>
        </w:r>
      </w:hyperlink>
    </w:p>
    <w:p w14:paraId="1DAAE323"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43" w:history="1">
        <w:r w:rsidR="00FC1D6F" w:rsidRPr="000263CB">
          <w:rPr>
            <w:rStyle w:val="Hyperlink"/>
            <w:noProof/>
          </w:rPr>
          <w:t>Modern Slavery Considerations</w:t>
        </w:r>
        <w:r w:rsidR="00FC1D6F">
          <w:rPr>
            <w:noProof/>
            <w:webHidden/>
          </w:rPr>
          <w:tab/>
        </w:r>
        <w:r w:rsidR="00FC1D6F">
          <w:rPr>
            <w:noProof/>
            <w:webHidden/>
          </w:rPr>
          <w:fldChar w:fldCharType="begin"/>
        </w:r>
        <w:r w:rsidR="00FC1D6F">
          <w:rPr>
            <w:noProof/>
            <w:webHidden/>
          </w:rPr>
          <w:instrText xml:space="preserve"> PAGEREF _Toc71532043 \h </w:instrText>
        </w:r>
        <w:r w:rsidR="00FC1D6F">
          <w:rPr>
            <w:noProof/>
            <w:webHidden/>
          </w:rPr>
        </w:r>
        <w:r w:rsidR="00FC1D6F">
          <w:rPr>
            <w:noProof/>
            <w:webHidden/>
          </w:rPr>
          <w:fldChar w:fldCharType="separate"/>
        </w:r>
        <w:r w:rsidR="00FC1D6F">
          <w:rPr>
            <w:noProof/>
            <w:webHidden/>
          </w:rPr>
          <w:t>10</w:t>
        </w:r>
        <w:r w:rsidR="00FC1D6F">
          <w:rPr>
            <w:noProof/>
            <w:webHidden/>
          </w:rPr>
          <w:fldChar w:fldCharType="end"/>
        </w:r>
      </w:hyperlink>
    </w:p>
    <w:p w14:paraId="3FD86AEA"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44" w:history="1">
        <w:r w:rsidR="00FC1D6F" w:rsidRPr="000263CB">
          <w:rPr>
            <w:rStyle w:val="Hyperlink"/>
            <w:noProof/>
          </w:rPr>
          <w:t>7. Quality Assurance Requirements</w:t>
        </w:r>
        <w:r w:rsidR="00FC1D6F">
          <w:rPr>
            <w:noProof/>
            <w:webHidden/>
          </w:rPr>
          <w:tab/>
        </w:r>
        <w:r w:rsidR="00FC1D6F">
          <w:rPr>
            <w:noProof/>
            <w:webHidden/>
          </w:rPr>
          <w:fldChar w:fldCharType="begin"/>
        </w:r>
        <w:r w:rsidR="00FC1D6F">
          <w:rPr>
            <w:noProof/>
            <w:webHidden/>
          </w:rPr>
          <w:instrText xml:space="preserve"> PAGEREF _Toc71532044 \h </w:instrText>
        </w:r>
        <w:r w:rsidR="00FC1D6F">
          <w:rPr>
            <w:noProof/>
            <w:webHidden/>
          </w:rPr>
        </w:r>
        <w:r w:rsidR="00FC1D6F">
          <w:rPr>
            <w:noProof/>
            <w:webHidden/>
          </w:rPr>
          <w:fldChar w:fldCharType="separate"/>
        </w:r>
        <w:r w:rsidR="00FC1D6F">
          <w:rPr>
            <w:noProof/>
            <w:webHidden/>
          </w:rPr>
          <w:t>10</w:t>
        </w:r>
        <w:r w:rsidR="00FC1D6F">
          <w:rPr>
            <w:noProof/>
            <w:webHidden/>
          </w:rPr>
          <w:fldChar w:fldCharType="end"/>
        </w:r>
      </w:hyperlink>
    </w:p>
    <w:p w14:paraId="6C8A6B7F"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45" w:history="1">
        <w:r w:rsidR="00FC1D6F" w:rsidRPr="000263CB">
          <w:rPr>
            <w:rStyle w:val="Hyperlink"/>
            <w:noProof/>
          </w:rPr>
          <w:t>8. Other Requirements</w:t>
        </w:r>
        <w:r w:rsidR="00FC1D6F">
          <w:rPr>
            <w:noProof/>
            <w:webHidden/>
          </w:rPr>
          <w:tab/>
        </w:r>
        <w:r w:rsidR="00FC1D6F">
          <w:rPr>
            <w:noProof/>
            <w:webHidden/>
          </w:rPr>
          <w:fldChar w:fldCharType="begin"/>
        </w:r>
        <w:r w:rsidR="00FC1D6F">
          <w:rPr>
            <w:noProof/>
            <w:webHidden/>
          </w:rPr>
          <w:instrText xml:space="preserve"> PAGEREF _Toc71532045 \h </w:instrText>
        </w:r>
        <w:r w:rsidR="00FC1D6F">
          <w:rPr>
            <w:noProof/>
            <w:webHidden/>
          </w:rPr>
        </w:r>
        <w:r w:rsidR="00FC1D6F">
          <w:rPr>
            <w:noProof/>
            <w:webHidden/>
          </w:rPr>
          <w:fldChar w:fldCharType="separate"/>
        </w:r>
        <w:r w:rsidR="00FC1D6F">
          <w:rPr>
            <w:noProof/>
            <w:webHidden/>
          </w:rPr>
          <w:t>10</w:t>
        </w:r>
        <w:r w:rsidR="00FC1D6F">
          <w:rPr>
            <w:noProof/>
            <w:webHidden/>
          </w:rPr>
          <w:fldChar w:fldCharType="end"/>
        </w:r>
      </w:hyperlink>
    </w:p>
    <w:p w14:paraId="154AD4D6"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46" w:history="1">
        <w:r w:rsidR="00FC1D6F" w:rsidRPr="000263CB">
          <w:rPr>
            <w:rStyle w:val="Hyperlink"/>
            <w:rFonts w:cstheme="minorHAnsi"/>
            <w:noProof/>
          </w:rPr>
          <w:t>Sustainability</w:t>
        </w:r>
        <w:r w:rsidR="00FC1D6F">
          <w:rPr>
            <w:noProof/>
            <w:webHidden/>
          </w:rPr>
          <w:tab/>
        </w:r>
        <w:r w:rsidR="00FC1D6F">
          <w:rPr>
            <w:noProof/>
            <w:webHidden/>
          </w:rPr>
          <w:fldChar w:fldCharType="begin"/>
        </w:r>
        <w:r w:rsidR="00FC1D6F">
          <w:rPr>
            <w:noProof/>
            <w:webHidden/>
          </w:rPr>
          <w:instrText xml:space="preserve"> PAGEREF _Toc71532046 \h </w:instrText>
        </w:r>
        <w:r w:rsidR="00FC1D6F">
          <w:rPr>
            <w:noProof/>
            <w:webHidden/>
          </w:rPr>
        </w:r>
        <w:r w:rsidR="00FC1D6F">
          <w:rPr>
            <w:noProof/>
            <w:webHidden/>
          </w:rPr>
          <w:fldChar w:fldCharType="separate"/>
        </w:r>
        <w:r w:rsidR="00FC1D6F">
          <w:rPr>
            <w:noProof/>
            <w:webHidden/>
          </w:rPr>
          <w:t>10</w:t>
        </w:r>
        <w:r w:rsidR="00FC1D6F">
          <w:rPr>
            <w:noProof/>
            <w:webHidden/>
          </w:rPr>
          <w:fldChar w:fldCharType="end"/>
        </w:r>
      </w:hyperlink>
    </w:p>
    <w:p w14:paraId="72D3C638"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47" w:history="1">
        <w:r w:rsidR="00FC1D6F" w:rsidRPr="000263CB">
          <w:rPr>
            <w:rStyle w:val="Hyperlink"/>
            <w:rFonts w:cstheme="minorHAnsi"/>
            <w:noProof/>
          </w:rPr>
          <w:t>9. Management and Contract Administration</w:t>
        </w:r>
        <w:r w:rsidR="00FC1D6F">
          <w:rPr>
            <w:noProof/>
            <w:webHidden/>
          </w:rPr>
          <w:tab/>
        </w:r>
        <w:r w:rsidR="00FC1D6F">
          <w:rPr>
            <w:noProof/>
            <w:webHidden/>
          </w:rPr>
          <w:fldChar w:fldCharType="begin"/>
        </w:r>
        <w:r w:rsidR="00FC1D6F">
          <w:rPr>
            <w:noProof/>
            <w:webHidden/>
          </w:rPr>
          <w:instrText xml:space="preserve"> PAGEREF _Toc71532047 \h </w:instrText>
        </w:r>
        <w:r w:rsidR="00FC1D6F">
          <w:rPr>
            <w:noProof/>
            <w:webHidden/>
          </w:rPr>
        </w:r>
        <w:r w:rsidR="00FC1D6F">
          <w:rPr>
            <w:noProof/>
            <w:webHidden/>
          </w:rPr>
          <w:fldChar w:fldCharType="separate"/>
        </w:r>
        <w:r w:rsidR="00FC1D6F">
          <w:rPr>
            <w:noProof/>
            <w:webHidden/>
          </w:rPr>
          <w:t>14</w:t>
        </w:r>
        <w:r w:rsidR="00FC1D6F">
          <w:rPr>
            <w:noProof/>
            <w:webHidden/>
          </w:rPr>
          <w:fldChar w:fldCharType="end"/>
        </w:r>
      </w:hyperlink>
    </w:p>
    <w:p w14:paraId="41684030"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48" w:history="1">
        <w:r w:rsidR="00FC1D6F" w:rsidRPr="000263CB">
          <w:rPr>
            <w:rStyle w:val="Hyperlink"/>
            <w:rFonts w:cstheme="minorHAnsi"/>
            <w:noProof/>
          </w:rPr>
          <w:t>10. Training / Skills / Knowledge Transfer</w:t>
        </w:r>
        <w:r w:rsidR="00FC1D6F">
          <w:rPr>
            <w:noProof/>
            <w:webHidden/>
          </w:rPr>
          <w:tab/>
        </w:r>
        <w:r w:rsidR="00FC1D6F">
          <w:rPr>
            <w:noProof/>
            <w:webHidden/>
          </w:rPr>
          <w:fldChar w:fldCharType="begin"/>
        </w:r>
        <w:r w:rsidR="00FC1D6F">
          <w:rPr>
            <w:noProof/>
            <w:webHidden/>
          </w:rPr>
          <w:instrText xml:space="preserve"> PAGEREF _Toc71532048 \h </w:instrText>
        </w:r>
        <w:r w:rsidR="00FC1D6F">
          <w:rPr>
            <w:noProof/>
            <w:webHidden/>
          </w:rPr>
        </w:r>
        <w:r w:rsidR="00FC1D6F">
          <w:rPr>
            <w:noProof/>
            <w:webHidden/>
          </w:rPr>
          <w:fldChar w:fldCharType="separate"/>
        </w:r>
        <w:r w:rsidR="00FC1D6F">
          <w:rPr>
            <w:noProof/>
            <w:webHidden/>
          </w:rPr>
          <w:t>15</w:t>
        </w:r>
        <w:r w:rsidR="00FC1D6F">
          <w:rPr>
            <w:noProof/>
            <w:webHidden/>
          </w:rPr>
          <w:fldChar w:fldCharType="end"/>
        </w:r>
      </w:hyperlink>
    </w:p>
    <w:p w14:paraId="5773565D"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49" w:history="1">
        <w:r w:rsidR="00FC1D6F" w:rsidRPr="000263CB">
          <w:rPr>
            <w:rStyle w:val="Hyperlink"/>
            <w:rFonts w:cstheme="minorHAnsi"/>
            <w:noProof/>
          </w:rPr>
          <w:t>11. Documentation</w:t>
        </w:r>
        <w:r w:rsidR="00FC1D6F">
          <w:rPr>
            <w:noProof/>
            <w:webHidden/>
          </w:rPr>
          <w:tab/>
        </w:r>
        <w:r w:rsidR="00FC1D6F">
          <w:rPr>
            <w:noProof/>
            <w:webHidden/>
          </w:rPr>
          <w:fldChar w:fldCharType="begin"/>
        </w:r>
        <w:r w:rsidR="00FC1D6F">
          <w:rPr>
            <w:noProof/>
            <w:webHidden/>
          </w:rPr>
          <w:instrText xml:space="preserve"> PAGEREF _Toc71532049 \h </w:instrText>
        </w:r>
        <w:r w:rsidR="00FC1D6F">
          <w:rPr>
            <w:noProof/>
            <w:webHidden/>
          </w:rPr>
        </w:r>
        <w:r w:rsidR="00FC1D6F">
          <w:rPr>
            <w:noProof/>
            <w:webHidden/>
          </w:rPr>
          <w:fldChar w:fldCharType="separate"/>
        </w:r>
        <w:r w:rsidR="00FC1D6F">
          <w:rPr>
            <w:noProof/>
            <w:webHidden/>
          </w:rPr>
          <w:t>15</w:t>
        </w:r>
        <w:r w:rsidR="00FC1D6F">
          <w:rPr>
            <w:noProof/>
            <w:webHidden/>
          </w:rPr>
          <w:fldChar w:fldCharType="end"/>
        </w:r>
      </w:hyperlink>
    </w:p>
    <w:p w14:paraId="7EC52152"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50" w:history="1">
        <w:r w:rsidR="00FC1D6F" w:rsidRPr="000263CB">
          <w:rPr>
            <w:rStyle w:val="Hyperlink"/>
            <w:rFonts w:cstheme="minorHAnsi"/>
            <w:noProof/>
          </w:rPr>
          <w:t>12. Arrangement for End of Contract</w:t>
        </w:r>
        <w:r w:rsidR="00FC1D6F">
          <w:rPr>
            <w:noProof/>
            <w:webHidden/>
          </w:rPr>
          <w:tab/>
        </w:r>
        <w:r w:rsidR="00FC1D6F">
          <w:rPr>
            <w:noProof/>
            <w:webHidden/>
          </w:rPr>
          <w:fldChar w:fldCharType="begin"/>
        </w:r>
        <w:r w:rsidR="00FC1D6F">
          <w:rPr>
            <w:noProof/>
            <w:webHidden/>
          </w:rPr>
          <w:instrText xml:space="preserve"> PAGEREF _Toc71532050 \h </w:instrText>
        </w:r>
        <w:r w:rsidR="00FC1D6F">
          <w:rPr>
            <w:noProof/>
            <w:webHidden/>
          </w:rPr>
        </w:r>
        <w:r w:rsidR="00FC1D6F">
          <w:rPr>
            <w:noProof/>
            <w:webHidden/>
          </w:rPr>
          <w:fldChar w:fldCharType="separate"/>
        </w:r>
        <w:r w:rsidR="00FC1D6F">
          <w:rPr>
            <w:noProof/>
            <w:webHidden/>
          </w:rPr>
          <w:t>15</w:t>
        </w:r>
        <w:r w:rsidR="00FC1D6F">
          <w:rPr>
            <w:noProof/>
            <w:webHidden/>
          </w:rPr>
          <w:fldChar w:fldCharType="end"/>
        </w:r>
      </w:hyperlink>
    </w:p>
    <w:p w14:paraId="6B9C4A70"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51" w:history="1">
        <w:r w:rsidR="00FC1D6F" w:rsidRPr="000263CB">
          <w:rPr>
            <w:rStyle w:val="Hyperlink"/>
            <w:rFonts w:cstheme="minorHAnsi"/>
            <w:noProof/>
          </w:rPr>
          <w:t>13. Evaluation Criteria</w:t>
        </w:r>
        <w:r w:rsidR="00FC1D6F">
          <w:rPr>
            <w:noProof/>
            <w:webHidden/>
          </w:rPr>
          <w:tab/>
        </w:r>
        <w:r w:rsidR="00FC1D6F">
          <w:rPr>
            <w:noProof/>
            <w:webHidden/>
          </w:rPr>
          <w:fldChar w:fldCharType="begin"/>
        </w:r>
        <w:r w:rsidR="00FC1D6F">
          <w:rPr>
            <w:noProof/>
            <w:webHidden/>
          </w:rPr>
          <w:instrText xml:space="preserve"> PAGEREF _Toc71532051 \h </w:instrText>
        </w:r>
        <w:r w:rsidR="00FC1D6F">
          <w:rPr>
            <w:noProof/>
            <w:webHidden/>
          </w:rPr>
        </w:r>
        <w:r w:rsidR="00FC1D6F">
          <w:rPr>
            <w:noProof/>
            <w:webHidden/>
          </w:rPr>
          <w:fldChar w:fldCharType="separate"/>
        </w:r>
        <w:r w:rsidR="00FC1D6F">
          <w:rPr>
            <w:noProof/>
            <w:webHidden/>
          </w:rPr>
          <w:t>16</w:t>
        </w:r>
        <w:r w:rsidR="00FC1D6F">
          <w:rPr>
            <w:noProof/>
            <w:webHidden/>
          </w:rPr>
          <w:fldChar w:fldCharType="end"/>
        </w:r>
      </w:hyperlink>
    </w:p>
    <w:p w14:paraId="65E08A12"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52" w:history="1">
        <w:r w:rsidR="00FC1D6F" w:rsidRPr="000263CB">
          <w:rPr>
            <w:rStyle w:val="Hyperlink"/>
            <w:rFonts w:cstheme="minorHAnsi"/>
            <w:noProof/>
          </w:rPr>
          <w:t>14. Points of Contact</w:t>
        </w:r>
        <w:r w:rsidR="00FC1D6F">
          <w:rPr>
            <w:noProof/>
            <w:webHidden/>
          </w:rPr>
          <w:tab/>
        </w:r>
        <w:r w:rsidR="00FC1D6F">
          <w:rPr>
            <w:noProof/>
            <w:webHidden/>
          </w:rPr>
          <w:fldChar w:fldCharType="begin"/>
        </w:r>
        <w:r w:rsidR="00FC1D6F">
          <w:rPr>
            <w:noProof/>
            <w:webHidden/>
          </w:rPr>
          <w:instrText xml:space="preserve"> PAGEREF _Toc71532052 \h </w:instrText>
        </w:r>
        <w:r w:rsidR="00FC1D6F">
          <w:rPr>
            <w:noProof/>
            <w:webHidden/>
          </w:rPr>
        </w:r>
        <w:r w:rsidR="00FC1D6F">
          <w:rPr>
            <w:noProof/>
            <w:webHidden/>
          </w:rPr>
          <w:fldChar w:fldCharType="separate"/>
        </w:r>
        <w:r w:rsidR="00FC1D6F">
          <w:rPr>
            <w:noProof/>
            <w:webHidden/>
          </w:rPr>
          <w:t>18</w:t>
        </w:r>
        <w:r w:rsidR="00FC1D6F">
          <w:rPr>
            <w:noProof/>
            <w:webHidden/>
          </w:rPr>
          <w:fldChar w:fldCharType="end"/>
        </w:r>
      </w:hyperlink>
    </w:p>
    <w:p w14:paraId="721DB738" w14:textId="77777777" w:rsidR="00FC1D6F" w:rsidRDefault="003211E1">
      <w:pPr>
        <w:pStyle w:val="TOC2"/>
        <w:tabs>
          <w:tab w:val="right" w:pos="9350"/>
        </w:tabs>
        <w:rPr>
          <w:rFonts w:asciiTheme="minorHAnsi" w:eastAsiaTheme="minorEastAsia" w:hAnsiTheme="minorHAnsi" w:cstheme="minorBidi"/>
          <w:b w:val="0"/>
          <w:bCs w:val="0"/>
          <w:noProof/>
          <w:sz w:val="22"/>
          <w:szCs w:val="22"/>
          <w:lang w:val="en-US"/>
        </w:rPr>
      </w:pPr>
      <w:hyperlink w:anchor="_Toc71532053" w:history="1">
        <w:r w:rsidR="00FC1D6F" w:rsidRPr="000263CB">
          <w:rPr>
            <w:rStyle w:val="Hyperlink"/>
            <w:noProof/>
          </w:rPr>
          <w:t>15.Annexes:</w:t>
        </w:r>
        <w:r w:rsidR="00FC1D6F">
          <w:rPr>
            <w:noProof/>
            <w:webHidden/>
          </w:rPr>
          <w:tab/>
        </w:r>
        <w:r w:rsidR="00FC1D6F">
          <w:rPr>
            <w:noProof/>
            <w:webHidden/>
          </w:rPr>
          <w:fldChar w:fldCharType="begin"/>
        </w:r>
        <w:r w:rsidR="00FC1D6F">
          <w:rPr>
            <w:noProof/>
            <w:webHidden/>
          </w:rPr>
          <w:instrText xml:space="preserve"> PAGEREF _Toc71532053 \h </w:instrText>
        </w:r>
        <w:r w:rsidR="00FC1D6F">
          <w:rPr>
            <w:noProof/>
            <w:webHidden/>
          </w:rPr>
        </w:r>
        <w:r w:rsidR="00FC1D6F">
          <w:rPr>
            <w:noProof/>
            <w:webHidden/>
          </w:rPr>
          <w:fldChar w:fldCharType="separate"/>
        </w:r>
        <w:r w:rsidR="00FC1D6F">
          <w:rPr>
            <w:noProof/>
            <w:webHidden/>
          </w:rPr>
          <w:t>19</w:t>
        </w:r>
        <w:r w:rsidR="00FC1D6F">
          <w:rPr>
            <w:noProof/>
            <w:webHidden/>
          </w:rPr>
          <w:fldChar w:fldCharType="end"/>
        </w:r>
      </w:hyperlink>
    </w:p>
    <w:p w14:paraId="790AC1A6"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4" w:history="1">
        <w:r w:rsidR="00FC1D6F" w:rsidRPr="000263CB">
          <w:rPr>
            <w:rStyle w:val="Hyperlink"/>
            <w:noProof/>
          </w:rPr>
          <w:t>Annex 1 – Evaluation Criteria:</w:t>
        </w:r>
        <w:r w:rsidR="00FC1D6F">
          <w:rPr>
            <w:noProof/>
            <w:webHidden/>
          </w:rPr>
          <w:tab/>
        </w:r>
        <w:r w:rsidR="00FC1D6F">
          <w:rPr>
            <w:noProof/>
            <w:webHidden/>
          </w:rPr>
          <w:fldChar w:fldCharType="begin"/>
        </w:r>
        <w:r w:rsidR="00FC1D6F">
          <w:rPr>
            <w:noProof/>
            <w:webHidden/>
          </w:rPr>
          <w:instrText xml:space="preserve"> PAGEREF _Toc71532054 \h </w:instrText>
        </w:r>
        <w:r w:rsidR="00FC1D6F">
          <w:rPr>
            <w:noProof/>
            <w:webHidden/>
          </w:rPr>
        </w:r>
        <w:r w:rsidR="00FC1D6F">
          <w:rPr>
            <w:noProof/>
            <w:webHidden/>
          </w:rPr>
          <w:fldChar w:fldCharType="separate"/>
        </w:r>
        <w:r w:rsidR="00FC1D6F">
          <w:rPr>
            <w:noProof/>
            <w:webHidden/>
          </w:rPr>
          <w:t>19</w:t>
        </w:r>
        <w:r w:rsidR="00FC1D6F">
          <w:rPr>
            <w:noProof/>
            <w:webHidden/>
          </w:rPr>
          <w:fldChar w:fldCharType="end"/>
        </w:r>
      </w:hyperlink>
    </w:p>
    <w:p w14:paraId="2CB3E322"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5" w:history="1">
        <w:r w:rsidR="00FC1D6F" w:rsidRPr="000263CB">
          <w:rPr>
            <w:rStyle w:val="Hyperlink"/>
            <w:noProof/>
          </w:rPr>
          <w:t>Annex 2 – Social Value</w:t>
        </w:r>
        <w:r w:rsidR="00FC1D6F">
          <w:rPr>
            <w:noProof/>
            <w:webHidden/>
          </w:rPr>
          <w:tab/>
        </w:r>
        <w:r w:rsidR="00FC1D6F">
          <w:rPr>
            <w:noProof/>
            <w:webHidden/>
          </w:rPr>
          <w:fldChar w:fldCharType="begin"/>
        </w:r>
        <w:r w:rsidR="00FC1D6F">
          <w:rPr>
            <w:noProof/>
            <w:webHidden/>
          </w:rPr>
          <w:instrText xml:space="preserve"> PAGEREF _Toc71532055 \h </w:instrText>
        </w:r>
        <w:r w:rsidR="00FC1D6F">
          <w:rPr>
            <w:noProof/>
            <w:webHidden/>
          </w:rPr>
        </w:r>
        <w:r w:rsidR="00FC1D6F">
          <w:rPr>
            <w:noProof/>
            <w:webHidden/>
          </w:rPr>
          <w:fldChar w:fldCharType="separate"/>
        </w:r>
        <w:r w:rsidR="00FC1D6F">
          <w:rPr>
            <w:noProof/>
            <w:webHidden/>
          </w:rPr>
          <w:t>23</w:t>
        </w:r>
        <w:r w:rsidR="00FC1D6F">
          <w:rPr>
            <w:noProof/>
            <w:webHidden/>
          </w:rPr>
          <w:fldChar w:fldCharType="end"/>
        </w:r>
      </w:hyperlink>
    </w:p>
    <w:p w14:paraId="0C1D6380"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6" w:history="1">
        <w:r w:rsidR="00FC1D6F" w:rsidRPr="000263CB">
          <w:rPr>
            <w:rStyle w:val="Hyperlink"/>
            <w:noProof/>
          </w:rPr>
          <w:t>Annex 3 – Invoicing Procedures</w:t>
        </w:r>
        <w:r w:rsidR="00FC1D6F">
          <w:rPr>
            <w:noProof/>
            <w:webHidden/>
          </w:rPr>
          <w:tab/>
        </w:r>
        <w:r w:rsidR="00FC1D6F">
          <w:rPr>
            <w:noProof/>
            <w:webHidden/>
          </w:rPr>
          <w:fldChar w:fldCharType="begin"/>
        </w:r>
        <w:r w:rsidR="00FC1D6F">
          <w:rPr>
            <w:noProof/>
            <w:webHidden/>
          </w:rPr>
          <w:instrText xml:space="preserve"> PAGEREF _Toc71532056 \h </w:instrText>
        </w:r>
        <w:r w:rsidR="00FC1D6F">
          <w:rPr>
            <w:noProof/>
            <w:webHidden/>
          </w:rPr>
        </w:r>
        <w:r w:rsidR="00FC1D6F">
          <w:rPr>
            <w:noProof/>
            <w:webHidden/>
          </w:rPr>
          <w:fldChar w:fldCharType="separate"/>
        </w:r>
        <w:r w:rsidR="00FC1D6F">
          <w:rPr>
            <w:noProof/>
            <w:webHidden/>
          </w:rPr>
          <w:t>23</w:t>
        </w:r>
        <w:r w:rsidR="00FC1D6F">
          <w:rPr>
            <w:noProof/>
            <w:webHidden/>
          </w:rPr>
          <w:fldChar w:fldCharType="end"/>
        </w:r>
      </w:hyperlink>
    </w:p>
    <w:p w14:paraId="5E7ED84D"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7" w:history="1">
        <w:r w:rsidR="00FC1D6F" w:rsidRPr="000263CB">
          <w:rPr>
            <w:rStyle w:val="Hyperlink"/>
            <w:noProof/>
          </w:rPr>
          <w:t>Annex 4 – Procurement Fraud</w:t>
        </w:r>
        <w:r w:rsidR="00FC1D6F">
          <w:rPr>
            <w:noProof/>
            <w:webHidden/>
          </w:rPr>
          <w:tab/>
        </w:r>
        <w:r w:rsidR="00FC1D6F">
          <w:rPr>
            <w:noProof/>
            <w:webHidden/>
          </w:rPr>
          <w:fldChar w:fldCharType="begin"/>
        </w:r>
        <w:r w:rsidR="00FC1D6F">
          <w:rPr>
            <w:noProof/>
            <w:webHidden/>
          </w:rPr>
          <w:instrText xml:space="preserve"> PAGEREF _Toc71532057 \h </w:instrText>
        </w:r>
        <w:r w:rsidR="00FC1D6F">
          <w:rPr>
            <w:noProof/>
            <w:webHidden/>
          </w:rPr>
        </w:r>
        <w:r w:rsidR="00FC1D6F">
          <w:rPr>
            <w:noProof/>
            <w:webHidden/>
          </w:rPr>
          <w:fldChar w:fldCharType="separate"/>
        </w:r>
        <w:r w:rsidR="00FC1D6F">
          <w:rPr>
            <w:noProof/>
            <w:webHidden/>
          </w:rPr>
          <w:t>23</w:t>
        </w:r>
        <w:r w:rsidR="00FC1D6F">
          <w:rPr>
            <w:noProof/>
            <w:webHidden/>
          </w:rPr>
          <w:fldChar w:fldCharType="end"/>
        </w:r>
      </w:hyperlink>
    </w:p>
    <w:p w14:paraId="433CE1A8"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8" w:history="1">
        <w:r w:rsidR="00FC1D6F" w:rsidRPr="000263CB">
          <w:rPr>
            <w:rStyle w:val="Hyperlink"/>
            <w:noProof/>
          </w:rPr>
          <w:t>Annex 5 – Health and Safety Policy</w:t>
        </w:r>
        <w:r w:rsidR="00FC1D6F">
          <w:rPr>
            <w:noProof/>
            <w:webHidden/>
          </w:rPr>
          <w:tab/>
        </w:r>
        <w:r w:rsidR="00FC1D6F">
          <w:rPr>
            <w:noProof/>
            <w:webHidden/>
          </w:rPr>
          <w:fldChar w:fldCharType="begin"/>
        </w:r>
        <w:r w:rsidR="00FC1D6F">
          <w:rPr>
            <w:noProof/>
            <w:webHidden/>
          </w:rPr>
          <w:instrText xml:space="preserve"> PAGEREF _Toc71532058 \h </w:instrText>
        </w:r>
        <w:r w:rsidR="00FC1D6F">
          <w:rPr>
            <w:noProof/>
            <w:webHidden/>
          </w:rPr>
        </w:r>
        <w:r w:rsidR="00FC1D6F">
          <w:rPr>
            <w:noProof/>
            <w:webHidden/>
          </w:rPr>
          <w:fldChar w:fldCharType="separate"/>
        </w:r>
        <w:r w:rsidR="00FC1D6F">
          <w:rPr>
            <w:noProof/>
            <w:webHidden/>
          </w:rPr>
          <w:t>23</w:t>
        </w:r>
        <w:r w:rsidR="00FC1D6F">
          <w:rPr>
            <w:noProof/>
            <w:webHidden/>
          </w:rPr>
          <w:fldChar w:fldCharType="end"/>
        </w:r>
      </w:hyperlink>
    </w:p>
    <w:p w14:paraId="11A9C226"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59" w:history="1">
        <w:r w:rsidR="00FC1D6F" w:rsidRPr="000263CB">
          <w:rPr>
            <w:rStyle w:val="Hyperlink"/>
            <w:noProof/>
          </w:rPr>
          <w:t>Annex 6 – Diversity and Inclusion Policy</w:t>
        </w:r>
        <w:r w:rsidR="00FC1D6F">
          <w:rPr>
            <w:noProof/>
            <w:webHidden/>
          </w:rPr>
          <w:tab/>
        </w:r>
        <w:r w:rsidR="00FC1D6F">
          <w:rPr>
            <w:noProof/>
            <w:webHidden/>
          </w:rPr>
          <w:fldChar w:fldCharType="begin"/>
        </w:r>
        <w:r w:rsidR="00FC1D6F">
          <w:rPr>
            <w:noProof/>
            <w:webHidden/>
          </w:rPr>
          <w:instrText xml:space="preserve"> PAGEREF _Toc71532059 \h </w:instrText>
        </w:r>
        <w:r w:rsidR="00FC1D6F">
          <w:rPr>
            <w:noProof/>
            <w:webHidden/>
          </w:rPr>
        </w:r>
        <w:r w:rsidR="00FC1D6F">
          <w:rPr>
            <w:noProof/>
            <w:webHidden/>
          </w:rPr>
          <w:fldChar w:fldCharType="separate"/>
        </w:r>
        <w:r w:rsidR="00FC1D6F">
          <w:rPr>
            <w:noProof/>
            <w:webHidden/>
          </w:rPr>
          <w:t>23</w:t>
        </w:r>
        <w:r w:rsidR="00FC1D6F">
          <w:rPr>
            <w:noProof/>
            <w:webHidden/>
          </w:rPr>
          <w:fldChar w:fldCharType="end"/>
        </w:r>
      </w:hyperlink>
    </w:p>
    <w:p w14:paraId="3889F6A9"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60" w:history="1">
        <w:r w:rsidR="00FC1D6F" w:rsidRPr="000263CB">
          <w:rPr>
            <w:rStyle w:val="Hyperlink"/>
            <w:noProof/>
          </w:rPr>
          <w:t>Annex 7 – Armed Forces Covenant</w:t>
        </w:r>
        <w:r w:rsidR="00FC1D6F">
          <w:rPr>
            <w:noProof/>
            <w:webHidden/>
          </w:rPr>
          <w:tab/>
        </w:r>
        <w:r w:rsidR="00FC1D6F">
          <w:rPr>
            <w:noProof/>
            <w:webHidden/>
          </w:rPr>
          <w:fldChar w:fldCharType="begin"/>
        </w:r>
        <w:r w:rsidR="00FC1D6F">
          <w:rPr>
            <w:noProof/>
            <w:webHidden/>
          </w:rPr>
          <w:instrText xml:space="preserve"> PAGEREF _Toc71532060 \h </w:instrText>
        </w:r>
        <w:r w:rsidR="00FC1D6F">
          <w:rPr>
            <w:noProof/>
            <w:webHidden/>
          </w:rPr>
        </w:r>
        <w:r w:rsidR="00FC1D6F">
          <w:rPr>
            <w:noProof/>
            <w:webHidden/>
          </w:rPr>
          <w:fldChar w:fldCharType="separate"/>
        </w:r>
        <w:r w:rsidR="00FC1D6F">
          <w:rPr>
            <w:noProof/>
            <w:webHidden/>
          </w:rPr>
          <w:t>24</w:t>
        </w:r>
        <w:r w:rsidR="00FC1D6F">
          <w:rPr>
            <w:noProof/>
            <w:webHidden/>
          </w:rPr>
          <w:fldChar w:fldCharType="end"/>
        </w:r>
      </w:hyperlink>
    </w:p>
    <w:p w14:paraId="1FC8767B"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61" w:history="1">
        <w:r w:rsidR="00FC1D6F" w:rsidRPr="000263CB">
          <w:rPr>
            <w:rStyle w:val="Hyperlink"/>
            <w:noProof/>
          </w:rPr>
          <w:t>Annex 8 – Pricing Schedule</w:t>
        </w:r>
        <w:r w:rsidR="00FC1D6F">
          <w:rPr>
            <w:noProof/>
            <w:webHidden/>
          </w:rPr>
          <w:tab/>
        </w:r>
        <w:r w:rsidR="00FC1D6F">
          <w:rPr>
            <w:noProof/>
            <w:webHidden/>
          </w:rPr>
          <w:fldChar w:fldCharType="begin"/>
        </w:r>
        <w:r w:rsidR="00FC1D6F">
          <w:rPr>
            <w:noProof/>
            <w:webHidden/>
          </w:rPr>
          <w:instrText xml:space="preserve"> PAGEREF _Toc71532061 \h </w:instrText>
        </w:r>
        <w:r w:rsidR="00FC1D6F">
          <w:rPr>
            <w:noProof/>
            <w:webHidden/>
          </w:rPr>
        </w:r>
        <w:r w:rsidR="00FC1D6F">
          <w:rPr>
            <w:noProof/>
            <w:webHidden/>
          </w:rPr>
          <w:fldChar w:fldCharType="separate"/>
        </w:r>
        <w:r w:rsidR="00FC1D6F">
          <w:rPr>
            <w:noProof/>
            <w:webHidden/>
          </w:rPr>
          <w:t>24</w:t>
        </w:r>
        <w:r w:rsidR="00FC1D6F">
          <w:rPr>
            <w:noProof/>
            <w:webHidden/>
          </w:rPr>
          <w:fldChar w:fldCharType="end"/>
        </w:r>
      </w:hyperlink>
    </w:p>
    <w:p w14:paraId="6876124A" w14:textId="77777777" w:rsidR="00FC1D6F" w:rsidRDefault="003211E1">
      <w:pPr>
        <w:pStyle w:val="TOC3"/>
        <w:tabs>
          <w:tab w:val="right" w:pos="9350"/>
        </w:tabs>
        <w:rPr>
          <w:rFonts w:asciiTheme="minorHAnsi" w:eastAsiaTheme="minorEastAsia" w:hAnsiTheme="minorHAnsi" w:cstheme="minorBidi"/>
          <w:noProof/>
          <w:sz w:val="22"/>
          <w:szCs w:val="22"/>
          <w:lang w:val="en-US"/>
        </w:rPr>
      </w:pPr>
      <w:hyperlink w:anchor="_Toc71532062" w:history="1">
        <w:r w:rsidR="00FC1D6F" w:rsidRPr="000263CB">
          <w:rPr>
            <w:rStyle w:val="Hyperlink"/>
            <w:noProof/>
          </w:rPr>
          <w:t>Annex 9 – Environmental Policy</w:t>
        </w:r>
        <w:r w:rsidR="00FC1D6F">
          <w:rPr>
            <w:noProof/>
            <w:webHidden/>
          </w:rPr>
          <w:tab/>
        </w:r>
        <w:r w:rsidR="00FC1D6F">
          <w:rPr>
            <w:noProof/>
            <w:webHidden/>
          </w:rPr>
          <w:fldChar w:fldCharType="begin"/>
        </w:r>
        <w:r w:rsidR="00FC1D6F">
          <w:rPr>
            <w:noProof/>
            <w:webHidden/>
          </w:rPr>
          <w:instrText xml:space="preserve"> PAGEREF _Toc71532062 \h </w:instrText>
        </w:r>
        <w:r w:rsidR="00FC1D6F">
          <w:rPr>
            <w:noProof/>
            <w:webHidden/>
          </w:rPr>
        </w:r>
        <w:r w:rsidR="00FC1D6F">
          <w:rPr>
            <w:noProof/>
            <w:webHidden/>
          </w:rPr>
          <w:fldChar w:fldCharType="separate"/>
        </w:r>
        <w:r w:rsidR="00FC1D6F">
          <w:rPr>
            <w:noProof/>
            <w:webHidden/>
          </w:rPr>
          <w:t>24</w:t>
        </w:r>
        <w:r w:rsidR="00FC1D6F">
          <w:rPr>
            <w:noProof/>
            <w:webHidden/>
          </w:rPr>
          <w:fldChar w:fldCharType="end"/>
        </w:r>
      </w:hyperlink>
    </w:p>
    <w:p w14:paraId="14A89746" w14:textId="77777777" w:rsidR="005916A3" w:rsidRDefault="00F4725A" w:rsidP="00B96BE4">
      <w:pPr>
        <w:pStyle w:val="Heading2"/>
        <w:rPr>
          <w:rFonts w:cs="Arial"/>
          <w:bCs/>
          <w:sz w:val="22"/>
          <w:szCs w:val="24"/>
        </w:rPr>
      </w:pPr>
      <w:r w:rsidRPr="00B96BE4">
        <w:rPr>
          <w:rFonts w:cs="Arial"/>
          <w:bCs/>
          <w:sz w:val="22"/>
          <w:szCs w:val="24"/>
        </w:rPr>
        <w:fldChar w:fldCharType="end"/>
      </w:r>
      <w:r w:rsidR="005916A3">
        <w:rPr>
          <w:rFonts w:cs="Arial"/>
          <w:bCs/>
          <w:sz w:val="22"/>
          <w:szCs w:val="24"/>
        </w:rPr>
        <w:br w:type="page"/>
      </w:r>
    </w:p>
    <w:p w14:paraId="22C00B9C" w14:textId="77777777" w:rsidR="001A236D" w:rsidRPr="00237E4B" w:rsidRDefault="00237E4B" w:rsidP="00B96BE4">
      <w:pPr>
        <w:pStyle w:val="Heading2"/>
      </w:pPr>
      <w:bookmarkStart w:id="2" w:name="_Toc71532034"/>
      <w:r>
        <w:lastRenderedPageBreak/>
        <w:t xml:space="preserve">1. </w:t>
      </w:r>
      <w:r w:rsidR="001A236D" w:rsidRPr="00237E4B">
        <w:t>Introduction</w:t>
      </w:r>
      <w:bookmarkEnd w:id="0"/>
      <w:bookmarkEnd w:id="1"/>
      <w:bookmarkEnd w:id="2"/>
    </w:p>
    <w:p w14:paraId="3C8A1579" w14:textId="77777777" w:rsidR="005E3488" w:rsidRDefault="005E3488" w:rsidP="005E3488">
      <w:pPr>
        <w:ind w:left="-180"/>
        <w:rPr>
          <w:rFonts w:cs="Arial"/>
        </w:rPr>
      </w:pPr>
    </w:p>
    <w:p w14:paraId="18668678" w14:textId="5D613781" w:rsidR="00B96BE4" w:rsidRDefault="005E3488" w:rsidP="00B96BE4">
      <w:pPr>
        <w:rPr>
          <w:rFonts w:cs="Arial"/>
        </w:rPr>
      </w:pPr>
      <w:r w:rsidRPr="002D5A03">
        <w:rPr>
          <w:rFonts w:cs="Arial"/>
        </w:rPr>
        <w:t xml:space="preserve">In accordance </w:t>
      </w:r>
      <w:r w:rsidRPr="00253489">
        <w:rPr>
          <w:rFonts w:cs="Arial"/>
        </w:rPr>
        <w:t>with the terms and conditions of</w:t>
      </w:r>
      <w:r w:rsidR="002D5A03" w:rsidRPr="00253489">
        <w:rPr>
          <w:rFonts w:cs="Arial"/>
        </w:rPr>
        <w:t xml:space="preserve"> the </w:t>
      </w:r>
      <w:r w:rsidR="002D5A03" w:rsidRPr="00661287">
        <w:rPr>
          <w:rFonts w:cs="Arial"/>
        </w:rPr>
        <w:t>CCS</w:t>
      </w:r>
      <w:r w:rsidR="00661287" w:rsidRPr="00661287">
        <w:rPr>
          <w:rFonts w:cs="Arial"/>
        </w:rPr>
        <w:t xml:space="preserve"> </w:t>
      </w:r>
      <w:r w:rsidR="002D5A03" w:rsidRPr="00661287">
        <w:rPr>
          <w:rFonts w:cs="Arial"/>
          <w:color w:val="0B0C0C"/>
          <w:shd w:val="clear" w:color="auto" w:fill="FFFFFF"/>
        </w:rPr>
        <w:t>Vehicle Lease,</w:t>
      </w:r>
      <w:r w:rsidR="002D5A03" w:rsidRPr="00253489">
        <w:rPr>
          <w:rFonts w:cs="Arial"/>
          <w:color w:val="0B0C0C"/>
          <w:shd w:val="clear" w:color="auto" w:fill="FFFFFF"/>
        </w:rPr>
        <w:t xml:space="preserve"> Fleet Management &amp; Flexible Rental Solutions – </w:t>
      </w:r>
      <w:r w:rsidR="002D5A03" w:rsidRPr="00253489">
        <w:rPr>
          <w:rFonts w:cs="Arial"/>
          <w:b/>
          <w:color w:val="0B0C0C"/>
          <w:shd w:val="clear" w:color="auto" w:fill="FFFFFF"/>
        </w:rPr>
        <w:t>RM6096 -</w:t>
      </w:r>
      <w:r w:rsidR="00FC1D6F">
        <w:rPr>
          <w:rFonts w:cs="Arial"/>
          <w:b/>
          <w:color w:val="0B0C0C"/>
          <w:shd w:val="clear" w:color="auto" w:fill="FFFFFF"/>
        </w:rPr>
        <w:t xml:space="preserve"> </w:t>
      </w:r>
      <w:r w:rsidR="002D5A03" w:rsidRPr="00253489">
        <w:rPr>
          <w:rFonts w:cs="Arial"/>
          <w:b/>
          <w:color w:val="0B0C0C"/>
          <w:shd w:val="clear" w:color="auto" w:fill="FFFFFF"/>
        </w:rPr>
        <w:t>Lot #</w:t>
      </w:r>
      <w:r w:rsidR="00FC1D6F">
        <w:rPr>
          <w:rFonts w:cs="Arial"/>
          <w:b/>
          <w:color w:val="0B0C0C"/>
          <w:shd w:val="clear" w:color="auto" w:fill="FFFFFF"/>
        </w:rPr>
        <w:t>4</w:t>
      </w:r>
      <w:r w:rsidR="002D5A03" w:rsidRPr="00253489">
        <w:rPr>
          <w:rFonts w:cs="Arial"/>
          <w:b/>
          <w:color w:val="0B0C0C"/>
          <w:shd w:val="clear" w:color="auto" w:fill="FFFFFF"/>
        </w:rPr>
        <w:t xml:space="preserve"> </w:t>
      </w:r>
      <w:r w:rsidR="00FC1D6F">
        <w:rPr>
          <w:rFonts w:cs="Arial"/>
          <w:b/>
          <w:color w:val="0B0C0C"/>
          <w:shd w:val="clear" w:color="auto" w:fill="FFFFFF"/>
        </w:rPr>
        <w:t>–</w:t>
      </w:r>
      <w:r w:rsidR="002D5A03" w:rsidRPr="00253489">
        <w:rPr>
          <w:rFonts w:cs="Arial"/>
          <w:b/>
          <w:color w:val="0B0C0C"/>
          <w:shd w:val="clear" w:color="auto" w:fill="FFFFFF"/>
        </w:rPr>
        <w:t xml:space="preserve"> </w:t>
      </w:r>
      <w:r w:rsidR="00FC1D6F">
        <w:rPr>
          <w:rFonts w:cs="Arial"/>
          <w:b/>
          <w:color w:val="0B0C0C"/>
          <w:shd w:val="clear" w:color="auto" w:fill="FFFFFF"/>
        </w:rPr>
        <w:t>Flexible Rental Solutions</w:t>
      </w:r>
      <w:r w:rsidR="002D5A03" w:rsidRPr="00FC1D6F">
        <w:rPr>
          <w:rFonts w:cs="Arial"/>
          <w:color w:val="0B0C0C"/>
          <w:shd w:val="clear" w:color="auto" w:fill="FFFFFF"/>
        </w:rPr>
        <w:t xml:space="preserve">, </w:t>
      </w:r>
      <w:r w:rsidRPr="00FC1D6F">
        <w:rPr>
          <w:rFonts w:cs="Arial"/>
        </w:rPr>
        <w:t>the Department for Transport (</w:t>
      </w:r>
      <w:proofErr w:type="spellStart"/>
      <w:r w:rsidRPr="00FC1D6F">
        <w:rPr>
          <w:rFonts w:cs="Arial"/>
        </w:rPr>
        <w:t>DfT</w:t>
      </w:r>
      <w:proofErr w:type="spellEnd"/>
      <w:r w:rsidRPr="00FC1D6F">
        <w:rPr>
          <w:rFonts w:cs="Arial"/>
        </w:rPr>
        <w:t xml:space="preserve">) invites proposals for the following </w:t>
      </w:r>
      <w:r w:rsidR="002D5A03" w:rsidRPr="00FC1D6F">
        <w:rPr>
          <w:rFonts w:cs="Arial"/>
        </w:rPr>
        <w:t>services.</w:t>
      </w:r>
    </w:p>
    <w:p w14:paraId="30417652" w14:textId="77777777" w:rsidR="00B96BE4" w:rsidRDefault="00B96BE4" w:rsidP="00B96BE4">
      <w:pPr>
        <w:rPr>
          <w:rFonts w:cs="Arial"/>
        </w:rPr>
      </w:pPr>
    </w:p>
    <w:p w14:paraId="5A6501A0" w14:textId="77777777" w:rsidR="00F8511D" w:rsidRPr="002D5A03" w:rsidRDefault="00F8511D" w:rsidP="00B96BE4">
      <w:pPr>
        <w:rPr>
          <w:rFonts w:cs="Arial"/>
        </w:rPr>
      </w:pPr>
      <w:r w:rsidRPr="004C0A95">
        <w:rPr>
          <w:rFonts w:cstheme="minorHAnsi"/>
        </w:rPr>
        <w:t xml:space="preserve">This statement of requirement has been prepared by the Driver &amp; Vehicle Licensing the Authority (THE AUTHORITY), which is an Executive </w:t>
      </w:r>
      <w:r>
        <w:rPr>
          <w:rFonts w:cstheme="minorHAnsi"/>
        </w:rPr>
        <w:t xml:space="preserve">Agency </w:t>
      </w:r>
      <w:r w:rsidRPr="004C0A95">
        <w:rPr>
          <w:rFonts w:cstheme="minorHAnsi"/>
        </w:rPr>
        <w:t xml:space="preserve">of the Department for Transport.  It defines the requirements for the procurement of </w:t>
      </w:r>
      <w:r w:rsidR="00777CCF">
        <w:rPr>
          <w:rFonts w:cstheme="minorHAnsi"/>
        </w:rPr>
        <w:t>a Vehicle Lease and Fleet Management provision.</w:t>
      </w:r>
    </w:p>
    <w:p w14:paraId="6FFC4F28" w14:textId="77777777" w:rsidR="005E3488" w:rsidRPr="00E676DC" w:rsidRDefault="005E3488" w:rsidP="00B96BE4">
      <w:pPr>
        <w:rPr>
          <w:rFonts w:cs="Arial"/>
        </w:rPr>
      </w:pPr>
    </w:p>
    <w:p w14:paraId="3D75B149" w14:textId="77777777" w:rsidR="005E3488" w:rsidRPr="00E676DC" w:rsidRDefault="005E3488" w:rsidP="00B96BE4">
      <w:pPr>
        <w:rPr>
          <w:rFonts w:cs="Arial"/>
        </w:rPr>
      </w:pPr>
      <w:r w:rsidRPr="00E676DC">
        <w:rPr>
          <w:rFonts w:cs="Arial"/>
        </w:rPr>
        <w:t xml:space="preserve">Bidders intending to </w:t>
      </w:r>
      <w:r w:rsidRPr="00C4184C">
        <w:rPr>
          <w:rFonts w:cs="Arial"/>
        </w:rPr>
        <w:t xml:space="preserve">bid for this requirement are requested to confirm their intention to submit / or not to submit proposals via email to </w:t>
      </w:r>
      <w:r w:rsidR="002D5A03" w:rsidRPr="00C4184C">
        <w:rPr>
          <w:rFonts w:cs="Arial"/>
        </w:rPr>
        <w:t>Andrew Williams (andrew.williams@dvla.gov.uk) – DVLA Facilities &amp; People Advisor</w:t>
      </w:r>
      <w:r w:rsidR="007605BD">
        <w:rPr>
          <w:rFonts w:cs="Arial"/>
        </w:rPr>
        <w:t>.</w:t>
      </w:r>
    </w:p>
    <w:p w14:paraId="671F0BD1" w14:textId="77777777" w:rsidR="00A45567" w:rsidRDefault="00A45567" w:rsidP="003D5E49">
      <w:pPr>
        <w:ind w:left="-142"/>
        <w:rPr>
          <w:rFonts w:eastAsia="STZhongsong" w:cs="Arial"/>
          <w:lang w:eastAsia="zh-CN"/>
        </w:rPr>
      </w:pPr>
    </w:p>
    <w:p w14:paraId="2D154A03" w14:textId="77777777" w:rsidR="001A236D" w:rsidRDefault="00237E4B" w:rsidP="00B96BE4">
      <w:pPr>
        <w:pStyle w:val="Heading2"/>
      </w:pPr>
      <w:bookmarkStart w:id="3" w:name="_Toc71532035"/>
      <w:r w:rsidRPr="00237E4B">
        <w:t>2.</w:t>
      </w:r>
      <w:r w:rsidR="001A236D">
        <w:t>Background to the Requirement</w:t>
      </w:r>
      <w:bookmarkEnd w:id="3"/>
    </w:p>
    <w:p w14:paraId="24C51CF3" w14:textId="77777777" w:rsidR="005E1107" w:rsidRPr="004C0A95" w:rsidRDefault="005E1107" w:rsidP="005E1107">
      <w:pPr>
        <w:rPr>
          <w:rFonts w:cstheme="minorHAnsi"/>
        </w:rPr>
      </w:pPr>
      <w:r w:rsidRPr="004C0A95">
        <w:rPr>
          <w:rFonts w:cstheme="minorHAnsi"/>
        </w:rPr>
        <w:t xml:space="preserve">This document defines the requirements for the provision of </w:t>
      </w:r>
      <w:r>
        <w:rPr>
          <w:rFonts w:cs="Arial"/>
          <w:szCs w:val="24"/>
        </w:rPr>
        <w:t xml:space="preserve">Vehicle Lease and Fleet Management, comprising of three </w:t>
      </w:r>
      <w:proofErr w:type="gramStart"/>
      <w:r>
        <w:rPr>
          <w:rFonts w:cs="Arial"/>
          <w:szCs w:val="24"/>
        </w:rPr>
        <w:t>vehicles</w:t>
      </w:r>
      <w:r w:rsidR="001B0DBC">
        <w:rPr>
          <w:rFonts w:cs="Arial"/>
          <w:szCs w:val="24"/>
        </w:rPr>
        <w:t>;</w:t>
      </w:r>
      <w:proofErr w:type="gramEnd"/>
      <w:r w:rsidRPr="004C0A95">
        <w:rPr>
          <w:rFonts w:cstheme="minorHAnsi"/>
        </w:rPr>
        <w:t xml:space="preserve"> which is needed to satisfy THE AUTHORITY’s </w:t>
      </w:r>
      <w:r w:rsidR="001B0DBC">
        <w:rPr>
          <w:rFonts w:cstheme="minorHAnsi"/>
        </w:rPr>
        <w:t xml:space="preserve">Stores and Logistics </w:t>
      </w:r>
      <w:r w:rsidRPr="004C0A95">
        <w:rPr>
          <w:rFonts w:cstheme="minorHAnsi"/>
        </w:rPr>
        <w:t>function.</w:t>
      </w:r>
    </w:p>
    <w:p w14:paraId="38F4512C" w14:textId="77777777" w:rsidR="005E1107" w:rsidRPr="004C0A95" w:rsidRDefault="005E1107" w:rsidP="005E1107">
      <w:pPr>
        <w:rPr>
          <w:rFonts w:cstheme="minorHAnsi"/>
        </w:rPr>
      </w:pPr>
    </w:p>
    <w:p w14:paraId="0FDAD5FC" w14:textId="77777777" w:rsidR="005E1107" w:rsidRPr="00B96BE4" w:rsidRDefault="005E1107" w:rsidP="00B96BE4">
      <w:r w:rsidRPr="00B96BE4">
        <w:t>This document is aimed at potential suppliers who can fully satisfy this requirement:</w:t>
      </w:r>
    </w:p>
    <w:p w14:paraId="594FE595" w14:textId="77777777" w:rsidR="005E1107" w:rsidRPr="004C0A95" w:rsidRDefault="005E1107" w:rsidP="005E1107">
      <w:pPr>
        <w:ind w:left="720"/>
        <w:rPr>
          <w:rFonts w:cstheme="minorHAnsi"/>
        </w:rPr>
      </w:pPr>
    </w:p>
    <w:p w14:paraId="69277871" w14:textId="77777777" w:rsidR="005E1107" w:rsidRPr="004C0A95" w:rsidRDefault="005E1107" w:rsidP="005E1107">
      <w:pPr>
        <w:rPr>
          <w:rFonts w:cstheme="minorHAnsi"/>
        </w:rPr>
      </w:pPr>
      <w:r>
        <w:rPr>
          <w:rFonts w:cstheme="minorHAnsi"/>
        </w:rPr>
        <w:t xml:space="preserve">Stores and Logistics </w:t>
      </w:r>
      <w:r w:rsidR="00DC01E1">
        <w:rPr>
          <w:rFonts w:cstheme="minorHAnsi"/>
        </w:rPr>
        <w:t>Team</w:t>
      </w:r>
      <w:r w:rsidRPr="004C0A95">
        <w:rPr>
          <w:rFonts w:cstheme="minorHAnsi"/>
        </w:rPr>
        <w:t xml:space="preserve"> provides the Authority with its </w:t>
      </w:r>
      <w:r w:rsidR="00DC01E1">
        <w:rPr>
          <w:rFonts w:cstheme="minorHAnsi"/>
        </w:rPr>
        <w:t>warehousing management and stock distribution</w:t>
      </w:r>
      <w:r w:rsidRPr="004C0A95">
        <w:rPr>
          <w:rFonts w:cstheme="minorHAnsi"/>
        </w:rPr>
        <w:t xml:space="preserve"> functionality.  It is responsible for </w:t>
      </w:r>
      <w:r w:rsidR="00DC01E1">
        <w:rPr>
          <w:rFonts w:cstheme="minorHAnsi"/>
        </w:rPr>
        <w:t>ensuring</w:t>
      </w:r>
      <w:r w:rsidRPr="004C0A95">
        <w:rPr>
          <w:rFonts w:cstheme="minorHAnsi"/>
        </w:rPr>
        <w:t xml:space="preserve"> the Authority’s entire </w:t>
      </w:r>
      <w:r w:rsidR="00DC01E1">
        <w:rPr>
          <w:rFonts w:cstheme="minorHAnsi"/>
        </w:rPr>
        <w:t xml:space="preserve">workforce is fully equipped with </w:t>
      </w:r>
      <w:r w:rsidR="001B0DBC">
        <w:rPr>
          <w:rFonts w:cstheme="minorHAnsi"/>
        </w:rPr>
        <w:t>essential desktop stationery, critical printed stationery and ordered stock.</w:t>
      </w:r>
    </w:p>
    <w:p w14:paraId="2A4475CC" w14:textId="77777777" w:rsidR="00CB028A" w:rsidRDefault="00CB028A" w:rsidP="005E1107">
      <w:pPr>
        <w:rPr>
          <w:rFonts w:cstheme="minorHAnsi"/>
        </w:rPr>
      </w:pPr>
    </w:p>
    <w:p w14:paraId="1F67D86C" w14:textId="77777777" w:rsidR="005E1107" w:rsidRPr="004C0A95" w:rsidRDefault="005E1107" w:rsidP="005E1107">
      <w:pPr>
        <w:rPr>
          <w:rFonts w:cstheme="minorHAnsi"/>
        </w:rPr>
      </w:pPr>
      <w:r w:rsidRPr="004C0A95">
        <w:rPr>
          <w:rFonts w:cstheme="minorHAnsi"/>
        </w:rPr>
        <w:t xml:space="preserve">The operation is based over </w:t>
      </w:r>
      <w:r>
        <w:rPr>
          <w:rFonts w:cstheme="minorHAnsi"/>
        </w:rPr>
        <w:t>three</w:t>
      </w:r>
      <w:r w:rsidRPr="004C0A95">
        <w:rPr>
          <w:rFonts w:cstheme="minorHAnsi"/>
        </w:rPr>
        <w:t xml:space="preserve"> sites within </w:t>
      </w:r>
      <w:r>
        <w:rPr>
          <w:rFonts w:cstheme="minorHAnsi"/>
        </w:rPr>
        <w:t>a ten</w:t>
      </w:r>
      <w:r w:rsidRPr="004C0A95">
        <w:rPr>
          <w:rFonts w:cstheme="minorHAnsi"/>
        </w:rPr>
        <w:t>-mile</w:t>
      </w:r>
      <w:r>
        <w:rPr>
          <w:rFonts w:cstheme="minorHAnsi"/>
        </w:rPr>
        <w:t xml:space="preserve"> radius</w:t>
      </w:r>
      <w:r w:rsidRPr="004C0A95">
        <w:rPr>
          <w:rFonts w:cstheme="minorHAnsi"/>
        </w:rPr>
        <w:t xml:space="preserve"> of each other.</w:t>
      </w:r>
    </w:p>
    <w:p w14:paraId="6DE65B62" w14:textId="77777777" w:rsidR="005E1107" w:rsidRPr="004C0A95" w:rsidRDefault="005E1107" w:rsidP="005E1107">
      <w:pPr>
        <w:rPr>
          <w:rFonts w:cstheme="minorHAnsi"/>
        </w:rPr>
      </w:pPr>
    </w:p>
    <w:p w14:paraId="394CA8A0" w14:textId="77777777" w:rsidR="005E1107" w:rsidRPr="004C0A95" w:rsidRDefault="005E1107" w:rsidP="005E1107">
      <w:pPr>
        <w:rPr>
          <w:rFonts w:cstheme="minorHAnsi"/>
        </w:rPr>
      </w:pPr>
      <w:r w:rsidRPr="004C0A95">
        <w:rPr>
          <w:rFonts w:cstheme="minorHAnsi"/>
        </w:rPr>
        <w:t xml:space="preserve">Currently, </w:t>
      </w:r>
      <w:r>
        <w:rPr>
          <w:rFonts w:cstheme="minorHAnsi"/>
        </w:rPr>
        <w:t>Stores and Logistics</w:t>
      </w:r>
      <w:r w:rsidRPr="004C0A95">
        <w:rPr>
          <w:rFonts w:cstheme="minorHAnsi"/>
        </w:rPr>
        <w:t xml:space="preserve"> have a fleet of </w:t>
      </w:r>
      <w:r>
        <w:rPr>
          <w:rFonts w:cstheme="minorHAnsi"/>
        </w:rPr>
        <w:t>3 tail lift Luton vans.</w:t>
      </w:r>
    </w:p>
    <w:p w14:paraId="4CEDDCDD" w14:textId="77777777" w:rsidR="005E1107" w:rsidRPr="004C0A95" w:rsidRDefault="005E1107" w:rsidP="005E1107">
      <w:pPr>
        <w:rPr>
          <w:rFonts w:cstheme="minorHAnsi"/>
        </w:rPr>
      </w:pPr>
    </w:p>
    <w:p w14:paraId="5C3EE2D9" w14:textId="77777777" w:rsidR="005E1107" w:rsidRPr="004C0A95" w:rsidRDefault="005E1107" w:rsidP="005E1107">
      <w:pPr>
        <w:rPr>
          <w:rFonts w:cstheme="minorHAnsi"/>
        </w:rPr>
      </w:pPr>
      <w:r w:rsidRPr="004C0A95">
        <w:rPr>
          <w:rFonts w:cstheme="minorHAnsi"/>
        </w:rPr>
        <w:t xml:space="preserve">The suppliers are requested to present a response which will satisfy the requirements and workload/volume detailed in </w:t>
      </w:r>
      <w:r w:rsidRPr="00612E1C">
        <w:rPr>
          <w:rFonts w:cstheme="minorHAnsi"/>
        </w:rPr>
        <w:t>Section 6 (“Specifying Services”) and Section 7 (“Evaluation Criteria”).</w:t>
      </w:r>
    </w:p>
    <w:p w14:paraId="7391937E" w14:textId="77777777" w:rsidR="00965FDB" w:rsidRDefault="00965FDB" w:rsidP="00440969">
      <w:pPr>
        <w:rPr>
          <w:rFonts w:cs="Arial"/>
        </w:rPr>
      </w:pPr>
    </w:p>
    <w:p w14:paraId="32D441DC" w14:textId="77777777" w:rsidR="00965FDB" w:rsidRDefault="00965FDB" w:rsidP="00440969">
      <w:pPr>
        <w:rPr>
          <w:rFonts w:cs="Arial"/>
        </w:rPr>
      </w:pPr>
    </w:p>
    <w:p w14:paraId="13EF5CC8" w14:textId="77777777" w:rsidR="00B96BE4" w:rsidRDefault="00B96BE4" w:rsidP="00850192">
      <w:pPr>
        <w:pStyle w:val="Heading2"/>
        <w:tabs>
          <w:tab w:val="clear" w:pos="0"/>
          <w:tab w:val="left" w:pos="-180"/>
        </w:tabs>
        <w:spacing w:before="0"/>
        <w:ind w:hanging="181"/>
      </w:pPr>
      <w:bookmarkStart w:id="4" w:name="_Toc253400957"/>
      <w:r>
        <w:br w:type="page"/>
      </w:r>
    </w:p>
    <w:p w14:paraId="60C71F8C" w14:textId="77777777" w:rsidR="001A236D" w:rsidRDefault="00B96BE4" w:rsidP="00850192">
      <w:pPr>
        <w:pStyle w:val="Heading2"/>
        <w:tabs>
          <w:tab w:val="clear" w:pos="0"/>
          <w:tab w:val="left" w:pos="-180"/>
        </w:tabs>
        <w:spacing w:before="0"/>
        <w:ind w:hanging="181"/>
      </w:pPr>
      <w:bookmarkStart w:id="5" w:name="_Toc71532036"/>
      <w:r w:rsidRPr="00AD1CC4">
        <w:lastRenderedPageBreak/>
        <w:t>3</w:t>
      </w:r>
      <w:r w:rsidR="00237E4B" w:rsidRPr="00AD1CC4">
        <w:t>.</w:t>
      </w:r>
      <w:r w:rsidRPr="00AD1CC4">
        <w:t xml:space="preserve"> P</w:t>
      </w:r>
      <w:r w:rsidR="001A236D" w:rsidRPr="00AD1CC4">
        <w:t>rocurement Timetable</w:t>
      </w:r>
      <w:bookmarkEnd w:id="4"/>
      <w:bookmarkEnd w:id="5"/>
    </w:p>
    <w:p w14:paraId="52123538" w14:textId="77777777" w:rsidR="004F264C" w:rsidRDefault="004F264C" w:rsidP="004F264C">
      <w:pPr>
        <w:tabs>
          <w:tab w:val="left" w:pos="-180"/>
        </w:tabs>
        <w:ind w:hanging="18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4F264C" w14:paraId="1307F9FD" w14:textId="77777777" w:rsidTr="004F264C">
        <w:tc>
          <w:tcPr>
            <w:tcW w:w="2500" w:type="pct"/>
            <w:shd w:val="clear" w:color="auto" w:fill="auto"/>
          </w:tcPr>
          <w:p w14:paraId="1F908CBF" w14:textId="77777777" w:rsidR="004F264C" w:rsidRPr="00B43326" w:rsidRDefault="004F264C" w:rsidP="004F264C">
            <w:pPr>
              <w:tabs>
                <w:tab w:val="left" w:pos="0"/>
              </w:tabs>
              <w:spacing w:line="360" w:lineRule="auto"/>
              <w:rPr>
                <w:rFonts w:cs="Arial"/>
                <w:b/>
              </w:rPr>
            </w:pPr>
            <w:r w:rsidRPr="00B43326">
              <w:rPr>
                <w:rFonts w:cs="Arial"/>
                <w:b/>
              </w:rPr>
              <w:t xml:space="preserve">Description </w:t>
            </w:r>
          </w:p>
        </w:tc>
        <w:tc>
          <w:tcPr>
            <w:tcW w:w="2500" w:type="pct"/>
            <w:shd w:val="clear" w:color="auto" w:fill="auto"/>
          </w:tcPr>
          <w:p w14:paraId="07744858" w14:textId="77777777" w:rsidR="004F264C" w:rsidRPr="00B43326" w:rsidRDefault="004F264C" w:rsidP="004F264C">
            <w:pPr>
              <w:tabs>
                <w:tab w:val="left" w:pos="0"/>
              </w:tabs>
              <w:spacing w:line="360" w:lineRule="auto"/>
              <w:rPr>
                <w:rFonts w:cs="Arial"/>
                <w:b/>
              </w:rPr>
            </w:pPr>
            <w:r w:rsidRPr="00B43326">
              <w:rPr>
                <w:rFonts w:cs="Arial"/>
                <w:b/>
              </w:rPr>
              <w:t>Date</w:t>
            </w:r>
          </w:p>
        </w:tc>
      </w:tr>
      <w:tr w:rsidR="004F264C" w14:paraId="44C78595" w14:textId="77777777" w:rsidTr="004F264C">
        <w:tc>
          <w:tcPr>
            <w:tcW w:w="2500" w:type="pct"/>
            <w:shd w:val="clear" w:color="auto" w:fill="auto"/>
          </w:tcPr>
          <w:p w14:paraId="340E2438" w14:textId="77777777" w:rsidR="004F264C" w:rsidRPr="00E300A7" w:rsidRDefault="004F264C" w:rsidP="004F264C">
            <w:pPr>
              <w:tabs>
                <w:tab w:val="left" w:pos="317"/>
              </w:tabs>
              <w:spacing w:line="360" w:lineRule="auto"/>
              <w:ind w:left="176" w:right="-241" w:hanging="142"/>
              <w:rPr>
                <w:rFonts w:cs="Arial"/>
              </w:rPr>
            </w:pPr>
            <w:r w:rsidRPr="00E300A7">
              <w:rPr>
                <w:rFonts w:cs="Arial"/>
              </w:rPr>
              <w:t>Issue ITT</w:t>
            </w:r>
          </w:p>
        </w:tc>
        <w:tc>
          <w:tcPr>
            <w:tcW w:w="2500" w:type="pct"/>
            <w:shd w:val="clear" w:color="auto" w:fill="auto"/>
          </w:tcPr>
          <w:p w14:paraId="1D9052DC" w14:textId="35B0B4C5" w:rsidR="004F264C" w:rsidRPr="00E300A7" w:rsidRDefault="006C02EB" w:rsidP="00E300A7">
            <w:pPr>
              <w:tabs>
                <w:tab w:val="left" w:pos="174"/>
              </w:tabs>
              <w:spacing w:line="360" w:lineRule="auto"/>
              <w:ind w:right="-241"/>
              <w:rPr>
                <w:rFonts w:cs="Arial"/>
              </w:rPr>
            </w:pPr>
            <w:r>
              <w:rPr>
                <w:rFonts w:cs="Arial"/>
              </w:rPr>
              <w:t>10</w:t>
            </w:r>
            <w:r w:rsidRPr="006C02EB">
              <w:rPr>
                <w:rFonts w:cs="Arial"/>
                <w:vertAlign w:val="superscript"/>
              </w:rPr>
              <w:t>th</w:t>
            </w:r>
            <w:r>
              <w:rPr>
                <w:rFonts w:cs="Arial"/>
              </w:rPr>
              <w:t xml:space="preserve"> May 2021</w:t>
            </w:r>
          </w:p>
        </w:tc>
      </w:tr>
      <w:tr w:rsidR="004F264C" w14:paraId="553FE264" w14:textId="77777777" w:rsidTr="004F264C">
        <w:tc>
          <w:tcPr>
            <w:tcW w:w="2500" w:type="pct"/>
            <w:shd w:val="clear" w:color="auto" w:fill="auto"/>
          </w:tcPr>
          <w:p w14:paraId="355C7FCB" w14:textId="77777777" w:rsidR="004F264C" w:rsidRPr="00E300A7" w:rsidRDefault="004F264C" w:rsidP="004F264C">
            <w:pPr>
              <w:tabs>
                <w:tab w:val="left" w:pos="317"/>
              </w:tabs>
              <w:spacing w:line="360" w:lineRule="auto"/>
              <w:ind w:left="176" w:right="-241" w:hanging="142"/>
              <w:rPr>
                <w:rFonts w:cs="Arial"/>
              </w:rPr>
            </w:pPr>
            <w:r w:rsidRPr="00E300A7">
              <w:rPr>
                <w:rFonts w:cs="Arial"/>
              </w:rPr>
              <w:t>Clarification Period Ends</w:t>
            </w:r>
          </w:p>
        </w:tc>
        <w:tc>
          <w:tcPr>
            <w:tcW w:w="2500" w:type="pct"/>
            <w:shd w:val="clear" w:color="auto" w:fill="auto"/>
          </w:tcPr>
          <w:p w14:paraId="389F6058" w14:textId="2170C68F" w:rsidR="004F264C" w:rsidRPr="00661287" w:rsidRDefault="006C02EB" w:rsidP="00E300A7">
            <w:pPr>
              <w:tabs>
                <w:tab w:val="left" w:pos="174"/>
              </w:tabs>
              <w:spacing w:line="360" w:lineRule="auto"/>
              <w:ind w:right="-241"/>
              <w:rPr>
                <w:rFonts w:cs="Arial"/>
              </w:rPr>
            </w:pPr>
            <w:r w:rsidRPr="00661287">
              <w:rPr>
                <w:rFonts w:cs="Arial"/>
              </w:rPr>
              <w:t>24</w:t>
            </w:r>
            <w:r w:rsidRPr="00661287">
              <w:rPr>
                <w:rFonts w:cs="Arial"/>
                <w:vertAlign w:val="superscript"/>
              </w:rPr>
              <w:t>th</w:t>
            </w:r>
            <w:r w:rsidRPr="00661287">
              <w:rPr>
                <w:rFonts w:cs="Arial"/>
              </w:rPr>
              <w:t xml:space="preserve"> May 2021</w:t>
            </w:r>
            <w:r w:rsidR="00661287" w:rsidRPr="00661287">
              <w:rPr>
                <w:rFonts w:cs="Arial"/>
              </w:rPr>
              <w:t xml:space="preserve"> at 14:00</w:t>
            </w:r>
          </w:p>
        </w:tc>
      </w:tr>
      <w:tr w:rsidR="004F264C" w14:paraId="12308093" w14:textId="77777777" w:rsidTr="004F264C">
        <w:tc>
          <w:tcPr>
            <w:tcW w:w="2500" w:type="pct"/>
            <w:shd w:val="clear" w:color="auto" w:fill="auto"/>
          </w:tcPr>
          <w:p w14:paraId="0EDCE8AD" w14:textId="77777777" w:rsidR="004F264C" w:rsidRPr="00E300A7" w:rsidRDefault="004F264C" w:rsidP="004F264C">
            <w:pPr>
              <w:tabs>
                <w:tab w:val="left" w:pos="317"/>
              </w:tabs>
              <w:spacing w:line="360" w:lineRule="auto"/>
              <w:ind w:left="176" w:right="-241" w:hanging="142"/>
              <w:rPr>
                <w:rFonts w:cs="Arial"/>
              </w:rPr>
            </w:pPr>
            <w:r w:rsidRPr="00E300A7">
              <w:rPr>
                <w:rFonts w:cs="Arial"/>
              </w:rPr>
              <w:t>Tender Submission Date</w:t>
            </w:r>
          </w:p>
        </w:tc>
        <w:tc>
          <w:tcPr>
            <w:tcW w:w="2500" w:type="pct"/>
            <w:shd w:val="clear" w:color="auto" w:fill="auto"/>
          </w:tcPr>
          <w:p w14:paraId="4BD7003A" w14:textId="51E4D1D4" w:rsidR="004F264C" w:rsidRPr="00661287" w:rsidRDefault="006C02EB" w:rsidP="00E300A7">
            <w:pPr>
              <w:tabs>
                <w:tab w:val="left" w:pos="174"/>
              </w:tabs>
              <w:spacing w:line="360" w:lineRule="auto"/>
              <w:ind w:right="-241"/>
              <w:rPr>
                <w:rFonts w:cs="Arial"/>
              </w:rPr>
            </w:pPr>
            <w:r w:rsidRPr="00661287">
              <w:rPr>
                <w:rFonts w:cs="Arial"/>
              </w:rPr>
              <w:t>28</w:t>
            </w:r>
            <w:r w:rsidRPr="00661287">
              <w:rPr>
                <w:rFonts w:cs="Arial"/>
                <w:vertAlign w:val="superscript"/>
              </w:rPr>
              <w:t>th</w:t>
            </w:r>
            <w:r w:rsidRPr="00661287">
              <w:rPr>
                <w:rFonts w:cs="Arial"/>
              </w:rPr>
              <w:t xml:space="preserve"> May 2021</w:t>
            </w:r>
            <w:r w:rsidR="00661287" w:rsidRPr="00661287">
              <w:rPr>
                <w:rFonts w:cs="Arial"/>
              </w:rPr>
              <w:t xml:space="preserve"> at 14:00</w:t>
            </w:r>
          </w:p>
        </w:tc>
      </w:tr>
      <w:tr w:rsidR="004F264C" w14:paraId="408DBE2B" w14:textId="77777777" w:rsidTr="004F264C">
        <w:tc>
          <w:tcPr>
            <w:tcW w:w="2500" w:type="pct"/>
            <w:shd w:val="clear" w:color="auto" w:fill="auto"/>
          </w:tcPr>
          <w:p w14:paraId="69C13029" w14:textId="77777777" w:rsidR="004F264C" w:rsidRPr="00E300A7" w:rsidRDefault="004F264C" w:rsidP="004F264C">
            <w:pPr>
              <w:tabs>
                <w:tab w:val="left" w:pos="317"/>
              </w:tabs>
              <w:spacing w:line="360" w:lineRule="auto"/>
              <w:ind w:left="176" w:right="-241" w:hanging="142"/>
              <w:rPr>
                <w:rFonts w:cs="Arial"/>
              </w:rPr>
            </w:pPr>
            <w:r w:rsidRPr="00E300A7">
              <w:rPr>
                <w:rFonts w:cs="Arial"/>
              </w:rPr>
              <w:t>Evaluation End Date</w:t>
            </w:r>
          </w:p>
        </w:tc>
        <w:tc>
          <w:tcPr>
            <w:tcW w:w="2500" w:type="pct"/>
            <w:shd w:val="clear" w:color="auto" w:fill="auto"/>
          </w:tcPr>
          <w:p w14:paraId="33618DE8" w14:textId="1B0075B9" w:rsidR="004F264C" w:rsidRPr="00E300A7" w:rsidRDefault="006C02EB" w:rsidP="00E300A7">
            <w:pPr>
              <w:tabs>
                <w:tab w:val="left" w:pos="174"/>
              </w:tabs>
              <w:spacing w:line="360" w:lineRule="auto"/>
              <w:ind w:right="-241"/>
              <w:rPr>
                <w:rFonts w:cs="Arial"/>
              </w:rPr>
            </w:pPr>
            <w:r>
              <w:rPr>
                <w:rFonts w:cs="Arial"/>
              </w:rPr>
              <w:t>6</w:t>
            </w:r>
            <w:r w:rsidRPr="006C02EB">
              <w:rPr>
                <w:rFonts w:cs="Arial"/>
                <w:vertAlign w:val="superscript"/>
              </w:rPr>
              <w:t>th</w:t>
            </w:r>
            <w:r>
              <w:rPr>
                <w:rFonts w:cs="Arial"/>
              </w:rPr>
              <w:t xml:space="preserve"> June 2021</w:t>
            </w:r>
          </w:p>
        </w:tc>
      </w:tr>
      <w:tr w:rsidR="006C02EB" w14:paraId="614B53AF" w14:textId="77777777" w:rsidTr="004F264C">
        <w:tc>
          <w:tcPr>
            <w:tcW w:w="2500" w:type="pct"/>
            <w:shd w:val="clear" w:color="auto" w:fill="auto"/>
          </w:tcPr>
          <w:p w14:paraId="18C55D00" w14:textId="1960AFEF" w:rsidR="006C02EB" w:rsidRPr="00E300A7" w:rsidRDefault="006C02EB" w:rsidP="004F264C">
            <w:pPr>
              <w:tabs>
                <w:tab w:val="left" w:pos="317"/>
              </w:tabs>
              <w:spacing w:line="360" w:lineRule="auto"/>
              <w:ind w:left="176" w:right="-241" w:hanging="142"/>
              <w:rPr>
                <w:rFonts w:cs="Arial"/>
              </w:rPr>
            </w:pPr>
            <w:r w:rsidRPr="00E300A7">
              <w:rPr>
                <w:rFonts w:cs="Arial"/>
              </w:rPr>
              <w:t>Award</w:t>
            </w:r>
          </w:p>
        </w:tc>
        <w:tc>
          <w:tcPr>
            <w:tcW w:w="2500" w:type="pct"/>
            <w:shd w:val="clear" w:color="auto" w:fill="auto"/>
          </w:tcPr>
          <w:p w14:paraId="668D999F" w14:textId="25B797E3" w:rsidR="006C02EB" w:rsidRPr="00E300A7" w:rsidRDefault="006C02EB" w:rsidP="00E300A7">
            <w:pPr>
              <w:tabs>
                <w:tab w:val="left" w:pos="174"/>
              </w:tabs>
              <w:spacing w:line="360" w:lineRule="auto"/>
              <w:ind w:right="-241"/>
              <w:rPr>
                <w:rFonts w:cs="Arial"/>
              </w:rPr>
            </w:pPr>
            <w:r>
              <w:rPr>
                <w:rFonts w:cs="Arial"/>
              </w:rPr>
              <w:t>7</w:t>
            </w:r>
            <w:r w:rsidRPr="006C02EB">
              <w:rPr>
                <w:rFonts w:cs="Arial"/>
                <w:vertAlign w:val="superscript"/>
              </w:rPr>
              <w:t>th</w:t>
            </w:r>
            <w:r>
              <w:rPr>
                <w:rFonts w:cs="Arial"/>
              </w:rPr>
              <w:t xml:space="preserve"> June 2021</w:t>
            </w:r>
          </w:p>
        </w:tc>
      </w:tr>
    </w:tbl>
    <w:p w14:paraId="5FA02C81" w14:textId="77777777" w:rsidR="001A236D" w:rsidRDefault="00237E4B" w:rsidP="00476BAD">
      <w:pPr>
        <w:pStyle w:val="Heading2"/>
        <w:tabs>
          <w:tab w:val="clear" w:pos="0"/>
          <w:tab w:val="left" w:pos="-180"/>
        </w:tabs>
        <w:spacing w:before="240"/>
        <w:ind w:hanging="181"/>
      </w:pPr>
      <w:bookmarkStart w:id="6" w:name="_Toc177969166"/>
      <w:bookmarkStart w:id="7" w:name="_Toc180380665"/>
      <w:bookmarkStart w:id="8" w:name="_Toc71532037"/>
      <w:r>
        <w:t xml:space="preserve">4. </w:t>
      </w:r>
      <w:r w:rsidR="001A236D">
        <w:t>Scope</w:t>
      </w:r>
      <w:bookmarkStart w:id="9" w:name="_Toc177969167"/>
      <w:bookmarkStart w:id="10" w:name="_Toc180380666"/>
      <w:bookmarkEnd w:id="6"/>
      <w:bookmarkEnd w:id="7"/>
      <w:bookmarkEnd w:id="8"/>
    </w:p>
    <w:p w14:paraId="1ED8412F" w14:textId="77777777" w:rsidR="00C65C53" w:rsidRDefault="00C65C53" w:rsidP="00C65C53">
      <w:pPr>
        <w:pStyle w:val="Heading3"/>
        <w:ind w:left="720"/>
      </w:pPr>
    </w:p>
    <w:p w14:paraId="69496643" w14:textId="77777777" w:rsidR="00C65C53" w:rsidRDefault="00C65C53" w:rsidP="005C506E">
      <w:r>
        <w:t xml:space="preserve">The </w:t>
      </w:r>
      <w:r w:rsidRPr="008C6FFB">
        <w:t xml:space="preserve">Contracting Authority </w:t>
      </w:r>
      <w:r>
        <w:t xml:space="preserve">intends to award a contract for the lease or contract hire of three </w:t>
      </w:r>
      <w:r w:rsidRPr="00612E1C">
        <w:t xml:space="preserve">vehicles (as specified in </w:t>
      </w:r>
      <w:r w:rsidR="00253489" w:rsidRPr="00612E1C">
        <w:t>Section 6</w:t>
      </w:r>
      <w:r w:rsidRPr="00612E1C">
        <w:t>) for use by its Stores Department. The vehicle</w:t>
      </w:r>
      <w:r w:rsidR="00253489" w:rsidRPr="00612E1C">
        <w:t>s</w:t>
      </w:r>
      <w:r w:rsidRPr="00612E1C">
        <w:t xml:space="preserve"> supplied will be used to transport stock </w:t>
      </w:r>
      <w:r w:rsidR="009C7F49" w:rsidRPr="00612E1C">
        <w:t xml:space="preserve">items </w:t>
      </w:r>
      <w:r w:rsidRPr="00612E1C">
        <w:t>between</w:t>
      </w:r>
      <w:r>
        <w:t xml:space="preserve"> DVLA satellite buildings which support the Agency to </w:t>
      </w:r>
      <w:r w:rsidR="009C7F49">
        <w:t xml:space="preserve">required </w:t>
      </w:r>
      <w:r>
        <w:t>deliver business objectives.</w:t>
      </w:r>
    </w:p>
    <w:p w14:paraId="3FE50F67" w14:textId="77777777" w:rsidR="006D7A26" w:rsidRDefault="006D7A26" w:rsidP="005C506E"/>
    <w:p w14:paraId="518CADF2" w14:textId="77777777" w:rsidR="006D7A26" w:rsidRDefault="00C65C53" w:rsidP="005C506E">
      <w:r>
        <w:t>The vehicle</w:t>
      </w:r>
      <w:r w:rsidR="004F264C">
        <w:t>s</w:t>
      </w:r>
      <w:r>
        <w:t xml:space="preserve"> will be used by Stores staff that have valid UK driving license. The vehicle</w:t>
      </w:r>
      <w:r w:rsidR="004F264C">
        <w:t>s</w:t>
      </w:r>
      <w:r>
        <w:t xml:space="preserve"> will be predominantly parked on DVLA premises during the period of the contract. On occasions, for example when a vehicle service is, the vehicle</w:t>
      </w:r>
      <w:r w:rsidR="004F264C">
        <w:t>s</w:t>
      </w:r>
      <w:r>
        <w:t xml:space="preserve"> will be parked at the premises of the service provider.</w:t>
      </w:r>
    </w:p>
    <w:p w14:paraId="1CF9FA5A" w14:textId="77777777" w:rsidR="006D7A26" w:rsidRDefault="006D7A26" w:rsidP="005C506E"/>
    <w:p w14:paraId="3D061594" w14:textId="77777777" w:rsidR="00B04A06" w:rsidRDefault="00B04A06" w:rsidP="005C506E">
      <w:r>
        <w:t xml:space="preserve">It is anticipated the vehicle mileage will be approximately </w:t>
      </w:r>
      <w:r w:rsidRPr="00733DDE">
        <w:rPr>
          <w:b/>
        </w:rPr>
        <w:t>10,000 miles</w:t>
      </w:r>
      <w:r>
        <w:t xml:space="preserve"> per year</w:t>
      </w:r>
      <w:r w:rsidR="004F264C">
        <w:t xml:space="preserve"> per vehicle.</w:t>
      </w:r>
    </w:p>
    <w:p w14:paraId="2D76A22A" w14:textId="77777777" w:rsidR="00C65C53" w:rsidRPr="008C6FFB" w:rsidRDefault="00C65C53" w:rsidP="005C506E">
      <w:pPr>
        <w:rPr>
          <w:b/>
        </w:rPr>
      </w:pPr>
    </w:p>
    <w:p w14:paraId="3B37DF1A" w14:textId="77777777" w:rsidR="00E961B2" w:rsidRDefault="00E961B2" w:rsidP="005C506E">
      <w:r>
        <w:t xml:space="preserve">Details of the service requirements are documented </w:t>
      </w:r>
      <w:r w:rsidRPr="00253489">
        <w:t>within Section 6,</w:t>
      </w:r>
      <w:r>
        <w:t xml:space="preserve"> Specifying Service Requirement. </w:t>
      </w:r>
    </w:p>
    <w:p w14:paraId="6976CAF9" w14:textId="77777777" w:rsidR="007D5621" w:rsidRDefault="00C65C53" w:rsidP="00984182">
      <w:pPr>
        <w:tabs>
          <w:tab w:val="left" w:pos="-180"/>
        </w:tabs>
        <w:ind w:left="719" w:hanging="900"/>
        <w:rPr>
          <w:rFonts w:cs="Arial"/>
        </w:rPr>
      </w:pPr>
      <w:r>
        <w:rPr>
          <w:rFonts w:cs="Arial"/>
        </w:rPr>
        <w:tab/>
      </w:r>
    </w:p>
    <w:p w14:paraId="0D55AD31" w14:textId="77777777" w:rsidR="007D5621" w:rsidRPr="004437C5" w:rsidRDefault="007D5621" w:rsidP="00850192">
      <w:pPr>
        <w:tabs>
          <w:tab w:val="left" w:pos="-180"/>
        </w:tabs>
        <w:ind w:left="-181"/>
        <w:rPr>
          <w:rFonts w:cs="Arial"/>
        </w:rPr>
      </w:pPr>
    </w:p>
    <w:p w14:paraId="2AE1F882" w14:textId="77777777" w:rsidR="00B96BE4" w:rsidRDefault="00B96BE4" w:rsidP="00237E4B">
      <w:pPr>
        <w:pStyle w:val="Heading2"/>
        <w:tabs>
          <w:tab w:val="clear" w:pos="0"/>
          <w:tab w:val="left" w:pos="-180"/>
          <w:tab w:val="num" w:pos="747"/>
          <w:tab w:val="num" w:pos="1080"/>
        </w:tabs>
        <w:ind w:left="-180"/>
      </w:pPr>
      <w:bookmarkStart w:id="11" w:name="_Toc253400959"/>
      <w:r>
        <w:br w:type="page"/>
      </w:r>
    </w:p>
    <w:p w14:paraId="3A07668C" w14:textId="77777777" w:rsidR="001A236D" w:rsidRDefault="00237E4B" w:rsidP="00237E4B">
      <w:pPr>
        <w:pStyle w:val="Heading2"/>
        <w:tabs>
          <w:tab w:val="clear" w:pos="0"/>
          <w:tab w:val="left" w:pos="-180"/>
          <w:tab w:val="num" w:pos="747"/>
          <w:tab w:val="num" w:pos="1080"/>
        </w:tabs>
        <w:ind w:left="-180"/>
      </w:pPr>
      <w:bookmarkStart w:id="12" w:name="_Toc71532038"/>
      <w:r>
        <w:lastRenderedPageBreak/>
        <w:t xml:space="preserve">5. </w:t>
      </w:r>
      <w:r w:rsidR="001A236D" w:rsidRPr="000E1435">
        <w:t>Implementation</w:t>
      </w:r>
      <w:r w:rsidR="001A236D">
        <w:t xml:space="preserve"> and Deliverables</w:t>
      </w:r>
      <w:bookmarkEnd w:id="11"/>
      <w:bookmarkEnd w:id="12"/>
    </w:p>
    <w:p w14:paraId="48F5E219" w14:textId="77777777" w:rsidR="00624E79" w:rsidRDefault="00624E79" w:rsidP="00624E79">
      <w:pPr>
        <w:tabs>
          <w:tab w:val="left" w:pos="-180"/>
        </w:tabs>
        <w:ind w:left="-180"/>
        <w:rPr>
          <w:bCs/>
        </w:rPr>
      </w:pPr>
    </w:p>
    <w:p w14:paraId="1BEFBFBC" w14:textId="04E42660" w:rsidR="00624E79" w:rsidRDefault="00624E79" w:rsidP="005C506E">
      <w:r w:rsidRPr="006C02EB">
        <w:t xml:space="preserve">The commencement date for this contract is </w:t>
      </w:r>
      <w:r w:rsidR="006C02EB" w:rsidRPr="006C02EB">
        <w:t>10</w:t>
      </w:r>
      <w:r w:rsidR="00437D15" w:rsidRPr="006C02EB">
        <w:rPr>
          <w:vertAlign w:val="superscript"/>
        </w:rPr>
        <w:t>th</w:t>
      </w:r>
      <w:r w:rsidR="006C02EB" w:rsidRPr="006C02EB">
        <w:t xml:space="preserve"> June</w:t>
      </w:r>
      <w:r w:rsidRPr="006C02EB">
        <w:t xml:space="preserve"> 2021 and the duration is for a period of </w:t>
      </w:r>
      <w:r w:rsidR="004F264C" w:rsidRPr="006C02EB">
        <w:t>2</w:t>
      </w:r>
      <w:r w:rsidRPr="006C02EB">
        <w:t xml:space="preserve"> years to </w:t>
      </w:r>
      <w:r w:rsidR="006C02EB" w:rsidRPr="006C02EB">
        <w:t>9</w:t>
      </w:r>
      <w:r w:rsidR="006C02EB" w:rsidRPr="006C02EB">
        <w:rPr>
          <w:vertAlign w:val="superscript"/>
        </w:rPr>
        <w:t>th</w:t>
      </w:r>
      <w:r w:rsidR="006C02EB" w:rsidRPr="006C02EB">
        <w:t xml:space="preserve"> June</w:t>
      </w:r>
      <w:r w:rsidR="004F264C" w:rsidRPr="006C02EB">
        <w:t xml:space="preserve"> 2023</w:t>
      </w:r>
      <w:r w:rsidRPr="006C02EB">
        <w:t xml:space="preserve"> with options to extend by </w:t>
      </w:r>
      <w:r w:rsidR="004F264C" w:rsidRPr="006C02EB">
        <w:t>2</w:t>
      </w:r>
      <w:r w:rsidRPr="006C02EB">
        <w:t xml:space="preserve"> further periods of </w:t>
      </w:r>
      <w:r w:rsidR="004F264C" w:rsidRPr="006C02EB">
        <w:t>1</w:t>
      </w:r>
      <w:r w:rsidRPr="006C02EB">
        <w:t xml:space="preserve"> year up to, at the latest, </w:t>
      </w:r>
      <w:r w:rsidR="006C02EB" w:rsidRPr="006C02EB">
        <w:t>9</w:t>
      </w:r>
      <w:r w:rsidR="006C02EB" w:rsidRPr="006C02EB">
        <w:rPr>
          <w:vertAlign w:val="superscript"/>
        </w:rPr>
        <w:t>th</w:t>
      </w:r>
      <w:r w:rsidR="006C02EB" w:rsidRPr="006C02EB">
        <w:t xml:space="preserve"> June</w:t>
      </w:r>
      <w:r w:rsidR="00AE5B39" w:rsidRPr="006C02EB">
        <w:t xml:space="preserve"> </w:t>
      </w:r>
      <w:r w:rsidR="004F264C" w:rsidRPr="006C02EB">
        <w:t>2025</w:t>
      </w:r>
      <w:r w:rsidRPr="00C4184C">
        <w:t>.</w:t>
      </w:r>
    </w:p>
    <w:p w14:paraId="579B634A" w14:textId="77777777" w:rsidR="009C7F49" w:rsidRDefault="009C7F49" w:rsidP="005C506E"/>
    <w:p w14:paraId="7F3CFF78" w14:textId="77777777" w:rsidR="009C7F49" w:rsidRDefault="009C7F49" w:rsidP="005C506E">
      <w:r>
        <w:t>These dates are indicative and are subject to change.</w:t>
      </w:r>
    </w:p>
    <w:p w14:paraId="6221ACE1" w14:textId="77777777" w:rsidR="00624E79" w:rsidRDefault="00624E79" w:rsidP="005C506E"/>
    <w:p w14:paraId="40F2318B" w14:textId="77777777" w:rsidR="00624E79" w:rsidRDefault="00624E79" w:rsidP="005C506E">
      <w:r w:rsidRPr="004F264C">
        <w:t xml:space="preserve">The criteria by which Supplier proposals will be evaluated are </w:t>
      </w:r>
      <w:r w:rsidRPr="00ED1DBC">
        <w:t>detailed in Annex 1.</w:t>
      </w:r>
    </w:p>
    <w:p w14:paraId="26637A5D" w14:textId="77777777" w:rsidR="00624E79" w:rsidRDefault="00624E79" w:rsidP="005C506E"/>
    <w:p w14:paraId="515A0598" w14:textId="52528197" w:rsidR="00624E79" w:rsidRDefault="00624E79" w:rsidP="005C506E">
      <w:r w:rsidRPr="00E7289E">
        <w:t xml:space="preserve">Equipment to satisfy this contract must be delivered to the DVLA </w:t>
      </w:r>
      <w:r>
        <w:t xml:space="preserve">main </w:t>
      </w:r>
      <w:r w:rsidRPr="00E7289E">
        <w:t>sites detailed below</w:t>
      </w:r>
      <w:r w:rsidR="004F264C">
        <w:t>:</w:t>
      </w:r>
    </w:p>
    <w:p w14:paraId="059580D3" w14:textId="77777777" w:rsidR="00624E79" w:rsidRDefault="00624E79" w:rsidP="005C506E"/>
    <w:p w14:paraId="537BC1A5" w14:textId="77777777" w:rsidR="00624E79" w:rsidRDefault="00624E79" w:rsidP="005C506E">
      <w:pPr>
        <w:rPr>
          <w:rFonts w:cs="Arial"/>
        </w:rPr>
      </w:pPr>
      <w:r>
        <w:rPr>
          <w:rFonts w:cs="Arial"/>
        </w:rPr>
        <w:t>DVLA</w:t>
      </w:r>
    </w:p>
    <w:p w14:paraId="4DC0AA1C" w14:textId="77777777" w:rsidR="00624E79" w:rsidRDefault="00624E79" w:rsidP="005C506E">
      <w:pPr>
        <w:rPr>
          <w:rFonts w:cs="Arial"/>
        </w:rPr>
      </w:pPr>
      <w:r>
        <w:rPr>
          <w:rFonts w:cs="Arial"/>
        </w:rPr>
        <w:t>D Basement Loading Bay</w:t>
      </w:r>
    </w:p>
    <w:p w14:paraId="734AE5D6" w14:textId="6E2890DA" w:rsidR="00624E79" w:rsidRPr="00E637A4" w:rsidRDefault="00624E79" w:rsidP="005C506E">
      <w:pPr>
        <w:rPr>
          <w:rFonts w:cs="Arial"/>
        </w:rPr>
      </w:pPr>
      <w:r>
        <w:rPr>
          <w:rFonts w:cs="Arial"/>
        </w:rPr>
        <w:t xml:space="preserve">Stores Office </w:t>
      </w:r>
      <w:r w:rsidR="00CB028A">
        <w:rPr>
          <w:rFonts w:cs="Arial"/>
        </w:rPr>
        <w:t xml:space="preserve">– </w:t>
      </w:r>
      <w:proofErr w:type="spellStart"/>
      <w:r w:rsidR="006B63A5">
        <w:rPr>
          <w:rFonts w:ascii="Segoe UI" w:hAnsi="Segoe UI" w:cs="Segoe UI"/>
          <w:color w:val="242424"/>
          <w:sz w:val="20"/>
          <w:shd w:val="clear" w:color="auto" w:fill="FFFFFF"/>
        </w:rPr>
        <w:t>Xxxxx</w:t>
      </w:r>
      <w:proofErr w:type="spellEnd"/>
      <w:r w:rsidR="006B63A5">
        <w:rPr>
          <w:rFonts w:ascii="Segoe UI" w:hAnsi="Segoe UI" w:cs="Segoe UI"/>
          <w:color w:val="242424"/>
          <w:sz w:val="20"/>
          <w:shd w:val="clear" w:color="auto" w:fill="FFFFFF"/>
        </w:rPr>
        <w:t xml:space="preserve"> redacted under FOI Section 40</w:t>
      </w:r>
    </w:p>
    <w:p w14:paraId="1B6031A3" w14:textId="77777777" w:rsidR="00624E79" w:rsidRPr="00E637A4" w:rsidRDefault="00624E79" w:rsidP="005C506E">
      <w:pPr>
        <w:rPr>
          <w:rFonts w:cs="Arial"/>
        </w:rPr>
      </w:pPr>
      <w:r w:rsidRPr="00E637A4">
        <w:rPr>
          <w:rFonts w:cs="Arial"/>
        </w:rPr>
        <w:t xml:space="preserve">Longview Road, </w:t>
      </w:r>
    </w:p>
    <w:p w14:paraId="545D0D76" w14:textId="77777777" w:rsidR="00624E79" w:rsidRPr="00E637A4" w:rsidRDefault="00624E79" w:rsidP="005C506E">
      <w:pPr>
        <w:rPr>
          <w:rFonts w:cs="Arial"/>
        </w:rPr>
      </w:pPr>
      <w:r w:rsidRPr="00E637A4">
        <w:rPr>
          <w:rFonts w:cs="Arial"/>
        </w:rPr>
        <w:t xml:space="preserve">Morriston, </w:t>
      </w:r>
    </w:p>
    <w:p w14:paraId="10DA3A24" w14:textId="77777777" w:rsidR="00624E79" w:rsidRPr="00E637A4" w:rsidRDefault="00624E79" w:rsidP="005C506E">
      <w:pPr>
        <w:rPr>
          <w:rFonts w:cs="Arial"/>
        </w:rPr>
      </w:pPr>
      <w:r w:rsidRPr="00E637A4">
        <w:rPr>
          <w:rFonts w:cs="Arial"/>
        </w:rPr>
        <w:t xml:space="preserve">Swansea </w:t>
      </w:r>
    </w:p>
    <w:p w14:paraId="1EF53B7D" w14:textId="77777777" w:rsidR="00624E79" w:rsidRPr="00E637A4" w:rsidRDefault="00624E79" w:rsidP="005C506E">
      <w:pPr>
        <w:rPr>
          <w:rFonts w:cs="Arial"/>
        </w:rPr>
      </w:pPr>
      <w:r w:rsidRPr="00E637A4">
        <w:rPr>
          <w:rFonts w:cs="Arial"/>
        </w:rPr>
        <w:t>SA6 7JL</w:t>
      </w:r>
    </w:p>
    <w:p w14:paraId="40F7FE08" w14:textId="77777777" w:rsidR="00624E79" w:rsidRDefault="00624E79" w:rsidP="005C506E"/>
    <w:p w14:paraId="04D947A9" w14:textId="006A00BC" w:rsidR="007A2EAA" w:rsidRDefault="004F264C" w:rsidP="005C506E">
      <w:r>
        <w:t xml:space="preserve">DVLA has the goal of achieving </w:t>
      </w:r>
      <w:proofErr w:type="gramStart"/>
      <w:r>
        <w:t>all of</w:t>
      </w:r>
      <w:proofErr w:type="gramEnd"/>
      <w:r>
        <w:t xml:space="preserve"> the vehicles being </w:t>
      </w:r>
      <w:r w:rsidRPr="006C02EB">
        <w:t>delivered by 1</w:t>
      </w:r>
      <w:r w:rsidRPr="006C02EB">
        <w:rPr>
          <w:vertAlign w:val="superscript"/>
        </w:rPr>
        <w:t>st</w:t>
      </w:r>
      <w:r w:rsidRPr="006C02EB">
        <w:t xml:space="preserve"> </w:t>
      </w:r>
      <w:r w:rsidR="006C02EB" w:rsidRPr="006C02EB">
        <w:t xml:space="preserve">September </w:t>
      </w:r>
      <w:r w:rsidRPr="006C02EB">
        <w:t>2021</w:t>
      </w:r>
      <w:r>
        <w:t xml:space="preserve"> at the latest, if there any issues meeting this date, this must be identified within the Tender Proposal for DVLA to consider.</w:t>
      </w:r>
    </w:p>
    <w:p w14:paraId="1E9ECE33" w14:textId="77777777" w:rsidR="00253489" w:rsidRDefault="00253489" w:rsidP="00AB6E7E">
      <w:pPr>
        <w:pStyle w:val="Heading2"/>
        <w:tabs>
          <w:tab w:val="clear" w:pos="0"/>
          <w:tab w:val="left" w:pos="-180"/>
          <w:tab w:val="num" w:pos="747"/>
          <w:tab w:val="left" w:pos="6050"/>
        </w:tabs>
        <w:ind w:left="-180"/>
      </w:pPr>
      <w:bookmarkStart w:id="13" w:name="_Toc177969168"/>
      <w:bookmarkStart w:id="14" w:name="_Toc180380667"/>
      <w:bookmarkEnd w:id="9"/>
      <w:bookmarkEnd w:id="10"/>
      <w:r>
        <w:br w:type="page"/>
      </w:r>
    </w:p>
    <w:p w14:paraId="4D595005" w14:textId="77777777" w:rsidR="005708FF" w:rsidRDefault="00237E4B" w:rsidP="00AB6E7E">
      <w:pPr>
        <w:pStyle w:val="Heading2"/>
        <w:tabs>
          <w:tab w:val="clear" w:pos="0"/>
          <w:tab w:val="left" w:pos="-180"/>
          <w:tab w:val="num" w:pos="747"/>
          <w:tab w:val="left" w:pos="6050"/>
        </w:tabs>
        <w:ind w:left="-180"/>
      </w:pPr>
      <w:bookmarkStart w:id="15" w:name="_Toc71532039"/>
      <w:r w:rsidRPr="00237E4B">
        <w:lastRenderedPageBreak/>
        <w:t>6.</w:t>
      </w:r>
      <w:r w:rsidR="001A236D" w:rsidRPr="000E1435">
        <w:t>Specifying Goods and / or Services</w:t>
      </w:r>
      <w:bookmarkEnd w:id="13"/>
      <w:bookmarkEnd w:id="14"/>
      <w:bookmarkEnd w:id="15"/>
      <w:r w:rsidR="00AB6E7E">
        <w:tab/>
      </w:r>
    </w:p>
    <w:p w14:paraId="765FB351" w14:textId="77777777" w:rsidR="005708FF" w:rsidRDefault="005708FF" w:rsidP="005708FF">
      <w:pPr>
        <w:tabs>
          <w:tab w:val="left" w:pos="-180"/>
        </w:tabs>
        <w:ind w:left="-180"/>
        <w:rPr>
          <w:bCs/>
        </w:rPr>
      </w:pPr>
    </w:p>
    <w:p w14:paraId="506F3305" w14:textId="77777777" w:rsidR="00D22050" w:rsidRDefault="002F7B76" w:rsidP="00D22050">
      <w:pPr>
        <w:pStyle w:val="ListParagraph"/>
        <w:numPr>
          <w:ilvl w:val="0"/>
          <w:numId w:val="17"/>
        </w:numPr>
        <w:tabs>
          <w:tab w:val="left" w:pos="-180"/>
        </w:tabs>
        <w:rPr>
          <w:rFonts w:ascii="Arial" w:hAnsi="Arial"/>
          <w:bCs/>
        </w:rPr>
      </w:pPr>
      <w:r>
        <w:rPr>
          <w:rFonts w:ascii="Arial" w:hAnsi="Arial"/>
          <w:bCs/>
        </w:rPr>
        <w:t xml:space="preserve">The Authority requires </w:t>
      </w:r>
      <w:r w:rsidR="004F264C">
        <w:rPr>
          <w:rFonts w:ascii="Arial" w:hAnsi="Arial"/>
          <w:bCs/>
        </w:rPr>
        <w:t xml:space="preserve">3 vehicles.  </w:t>
      </w:r>
    </w:p>
    <w:p w14:paraId="550525C0" w14:textId="77777777" w:rsidR="00253489" w:rsidRPr="00D22050" w:rsidRDefault="00253489" w:rsidP="00253489">
      <w:pPr>
        <w:pStyle w:val="ListParagraph"/>
        <w:tabs>
          <w:tab w:val="left" w:pos="-180"/>
        </w:tabs>
        <w:ind w:left="540"/>
        <w:rPr>
          <w:rFonts w:ascii="Arial" w:hAnsi="Arial"/>
          <w:bCs/>
        </w:rPr>
      </w:pPr>
    </w:p>
    <w:p w14:paraId="418615E9" w14:textId="77777777" w:rsidR="002F7B76" w:rsidRDefault="002F7B76" w:rsidP="006F7272">
      <w:pPr>
        <w:pStyle w:val="ListParagraph"/>
        <w:numPr>
          <w:ilvl w:val="0"/>
          <w:numId w:val="17"/>
        </w:numPr>
        <w:tabs>
          <w:tab w:val="left" w:pos="-180"/>
        </w:tabs>
        <w:rPr>
          <w:rFonts w:ascii="Arial" w:hAnsi="Arial"/>
          <w:bCs/>
        </w:rPr>
      </w:pPr>
      <w:r>
        <w:rPr>
          <w:rFonts w:ascii="Arial" w:hAnsi="Arial"/>
          <w:bCs/>
        </w:rPr>
        <w:t xml:space="preserve">Type A van </w:t>
      </w:r>
      <w:r w:rsidR="00AB6E7E">
        <w:rPr>
          <w:rFonts w:ascii="Arial" w:hAnsi="Arial"/>
          <w:bCs/>
        </w:rPr>
        <w:t xml:space="preserve">(two of these required) with the ability </w:t>
      </w:r>
      <w:r>
        <w:rPr>
          <w:rFonts w:ascii="Arial" w:hAnsi="Arial"/>
          <w:bCs/>
        </w:rPr>
        <w:t>to carry to 2 standard pallets</w:t>
      </w:r>
      <w:r w:rsidR="00523B63">
        <w:rPr>
          <w:rFonts w:ascii="Arial" w:hAnsi="Arial"/>
          <w:bCs/>
        </w:rPr>
        <w:t xml:space="preserve"> of up to 500kg per pallet.  This must be configurable to current Health and Safety standards.</w:t>
      </w:r>
    </w:p>
    <w:p w14:paraId="50035958" w14:textId="77777777" w:rsidR="00253489" w:rsidRPr="00253489" w:rsidRDefault="00253489" w:rsidP="00253489">
      <w:pPr>
        <w:tabs>
          <w:tab w:val="left" w:pos="-180"/>
        </w:tabs>
        <w:rPr>
          <w:bCs/>
        </w:rPr>
      </w:pPr>
    </w:p>
    <w:p w14:paraId="2B876CAC" w14:textId="77777777" w:rsidR="002F7B76" w:rsidRPr="005708FF" w:rsidRDefault="002F7B76" w:rsidP="006F7272">
      <w:pPr>
        <w:pStyle w:val="ListParagraph"/>
        <w:numPr>
          <w:ilvl w:val="0"/>
          <w:numId w:val="17"/>
        </w:numPr>
        <w:tabs>
          <w:tab w:val="left" w:pos="-180"/>
        </w:tabs>
        <w:rPr>
          <w:rFonts w:ascii="Arial" w:hAnsi="Arial"/>
          <w:bCs/>
        </w:rPr>
      </w:pPr>
      <w:r>
        <w:rPr>
          <w:rFonts w:ascii="Arial" w:hAnsi="Arial"/>
          <w:bCs/>
        </w:rPr>
        <w:t xml:space="preserve">Type B van </w:t>
      </w:r>
      <w:r w:rsidR="00AB6E7E">
        <w:rPr>
          <w:rFonts w:ascii="Arial" w:hAnsi="Arial"/>
          <w:bCs/>
        </w:rPr>
        <w:t xml:space="preserve">(one of these required) with the ability </w:t>
      </w:r>
      <w:r>
        <w:rPr>
          <w:rFonts w:ascii="Arial" w:hAnsi="Arial"/>
          <w:bCs/>
        </w:rPr>
        <w:t>to carry trollies and small parcels</w:t>
      </w:r>
      <w:r w:rsidR="002C4C14">
        <w:rPr>
          <w:rFonts w:ascii="Arial" w:hAnsi="Arial"/>
          <w:bCs/>
        </w:rPr>
        <w:t xml:space="preserve"> and at least one pallet.  This vehicle needs to be </w:t>
      </w:r>
      <w:r w:rsidR="00FD197D">
        <w:rPr>
          <w:rFonts w:ascii="Arial" w:hAnsi="Arial"/>
          <w:bCs/>
        </w:rPr>
        <w:t xml:space="preserve">a </w:t>
      </w:r>
      <w:proofErr w:type="gramStart"/>
      <w:r w:rsidR="00FD197D">
        <w:rPr>
          <w:rFonts w:ascii="Arial" w:hAnsi="Arial"/>
          <w:bCs/>
        </w:rPr>
        <w:t>zero emission</w:t>
      </w:r>
      <w:proofErr w:type="gramEnd"/>
      <w:r w:rsidR="00FD197D">
        <w:rPr>
          <w:rFonts w:ascii="Arial" w:hAnsi="Arial"/>
          <w:bCs/>
        </w:rPr>
        <w:t xml:space="preserve"> vehicle.</w:t>
      </w:r>
    </w:p>
    <w:p w14:paraId="0560C4F3" w14:textId="77777777" w:rsidR="005708FF" w:rsidRDefault="005708FF" w:rsidP="005708FF">
      <w:pPr>
        <w:tabs>
          <w:tab w:val="left" w:pos="-180"/>
        </w:tabs>
        <w:ind w:left="-180"/>
        <w:rPr>
          <w:bCs/>
        </w:rPr>
      </w:pPr>
    </w:p>
    <w:p w14:paraId="6C70562C" w14:textId="77777777" w:rsidR="005708FF" w:rsidRPr="005708FF" w:rsidRDefault="005708FF" w:rsidP="006F7272">
      <w:pPr>
        <w:pStyle w:val="ListParagraph"/>
        <w:numPr>
          <w:ilvl w:val="0"/>
          <w:numId w:val="17"/>
        </w:numPr>
        <w:tabs>
          <w:tab w:val="left" w:pos="-180"/>
        </w:tabs>
        <w:rPr>
          <w:rFonts w:ascii="Arial" w:hAnsi="Arial" w:cs="Arial"/>
          <w:szCs w:val="24"/>
        </w:rPr>
      </w:pPr>
      <w:r w:rsidRPr="005708FF">
        <w:rPr>
          <w:rFonts w:ascii="Arial" w:hAnsi="Arial" w:cs="Arial"/>
          <w:szCs w:val="24"/>
        </w:rPr>
        <w:t xml:space="preserve">The supplier will be responsible for ensuring the vehicle is </w:t>
      </w:r>
      <w:proofErr w:type="gramStart"/>
      <w:r w:rsidRPr="005708FF">
        <w:rPr>
          <w:rFonts w:ascii="Arial" w:hAnsi="Arial" w:cs="Arial"/>
          <w:szCs w:val="24"/>
        </w:rPr>
        <w:t>taxed at all times</w:t>
      </w:r>
      <w:proofErr w:type="gramEnd"/>
      <w:r w:rsidRPr="005708FF">
        <w:rPr>
          <w:rFonts w:ascii="Arial" w:hAnsi="Arial" w:cs="Arial"/>
          <w:szCs w:val="24"/>
        </w:rPr>
        <w:t xml:space="preserve"> and must cover all road tax costs. The supplier will be responsible for ensuring a valid MOT is in place when required. </w:t>
      </w:r>
    </w:p>
    <w:p w14:paraId="2CA6C328" w14:textId="77777777" w:rsidR="005708FF" w:rsidRDefault="005708FF" w:rsidP="005708FF">
      <w:pPr>
        <w:tabs>
          <w:tab w:val="left" w:pos="-180"/>
        </w:tabs>
        <w:ind w:left="-180"/>
        <w:rPr>
          <w:rFonts w:cs="Arial"/>
          <w:szCs w:val="24"/>
        </w:rPr>
      </w:pPr>
    </w:p>
    <w:p w14:paraId="1499A209" w14:textId="77777777" w:rsidR="005708FF" w:rsidRPr="005708FF" w:rsidRDefault="005708FF" w:rsidP="006F7272">
      <w:pPr>
        <w:pStyle w:val="ListParagraph"/>
        <w:numPr>
          <w:ilvl w:val="0"/>
          <w:numId w:val="17"/>
        </w:numPr>
        <w:tabs>
          <w:tab w:val="left" w:pos="-180"/>
        </w:tabs>
        <w:rPr>
          <w:rFonts w:ascii="Arial" w:hAnsi="Arial" w:cs="Arial"/>
          <w:szCs w:val="24"/>
        </w:rPr>
      </w:pPr>
      <w:r w:rsidRPr="005708FF">
        <w:rPr>
          <w:rFonts w:ascii="Arial" w:hAnsi="Arial" w:cs="Arial"/>
          <w:szCs w:val="24"/>
        </w:rPr>
        <w:t>During the contract term</w:t>
      </w:r>
      <w:r w:rsidR="00253489">
        <w:rPr>
          <w:rFonts w:ascii="Arial" w:hAnsi="Arial" w:cs="Arial"/>
          <w:szCs w:val="24"/>
        </w:rPr>
        <w:t>,</w:t>
      </w:r>
      <w:r w:rsidRPr="005708FF">
        <w:rPr>
          <w:rFonts w:ascii="Arial" w:hAnsi="Arial" w:cs="Arial"/>
          <w:szCs w:val="24"/>
        </w:rPr>
        <w:t xml:space="preserve"> the supplier must undertake all</w:t>
      </w:r>
      <w:r w:rsidR="009A5D85">
        <w:rPr>
          <w:rFonts w:ascii="Arial" w:hAnsi="Arial" w:cs="Arial"/>
          <w:szCs w:val="24"/>
        </w:rPr>
        <w:t xml:space="preserve"> routine</w:t>
      </w:r>
      <w:r w:rsidRPr="005708FF">
        <w:rPr>
          <w:rFonts w:ascii="Arial" w:hAnsi="Arial" w:cs="Arial"/>
          <w:szCs w:val="24"/>
        </w:rPr>
        <w:t xml:space="preserve"> repair </w:t>
      </w:r>
      <w:r w:rsidR="009A5D85">
        <w:rPr>
          <w:rFonts w:ascii="Arial" w:hAnsi="Arial" w:cs="Arial"/>
          <w:szCs w:val="24"/>
        </w:rPr>
        <w:t xml:space="preserve">(non-accidental) </w:t>
      </w:r>
      <w:r w:rsidRPr="005708FF">
        <w:rPr>
          <w:rFonts w:ascii="Arial" w:hAnsi="Arial" w:cs="Arial"/>
          <w:szCs w:val="24"/>
        </w:rPr>
        <w:t xml:space="preserve">and maintenance costs that may occur at their own expense; these include, but </w:t>
      </w:r>
      <w:r w:rsidR="001E03E8" w:rsidRPr="005708FF">
        <w:rPr>
          <w:rFonts w:ascii="Arial" w:hAnsi="Arial" w:cs="Arial"/>
          <w:szCs w:val="24"/>
        </w:rPr>
        <w:t>are not</w:t>
      </w:r>
      <w:r w:rsidRPr="005708FF">
        <w:rPr>
          <w:rFonts w:ascii="Arial" w:hAnsi="Arial" w:cs="Arial"/>
          <w:szCs w:val="24"/>
        </w:rPr>
        <w:t xml:space="preserve"> limited to; servicing and labour costs (including tyres, exhausts tail lift, chipped windows) and breakdown cover (including home start).</w:t>
      </w:r>
    </w:p>
    <w:p w14:paraId="64E9F834" w14:textId="77777777" w:rsidR="005708FF" w:rsidRDefault="005708FF" w:rsidP="005708FF">
      <w:pPr>
        <w:tabs>
          <w:tab w:val="left" w:pos="-180"/>
        </w:tabs>
        <w:ind w:left="-180"/>
        <w:rPr>
          <w:rFonts w:cs="Arial"/>
          <w:szCs w:val="24"/>
        </w:rPr>
      </w:pPr>
    </w:p>
    <w:p w14:paraId="7EE3C0EC" w14:textId="77777777" w:rsidR="005708FF" w:rsidRPr="005708FF" w:rsidRDefault="005708FF" w:rsidP="006F7272">
      <w:pPr>
        <w:pStyle w:val="ListParagraph"/>
        <w:numPr>
          <w:ilvl w:val="0"/>
          <w:numId w:val="17"/>
        </w:numPr>
        <w:tabs>
          <w:tab w:val="left" w:pos="-180"/>
        </w:tabs>
        <w:rPr>
          <w:rFonts w:ascii="Arial" w:hAnsi="Arial" w:cs="Arial"/>
          <w:szCs w:val="24"/>
        </w:rPr>
      </w:pPr>
      <w:r w:rsidRPr="005708FF">
        <w:rPr>
          <w:rFonts w:ascii="Arial" w:hAnsi="Arial" w:cs="Arial"/>
          <w:bCs/>
          <w:szCs w:val="24"/>
        </w:rPr>
        <w:t xml:space="preserve">The Authority will require a replacement vehicle to cover any downtime </w:t>
      </w:r>
      <w:proofErr w:type="gramStart"/>
      <w:r w:rsidRPr="005708FF">
        <w:rPr>
          <w:rFonts w:ascii="Arial" w:hAnsi="Arial" w:cs="Arial"/>
          <w:bCs/>
          <w:szCs w:val="24"/>
        </w:rPr>
        <w:t>in excess of</w:t>
      </w:r>
      <w:proofErr w:type="gramEnd"/>
      <w:r w:rsidRPr="005708FF">
        <w:rPr>
          <w:rFonts w:ascii="Arial" w:hAnsi="Arial" w:cs="Arial"/>
          <w:bCs/>
          <w:szCs w:val="24"/>
        </w:rPr>
        <w:t xml:space="preserve"> 24 hours.</w:t>
      </w:r>
    </w:p>
    <w:p w14:paraId="026D1C5E" w14:textId="77777777" w:rsidR="005708FF" w:rsidRPr="005708FF" w:rsidRDefault="005708FF" w:rsidP="005708FF">
      <w:pPr>
        <w:pStyle w:val="ListParagraph"/>
        <w:rPr>
          <w:rFonts w:ascii="Arial" w:hAnsi="Arial" w:cs="Arial"/>
          <w:szCs w:val="24"/>
        </w:rPr>
      </w:pPr>
    </w:p>
    <w:p w14:paraId="2EE5F4BA" w14:textId="77777777" w:rsidR="005C506E" w:rsidRDefault="005C506E" w:rsidP="005C506E">
      <w:pPr>
        <w:pStyle w:val="Heading3"/>
        <w:rPr>
          <w:rFonts w:cs="Arial"/>
          <w:szCs w:val="24"/>
        </w:rPr>
      </w:pPr>
      <w:bookmarkStart w:id="16" w:name="_Toc71532040"/>
      <w:r>
        <w:t>Type A Vehicle</w:t>
      </w:r>
      <w:bookmarkEnd w:id="16"/>
    </w:p>
    <w:p w14:paraId="46EA4E5A" w14:textId="7DAAECBB" w:rsidR="005708FF" w:rsidRPr="005C506E" w:rsidRDefault="005708FF" w:rsidP="005C506E">
      <w:pPr>
        <w:tabs>
          <w:tab w:val="left" w:pos="851"/>
        </w:tabs>
        <w:spacing w:line="360" w:lineRule="auto"/>
        <w:rPr>
          <w:rFonts w:cs="Arial"/>
          <w:szCs w:val="24"/>
        </w:rPr>
      </w:pPr>
      <w:r w:rsidRPr="005C506E">
        <w:rPr>
          <w:rFonts w:cs="Arial"/>
          <w:szCs w:val="24"/>
        </w:rPr>
        <w:t>The</w:t>
      </w:r>
      <w:r w:rsidR="009A5D85" w:rsidRPr="005C506E">
        <w:rPr>
          <w:rFonts w:cs="Arial"/>
          <w:szCs w:val="24"/>
        </w:rPr>
        <w:t xml:space="preserve"> Type A</w:t>
      </w:r>
      <w:r w:rsidRPr="005C506E">
        <w:rPr>
          <w:rFonts w:cs="Arial"/>
          <w:szCs w:val="24"/>
        </w:rPr>
        <w:t xml:space="preserve"> vehicle</w:t>
      </w:r>
      <w:r w:rsidR="009A5D85" w:rsidRPr="005C506E">
        <w:rPr>
          <w:rFonts w:cs="Arial"/>
          <w:szCs w:val="24"/>
        </w:rPr>
        <w:t>s</w:t>
      </w:r>
      <w:r w:rsidR="006C02EB">
        <w:rPr>
          <w:rFonts w:cs="Arial"/>
          <w:szCs w:val="24"/>
        </w:rPr>
        <w:t xml:space="preserve"> </w:t>
      </w:r>
      <w:r w:rsidR="009A5D85" w:rsidRPr="005C506E">
        <w:rPr>
          <w:rFonts w:cs="Arial"/>
          <w:szCs w:val="24"/>
        </w:rPr>
        <w:t xml:space="preserve">should </w:t>
      </w:r>
      <w:r w:rsidR="00FD197D">
        <w:rPr>
          <w:rFonts w:cs="Arial"/>
          <w:szCs w:val="24"/>
        </w:rPr>
        <w:t xml:space="preserve">broadly </w:t>
      </w:r>
      <w:r w:rsidR="009A5D85" w:rsidRPr="005C506E">
        <w:rPr>
          <w:rFonts w:cs="Arial"/>
          <w:szCs w:val="24"/>
        </w:rPr>
        <w:t>meet the</w:t>
      </w:r>
      <w:r w:rsidR="00FD197D">
        <w:rPr>
          <w:rFonts w:cs="Arial"/>
          <w:szCs w:val="24"/>
        </w:rPr>
        <w:t xml:space="preserve"> size/capacity</w:t>
      </w:r>
      <w:r w:rsidR="009A5D85" w:rsidRPr="005C506E">
        <w:rPr>
          <w:rFonts w:cs="Arial"/>
          <w:szCs w:val="24"/>
        </w:rPr>
        <w:t xml:space="preserve"> specifications below</w:t>
      </w:r>
      <w:r w:rsidR="00253489" w:rsidRPr="005C506E">
        <w:rPr>
          <w:rFonts w:cs="Arial"/>
          <w:szCs w:val="24"/>
        </w:rPr>
        <w:t>:</w:t>
      </w:r>
    </w:p>
    <w:p w14:paraId="25CCA7D1"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6.</w:t>
      </w:r>
      <w:r w:rsidR="00FD197D">
        <w:rPr>
          <w:rFonts w:ascii="Arial" w:hAnsi="Arial" w:cs="Arial"/>
          <w:bCs/>
          <w:szCs w:val="24"/>
        </w:rPr>
        <w:t>5</w:t>
      </w:r>
      <w:r w:rsidRPr="005C506E">
        <w:rPr>
          <w:rFonts w:ascii="Arial" w:hAnsi="Arial" w:cs="Arial"/>
          <w:bCs/>
          <w:szCs w:val="24"/>
        </w:rPr>
        <w:t xml:space="preserve"> metres in overall vehicle length</w:t>
      </w:r>
    </w:p>
    <w:p w14:paraId="374EBD97"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3.</w:t>
      </w:r>
      <w:r w:rsidR="00FD197D">
        <w:rPr>
          <w:rFonts w:ascii="Arial" w:hAnsi="Arial" w:cs="Arial"/>
          <w:bCs/>
          <w:szCs w:val="24"/>
        </w:rPr>
        <w:t>10</w:t>
      </w:r>
      <w:r w:rsidRPr="005C506E">
        <w:rPr>
          <w:rFonts w:ascii="Arial" w:hAnsi="Arial" w:cs="Arial"/>
          <w:bCs/>
          <w:szCs w:val="24"/>
        </w:rPr>
        <w:t xml:space="preserve"> metres in overall vehicle height</w:t>
      </w:r>
    </w:p>
    <w:p w14:paraId="62CC1A54" w14:textId="77777777" w:rsidR="005708FF" w:rsidRPr="005C506E" w:rsidRDefault="00111750"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2.10</w:t>
      </w:r>
      <w:r w:rsidR="005708FF" w:rsidRPr="005C506E">
        <w:rPr>
          <w:rFonts w:ascii="Arial" w:hAnsi="Arial" w:cs="Arial"/>
          <w:bCs/>
          <w:szCs w:val="24"/>
        </w:rPr>
        <w:t xml:space="preserve"> metres in overall vehicle width</w:t>
      </w:r>
    </w:p>
    <w:p w14:paraId="4B1AE580" w14:textId="77777777" w:rsidR="005708FF" w:rsidRPr="005C506E" w:rsidRDefault="00111750"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2.00</w:t>
      </w:r>
      <w:r w:rsidR="005708FF" w:rsidRPr="005C506E">
        <w:rPr>
          <w:rFonts w:ascii="Arial" w:hAnsi="Arial" w:cs="Arial"/>
          <w:bCs/>
          <w:szCs w:val="24"/>
        </w:rPr>
        <w:t xml:space="preserve"> metres interior load width</w:t>
      </w:r>
    </w:p>
    <w:p w14:paraId="61E3494C" w14:textId="77777777" w:rsidR="005708FF" w:rsidRPr="005C506E" w:rsidRDefault="00111750"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2.00</w:t>
      </w:r>
      <w:r w:rsidR="005708FF" w:rsidRPr="005C506E">
        <w:rPr>
          <w:rFonts w:ascii="Arial" w:hAnsi="Arial" w:cs="Arial"/>
          <w:bCs/>
          <w:szCs w:val="24"/>
        </w:rPr>
        <w:t xml:space="preserve"> metres interior load height</w:t>
      </w:r>
    </w:p>
    <w:p w14:paraId="677FD4BB"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3.</w:t>
      </w:r>
      <w:r w:rsidR="00FD197D">
        <w:rPr>
          <w:rFonts w:ascii="Arial" w:hAnsi="Arial" w:cs="Arial"/>
          <w:bCs/>
          <w:szCs w:val="24"/>
        </w:rPr>
        <w:t>10</w:t>
      </w:r>
      <w:r w:rsidRPr="005C506E">
        <w:rPr>
          <w:rFonts w:ascii="Arial" w:hAnsi="Arial" w:cs="Arial"/>
          <w:bCs/>
          <w:szCs w:val="24"/>
        </w:rPr>
        <w:t xml:space="preserve"> metres interior load length</w:t>
      </w:r>
    </w:p>
    <w:p w14:paraId="2E10E7E5" w14:textId="77777777" w:rsidR="005708FF"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1.98 x 1.90 metres rear door dimensions</w:t>
      </w:r>
    </w:p>
    <w:p w14:paraId="599D0D7D" w14:textId="77777777" w:rsidR="00FD197D" w:rsidRDefault="00FD197D" w:rsidP="00FD197D">
      <w:pPr>
        <w:spacing w:before="120" w:after="120"/>
        <w:rPr>
          <w:rFonts w:cs="Arial"/>
          <w:bCs/>
          <w:szCs w:val="24"/>
        </w:rPr>
      </w:pPr>
    </w:p>
    <w:p w14:paraId="791B5151" w14:textId="77777777" w:rsidR="00FD197D" w:rsidRPr="00FD197D" w:rsidRDefault="00FD197D" w:rsidP="00FD197D">
      <w:pPr>
        <w:spacing w:before="120" w:after="120"/>
        <w:rPr>
          <w:rFonts w:cs="Arial"/>
          <w:bCs/>
          <w:szCs w:val="24"/>
        </w:rPr>
      </w:pPr>
      <w:r>
        <w:rPr>
          <w:rFonts w:cs="Arial"/>
          <w:bCs/>
          <w:szCs w:val="24"/>
        </w:rPr>
        <w:t>The Type A vehicles must contain the following:</w:t>
      </w:r>
    </w:p>
    <w:p w14:paraId="280B999F" w14:textId="77777777" w:rsidR="00F1060D" w:rsidRPr="005C506E" w:rsidRDefault="00F1060D"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A Petrol/Diesel engine</w:t>
      </w:r>
    </w:p>
    <w:p w14:paraId="601132B7"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Two doors</w:t>
      </w:r>
      <w:r w:rsidR="009A5D85" w:rsidRPr="005C506E">
        <w:rPr>
          <w:rFonts w:ascii="Arial" w:hAnsi="Arial" w:cs="Arial"/>
          <w:bCs/>
          <w:szCs w:val="24"/>
        </w:rPr>
        <w:t xml:space="preserve"> (one passenger/one driver)</w:t>
      </w:r>
    </w:p>
    <w:p w14:paraId="0ED37B0A"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Tw</w:t>
      </w:r>
      <w:r w:rsidR="009A5D85" w:rsidRPr="005C506E">
        <w:rPr>
          <w:rFonts w:ascii="Arial" w:hAnsi="Arial" w:cs="Arial"/>
          <w:bCs/>
          <w:szCs w:val="24"/>
        </w:rPr>
        <w:t xml:space="preserve">o </w:t>
      </w:r>
      <w:r w:rsidRPr="005C506E">
        <w:rPr>
          <w:rFonts w:ascii="Arial" w:hAnsi="Arial" w:cs="Arial"/>
          <w:bCs/>
          <w:szCs w:val="24"/>
        </w:rPr>
        <w:t>Passenger seats</w:t>
      </w:r>
      <w:r w:rsidR="009A5D85" w:rsidRPr="005C506E">
        <w:rPr>
          <w:rFonts w:ascii="Arial" w:hAnsi="Arial" w:cs="Arial"/>
          <w:bCs/>
          <w:szCs w:val="24"/>
        </w:rPr>
        <w:t xml:space="preserve"> (three including driver)</w:t>
      </w:r>
    </w:p>
    <w:p w14:paraId="6223D8F7"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Driver and Passenger air bags</w:t>
      </w:r>
    </w:p>
    <w:p w14:paraId="14476DA0"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Deadlocking</w:t>
      </w:r>
    </w:p>
    <w:p w14:paraId="13454A33"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Immobiliser</w:t>
      </w:r>
    </w:p>
    <w:p w14:paraId="643C4D68"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Central Locking</w:t>
      </w:r>
    </w:p>
    <w:p w14:paraId="78728889"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Anti-lock braking system (ABS)</w:t>
      </w:r>
    </w:p>
    <w:p w14:paraId="5CECF657"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Electronic Stability Control (EPS)</w:t>
      </w:r>
    </w:p>
    <w:p w14:paraId="09B34A24"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lastRenderedPageBreak/>
        <w:t>Manual 5 or 6 speed Transmission</w:t>
      </w:r>
    </w:p>
    <w:p w14:paraId="3E2FF516"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No logos or advertisement on the vehicle exterior</w:t>
      </w:r>
    </w:p>
    <w:p w14:paraId="50DA14B3"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The vehicle does not exceed 3.5 tonnes</w:t>
      </w:r>
    </w:p>
    <w:p w14:paraId="5958EA59" w14:textId="77777777" w:rsidR="005708FF" w:rsidRPr="005C506E" w:rsidRDefault="005708FF" w:rsidP="006F7272">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Payload required </w:t>
      </w:r>
      <w:r w:rsidR="009A5D85" w:rsidRPr="005C506E">
        <w:rPr>
          <w:rFonts w:ascii="Arial" w:hAnsi="Arial" w:cs="Arial"/>
          <w:bCs/>
          <w:szCs w:val="24"/>
        </w:rPr>
        <w:t>minimum</w:t>
      </w:r>
      <w:r w:rsidRPr="005C506E">
        <w:rPr>
          <w:rFonts w:ascii="Arial" w:hAnsi="Arial" w:cs="Arial"/>
          <w:bCs/>
          <w:szCs w:val="24"/>
        </w:rPr>
        <w:t xml:space="preserve"> 750</w:t>
      </w:r>
      <w:r w:rsidR="009A5D85" w:rsidRPr="005C506E">
        <w:rPr>
          <w:rFonts w:ascii="Arial" w:hAnsi="Arial" w:cs="Arial"/>
          <w:bCs/>
          <w:szCs w:val="24"/>
        </w:rPr>
        <w:t>k</w:t>
      </w:r>
      <w:r w:rsidRPr="005C506E">
        <w:rPr>
          <w:rFonts w:ascii="Arial" w:hAnsi="Arial" w:cs="Arial"/>
          <w:bCs/>
          <w:szCs w:val="24"/>
        </w:rPr>
        <w:t xml:space="preserve">g </w:t>
      </w:r>
    </w:p>
    <w:p w14:paraId="43233192"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Suitable internal guard to prevent cargo in the rear from injuring passengers</w:t>
      </w:r>
    </w:p>
    <w:p w14:paraId="383194B1"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Load compartment should allow 2 x 1200mm x 1000mm standard European pallets to fit alongside one another</w:t>
      </w:r>
    </w:p>
    <w:p w14:paraId="61221E4B"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Power Assisted Steering (PAS)</w:t>
      </w:r>
    </w:p>
    <w:p w14:paraId="74F114D6"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CO2 emission of not more than </w:t>
      </w:r>
      <w:r w:rsidR="002C4C14">
        <w:rPr>
          <w:rFonts w:ascii="Arial" w:hAnsi="Arial" w:cs="Arial"/>
          <w:bCs/>
          <w:szCs w:val="24"/>
        </w:rPr>
        <w:t>2</w:t>
      </w:r>
      <w:r w:rsidR="00FD197D">
        <w:rPr>
          <w:rFonts w:ascii="Arial" w:hAnsi="Arial" w:cs="Arial"/>
          <w:bCs/>
          <w:szCs w:val="24"/>
        </w:rPr>
        <w:t>2</w:t>
      </w:r>
      <w:r w:rsidR="002C4C14">
        <w:rPr>
          <w:rFonts w:ascii="Arial" w:hAnsi="Arial" w:cs="Arial"/>
          <w:bCs/>
          <w:szCs w:val="24"/>
        </w:rPr>
        <w:t>0</w:t>
      </w:r>
      <w:r w:rsidRPr="005C506E">
        <w:rPr>
          <w:rFonts w:ascii="Arial" w:hAnsi="Arial" w:cs="Arial"/>
          <w:bCs/>
          <w:szCs w:val="24"/>
        </w:rPr>
        <w:t>g/km</w:t>
      </w:r>
      <w:r w:rsidR="00FD197D">
        <w:rPr>
          <w:rFonts w:ascii="Arial" w:hAnsi="Arial" w:cs="Arial"/>
          <w:bCs/>
          <w:szCs w:val="24"/>
        </w:rPr>
        <w:t xml:space="preserve"> – with lower emissions being preferred.</w:t>
      </w:r>
    </w:p>
    <w:p w14:paraId="5FB93DAB"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No emissions to encroach inside the cab while the engine is </w:t>
      </w:r>
      <w:proofErr w:type="gramStart"/>
      <w:r w:rsidRPr="005C506E">
        <w:rPr>
          <w:rFonts w:ascii="Arial" w:hAnsi="Arial" w:cs="Arial"/>
          <w:bCs/>
          <w:szCs w:val="24"/>
        </w:rPr>
        <w:t>idling</w:t>
      </w:r>
      <w:proofErr w:type="gramEnd"/>
      <w:r w:rsidRPr="005C506E">
        <w:rPr>
          <w:rFonts w:ascii="Arial" w:hAnsi="Arial" w:cs="Arial"/>
          <w:bCs/>
          <w:szCs w:val="24"/>
        </w:rPr>
        <w:t xml:space="preserve"> and air conditioning is in use</w:t>
      </w:r>
    </w:p>
    <w:p w14:paraId="607FA090"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Annual vehicle service</w:t>
      </w:r>
      <w:r w:rsidR="00523B63" w:rsidRPr="005C506E">
        <w:rPr>
          <w:rFonts w:ascii="Arial" w:hAnsi="Arial" w:cs="Arial"/>
          <w:bCs/>
          <w:szCs w:val="24"/>
        </w:rPr>
        <w:t xml:space="preserve"> – details welcome within tender response</w:t>
      </w:r>
    </w:p>
    <w:p w14:paraId="1B3F8D2E" w14:textId="77777777" w:rsidR="00D22050" w:rsidRPr="005C506E" w:rsidRDefault="00D22050"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The vehicles must have a minimum and valid 5-star Euro NCAP safety rating and registered under the latest EURO 6 standard</w:t>
      </w:r>
    </w:p>
    <w:p w14:paraId="7017E185" w14:textId="77777777" w:rsidR="005708FF" w:rsidRDefault="005708FF" w:rsidP="00BB1138">
      <w:pPr>
        <w:tabs>
          <w:tab w:val="left" w:pos="-180"/>
        </w:tabs>
        <w:rPr>
          <w:bCs/>
        </w:rPr>
      </w:pPr>
    </w:p>
    <w:p w14:paraId="5F3393EA" w14:textId="77777777" w:rsidR="005708FF" w:rsidRDefault="005708FF" w:rsidP="005708FF">
      <w:pPr>
        <w:tabs>
          <w:tab w:val="left" w:pos="-180"/>
        </w:tabs>
        <w:ind w:left="-180"/>
        <w:rPr>
          <w:rFonts w:cs="Arial"/>
          <w:szCs w:val="24"/>
        </w:rPr>
      </w:pPr>
      <w:r w:rsidRPr="005708FF">
        <w:rPr>
          <w:bCs/>
        </w:rPr>
        <w:t xml:space="preserve">Vehicle </w:t>
      </w:r>
      <w:r>
        <w:rPr>
          <w:bCs/>
        </w:rPr>
        <w:t>m</w:t>
      </w:r>
      <w:r w:rsidRPr="005708FF">
        <w:rPr>
          <w:bCs/>
        </w:rPr>
        <w:t>odification</w:t>
      </w:r>
      <w:r w:rsidR="00D22050">
        <w:rPr>
          <w:bCs/>
        </w:rPr>
        <w:t xml:space="preserve"> of the TYPE A</w:t>
      </w:r>
      <w:r>
        <w:rPr>
          <w:rFonts w:cs="Arial"/>
          <w:szCs w:val="24"/>
        </w:rPr>
        <w:t xml:space="preserve"> vehicle must </w:t>
      </w:r>
      <w:proofErr w:type="gramStart"/>
      <w:r>
        <w:rPr>
          <w:rFonts w:cs="Arial"/>
          <w:szCs w:val="24"/>
        </w:rPr>
        <w:t>include:-</w:t>
      </w:r>
      <w:proofErr w:type="gramEnd"/>
    </w:p>
    <w:p w14:paraId="58BE67BA" w14:textId="77777777" w:rsidR="005708FF" w:rsidRPr="00DB5F31" w:rsidRDefault="005708FF" w:rsidP="005708FF">
      <w:pPr>
        <w:tabs>
          <w:tab w:val="left" w:pos="-180"/>
        </w:tabs>
        <w:ind w:left="-180"/>
        <w:rPr>
          <w:rFonts w:cs="Arial"/>
          <w:szCs w:val="24"/>
        </w:rPr>
      </w:pPr>
    </w:p>
    <w:p w14:paraId="1B9E1DBE"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A standard Column Tail lift to be fitted at the rear of the leased vehicle </w:t>
      </w:r>
      <w:proofErr w:type="gramStart"/>
      <w:r w:rsidRPr="005C506E">
        <w:rPr>
          <w:rFonts w:ascii="Arial" w:hAnsi="Arial" w:cs="Arial"/>
          <w:bCs/>
          <w:szCs w:val="24"/>
        </w:rPr>
        <w:t>with;</w:t>
      </w:r>
      <w:proofErr w:type="gramEnd"/>
    </w:p>
    <w:p w14:paraId="1BE7CD54"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A minimum capacity of </w:t>
      </w:r>
      <w:proofErr w:type="gramStart"/>
      <w:r w:rsidRPr="005C506E">
        <w:rPr>
          <w:rFonts w:ascii="Arial" w:hAnsi="Arial" w:cs="Arial"/>
          <w:bCs/>
          <w:szCs w:val="24"/>
        </w:rPr>
        <w:t>500kg;</w:t>
      </w:r>
      <w:proofErr w:type="gramEnd"/>
    </w:p>
    <w:p w14:paraId="26BCD80C"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An internal and external control switch for it on the </w:t>
      </w:r>
      <w:proofErr w:type="gramStart"/>
      <w:r w:rsidRPr="005C506E">
        <w:rPr>
          <w:rFonts w:ascii="Arial" w:hAnsi="Arial" w:cs="Arial"/>
          <w:bCs/>
          <w:szCs w:val="24"/>
        </w:rPr>
        <w:t>vehicle;</w:t>
      </w:r>
      <w:proofErr w:type="gramEnd"/>
    </w:p>
    <w:p w14:paraId="35B9179B"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A vehicle cab tailgate isolator </w:t>
      </w:r>
      <w:proofErr w:type="gramStart"/>
      <w:r w:rsidRPr="005C506E">
        <w:rPr>
          <w:rFonts w:ascii="Arial" w:hAnsi="Arial" w:cs="Arial"/>
          <w:bCs/>
          <w:szCs w:val="24"/>
        </w:rPr>
        <w:t>switch;</w:t>
      </w:r>
      <w:proofErr w:type="gramEnd"/>
    </w:p>
    <w:p w14:paraId="18CB6795" w14:textId="77777777" w:rsidR="005708FF" w:rsidRPr="005C506E" w:rsidRDefault="005708FF"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Service contract for tailgate which will be arranged and paid for by the supplier.</w:t>
      </w:r>
    </w:p>
    <w:p w14:paraId="4E51838A" w14:textId="77777777" w:rsidR="00523B63" w:rsidRPr="005C506E" w:rsidRDefault="00BB1138"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Internal load area to have points for shoring poles to be fitted in the sides</w:t>
      </w:r>
    </w:p>
    <w:p w14:paraId="283018C1" w14:textId="77777777" w:rsidR="00BB1138" w:rsidRPr="005C506E" w:rsidRDefault="00523B63" w:rsidP="00253489">
      <w:pPr>
        <w:pStyle w:val="ListParagraph"/>
        <w:numPr>
          <w:ilvl w:val="0"/>
          <w:numId w:val="18"/>
        </w:numPr>
        <w:spacing w:before="120" w:after="120"/>
        <w:rPr>
          <w:rFonts w:ascii="Arial" w:hAnsi="Arial" w:cs="Arial"/>
          <w:bCs/>
          <w:szCs w:val="24"/>
        </w:rPr>
      </w:pPr>
      <w:r w:rsidRPr="005C506E">
        <w:rPr>
          <w:rFonts w:ascii="Arial" w:hAnsi="Arial" w:cs="Arial"/>
          <w:bCs/>
          <w:szCs w:val="24"/>
        </w:rPr>
        <w:t xml:space="preserve">A </w:t>
      </w:r>
      <w:r w:rsidR="00B64AE7">
        <w:rPr>
          <w:rFonts w:ascii="Arial" w:hAnsi="Arial" w:cs="Arial"/>
          <w:bCs/>
          <w:szCs w:val="24"/>
        </w:rPr>
        <w:t xml:space="preserve">clear </w:t>
      </w:r>
      <w:r w:rsidRPr="005C506E">
        <w:rPr>
          <w:rFonts w:ascii="Arial" w:hAnsi="Arial" w:cs="Arial"/>
          <w:bCs/>
          <w:szCs w:val="24"/>
        </w:rPr>
        <w:t>proposed solution to secure safely 2 standardised pallets of up to 500kg each including if applicable inclusion of shoring poles and ratchet straps.   If the supplier is unable to provide these, permission must be given to use DVLA procured modifications.</w:t>
      </w:r>
    </w:p>
    <w:p w14:paraId="583272DD" w14:textId="77777777" w:rsidR="00BB1138" w:rsidRPr="00BB1138" w:rsidRDefault="00BB1138" w:rsidP="00BB1138">
      <w:pPr>
        <w:pStyle w:val="BodyTextInd1"/>
        <w:spacing w:before="120" w:after="120"/>
        <w:rPr>
          <w:rFonts w:ascii="Arial" w:hAnsi="Arial" w:cs="Arial"/>
          <w:szCs w:val="24"/>
          <w:highlight w:val="yellow"/>
        </w:rPr>
      </w:pPr>
    </w:p>
    <w:p w14:paraId="226D5E74" w14:textId="77777777" w:rsidR="005708FF" w:rsidRPr="005C506E" w:rsidRDefault="005708FF" w:rsidP="00317542">
      <w:pPr>
        <w:spacing w:before="120" w:after="120"/>
        <w:jc w:val="both"/>
        <w:rPr>
          <w:rFonts w:cs="Arial"/>
          <w:szCs w:val="24"/>
        </w:rPr>
      </w:pPr>
      <w:r w:rsidRPr="005C506E">
        <w:rPr>
          <w:rFonts w:cs="Arial"/>
          <w:szCs w:val="24"/>
        </w:rPr>
        <w:t>For the avoidance of doubt, at the end of the contract period the successful bidder will be responsible for returning the vehicle to the same condition it was in prior to the modification.</w:t>
      </w:r>
    </w:p>
    <w:p w14:paraId="58CD5DA2" w14:textId="77777777" w:rsidR="005C506E" w:rsidRDefault="005C506E" w:rsidP="00317542">
      <w:pPr>
        <w:spacing w:before="120" w:after="120"/>
        <w:jc w:val="both"/>
        <w:rPr>
          <w:rFonts w:cs="Arial"/>
          <w:szCs w:val="24"/>
        </w:rPr>
      </w:pPr>
    </w:p>
    <w:p w14:paraId="598DF35B" w14:textId="77777777" w:rsidR="00743158" w:rsidRDefault="005C506E" w:rsidP="005C506E">
      <w:pPr>
        <w:pStyle w:val="Heading3"/>
      </w:pPr>
      <w:bookmarkStart w:id="17" w:name="_Toc71532041"/>
      <w:r>
        <w:t>Type B Vehicle</w:t>
      </w:r>
      <w:bookmarkEnd w:id="17"/>
    </w:p>
    <w:p w14:paraId="35BDCC4A" w14:textId="77777777" w:rsidR="005C506E" w:rsidRDefault="005C506E" w:rsidP="0098124A">
      <w:pPr>
        <w:tabs>
          <w:tab w:val="left" w:pos="851"/>
        </w:tabs>
        <w:rPr>
          <w:rFonts w:cs="Arial"/>
          <w:szCs w:val="24"/>
        </w:rPr>
      </w:pPr>
    </w:p>
    <w:p w14:paraId="4D5311BE" w14:textId="77777777" w:rsidR="00743158" w:rsidRPr="005C506E" w:rsidRDefault="00743158" w:rsidP="0098124A">
      <w:pPr>
        <w:tabs>
          <w:tab w:val="left" w:pos="851"/>
        </w:tabs>
        <w:rPr>
          <w:rFonts w:cs="Arial"/>
        </w:rPr>
      </w:pPr>
      <w:r w:rsidRPr="005C506E">
        <w:rPr>
          <w:rFonts w:cs="Arial"/>
          <w:szCs w:val="24"/>
        </w:rPr>
        <w:t>The Type B vehicle should meet the specifications below, which are of a less prescriptive nature</w:t>
      </w:r>
      <w:r w:rsidR="005C506E" w:rsidRPr="005C506E">
        <w:rPr>
          <w:rFonts w:cs="Arial"/>
          <w:szCs w:val="24"/>
        </w:rPr>
        <w:t xml:space="preserve">, but a small van is expected to be the most </w:t>
      </w:r>
      <w:proofErr w:type="gramStart"/>
      <w:r w:rsidR="005C506E" w:rsidRPr="005C506E">
        <w:rPr>
          <w:rFonts w:cs="Arial"/>
          <w:szCs w:val="24"/>
        </w:rPr>
        <w:t xml:space="preserve">suitable </w:t>
      </w:r>
      <w:r w:rsidRPr="005C506E">
        <w:rPr>
          <w:rFonts w:cs="Arial"/>
          <w:szCs w:val="24"/>
        </w:rPr>
        <w:t>:</w:t>
      </w:r>
      <w:proofErr w:type="gramEnd"/>
    </w:p>
    <w:p w14:paraId="06DC7E38" w14:textId="77777777" w:rsidR="00743158" w:rsidRPr="005C506E" w:rsidRDefault="00743158" w:rsidP="00743158">
      <w:pPr>
        <w:tabs>
          <w:tab w:val="left" w:pos="-180"/>
        </w:tabs>
        <w:ind w:hanging="180"/>
        <w:rPr>
          <w:rFonts w:cs="Arial"/>
        </w:rPr>
      </w:pPr>
      <w:r w:rsidRPr="005C506E">
        <w:rPr>
          <w:rFonts w:cs="Arial"/>
        </w:rPr>
        <w:tab/>
      </w:r>
    </w:p>
    <w:p w14:paraId="53E2D5CD" w14:textId="77777777" w:rsidR="002C4C14" w:rsidRPr="005C506E" w:rsidRDefault="00743158" w:rsidP="002C4C14">
      <w:pPr>
        <w:tabs>
          <w:tab w:val="left" w:pos="-180"/>
        </w:tabs>
        <w:ind w:hanging="180"/>
        <w:rPr>
          <w:rFonts w:cs="Arial"/>
        </w:rPr>
      </w:pPr>
      <w:r w:rsidRPr="005C506E">
        <w:rPr>
          <w:rFonts w:cs="Arial"/>
        </w:rPr>
        <w:tab/>
      </w:r>
      <w:r w:rsidR="005C506E" w:rsidRPr="005C506E">
        <w:rPr>
          <w:rFonts w:cs="Arial"/>
        </w:rPr>
        <w:t>The p</w:t>
      </w:r>
      <w:r w:rsidRPr="005C506E">
        <w:rPr>
          <w:rFonts w:cs="Arial"/>
        </w:rPr>
        <w:t xml:space="preserve">roposed vehicle must </w:t>
      </w:r>
      <w:proofErr w:type="gramStart"/>
      <w:r w:rsidRPr="005C506E">
        <w:rPr>
          <w:rFonts w:cs="Arial"/>
        </w:rPr>
        <w:t>include:</w:t>
      </w:r>
      <w:r w:rsidR="002C4C14">
        <w:rPr>
          <w:rFonts w:cs="Arial"/>
        </w:rPr>
        <w:t>-</w:t>
      </w:r>
      <w:proofErr w:type="gramEnd"/>
    </w:p>
    <w:p w14:paraId="403100CD" w14:textId="77777777" w:rsidR="00743158" w:rsidRPr="005C506E" w:rsidRDefault="00743158" w:rsidP="00743158">
      <w:pPr>
        <w:tabs>
          <w:tab w:val="left" w:pos="-180"/>
        </w:tabs>
        <w:ind w:hanging="180"/>
        <w:rPr>
          <w:rFonts w:cs="Arial"/>
        </w:rPr>
      </w:pPr>
      <w:r w:rsidRPr="005C506E">
        <w:rPr>
          <w:rFonts w:cs="Arial"/>
        </w:rPr>
        <w:tab/>
      </w:r>
    </w:p>
    <w:p w14:paraId="32F87E75" w14:textId="77777777" w:rsidR="00743158" w:rsidRDefault="00743158" w:rsidP="00743158">
      <w:pPr>
        <w:pStyle w:val="ListParagraph"/>
        <w:numPr>
          <w:ilvl w:val="0"/>
          <w:numId w:val="21"/>
        </w:numPr>
        <w:tabs>
          <w:tab w:val="left" w:pos="-180"/>
        </w:tabs>
        <w:rPr>
          <w:rFonts w:ascii="Arial" w:hAnsi="Arial" w:cs="Arial"/>
        </w:rPr>
      </w:pPr>
      <w:r w:rsidRPr="00743158">
        <w:rPr>
          <w:rFonts w:ascii="Arial" w:hAnsi="Arial" w:cs="Arial"/>
        </w:rPr>
        <w:t>Accessibility to allow trolleys to load the vehicle</w:t>
      </w:r>
    </w:p>
    <w:p w14:paraId="02181B03" w14:textId="2D861F21" w:rsidR="009A5A8E" w:rsidRDefault="00743158" w:rsidP="005C506E">
      <w:pPr>
        <w:pStyle w:val="ListParagraph"/>
        <w:numPr>
          <w:ilvl w:val="0"/>
          <w:numId w:val="21"/>
        </w:numPr>
        <w:tabs>
          <w:tab w:val="left" w:pos="-180"/>
        </w:tabs>
        <w:rPr>
          <w:rFonts w:ascii="Arial" w:hAnsi="Arial" w:cs="Arial"/>
        </w:rPr>
      </w:pPr>
      <w:r w:rsidRPr="0098124A">
        <w:rPr>
          <w:rFonts w:ascii="Arial" w:hAnsi="Arial" w:cs="Arial"/>
        </w:rPr>
        <w:t xml:space="preserve">A proposed vehicle more suitable for lighter loads and more frequent </w:t>
      </w:r>
      <w:proofErr w:type="gramStart"/>
      <w:r w:rsidRPr="0098124A">
        <w:rPr>
          <w:rFonts w:ascii="Arial" w:hAnsi="Arial" w:cs="Arial"/>
        </w:rPr>
        <w:t>trips;</w:t>
      </w:r>
      <w:proofErr w:type="gramEnd"/>
      <w:r w:rsidRPr="0098124A">
        <w:rPr>
          <w:rFonts w:ascii="Arial" w:hAnsi="Arial" w:cs="Arial"/>
        </w:rPr>
        <w:t xml:space="preserve"> i.e.  </w:t>
      </w:r>
      <w:r w:rsidR="009A5A8E">
        <w:rPr>
          <w:rFonts w:ascii="Arial" w:hAnsi="Arial" w:cs="Arial"/>
        </w:rPr>
        <w:t>s</w:t>
      </w:r>
      <w:r w:rsidRPr="0098124A">
        <w:rPr>
          <w:rFonts w:ascii="Arial" w:hAnsi="Arial" w:cs="Arial"/>
        </w:rPr>
        <w:t xml:space="preserve">maller, </w:t>
      </w:r>
      <w:r w:rsidR="009A5A8E">
        <w:rPr>
          <w:rFonts w:ascii="Arial" w:hAnsi="Arial" w:cs="Arial"/>
        </w:rPr>
        <w:t>m</w:t>
      </w:r>
      <w:r w:rsidRPr="0098124A">
        <w:rPr>
          <w:rFonts w:ascii="Arial" w:hAnsi="Arial" w:cs="Arial"/>
        </w:rPr>
        <w:t xml:space="preserve">ore </w:t>
      </w:r>
      <w:r w:rsidR="009A5A8E">
        <w:rPr>
          <w:rFonts w:ascii="Arial" w:hAnsi="Arial" w:cs="Arial"/>
        </w:rPr>
        <w:t>ef</w:t>
      </w:r>
      <w:r w:rsidRPr="0098124A">
        <w:rPr>
          <w:rFonts w:ascii="Arial" w:hAnsi="Arial" w:cs="Arial"/>
        </w:rPr>
        <w:t xml:space="preserve">ficient, </w:t>
      </w:r>
      <w:r w:rsidR="009A5A8E">
        <w:rPr>
          <w:rFonts w:ascii="Arial" w:hAnsi="Arial" w:cs="Arial"/>
        </w:rPr>
        <w:t>l</w:t>
      </w:r>
      <w:r w:rsidRPr="0098124A">
        <w:rPr>
          <w:rFonts w:ascii="Arial" w:hAnsi="Arial" w:cs="Arial"/>
        </w:rPr>
        <w:t xml:space="preserve">ighter, </w:t>
      </w:r>
      <w:r w:rsidR="009A5A8E">
        <w:rPr>
          <w:rFonts w:ascii="Arial" w:hAnsi="Arial" w:cs="Arial"/>
        </w:rPr>
        <w:t>w</w:t>
      </w:r>
      <w:r w:rsidRPr="0098124A">
        <w:rPr>
          <w:rFonts w:ascii="Arial" w:hAnsi="Arial" w:cs="Arial"/>
        </w:rPr>
        <w:t xml:space="preserve">ithout a </w:t>
      </w:r>
      <w:r w:rsidR="009A5A8E">
        <w:rPr>
          <w:rFonts w:ascii="Arial" w:hAnsi="Arial" w:cs="Arial"/>
        </w:rPr>
        <w:t>t</w:t>
      </w:r>
      <w:r w:rsidRPr="0098124A">
        <w:rPr>
          <w:rFonts w:ascii="Arial" w:hAnsi="Arial" w:cs="Arial"/>
        </w:rPr>
        <w:t xml:space="preserve">ail </w:t>
      </w:r>
      <w:r w:rsidR="009A5A8E">
        <w:rPr>
          <w:rFonts w:ascii="Arial" w:hAnsi="Arial" w:cs="Arial"/>
        </w:rPr>
        <w:t>lift</w:t>
      </w:r>
      <w:r w:rsidR="002C4C14">
        <w:rPr>
          <w:rFonts w:ascii="Arial" w:hAnsi="Arial" w:cs="Arial"/>
        </w:rPr>
        <w:t xml:space="preserve">.  Current vehicle utilised is a Nissan e-NV 200 Combi Electric Estate 80kw.  This fully meets our requirements, </w:t>
      </w:r>
      <w:r w:rsidR="002C4C14" w:rsidRPr="00661287">
        <w:rPr>
          <w:rFonts w:ascii="Arial" w:hAnsi="Arial" w:cs="Arial"/>
        </w:rPr>
        <w:t xml:space="preserve">so this or equivalent vehicle is </w:t>
      </w:r>
      <w:r w:rsidR="00661287" w:rsidRPr="00661287">
        <w:rPr>
          <w:rFonts w:ascii="Arial" w:hAnsi="Arial" w:cs="Arial"/>
        </w:rPr>
        <w:t>acceptable</w:t>
      </w:r>
      <w:r w:rsidR="002C4C14" w:rsidRPr="00661287">
        <w:rPr>
          <w:rFonts w:ascii="Arial" w:hAnsi="Arial" w:cs="Arial"/>
        </w:rPr>
        <w:t>.</w:t>
      </w:r>
    </w:p>
    <w:p w14:paraId="71D0E0A8" w14:textId="77777777" w:rsidR="002C4C14" w:rsidRPr="0098124A" w:rsidRDefault="002C4C14" w:rsidP="002C4C14">
      <w:pPr>
        <w:pStyle w:val="ListParagraph"/>
        <w:numPr>
          <w:ilvl w:val="0"/>
          <w:numId w:val="21"/>
        </w:numPr>
        <w:tabs>
          <w:tab w:val="left" w:pos="-180"/>
        </w:tabs>
        <w:rPr>
          <w:rFonts w:ascii="Arial" w:hAnsi="Arial" w:cs="Arial"/>
        </w:rPr>
      </w:pPr>
      <w:r>
        <w:rPr>
          <w:rFonts w:ascii="Arial" w:hAnsi="Arial" w:cs="Arial"/>
        </w:rPr>
        <w:lastRenderedPageBreak/>
        <w:t>0g/km emissions.</w:t>
      </w:r>
    </w:p>
    <w:p w14:paraId="7547916E" w14:textId="44DCBA4C" w:rsidR="00743158" w:rsidRDefault="009A5A8E" w:rsidP="005C506E">
      <w:pPr>
        <w:pStyle w:val="ListParagraph"/>
        <w:numPr>
          <w:ilvl w:val="0"/>
          <w:numId w:val="21"/>
        </w:numPr>
        <w:tabs>
          <w:tab w:val="left" w:pos="-180"/>
        </w:tabs>
        <w:rPr>
          <w:rFonts w:ascii="Arial" w:hAnsi="Arial" w:cs="Arial"/>
        </w:rPr>
      </w:pPr>
      <w:r>
        <w:rPr>
          <w:rFonts w:ascii="Arial" w:hAnsi="Arial" w:cs="Arial"/>
        </w:rPr>
        <w:t>A</w:t>
      </w:r>
      <w:r w:rsidR="006C02EB">
        <w:rPr>
          <w:rFonts w:ascii="Arial" w:hAnsi="Arial" w:cs="Arial"/>
        </w:rPr>
        <w:t xml:space="preserve"> </w:t>
      </w:r>
      <w:r w:rsidR="00B64AE7">
        <w:rPr>
          <w:rFonts w:ascii="Arial" w:hAnsi="Arial" w:cs="Arial"/>
        </w:rPr>
        <w:t xml:space="preserve">clear </w:t>
      </w:r>
      <w:r w:rsidR="00743158" w:rsidRPr="0098124A">
        <w:rPr>
          <w:rFonts w:ascii="Arial" w:hAnsi="Arial" w:cs="Arial"/>
        </w:rPr>
        <w:t>proposed solution to secure safely these smaller loads</w:t>
      </w:r>
      <w:r w:rsidR="0098124A" w:rsidRPr="0098124A">
        <w:rPr>
          <w:rFonts w:ascii="Arial" w:hAnsi="Arial" w:cs="Arial"/>
        </w:rPr>
        <w:t>, whilst meeting current health and safety regulations.</w:t>
      </w:r>
    </w:p>
    <w:p w14:paraId="55A3183A" w14:textId="45AF38FF" w:rsidR="00FD197D" w:rsidRDefault="00FD197D" w:rsidP="00CB028A">
      <w:pPr>
        <w:rPr>
          <w:rFonts w:cstheme="minorHAnsi"/>
          <w:b/>
          <w:sz w:val="24"/>
        </w:rPr>
      </w:pPr>
    </w:p>
    <w:p w14:paraId="6E2A75F6" w14:textId="4435DA1A" w:rsidR="006C02EB" w:rsidRPr="006C02EB" w:rsidRDefault="00661287" w:rsidP="00CB028A">
      <w:pPr>
        <w:rPr>
          <w:rFonts w:cstheme="minorHAnsi"/>
          <w:bCs/>
          <w:sz w:val="24"/>
        </w:rPr>
      </w:pPr>
      <w:r w:rsidRPr="00661287">
        <w:rPr>
          <w:rFonts w:cstheme="minorHAnsi"/>
          <w:bCs/>
          <w:sz w:val="24"/>
        </w:rPr>
        <w:t>Should c</w:t>
      </w:r>
      <w:r w:rsidR="006C02EB" w:rsidRPr="00661287">
        <w:rPr>
          <w:rFonts w:cstheme="minorHAnsi"/>
          <w:bCs/>
          <w:sz w:val="24"/>
        </w:rPr>
        <w:t xml:space="preserve">larification </w:t>
      </w:r>
      <w:r w:rsidRPr="00661287">
        <w:rPr>
          <w:rFonts w:cstheme="minorHAnsi"/>
          <w:bCs/>
          <w:sz w:val="24"/>
        </w:rPr>
        <w:t xml:space="preserve">be required </w:t>
      </w:r>
      <w:r w:rsidR="006C02EB" w:rsidRPr="00661287">
        <w:rPr>
          <w:rFonts w:cstheme="minorHAnsi"/>
          <w:bCs/>
          <w:sz w:val="24"/>
        </w:rPr>
        <w:t xml:space="preserve">around these </w:t>
      </w:r>
      <w:r w:rsidRPr="00661287">
        <w:rPr>
          <w:rFonts w:cstheme="minorHAnsi"/>
          <w:bCs/>
          <w:sz w:val="24"/>
        </w:rPr>
        <w:t xml:space="preserve">requirements please ask for clarity during the clarification questions </w:t>
      </w:r>
      <w:proofErr w:type="gramStart"/>
      <w:r w:rsidRPr="00661287">
        <w:rPr>
          <w:rFonts w:cstheme="minorHAnsi"/>
          <w:bCs/>
          <w:sz w:val="24"/>
        </w:rPr>
        <w:t>period</w:t>
      </w:r>
      <w:r w:rsidR="006C02EB" w:rsidRPr="00661287">
        <w:rPr>
          <w:rFonts w:cstheme="minorHAnsi"/>
          <w:bCs/>
          <w:sz w:val="24"/>
        </w:rPr>
        <w:t>.</w:t>
      </w:r>
      <w:proofErr w:type="gramEnd"/>
    </w:p>
    <w:p w14:paraId="02CB1B23" w14:textId="77777777" w:rsidR="006C02EB" w:rsidRDefault="006C02EB" w:rsidP="00CB028A">
      <w:pPr>
        <w:rPr>
          <w:rFonts w:cstheme="minorHAnsi"/>
          <w:b/>
          <w:sz w:val="24"/>
        </w:rPr>
      </w:pPr>
    </w:p>
    <w:p w14:paraId="6CE55F3B" w14:textId="77777777" w:rsidR="00B84B40" w:rsidRPr="00CB028A" w:rsidRDefault="00B84B40" w:rsidP="00CB028A">
      <w:pPr>
        <w:rPr>
          <w:rFonts w:cstheme="minorHAnsi"/>
          <w:b/>
          <w:sz w:val="24"/>
        </w:rPr>
      </w:pPr>
      <w:r>
        <w:rPr>
          <w:rFonts w:cstheme="minorHAnsi"/>
          <w:b/>
          <w:sz w:val="24"/>
        </w:rPr>
        <w:t>Service</w:t>
      </w:r>
      <w:r w:rsidRPr="00CB028A">
        <w:rPr>
          <w:rFonts w:cstheme="minorHAnsi"/>
          <w:b/>
          <w:sz w:val="24"/>
        </w:rPr>
        <w:t xml:space="preserve"> and Maintenance Requirement</w:t>
      </w:r>
    </w:p>
    <w:p w14:paraId="3683456F" w14:textId="77777777" w:rsidR="00B84B40" w:rsidRPr="004C0A95" w:rsidRDefault="00B84B40" w:rsidP="00B84B40">
      <w:pPr>
        <w:ind w:left="792"/>
        <w:contextualSpacing/>
        <w:rPr>
          <w:rFonts w:cstheme="minorHAnsi"/>
          <w:b/>
          <w:sz w:val="24"/>
          <w:szCs w:val="24"/>
          <w:lang w:eastAsia="en-GB"/>
        </w:rPr>
      </w:pPr>
    </w:p>
    <w:p w14:paraId="650B757C" w14:textId="77777777" w:rsidR="00B84B40" w:rsidRPr="004C0A95" w:rsidRDefault="00B84B40" w:rsidP="00B84B40">
      <w:pPr>
        <w:spacing w:after="160" w:line="259" w:lineRule="auto"/>
        <w:contextualSpacing/>
        <w:rPr>
          <w:rFonts w:cstheme="minorHAnsi"/>
          <w:b/>
          <w:sz w:val="24"/>
          <w:szCs w:val="24"/>
          <w:lang w:eastAsia="en-GB"/>
        </w:rPr>
      </w:pPr>
      <w:r w:rsidRPr="004C0A95">
        <w:rPr>
          <w:rFonts w:eastAsia="Calibri" w:cstheme="minorHAnsi"/>
          <w:lang w:eastAsia="en-GB"/>
        </w:rPr>
        <w:t xml:space="preserve">THE AUTHORITY </w:t>
      </w:r>
      <w:r w:rsidR="00B64AE7">
        <w:rPr>
          <w:rFonts w:eastAsia="Calibri" w:cstheme="minorHAnsi"/>
          <w:lang w:eastAsia="en-GB"/>
        </w:rPr>
        <w:t xml:space="preserve">requests that the supplier provides operational hours to the authority that would adequately support a 10hr x 5 weekdays </w:t>
      </w:r>
      <w:r>
        <w:rPr>
          <w:rFonts w:eastAsia="Calibri" w:cstheme="minorHAnsi"/>
          <w:lang w:eastAsia="en-GB"/>
        </w:rPr>
        <w:t xml:space="preserve">logistics and delivery </w:t>
      </w:r>
      <w:r w:rsidRPr="004C0A95">
        <w:rPr>
          <w:rFonts w:eastAsia="Calibri" w:cstheme="minorHAnsi"/>
          <w:lang w:eastAsia="en-GB"/>
        </w:rPr>
        <w:t>service.  THE AUTHORITY requ</w:t>
      </w:r>
      <w:r w:rsidR="00B64AE7">
        <w:rPr>
          <w:rFonts w:eastAsia="Calibri" w:cstheme="minorHAnsi"/>
          <w:lang w:eastAsia="en-GB"/>
        </w:rPr>
        <w:t>ests</w:t>
      </w:r>
      <w:r w:rsidRPr="004C0A95">
        <w:rPr>
          <w:rFonts w:eastAsia="Calibri" w:cstheme="minorHAnsi"/>
          <w:lang w:eastAsia="en-GB"/>
        </w:rPr>
        <w:t xml:space="preserve"> the </w:t>
      </w:r>
      <w:r w:rsidR="00B64AE7">
        <w:rPr>
          <w:rFonts w:eastAsia="Calibri" w:cstheme="minorHAnsi"/>
          <w:lang w:eastAsia="en-GB"/>
        </w:rPr>
        <w:t>bidder</w:t>
      </w:r>
      <w:r w:rsidRPr="004C0A95">
        <w:rPr>
          <w:rFonts w:eastAsia="Calibri" w:cstheme="minorHAnsi"/>
          <w:lang w:eastAsia="en-GB"/>
        </w:rPr>
        <w:t xml:space="preserve"> to propose a </w:t>
      </w:r>
      <w:r>
        <w:rPr>
          <w:rFonts w:eastAsia="Calibri" w:cstheme="minorHAnsi"/>
          <w:lang w:eastAsia="en-GB"/>
        </w:rPr>
        <w:t>Service</w:t>
      </w:r>
      <w:r w:rsidRPr="004C0A95">
        <w:rPr>
          <w:rFonts w:eastAsia="Calibri" w:cstheme="minorHAnsi"/>
          <w:lang w:eastAsia="en-GB"/>
        </w:rPr>
        <w:t xml:space="preserve"> and Maintenance arrangement </w:t>
      </w:r>
      <w:r w:rsidR="00B64AE7">
        <w:rPr>
          <w:rFonts w:eastAsia="Calibri" w:cstheme="minorHAnsi"/>
          <w:lang w:eastAsia="en-GB"/>
        </w:rPr>
        <w:t>that can support the AUTHORITY between 06:00 until 16:00 (Monday to Friday, excluding Bank Holidays).</w:t>
      </w:r>
    </w:p>
    <w:p w14:paraId="03A6FECD" w14:textId="77777777" w:rsidR="00B84B40" w:rsidRPr="004C0A95" w:rsidRDefault="00B84B40" w:rsidP="00B84B40">
      <w:pPr>
        <w:ind w:left="1224"/>
        <w:contextualSpacing/>
        <w:rPr>
          <w:rFonts w:cstheme="minorHAnsi"/>
          <w:b/>
          <w:sz w:val="24"/>
          <w:szCs w:val="24"/>
          <w:lang w:eastAsia="en-GB"/>
        </w:rPr>
      </w:pPr>
    </w:p>
    <w:p w14:paraId="3889AF67" w14:textId="77777777" w:rsidR="00B84B40" w:rsidRPr="004C0A95" w:rsidRDefault="00B84B40" w:rsidP="00B84B40">
      <w:pPr>
        <w:spacing w:after="160" w:line="259" w:lineRule="auto"/>
        <w:contextualSpacing/>
        <w:rPr>
          <w:rFonts w:cstheme="minorHAnsi"/>
          <w:b/>
          <w:sz w:val="24"/>
          <w:szCs w:val="24"/>
          <w:lang w:eastAsia="en-GB"/>
        </w:rPr>
      </w:pPr>
      <w:r w:rsidRPr="004C0A95">
        <w:rPr>
          <w:rFonts w:eastAsia="Calibri" w:cstheme="minorHAnsi"/>
          <w:lang w:eastAsia="en-GB"/>
        </w:rPr>
        <w:t>S</w:t>
      </w:r>
      <w:r>
        <w:rPr>
          <w:rFonts w:eastAsia="Calibri" w:cstheme="minorHAnsi"/>
          <w:lang w:eastAsia="en-GB"/>
        </w:rPr>
        <w:t>ervice</w:t>
      </w:r>
      <w:r w:rsidRPr="004C0A95">
        <w:rPr>
          <w:rFonts w:eastAsia="Calibri" w:cstheme="minorHAnsi"/>
          <w:lang w:eastAsia="en-GB"/>
        </w:rPr>
        <w:t xml:space="preserve"> and Maintenance will include all </w:t>
      </w:r>
      <w:r>
        <w:rPr>
          <w:rFonts w:eastAsia="Calibri" w:cstheme="minorHAnsi"/>
          <w:lang w:eastAsia="en-GB"/>
        </w:rPr>
        <w:t>parts</w:t>
      </w:r>
      <w:r w:rsidRPr="004C0A95">
        <w:rPr>
          <w:rFonts w:eastAsia="Calibri" w:cstheme="minorHAnsi"/>
          <w:lang w:eastAsia="en-GB"/>
        </w:rPr>
        <w:t xml:space="preserve">, and </w:t>
      </w:r>
      <w:r>
        <w:rPr>
          <w:rFonts w:eastAsia="Calibri" w:cstheme="minorHAnsi"/>
          <w:lang w:eastAsia="en-GB"/>
        </w:rPr>
        <w:t>applicable</w:t>
      </w:r>
      <w:r w:rsidRPr="004C0A95">
        <w:rPr>
          <w:rFonts w:eastAsia="Calibri" w:cstheme="minorHAnsi"/>
          <w:lang w:eastAsia="en-GB"/>
        </w:rPr>
        <w:t xml:space="preserve"> upgrades associated to this agreement</w:t>
      </w:r>
      <w:r w:rsidR="00B64AE7">
        <w:rPr>
          <w:rFonts w:eastAsia="Calibri" w:cstheme="minorHAnsi"/>
          <w:lang w:eastAsia="en-GB"/>
        </w:rPr>
        <w:t xml:space="preserve"> at nil cost to THE AUTHORITY.  Please can the bidder outline as part of their solution any items that would not be included as part of the leasing agreement.</w:t>
      </w:r>
    </w:p>
    <w:p w14:paraId="151ACD59" w14:textId="77777777" w:rsidR="00B84B40" w:rsidRDefault="00B84B40" w:rsidP="00B84B40">
      <w:pPr>
        <w:spacing w:after="160" w:line="259" w:lineRule="auto"/>
        <w:contextualSpacing/>
        <w:rPr>
          <w:rFonts w:cstheme="minorHAnsi"/>
          <w:b/>
          <w:sz w:val="24"/>
          <w:szCs w:val="24"/>
        </w:rPr>
      </w:pPr>
    </w:p>
    <w:p w14:paraId="40449B62" w14:textId="77777777" w:rsidR="00B84B40" w:rsidRPr="004C0A95" w:rsidRDefault="00B84B40" w:rsidP="00B84B40">
      <w:pPr>
        <w:spacing w:after="160" w:line="259" w:lineRule="auto"/>
        <w:contextualSpacing/>
        <w:rPr>
          <w:rFonts w:cstheme="minorHAnsi"/>
          <w:b/>
          <w:sz w:val="24"/>
          <w:szCs w:val="24"/>
          <w:lang w:eastAsia="en-GB"/>
        </w:rPr>
      </w:pPr>
      <w:r w:rsidRPr="004C0A95">
        <w:rPr>
          <w:rFonts w:eastAsia="STZhongsong" w:cstheme="minorHAnsi"/>
          <w:lang w:eastAsia="zh-CN"/>
        </w:rPr>
        <w:t>The proposed support and fault resolution mechanism will be required 5 days a week from the contract commencement date.</w:t>
      </w:r>
    </w:p>
    <w:p w14:paraId="2309E674" w14:textId="77777777" w:rsidR="00B84B40" w:rsidRPr="004C0A95" w:rsidRDefault="00B84B40" w:rsidP="00B84B40">
      <w:pPr>
        <w:ind w:left="720"/>
        <w:rPr>
          <w:rFonts w:cstheme="minorHAnsi"/>
          <w:b/>
          <w:sz w:val="24"/>
          <w:szCs w:val="24"/>
          <w:lang w:eastAsia="en-GB"/>
        </w:rPr>
      </w:pPr>
    </w:p>
    <w:p w14:paraId="4DDAC08A" w14:textId="77777777" w:rsidR="00B84B40" w:rsidRPr="004C0A95" w:rsidRDefault="00B84B40" w:rsidP="00CB028A">
      <w:pPr>
        <w:spacing w:after="160" w:line="259" w:lineRule="auto"/>
        <w:contextualSpacing/>
        <w:rPr>
          <w:rFonts w:cstheme="minorHAnsi"/>
          <w:lang w:eastAsia="en-GB"/>
        </w:rPr>
      </w:pPr>
      <w:r w:rsidRPr="004C0A95">
        <w:rPr>
          <w:rFonts w:cstheme="minorHAnsi"/>
          <w:lang w:eastAsia="en-GB"/>
        </w:rPr>
        <w:t xml:space="preserve">The table </w:t>
      </w:r>
      <w:r w:rsidR="003D1F3F">
        <w:rPr>
          <w:rFonts w:cstheme="minorHAnsi"/>
          <w:lang w:eastAsia="en-GB"/>
        </w:rPr>
        <w:t>illustrates</w:t>
      </w:r>
      <w:r w:rsidRPr="004C0A95">
        <w:rPr>
          <w:rFonts w:cstheme="minorHAnsi"/>
          <w:lang w:eastAsia="en-GB"/>
        </w:rPr>
        <w:t xml:space="preserve"> the hours that are currently operated </w:t>
      </w:r>
      <w:r w:rsidR="003D1F3F">
        <w:rPr>
          <w:rFonts w:cstheme="minorHAnsi"/>
          <w:lang w:eastAsia="en-GB"/>
        </w:rPr>
        <w:t>over</w:t>
      </w:r>
      <w:r w:rsidRPr="004C0A95">
        <w:rPr>
          <w:rFonts w:cstheme="minorHAnsi"/>
          <w:lang w:eastAsia="en-GB"/>
        </w:rPr>
        <w:t xml:space="preserve"> the t</w:t>
      </w:r>
      <w:r w:rsidR="003D1F3F">
        <w:rPr>
          <w:rFonts w:cstheme="minorHAnsi"/>
          <w:lang w:eastAsia="en-GB"/>
        </w:rPr>
        <w:t>hree</w:t>
      </w:r>
      <w:r w:rsidRPr="004C0A95">
        <w:rPr>
          <w:rFonts w:cstheme="minorHAnsi"/>
          <w:lang w:eastAsia="en-GB"/>
        </w:rPr>
        <w:t xml:space="preserve"> sites and will form the basis of the </w:t>
      </w:r>
      <w:proofErr w:type="gramStart"/>
      <w:r w:rsidRPr="004C0A95">
        <w:rPr>
          <w:rFonts w:cstheme="minorHAnsi"/>
          <w:lang w:eastAsia="en-GB"/>
        </w:rPr>
        <w:t>requirement</w:t>
      </w:r>
      <w:r w:rsidR="003D1F3F">
        <w:rPr>
          <w:rFonts w:cstheme="minorHAnsi"/>
          <w:lang w:eastAsia="en-GB"/>
        </w:rPr>
        <w:t>;</w:t>
      </w:r>
      <w:proofErr w:type="gramEnd"/>
    </w:p>
    <w:p w14:paraId="5C194426" w14:textId="77777777" w:rsidR="00B84B40" w:rsidRPr="004C0A95" w:rsidRDefault="00B84B40" w:rsidP="00B84B40">
      <w:pPr>
        <w:ind w:left="1578"/>
        <w:contextualSpacing/>
        <w:rPr>
          <w:rFonts w:cstheme="minorHAnsi"/>
          <w:lang w:eastAsia="en-GB"/>
        </w:rPr>
      </w:pPr>
    </w:p>
    <w:tbl>
      <w:tblPr>
        <w:tblpPr w:leftFromText="180" w:rightFromText="180" w:vertAnchor="text" w:horzAnchor="margin" w:tblpXSpec="center" w:tblpY="142"/>
        <w:tblW w:w="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tblCellMar>
        <w:tblLook w:val="04A0" w:firstRow="1" w:lastRow="0" w:firstColumn="1" w:lastColumn="0" w:noHBand="0" w:noVBand="1"/>
      </w:tblPr>
      <w:tblGrid>
        <w:gridCol w:w="2689"/>
        <w:gridCol w:w="2504"/>
      </w:tblGrid>
      <w:tr w:rsidR="003D1F3F" w:rsidRPr="004C0A95" w14:paraId="7E825829" w14:textId="77777777" w:rsidTr="00CB028A">
        <w:trPr>
          <w:trHeight w:val="278"/>
        </w:trPr>
        <w:tc>
          <w:tcPr>
            <w:tcW w:w="2689" w:type="dxa"/>
            <w:shd w:val="pct10" w:color="auto" w:fill="auto"/>
            <w:vAlign w:val="center"/>
          </w:tcPr>
          <w:p w14:paraId="505853B9" w14:textId="77777777" w:rsidR="003D1F3F" w:rsidRPr="004C0A95" w:rsidRDefault="003D1F3F" w:rsidP="00CB028A">
            <w:pPr>
              <w:rPr>
                <w:rFonts w:cstheme="minorHAnsi"/>
              </w:rPr>
            </w:pPr>
          </w:p>
          <w:p w14:paraId="6790CBF4" w14:textId="77777777" w:rsidR="003D1F3F" w:rsidRPr="004C0A95" w:rsidRDefault="003D1F3F" w:rsidP="00CB028A">
            <w:pPr>
              <w:rPr>
                <w:rFonts w:cstheme="minorHAnsi"/>
                <w:b/>
                <w:i/>
                <w:snapToGrid w:val="0"/>
              </w:rPr>
            </w:pPr>
          </w:p>
        </w:tc>
        <w:tc>
          <w:tcPr>
            <w:tcW w:w="2504" w:type="dxa"/>
            <w:shd w:val="pct10" w:color="auto" w:fill="auto"/>
            <w:vAlign w:val="center"/>
          </w:tcPr>
          <w:p w14:paraId="38ED3120" w14:textId="77777777" w:rsidR="003D1F3F" w:rsidRPr="004C0A95" w:rsidRDefault="003D1F3F" w:rsidP="00CB028A">
            <w:pPr>
              <w:jc w:val="center"/>
              <w:rPr>
                <w:rFonts w:cstheme="minorHAnsi"/>
              </w:rPr>
            </w:pPr>
            <w:r w:rsidRPr="004C0A95">
              <w:rPr>
                <w:rFonts w:cstheme="minorHAnsi"/>
              </w:rPr>
              <w:t>Monday</w:t>
            </w:r>
            <w:r>
              <w:rPr>
                <w:rFonts w:cstheme="minorHAnsi"/>
              </w:rPr>
              <w:t xml:space="preserve"> - Friday</w:t>
            </w:r>
          </w:p>
        </w:tc>
      </w:tr>
      <w:tr w:rsidR="003D1F3F" w:rsidRPr="004C0A95" w14:paraId="1E9C58A0" w14:textId="77777777" w:rsidTr="00B96BE4">
        <w:trPr>
          <w:trHeight w:val="18"/>
        </w:trPr>
        <w:tc>
          <w:tcPr>
            <w:tcW w:w="2689" w:type="dxa"/>
            <w:shd w:val="clear" w:color="auto" w:fill="auto"/>
          </w:tcPr>
          <w:p w14:paraId="697D1E4B" w14:textId="77777777" w:rsidR="003D1F3F" w:rsidRPr="004C0A95" w:rsidRDefault="003D1F3F" w:rsidP="00CB028A">
            <w:pPr>
              <w:keepNext/>
              <w:overflowPunct w:val="0"/>
              <w:autoSpaceDE w:val="0"/>
              <w:autoSpaceDN w:val="0"/>
              <w:adjustRightInd w:val="0"/>
              <w:ind w:left="864" w:hanging="864"/>
              <w:textAlignment w:val="baseline"/>
              <w:outlineLvl w:val="3"/>
              <w:rPr>
                <w:rFonts w:cstheme="minorHAnsi"/>
                <w:snapToGrid w:val="0"/>
                <w:sz w:val="18"/>
                <w:szCs w:val="18"/>
              </w:rPr>
            </w:pPr>
            <w:r w:rsidRPr="004C0A95">
              <w:rPr>
                <w:rFonts w:cstheme="minorHAnsi"/>
                <w:snapToGrid w:val="0"/>
                <w:sz w:val="18"/>
                <w:szCs w:val="18"/>
              </w:rPr>
              <w:t xml:space="preserve">Ty </w:t>
            </w:r>
            <w:proofErr w:type="spellStart"/>
            <w:r w:rsidRPr="004C0A95">
              <w:rPr>
                <w:rFonts w:cstheme="minorHAnsi"/>
                <w:snapToGrid w:val="0"/>
                <w:sz w:val="18"/>
                <w:szCs w:val="18"/>
              </w:rPr>
              <w:t>Felin</w:t>
            </w:r>
            <w:proofErr w:type="spellEnd"/>
          </w:p>
        </w:tc>
        <w:tc>
          <w:tcPr>
            <w:tcW w:w="2504" w:type="dxa"/>
            <w:vAlign w:val="center"/>
          </w:tcPr>
          <w:p w14:paraId="000017C4" w14:textId="77777777" w:rsidR="003D1F3F" w:rsidRPr="004C0A95" w:rsidRDefault="003D1F3F" w:rsidP="00CB028A">
            <w:pPr>
              <w:keepNext/>
              <w:overflowPunct w:val="0"/>
              <w:autoSpaceDE w:val="0"/>
              <w:autoSpaceDN w:val="0"/>
              <w:adjustRightInd w:val="0"/>
              <w:ind w:left="864" w:hanging="864"/>
              <w:textAlignment w:val="baseline"/>
              <w:outlineLvl w:val="3"/>
              <w:rPr>
                <w:rFonts w:cstheme="minorHAnsi"/>
                <w:snapToGrid w:val="0"/>
                <w:sz w:val="18"/>
                <w:szCs w:val="18"/>
              </w:rPr>
            </w:pPr>
            <w:r w:rsidRPr="004C0A95">
              <w:rPr>
                <w:rFonts w:cstheme="minorHAnsi"/>
                <w:snapToGrid w:val="0"/>
                <w:sz w:val="18"/>
                <w:szCs w:val="18"/>
              </w:rPr>
              <w:t>0</w:t>
            </w:r>
            <w:r w:rsidR="0012687B">
              <w:rPr>
                <w:rFonts w:cstheme="minorHAnsi"/>
                <w:snapToGrid w:val="0"/>
                <w:sz w:val="18"/>
                <w:szCs w:val="18"/>
              </w:rPr>
              <w:t>6</w:t>
            </w:r>
            <w:r w:rsidRPr="004C0A95">
              <w:rPr>
                <w:rFonts w:cstheme="minorHAnsi"/>
                <w:snapToGrid w:val="0"/>
                <w:sz w:val="18"/>
                <w:szCs w:val="18"/>
              </w:rPr>
              <w:t xml:space="preserve">:00 – </w:t>
            </w:r>
            <w:r>
              <w:rPr>
                <w:rFonts w:cstheme="minorHAnsi"/>
                <w:snapToGrid w:val="0"/>
                <w:sz w:val="18"/>
                <w:szCs w:val="18"/>
              </w:rPr>
              <w:t>1</w:t>
            </w:r>
            <w:r w:rsidR="0012687B">
              <w:rPr>
                <w:rFonts w:cstheme="minorHAnsi"/>
                <w:snapToGrid w:val="0"/>
                <w:sz w:val="18"/>
                <w:szCs w:val="18"/>
              </w:rPr>
              <w:t>6</w:t>
            </w:r>
            <w:r w:rsidRPr="004C0A95">
              <w:rPr>
                <w:rFonts w:cstheme="minorHAnsi"/>
                <w:snapToGrid w:val="0"/>
                <w:sz w:val="18"/>
                <w:szCs w:val="18"/>
              </w:rPr>
              <w:t>:00hrs</w:t>
            </w:r>
          </w:p>
        </w:tc>
      </w:tr>
      <w:tr w:rsidR="003D1F3F" w:rsidRPr="004C0A95" w14:paraId="16A22F3A" w14:textId="77777777" w:rsidTr="00CB028A">
        <w:trPr>
          <w:trHeight w:val="138"/>
        </w:trPr>
        <w:tc>
          <w:tcPr>
            <w:tcW w:w="2689" w:type="dxa"/>
          </w:tcPr>
          <w:p w14:paraId="6F00C239" w14:textId="77777777" w:rsidR="003D1F3F" w:rsidRPr="004C0A95" w:rsidRDefault="003D1F3F" w:rsidP="00CB028A">
            <w:pPr>
              <w:keepNext/>
              <w:overflowPunct w:val="0"/>
              <w:autoSpaceDE w:val="0"/>
              <w:autoSpaceDN w:val="0"/>
              <w:adjustRightInd w:val="0"/>
              <w:ind w:left="864" w:hanging="864"/>
              <w:textAlignment w:val="baseline"/>
              <w:outlineLvl w:val="3"/>
              <w:rPr>
                <w:rFonts w:cstheme="minorHAnsi"/>
                <w:snapToGrid w:val="0"/>
                <w:sz w:val="18"/>
                <w:szCs w:val="18"/>
              </w:rPr>
            </w:pPr>
            <w:r w:rsidRPr="004C0A95">
              <w:rPr>
                <w:rFonts w:cstheme="minorHAnsi"/>
                <w:snapToGrid w:val="0"/>
                <w:sz w:val="18"/>
                <w:szCs w:val="18"/>
              </w:rPr>
              <w:t>Morriston</w:t>
            </w:r>
          </w:p>
        </w:tc>
        <w:tc>
          <w:tcPr>
            <w:tcW w:w="2504" w:type="dxa"/>
            <w:vAlign w:val="center"/>
          </w:tcPr>
          <w:p w14:paraId="0B27F301" w14:textId="77777777" w:rsidR="003D1F3F" w:rsidRPr="004C0A95" w:rsidRDefault="003D1F3F" w:rsidP="00CB028A">
            <w:pPr>
              <w:keepNext/>
              <w:overflowPunct w:val="0"/>
              <w:autoSpaceDE w:val="0"/>
              <w:autoSpaceDN w:val="0"/>
              <w:adjustRightInd w:val="0"/>
              <w:ind w:left="864" w:hanging="864"/>
              <w:textAlignment w:val="baseline"/>
              <w:outlineLvl w:val="3"/>
              <w:rPr>
                <w:rFonts w:cstheme="minorHAnsi"/>
                <w:snapToGrid w:val="0"/>
                <w:sz w:val="18"/>
                <w:szCs w:val="18"/>
              </w:rPr>
            </w:pPr>
            <w:r w:rsidRPr="004C0A95">
              <w:rPr>
                <w:rFonts w:cstheme="minorHAnsi"/>
                <w:snapToGrid w:val="0"/>
                <w:sz w:val="18"/>
                <w:szCs w:val="18"/>
              </w:rPr>
              <w:t>0</w:t>
            </w:r>
            <w:r w:rsidR="0012687B">
              <w:rPr>
                <w:rFonts w:cstheme="minorHAnsi"/>
                <w:snapToGrid w:val="0"/>
                <w:sz w:val="18"/>
                <w:szCs w:val="18"/>
              </w:rPr>
              <w:t>6</w:t>
            </w:r>
            <w:r w:rsidRPr="004C0A95">
              <w:rPr>
                <w:rFonts w:cstheme="minorHAnsi"/>
                <w:snapToGrid w:val="0"/>
                <w:sz w:val="18"/>
                <w:szCs w:val="18"/>
              </w:rPr>
              <w:t xml:space="preserve">:00 – </w:t>
            </w:r>
            <w:r>
              <w:rPr>
                <w:rFonts w:cstheme="minorHAnsi"/>
                <w:snapToGrid w:val="0"/>
                <w:sz w:val="18"/>
                <w:szCs w:val="18"/>
              </w:rPr>
              <w:t>1</w:t>
            </w:r>
            <w:r w:rsidR="0012687B">
              <w:rPr>
                <w:rFonts w:cstheme="minorHAnsi"/>
                <w:snapToGrid w:val="0"/>
                <w:sz w:val="18"/>
                <w:szCs w:val="18"/>
              </w:rPr>
              <w:t>6</w:t>
            </w:r>
            <w:r w:rsidRPr="004C0A95">
              <w:rPr>
                <w:rFonts w:cstheme="minorHAnsi"/>
                <w:snapToGrid w:val="0"/>
                <w:sz w:val="18"/>
                <w:szCs w:val="18"/>
              </w:rPr>
              <w:t>:00hrs</w:t>
            </w:r>
          </w:p>
        </w:tc>
      </w:tr>
      <w:tr w:rsidR="003D1F3F" w:rsidRPr="004C0A95" w14:paraId="0F70FEBC" w14:textId="77777777" w:rsidTr="00CB028A">
        <w:trPr>
          <w:trHeight w:val="138"/>
        </w:trPr>
        <w:tc>
          <w:tcPr>
            <w:tcW w:w="2689" w:type="dxa"/>
          </w:tcPr>
          <w:p w14:paraId="66FA90F2" w14:textId="77777777" w:rsidR="003D1F3F" w:rsidRPr="004C0A95" w:rsidRDefault="003D1F3F" w:rsidP="00CB028A">
            <w:pPr>
              <w:keepNext/>
              <w:overflowPunct w:val="0"/>
              <w:autoSpaceDE w:val="0"/>
              <w:autoSpaceDN w:val="0"/>
              <w:adjustRightInd w:val="0"/>
              <w:textAlignment w:val="baseline"/>
              <w:outlineLvl w:val="3"/>
              <w:rPr>
                <w:rFonts w:cstheme="minorHAnsi"/>
                <w:snapToGrid w:val="0"/>
                <w:sz w:val="18"/>
                <w:szCs w:val="18"/>
              </w:rPr>
            </w:pPr>
            <w:r>
              <w:rPr>
                <w:rFonts w:cstheme="minorHAnsi"/>
                <w:snapToGrid w:val="0"/>
                <w:sz w:val="18"/>
                <w:szCs w:val="18"/>
              </w:rPr>
              <w:t>Swansea Vale</w:t>
            </w:r>
          </w:p>
        </w:tc>
        <w:tc>
          <w:tcPr>
            <w:tcW w:w="2504" w:type="dxa"/>
            <w:vAlign w:val="center"/>
          </w:tcPr>
          <w:p w14:paraId="35977BB1" w14:textId="77777777" w:rsidR="003D1F3F" w:rsidRPr="004C0A95" w:rsidRDefault="003D1F3F" w:rsidP="00CB028A">
            <w:pPr>
              <w:keepNext/>
              <w:overflowPunct w:val="0"/>
              <w:autoSpaceDE w:val="0"/>
              <w:autoSpaceDN w:val="0"/>
              <w:adjustRightInd w:val="0"/>
              <w:ind w:left="864" w:hanging="864"/>
              <w:textAlignment w:val="baseline"/>
              <w:outlineLvl w:val="3"/>
              <w:rPr>
                <w:rFonts w:cstheme="minorHAnsi"/>
                <w:snapToGrid w:val="0"/>
                <w:sz w:val="18"/>
                <w:szCs w:val="18"/>
              </w:rPr>
            </w:pPr>
            <w:r w:rsidRPr="004C0A95">
              <w:rPr>
                <w:rFonts w:cstheme="minorHAnsi"/>
                <w:snapToGrid w:val="0"/>
                <w:sz w:val="18"/>
                <w:szCs w:val="18"/>
              </w:rPr>
              <w:t>0</w:t>
            </w:r>
            <w:r w:rsidR="0012687B">
              <w:rPr>
                <w:rFonts w:cstheme="minorHAnsi"/>
                <w:snapToGrid w:val="0"/>
                <w:sz w:val="18"/>
                <w:szCs w:val="18"/>
              </w:rPr>
              <w:t>6</w:t>
            </w:r>
            <w:r w:rsidRPr="004C0A95">
              <w:rPr>
                <w:rFonts w:cstheme="minorHAnsi"/>
                <w:snapToGrid w:val="0"/>
                <w:sz w:val="18"/>
                <w:szCs w:val="18"/>
              </w:rPr>
              <w:t xml:space="preserve">:00 – </w:t>
            </w:r>
            <w:r>
              <w:rPr>
                <w:rFonts w:cstheme="minorHAnsi"/>
                <w:snapToGrid w:val="0"/>
                <w:sz w:val="18"/>
                <w:szCs w:val="18"/>
              </w:rPr>
              <w:t>1</w:t>
            </w:r>
            <w:r w:rsidR="0012687B">
              <w:rPr>
                <w:rFonts w:cstheme="minorHAnsi"/>
                <w:snapToGrid w:val="0"/>
                <w:sz w:val="18"/>
                <w:szCs w:val="18"/>
              </w:rPr>
              <w:t>6</w:t>
            </w:r>
            <w:r w:rsidRPr="004C0A95">
              <w:rPr>
                <w:rFonts w:cstheme="minorHAnsi"/>
                <w:snapToGrid w:val="0"/>
                <w:sz w:val="18"/>
                <w:szCs w:val="18"/>
              </w:rPr>
              <w:t>:00hrs</w:t>
            </w:r>
          </w:p>
        </w:tc>
      </w:tr>
    </w:tbl>
    <w:p w14:paraId="7CE92612" w14:textId="77777777" w:rsidR="00B84B40" w:rsidRPr="004C0A95" w:rsidRDefault="00B84B40" w:rsidP="00B84B40">
      <w:pPr>
        <w:ind w:left="1578"/>
        <w:contextualSpacing/>
        <w:rPr>
          <w:rFonts w:cstheme="minorHAnsi"/>
          <w:lang w:eastAsia="en-GB"/>
        </w:rPr>
      </w:pPr>
    </w:p>
    <w:p w14:paraId="17666E16" w14:textId="77777777" w:rsidR="003D1F3F" w:rsidRDefault="003D1F3F" w:rsidP="00B84B40">
      <w:pPr>
        <w:spacing w:after="160" w:line="259" w:lineRule="auto"/>
        <w:contextualSpacing/>
        <w:rPr>
          <w:rFonts w:eastAsia="Calibri" w:cstheme="minorHAnsi"/>
          <w:lang w:eastAsia="en-GB"/>
        </w:rPr>
      </w:pPr>
    </w:p>
    <w:p w14:paraId="4F9A0B0C" w14:textId="77777777" w:rsidR="003D1F3F" w:rsidRDefault="003D1F3F" w:rsidP="00B84B40">
      <w:pPr>
        <w:spacing w:after="160" w:line="259" w:lineRule="auto"/>
        <w:contextualSpacing/>
        <w:rPr>
          <w:rFonts w:eastAsia="Calibri" w:cstheme="minorHAnsi"/>
          <w:lang w:eastAsia="en-GB"/>
        </w:rPr>
      </w:pPr>
    </w:p>
    <w:p w14:paraId="63A6A905" w14:textId="77777777" w:rsidR="003D1F3F" w:rsidRDefault="003D1F3F" w:rsidP="00B84B40">
      <w:pPr>
        <w:spacing w:after="160" w:line="259" w:lineRule="auto"/>
        <w:contextualSpacing/>
        <w:rPr>
          <w:rFonts w:eastAsia="Calibri" w:cstheme="minorHAnsi"/>
          <w:lang w:eastAsia="en-GB"/>
        </w:rPr>
      </w:pPr>
    </w:p>
    <w:p w14:paraId="0BAF009B" w14:textId="77777777" w:rsidR="003D1F3F" w:rsidRDefault="003D1F3F" w:rsidP="00B84B40">
      <w:pPr>
        <w:spacing w:after="160" w:line="259" w:lineRule="auto"/>
        <w:contextualSpacing/>
        <w:rPr>
          <w:rFonts w:eastAsia="Calibri" w:cstheme="minorHAnsi"/>
          <w:lang w:eastAsia="en-GB"/>
        </w:rPr>
      </w:pPr>
    </w:p>
    <w:p w14:paraId="53B70157" w14:textId="77777777" w:rsidR="003D1F3F" w:rsidRDefault="003D1F3F" w:rsidP="00B84B40">
      <w:pPr>
        <w:spacing w:after="160" w:line="259" w:lineRule="auto"/>
        <w:contextualSpacing/>
        <w:rPr>
          <w:rFonts w:eastAsia="Calibri" w:cstheme="minorHAnsi"/>
          <w:lang w:eastAsia="en-GB"/>
        </w:rPr>
      </w:pPr>
    </w:p>
    <w:p w14:paraId="2EBB47F0" w14:textId="77777777" w:rsidR="003D1F3F" w:rsidRDefault="003D1F3F" w:rsidP="00B84B40">
      <w:pPr>
        <w:spacing w:after="160" w:line="259" w:lineRule="auto"/>
        <w:contextualSpacing/>
        <w:rPr>
          <w:rFonts w:eastAsia="Calibri" w:cstheme="minorHAnsi"/>
          <w:lang w:eastAsia="en-GB"/>
        </w:rPr>
      </w:pPr>
    </w:p>
    <w:p w14:paraId="61C39A27" w14:textId="77777777" w:rsidR="003D1F3F" w:rsidRDefault="003D1F3F" w:rsidP="00B84B40">
      <w:pPr>
        <w:spacing w:after="160" w:line="259" w:lineRule="auto"/>
        <w:contextualSpacing/>
        <w:rPr>
          <w:rFonts w:eastAsia="Calibri" w:cstheme="minorHAnsi"/>
          <w:lang w:eastAsia="en-GB"/>
        </w:rPr>
      </w:pPr>
    </w:p>
    <w:p w14:paraId="27FDAD73" w14:textId="77777777" w:rsidR="003D1F3F" w:rsidRDefault="003D1F3F" w:rsidP="00B84B40">
      <w:pPr>
        <w:spacing w:after="160" w:line="259" w:lineRule="auto"/>
        <w:contextualSpacing/>
        <w:rPr>
          <w:rFonts w:eastAsia="Calibri" w:cstheme="minorHAnsi"/>
          <w:lang w:eastAsia="en-GB"/>
        </w:rPr>
      </w:pPr>
    </w:p>
    <w:p w14:paraId="49F3E21A" w14:textId="60FCECB6" w:rsidR="00B84B40" w:rsidRPr="004C0A95" w:rsidRDefault="00B84B40" w:rsidP="00B84B40">
      <w:pPr>
        <w:spacing w:after="160" w:line="259" w:lineRule="auto"/>
        <w:contextualSpacing/>
        <w:rPr>
          <w:rFonts w:cstheme="minorHAnsi"/>
          <w:lang w:eastAsia="en-GB"/>
        </w:rPr>
      </w:pPr>
      <w:r w:rsidRPr="004C0A95">
        <w:rPr>
          <w:rFonts w:eastAsia="Calibri" w:cstheme="minorHAnsi"/>
          <w:lang w:eastAsia="en-GB"/>
        </w:rPr>
        <w:t>The Supplier shall ensure that on-site S</w:t>
      </w:r>
      <w:r w:rsidR="003D1F3F">
        <w:rPr>
          <w:rFonts w:eastAsia="Calibri" w:cstheme="minorHAnsi"/>
          <w:lang w:eastAsia="en-GB"/>
        </w:rPr>
        <w:t xml:space="preserve">ervice </w:t>
      </w:r>
      <w:r w:rsidRPr="004C0A95">
        <w:rPr>
          <w:rFonts w:eastAsia="Calibri" w:cstheme="minorHAnsi"/>
          <w:lang w:eastAsia="en-GB"/>
        </w:rPr>
        <w:t xml:space="preserve">and Maintenance is provided by personnel trained on the </w:t>
      </w:r>
      <w:r w:rsidR="003D1F3F">
        <w:rPr>
          <w:rFonts w:eastAsia="Calibri" w:cstheme="minorHAnsi"/>
          <w:lang w:eastAsia="en-GB"/>
        </w:rPr>
        <w:t xml:space="preserve">appropriate </w:t>
      </w:r>
      <w:r w:rsidR="003D1F3F" w:rsidRPr="00661287">
        <w:rPr>
          <w:rFonts w:eastAsia="Calibri" w:cstheme="minorHAnsi"/>
          <w:lang w:eastAsia="en-GB"/>
        </w:rPr>
        <w:t>vehicles</w:t>
      </w:r>
      <w:r w:rsidR="00661287" w:rsidRPr="00661287">
        <w:rPr>
          <w:rFonts w:eastAsia="Calibri" w:cstheme="minorHAnsi"/>
          <w:lang w:eastAsia="en-GB"/>
        </w:rPr>
        <w:t xml:space="preserve"> </w:t>
      </w:r>
      <w:r w:rsidR="003D1F3F" w:rsidRPr="00661287">
        <w:rPr>
          <w:rFonts w:eastAsia="Calibri" w:cstheme="minorHAnsi"/>
          <w:lang w:eastAsia="en-GB"/>
        </w:rPr>
        <w:t>during</w:t>
      </w:r>
      <w:r w:rsidR="003D1F3F">
        <w:rPr>
          <w:rFonts w:eastAsia="Calibri" w:cstheme="minorHAnsi"/>
          <w:lang w:eastAsia="en-GB"/>
        </w:rPr>
        <w:t xml:space="preserve"> the operational hours illustrated above. For general service and maintenance this will be carried out at DVLA main site in Morriston. </w:t>
      </w:r>
    </w:p>
    <w:p w14:paraId="2C35EAAB" w14:textId="77777777" w:rsidR="00B84B40" w:rsidRPr="004C0A95" w:rsidRDefault="00B84B40" w:rsidP="00B84B40">
      <w:pPr>
        <w:ind w:left="720"/>
        <w:rPr>
          <w:rFonts w:eastAsia="Calibri" w:cstheme="minorHAnsi"/>
          <w:lang w:eastAsia="en-GB"/>
        </w:rPr>
      </w:pPr>
    </w:p>
    <w:p w14:paraId="2B787930" w14:textId="77777777" w:rsidR="00B84B40" w:rsidRPr="00CB028A" w:rsidRDefault="00B84B40" w:rsidP="00CB028A">
      <w:pPr>
        <w:rPr>
          <w:rFonts w:cstheme="minorHAnsi"/>
          <w:b/>
          <w:sz w:val="24"/>
        </w:rPr>
      </w:pPr>
      <w:r w:rsidRPr="00CB028A">
        <w:rPr>
          <w:rFonts w:cstheme="minorHAnsi"/>
          <w:b/>
          <w:sz w:val="24"/>
        </w:rPr>
        <w:t>Preventative Maintenance</w:t>
      </w:r>
    </w:p>
    <w:p w14:paraId="47CE02D3" w14:textId="77777777" w:rsidR="00B84B40" w:rsidRPr="004C0A95" w:rsidRDefault="00B84B40" w:rsidP="00B84B40">
      <w:pPr>
        <w:pStyle w:val="ListParagraph"/>
        <w:ind w:left="567"/>
        <w:rPr>
          <w:rFonts w:eastAsia="Times New Roman" w:cstheme="minorHAnsi"/>
          <w:b/>
          <w:sz w:val="24"/>
        </w:rPr>
      </w:pPr>
    </w:p>
    <w:p w14:paraId="454F3111" w14:textId="77777777" w:rsidR="00B84B40" w:rsidRPr="004C0A95" w:rsidRDefault="00B84B40" w:rsidP="00B84B40">
      <w:pPr>
        <w:spacing w:after="160" w:line="259" w:lineRule="auto"/>
        <w:contextualSpacing/>
        <w:rPr>
          <w:rFonts w:cstheme="minorHAnsi"/>
          <w:b/>
          <w:sz w:val="24"/>
          <w:szCs w:val="24"/>
          <w:lang w:eastAsia="en-GB"/>
        </w:rPr>
      </w:pPr>
      <w:r w:rsidRPr="004C0A95">
        <w:rPr>
          <w:rFonts w:eastAsia="STZhongsong" w:cstheme="minorHAnsi"/>
          <w:lang w:eastAsia="zh-CN"/>
        </w:rPr>
        <w:t>The Authority requires the supplier to fully indicate what maintenance activities will be carried out against the following frequency:</w:t>
      </w:r>
    </w:p>
    <w:p w14:paraId="0A1A3FE8" w14:textId="77777777" w:rsidR="00B84B40" w:rsidRPr="004C0A95" w:rsidRDefault="00B84B40" w:rsidP="00B84B40">
      <w:pPr>
        <w:tabs>
          <w:tab w:val="num" w:pos="2880"/>
        </w:tabs>
        <w:ind w:left="1588"/>
        <w:contextualSpacing/>
        <w:rPr>
          <w:rFonts w:cstheme="minorHAnsi"/>
          <w:b/>
          <w:sz w:val="24"/>
          <w:szCs w:val="24"/>
          <w:lang w:eastAsia="en-GB"/>
        </w:rPr>
      </w:pPr>
    </w:p>
    <w:p w14:paraId="2C125BE2" w14:textId="77777777" w:rsidR="00B84B40" w:rsidRPr="004C0A95" w:rsidRDefault="00B84B40" w:rsidP="00B84B40">
      <w:pPr>
        <w:numPr>
          <w:ilvl w:val="0"/>
          <w:numId w:val="29"/>
        </w:numPr>
        <w:adjustRightInd w:val="0"/>
        <w:spacing w:after="60" w:line="259" w:lineRule="auto"/>
        <w:jc w:val="both"/>
        <w:outlineLvl w:val="3"/>
        <w:rPr>
          <w:rFonts w:cstheme="minorHAnsi"/>
          <w:b/>
          <w:snapToGrid w:val="0"/>
          <w:lang w:eastAsia="en-GB"/>
        </w:rPr>
      </w:pPr>
      <w:r w:rsidRPr="004C0A95">
        <w:rPr>
          <w:rFonts w:cstheme="minorHAnsi"/>
          <w:b/>
          <w:snapToGrid w:val="0"/>
          <w:lang w:eastAsia="en-GB"/>
        </w:rPr>
        <w:t>Weekly</w:t>
      </w:r>
    </w:p>
    <w:p w14:paraId="575BB435" w14:textId="77777777" w:rsidR="00B84B40" w:rsidRPr="004C0A95" w:rsidRDefault="00B84B40" w:rsidP="00B84B40">
      <w:pPr>
        <w:numPr>
          <w:ilvl w:val="0"/>
          <w:numId w:val="29"/>
        </w:numPr>
        <w:adjustRightInd w:val="0"/>
        <w:spacing w:after="60" w:line="259" w:lineRule="auto"/>
        <w:jc w:val="both"/>
        <w:outlineLvl w:val="3"/>
        <w:rPr>
          <w:rFonts w:cstheme="minorHAnsi"/>
          <w:b/>
          <w:snapToGrid w:val="0"/>
          <w:lang w:eastAsia="en-GB"/>
        </w:rPr>
      </w:pPr>
      <w:r w:rsidRPr="004C0A95">
        <w:rPr>
          <w:rFonts w:cstheme="minorHAnsi"/>
          <w:b/>
          <w:snapToGrid w:val="0"/>
          <w:lang w:eastAsia="en-GB"/>
        </w:rPr>
        <w:t>Monthly</w:t>
      </w:r>
    </w:p>
    <w:p w14:paraId="741D3D8D" w14:textId="77777777" w:rsidR="00B84B40" w:rsidRPr="004C0A95" w:rsidRDefault="00B84B40" w:rsidP="00B84B40">
      <w:pPr>
        <w:numPr>
          <w:ilvl w:val="0"/>
          <w:numId w:val="29"/>
        </w:numPr>
        <w:adjustRightInd w:val="0"/>
        <w:spacing w:after="60" w:line="259" w:lineRule="auto"/>
        <w:jc w:val="both"/>
        <w:outlineLvl w:val="3"/>
        <w:rPr>
          <w:rFonts w:cstheme="minorHAnsi"/>
          <w:b/>
          <w:snapToGrid w:val="0"/>
          <w:lang w:eastAsia="en-GB"/>
        </w:rPr>
      </w:pPr>
      <w:r w:rsidRPr="004C0A95">
        <w:rPr>
          <w:rFonts w:cstheme="minorHAnsi"/>
          <w:b/>
          <w:snapToGrid w:val="0"/>
          <w:lang w:eastAsia="en-GB"/>
        </w:rPr>
        <w:t>Quarterly</w:t>
      </w:r>
    </w:p>
    <w:p w14:paraId="20CF446F" w14:textId="77777777" w:rsidR="00B84B40" w:rsidRDefault="00B84B40" w:rsidP="00B84B40">
      <w:pPr>
        <w:numPr>
          <w:ilvl w:val="0"/>
          <w:numId w:val="29"/>
        </w:numPr>
        <w:adjustRightInd w:val="0"/>
        <w:spacing w:after="60" w:line="259" w:lineRule="auto"/>
        <w:jc w:val="both"/>
        <w:outlineLvl w:val="3"/>
        <w:rPr>
          <w:rFonts w:cstheme="minorHAnsi"/>
          <w:b/>
          <w:snapToGrid w:val="0"/>
          <w:lang w:eastAsia="en-GB"/>
        </w:rPr>
      </w:pPr>
      <w:r w:rsidRPr="004C0A95">
        <w:rPr>
          <w:rFonts w:cstheme="minorHAnsi"/>
          <w:b/>
          <w:snapToGrid w:val="0"/>
          <w:lang w:eastAsia="en-GB"/>
        </w:rPr>
        <w:t>Yearly</w:t>
      </w:r>
    </w:p>
    <w:p w14:paraId="4A8113B1" w14:textId="77777777" w:rsidR="00B84B40" w:rsidRDefault="00B84B40" w:rsidP="00B84B40">
      <w:pPr>
        <w:adjustRightInd w:val="0"/>
        <w:spacing w:after="60" w:line="259" w:lineRule="auto"/>
        <w:ind w:left="1080"/>
        <w:jc w:val="both"/>
        <w:outlineLvl w:val="3"/>
        <w:rPr>
          <w:rFonts w:cstheme="minorHAnsi"/>
          <w:b/>
          <w:snapToGrid w:val="0"/>
          <w:lang w:eastAsia="en-GB"/>
        </w:rPr>
      </w:pPr>
    </w:p>
    <w:p w14:paraId="54DD3E13" w14:textId="77777777" w:rsidR="00EF2FFA" w:rsidRDefault="00EF2FFA" w:rsidP="00F241F7">
      <w:pPr>
        <w:rPr>
          <w:rFonts w:cstheme="minorHAnsi"/>
          <w:b/>
          <w:sz w:val="24"/>
        </w:rPr>
        <w:sectPr w:rsidR="00EF2FFA" w:rsidSect="00F43ED5">
          <w:footerReference w:type="default" r:id="rId8"/>
          <w:headerReference w:type="first" r:id="rId9"/>
          <w:pgSz w:w="11906" w:h="16838"/>
          <w:pgMar w:top="1440" w:right="1287" w:bottom="1440" w:left="1259" w:header="709" w:footer="709" w:gutter="0"/>
          <w:cols w:space="708"/>
          <w:titlePg/>
          <w:docGrid w:linePitch="360"/>
        </w:sectPr>
      </w:pPr>
    </w:p>
    <w:p w14:paraId="46A33166" w14:textId="77777777" w:rsidR="00FE1043" w:rsidRDefault="00FE1043" w:rsidP="00F241F7">
      <w:pPr>
        <w:rPr>
          <w:rFonts w:cstheme="minorHAnsi"/>
          <w:b/>
          <w:sz w:val="24"/>
        </w:rPr>
      </w:pPr>
    </w:p>
    <w:p w14:paraId="7DAAEF5E" w14:textId="77777777" w:rsidR="00B84B40" w:rsidRPr="00B96BE4" w:rsidRDefault="00B84B40" w:rsidP="00B96BE4">
      <w:pPr>
        <w:rPr>
          <w:rFonts w:cstheme="minorHAnsi"/>
          <w:b/>
          <w:sz w:val="24"/>
        </w:rPr>
      </w:pPr>
      <w:r w:rsidRPr="00F241F7">
        <w:rPr>
          <w:rFonts w:cstheme="minorHAnsi"/>
          <w:b/>
          <w:sz w:val="24"/>
        </w:rPr>
        <w:t>Machine availability and service level agreement</w:t>
      </w:r>
    </w:p>
    <w:tbl>
      <w:tblPr>
        <w:tblpPr w:leftFromText="180" w:rightFromText="180" w:vertAnchor="text" w:horzAnchor="margin" w:tblpX="-572" w:tblpY="228"/>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tblCellMar>
        <w:tblLook w:val="04A0" w:firstRow="1" w:lastRow="0" w:firstColumn="1" w:lastColumn="0" w:noHBand="0" w:noVBand="1"/>
      </w:tblPr>
      <w:tblGrid>
        <w:gridCol w:w="13603"/>
      </w:tblGrid>
      <w:tr w:rsidR="00B96BE4" w:rsidRPr="00FD7322" w14:paraId="25151384" w14:textId="77777777" w:rsidTr="00B96BE4">
        <w:trPr>
          <w:trHeight w:val="132"/>
        </w:trPr>
        <w:tc>
          <w:tcPr>
            <w:tcW w:w="13603" w:type="dxa"/>
            <w:shd w:val="clear" w:color="auto" w:fill="BFBFBF"/>
          </w:tcPr>
          <w:p w14:paraId="21ADD6C5" w14:textId="77777777" w:rsidR="00B96BE4" w:rsidRPr="00FD7322" w:rsidRDefault="00B96BE4" w:rsidP="002C4C14">
            <w:pPr>
              <w:rPr>
                <w:rFonts w:cstheme="minorHAnsi"/>
                <w:i/>
                <w:color w:val="FFFFFF"/>
                <w:sz w:val="24"/>
              </w:rPr>
            </w:pPr>
            <w:r w:rsidRPr="00FD7322">
              <w:rPr>
                <w:rFonts w:cstheme="minorHAnsi"/>
              </w:rPr>
              <w:t>Service Level Agreement</w:t>
            </w:r>
          </w:p>
        </w:tc>
      </w:tr>
      <w:tr w:rsidR="00B96BE4" w:rsidRPr="00FD7322" w14:paraId="2667D1F7" w14:textId="77777777" w:rsidTr="00B96BE4">
        <w:trPr>
          <w:trHeight w:val="564"/>
        </w:trPr>
        <w:tc>
          <w:tcPr>
            <w:tcW w:w="13603" w:type="dxa"/>
          </w:tcPr>
          <w:p w14:paraId="349A8186" w14:textId="77777777" w:rsidR="00B96BE4" w:rsidRPr="00FD7322" w:rsidRDefault="00B96BE4" w:rsidP="002C4C14">
            <w:pPr>
              <w:rPr>
                <w:rFonts w:cstheme="minorHAnsi"/>
              </w:rPr>
            </w:pPr>
            <w:r w:rsidRPr="00FD7322">
              <w:rPr>
                <w:rFonts w:cstheme="minorHAnsi"/>
              </w:rPr>
              <w:t xml:space="preserve">The overall availability for the proposed solution shall not fall below 98% in any rolling </w:t>
            </w:r>
            <w:proofErr w:type="gramStart"/>
            <w:r w:rsidRPr="00FD7322">
              <w:rPr>
                <w:rFonts w:cstheme="minorHAnsi"/>
              </w:rPr>
              <w:t>8 week</w:t>
            </w:r>
            <w:proofErr w:type="gramEnd"/>
            <w:r w:rsidRPr="00FD7322">
              <w:rPr>
                <w:rFonts w:cstheme="minorHAnsi"/>
              </w:rPr>
              <w:t xml:space="preserve"> period, in the working hours stipulated above Monday to Friday (excluding Public and Bank Holidays).</w:t>
            </w:r>
          </w:p>
        </w:tc>
      </w:tr>
    </w:tbl>
    <w:p w14:paraId="77EEB3DD" w14:textId="77777777" w:rsidR="00B96BE4" w:rsidRPr="00FD7322" w:rsidRDefault="00B96BE4" w:rsidP="00B96BE4">
      <w:pPr>
        <w:ind w:left="792"/>
        <w:rPr>
          <w:rFonts w:cstheme="minorHAnsi"/>
          <w:b/>
          <w:sz w:val="32"/>
          <w:lang w:eastAsia="en-GB"/>
        </w:rPr>
      </w:pPr>
    </w:p>
    <w:p w14:paraId="1B771BE6" w14:textId="77777777" w:rsidR="00B96BE4" w:rsidRDefault="00B96BE4" w:rsidP="00B96BE4">
      <w:pPr>
        <w:rPr>
          <w:rFonts w:cstheme="minorHAnsi"/>
          <w:b/>
          <w:sz w:val="24"/>
        </w:rPr>
      </w:pPr>
    </w:p>
    <w:p w14:paraId="43760EB6" w14:textId="77777777" w:rsidR="00B96BE4" w:rsidRDefault="00B96BE4" w:rsidP="00B96BE4">
      <w:pPr>
        <w:rPr>
          <w:rFonts w:cstheme="minorHAnsi"/>
          <w:b/>
          <w:sz w:val="24"/>
        </w:rPr>
      </w:pPr>
    </w:p>
    <w:p w14:paraId="231F32E3" w14:textId="77777777" w:rsidR="00B96BE4" w:rsidRDefault="00B96BE4" w:rsidP="00B96BE4">
      <w:pPr>
        <w:rPr>
          <w:rFonts w:cstheme="minorHAnsi"/>
          <w:b/>
          <w:sz w:val="24"/>
        </w:rPr>
      </w:pPr>
    </w:p>
    <w:p w14:paraId="7EEFEEF9" w14:textId="77777777" w:rsidR="00B96BE4" w:rsidRDefault="00B96BE4" w:rsidP="00B96BE4">
      <w:pPr>
        <w:rPr>
          <w:rFonts w:cstheme="minorHAnsi"/>
          <w:b/>
          <w:sz w:val="24"/>
        </w:rPr>
      </w:pPr>
    </w:p>
    <w:p w14:paraId="55AFD5B8" w14:textId="77777777" w:rsidR="00B96BE4" w:rsidRPr="00FD7322" w:rsidRDefault="00B96BE4" w:rsidP="00B96BE4">
      <w:pPr>
        <w:rPr>
          <w:rFonts w:cs="Arial"/>
        </w:rPr>
      </w:pPr>
      <w:r w:rsidRPr="00B96BE4">
        <w:rPr>
          <w:rFonts w:cstheme="minorHAnsi"/>
          <w:b/>
          <w:sz w:val="24"/>
        </w:rPr>
        <w:t>Service Credit Matrix</w:t>
      </w:r>
    </w:p>
    <w:tbl>
      <w:tblPr>
        <w:tblpPr w:leftFromText="180" w:rightFromText="180" w:vertAnchor="text" w:horzAnchor="page" w:tblpX="941" w:tblpY="184"/>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gridCol w:w="3969"/>
      </w:tblGrid>
      <w:tr w:rsidR="00B96BE4" w:rsidRPr="00FD7322" w14:paraId="03AC96EB" w14:textId="77777777" w:rsidTr="00B96BE4">
        <w:trPr>
          <w:tblHeader/>
        </w:trPr>
        <w:tc>
          <w:tcPr>
            <w:tcW w:w="3823" w:type="dxa"/>
            <w:shd w:val="clear" w:color="auto" w:fill="F2F2F2"/>
          </w:tcPr>
          <w:p w14:paraId="55A6D912" w14:textId="77777777" w:rsidR="00B96BE4" w:rsidRPr="00FD7322" w:rsidRDefault="00B96BE4" w:rsidP="00B96BE4">
            <w:pPr>
              <w:rPr>
                <w:rFonts w:cstheme="minorHAnsi"/>
              </w:rPr>
            </w:pPr>
            <w:r w:rsidRPr="00FD7322">
              <w:rPr>
                <w:rFonts w:cstheme="minorHAnsi"/>
              </w:rPr>
              <w:t>SLA/KPI</w:t>
            </w:r>
          </w:p>
        </w:tc>
        <w:tc>
          <w:tcPr>
            <w:tcW w:w="5811" w:type="dxa"/>
            <w:shd w:val="clear" w:color="auto" w:fill="F2F2F2"/>
          </w:tcPr>
          <w:p w14:paraId="7CE27096" w14:textId="77777777" w:rsidR="00B96BE4" w:rsidRPr="00FD7322" w:rsidRDefault="00B96BE4" w:rsidP="00B96BE4">
            <w:pPr>
              <w:rPr>
                <w:rFonts w:cstheme="minorHAnsi"/>
              </w:rPr>
            </w:pPr>
            <w:r w:rsidRPr="00FD7322">
              <w:rPr>
                <w:rFonts w:cstheme="minorHAnsi"/>
              </w:rPr>
              <w:t>Calculation Method.</w:t>
            </w:r>
          </w:p>
        </w:tc>
        <w:tc>
          <w:tcPr>
            <w:tcW w:w="3969" w:type="dxa"/>
            <w:shd w:val="clear" w:color="auto" w:fill="F2F2F2"/>
          </w:tcPr>
          <w:p w14:paraId="16061DA9" w14:textId="77777777" w:rsidR="00B96BE4" w:rsidRPr="00FD7322" w:rsidRDefault="00B96BE4" w:rsidP="00B96BE4">
            <w:pPr>
              <w:rPr>
                <w:rFonts w:cstheme="minorHAnsi"/>
              </w:rPr>
            </w:pPr>
            <w:r w:rsidRPr="00FD7322">
              <w:rPr>
                <w:rFonts w:cstheme="minorHAnsi"/>
              </w:rPr>
              <w:t>Target</w:t>
            </w:r>
          </w:p>
        </w:tc>
      </w:tr>
      <w:tr w:rsidR="00B96BE4" w:rsidRPr="00FD7322" w14:paraId="02DB2FD6" w14:textId="77777777" w:rsidTr="00B96BE4">
        <w:trPr>
          <w:trHeight w:val="3046"/>
        </w:trPr>
        <w:tc>
          <w:tcPr>
            <w:tcW w:w="3823" w:type="dxa"/>
          </w:tcPr>
          <w:p w14:paraId="0F266388" w14:textId="77777777" w:rsidR="00B96BE4" w:rsidRPr="00FD7322" w:rsidRDefault="00B96BE4" w:rsidP="00B96BE4">
            <w:pPr>
              <w:jc w:val="center"/>
              <w:rPr>
                <w:rFonts w:cstheme="minorHAnsi"/>
              </w:rPr>
            </w:pPr>
            <w:r w:rsidRPr="00FD7322">
              <w:rPr>
                <w:rFonts w:cstheme="minorHAnsi"/>
              </w:rPr>
              <w:t xml:space="preserve">The overall availability for all the solution shall not fall below 98% in any rolling </w:t>
            </w:r>
            <w:proofErr w:type="gramStart"/>
            <w:r w:rsidRPr="00FD7322">
              <w:rPr>
                <w:rFonts w:cstheme="minorHAnsi"/>
              </w:rPr>
              <w:t>8 week</w:t>
            </w:r>
            <w:proofErr w:type="gramEnd"/>
            <w:r w:rsidRPr="00FD7322">
              <w:rPr>
                <w:rFonts w:cstheme="minorHAnsi"/>
              </w:rPr>
              <w:t xml:space="preserve"> period, Monday to Friday (excluding public and Bank Holidays). For every % the serviceability drops below the SLA target a charge of the standard engineer hourly rate will apply. If, when calculated the result is a part % point e.g. 93.4% then that figure will be rounded down to the nearest whole % e.g. 93%.  </w:t>
            </w:r>
          </w:p>
        </w:tc>
        <w:tc>
          <w:tcPr>
            <w:tcW w:w="5811" w:type="dxa"/>
          </w:tcPr>
          <w:p w14:paraId="4EC507AF" w14:textId="77777777" w:rsidR="00B96BE4" w:rsidRPr="00FD7322" w:rsidRDefault="00B96BE4" w:rsidP="00B96BE4">
            <w:pPr>
              <w:jc w:val="center"/>
              <w:rPr>
                <w:rFonts w:cstheme="minorHAnsi"/>
              </w:rPr>
            </w:pPr>
            <w:r w:rsidRPr="00FD7322">
              <w:rPr>
                <w:rFonts w:cstheme="minorHAnsi"/>
              </w:rPr>
              <w:t>SERVICE/MAINTENANCE COVER in minutes – VEHICLE DOWNTIME in minutes</w:t>
            </w:r>
          </w:p>
          <w:p w14:paraId="77C4B603" w14:textId="77777777" w:rsidR="00B96BE4" w:rsidRPr="00FD7322" w:rsidRDefault="00B96BE4" w:rsidP="00B96BE4">
            <w:pPr>
              <w:jc w:val="center"/>
              <w:rPr>
                <w:rFonts w:cstheme="minorHAnsi"/>
              </w:rPr>
            </w:pPr>
            <w:r w:rsidRPr="00FD7322">
              <w:rPr>
                <w:rFonts w:cstheme="minorHAnsi"/>
              </w:rPr>
              <w:t>---------------------------------------------------------------------------------------      X 100</w:t>
            </w:r>
          </w:p>
          <w:p w14:paraId="50879171" w14:textId="77777777" w:rsidR="00B96BE4" w:rsidRPr="00FD7322" w:rsidRDefault="00B96BE4" w:rsidP="00B96BE4">
            <w:pPr>
              <w:jc w:val="center"/>
              <w:rPr>
                <w:rFonts w:cstheme="minorHAnsi"/>
              </w:rPr>
            </w:pPr>
            <w:r w:rsidRPr="00FD7322">
              <w:rPr>
                <w:rFonts w:cstheme="minorHAnsi"/>
              </w:rPr>
              <w:t>SERVICE/MAINTENANCE COVER in minutes</w:t>
            </w:r>
          </w:p>
          <w:p w14:paraId="7BE37BBB" w14:textId="77777777" w:rsidR="00B96BE4" w:rsidRPr="00FD7322" w:rsidRDefault="00B96BE4" w:rsidP="00B96BE4">
            <w:pPr>
              <w:jc w:val="center"/>
              <w:rPr>
                <w:rFonts w:cstheme="minorHAnsi"/>
              </w:rPr>
            </w:pPr>
          </w:p>
          <w:p w14:paraId="610EB369" w14:textId="77777777" w:rsidR="00B96BE4" w:rsidRPr="00FD7322" w:rsidRDefault="00B96BE4" w:rsidP="00B96BE4">
            <w:pPr>
              <w:jc w:val="center"/>
              <w:rPr>
                <w:rFonts w:cstheme="minorHAnsi"/>
              </w:rPr>
            </w:pPr>
            <w:r w:rsidRPr="00FD7322">
              <w:rPr>
                <w:rFonts w:cstheme="minorHAnsi"/>
              </w:rPr>
              <w:t xml:space="preserve">If the target is </w:t>
            </w:r>
            <w:proofErr w:type="gramStart"/>
            <w:r w:rsidRPr="00FD7322">
              <w:rPr>
                <w:rFonts w:cstheme="minorHAnsi"/>
              </w:rPr>
              <w:t>missed</w:t>
            </w:r>
            <w:proofErr w:type="gramEnd"/>
            <w:r w:rsidRPr="00FD7322">
              <w:rPr>
                <w:rFonts w:cstheme="minorHAnsi"/>
              </w:rPr>
              <w:t xml:space="preserve"> then the service credit is calculated by multiplying the MECHANIC cost identified </w:t>
            </w:r>
            <w:r w:rsidR="00FD197D">
              <w:rPr>
                <w:rFonts w:cstheme="minorHAnsi"/>
              </w:rPr>
              <w:t xml:space="preserve">by </w:t>
            </w:r>
            <w:r w:rsidRPr="00FD7322">
              <w:rPr>
                <w:rFonts w:cstheme="minorHAnsi"/>
              </w:rPr>
              <w:t>the % below target. In the example provided this would be:</w:t>
            </w:r>
          </w:p>
          <w:p w14:paraId="0C05B45D" w14:textId="77777777" w:rsidR="00B96BE4" w:rsidRPr="00FD7322" w:rsidRDefault="00B96BE4" w:rsidP="00B96BE4">
            <w:pPr>
              <w:jc w:val="center"/>
              <w:rPr>
                <w:rFonts w:cstheme="minorHAnsi"/>
              </w:rPr>
            </w:pPr>
          </w:p>
          <w:p w14:paraId="51E518DE" w14:textId="77777777" w:rsidR="00B96BE4" w:rsidRPr="00FD7322" w:rsidRDefault="00B96BE4" w:rsidP="00B96BE4">
            <w:pPr>
              <w:jc w:val="center"/>
              <w:rPr>
                <w:rFonts w:cstheme="minorHAnsi"/>
              </w:rPr>
            </w:pPr>
            <w:r w:rsidRPr="00FD7322">
              <w:rPr>
                <w:rFonts w:cstheme="minorHAnsi"/>
              </w:rPr>
              <w:t>Hourly MECHANIC cost x (98-93%) 2</w:t>
            </w:r>
          </w:p>
        </w:tc>
        <w:tc>
          <w:tcPr>
            <w:tcW w:w="3969" w:type="dxa"/>
          </w:tcPr>
          <w:p w14:paraId="5CF7E89E" w14:textId="77777777" w:rsidR="00B96BE4" w:rsidRPr="00FD7322" w:rsidRDefault="00B96BE4" w:rsidP="00B96BE4">
            <w:pPr>
              <w:jc w:val="center"/>
              <w:rPr>
                <w:rFonts w:cstheme="minorHAnsi"/>
              </w:rPr>
            </w:pPr>
          </w:p>
          <w:p w14:paraId="2DA3EBC9" w14:textId="77777777" w:rsidR="00B96BE4" w:rsidRPr="00FD7322" w:rsidRDefault="00B96BE4" w:rsidP="00B96BE4">
            <w:pPr>
              <w:jc w:val="center"/>
              <w:rPr>
                <w:rFonts w:cstheme="minorHAnsi"/>
              </w:rPr>
            </w:pPr>
          </w:p>
          <w:p w14:paraId="04995790" w14:textId="77777777" w:rsidR="00B96BE4" w:rsidRPr="00FD7322" w:rsidRDefault="00B96BE4" w:rsidP="00B96BE4">
            <w:pPr>
              <w:jc w:val="center"/>
              <w:rPr>
                <w:rFonts w:cstheme="minorHAnsi"/>
              </w:rPr>
            </w:pPr>
          </w:p>
          <w:p w14:paraId="09C0E51D" w14:textId="77777777" w:rsidR="00B96BE4" w:rsidRPr="00FD7322" w:rsidRDefault="00B96BE4" w:rsidP="00B96BE4">
            <w:pPr>
              <w:jc w:val="center"/>
              <w:rPr>
                <w:rFonts w:cstheme="minorHAnsi"/>
              </w:rPr>
            </w:pPr>
          </w:p>
          <w:p w14:paraId="48224D0C" w14:textId="77777777" w:rsidR="00B96BE4" w:rsidRPr="00FD7322" w:rsidRDefault="00B96BE4" w:rsidP="00B96BE4">
            <w:pPr>
              <w:jc w:val="center"/>
              <w:rPr>
                <w:rFonts w:cstheme="minorHAnsi"/>
              </w:rPr>
            </w:pPr>
          </w:p>
          <w:p w14:paraId="66F29215" w14:textId="77777777" w:rsidR="00B96BE4" w:rsidRPr="00FD7322" w:rsidRDefault="00B96BE4" w:rsidP="00B96BE4">
            <w:pPr>
              <w:jc w:val="center"/>
              <w:rPr>
                <w:rFonts w:cstheme="minorHAnsi"/>
              </w:rPr>
            </w:pPr>
            <w:r w:rsidRPr="00FD7322">
              <w:rPr>
                <w:rFonts w:cstheme="minorHAnsi"/>
              </w:rPr>
              <w:t>98%</w:t>
            </w:r>
          </w:p>
        </w:tc>
      </w:tr>
    </w:tbl>
    <w:p w14:paraId="2DC6D00D" w14:textId="77777777" w:rsidR="00B96BE4" w:rsidRPr="00FD7322" w:rsidRDefault="00B96BE4" w:rsidP="00B96BE4">
      <w:pPr>
        <w:tabs>
          <w:tab w:val="left" w:pos="-180"/>
        </w:tabs>
        <w:ind w:hanging="180"/>
        <w:rPr>
          <w:rFonts w:cs="Arial"/>
        </w:rPr>
      </w:pPr>
    </w:p>
    <w:p w14:paraId="3F285C1D" w14:textId="77777777" w:rsidR="00B96BE4" w:rsidRPr="00FD7322" w:rsidRDefault="00B96BE4" w:rsidP="00B96BE4">
      <w:pPr>
        <w:tabs>
          <w:tab w:val="left" w:pos="-180"/>
        </w:tabs>
        <w:ind w:hanging="180"/>
        <w:rPr>
          <w:rFonts w:cs="Arial"/>
        </w:rPr>
      </w:pPr>
    </w:p>
    <w:p w14:paraId="0A62A9C4" w14:textId="77777777" w:rsidR="00B96BE4" w:rsidRDefault="00B96BE4" w:rsidP="00B96BE4">
      <w:pPr>
        <w:tabs>
          <w:tab w:val="left" w:pos="-180"/>
        </w:tabs>
        <w:ind w:hanging="180"/>
        <w:rPr>
          <w:rFonts w:cs="Arial"/>
        </w:rPr>
      </w:pPr>
    </w:p>
    <w:p w14:paraId="061786E5" w14:textId="77777777" w:rsidR="00B96BE4" w:rsidRDefault="00B96BE4" w:rsidP="00B96BE4">
      <w:pPr>
        <w:tabs>
          <w:tab w:val="left" w:pos="-180"/>
        </w:tabs>
        <w:ind w:hanging="180"/>
        <w:rPr>
          <w:rFonts w:cs="Arial"/>
        </w:rPr>
      </w:pPr>
    </w:p>
    <w:p w14:paraId="4F9EA5A1" w14:textId="77777777" w:rsidR="00B96BE4" w:rsidRDefault="00B96BE4" w:rsidP="00B96BE4">
      <w:pPr>
        <w:tabs>
          <w:tab w:val="left" w:pos="-180"/>
        </w:tabs>
        <w:ind w:hanging="180"/>
        <w:rPr>
          <w:rFonts w:cs="Arial"/>
        </w:rPr>
      </w:pPr>
    </w:p>
    <w:p w14:paraId="1444F24C" w14:textId="77777777" w:rsidR="00B96BE4" w:rsidRDefault="00B96BE4" w:rsidP="00B96BE4">
      <w:pPr>
        <w:tabs>
          <w:tab w:val="left" w:pos="-180"/>
        </w:tabs>
        <w:ind w:hanging="180"/>
        <w:rPr>
          <w:rFonts w:cs="Arial"/>
        </w:rPr>
      </w:pPr>
    </w:p>
    <w:p w14:paraId="34101B29" w14:textId="77777777" w:rsidR="00B96BE4" w:rsidRDefault="00B96BE4" w:rsidP="00B96BE4">
      <w:pPr>
        <w:tabs>
          <w:tab w:val="left" w:pos="-180"/>
        </w:tabs>
        <w:ind w:hanging="180"/>
        <w:rPr>
          <w:rFonts w:cs="Arial"/>
        </w:rPr>
      </w:pPr>
    </w:p>
    <w:p w14:paraId="68EECDA8" w14:textId="77777777" w:rsidR="00B96BE4" w:rsidRDefault="00B96BE4" w:rsidP="00B96BE4">
      <w:pPr>
        <w:tabs>
          <w:tab w:val="left" w:pos="-180"/>
        </w:tabs>
        <w:ind w:hanging="180"/>
        <w:rPr>
          <w:rFonts w:cs="Arial"/>
        </w:rPr>
      </w:pPr>
    </w:p>
    <w:p w14:paraId="2C549719" w14:textId="77777777" w:rsidR="00B96BE4" w:rsidRDefault="00B96BE4" w:rsidP="00B96BE4">
      <w:pPr>
        <w:tabs>
          <w:tab w:val="left" w:pos="-180"/>
        </w:tabs>
        <w:ind w:hanging="180"/>
        <w:rPr>
          <w:rFonts w:cs="Arial"/>
        </w:rPr>
      </w:pPr>
    </w:p>
    <w:p w14:paraId="44357798" w14:textId="77777777" w:rsidR="00B96BE4" w:rsidRDefault="00B96BE4" w:rsidP="00B96BE4">
      <w:pPr>
        <w:tabs>
          <w:tab w:val="left" w:pos="-180"/>
        </w:tabs>
        <w:ind w:hanging="180"/>
        <w:rPr>
          <w:rFonts w:cs="Arial"/>
        </w:rPr>
      </w:pPr>
    </w:p>
    <w:p w14:paraId="5239D012" w14:textId="77777777" w:rsidR="00B96BE4" w:rsidRDefault="00B96BE4" w:rsidP="00B96BE4">
      <w:pPr>
        <w:tabs>
          <w:tab w:val="left" w:pos="-180"/>
        </w:tabs>
        <w:ind w:hanging="180"/>
        <w:rPr>
          <w:rFonts w:cs="Arial"/>
        </w:rPr>
      </w:pPr>
    </w:p>
    <w:p w14:paraId="0EF011D1" w14:textId="77777777" w:rsidR="00B96BE4" w:rsidRDefault="00B96BE4" w:rsidP="00B96BE4">
      <w:pPr>
        <w:tabs>
          <w:tab w:val="left" w:pos="-180"/>
        </w:tabs>
        <w:ind w:hanging="180"/>
        <w:rPr>
          <w:rFonts w:cs="Arial"/>
        </w:rPr>
      </w:pPr>
    </w:p>
    <w:p w14:paraId="2AE83926" w14:textId="77777777" w:rsidR="00B96BE4" w:rsidRDefault="00B96BE4" w:rsidP="00B96BE4">
      <w:pPr>
        <w:tabs>
          <w:tab w:val="left" w:pos="-180"/>
        </w:tabs>
        <w:ind w:hanging="180"/>
        <w:rPr>
          <w:rFonts w:cs="Arial"/>
        </w:rPr>
      </w:pPr>
    </w:p>
    <w:p w14:paraId="29E51F74" w14:textId="77777777" w:rsidR="00B96BE4" w:rsidRDefault="00B96BE4" w:rsidP="00B96BE4">
      <w:pPr>
        <w:tabs>
          <w:tab w:val="left" w:pos="-180"/>
        </w:tabs>
        <w:ind w:hanging="180"/>
        <w:rPr>
          <w:rFonts w:cs="Arial"/>
        </w:rPr>
      </w:pPr>
    </w:p>
    <w:p w14:paraId="55F464E7" w14:textId="77777777" w:rsidR="00B96BE4" w:rsidRDefault="00B96BE4" w:rsidP="00B96BE4">
      <w:pPr>
        <w:tabs>
          <w:tab w:val="left" w:pos="-180"/>
        </w:tabs>
        <w:ind w:hanging="180"/>
        <w:rPr>
          <w:rFonts w:cs="Arial"/>
        </w:rPr>
      </w:pPr>
    </w:p>
    <w:p w14:paraId="1BCFE1DD" w14:textId="77777777" w:rsidR="00B96BE4" w:rsidRDefault="00FC1D6F" w:rsidP="00B96BE4">
      <w:pPr>
        <w:tabs>
          <w:tab w:val="left" w:pos="-180"/>
        </w:tabs>
        <w:ind w:hanging="180"/>
        <w:rPr>
          <w:rFonts w:cs="Arial"/>
        </w:rPr>
      </w:pPr>
      <w:r>
        <w:rPr>
          <w:rFonts w:cs="Arial"/>
        </w:rPr>
        <w:t xml:space="preserve">*Please note, the Customer is willing to discuss the achievability of such KPIs following award, </w:t>
      </w:r>
      <w:proofErr w:type="gramStart"/>
      <w:r>
        <w:rPr>
          <w:rFonts w:cs="Arial"/>
        </w:rPr>
        <w:t>in order to</w:t>
      </w:r>
      <w:proofErr w:type="gramEnd"/>
      <w:r>
        <w:rPr>
          <w:rFonts w:cs="Arial"/>
        </w:rPr>
        <w:t xml:space="preserve"> establish what is reasonable, and at what levels service credits may become appropriate*</w:t>
      </w:r>
    </w:p>
    <w:p w14:paraId="11189D00" w14:textId="77777777" w:rsidR="00FC1D6F" w:rsidRDefault="00FC1D6F" w:rsidP="00B96BE4">
      <w:pPr>
        <w:tabs>
          <w:tab w:val="left" w:pos="-180"/>
        </w:tabs>
        <w:ind w:hanging="180"/>
        <w:rPr>
          <w:rFonts w:cs="Arial"/>
          <w:b/>
        </w:rPr>
      </w:pPr>
    </w:p>
    <w:p w14:paraId="784BC7F0" w14:textId="77777777" w:rsidR="00B96BE4" w:rsidRPr="00B96BE4" w:rsidRDefault="00B96BE4" w:rsidP="00B96BE4">
      <w:pPr>
        <w:tabs>
          <w:tab w:val="left" w:pos="-180"/>
        </w:tabs>
        <w:ind w:hanging="180"/>
        <w:rPr>
          <w:rFonts w:cs="Arial"/>
          <w:b/>
        </w:rPr>
      </w:pPr>
      <w:r w:rsidRPr="00B96BE4">
        <w:rPr>
          <w:rFonts w:cs="Arial"/>
          <w:b/>
        </w:rPr>
        <w:t>Management Information</w:t>
      </w:r>
    </w:p>
    <w:p w14:paraId="0E423235" w14:textId="77777777" w:rsidR="00B96BE4" w:rsidRPr="00FD7322" w:rsidRDefault="00B96BE4" w:rsidP="00B96BE4">
      <w:pPr>
        <w:tabs>
          <w:tab w:val="left" w:pos="-180"/>
        </w:tabs>
        <w:ind w:hanging="180"/>
        <w:rPr>
          <w:rFonts w:cs="Arial"/>
        </w:rPr>
      </w:pPr>
    </w:p>
    <w:p w14:paraId="1C8CE403" w14:textId="77777777" w:rsidR="00B96BE4" w:rsidRPr="00FD7322" w:rsidRDefault="00B96BE4" w:rsidP="00B96BE4">
      <w:pPr>
        <w:spacing w:after="160" w:line="259" w:lineRule="auto"/>
        <w:contextualSpacing/>
        <w:rPr>
          <w:rFonts w:cstheme="minorHAnsi"/>
          <w:b/>
          <w:sz w:val="24"/>
          <w:szCs w:val="24"/>
          <w:lang w:eastAsia="en-GB"/>
        </w:rPr>
      </w:pPr>
      <w:r w:rsidRPr="00FD7322">
        <w:rPr>
          <w:rFonts w:eastAsia="Calibri" w:cstheme="minorHAnsi"/>
          <w:lang w:eastAsia="en-GB"/>
        </w:rPr>
        <w:t xml:space="preserve">The supplier shall provide access to an online system enabling THE AUTHORITY to monitor, report and measure performance data for individual fleet vehicles or collectively across the fleet being proposed as part of the solution.  THE AUTHORITY preference would be for the data to be presented in a </w:t>
      </w:r>
      <w:proofErr w:type="gramStart"/>
      <w:r w:rsidRPr="00FD7322">
        <w:rPr>
          <w:rFonts w:eastAsia="Calibri" w:cstheme="minorHAnsi"/>
          <w:lang w:eastAsia="en-GB"/>
        </w:rPr>
        <w:t>user friendly</w:t>
      </w:r>
      <w:proofErr w:type="gramEnd"/>
      <w:r w:rsidRPr="00FD7322">
        <w:rPr>
          <w:rFonts w:eastAsia="Calibri" w:cstheme="minorHAnsi"/>
          <w:lang w:eastAsia="en-GB"/>
        </w:rPr>
        <w:t xml:space="preserve"> format and if required have the ability to be exported.  The MI will include but is not limited to the following:</w:t>
      </w:r>
    </w:p>
    <w:p w14:paraId="641408E0" w14:textId="77777777" w:rsidR="00B96BE4" w:rsidRPr="00FD7322" w:rsidRDefault="00B96BE4" w:rsidP="00B96BE4">
      <w:pPr>
        <w:numPr>
          <w:ilvl w:val="0"/>
          <w:numId w:val="27"/>
        </w:numPr>
        <w:spacing w:after="160" w:line="259" w:lineRule="auto"/>
        <w:ind w:left="993"/>
        <w:contextualSpacing/>
        <w:rPr>
          <w:rFonts w:eastAsia="Calibri" w:cstheme="minorHAnsi"/>
          <w:lang w:eastAsia="en-GB"/>
        </w:rPr>
      </w:pPr>
      <w:r w:rsidRPr="00FD7322">
        <w:rPr>
          <w:rFonts w:eastAsia="Calibri" w:cstheme="minorHAnsi"/>
          <w:lang w:eastAsia="en-GB"/>
        </w:rPr>
        <w:t>Error reporting and downtime including periods of scheduled service/maintenance.</w:t>
      </w:r>
    </w:p>
    <w:p w14:paraId="6FA565A5" w14:textId="77777777" w:rsidR="00B96BE4" w:rsidRPr="00FD7322" w:rsidRDefault="00B96BE4" w:rsidP="00B96BE4">
      <w:pPr>
        <w:numPr>
          <w:ilvl w:val="0"/>
          <w:numId w:val="27"/>
        </w:numPr>
        <w:spacing w:after="160" w:line="259" w:lineRule="auto"/>
        <w:ind w:left="993"/>
        <w:contextualSpacing/>
        <w:rPr>
          <w:rFonts w:eastAsia="Calibri" w:cstheme="minorHAnsi"/>
          <w:lang w:eastAsia="en-GB"/>
        </w:rPr>
      </w:pPr>
      <w:r w:rsidRPr="00FD7322">
        <w:rPr>
          <w:rFonts w:eastAsia="Calibri" w:cstheme="minorHAnsi"/>
          <w:lang w:eastAsia="en-GB"/>
        </w:rPr>
        <w:t xml:space="preserve">Any black box speed, </w:t>
      </w:r>
      <w:proofErr w:type="gramStart"/>
      <w:r w:rsidRPr="00FD7322">
        <w:rPr>
          <w:rFonts w:eastAsia="Calibri" w:cstheme="minorHAnsi"/>
          <w:lang w:eastAsia="en-GB"/>
        </w:rPr>
        <w:t>performance</w:t>
      </w:r>
      <w:proofErr w:type="gramEnd"/>
      <w:r w:rsidRPr="00FD7322">
        <w:rPr>
          <w:rFonts w:eastAsia="Calibri" w:cstheme="minorHAnsi"/>
          <w:lang w:eastAsia="en-GB"/>
        </w:rPr>
        <w:t xml:space="preserve"> or operational data.</w:t>
      </w:r>
    </w:p>
    <w:p w14:paraId="373956D7" w14:textId="77777777" w:rsidR="00B96BE4" w:rsidRPr="00FD7322" w:rsidRDefault="00B96BE4" w:rsidP="00B96BE4">
      <w:pPr>
        <w:numPr>
          <w:ilvl w:val="0"/>
          <w:numId w:val="27"/>
        </w:numPr>
        <w:spacing w:after="160" w:line="259" w:lineRule="auto"/>
        <w:ind w:left="993"/>
        <w:contextualSpacing/>
        <w:rPr>
          <w:rFonts w:eastAsia="Calibri" w:cstheme="minorHAnsi"/>
          <w:lang w:eastAsia="en-GB"/>
        </w:rPr>
      </w:pPr>
      <w:r w:rsidRPr="00FD7322">
        <w:rPr>
          <w:rFonts w:eastAsia="Calibri" w:cstheme="minorHAnsi"/>
          <w:lang w:eastAsia="en-GB"/>
        </w:rPr>
        <w:t>Comparable data to assess individual vehicles performance or fleet performance</w:t>
      </w:r>
    </w:p>
    <w:p w14:paraId="2DC53F29" w14:textId="77777777" w:rsidR="002B38D6" w:rsidRDefault="002B38D6" w:rsidP="00EF2FFA">
      <w:pPr>
        <w:pStyle w:val="Heading3"/>
        <w:sectPr w:rsidR="002B38D6" w:rsidSect="002B38D6">
          <w:pgSz w:w="16838" w:h="11906" w:orient="landscape"/>
          <w:pgMar w:top="1259" w:right="1440" w:bottom="1287" w:left="1440" w:header="709" w:footer="709" w:gutter="0"/>
          <w:cols w:space="708"/>
          <w:titlePg/>
          <w:docGrid w:linePitch="360"/>
        </w:sectPr>
      </w:pPr>
    </w:p>
    <w:p w14:paraId="0314E58F" w14:textId="77777777" w:rsidR="00171330" w:rsidRDefault="002B38D6" w:rsidP="00EF2FFA">
      <w:pPr>
        <w:pStyle w:val="Heading3"/>
      </w:pPr>
      <w:bookmarkStart w:id="18" w:name="_Toc71532042"/>
      <w:r>
        <w:lastRenderedPageBreak/>
        <w:t>S</w:t>
      </w:r>
      <w:r w:rsidR="0070600A" w:rsidRPr="00C03742">
        <w:t>ocial Value Considerations</w:t>
      </w:r>
      <w:bookmarkEnd w:id="18"/>
    </w:p>
    <w:p w14:paraId="53B7545F" w14:textId="77777777" w:rsidR="00F241F7" w:rsidRPr="00F241F7" w:rsidRDefault="00F241F7" w:rsidP="003F7E1C">
      <w:pPr>
        <w:tabs>
          <w:tab w:val="left" w:pos="-180"/>
        </w:tabs>
        <w:spacing w:after="120"/>
        <w:ind w:left="-181"/>
        <w:rPr>
          <w:rFonts w:cs="Arial"/>
        </w:rPr>
      </w:pPr>
      <w:r w:rsidRPr="00F241F7">
        <w:rPr>
          <w:rFonts w:cs="Arial"/>
        </w:rPr>
        <w:t xml:space="preserve">As </w:t>
      </w:r>
      <w:r w:rsidR="00BC46B0">
        <w:rPr>
          <w:rFonts w:cs="Arial"/>
        </w:rPr>
        <w:t>included</w:t>
      </w:r>
      <w:r w:rsidRPr="00F241F7">
        <w:rPr>
          <w:rFonts w:cs="Arial"/>
        </w:rPr>
        <w:t xml:space="preserve"> within Annex 1 – Evaluation Criteria, DVLA assigns a 10% Social Value to all new relevant procurements from January 1</w:t>
      </w:r>
      <w:r w:rsidRPr="00F241F7">
        <w:rPr>
          <w:rFonts w:cs="Arial"/>
          <w:vertAlign w:val="superscript"/>
        </w:rPr>
        <w:t>st</w:t>
      </w:r>
      <w:proofErr w:type="gramStart"/>
      <w:r w:rsidRPr="00F241F7">
        <w:rPr>
          <w:rFonts w:cs="Arial"/>
        </w:rPr>
        <w:t xml:space="preserve"> 2021</w:t>
      </w:r>
      <w:proofErr w:type="gramEnd"/>
      <w:r w:rsidRPr="00F241F7">
        <w:rPr>
          <w:rFonts w:cs="Arial"/>
        </w:rPr>
        <w:t>.</w:t>
      </w:r>
    </w:p>
    <w:p w14:paraId="3B2CADE9" w14:textId="77777777" w:rsidR="00EF2FFA" w:rsidRDefault="00F241F7" w:rsidP="00EF2FFA">
      <w:pPr>
        <w:tabs>
          <w:tab w:val="left" w:pos="-180"/>
        </w:tabs>
        <w:spacing w:after="120"/>
        <w:ind w:left="-181"/>
        <w:rPr>
          <w:rFonts w:cs="Arial"/>
        </w:rPr>
      </w:pPr>
      <w:r w:rsidRPr="00F241F7">
        <w:rPr>
          <w:rFonts w:cs="Arial"/>
        </w:rPr>
        <w:t xml:space="preserve">Guidance in responding to this element of </w:t>
      </w:r>
      <w:r w:rsidRPr="0087333B">
        <w:rPr>
          <w:rFonts w:cs="Arial"/>
        </w:rPr>
        <w:t>the specification, and how this evaluation criteria is broken down, including a link to the Cabinet Office’s Social Value Model can be found in Annex 2 – Social Value Guidance</w:t>
      </w:r>
      <w:r w:rsidR="0087333B" w:rsidRPr="0087333B">
        <w:rPr>
          <w:rFonts w:cs="Arial"/>
        </w:rPr>
        <w:t>.</w:t>
      </w:r>
    </w:p>
    <w:p w14:paraId="3C18959E" w14:textId="77777777" w:rsidR="00EF2FFA" w:rsidRDefault="00EF2FFA" w:rsidP="00EF2FFA">
      <w:pPr>
        <w:tabs>
          <w:tab w:val="left" w:pos="-180"/>
        </w:tabs>
        <w:spacing w:after="120"/>
        <w:ind w:left="-181"/>
        <w:rPr>
          <w:rFonts w:cs="Arial"/>
        </w:rPr>
      </w:pPr>
    </w:p>
    <w:p w14:paraId="16309D4D" w14:textId="77777777" w:rsidR="00171330" w:rsidRPr="00EF2FFA" w:rsidRDefault="0070600A" w:rsidP="00EF2FFA">
      <w:pPr>
        <w:pStyle w:val="Heading3"/>
        <w:rPr>
          <w:rFonts w:cs="Arial"/>
        </w:rPr>
      </w:pPr>
      <w:bookmarkStart w:id="19" w:name="_Toc71532043"/>
      <w:r w:rsidRPr="00C03742">
        <w:t>Modern Slavery Considerations</w:t>
      </w:r>
      <w:bookmarkEnd w:id="19"/>
    </w:p>
    <w:p w14:paraId="620F50B6" w14:textId="77777777" w:rsidR="00136AFE" w:rsidRDefault="00F241F7" w:rsidP="00136AFE">
      <w:pPr>
        <w:tabs>
          <w:tab w:val="left" w:pos="-180"/>
        </w:tabs>
        <w:ind w:left="-180"/>
        <w:rPr>
          <w:rFonts w:cs="Arial"/>
        </w:rPr>
      </w:pPr>
      <w:r>
        <w:rPr>
          <w:rFonts w:cs="Arial"/>
        </w:rPr>
        <w:t>All supplier must adhere to guidelines laid out in the Modern Slavery Act 2015.</w:t>
      </w:r>
    </w:p>
    <w:p w14:paraId="009849BC" w14:textId="77777777" w:rsidR="00B96BE4" w:rsidRDefault="00B96BE4" w:rsidP="00136AFE">
      <w:pPr>
        <w:tabs>
          <w:tab w:val="left" w:pos="-180"/>
        </w:tabs>
        <w:ind w:left="-180"/>
        <w:rPr>
          <w:rFonts w:cs="Arial"/>
          <w:b/>
        </w:rPr>
      </w:pPr>
    </w:p>
    <w:p w14:paraId="6D516F2F" w14:textId="77777777" w:rsidR="00136AFE" w:rsidRDefault="00136AFE" w:rsidP="00136AFE">
      <w:pPr>
        <w:tabs>
          <w:tab w:val="left" w:pos="-180"/>
        </w:tabs>
        <w:ind w:left="-180"/>
        <w:rPr>
          <w:rFonts w:cs="Arial"/>
          <w:b/>
        </w:rPr>
      </w:pPr>
    </w:p>
    <w:p w14:paraId="68235FA0" w14:textId="77777777" w:rsidR="001A236D" w:rsidRDefault="00237E4B" w:rsidP="00850192">
      <w:pPr>
        <w:pStyle w:val="Heading2"/>
        <w:tabs>
          <w:tab w:val="clear" w:pos="0"/>
          <w:tab w:val="left" w:pos="-180"/>
        </w:tabs>
        <w:spacing w:before="0"/>
        <w:ind w:hanging="181"/>
      </w:pPr>
      <w:bookmarkStart w:id="20" w:name="_Toc177969172"/>
      <w:bookmarkStart w:id="21" w:name="_Toc180380671"/>
      <w:bookmarkStart w:id="22" w:name="_Toc71532044"/>
      <w:r>
        <w:t xml:space="preserve">7. </w:t>
      </w:r>
      <w:r w:rsidR="001A236D" w:rsidRPr="000E1435">
        <w:t>Quality Assurance Requirements</w:t>
      </w:r>
      <w:bookmarkEnd w:id="20"/>
      <w:bookmarkEnd w:id="21"/>
      <w:bookmarkEnd w:id="22"/>
      <w:r w:rsidR="001A236D" w:rsidRPr="000E1435">
        <w:tab/>
      </w:r>
    </w:p>
    <w:p w14:paraId="301864C1" w14:textId="77777777" w:rsidR="007F633E" w:rsidRDefault="00592949" w:rsidP="00C2167B">
      <w:pPr>
        <w:ind w:left="-180"/>
      </w:pPr>
      <w:r w:rsidRPr="00592949">
        <w:t>Upon delivery of the vehicles, the business area will assess the vehicles to ensure the specification / tender response solution provided are consistent with product delivered.</w:t>
      </w:r>
    </w:p>
    <w:p w14:paraId="32DDFB9C" w14:textId="77777777" w:rsidR="006D7C93" w:rsidRDefault="006D7C93" w:rsidP="00C2167B">
      <w:pPr>
        <w:ind w:left="-180"/>
      </w:pPr>
    </w:p>
    <w:p w14:paraId="090A4BB1" w14:textId="77777777" w:rsidR="006D7C93" w:rsidRPr="00592949" w:rsidRDefault="006D7C93" w:rsidP="00C2167B">
      <w:pPr>
        <w:ind w:left="-180"/>
      </w:pPr>
      <w:r>
        <w:t>Performance of the vehicles will be monitored via the quarterly supplier review meetings (Section 9)</w:t>
      </w:r>
    </w:p>
    <w:p w14:paraId="6B068BBB" w14:textId="77777777" w:rsidR="00592949" w:rsidRPr="00592949" w:rsidRDefault="00592949" w:rsidP="00C2167B">
      <w:pPr>
        <w:ind w:left="-180"/>
      </w:pPr>
    </w:p>
    <w:p w14:paraId="752B7B3E" w14:textId="77777777" w:rsidR="00592949" w:rsidRPr="00592949" w:rsidRDefault="00592949" w:rsidP="00C2167B">
      <w:pPr>
        <w:ind w:left="-180"/>
        <w:rPr>
          <w:rFonts w:cs="Arial"/>
        </w:rPr>
      </w:pPr>
      <w:r w:rsidRPr="00592949">
        <w:t>All vehicles delivered must be roadworthy and comply with all relevant legislation.</w:t>
      </w:r>
    </w:p>
    <w:p w14:paraId="2023F289" w14:textId="77777777" w:rsidR="001A236D" w:rsidRDefault="001A236D" w:rsidP="00237E4B">
      <w:pPr>
        <w:tabs>
          <w:tab w:val="left" w:pos="-180"/>
        </w:tabs>
        <w:ind w:hanging="180"/>
        <w:jc w:val="both"/>
      </w:pPr>
    </w:p>
    <w:p w14:paraId="1E1C32BC" w14:textId="77777777" w:rsidR="00D45B3A" w:rsidRPr="004C0A95" w:rsidRDefault="00D45B3A" w:rsidP="00E767C6">
      <w:pPr>
        <w:ind w:left="-180"/>
        <w:rPr>
          <w:b/>
        </w:rPr>
      </w:pPr>
      <w:r w:rsidRPr="004C0A95">
        <w:t>All Services supplied shall be fit for purpose and of a quality acceptable to the Authority and the Contracting Authorities. If at any time during the agreement the qualities of supply for any products or services are found not to be to the appropriate standard, the Supplier shall provide a substitute item or service acceptable to the Contracting Authority at no additional cost.</w:t>
      </w:r>
    </w:p>
    <w:p w14:paraId="3AD31C48" w14:textId="77777777" w:rsidR="00D45B3A" w:rsidRDefault="00D45B3A" w:rsidP="00237E4B">
      <w:pPr>
        <w:tabs>
          <w:tab w:val="left" w:pos="-180"/>
        </w:tabs>
        <w:ind w:hanging="180"/>
        <w:jc w:val="both"/>
      </w:pPr>
    </w:p>
    <w:p w14:paraId="4FF0C2A8" w14:textId="77777777" w:rsidR="00021DCA" w:rsidRDefault="000F2E21" w:rsidP="000F2E21">
      <w:pPr>
        <w:pStyle w:val="Heading2"/>
        <w:ind w:left="-180"/>
      </w:pPr>
      <w:bookmarkStart w:id="23" w:name="_Toc71532045"/>
      <w:r>
        <w:t xml:space="preserve">8. </w:t>
      </w:r>
      <w:r w:rsidR="006F21BC">
        <w:t>Other Requirements</w:t>
      </w:r>
      <w:bookmarkEnd w:id="23"/>
    </w:p>
    <w:p w14:paraId="62689254" w14:textId="77777777" w:rsidR="00285DE7" w:rsidRDefault="00285DE7" w:rsidP="00285DE7">
      <w:pPr>
        <w:pStyle w:val="Heading3"/>
        <w:spacing w:before="0" w:line="276" w:lineRule="auto"/>
        <w:rPr>
          <w:rFonts w:asciiTheme="minorHAnsi" w:hAnsiTheme="minorHAnsi" w:cstheme="minorHAnsi"/>
          <w:b w:val="0"/>
          <w:color w:val="000000" w:themeColor="text1"/>
          <w:szCs w:val="22"/>
        </w:rPr>
      </w:pPr>
      <w:bookmarkStart w:id="24" w:name="_Toc71532046"/>
      <w:r w:rsidRPr="004C0A95">
        <w:rPr>
          <w:rFonts w:asciiTheme="minorHAnsi" w:hAnsiTheme="minorHAnsi" w:cstheme="minorHAnsi"/>
          <w:color w:val="000000" w:themeColor="text1"/>
          <w:szCs w:val="22"/>
        </w:rPr>
        <w:t>Sustainability</w:t>
      </w:r>
      <w:bookmarkEnd w:id="24"/>
    </w:p>
    <w:p w14:paraId="60C27E8D" w14:textId="77777777" w:rsidR="00285DE7" w:rsidRPr="00552B96" w:rsidRDefault="00285DE7" w:rsidP="00285DE7">
      <w:pPr>
        <w:ind w:left="5"/>
        <w:rPr>
          <w:rFonts w:cstheme="minorHAnsi"/>
          <w:color w:val="000000"/>
        </w:rPr>
      </w:pPr>
      <w:r w:rsidRPr="00552B96">
        <w:rPr>
          <w:rFonts w:cstheme="minorHAnsi"/>
          <w:color w:val="000000"/>
        </w:rPr>
        <w:t>The Authority is committed to sustainability and as such the Bidder should consider this as part of their submission.</w:t>
      </w:r>
    </w:p>
    <w:p w14:paraId="207DBF7E" w14:textId="77777777" w:rsidR="00285DE7" w:rsidRDefault="00285DE7" w:rsidP="00285DE7"/>
    <w:p w14:paraId="1327F734" w14:textId="77777777" w:rsidR="00285DE7" w:rsidRPr="00552B96" w:rsidRDefault="00285DE7" w:rsidP="00285DE7">
      <w:pPr>
        <w:rPr>
          <w:rFonts w:cstheme="minorHAnsi"/>
          <w:color w:val="000000"/>
        </w:rPr>
      </w:pPr>
      <w:r w:rsidRPr="00552B96">
        <w:rPr>
          <w:rFonts w:cstheme="minorHAnsi"/>
          <w:color w:val="000000"/>
        </w:rPr>
        <w:t>The Authority requires the Bidder to confirm their understanding and</w:t>
      </w:r>
      <w:r>
        <w:rPr>
          <w:rFonts w:cstheme="minorHAnsi"/>
          <w:color w:val="000000"/>
        </w:rPr>
        <w:t xml:space="preserve"> ac</w:t>
      </w:r>
      <w:r w:rsidRPr="00552B96">
        <w:rPr>
          <w:rFonts w:cstheme="minorHAnsi"/>
          <w:color w:val="000000"/>
        </w:rPr>
        <w:t>ceptance of each point 8.1</w:t>
      </w:r>
      <w:r>
        <w:rPr>
          <w:rFonts w:cstheme="minorHAnsi"/>
          <w:color w:val="000000"/>
        </w:rPr>
        <w:t>1</w:t>
      </w:r>
      <w:r w:rsidRPr="00552B96">
        <w:rPr>
          <w:rFonts w:cstheme="minorHAnsi"/>
          <w:color w:val="000000"/>
        </w:rPr>
        <w:t xml:space="preserve"> – 8.</w:t>
      </w:r>
      <w:r>
        <w:rPr>
          <w:rFonts w:cstheme="minorHAnsi"/>
          <w:color w:val="000000"/>
        </w:rPr>
        <w:t>21</w:t>
      </w:r>
      <w:r w:rsidRPr="00552B96">
        <w:rPr>
          <w:rFonts w:cstheme="minorHAnsi"/>
          <w:color w:val="000000"/>
        </w:rPr>
        <w:t xml:space="preserve"> and supply information if it has been requested.                                                   </w:t>
      </w:r>
    </w:p>
    <w:p w14:paraId="7F4342BB" w14:textId="77777777" w:rsidR="00285DE7" w:rsidRPr="001B4656" w:rsidRDefault="00285DE7" w:rsidP="00285DE7">
      <w:pPr>
        <w:ind w:left="1440" w:hanging="1435"/>
        <w:rPr>
          <w:rFonts w:cstheme="minorHAnsi"/>
          <w:color w:val="000000"/>
        </w:rPr>
      </w:pPr>
    </w:p>
    <w:p w14:paraId="5263ECA7" w14:textId="77777777" w:rsidR="00285DE7" w:rsidRPr="001B4656" w:rsidRDefault="00285DE7" w:rsidP="00285DE7">
      <w:pPr>
        <w:ind w:left="5"/>
        <w:rPr>
          <w:rFonts w:cstheme="minorHAnsi"/>
          <w:color w:val="000000"/>
        </w:rPr>
      </w:pPr>
      <w:r w:rsidRPr="0044337F">
        <w:rPr>
          <w:rFonts w:cstheme="minorHAnsi"/>
          <w:color w:val="000000"/>
        </w:rPr>
        <w:t>8.12</w:t>
      </w:r>
      <w:r w:rsidRPr="001B4656">
        <w:rPr>
          <w:rFonts w:cstheme="minorHAnsi"/>
          <w:color w:val="000000"/>
        </w:rPr>
        <w:tab/>
        <w:t xml:space="preserve">The Authority requires the Supplier to comply with the Authority’s Environmental Policy </w:t>
      </w:r>
      <w:r w:rsidRPr="00087A67">
        <w:rPr>
          <w:rFonts w:cstheme="minorHAnsi"/>
          <w:color w:val="000000"/>
        </w:rPr>
        <w:t>(see A</w:t>
      </w:r>
      <w:r w:rsidR="00E767C6" w:rsidRPr="00087A67">
        <w:rPr>
          <w:rFonts w:cstheme="minorHAnsi"/>
          <w:color w:val="000000"/>
        </w:rPr>
        <w:t xml:space="preserve">nnex </w:t>
      </w:r>
      <w:r w:rsidR="00087A67">
        <w:rPr>
          <w:rFonts w:cstheme="minorHAnsi"/>
          <w:color w:val="000000"/>
        </w:rPr>
        <w:t>9</w:t>
      </w:r>
      <w:proofErr w:type="gramStart"/>
      <w:r w:rsidRPr="00087A67">
        <w:rPr>
          <w:rFonts w:cstheme="minorHAnsi"/>
          <w:color w:val="000000"/>
        </w:rPr>
        <w:t>);</w:t>
      </w:r>
      <w:proofErr w:type="gramEnd"/>
    </w:p>
    <w:p w14:paraId="5E7AB216" w14:textId="77777777" w:rsidR="00285DE7" w:rsidRPr="001B4656" w:rsidRDefault="00285DE7" w:rsidP="00285DE7">
      <w:pPr>
        <w:ind w:left="5"/>
        <w:rPr>
          <w:rFonts w:cstheme="minorHAnsi"/>
          <w:color w:val="000000"/>
        </w:rPr>
      </w:pPr>
    </w:p>
    <w:p w14:paraId="240ED3A8" w14:textId="77777777" w:rsidR="00285DE7" w:rsidRPr="004C0A95" w:rsidRDefault="00285DE7" w:rsidP="00285DE7">
      <w:pPr>
        <w:contextualSpacing/>
        <w:jc w:val="both"/>
        <w:rPr>
          <w:rFonts w:cstheme="minorHAnsi"/>
          <w:color w:val="000000"/>
        </w:rPr>
      </w:pPr>
      <w:r>
        <w:rPr>
          <w:rFonts w:cstheme="minorHAnsi"/>
          <w:color w:val="000000"/>
        </w:rPr>
        <w:t>8.13</w:t>
      </w:r>
      <w:r>
        <w:rPr>
          <w:rFonts w:cstheme="minorHAnsi"/>
          <w:color w:val="000000"/>
        </w:rPr>
        <w:tab/>
      </w:r>
      <w:r w:rsidRPr="004C0A95">
        <w:rPr>
          <w:rFonts w:cstheme="minorHAnsi"/>
          <w:color w:val="000000"/>
        </w:rPr>
        <w:t>The Bidder shall provide their sustainability or environmental policy.</w:t>
      </w:r>
    </w:p>
    <w:p w14:paraId="67DA8974" w14:textId="77777777" w:rsidR="00285DE7" w:rsidRPr="001B4656" w:rsidRDefault="00285DE7" w:rsidP="00285DE7">
      <w:pPr>
        <w:ind w:left="5"/>
        <w:rPr>
          <w:rFonts w:cstheme="minorHAnsi"/>
          <w:color w:val="000000"/>
        </w:rPr>
      </w:pPr>
    </w:p>
    <w:p w14:paraId="45D81489" w14:textId="77777777" w:rsidR="00285DE7" w:rsidRPr="00E767C6" w:rsidRDefault="00285DE7" w:rsidP="00E767C6">
      <w:pPr>
        <w:rPr>
          <w:rFonts w:cs="Arial"/>
        </w:rPr>
      </w:pPr>
      <w:r w:rsidRPr="00E767C6">
        <w:rPr>
          <w:rFonts w:eastAsiaTheme="majorEastAsia" w:cs="Arial"/>
        </w:rPr>
        <w:t>8</w:t>
      </w:r>
      <w:r w:rsidRPr="00E767C6">
        <w:rPr>
          <w:rFonts w:cs="Arial"/>
        </w:rPr>
        <w:t>.14</w:t>
      </w:r>
      <w:r w:rsidRPr="00E767C6">
        <w:rPr>
          <w:rFonts w:eastAsiaTheme="majorEastAsia" w:cs="Arial"/>
        </w:rPr>
        <w:tab/>
      </w:r>
      <w:r w:rsidRPr="00E767C6">
        <w:rPr>
          <w:rFonts w:cs="Arial"/>
        </w:rPr>
        <w:t xml:space="preserve">Where appropriate, assist the Authority in achieving its Greening Government Commitments as detailed on </w:t>
      </w:r>
      <w:hyperlink r:id="rId10" w:history="1">
        <w:r w:rsidRPr="00E767C6">
          <w:rPr>
            <w:rFonts w:cs="Arial"/>
          </w:rPr>
          <w:t>www.gov.uk</w:t>
        </w:r>
      </w:hyperlink>
      <w:r w:rsidRPr="00E767C6">
        <w:rPr>
          <w:rFonts w:cs="Arial"/>
        </w:rPr>
        <w:t xml:space="preserve">  i.e. Reduce CO</w:t>
      </w:r>
      <w:r w:rsidRPr="00E767C6">
        <w:rPr>
          <w:rFonts w:ascii="Cambria Math" w:hAnsi="Cambria Math" w:cs="Cambria Math"/>
        </w:rPr>
        <w:t>₂</w:t>
      </w:r>
      <w:r w:rsidRPr="00E767C6">
        <w:rPr>
          <w:rFonts w:cs="Arial"/>
        </w:rPr>
        <w:t xml:space="preserve"> emissions through energy consumption and travel, reduce water consumption and waste produced; The Supplier shall assist the Authority in achieving these key initiatives throughout the period of the Contract. </w:t>
      </w:r>
    </w:p>
    <w:p w14:paraId="0D98AD1B" w14:textId="77777777" w:rsidR="00285DE7" w:rsidRPr="00E767C6" w:rsidRDefault="00285DE7" w:rsidP="00E767C6">
      <w:pPr>
        <w:rPr>
          <w:rFonts w:eastAsiaTheme="minorHAnsi" w:cs="Arial"/>
          <w:iCs/>
        </w:rPr>
      </w:pPr>
    </w:p>
    <w:p w14:paraId="3535966A" w14:textId="77777777" w:rsidR="00285DE7" w:rsidRPr="00E767C6" w:rsidRDefault="00285DE7" w:rsidP="00E767C6">
      <w:pPr>
        <w:rPr>
          <w:rFonts w:eastAsiaTheme="minorHAnsi" w:cs="Arial"/>
          <w:iCs/>
        </w:rPr>
      </w:pPr>
      <w:r w:rsidRPr="00E767C6">
        <w:rPr>
          <w:rFonts w:eastAsiaTheme="minorHAnsi" w:cs="Arial"/>
        </w:rPr>
        <w:t>8.15</w:t>
      </w:r>
      <w:r w:rsidRPr="00E767C6">
        <w:rPr>
          <w:rFonts w:eastAsiaTheme="minorHAnsi" w:cs="Arial"/>
        </w:rPr>
        <w:tab/>
        <w:t xml:space="preserve">The Supplier must be able to evidence continual environmental improvements in their own organisation (ideally through an accredited EMS, </w:t>
      </w:r>
      <w:proofErr w:type="gramStart"/>
      <w:r w:rsidRPr="00E767C6">
        <w:rPr>
          <w:rFonts w:eastAsiaTheme="minorHAnsi" w:cs="Arial"/>
        </w:rPr>
        <w:t>i.e.</w:t>
      </w:r>
      <w:proofErr w:type="gramEnd"/>
      <w:r w:rsidRPr="00E767C6">
        <w:rPr>
          <w:rFonts w:eastAsiaTheme="minorHAnsi" w:cs="Arial"/>
        </w:rPr>
        <w:t xml:space="preserve"> ISO 14001, Green Dragon etc.);</w:t>
      </w:r>
    </w:p>
    <w:p w14:paraId="63D81D6C" w14:textId="77777777" w:rsidR="00285DE7" w:rsidRPr="00E767C6" w:rsidRDefault="00285DE7" w:rsidP="00E767C6">
      <w:pPr>
        <w:rPr>
          <w:rFonts w:cs="Arial"/>
        </w:rPr>
      </w:pPr>
    </w:p>
    <w:p w14:paraId="74EDABEC" w14:textId="77777777" w:rsidR="00285DE7" w:rsidRPr="001B4656" w:rsidRDefault="00285DE7" w:rsidP="00E767C6">
      <w:r w:rsidRPr="00E767C6">
        <w:rPr>
          <w:rFonts w:cs="Arial"/>
        </w:rPr>
        <w:t>8.16</w:t>
      </w:r>
      <w:r w:rsidRPr="00E767C6">
        <w:tab/>
        <w:t>The Supplier must ensure its own supply chain does not have a negative environmental or social impact by ensuring they have a full understanding on the carbon emissions for the transportation of the consumables / parts / documentation to the Authority’s sites</w:t>
      </w:r>
      <w:r w:rsidRPr="001B4656">
        <w:t xml:space="preserve"> as well as </w:t>
      </w:r>
      <w:r w:rsidRPr="001B4656">
        <w:lastRenderedPageBreak/>
        <w:t>having a full understanding on the country of origin of any equipment / parts / operating consumables used;</w:t>
      </w:r>
    </w:p>
    <w:p w14:paraId="5CE967F5" w14:textId="77777777" w:rsidR="00285DE7" w:rsidRPr="001B4656" w:rsidRDefault="00285DE7" w:rsidP="00285DE7">
      <w:pPr>
        <w:contextualSpacing/>
        <w:jc w:val="both"/>
        <w:rPr>
          <w:rFonts w:cstheme="minorHAnsi"/>
          <w:color w:val="000000"/>
        </w:rPr>
      </w:pPr>
    </w:p>
    <w:p w14:paraId="0145F926" w14:textId="77777777" w:rsidR="00285DE7" w:rsidRPr="001B4656" w:rsidRDefault="00285DE7" w:rsidP="00285DE7">
      <w:pPr>
        <w:rPr>
          <w:rFonts w:cstheme="minorHAnsi"/>
          <w:color w:val="000000"/>
        </w:rPr>
      </w:pPr>
      <w:r w:rsidRPr="0044337F">
        <w:rPr>
          <w:rFonts w:cstheme="minorHAnsi"/>
          <w:color w:val="000000"/>
        </w:rPr>
        <w:t>8.17</w:t>
      </w:r>
      <w:r w:rsidRPr="001B4656">
        <w:rPr>
          <w:rFonts w:cstheme="minorHAnsi"/>
          <w:color w:val="000000"/>
        </w:rPr>
        <w:tab/>
        <w:t>Where required, the supplier must be able to provide data on carbon emissions related to the products / services being supplied</w:t>
      </w:r>
    </w:p>
    <w:p w14:paraId="7473E3CB" w14:textId="77777777" w:rsidR="00285DE7" w:rsidRPr="004C0A95" w:rsidRDefault="00285DE7" w:rsidP="00285DE7">
      <w:pPr>
        <w:contextualSpacing/>
        <w:jc w:val="both"/>
        <w:rPr>
          <w:rFonts w:cstheme="minorHAnsi"/>
          <w:color w:val="000000"/>
        </w:rPr>
      </w:pPr>
    </w:p>
    <w:p w14:paraId="1CF6DD68" w14:textId="77777777" w:rsidR="00285DE7" w:rsidRPr="001B4656" w:rsidRDefault="00285DE7" w:rsidP="00285DE7">
      <w:pPr>
        <w:rPr>
          <w:rFonts w:cstheme="minorHAnsi"/>
          <w:color w:val="000000"/>
        </w:rPr>
      </w:pPr>
      <w:r w:rsidRPr="0044337F">
        <w:rPr>
          <w:rFonts w:cstheme="minorHAnsi"/>
          <w:color w:val="000000"/>
        </w:rPr>
        <w:t>8.</w:t>
      </w:r>
      <w:r w:rsidR="005F6A83">
        <w:rPr>
          <w:rFonts w:cstheme="minorHAnsi"/>
          <w:color w:val="000000"/>
        </w:rPr>
        <w:t>18</w:t>
      </w:r>
      <w:r w:rsidRPr="001B4656">
        <w:rPr>
          <w:rFonts w:cstheme="minorHAnsi"/>
          <w:color w:val="000000"/>
        </w:rPr>
        <w:tab/>
        <w:t xml:space="preserve">Provide the specified goods/services without the use of single use plastic (including in packaging) in line with government commitments. </w:t>
      </w:r>
    </w:p>
    <w:p w14:paraId="4598AB22" w14:textId="77777777" w:rsidR="00285DE7" w:rsidRPr="001B4656" w:rsidRDefault="00285DE7" w:rsidP="00285DE7">
      <w:pPr>
        <w:rPr>
          <w:rFonts w:cstheme="minorHAnsi"/>
          <w:color w:val="000000"/>
        </w:rPr>
      </w:pPr>
    </w:p>
    <w:p w14:paraId="0CEA14B7" w14:textId="77777777" w:rsidR="00285DE7" w:rsidRPr="001B4656" w:rsidRDefault="00285DE7" w:rsidP="00285DE7">
      <w:pPr>
        <w:rPr>
          <w:rFonts w:cstheme="minorHAnsi"/>
          <w:color w:val="000000"/>
        </w:rPr>
      </w:pPr>
      <w:r w:rsidRPr="0044337F">
        <w:rPr>
          <w:rFonts w:cstheme="minorHAnsi"/>
          <w:color w:val="000000"/>
        </w:rPr>
        <w:t>8.</w:t>
      </w:r>
      <w:r w:rsidR="005F6A83">
        <w:rPr>
          <w:rFonts w:cstheme="minorHAnsi"/>
          <w:color w:val="000000"/>
        </w:rPr>
        <w:t>19</w:t>
      </w:r>
      <w:r w:rsidRPr="001B4656">
        <w:rPr>
          <w:rFonts w:cstheme="minorHAnsi"/>
          <w:color w:val="000000"/>
        </w:rPr>
        <w:tab/>
        <w:t xml:space="preserve">The Supplier must ensure that all services </w:t>
      </w:r>
      <w:proofErr w:type="gramStart"/>
      <w:r w:rsidRPr="001B4656">
        <w:rPr>
          <w:rFonts w:cstheme="minorHAnsi"/>
          <w:color w:val="000000"/>
        </w:rPr>
        <w:t>supplied</w:t>
      </w:r>
      <w:proofErr w:type="gramEnd"/>
      <w:r w:rsidRPr="001B4656">
        <w:rPr>
          <w:rFonts w:cstheme="minorHAnsi"/>
          <w:color w:val="000000"/>
        </w:rPr>
        <w:t xml:space="preserve"> and travel undertaken is sustainable and paperless where possible. </w:t>
      </w:r>
    </w:p>
    <w:p w14:paraId="0B297066" w14:textId="77777777" w:rsidR="00285DE7" w:rsidRDefault="00285DE7" w:rsidP="00285DE7">
      <w:pPr>
        <w:rPr>
          <w:rFonts w:cstheme="minorHAnsi"/>
        </w:rPr>
      </w:pPr>
    </w:p>
    <w:p w14:paraId="4FC9AA35" w14:textId="77777777" w:rsidR="00285DE7" w:rsidRPr="004C0A95" w:rsidRDefault="00285DE7" w:rsidP="00285DE7">
      <w:pPr>
        <w:rPr>
          <w:rFonts w:cstheme="minorHAnsi"/>
        </w:rPr>
      </w:pPr>
    </w:p>
    <w:p w14:paraId="06939317" w14:textId="77777777" w:rsidR="00285DE7" w:rsidRPr="00FC1D6F" w:rsidRDefault="00285DE7" w:rsidP="00285DE7">
      <w:pPr>
        <w:rPr>
          <w:rFonts w:cstheme="minorHAnsi"/>
        </w:rPr>
      </w:pPr>
      <w:r w:rsidRPr="004C0A95">
        <w:rPr>
          <w:rFonts w:cstheme="minorHAnsi"/>
          <w:b/>
          <w:sz w:val="24"/>
          <w:szCs w:val="24"/>
        </w:rPr>
        <w:t xml:space="preserve">Security Clearance </w:t>
      </w:r>
    </w:p>
    <w:p w14:paraId="667E990B" w14:textId="77777777" w:rsidR="00285DE7" w:rsidRPr="004C0A95" w:rsidRDefault="00285DE7" w:rsidP="00285DE7">
      <w:pPr>
        <w:rPr>
          <w:rFonts w:cstheme="minorHAnsi"/>
          <w:b/>
        </w:rPr>
      </w:pPr>
    </w:p>
    <w:p w14:paraId="21C223F9" w14:textId="77777777" w:rsidR="00285DE7" w:rsidRPr="00E767C6" w:rsidRDefault="00285DE7" w:rsidP="00285DE7">
      <w:pPr>
        <w:rPr>
          <w:rFonts w:cs="Arial"/>
          <w:color w:val="000000"/>
        </w:rPr>
      </w:pPr>
      <w:r w:rsidRPr="00E767C6">
        <w:rPr>
          <w:rFonts w:cs="Arial"/>
          <w:color w:val="000000"/>
        </w:rPr>
        <w:t>Bidders are required to confirm in their tender response their agreement to the following:</w:t>
      </w:r>
    </w:p>
    <w:p w14:paraId="2FEACD4B" w14:textId="77777777" w:rsidR="00285DE7" w:rsidRPr="00E767C6" w:rsidRDefault="00285DE7" w:rsidP="00285DE7">
      <w:pPr>
        <w:rPr>
          <w:rFonts w:cs="Arial"/>
          <w:color w:val="000000"/>
        </w:rPr>
      </w:pPr>
    </w:p>
    <w:p w14:paraId="5DD274CF" w14:textId="77777777" w:rsidR="00285DE7" w:rsidRPr="00E767C6" w:rsidRDefault="00285DE7" w:rsidP="00285DE7">
      <w:pPr>
        <w:pStyle w:val="ListParagraph"/>
        <w:numPr>
          <w:ilvl w:val="3"/>
          <w:numId w:val="22"/>
        </w:numPr>
        <w:ind w:left="2138" w:hanging="720"/>
        <w:rPr>
          <w:rFonts w:ascii="Arial" w:hAnsi="Arial" w:cs="Arial"/>
          <w:color w:val="000000"/>
        </w:rPr>
      </w:pPr>
      <w:r w:rsidRPr="00E767C6">
        <w:rPr>
          <w:rFonts w:ascii="Arial" w:hAnsi="Arial" w:cs="Arial"/>
          <w:color w:val="000000"/>
        </w:rPr>
        <w:t xml:space="preserve">That any </w:t>
      </w:r>
      <w:proofErr w:type="gramStart"/>
      <w:r w:rsidRPr="00E767C6">
        <w:rPr>
          <w:rFonts w:ascii="Arial" w:hAnsi="Arial" w:cs="Arial"/>
          <w:color w:val="000000"/>
        </w:rPr>
        <w:t>Non Authority</w:t>
      </w:r>
      <w:proofErr w:type="gramEnd"/>
      <w:r w:rsidRPr="00E767C6">
        <w:rPr>
          <w:rFonts w:ascii="Arial" w:hAnsi="Arial" w:cs="Arial"/>
          <w:color w:val="000000"/>
        </w:rPr>
        <w:t xml:space="preserve"> Staff that will have access to the Authority site for meetings and similar (but have no access to the Authority systems), must be supervised at all times by Authority staff.</w:t>
      </w:r>
    </w:p>
    <w:p w14:paraId="6DD81CBC" w14:textId="77777777" w:rsidR="00285DE7" w:rsidRPr="00E767C6" w:rsidRDefault="00285DE7" w:rsidP="00285DE7">
      <w:pPr>
        <w:pStyle w:val="ListParagraph"/>
        <w:ind w:left="2138" w:hanging="720"/>
        <w:rPr>
          <w:rFonts w:ascii="Arial" w:hAnsi="Arial" w:cs="Arial"/>
          <w:color w:val="000000"/>
        </w:rPr>
      </w:pPr>
    </w:p>
    <w:p w14:paraId="16D35BF3" w14:textId="77777777" w:rsidR="00285DE7" w:rsidRPr="00E767C6" w:rsidRDefault="00285DE7" w:rsidP="00285DE7">
      <w:pPr>
        <w:pStyle w:val="ListParagraph"/>
        <w:numPr>
          <w:ilvl w:val="3"/>
          <w:numId w:val="22"/>
        </w:numPr>
        <w:ind w:left="2138" w:hanging="720"/>
        <w:rPr>
          <w:rFonts w:ascii="Arial" w:hAnsi="Arial" w:cs="Arial"/>
          <w:color w:val="000000"/>
        </w:rPr>
      </w:pPr>
      <w:r w:rsidRPr="00E767C6">
        <w:rPr>
          <w:rFonts w:ascii="Arial" w:hAnsi="Arial" w:cs="Arial"/>
          <w:color w:val="000000"/>
        </w:rPr>
        <w:t xml:space="preserve">That any </w:t>
      </w:r>
      <w:proofErr w:type="gramStart"/>
      <w:r w:rsidRPr="00E767C6">
        <w:rPr>
          <w:rFonts w:ascii="Arial" w:hAnsi="Arial" w:cs="Arial"/>
          <w:color w:val="000000"/>
        </w:rPr>
        <w:t>Non Authority</w:t>
      </w:r>
      <w:proofErr w:type="gramEnd"/>
      <w:r w:rsidRPr="00E767C6">
        <w:rPr>
          <w:rFonts w:ascii="Arial" w:hAnsi="Arial" w:cs="Arial"/>
          <w:color w:val="000000"/>
        </w:rPr>
        <w:t xml:space="preserve"> Staff that will be accessing the Authority Premises to provide routine maintenance or have access to the Authority Premises and the Authority systems have Baseline Personnel Security Standard clearance (BPSS).  The BPSS comprises verification of the following four main elements:</w:t>
      </w:r>
    </w:p>
    <w:p w14:paraId="457B324C" w14:textId="77777777" w:rsidR="00285DE7" w:rsidRPr="00E767C6" w:rsidRDefault="00285DE7" w:rsidP="00285DE7">
      <w:pPr>
        <w:ind w:left="1701"/>
        <w:rPr>
          <w:rFonts w:cs="Arial"/>
          <w:color w:val="000000"/>
        </w:rPr>
      </w:pPr>
    </w:p>
    <w:p w14:paraId="22457038" w14:textId="77777777" w:rsidR="00285DE7" w:rsidRPr="00E767C6" w:rsidRDefault="00285DE7" w:rsidP="00285DE7">
      <w:pPr>
        <w:pStyle w:val="ListParagraph"/>
        <w:numPr>
          <w:ilvl w:val="0"/>
          <w:numId w:val="23"/>
        </w:numPr>
        <w:ind w:left="2268" w:firstLine="0"/>
        <w:rPr>
          <w:rFonts w:ascii="Arial" w:hAnsi="Arial" w:cs="Arial"/>
          <w:color w:val="000000"/>
        </w:rPr>
      </w:pPr>
      <w:proofErr w:type="gramStart"/>
      <w:r w:rsidRPr="00E767C6">
        <w:rPr>
          <w:rFonts w:ascii="Arial" w:hAnsi="Arial" w:cs="Arial"/>
          <w:color w:val="000000"/>
        </w:rPr>
        <w:t>Identity;</w:t>
      </w:r>
      <w:proofErr w:type="gramEnd"/>
    </w:p>
    <w:p w14:paraId="5CEEC951" w14:textId="77777777" w:rsidR="00285DE7" w:rsidRPr="00E767C6" w:rsidRDefault="00285DE7" w:rsidP="00285DE7">
      <w:pPr>
        <w:pStyle w:val="ListParagraph"/>
        <w:numPr>
          <w:ilvl w:val="0"/>
          <w:numId w:val="23"/>
        </w:numPr>
        <w:ind w:left="2268" w:firstLine="0"/>
        <w:rPr>
          <w:rFonts w:ascii="Arial" w:hAnsi="Arial" w:cs="Arial"/>
          <w:color w:val="000000"/>
        </w:rPr>
      </w:pPr>
      <w:r w:rsidRPr="00E767C6">
        <w:rPr>
          <w:rFonts w:ascii="Arial" w:hAnsi="Arial" w:cs="Arial"/>
          <w:color w:val="000000"/>
        </w:rPr>
        <w:t>Employment History (past 3 years</w:t>
      </w:r>
      <w:proofErr w:type="gramStart"/>
      <w:r w:rsidRPr="00E767C6">
        <w:rPr>
          <w:rFonts w:ascii="Arial" w:hAnsi="Arial" w:cs="Arial"/>
          <w:color w:val="000000"/>
        </w:rPr>
        <w:t>);</w:t>
      </w:r>
      <w:proofErr w:type="gramEnd"/>
    </w:p>
    <w:p w14:paraId="4FAE1260" w14:textId="77777777" w:rsidR="00285DE7" w:rsidRPr="00E767C6" w:rsidRDefault="00285DE7" w:rsidP="00285DE7">
      <w:pPr>
        <w:pStyle w:val="ListParagraph"/>
        <w:numPr>
          <w:ilvl w:val="0"/>
          <w:numId w:val="23"/>
        </w:numPr>
        <w:ind w:left="2268" w:firstLine="0"/>
        <w:rPr>
          <w:rFonts w:ascii="Arial" w:hAnsi="Arial" w:cs="Arial"/>
          <w:color w:val="000000"/>
        </w:rPr>
      </w:pPr>
      <w:r w:rsidRPr="00E767C6">
        <w:rPr>
          <w:rFonts w:ascii="Arial" w:hAnsi="Arial" w:cs="Arial"/>
          <w:color w:val="000000"/>
        </w:rPr>
        <w:t xml:space="preserve">Nationality and Immigration </w:t>
      </w:r>
      <w:proofErr w:type="gramStart"/>
      <w:r w:rsidRPr="00E767C6">
        <w:rPr>
          <w:rFonts w:ascii="Arial" w:hAnsi="Arial" w:cs="Arial"/>
          <w:color w:val="000000"/>
        </w:rPr>
        <w:t>Status;</w:t>
      </w:r>
      <w:proofErr w:type="gramEnd"/>
    </w:p>
    <w:p w14:paraId="6403C091" w14:textId="77777777" w:rsidR="00285DE7" w:rsidRPr="00E767C6" w:rsidRDefault="00285DE7" w:rsidP="00285DE7">
      <w:pPr>
        <w:pStyle w:val="ListParagraph"/>
        <w:numPr>
          <w:ilvl w:val="0"/>
          <w:numId w:val="23"/>
        </w:numPr>
        <w:ind w:left="2268" w:firstLine="0"/>
        <w:rPr>
          <w:rFonts w:ascii="Arial" w:hAnsi="Arial" w:cs="Arial"/>
          <w:color w:val="000000"/>
        </w:rPr>
      </w:pPr>
      <w:r w:rsidRPr="00E767C6">
        <w:rPr>
          <w:rFonts w:ascii="Arial" w:hAnsi="Arial" w:cs="Arial"/>
          <w:color w:val="000000"/>
        </w:rPr>
        <w:t>Criminal Record Check (unspent convictions only).</w:t>
      </w:r>
    </w:p>
    <w:p w14:paraId="7EFF76C1" w14:textId="77777777" w:rsidR="00285DE7" w:rsidRPr="00E767C6" w:rsidRDefault="00285DE7" w:rsidP="00285DE7">
      <w:pPr>
        <w:ind w:left="1701"/>
        <w:rPr>
          <w:rFonts w:cs="Arial"/>
          <w:color w:val="000000"/>
        </w:rPr>
      </w:pPr>
    </w:p>
    <w:p w14:paraId="297BC286" w14:textId="77777777" w:rsidR="00285DE7" w:rsidRPr="00E767C6" w:rsidRDefault="00285DE7" w:rsidP="00285DE7">
      <w:pPr>
        <w:pStyle w:val="ListParagraph"/>
        <w:numPr>
          <w:ilvl w:val="0"/>
          <w:numId w:val="24"/>
        </w:numPr>
        <w:ind w:left="2138" w:hanging="720"/>
        <w:rPr>
          <w:rFonts w:ascii="Arial" w:hAnsi="Arial" w:cs="Arial"/>
          <w:b/>
        </w:rPr>
      </w:pPr>
      <w:r w:rsidRPr="00E767C6">
        <w:rPr>
          <w:rFonts w:ascii="Arial" w:hAnsi="Arial" w:cs="Arial"/>
          <w:color w:val="000000"/>
        </w:rPr>
        <w:t xml:space="preserve">The aim of the Baseline Standard verification process is to provide an appropriate level of assurance as to the trustworthiness, </w:t>
      </w:r>
      <w:proofErr w:type="gramStart"/>
      <w:r w:rsidRPr="00E767C6">
        <w:rPr>
          <w:rFonts w:ascii="Arial" w:hAnsi="Arial" w:cs="Arial"/>
          <w:color w:val="000000"/>
        </w:rPr>
        <w:t>integrity</w:t>
      </w:r>
      <w:proofErr w:type="gramEnd"/>
      <w:r w:rsidRPr="00E767C6">
        <w:rPr>
          <w:rFonts w:ascii="Arial" w:hAnsi="Arial" w:cs="Arial"/>
          <w:color w:val="000000"/>
        </w:rPr>
        <w:t xml:space="preserve"> and proper reliability of prospective staff. Tenderers are required to provide evidence of relevant Contractor’s Staff clearance in their tender response.</w:t>
      </w:r>
    </w:p>
    <w:p w14:paraId="0BE264A0" w14:textId="77777777" w:rsidR="00285DE7" w:rsidRPr="00E767C6" w:rsidRDefault="00285DE7" w:rsidP="00285DE7">
      <w:pPr>
        <w:pStyle w:val="ListParagraph"/>
        <w:ind w:left="2138" w:hanging="720"/>
        <w:rPr>
          <w:rFonts w:ascii="Arial" w:hAnsi="Arial" w:cs="Arial"/>
          <w:b/>
        </w:rPr>
      </w:pPr>
    </w:p>
    <w:p w14:paraId="073B0EB8" w14:textId="77777777" w:rsidR="00285DE7" w:rsidRPr="00E767C6" w:rsidRDefault="00285DE7" w:rsidP="00285DE7">
      <w:pPr>
        <w:pStyle w:val="ListParagraph"/>
        <w:numPr>
          <w:ilvl w:val="0"/>
          <w:numId w:val="24"/>
        </w:numPr>
        <w:ind w:left="2138" w:hanging="720"/>
        <w:rPr>
          <w:rFonts w:ascii="Arial" w:hAnsi="Arial" w:cs="Arial"/>
          <w:b/>
        </w:rPr>
      </w:pPr>
      <w:r w:rsidRPr="00E767C6">
        <w:rPr>
          <w:rFonts w:ascii="Arial" w:hAnsi="Arial" w:cs="Arial"/>
          <w:color w:val="000000"/>
        </w:rPr>
        <w:t>That any Supplier/Contractor’s Staff that have access to the Authority site and Authority Systems, administration rights, sensitive programmes or large blocks of sensitive data must have full Security Check clearance.</w:t>
      </w:r>
    </w:p>
    <w:p w14:paraId="7FB04BFB" w14:textId="77777777" w:rsidR="00285DE7" w:rsidRPr="004C0A95" w:rsidRDefault="00285DE7" w:rsidP="00285DE7">
      <w:pPr>
        <w:rPr>
          <w:rFonts w:cstheme="minorHAnsi"/>
          <w:b/>
        </w:rPr>
      </w:pPr>
    </w:p>
    <w:p w14:paraId="295FE3A8" w14:textId="77777777" w:rsidR="00692673" w:rsidRDefault="00692673" w:rsidP="00692673">
      <w:pPr>
        <w:rPr>
          <w:rFonts w:cs="Arial"/>
          <w:b/>
        </w:rPr>
      </w:pPr>
    </w:p>
    <w:p w14:paraId="5EAD6717" w14:textId="77777777" w:rsidR="00692673" w:rsidRDefault="00692673" w:rsidP="006926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673" w:rsidRPr="002A67E8" w14:paraId="40C56AB2" w14:textId="77777777" w:rsidTr="00C4184C">
        <w:trPr>
          <w:trHeight w:val="5660"/>
        </w:trPr>
        <w:tc>
          <w:tcPr>
            <w:tcW w:w="9350" w:type="dxa"/>
          </w:tcPr>
          <w:p w14:paraId="3D58CD00" w14:textId="77777777" w:rsidR="0060744B" w:rsidRPr="00FD7322" w:rsidRDefault="0060744B" w:rsidP="0060744B">
            <w:pPr>
              <w:rPr>
                <w:rFonts w:cstheme="minorHAnsi"/>
                <w:b/>
                <w:sz w:val="24"/>
                <w:szCs w:val="24"/>
              </w:rPr>
            </w:pPr>
            <w:r w:rsidRPr="00FD7322">
              <w:rPr>
                <w:rFonts w:cstheme="minorHAnsi"/>
                <w:b/>
                <w:sz w:val="24"/>
                <w:szCs w:val="24"/>
              </w:rPr>
              <w:lastRenderedPageBreak/>
              <w:t>Information Assurance</w:t>
            </w:r>
          </w:p>
          <w:p w14:paraId="12BD4535" w14:textId="77777777" w:rsidR="0060744B" w:rsidRPr="00FD7322" w:rsidRDefault="0060744B" w:rsidP="0060744B">
            <w:pPr>
              <w:rPr>
                <w:rFonts w:cstheme="minorHAnsi"/>
                <w:b/>
                <w:szCs w:val="24"/>
              </w:rPr>
            </w:pPr>
          </w:p>
          <w:p w14:paraId="0214AB52" w14:textId="77777777" w:rsidR="0060744B" w:rsidRDefault="0060744B" w:rsidP="0060744B">
            <w:pPr>
              <w:rPr>
                <w:rFonts w:cs="Arial"/>
                <w:b/>
                <w:bCs/>
                <w:szCs w:val="24"/>
                <w:u w:val="single"/>
              </w:rPr>
            </w:pPr>
            <w:r>
              <w:rPr>
                <w:rFonts w:cs="Arial"/>
                <w:b/>
                <w:bCs/>
                <w:u w:val="single"/>
              </w:rPr>
              <w:t>The following wording must be considered when data handling is key to the requirement</w:t>
            </w:r>
          </w:p>
          <w:p w14:paraId="6DFD0A94" w14:textId="77777777" w:rsidR="0060744B" w:rsidRDefault="0060744B" w:rsidP="0060744B">
            <w:pPr>
              <w:rPr>
                <w:rFonts w:cs="Arial"/>
                <w:b/>
                <w:bCs/>
                <w:szCs w:val="22"/>
              </w:rPr>
            </w:pPr>
          </w:p>
          <w:p w14:paraId="1F8BCCE7" w14:textId="77777777" w:rsidR="0060744B" w:rsidRDefault="0060744B" w:rsidP="0060744B">
            <w:pPr>
              <w:rPr>
                <w:rFonts w:cs="Arial"/>
                <w:b/>
                <w:bCs/>
              </w:rPr>
            </w:pPr>
            <w:r>
              <w:rPr>
                <w:rFonts w:cs="Arial"/>
                <w:b/>
                <w:bCs/>
              </w:rPr>
              <w:t>Removable Media</w:t>
            </w:r>
          </w:p>
          <w:p w14:paraId="51406B25" w14:textId="77777777" w:rsidR="0060744B" w:rsidRDefault="0060744B" w:rsidP="0060744B">
            <w:pPr>
              <w:rPr>
                <w:rFonts w:cs="Arial"/>
              </w:rPr>
            </w:pPr>
          </w:p>
          <w:p w14:paraId="2F5B513F" w14:textId="77777777" w:rsidR="0060744B" w:rsidRDefault="0060744B" w:rsidP="0060744B">
            <w:pPr>
              <w:rPr>
                <w:rFonts w:cs="Arial"/>
              </w:rPr>
            </w:pPr>
            <w:r>
              <w:rPr>
                <w:rFonts w:cs="Arial"/>
              </w:rPr>
              <w:t>Tenderers should note that removable media is not permitted in the delivery of this Contract.  Where there is a requirement for Contractor’s Staff to take data off site in electronic format, the DVLA will consider if it is appropriate to supply an encrypted hard drive.</w:t>
            </w:r>
          </w:p>
          <w:p w14:paraId="5D489974" w14:textId="77777777" w:rsidR="0060744B" w:rsidRDefault="0060744B" w:rsidP="0060744B">
            <w:pPr>
              <w:rPr>
                <w:rFonts w:cs="Arial"/>
                <w:b/>
                <w:bCs/>
              </w:rPr>
            </w:pPr>
          </w:p>
          <w:p w14:paraId="4533E07D" w14:textId="77777777" w:rsidR="0060744B" w:rsidRDefault="0060744B" w:rsidP="0060744B">
            <w:pPr>
              <w:rPr>
                <w:rFonts w:cs="Arial"/>
                <w:b/>
                <w:bCs/>
              </w:rPr>
            </w:pPr>
            <w:r>
              <w:rPr>
                <w:rFonts w:cs="Arial"/>
                <w:b/>
                <w:bCs/>
              </w:rPr>
              <w:t>Security Clearance</w:t>
            </w:r>
          </w:p>
          <w:p w14:paraId="72380415" w14:textId="77777777" w:rsidR="0060744B" w:rsidRDefault="0060744B" w:rsidP="0060744B">
            <w:pPr>
              <w:rPr>
                <w:rFonts w:cs="Arial"/>
                <w:b/>
                <w:bCs/>
              </w:rPr>
            </w:pPr>
          </w:p>
          <w:p w14:paraId="6A019050" w14:textId="77777777" w:rsidR="0060744B" w:rsidRDefault="0060744B" w:rsidP="0060744B">
            <w:pPr>
              <w:rPr>
                <w:rFonts w:cs="Arial"/>
                <w:b/>
                <w:bCs/>
              </w:rPr>
            </w:pPr>
            <w:r>
              <w:rPr>
                <w:rFonts w:cs="Arial"/>
                <w:b/>
                <w:bCs/>
              </w:rPr>
              <w:t>Level 1</w:t>
            </w:r>
          </w:p>
          <w:p w14:paraId="590A4279" w14:textId="77777777" w:rsidR="0060744B" w:rsidRDefault="0060744B" w:rsidP="0060744B">
            <w:pPr>
              <w:rPr>
                <w:rFonts w:cs="Arial"/>
                <w:b/>
                <w:bCs/>
              </w:rPr>
            </w:pPr>
          </w:p>
          <w:p w14:paraId="79A50DFF" w14:textId="77777777" w:rsidR="0060744B" w:rsidRDefault="0060744B" w:rsidP="0060744B">
            <w:pPr>
              <w:rPr>
                <w:rFonts w:cs="Arial"/>
              </w:rPr>
            </w:pPr>
            <w:r>
              <w:rPr>
                <w:rFonts w:cs="Arial"/>
              </w:rPr>
              <w:t>Tenders are required to acknowledge in their tender response that any Contractors’ Staff that will have access to the DVLA site for meetings and similar (but have no access to the DVLA systems), must be supervised at all times by DVLA staff.</w:t>
            </w:r>
          </w:p>
          <w:p w14:paraId="4C16DB02" w14:textId="77777777" w:rsidR="0060744B" w:rsidRDefault="0060744B" w:rsidP="0060744B">
            <w:pPr>
              <w:rPr>
                <w:rFonts w:cs="Arial"/>
                <w:b/>
                <w:bCs/>
              </w:rPr>
            </w:pPr>
          </w:p>
          <w:p w14:paraId="23DCC0CF" w14:textId="77777777" w:rsidR="0060744B" w:rsidRDefault="0060744B" w:rsidP="0060744B">
            <w:pPr>
              <w:rPr>
                <w:rFonts w:cs="Arial"/>
                <w:b/>
                <w:bCs/>
              </w:rPr>
            </w:pPr>
            <w:r>
              <w:rPr>
                <w:rFonts w:cs="Arial"/>
                <w:b/>
                <w:bCs/>
              </w:rPr>
              <w:t>Processing Personal Data</w:t>
            </w:r>
          </w:p>
          <w:p w14:paraId="66DD79F2" w14:textId="77777777" w:rsidR="0060744B" w:rsidRDefault="0060744B" w:rsidP="0060744B">
            <w:pPr>
              <w:rPr>
                <w:rFonts w:cs="Arial"/>
                <w:b/>
                <w:bCs/>
              </w:rPr>
            </w:pPr>
          </w:p>
          <w:p w14:paraId="599C3452" w14:textId="77777777" w:rsidR="0060744B" w:rsidRDefault="0060744B" w:rsidP="0060744B">
            <w:pPr>
              <w:rPr>
                <w:rFonts w:cs="Arial"/>
              </w:rPr>
            </w:pPr>
            <w:r>
              <w:rPr>
                <w:rFonts w:cs="Arial"/>
              </w:rPr>
              <w:t>Please note that the successful tenderer as part of the contract agrees to comply with all applicable requirements of the Data Protection Legislation (including the General Data Protection Regulation ((EU) 2016/679), the Law Enforcement Directive (Directive (EU) 2016/680), Data Protection Act 2018 and all applicable Law about the processing of personal data and privacy).</w:t>
            </w:r>
          </w:p>
          <w:p w14:paraId="58900DD9" w14:textId="77777777" w:rsidR="0060744B" w:rsidRDefault="0060744B" w:rsidP="0060744B">
            <w:pPr>
              <w:rPr>
                <w:rFonts w:cs="Arial"/>
              </w:rPr>
            </w:pPr>
          </w:p>
          <w:p w14:paraId="2970126E" w14:textId="77777777" w:rsidR="0060744B" w:rsidRDefault="0060744B" w:rsidP="0060744B">
            <w:pPr>
              <w:rPr>
                <w:rFonts w:cs="Arial"/>
                <w:b/>
                <w:bCs/>
              </w:rPr>
            </w:pPr>
            <w:r>
              <w:rPr>
                <w:rFonts w:cs="Arial"/>
                <w:b/>
                <w:bCs/>
              </w:rPr>
              <w:t xml:space="preserve">Offshoring of Government Data </w:t>
            </w:r>
          </w:p>
          <w:p w14:paraId="4B7FBC35" w14:textId="77777777" w:rsidR="0060744B" w:rsidRDefault="0060744B" w:rsidP="0060744B">
            <w:pPr>
              <w:rPr>
                <w:rFonts w:cs="Arial"/>
                <w:b/>
                <w:bCs/>
                <w:color w:val="000000"/>
              </w:rPr>
            </w:pPr>
          </w:p>
          <w:p w14:paraId="7E642A92" w14:textId="77777777" w:rsidR="0060744B" w:rsidRDefault="0060744B" w:rsidP="0060744B">
            <w:pPr>
              <w:rPr>
                <w:rFonts w:cs="Arial"/>
                <w:color w:val="000000"/>
              </w:rPr>
            </w:pPr>
            <w:r>
              <w:rPr>
                <w:rFonts w:cs="Arial"/>
                <w:color w:val="000000"/>
              </w:rPr>
              <w:t>Any request to offshore must receive clearance and approval from DVLA prior to the commencement of any data processing activity.</w:t>
            </w:r>
          </w:p>
          <w:p w14:paraId="63C223C4" w14:textId="77777777" w:rsidR="0060744B" w:rsidRDefault="0060744B" w:rsidP="0060744B">
            <w:pPr>
              <w:rPr>
                <w:rFonts w:cs="Arial"/>
                <w:color w:val="000000"/>
              </w:rPr>
            </w:pPr>
          </w:p>
          <w:p w14:paraId="29E2F271" w14:textId="77777777" w:rsidR="0060744B" w:rsidRDefault="0060744B" w:rsidP="0060744B">
            <w:pPr>
              <w:rPr>
                <w:rFonts w:cs="Arial"/>
                <w:color w:val="000000"/>
              </w:rPr>
            </w:pPr>
            <w:r>
              <w:rPr>
                <w:rFonts w:cs="Arial"/>
                <w:color w:val="000000"/>
              </w:rPr>
              <w:t>The Supplier shall not, and shall ensure that none of its Sub-contractors shall not, transfer DVLA Data outside the EEA without the prior written consent of the DVLA and the Supplier shall not change where it or any of its Sub-contractors process DVLA Data without the DVLA's prior written consent which may be subject to conditions.</w:t>
            </w:r>
          </w:p>
          <w:p w14:paraId="027BA389" w14:textId="77777777" w:rsidR="00692673" w:rsidRDefault="00692673" w:rsidP="00C4184C">
            <w:pPr>
              <w:rPr>
                <w:rFonts w:cs="Arial"/>
                <w:b/>
                <w:bCs/>
              </w:rPr>
            </w:pPr>
          </w:p>
          <w:p w14:paraId="5C3D6103" w14:textId="77777777" w:rsidR="00692673" w:rsidRDefault="00692673" w:rsidP="00C4184C">
            <w:pPr>
              <w:rPr>
                <w:rFonts w:cs="Arial"/>
                <w:b/>
                <w:bCs/>
              </w:rPr>
            </w:pPr>
            <w:r>
              <w:rPr>
                <w:rFonts w:cs="Arial"/>
                <w:b/>
                <w:bCs/>
              </w:rPr>
              <w:t xml:space="preserve">Redundant Equipment </w:t>
            </w:r>
          </w:p>
          <w:p w14:paraId="39BF8A4E" w14:textId="77777777" w:rsidR="00692673" w:rsidRDefault="00692673" w:rsidP="00C4184C">
            <w:pPr>
              <w:rPr>
                <w:rFonts w:cs="Arial"/>
                <w:b/>
                <w:bCs/>
              </w:rPr>
            </w:pPr>
          </w:p>
          <w:p w14:paraId="0429B77E" w14:textId="77777777" w:rsidR="00692673" w:rsidRDefault="00692673" w:rsidP="00C4184C">
            <w:pPr>
              <w:rPr>
                <w:rFonts w:ascii="Calibri" w:hAnsi="Calibri" w:cs="Calibri"/>
                <w:color w:val="002060"/>
                <w:lang w:eastAsia="en-GB"/>
              </w:rPr>
            </w:pPr>
            <w:r>
              <w:rPr>
                <w:rFonts w:cs="Arial"/>
              </w:rPr>
              <w:t>Any redundant equipment that will have captured any DVLA sourced data must be disposed of securely on the DVLA Site.</w:t>
            </w:r>
          </w:p>
          <w:p w14:paraId="4F71187E" w14:textId="77777777" w:rsidR="00692673" w:rsidRPr="002A67E8" w:rsidRDefault="00692673" w:rsidP="00C4184C">
            <w:pPr>
              <w:rPr>
                <w:rFonts w:cs="Arial"/>
                <w:b/>
              </w:rPr>
            </w:pPr>
          </w:p>
        </w:tc>
      </w:tr>
    </w:tbl>
    <w:p w14:paraId="709B0F18" w14:textId="77777777" w:rsidR="00692673" w:rsidRPr="00FD7322" w:rsidRDefault="00692673" w:rsidP="00692673">
      <w:pPr>
        <w:rPr>
          <w:rFonts w:cstheme="minorHAnsi"/>
          <w:b/>
          <w:szCs w:val="24"/>
        </w:rPr>
      </w:pPr>
    </w:p>
    <w:p w14:paraId="079F0329" w14:textId="77777777" w:rsidR="00285DE7" w:rsidRPr="004C0A95" w:rsidRDefault="00285DE7" w:rsidP="00285DE7">
      <w:pPr>
        <w:rPr>
          <w:rFonts w:cstheme="minorHAnsi"/>
          <w:b/>
        </w:rPr>
      </w:pPr>
    </w:p>
    <w:p w14:paraId="7A48DDAF" w14:textId="77777777" w:rsidR="00285DE7" w:rsidRDefault="00285DE7" w:rsidP="00285DE7">
      <w:pPr>
        <w:rPr>
          <w:rFonts w:cstheme="minorHAnsi"/>
          <w:b/>
          <w:szCs w:val="24"/>
        </w:rPr>
      </w:pPr>
      <w:r>
        <w:rPr>
          <w:rFonts w:cstheme="minorHAnsi"/>
          <w:b/>
          <w:szCs w:val="24"/>
        </w:rPr>
        <w:br w:type="page"/>
      </w:r>
    </w:p>
    <w:p w14:paraId="586D7FB4" w14:textId="77777777" w:rsidR="00285DE7" w:rsidRPr="004C0A95" w:rsidRDefault="00285DE7" w:rsidP="00285DE7">
      <w:pPr>
        <w:rPr>
          <w:rFonts w:cstheme="minorHAnsi"/>
          <w:b/>
          <w:szCs w:val="24"/>
        </w:rPr>
      </w:pPr>
      <w:r w:rsidRPr="004C0A95">
        <w:rPr>
          <w:rFonts w:cstheme="minorHAnsi"/>
          <w:b/>
          <w:szCs w:val="24"/>
        </w:rPr>
        <w:lastRenderedPageBreak/>
        <w:t>Invoicing Procedures</w:t>
      </w:r>
    </w:p>
    <w:p w14:paraId="7BC9036A" w14:textId="77777777" w:rsidR="00285DE7" w:rsidRPr="004C0A95" w:rsidRDefault="00285DE7" w:rsidP="00285DE7">
      <w:pPr>
        <w:rPr>
          <w:rFonts w:cstheme="minorHAnsi"/>
        </w:rPr>
      </w:pPr>
    </w:p>
    <w:p w14:paraId="6994F058" w14:textId="77777777" w:rsidR="00285DE7" w:rsidRPr="004C0A95" w:rsidRDefault="00285DE7" w:rsidP="00285DE7">
      <w:pPr>
        <w:rPr>
          <w:rFonts w:cstheme="minorHAnsi"/>
          <w:b/>
        </w:rPr>
      </w:pPr>
      <w:r w:rsidRPr="004C0A95">
        <w:rPr>
          <w:rFonts w:cstheme="minorHAnsi"/>
        </w:rPr>
        <w:t xml:space="preserve">The Authority invoicing procedures are </w:t>
      </w:r>
      <w:r w:rsidRPr="00E23869">
        <w:rPr>
          <w:rFonts w:cstheme="minorHAnsi"/>
        </w:rPr>
        <w:t xml:space="preserve">detailed in </w:t>
      </w:r>
      <w:r w:rsidRPr="00E23869">
        <w:rPr>
          <w:rFonts w:cstheme="minorHAnsi"/>
          <w:b/>
        </w:rPr>
        <w:t>A</w:t>
      </w:r>
      <w:r w:rsidR="00E23869" w:rsidRPr="00E23869">
        <w:rPr>
          <w:rFonts w:cstheme="minorHAnsi"/>
          <w:b/>
        </w:rPr>
        <w:t>nnex 3</w:t>
      </w:r>
    </w:p>
    <w:p w14:paraId="11D53D1C" w14:textId="77777777" w:rsidR="00285DE7" w:rsidRPr="004C0A95" w:rsidRDefault="00285DE7" w:rsidP="00285DE7">
      <w:pPr>
        <w:rPr>
          <w:rFonts w:cstheme="minorHAnsi"/>
          <w:b/>
          <w:szCs w:val="24"/>
        </w:rPr>
      </w:pPr>
    </w:p>
    <w:p w14:paraId="3C96062E" w14:textId="77777777" w:rsidR="00285DE7" w:rsidRPr="004C0A95" w:rsidRDefault="00285DE7" w:rsidP="00285DE7">
      <w:pPr>
        <w:rPr>
          <w:rFonts w:cstheme="minorHAnsi"/>
          <w:b/>
          <w:szCs w:val="24"/>
        </w:rPr>
      </w:pPr>
      <w:r w:rsidRPr="004C0A95">
        <w:rPr>
          <w:rFonts w:cstheme="minorHAnsi"/>
          <w:b/>
          <w:szCs w:val="24"/>
        </w:rPr>
        <w:t>Procurement Fraud</w:t>
      </w:r>
    </w:p>
    <w:p w14:paraId="6277F697" w14:textId="77777777" w:rsidR="00285DE7" w:rsidRPr="004C0A95" w:rsidRDefault="00285DE7" w:rsidP="00285DE7">
      <w:pPr>
        <w:rPr>
          <w:rFonts w:cstheme="minorHAnsi"/>
        </w:rPr>
      </w:pPr>
    </w:p>
    <w:p w14:paraId="2F3BDD91" w14:textId="77777777" w:rsidR="00285DE7" w:rsidRPr="004C0A95" w:rsidRDefault="00285DE7" w:rsidP="00285DE7">
      <w:pPr>
        <w:rPr>
          <w:rFonts w:cstheme="minorHAnsi"/>
        </w:rPr>
      </w:pPr>
      <w:r w:rsidRPr="004C0A95">
        <w:rPr>
          <w:rFonts w:cstheme="minorHAnsi"/>
        </w:rPr>
        <w:t xml:space="preserve">The Authority adopts a </w:t>
      </w:r>
      <w:proofErr w:type="gramStart"/>
      <w:r w:rsidRPr="004C0A95">
        <w:rPr>
          <w:rFonts w:cstheme="minorHAnsi"/>
        </w:rPr>
        <w:t>zero tolerance</w:t>
      </w:r>
      <w:proofErr w:type="gramEnd"/>
      <w:r w:rsidRPr="004C0A95">
        <w:rPr>
          <w:rFonts w:cstheme="minorHAnsi"/>
        </w:rPr>
        <w:t xml:space="preserve"> approach to procurement fraud/bribery. Please see The Authority Procurement Counter Fraud/Bribery statement </w:t>
      </w:r>
      <w:r w:rsidRPr="00E23869">
        <w:rPr>
          <w:rFonts w:cstheme="minorHAnsi"/>
        </w:rPr>
        <w:t xml:space="preserve">in </w:t>
      </w:r>
      <w:r w:rsidRPr="00E23869">
        <w:rPr>
          <w:rFonts w:cstheme="minorHAnsi"/>
          <w:b/>
        </w:rPr>
        <w:t>A</w:t>
      </w:r>
      <w:r w:rsidR="00E767C6" w:rsidRPr="00E23869">
        <w:rPr>
          <w:rFonts w:cstheme="minorHAnsi"/>
          <w:b/>
        </w:rPr>
        <w:t>nnex</w:t>
      </w:r>
      <w:r w:rsidR="00E23869" w:rsidRPr="00E23869">
        <w:rPr>
          <w:rFonts w:cstheme="minorHAnsi"/>
          <w:b/>
        </w:rPr>
        <w:t>4</w:t>
      </w:r>
    </w:p>
    <w:p w14:paraId="26AFCDEE" w14:textId="77777777" w:rsidR="00285DE7" w:rsidRPr="004C0A95" w:rsidRDefault="00285DE7" w:rsidP="00E23869">
      <w:pPr>
        <w:rPr>
          <w:rFonts w:cstheme="minorHAnsi"/>
        </w:rPr>
      </w:pPr>
    </w:p>
    <w:p w14:paraId="417BFD86" w14:textId="77777777" w:rsidR="00285DE7" w:rsidRPr="004C0A95" w:rsidRDefault="00285DE7" w:rsidP="00285DE7">
      <w:pPr>
        <w:rPr>
          <w:rFonts w:cstheme="minorHAnsi"/>
          <w:b/>
          <w:szCs w:val="24"/>
        </w:rPr>
      </w:pPr>
      <w:r w:rsidRPr="004C0A95">
        <w:rPr>
          <w:rFonts w:cstheme="minorHAnsi"/>
          <w:b/>
          <w:szCs w:val="24"/>
        </w:rPr>
        <w:t>Health and Safety</w:t>
      </w:r>
    </w:p>
    <w:p w14:paraId="4CB9E442" w14:textId="77777777" w:rsidR="00285DE7" w:rsidRPr="004C0A95" w:rsidRDefault="00285DE7" w:rsidP="00285DE7">
      <w:pPr>
        <w:rPr>
          <w:rFonts w:cstheme="minorHAnsi"/>
        </w:rPr>
      </w:pPr>
    </w:p>
    <w:p w14:paraId="12768502" w14:textId="77777777" w:rsidR="00692673" w:rsidRDefault="00285DE7" w:rsidP="00285DE7">
      <w:pPr>
        <w:rPr>
          <w:rFonts w:eastAsia="STZhongsong" w:cstheme="minorHAnsi"/>
          <w:lang w:eastAsia="zh-CN"/>
        </w:rPr>
      </w:pPr>
      <w:r w:rsidRPr="004C0A95">
        <w:rPr>
          <w:rFonts w:eastAsia="STZhongsong" w:cstheme="minorHAnsi"/>
          <w:lang w:eastAsia="zh-CN"/>
        </w:rPr>
        <w:t xml:space="preserve">The AUTHORITY Health and Safety Group have </w:t>
      </w:r>
      <w:proofErr w:type="gramStart"/>
      <w:r w:rsidRPr="004C0A95">
        <w:rPr>
          <w:rFonts w:eastAsia="STZhongsong" w:cstheme="minorHAnsi"/>
          <w:lang w:eastAsia="zh-CN"/>
        </w:rPr>
        <w:t>conducted an assessment of</w:t>
      </w:r>
      <w:proofErr w:type="gramEnd"/>
      <w:r w:rsidRPr="004C0A95">
        <w:rPr>
          <w:rFonts w:eastAsia="STZhongsong" w:cstheme="minorHAnsi"/>
          <w:lang w:eastAsia="zh-CN"/>
        </w:rPr>
        <w:t xml:space="preserve"> the requirement. </w:t>
      </w:r>
    </w:p>
    <w:p w14:paraId="67D946B6" w14:textId="77777777" w:rsidR="00692673" w:rsidRDefault="00692673" w:rsidP="00285DE7">
      <w:pPr>
        <w:rPr>
          <w:rFonts w:eastAsia="STZhongsong" w:cstheme="minorHAnsi"/>
          <w:lang w:eastAsia="zh-CN"/>
        </w:rPr>
      </w:pPr>
    </w:p>
    <w:p w14:paraId="157A9BAC" w14:textId="77777777" w:rsidR="00285DE7" w:rsidRPr="004C0A95" w:rsidRDefault="00285DE7" w:rsidP="00285DE7">
      <w:pPr>
        <w:rPr>
          <w:rFonts w:eastAsia="STZhongsong" w:cstheme="minorHAnsi"/>
          <w:lang w:eastAsia="zh-CN"/>
        </w:rPr>
      </w:pPr>
      <w:r w:rsidRPr="004C0A95">
        <w:rPr>
          <w:rFonts w:eastAsia="STZhongsong" w:cstheme="minorHAnsi"/>
          <w:lang w:eastAsia="zh-CN"/>
        </w:rPr>
        <w:t xml:space="preserve">Also attached </w:t>
      </w:r>
      <w:r w:rsidRPr="00E23869">
        <w:rPr>
          <w:rFonts w:eastAsia="STZhongsong" w:cstheme="minorHAnsi"/>
          <w:lang w:eastAsia="zh-CN"/>
        </w:rPr>
        <w:t xml:space="preserve">at </w:t>
      </w:r>
      <w:r w:rsidRPr="00E23869">
        <w:rPr>
          <w:rFonts w:eastAsia="STZhongsong" w:cstheme="minorHAnsi"/>
          <w:b/>
          <w:lang w:eastAsia="zh-CN"/>
        </w:rPr>
        <w:t>A</w:t>
      </w:r>
      <w:r w:rsidR="00E767C6" w:rsidRPr="00E23869">
        <w:rPr>
          <w:rFonts w:eastAsia="STZhongsong" w:cstheme="minorHAnsi"/>
          <w:b/>
          <w:lang w:eastAsia="zh-CN"/>
        </w:rPr>
        <w:t>nnex</w:t>
      </w:r>
      <w:r w:rsidR="00E23869" w:rsidRPr="00E23869">
        <w:rPr>
          <w:rFonts w:eastAsia="STZhongsong" w:cstheme="minorHAnsi"/>
          <w:b/>
          <w:lang w:eastAsia="zh-CN"/>
        </w:rPr>
        <w:t>5</w:t>
      </w:r>
      <w:r w:rsidRPr="00E23869">
        <w:rPr>
          <w:rFonts w:eastAsia="STZhongsong" w:cstheme="minorHAnsi"/>
          <w:lang w:eastAsia="zh-CN"/>
        </w:rPr>
        <w:t xml:space="preserve"> is The AUTHORITY Health and Safety Policy (INF119).</w:t>
      </w:r>
    </w:p>
    <w:p w14:paraId="1BB2CA03" w14:textId="77777777" w:rsidR="00285DE7" w:rsidRPr="004C0A95" w:rsidRDefault="00285DE7" w:rsidP="00285DE7">
      <w:pPr>
        <w:rPr>
          <w:rFonts w:eastAsia="STZhongsong" w:cstheme="minorHAnsi"/>
          <w:lang w:eastAsia="zh-CN"/>
        </w:rPr>
      </w:pPr>
    </w:p>
    <w:tbl>
      <w:tblPr>
        <w:tblW w:w="5000" w:type="pct"/>
        <w:tblLook w:val="04A0" w:firstRow="1" w:lastRow="0" w:firstColumn="1" w:lastColumn="0" w:noHBand="0" w:noVBand="1"/>
      </w:tblPr>
      <w:tblGrid>
        <w:gridCol w:w="9360"/>
      </w:tblGrid>
      <w:tr w:rsidR="00285DE7" w:rsidRPr="004C0A95" w14:paraId="51B2D8B1" w14:textId="77777777" w:rsidTr="00CB028A">
        <w:tc>
          <w:tcPr>
            <w:tcW w:w="5000" w:type="pct"/>
          </w:tcPr>
          <w:p w14:paraId="34FC953B" w14:textId="77777777" w:rsidR="00285DE7" w:rsidRPr="004C0A95" w:rsidRDefault="00285DE7" w:rsidP="00CB028A">
            <w:pPr>
              <w:ind w:left="-108"/>
              <w:rPr>
                <w:rFonts w:eastAsia="STZhongsong" w:cstheme="minorHAnsi"/>
                <w:lang w:eastAsia="zh-CN"/>
              </w:rPr>
            </w:pPr>
            <w:r w:rsidRPr="004C0A95">
              <w:rPr>
                <w:rFonts w:eastAsia="STZhongsong" w:cstheme="minorHAnsi"/>
                <w:lang w:eastAsia="zh-CN"/>
              </w:rPr>
              <w:t xml:space="preserve">The AUTHORITY requires its contractors to fully comply with its Health and Safety Policy and </w:t>
            </w:r>
            <w:proofErr w:type="gramStart"/>
            <w:r w:rsidRPr="004C0A95">
              <w:rPr>
                <w:rFonts w:eastAsia="STZhongsong" w:cstheme="minorHAnsi"/>
                <w:lang w:eastAsia="zh-CN"/>
              </w:rPr>
              <w:t>follow  all</w:t>
            </w:r>
            <w:proofErr w:type="gramEnd"/>
            <w:r w:rsidRPr="004C0A95">
              <w:rPr>
                <w:rFonts w:eastAsia="STZhongsong" w:cstheme="minorHAnsi"/>
                <w:lang w:eastAsia="zh-CN"/>
              </w:rPr>
              <w:t xml:space="preserve"> applicable UK and EU Health and Safety Legislation, Acts, Orders, Regulations and Approved Codes of Practices, at all times.</w:t>
            </w:r>
          </w:p>
          <w:p w14:paraId="58F5BE7E" w14:textId="77777777" w:rsidR="00285DE7" w:rsidRPr="004C0A95" w:rsidRDefault="00285DE7" w:rsidP="00CB028A">
            <w:pPr>
              <w:rPr>
                <w:rFonts w:eastAsia="STZhongsong" w:cstheme="minorHAnsi"/>
                <w:lang w:eastAsia="zh-CN"/>
              </w:rPr>
            </w:pPr>
          </w:p>
          <w:p w14:paraId="6699BB3E" w14:textId="77777777" w:rsidR="00285DE7" w:rsidRPr="004C0A95" w:rsidRDefault="00285DE7" w:rsidP="00CB028A">
            <w:pPr>
              <w:rPr>
                <w:rFonts w:eastAsia="STZhongsong" w:cstheme="minorHAnsi"/>
                <w:lang w:eastAsia="zh-CN"/>
              </w:rPr>
            </w:pPr>
            <w:r w:rsidRPr="004C0A95">
              <w:rPr>
                <w:rFonts w:eastAsia="STZhongsong" w:cstheme="minorHAnsi"/>
                <w:lang w:eastAsia="zh-CN"/>
              </w:rPr>
              <w:t>Tenderers shall:</w:t>
            </w:r>
          </w:p>
          <w:p w14:paraId="32B120B3" w14:textId="77777777" w:rsidR="00285DE7" w:rsidRPr="004C0A95" w:rsidRDefault="00285DE7" w:rsidP="00CB028A">
            <w:pPr>
              <w:rPr>
                <w:rFonts w:eastAsia="STZhongsong" w:cstheme="minorHAnsi"/>
                <w:lang w:eastAsia="zh-CN"/>
              </w:rPr>
            </w:pPr>
          </w:p>
          <w:p w14:paraId="50405170"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Have an appointed competent person responsible for H&amp;S, details to be made available to THE AUTHORITY on request.</w:t>
            </w:r>
          </w:p>
          <w:p w14:paraId="4E810A6E" w14:textId="77777777" w:rsidR="00285DE7" w:rsidRPr="004C0A95" w:rsidRDefault="00285DE7" w:rsidP="00CB028A">
            <w:pPr>
              <w:ind w:left="720"/>
              <w:rPr>
                <w:rFonts w:eastAsia="STZhongsong" w:cstheme="minorHAnsi"/>
                <w:lang w:eastAsia="zh-CN"/>
              </w:rPr>
            </w:pPr>
          </w:p>
          <w:p w14:paraId="477A0882"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Have emergency arrangements and plans for their goods/product/service, and observe THE AUTHORITY’s arrangements whilst on site, or through the course of the business, or contract.</w:t>
            </w:r>
          </w:p>
          <w:p w14:paraId="2FA5484E" w14:textId="77777777" w:rsidR="00285DE7" w:rsidRPr="004C0A95" w:rsidRDefault="00285DE7" w:rsidP="00CB028A">
            <w:pPr>
              <w:ind w:left="720"/>
              <w:rPr>
                <w:rFonts w:eastAsia="STZhongsong" w:cstheme="minorHAnsi"/>
                <w:lang w:eastAsia="zh-CN"/>
              </w:rPr>
            </w:pPr>
          </w:p>
          <w:p w14:paraId="72D3B372"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Have adequate provision for your own first aid when on site.</w:t>
            </w:r>
          </w:p>
          <w:p w14:paraId="3E9817D2" w14:textId="77777777" w:rsidR="00285DE7" w:rsidRPr="004C0A95" w:rsidRDefault="00285DE7" w:rsidP="00CB028A">
            <w:pPr>
              <w:ind w:left="720"/>
              <w:rPr>
                <w:rFonts w:eastAsia="STZhongsong" w:cstheme="minorHAnsi"/>
                <w:lang w:eastAsia="zh-CN"/>
              </w:rPr>
            </w:pPr>
          </w:p>
          <w:p w14:paraId="6BD6B36B"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Have an accident reporting and recording process for all near miss, accidents/incidents, or violent and aggressive behaviours. Any incident on The AUTHORITY site should be reported immediately to The AUTHORITY’s Health and Safety Team.</w:t>
            </w:r>
          </w:p>
          <w:p w14:paraId="26AE11CC" w14:textId="77777777" w:rsidR="00285DE7" w:rsidRPr="004C0A95" w:rsidRDefault="00285DE7" w:rsidP="00CB028A">
            <w:pPr>
              <w:ind w:left="720"/>
              <w:rPr>
                <w:rFonts w:eastAsia="STZhongsong" w:cstheme="minorHAnsi"/>
                <w:lang w:eastAsia="zh-CN"/>
              </w:rPr>
            </w:pPr>
          </w:p>
          <w:p w14:paraId="7EED97BF"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Communicate with THE AUTHORITY on any health and safety matter or issue in relation to the contract/product/supply of goods or service, notifying THE AUTHORITY of any Health and Safety hazard which may arise in connection with its supply of goods, products or services.</w:t>
            </w:r>
          </w:p>
          <w:p w14:paraId="7BE37604" w14:textId="77777777" w:rsidR="00285DE7" w:rsidRPr="004C0A95" w:rsidRDefault="00285DE7" w:rsidP="00CB028A">
            <w:pPr>
              <w:ind w:left="720"/>
              <w:rPr>
                <w:rFonts w:eastAsia="STZhongsong" w:cstheme="minorHAnsi"/>
                <w:lang w:eastAsia="zh-CN"/>
              </w:rPr>
            </w:pPr>
          </w:p>
          <w:p w14:paraId="60336C90"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 xml:space="preserve">Indemnify THE AUTHORITY in the instance where failure of the company’s product/service, acts or omissions, with regards to health and safety, results in an economic penalty, time delay, issue, accident/incident or claim against The Authority. </w:t>
            </w:r>
          </w:p>
          <w:p w14:paraId="2FD8CCEB" w14:textId="77777777" w:rsidR="00285DE7" w:rsidRPr="004C0A95" w:rsidRDefault="00285DE7" w:rsidP="00CB028A">
            <w:pPr>
              <w:ind w:left="720"/>
              <w:rPr>
                <w:rFonts w:eastAsia="STZhongsong" w:cstheme="minorHAnsi"/>
                <w:lang w:eastAsia="zh-CN"/>
              </w:rPr>
            </w:pPr>
          </w:p>
          <w:p w14:paraId="2B3A2FD6"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Have suitable and sufficient insurance cover for all business/products/services supplied/that are provided to THE AUTHORITY.</w:t>
            </w:r>
          </w:p>
          <w:p w14:paraId="7249DDC3" w14:textId="77777777" w:rsidR="00285DE7" w:rsidRPr="004C0A95" w:rsidRDefault="00285DE7" w:rsidP="00CB028A">
            <w:pPr>
              <w:ind w:left="720"/>
              <w:rPr>
                <w:rFonts w:eastAsia="STZhongsong" w:cstheme="minorHAnsi"/>
                <w:lang w:eastAsia="zh-CN"/>
              </w:rPr>
            </w:pPr>
          </w:p>
          <w:p w14:paraId="16CD6473"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 xml:space="preserve">Have documented, suitable and sufficient, risk assessments and method statements, covering all significant activities and deliveries of products, </w:t>
            </w:r>
            <w:proofErr w:type="gramStart"/>
            <w:r w:rsidRPr="004C0A95">
              <w:rPr>
                <w:rFonts w:eastAsia="STZhongsong" w:cstheme="minorHAnsi"/>
                <w:lang w:eastAsia="zh-CN"/>
              </w:rPr>
              <w:t>goods</w:t>
            </w:r>
            <w:proofErr w:type="gramEnd"/>
            <w:r w:rsidRPr="004C0A95">
              <w:rPr>
                <w:rFonts w:eastAsia="STZhongsong" w:cstheme="minorHAnsi"/>
                <w:lang w:eastAsia="zh-CN"/>
              </w:rPr>
              <w:t xml:space="preserve"> and services. Copies to be made available to THE AUTHORITY on request.      </w:t>
            </w:r>
          </w:p>
          <w:p w14:paraId="609344C0" w14:textId="77777777" w:rsidR="00285DE7" w:rsidRPr="004C0A95" w:rsidRDefault="00285DE7" w:rsidP="00CB028A">
            <w:pPr>
              <w:ind w:left="720"/>
              <w:rPr>
                <w:rFonts w:eastAsia="STZhongsong" w:cstheme="minorHAnsi"/>
                <w:lang w:eastAsia="zh-CN"/>
              </w:rPr>
            </w:pPr>
          </w:p>
          <w:p w14:paraId="0CC163B4"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 xml:space="preserve">Provide suitable and sufficient health and safety training, </w:t>
            </w:r>
            <w:proofErr w:type="gramStart"/>
            <w:r w:rsidRPr="004C0A95">
              <w:rPr>
                <w:rFonts w:eastAsia="STZhongsong" w:cstheme="minorHAnsi"/>
                <w:lang w:eastAsia="zh-CN"/>
              </w:rPr>
              <w:t>information</w:t>
            </w:r>
            <w:proofErr w:type="gramEnd"/>
            <w:r w:rsidRPr="004C0A95">
              <w:rPr>
                <w:rFonts w:eastAsia="STZhongsong" w:cstheme="minorHAnsi"/>
                <w:lang w:eastAsia="zh-CN"/>
              </w:rPr>
              <w:t xml:space="preserve"> and instruction for all its employees/contractors/subcontractor. Records to be made available on request. </w:t>
            </w:r>
          </w:p>
          <w:p w14:paraId="721A9DB8"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lastRenderedPageBreak/>
              <w:t>Engage with THE AUTHORITY’s Security/Estates Management Group to arrange access to all THE AUTHORITY premises/buildings.</w:t>
            </w:r>
          </w:p>
          <w:p w14:paraId="022197EE" w14:textId="77777777" w:rsidR="00285DE7" w:rsidRPr="004C0A95" w:rsidRDefault="00285DE7" w:rsidP="00CB028A">
            <w:pPr>
              <w:ind w:left="720"/>
              <w:rPr>
                <w:rFonts w:eastAsia="STZhongsong" w:cstheme="minorHAnsi"/>
                <w:lang w:eastAsia="zh-CN"/>
              </w:rPr>
            </w:pPr>
          </w:p>
          <w:p w14:paraId="5DCE3125"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 xml:space="preserve">Comply with all vehicle and driver legal requirements and THE AUTHORITY policies whilst driving on premises or conducting business for THE AUTHORITY. </w:t>
            </w:r>
          </w:p>
          <w:p w14:paraId="4A402E50" w14:textId="77777777" w:rsidR="00285DE7" w:rsidRPr="004C0A95" w:rsidRDefault="00285DE7" w:rsidP="00CB028A">
            <w:pPr>
              <w:ind w:left="720"/>
              <w:rPr>
                <w:rFonts w:eastAsia="STZhongsong" w:cstheme="minorHAnsi"/>
                <w:lang w:eastAsia="zh-CN"/>
              </w:rPr>
            </w:pPr>
          </w:p>
          <w:p w14:paraId="1B3D83B0" w14:textId="77777777" w:rsidR="00285DE7" w:rsidRPr="004C0A95" w:rsidRDefault="00285DE7" w:rsidP="00CB028A">
            <w:pPr>
              <w:ind w:left="720"/>
              <w:rPr>
                <w:rFonts w:eastAsia="STZhongsong" w:cstheme="minorHAnsi"/>
                <w:lang w:eastAsia="zh-CN"/>
              </w:rPr>
            </w:pPr>
            <w:r w:rsidRPr="004C0A95">
              <w:rPr>
                <w:rFonts w:eastAsia="STZhongsong" w:cstheme="minorHAnsi"/>
                <w:lang w:eastAsia="zh-CN"/>
              </w:rPr>
              <w:t>C</w:t>
            </w:r>
            <w:r w:rsidR="00E767C6">
              <w:rPr>
                <w:rFonts w:eastAsia="STZhongsong" w:cstheme="minorHAnsi"/>
                <w:lang w:eastAsia="zh-CN"/>
              </w:rPr>
              <w:t>OSHH</w:t>
            </w:r>
            <w:r w:rsidRPr="004C0A95">
              <w:rPr>
                <w:rFonts w:eastAsia="STZhongsong" w:cstheme="minorHAnsi"/>
                <w:lang w:eastAsia="zh-CN"/>
              </w:rPr>
              <w:t xml:space="preserve"> sheets for all consumables to be provided.</w:t>
            </w:r>
          </w:p>
          <w:p w14:paraId="21F1BB80" w14:textId="77777777" w:rsidR="00285DE7" w:rsidRPr="004C0A95" w:rsidRDefault="00285DE7" w:rsidP="00CB028A">
            <w:pPr>
              <w:rPr>
                <w:rFonts w:eastAsia="STZhongsong" w:cstheme="minorHAnsi"/>
                <w:lang w:eastAsia="zh-CN"/>
              </w:rPr>
            </w:pPr>
          </w:p>
        </w:tc>
      </w:tr>
    </w:tbl>
    <w:p w14:paraId="552FEB2C" w14:textId="77777777" w:rsidR="00285DE7" w:rsidRPr="004C0A95" w:rsidRDefault="00285DE7" w:rsidP="00285DE7">
      <w:pPr>
        <w:ind w:left="1440" w:hanging="1440"/>
        <w:rPr>
          <w:rFonts w:cstheme="minorHAnsi"/>
        </w:rPr>
      </w:pPr>
    </w:p>
    <w:p w14:paraId="2A5DCDE7" w14:textId="77777777" w:rsidR="00285DE7" w:rsidRPr="004C0A95" w:rsidRDefault="00285DE7" w:rsidP="00285DE7">
      <w:pPr>
        <w:rPr>
          <w:rFonts w:cstheme="minorHAnsi"/>
          <w:b/>
          <w:szCs w:val="24"/>
        </w:rPr>
      </w:pPr>
      <w:r w:rsidRPr="004C0A95">
        <w:rPr>
          <w:rFonts w:cstheme="minorHAnsi"/>
          <w:b/>
          <w:szCs w:val="24"/>
        </w:rPr>
        <w:t>Diversity and Inclusion</w:t>
      </w:r>
    </w:p>
    <w:p w14:paraId="6BB0E55E" w14:textId="77777777" w:rsidR="00285DE7" w:rsidRPr="004C0A95" w:rsidRDefault="00285DE7" w:rsidP="00285DE7">
      <w:pPr>
        <w:rPr>
          <w:rFonts w:cstheme="minorHAnsi"/>
        </w:rPr>
      </w:pPr>
    </w:p>
    <w:p w14:paraId="7C5C27CD" w14:textId="77777777" w:rsidR="00285DE7" w:rsidRPr="004C0A95" w:rsidRDefault="00285DE7" w:rsidP="00285DE7">
      <w:pPr>
        <w:rPr>
          <w:rFonts w:cstheme="minorHAnsi"/>
        </w:rPr>
      </w:pPr>
      <w:r w:rsidRPr="004C0A95">
        <w:rPr>
          <w:rFonts w:cstheme="minorHAnsi"/>
        </w:rPr>
        <w:t xml:space="preserve">The Authority requires contractors to fully comply with the Authority’s Diversity and Inclusion Policy as detailed in </w:t>
      </w:r>
      <w:r w:rsidR="00E23869">
        <w:rPr>
          <w:rFonts w:cstheme="minorHAnsi"/>
          <w:b/>
        </w:rPr>
        <w:t>Annex 6</w:t>
      </w:r>
      <w:r w:rsidRPr="004C0A95">
        <w:rPr>
          <w:rFonts w:cstheme="minorHAnsi"/>
        </w:rPr>
        <w:t>.</w:t>
      </w:r>
    </w:p>
    <w:p w14:paraId="766FEFF6" w14:textId="77777777" w:rsidR="00285DE7" w:rsidRPr="004C0A95" w:rsidRDefault="00285DE7" w:rsidP="00285DE7">
      <w:pPr>
        <w:ind w:left="720"/>
        <w:rPr>
          <w:rFonts w:cstheme="minorHAnsi"/>
        </w:rPr>
      </w:pPr>
    </w:p>
    <w:p w14:paraId="3F55A063" w14:textId="77777777" w:rsidR="00285DE7" w:rsidRPr="004C0A95" w:rsidRDefault="00285DE7" w:rsidP="00285DE7">
      <w:pPr>
        <w:rPr>
          <w:rFonts w:cstheme="minorHAnsi"/>
          <w:szCs w:val="24"/>
        </w:rPr>
      </w:pPr>
      <w:r w:rsidRPr="004C0A95">
        <w:rPr>
          <w:rFonts w:cstheme="minorHAnsi"/>
          <w:b/>
          <w:szCs w:val="24"/>
        </w:rPr>
        <w:t>Armed Forces Covenant</w:t>
      </w:r>
    </w:p>
    <w:p w14:paraId="52F6BEB8" w14:textId="77777777" w:rsidR="00285DE7" w:rsidRPr="004C0A95" w:rsidRDefault="00285DE7" w:rsidP="00285DE7">
      <w:pPr>
        <w:rPr>
          <w:rFonts w:cstheme="minorHAnsi"/>
        </w:rPr>
      </w:pPr>
    </w:p>
    <w:p w14:paraId="5EFF80FE" w14:textId="77777777" w:rsidR="00285DE7" w:rsidRPr="004C0A95" w:rsidRDefault="00285DE7" w:rsidP="00285DE7">
      <w:pPr>
        <w:rPr>
          <w:rFonts w:cstheme="minorHAnsi"/>
        </w:rPr>
      </w:pPr>
      <w:r w:rsidRPr="004C0A95">
        <w:rPr>
          <w:rFonts w:cstheme="minorHAnsi"/>
        </w:rPr>
        <w:t xml:space="preserve">The Armed Forces Covenant is a public sector pledge from Government, businesses, </w:t>
      </w:r>
      <w:proofErr w:type="gramStart"/>
      <w:r w:rsidRPr="004C0A95">
        <w:rPr>
          <w:rFonts w:cstheme="minorHAnsi"/>
        </w:rPr>
        <w:t>charities</w:t>
      </w:r>
      <w:proofErr w:type="gramEnd"/>
      <w:r w:rsidRPr="004C0A95">
        <w:rPr>
          <w:rFonts w:cstheme="minorHAnsi"/>
        </w:rPr>
        <w:t xml:space="preserve"> and organisations to demonstrate their support for the armed forces community, detailed in</w:t>
      </w:r>
      <w:r w:rsidR="00FC1D6F">
        <w:rPr>
          <w:rFonts w:cstheme="minorHAnsi"/>
        </w:rPr>
        <w:t xml:space="preserve"> </w:t>
      </w:r>
      <w:r w:rsidR="00E23869" w:rsidRPr="00E23869">
        <w:rPr>
          <w:rFonts w:cstheme="minorHAnsi"/>
          <w:b/>
        </w:rPr>
        <w:t>Annex 7</w:t>
      </w:r>
      <w:r w:rsidR="00E23869">
        <w:rPr>
          <w:rFonts w:cstheme="minorHAnsi"/>
        </w:rPr>
        <w:t>.</w:t>
      </w:r>
    </w:p>
    <w:p w14:paraId="0B047C8C" w14:textId="77777777" w:rsidR="00285DE7" w:rsidRDefault="00285DE7" w:rsidP="006F21BC">
      <w:pPr>
        <w:ind w:left="-180"/>
        <w:rPr>
          <w:rFonts w:cs="Arial"/>
        </w:rPr>
      </w:pPr>
    </w:p>
    <w:p w14:paraId="462ACC65" w14:textId="77777777" w:rsidR="001A236D" w:rsidRPr="00FC1D6F" w:rsidRDefault="000F2E21" w:rsidP="00476BAD">
      <w:pPr>
        <w:pStyle w:val="Heading2"/>
        <w:tabs>
          <w:tab w:val="clear" w:pos="0"/>
          <w:tab w:val="left" w:pos="-180"/>
          <w:tab w:val="num" w:pos="747"/>
          <w:tab w:val="num" w:pos="1080"/>
        </w:tabs>
        <w:ind w:left="-142"/>
        <w:rPr>
          <w:rFonts w:asciiTheme="minorHAnsi" w:hAnsiTheme="minorHAnsi" w:cstheme="minorHAnsi"/>
        </w:rPr>
      </w:pPr>
      <w:bookmarkStart w:id="25" w:name="_Toc71532047"/>
      <w:r w:rsidRPr="00FC1D6F">
        <w:rPr>
          <w:rFonts w:asciiTheme="minorHAnsi" w:hAnsiTheme="minorHAnsi" w:cstheme="minorHAnsi"/>
        </w:rPr>
        <w:t xml:space="preserve">9. </w:t>
      </w:r>
      <w:r w:rsidR="001A236D" w:rsidRPr="00FC1D6F">
        <w:rPr>
          <w:rFonts w:asciiTheme="minorHAnsi" w:hAnsiTheme="minorHAnsi" w:cstheme="minorHAnsi"/>
        </w:rPr>
        <w:t>Management and Contract Administration</w:t>
      </w:r>
      <w:bookmarkEnd w:id="25"/>
    </w:p>
    <w:p w14:paraId="72F007BE" w14:textId="77777777" w:rsidR="001A2B92" w:rsidRDefault="001A2B92" w:rsidP="002D0CB5">
      <w:pPr>
        <w:tabs>
          <w:tab w:val="left" w:pos="-142"/>
        </w:tabs>
        <w:ind w:left="-142"/>
        <w:jc w:val="both"/>
        <w:rPr>
          <w:rFonts w:cs="Arial"/>
        </w:rPr>
      </w:pPr>
    </w:p>
    <w:p w14:paraId="7D66080B" w14:textId="77777777" w:rsidR="00285DE7" w:rsidRPr="004C0A95" w:rsidRDefault="00285DE7" w:rsidP="00285DE7">
      <w:pPr>
        <w:rPr>
          <w:rFonts w:cstheme="minorHAnsi"/>
          <w:b/>
          <w:szCs w:val="24"/>
        </w:rPr>
      </w:pPr>
      <w:r w:rsidRPr="004C0A95">
        <w:rPr>
          <w:rFonts w:cstheme="minorHAnsi"/>
          <w:b/>
          <w:szCs w:val="24"/>
        </w:rPr>
        <w:t>Contract Management</w:t>
      </w:r>
    </w:p>
    <w:p w14:paraId="4E4F904C" w14:textId="77777777" w:rsidR="00285DE7" w:rsidRPr="004C0A95" w:rsidRDefault="00285DE7" w:rsidP="00285DE7">
      <w:pPr>
        <w:ind w:left="-180"/>
        <w:rPr>
          <w:rFonts w:cstheme="minorHAnsi"/>
          <w:bCs/>
        </w:rPr>
      </w:pPr>
    </w:p>
    <w:p w14:paraId="5D5F88A7" w14:textId="77777777" w:rsidR="00285DE7" w:rsidRPr="004C0A95" w:rsidRDefault="00285DE7" w:rsidP="00285DE7">
      <w:pPr>
        <w:rPr>
          <w:rFonts w:cstheme="minorHAnsi"/>
        </w:rPr>
      </w:pPr>
      <w:r w:rsidRPr="004C0A95">
        <w:rPr>
          <w:rFonts w:cstheme="minorHAnsi"/>
        </w:rPr>
        <w:t>The Supplier is requested to identify the Key Personnel staff they propose for the Account Team and their roles and responsibilities.  The Supplier is also requested to detail the support the Account Team may obtain from the wider organisation and how this will be accessed.</w:t>
      </w:r>
    </w:p>
    <w:p w14:paraId="350A4EBA" w14:textId="77777777" w:rsidR="00285DE7" w:rsidRPr="004C0A95" w:rsidRDefault="00285DE7" w:rsidP="00285DE7">
      <w:pPr>
        <w:ind w:left="1418" w:hanging="1058"/>
        <w:rPr>
          <w:rFonts w:cstheme="minorHAnsi"/>
        </w:rPr>
      </w:pPr>
    </w:p>
    <w:p w14:paraId="677B0A2A" w14:textId="77777777" w:rsidR="00285DE7" w:rsidRPr="004C0A95" w:rsidRDefault="00285DE7" w:rsidP="00285DE7">
      <w:pPr>
        <w:rPr>
          <w:rFonts w:cstheme="minorHAnsi"/>
        </w:rPr>
      </w:pPr>
      <w:r w:rsidRPr="004C0A95">
        <w:rPr>
          <w:rFonts w:cstheme="minorHAnsi"/>
        </w:rPr>
        <w:t>The Supplier must appoint a Contract/Account Manager to support the Authority throughout the Contract period and to report on progress at intervals specified by the Authority.</w:t>
      </w:r>
    </w:p>
    <w:p w14:paraId="7641C9DE" w14:textId="77777777" w:rsidR="00285DE7" w:rsidRPr="004C0A95" w:rsidRDefault="00285DE7" w:rsidP="00285DE7">
      <w:pPr>
        <w:ind w:left="1418" w:hanging="1058"/>
        <w:rPr>
          <w:rFonts w:cstheme="minorHAnsi"/>
        </w:rPr>
      </w:pPr>
    </w:p>
    <w:p w14:paraId="54EA36F8" w14:textId="77777777" w:rsidR="00285DE7" w:rsidRPr="004C0A95" w:rsidRDefault="00285DE7" w:rsidP="00285DE7">
      <w:pPr>
        <w:rPr>
          <w:rFonts w:cstheme="minorHAnsi"/>
        </w:rPr>
      </w:pPr>
      <w:r w:rsidRPr="004C0A95">
        <w:rPr>
          <w:rFonts w:cstheme="minorHAnsi"/>
        </w:rPr>
        <w:t>The Supplier must also appoint a Product Development Manager to support the Authority and its suppliers throughout the delivery of any card developments sourced via this Contract.</w:t>
      </w:r>
    </w:p>
    <w:p w14:paraId="384BA288" w14:textId="77777777" w:rsidR="00285DE7" w:rsidRPr="004C0A95" w:rsidRDefault="00285DE7" w:rsidP="00285DE7">
      <w:pPr>
        <w:ind w:left="1418" w:hanging="1058"/>
        <w:rPr>
          <w:rFonts w:cstheme="minorHAnsi"/>
        </w:rPr>
      </w:pPr>
    </w:p>
    <w:p w14:paraId="48A71E76" w14:textId="77777777" w:rsidR="00285DE7" w:rsidRPr="004C0A95" w:rsidRDefault="00285DE7" w:rsidP="00285DE7">
      <w:pPr>
        <w:rPr>
          <w:rFonts w:cstheme="minorHAnsi"/>
        </w:rPr>
      </w:pPr>
      <w:r w:rsidRPr="004C0A95">
        <w:rPr>
          <w:rFonts w:cstheme="minorHAnsi"/>
        </w:rPr>
        <w:t>The appointed Contract/Account Manager and Product Development Manager can be the same person.</w:t>
      </w:r>
    </w:p>
    <w:p w14:paraId="4E4873A7" w14:textId="77777777" w:rsidR="00285DE7" w:rsidRPr="004C0A95" w:rsidRDefault="00285DE7" w:rsidP="00285DE7">
      <w:pPr>
        <w:ind w:left="2836" w:hanging="1058"/>
        <w:rPr>
          <w:rFonts w:cstheme="minorHAnsi"/>
        </w:rPr>
      </w:pPr>
    </w:p>
    <w:p w14:paraId="4C899EE4" w14:textId="77777777" w:rsidR="00285DE7" w:rsidRPr="004C0A95" w:rsidRDefault="00285DE7" w:rsidP="00285DE7">
      <w:pPr>
        <w:ind w:left="360"/>
        <w:rPr>
          <w:rFonts w:cstheme="minorHAnsi"/>
        </w:rPr>
      </w:pPr>
      <w:r w:rsidRPr="004C0A95">
        <w:rPr>
          <w:rFonts w:cstheme="minorHAnsi"/>
        </w:rPr>
        <w:t>The Authority may request CV’s and retains the right to reject a manager without explanation.</w:t>
      </w:r>
    </w:p>
    <w:p w14:paraId="56A166C5" w14:textId="77777777" w:rsidR="00285DE7" w:rsidRPr="004C0A95" w:rsidRDefault="00285DE7" w:rsidP="00285DE7">
      <w:pPr>
        <w:ind w:left="2836" w:hanging="1058"/>
        <w:rPr>
          <w:rFonts w:cstheme="minorHAnsi"/>
        </w:rPr>
      </w:pPr>
    </w:p>
    <w:p w14:paraId="08F07A86" w14:textId="77777777" w:rsidR="00285DE7" w:rsidRPr="004C0A95" w:rsidRDefault="00285DE7" w:rsidP="00285DE7">
      <w:pPr>
        <w:spacing w:line="276" w:lineRule="auto"/>
        <w:ind w:left="360"/>
        <w:rPr>
          <w:rFonts w:cstheme="minorHAnsi"/>
        </w:rPr>
      </w:pPr>
      <w:r w:rsidRPr="004C0A95">
        <w:rPr>
          <w:rFonts w:cstheme="minorHAnsi"/>
        </w:rPr>
        <w:t xml:space="preserve">The Supplier will (at the Authority’s request) support the Authority by making available its Contract/Account Manager and/or Product Development Manager on site at the Authority’s facilities. Costs will be covered by the Supplier. </w:t>
      </w:r>
    </w:p>
    <w:p w14:paraId="0C9909D3" w14:textId="77777777" w:rsidR="00285DE7" w:rsidRPr="004C0A95" w:rsidRDefault="00285DE7" w:rsidP="00285DE7">
      <w:pPr>
        <w:ind w:left="1418" w:hanging="720"/>
        <w:rPr>
          <w:rFonts w:cstheme="minorHAnsi"/>
        </w:rPr>
      </w:pPr>
    </w:p>
    <w:p w14:paraId="661A9E65" w14:textId="77777777" w:rsidR="00285DE7" w:rsidRPr="004C0A95" w:rsidRDefault="00285DE7" w:rsidP="00285DE7">
      <w:pPr>
        <w:spacing w:line="276" w:lineRule="auto"/>
        <w:ind w:left="360"/>
        <w:rPr>
          <w:rFonts w:cstheme="minorHAnsi"/>
        </w:rPr>
      </w:pPr>
      <w:r w:rsidRPr="004C0A95">
        <w:rPr>
          <w:rFonts w:cstheme="minorHAnsi"/>
        </w:rPr>
        <w:t xml:space="preserve">The Authority does not require a daily </w:t>
      </w:r>
      <w:proofErr w:type="gramStart"/>
      <w:r w:rsidRPr="004C0A95">
        <w:rPr>
          <w:rFonts w:cstheme="minorHAnsi"/>
        </w:rPr>
        <w:t>on site</w:t>
      </w:r>
      <w:proofErr w:type="gramEnd"/>
      <w:r w:rsidRPr="004C0A95">
        <w:rPr>
          <w:rFonts w:cstheme="minorHAnsi"/>
        </w:rPr>
        <w:t xml:space="preserve"> presence and would anticipate this being an ad-hoc activity to resolve major/critical live issues which may arise during the Contract period or to discuss new opportunities or developments.</w:t>
      </w:r>
    </w:p>
    <w:p w14:paraId="263B721E" w14:textId="77777777" w:rsidR="00285DE7" w:rsidRPr="004C0A95" w:rsidRDefault="00285DE7" w:rsidP="00285DE7">
      <w:pPr>
        <w:ind w:hanging="720"/>
        <w:rPr>
          <w:rFonts w:cstheme="minorHAnsi"/>
          <w:szCs w:val="24"/>
        </w:rPr>
      </w:pPr>
    </w:p>
    <w:p w14:paraId="5195B22D" w14:textId="77777777" w:rsidR="00285DE7" w:rsidRPr="004C0A95" w:rsidRDefault="00285DE7" w:rsidP="00285DE7">
      <w:pPr>
        <w:spacing w:line="276" w:lineRule="auto"/>
        <w:ind w:left="360"/>
        <w:rPr>
          <w:rFonts w:cstheme="minorHAnsi"/>
        </w:rPr>
      </w:pPr>
      <w:r w:rsidRPr="004C0A95">
        <w:rPr>
          <w:rFonts w:cstheme="minorHAnsi"/>
        </w:rPr>
        <w:t>Supplier Project Manager, Contract/Account Manager and/or Product Development Manager must have fluent English communications skills (written and spoken).</w:t>
      </w:r>
    </w:p>
    <w:p w14:paraId="76E15AE9" w14:textId="77777777" w:rsidR="00285DE7" w:rsidRPr="004C0A95" w:rsidRDefault="00285DE7" w:rsidP="00285DE7">
      <w:pPr>
        <w:ind w:hanging="720"/>
        <w:rPr>
          <w:rFonts w:cstheme="minorHAnsi"/>
        </w:rPr>
      </w:pPr>
    </w:p>
    <w:p w14:paraId="3E69926F" w14:textId="77777777" w:rsidR="00285DE7" w:rsidRPr="004C0A95" w:rsidRDefault="00285DE7" w:rsidP="00285DE7">
      <w:pPr>
        <w:spacing w:line="276" w:lineRule="auto"/>
        <w:ind w:left="360"/>
        <w:rPr>
          <w:rFonts w:cstheme="minorHAnsi"/>
        </w:rPr>
      </w:pPr>
      <w:r w:rsidRPr="004C0A95">
        <w:rPr>
          <w:rFonts w:cstheme="minorHAnsi"/>
        </w:rPr>
        <w:lastRenderedPageBreak/>
        <w:t xml:space="preserve">In terms of Account </w:t>
      </w:r>
      <w:proofErr w:type="gramStart"/>
      <w:r w:rsidRPr="004C0A95">
        <w:rPr>
          <w:rFonts w:cstheme="minorHAnsi"/>
        </w:rPr>
        <w:t>Management</w:t>
      </w:r>
      <w:proofErr w:type="gramEnd"/>
      <w:r w:rsidRPr="004C0A95">
        <w:rPr>
          <w:rFonts w:cstheme="minorHAnsi"/>
        </w:rPr>
        <w:t xml:space="preserve"> the Authority will require the Supplier to provide the following services as a minimum:</w:t>
      </w:r>
    </w:p>
    <w:p w14:paraId="7323747A" w14:textId="77777777" w:rsidR="00285DE7" w:rsidRPr="004C0A95" w:rsidRDefault="0028270F" w:rsidP="00285DE7">
      <w:pPr>
        <w:numPr>
          <w:ilvl w:val="0"/>
          <w:numId w:val="26"/>
        </w:numPr>
        <w:ind w:left="2517" w:hanging="357"/>
        <w:rPr>
          <w:rFonts w:cstheme="minorHAnsi"/>
        </w:rPr>
      </w:pPr>
      <w:r>
        <w:rPr>
          <w:rFonts w:cstheme="minorHAnsi"/>
        </w:rPr>
        <w:t xml:space="preserve">As frequent as </w:t>
      </w:r>
      <w:r w:rsidR="00285DE7" w:rsidRPr="004C0A95">
        <w:rPr>
          <w:rFonts w:cstheme="minorHAnsi"/>
        </w:rPr>
        <w:t>Monthly Service Review Meetings in Swansea which the Supplier will minute for sign off by both parties</w:t>
      </w:r>
    </w:p>
    <w:p w14:paraId="32386974" w14:textId="77777777" w:rsidR="00285DE7" w:rsidRPr="004C0A95" w:rsidRDefault="00285DE7" w:rsidP="00285DE7">
      <w:pPr>
        <w:numPr>
          <w:ilvl w:val="0"/>
          <w:numId w:val="26"/>
        </w:numPr>
        <w:ind w:left="2517" w:hanging="357"/>
        <w:rPr>
          <w:rFonts w:cstheme="minorHAnsi"/>
        </w:rPr>
      </w:pPr>
      <w:r w:rsidRPr="004C0A95">
        <w:rPr>
          <w:rFonts w:cstheme="minorHAnsi"/>
        </w:rPr>
        <w:t>Ad-hoc meetings to cover issues / initiatives as they may arise.</w:t>
      </w:r>
    </w:p>
    <w:p w14:paraId="393247CE" w14:textId="77777777" w:rsidR="00285DE7" w:rsidRPr="004C0A95" w:rsidRDefault="00285DE7" w:rsidP="00285DE7">
      <w:pPr>
        <w:numPr>
          <w:ilvl w:val="0"/>
          <w:numId w:val="26"/>
        </w:numPr>
        <w:ind w:left="2517" w:hanging="357"/>
        <w:rPr>
          <w:rFonts w:cstheme="minorHAnsi"/>
        </w:rPr>
      </w:pPr>
      <w:r w:rsidRPr="004C0A95">
        <w:rPr>
          <w:rFonts w:cstheme="minorHAnsi"/>
        </w:rPr>
        <w:t>Escalation and fault resolution contact pathway</w:t>
      </w:r>
    </w:p>
    <w:p w14:paraId="58F97A4F" w14:textId="77777777" w:rsidR="00285DE7" w:rsidRPr="004C0A95" w:rsidRDefault="00285DE7" w:rsidP="00285DE7">
      <w:pPr>
        <w:numPr>
          <w:ilvl w:val="0"/>
          <w:numId w:val="26"/>
        </w:numPr>
        <w:ind w:left="2517" w:hanging="357"/>
        <w:rPr>
          <w:rFonts w:cstheme="minorHAnsi"/>
        </w:rPr>
      </w:pPr>
      <w:r w:rsidRPr="004C0A95">
        <w:rPr>
          <w:rFonts w:cstheme="minorHAnsi"/>
        </w:rPr>
        <w:t>Dispute resolution - point of contact and agreed process</w:t>
      </w:r>
    </w:p>
    <w:p w14:paraId="75D605AF" w14:textId="77777777" w:rsidR="00285DE7" w:rsidRPr="004C0A95" w:rsidRDefault="00285DE7" w:rsidP="00285DE7">
      <w:pPr>
        <w:numPr>
          <w:ilvl w:val="0"/>
          <w:numId w:val="26"/>
        </w:numPr>
        <w:ind w:left="2517" w:hanging="357"/>
        <w:rPr>
          <w:rFonts w:cstheme="minorHAnsi"/>
        </w:rPr>
      </w:pPr>
      <w:r w:rsidRPr="004C0A95">
        <w:rPr>
          <w:rFonts w:cstheme="minorHAnsi"/>
        </w:rPr>
        <w:t>Incident management process and continuity of service</w:t>
      </w:r>
    </w:p>
    <w:p w14:paraId="2EA4F460" w14:textId="77777777" w:rsidR="00285DE7" w:rsidRPr="004C0A95" w:rsidRDefault="00285DE7" w:rsidP="00285DE7">
      <w:pPr>
        <w:spacing w:line="276" w:lineRule="auto"/>
        <w:ind w:left="27" w:hanging="27"/>
        <w:rPr>
          <w:rFonts w:cstheme="minorHAnsi"/>
          <w:color w:val="FF0000"/>
        </w:rPr>
      </w:pPr>
    </w:p>
    <w:p w14:paraId="093FCCA3" w14:textId="77777777" w:rsidR="009424D8" w:rsidRPr="0028270F" w:rsidRDefault="00285DE7" w:rsidP="0028270F">
      <w:pPr>
        <w:spacing w:line="276" w:lineRule="auto"/>
        <w:ind w:left="284"/>
        <w:rPr>
          <w:rFonts w:cstheme="minorHAnsi"/>
        </w:rPr>
      </w:pPr>
      <w:r w:rsidRPr="004C0A95">
        <w:rPr>
          <w:rFonts w:cstheme="minorHAnsi"/>
        </w:rPr>
        <w:t>The Supplier and the Authority are to provide each other with Notice Addresses to which formal communications will be sent.</w:t>
      </w:r>
    </w:p>
    <w:p w14:paraId="6F9A40CF" w14:textId="77777777" w:rsidR="006D7C93" w:rsidRDefault="006D7C93" w:rsidP="009424D8">
      <w:pPr>
        <w:tabs>
          <w:tab w:val="left" w:pos="-180"/>
        </w:tabs>
        <w:ind w:left="-180"/>
      </w:pPr>
    </w:p>
    <w:p w14:paraId="0BB53CDD" w14:textId="77777777" w:rsidR="006D7C93" w:rsidRDefault="006D7C93" w:rsidP="009424D8">
      <w:pPr>
        <w:tabs>
          <w:tab w:val="left" w:pos="-180"/>
        </w:tabs>
        <w:ind w:left="-180"/>
      </w:pPr>
      <w:r>
        <w:tab/>
        <w:t>Review of the current fleet, invoicing and customer service performance will be discussed.</w:t>
      </w:r>
    </w:p>
    <w:p w14:paraId="42ECA0E8" w14:textId="77777777" w:rsidR="00DB2E5A" w:rsidRDefault="00DB2E5A" w:rsidP="009424D8">
      <w:pPr>
        <w:tabs>
          <w:tab w:val="left" w:pos="-180"/>
        </w:tabs>
        <w:ind w:left="-180"/>
      </w:pPr>
    </w:p>
    <w:p w14:paraId="0AE5CE15" w14:textId="77777777" w:rsidR="00DB2E5A" w:rsidRDefault="00DB2E5A" w:rsidP="00DB2E5A">
      <w:pPr>
        <w:tabs>
          <w:tab w:val="left" w:pos="-180"/>
        </w:tabs>
      </w:pPr>
      <w:r>
        <w:t>Inspection of the vehicles during these meetings by the supplier is welcomed, to ensure condition of the vehicle is to what be expected.</w:t>
      </w:r>
    </w:p>
    <w:p w14:paraId="2D1FC163" w14:textId="77777777" w:rsidR="009424D8" w:rsidRDefault="009424D8" w:rsidP="009D6479">
      <w:pPr>
        <w:tabs>
          <w:tab w:val="left" w:pos="-180"/>
        </w:tabs>
        <w:ind w:left="-181"/>
        <w:rPr>
          <w:bCs/>
        </w:rPr>
      </w:pPr>
    </w:p>
    <w:p w14:paraId="364AD0ED" w14:textId="77777777" w:rsidR="00285DE7" w:rsidRPr="004C0A95" w:rsidRDefault="00285DE7" w:rsidP="00285DE7">
      <w:pPr>
        <w:pStyle w:val="Heading2"/>
        <w:tabs>
          <w:tab w:val="left" w:pos="-180"/>
        </w:tabs>
        <w:spacing w:before="0" w:line="276" w:lineRule="auto"/>
        <w:ind w:left="-180"/>
        <w:rPr>
          <w:rFonts w:asciiTheme="minorHAnsi" w:hAnsiTheme="minorHAnsi" w:cstheme="minorHAnsi"/>
          <w:b w:val="0"/>
          <w:color w:val="000000" w:themeColor="text1"/>
          <w:szCs w:val="28"/>
        </w:rPr>
      </w:pPr>
      <w:bookmarkStart w:id="26" w:name="_Toc504628535"/>
      <w:bookmarkStart w:id="27" w:name="_Toc517942044"/>
      <w:bookmarkStart w:id="28" w:name="_Toc71532048"/>
      <w:r w:rsidRPr="004C0A95">
        <w:rPr>
          <w:rFonts w:asciiTheme="minorHAnsi" w:hAnsiTheme="minorHAnsi" w:cstheme="minorHAnsi"/>
          <w:color w:val="000000" w:themeColor="text1"/>
          <w:szCs w:val="28"/>
        </w:rPr>
        <w:t>10. Training / Skills / Knowledge Transfer</w:t>
      </w:r>
      <w:bookmarkEnd w:id="26"/>
      <w:bookmarkEnd w:id="27"/>
      <w:bookmarkEnd w:id="28"/>
    </w:p>
    <w:p w14:paraId="6F3DE564" w14:textId="77777777" w:rsidR="00285DE7" w:rsidRPr="004C0A95" w:rsidRDefault="00285DE7" w:rsidP="00285DE7">
      <w:pPr>
        <w:rPr>
          <w:rFonts w:cstheme="minorHAnsi"/>
          <w:color w:val="000000" w:themeColor="text1"/>
        </w:rPr>
      </w:pPr>
    </w:p>
    <w:p w14:paraId="3496309A" w14:textId="77777777" w:rsidR="00285DE7" w:rsidRPr="00210BF8" w:rsidRDefault="00285DE7" w:rsidP="00FF3786">
      <w:r w:rsidRPr="0028270F">
        <w:t xml:space="preserve">The supplier should offer training, </w:t>
      </w:r>
      <w:proofErr w:type="gramStart"/>
      <w:r w:rsidRPr="0028270F">
        <w:t>skills</w:t>
      </w:r>
      <w:proofErr w:type="gramEnd"/>
      <w:r w:rsidRPr="0028270F">
        <w:t xml:space="preserve"> or knowledge transfer after a formal discussion to identify the specific requirement. This training or knowledge transfer will be based on the business need to grow its knowledge base on a yet to be defined requirement.  The Authority will work with the winning bidder to identify what training, skills and knowledge transfer will be required to enable the Authority to proactively work alongside the winning bidder, formulating a strong working partnership, ensuring that the Authority staff and bidder employees have a shared level of understanding of the operational needs to successfully deliver requisite outputs and work together to overcome any challenges that may present themselves over the duration of the contract term</w:t>
      </w:r>
      <w:r w:rsidRPr="00210BF8">
        <w:t xml:space="preserve">. </w:t>
      </w:r>
    </w:p>
    <w:p w14:paraId="00D366C8" w14:textId="77777777" w:rsidR="00285DE7" w:rsidRPr="004C0A95" w:rsidRDefault="00285DE7" w:rsidP="00285DE7">
      <w:pPr>
        <w:tabs>
          <w:tab w:val="left" w:pos="-180"/>
        </w:tabs>
        <w:spacing w:line="276" w:lineRule="auto"/>
        <w:ind w:left="-180"/>
        <w:rPr>
          <w:rFonts w:cstheme="minorHAnsi"/>
          <w:bCs/>
        </w:rPr>
      </w:pPr>
    </w:p>
    <w:p w14:paraId="491AAA2C" w14:textId="77777777" w:rsidR="00285DE7" w:rsidRPr="004C0A95" w:rsidRDefault="00285DE7" w:rsidP="00285DE7">
      <w:pPr>
        <w:pStyle w:val="Heading2"/>
        <w:tabs>
          <w:tab w:val="left" w:pos="-180"/>
        </w:tabs>
        <w:spacing w:before="0" w:line="276" w:lineRule="auto"/>
        <w:ind w:left="-180"/>
        <w:rPr>
          <w:rFonts w:asciiTheme="minorHAnsi" w:hAnsiTheme="minorHAnsi" w:cstheme="minorHAnsi"/>
          <w:b w:val="0"/>
          <w:color w:val="000000" w:themeColor="text1"/>
          <w:szCs w:val="28"/>
        </w:rPr>
      </w:pPr>
      <w:bookmarkStart w:id="29" w:name="_Toc504628536"/>
      <w:bookmarkStart w:id="30" w:name="_Toc517942045"/>
      <w:bookmarkStart w:id="31" w:name="_Toc71532049"/>
      <w:r w:rsidRPr="004C0A95">
        <w:rPr>
          <w:rFonts w:asciiTheme="minorHAnsi" w:hAnsiTheme="minorHAnsi" w:cstheme="minorHAnsi"/>
          <w:color w:val="000000" w:themeColor="text1"/>
          <w:szCs w:val="28"/>
        </w:rPr>
        <w:t>11. Documentation</w:t>
      </w:r>
      <w:bookmarkEnd w:id="29"/>
      <w:bookmarkEnd w:id="30"/>
      <w:bookmarkEnd w:id="31"/>
    </w:p>
    <w:p w14:paraId="1EFF3793" w14:textId="77777777" w:rsidR="00285DE7" w:rsidRDefault="00285DE7" w:rsidP="00285DE7">
      <w:pPr>
        <w:spacing w:line="276" w:lineRule="auto"/>
        <w:jc w:val="both"/>
        <w:rPr>
          <w:rFonts w:cstheme="minorHAnsi"/>
        </w:rPr>
      </w:pPr>
      <w:r w:rsidRPr="004C0A95">
        <w:rPr>
          <w:rFonts w:cstheme="minorHAnsi"/>
        </w:rPr>
        <w:t>The supplier must provide a facility to share up to date literature on its products and services as it becomes available.  This can be in the form of hard copy documentation or by means of an online repository.</w:t>
      </w:r>
    </w:p>
    <w:p w14:paraId="4003BC52" w14:textId="77777777" w:rsidR="0028270F" w:rsidRDefault="0028270F" w:rsidP="00285DE7">
      <w:pPr>
        <w:spacing w:line="276" w:lineRule="auto"/>
        <w:jc w:val="both"/>
        <w:rPr>
          <w:rFonts w:cstheme="minorHAnsi"/>
        </w:rPr>
      </w:pPr>
    </w:p>
    <w:p w14:paraId="6A5C7F49" w14:textId="77777777" w:rsidR="0028270F" w:rsidRPr="004C0A95" w:rsidRDefault="0028270F" w:rsidP="00285DE7">
      <w:pPr>
        <w:spacing w:line="276" w:lineRule="auto"/>
        <w:jc w:val="both"/>
        <w:rPr>
          <w:rFonts w:cstheme="minorHAnsi"/>
        </w:rPr>
      </w:pPr>
      <w:r>
        <w:rPr>
          <w:rFonts w:cstheme="minorHAnsi"/>
        </w:rPr>
        <w:t>The vehicle maintenance manual should be provided for each vehicle.</w:t>
      </w:r>
    </w:p>
    <w:p w14:paraId="798C0A21" w14:textId="77777777" w:rsidR="00285DE7" w:rsidRPr="004C0A95" w:rsidRDefault="00285DE7" w:rsidP="00285DE7">
      <w:pPr>
        <w:tabs>
          <w:tab w:val="left" w:pos="-180"/>
        </w:tabs>
        <w:ind w:left="-180"/>
        <w:rPr>
          <w:rFonts w:cstheme="minorHAnsi"/>
          <w:bCs/>
        </w:rPr>
      </w:pPr>
    </w:p>
    <w:p w14:paraId="0C6D8270" w14:textId="77777777" w:rsidR="00285DE7" w:rsidRPr="0028270F" w:rsidRDefault="00285DE7" w:rsidP="0028270F">
      <w:pPr>
        <w:pStyle w:val="Heading2"/>
        <w:tabs>
          <w:tab w:val="left" w:pos="-180"/>
        </w:tabs>
        <w:spacing w:before="0" w:line="276" w:lineRule="auto"/>
        <w:ind w:left="-142"/>
        <w:rPr>
          <w:rFonts w:asciiTheme="minorHAnsi" w:hAnsiTheme="minorHAnsi" w:cstheme="minorHAnsi"/>
          <w:b w:val="0"/>
          <w:color w:val="000000" w:themeColor="text1"/>
          <w:szCs w:val="28"/>
        </w:rPr>
      </w:pPr>
      <w:bookmarkStart w:id="32" w:name="_Toc504628537"/>
      <w:bookmarkStart w:id="33" w:name="_Toc517942046"/>
      <w:bookmarkStart w:id="34" w:name="_Toc71532050"/>
      <w:r w:rsidRPr="004C0A95">
        <w:rPr>
          <w:rFonts w:asciiTheme="minorHAnsi" w:hAnsiTheme="minorHAnsi" w:cstheme="minorHAnsi"/>
          <w:color w:val="000000" w:themeColor="text1"/>
          <w:szCs w:val="28"/>
        </w:rPr>
        <w:t>12. Arrangement for End of Contract</w:t>
      </w:r>
      <w:bookmarkEnd w:id="32"/>
      <w:bookmarkEnd w:id="33"/>
      <w:bookmarkEnd w:id="34"/>
    </w:p>
    <w:p w14:paraId="6031AC45" w14:textId="77777777" w:rsidR="00285DE7" w:rsidRPr="004C0A95" w:rsidRDefault="00285DE7" w:rsidP="00285DE7">
      <w:pPr>
        <w:tabs>
          <w:tab w:val="left" w:pos="-180"/>
        </w:tabs>
        <w:spacing w:line="276" w:lineRule="auto"/>
        <w:rPr>
          <w:rFonts w:cstheme="minorHAnsi"/>
          <w:bCs/>
        </w:rPr>
      </w:pPr>
      <w:r w:rsidRPr="004C0A95">
        <w:rPr>
          <w:rFonts w:cstheme="minorHAnsi"/>
          <w:bCs/>
        </w:rPr>
        <w:t>The Contractor shall fully cooperate with the Authority to ensure a fair and transparent re-tendering process for this contract. This may require the Contractor to demonstrate separation between teams occupied on the existing Contract and those involved in tendering for the replacement contract to prevent actual (or perceived) conflicts of interest arising.</w:t>
      </w:r>
    </w:p>
    <w:p w14:paraId="6CAACC00" w14:textId="77777777" w:rsidR="00285DE7" w:rsidRPr="004C0A95" w:rsidRDefault="00285DE7" w:rsidP="00285DE7">
      <w:pPr>
        <w:tabs>
          <w:tab w:val="left" w:pos="-180"/>
        </w:tabs>
        <w:spacing w:line="276" w:lineRule="auto"/>
        <w:ind w:left="-142"/>
        <w:rPr>
          <w:rFonts w:cstheme="minorHAnsi"/>
          <w:bCs/>
        </w:rPr>
      </w:pPr>
    </w:p>
    <w:p w14:paraId="6F60FC48" w14:textId="1422FE1E" w:rsidR="00686DCB" w:rsidRDefault="00285DE7" w:rsidP="00E767C6">
      <w:pPr>
        <w:tabs>
          <w:tab w:val="left" w:pos="-180"/>
        </w:tabs>
        <w:spacing w:line="276" w:lineRule="auto"/>
        <w:rPr>
          <w:b/>
          <w:sz w:val="28"/>
        </w:rPr>
      </w:pPr>
      <w:r w:rsidRPr="004C0A95">
        <w:rPr>
          <w:rFonts w:cstheme="minorHAnsi"/>
          <w:bCs/>
        </w:rPr>
        <w:t xml:space="preserve">The final year of the </w:t>
      </w:r>
      <w:r>
        <w:rPr>
          <w:rFonts w:cstheme="minorHAnsi"/>
          <w:bCs/>
        </w:rPr>
        <w:t>2</w:t>
      </w:r>
      <w:r w:rsidR="006C02EB">
        <w:rPr>
          <w:rFonts w:cstheme="minorHAnsi"/>
          <w:bCs/>
        </w:rPr>
        <w:t>-</w:t>
      </w:r>
      <w:r w:rsidRPr="004C0A95">
        <w:rPr>
          <w:rFonts w:cstheme="minorHAnsi"/>
          <w:bCs/>
        </w:rPr>
        <w:t>year term and/or the 1 + 1 year extension could be utilised to transition across to a new contract.</w:t>
      </w:r>
      <w:r w:rsidR="00686DCB">
        <w:br w:type="page"/>
      </w:r>
    </w:p>
    <w:p w14:paraId="76BB3FBA" w14:textId="77777777" w:rsidR="00D52F9F" w:rsidRPr="00FC1D6F" w:rsidRDefault="005358B8" w:rsidP="00FC1D6F">
      <w:pPr>
        <w:pStyle w:val="Heading2"/>
        <w:tabs>
          <w:tab w:val="left" w:pos="-180"/>
        </w:tabs>
        <w:spacing w:before="0" w:line="276" w:lineRule="auto"/>
        <w:ind w:left="-180"/>
        <w:rPr>
          <w:rFonts w:asciiTheme="minorHAnsi" w:hAnsiTheme="minorHAnsi" w:cstheme="minorHAnsi"/>
          <w:color w:val="000000" w:themeColor="text1"/>
          <w:szCs w:val="28"/>
        </w:rPr>
      </w:pPr>
      <w:bookmarkStart w:id="35" w:name="_Toc71532051"/>
      <w:r w:rsidRPr="00FC1D6F">
        <w:rPr>
          <w:rFonts w:asciiTheme="minorHAnsi" w:hAnsiTheme="minorHAnsi" w:cstheme="minorHAnsi"/>
          <w:color w:val="000000" w:themeColor="text1"/>
          <w:szCs w:val="28"/>
        </w:rPr>
        <w:lastRenderedPageBreak/>
        <w:t>1</w:t>
      </w:r>
      <w:r w:rsidR="00FC1D6F" w:rsidRPr="00FC1D6F">
        <w:rPr>
          <w:rFonts w:asciiTheme="minorHAnsi" w:hAnsiTheme="minorHAnsi" w:cstheme="minorHAnsi"/>
          <w:color w:val="000000" w:themeColor="text1"/>
          <w:szCs w:val="28"/>
        </w:rPr>
        <w:t>3</w:t>
      </w:r>
      <w:r w:rsidR="00904F8C" w:rsidRPr="00FC1D6F">
        <w:rPr>
          <w:rFonts w:asciiTheme="minorHAnsi" w:hAnsiTheme="minorHAnsi" w:cstheme="minorHAnsi"/>
          <w:color w:val="000000" w:themeColor="text1"/>
          <w:szCs w:val="28"/>
        </w:rPr>
        <w:t xml:space="preserve">. </w:t>
      </w:r>
      <w:r w:rsidR="001A236D" w:rsidRPr="00FC1D6F">
        <w:rPr>
          <w:rFonts w:asciiTheme="minorHAnsi" w:hAnsiTheme="minorHAnsi" w:cstheme="minorHAnsi"/>
          <w:color w:val="000000" w:themeColor="text1"/>
          <w:szCs w:val="28"/>
        </w:rPr>
        <w:t>Evaluation Criteria</w:t>
      </w:r>
      <w:bookmarkStart w:id="36" w:name="_Toc380578633"/>
      <w:bookmarkEnd w:id="35"/>
    </w:p>
    <w:p w14:paraId="0888C03B" w14:textId="77777777" w:rsidR="00213203" w:rsidRPr="00213203" w:rsidRDefault="00213203" w:rsidP="00213203">
      <w:pPr>
        <w:pStyle w:val="Heading3"/>
        <w:spacing w:before="0" w:after="0"/>
      </w:pPr>
    </w:p>
    <w:bookmarkEnd w:id="36"/>
    <w:p w14:paraId="61D3CDE3" w14:textId="33D397EE" w:rsidR="00661287" w:rsidRPr="00661287" w:rsidRDefault="00661287" w:rsidP="008D63EC">
      <w:pPr>
        <w:tabs>
          <w:tab w:val="left" w:pos="-180"/>
          <w:tab w:val="left" w:pos="454"/>
          <w:tab w:val="left" w:pos="907"/>
        </w:tabs>
        <w:rPr>
          <w:rFonts w:cs="Arial"/>
          <w:b/>
          <w:bCs/>
        </w:rPr>
      </w:pPr>
      <w:r w:rsidRPr="00661287">
        <w:rPr>
          <w:rFonts w:cs="Arial"/>
          <w:b/>
          <w:bCs/>
        </w:rPr>
        <w:t>Please see Annex 1</w:t>
      </w:r>
      <w:r>
        <w:rPr>
          <w:rFonts w:cs="Arial"/>
          <w:b/>
          <w:bCs/>
        </w:rPr>
        <w:t xml:space="preserve"> for all Mandatories, Quality and Price criteria</w:t>
      </w:r>
      <w:r w:rsidRPr="00661287">
        <w:rPr>
          <w:rFonts w:cs="Arial"/>
          <w:b/>
          <w:bCs/>
        </w:rPr>
        <w:t>.</w:t>
      </w:r>
    </w:p>
    <w:p w14:paraId="131F4156" w14:textId="77777777" w:rsidR="00661287" w:rsidRDefault="00661287" w:rsidP="008D63EC">
      <w:pPr>
        <w:tabs>
          <w:tab w:val="left" w:pos="-180"/>
          <w:tab w:val="left" w:pos="454"/>
          <w:tab w:val="left" w:pos="907"/>
        </w:tabs>
        <w:rPr>
          <w:rFonts w:cs="Arial"/>
        </w:rPr>
      </w:pPr>
    </w:p>
    <w:p w14:paraId="01433C14" w14:textId="158E6757" w:rsidR="00077A17" w:rsidRDefault="0016217D" w:rsidP="008D63EC">
      <w:pPr>
        <w:tabs>
          <w:tab w:val="left" w:pos="-180"/>
          <w:tab w:val="left" w:pos="454"/>
          <w:tab w:val="left" w:pos="907"/>
        </w:tabs>
        <w:rPr>
          <w:rFonts w:cs="Arial"/>
        </w:rPr>
      </w:pPr>
      <w:r>
        <w:rPr>
          <w:rFonts w:cs="Arial"/>
        </w:rPr>
        <w:t>Selection will be based on the Evaluation C</w:t>
      </w:r>
      <w:r w:rsidR="00077A17" w:rsidRPr="009A66BA">
        <w:rPr>
          <w:rFonts w:cs="Arial"/>
        </w:rPr>
        <w:t>riteria</w:t>
      </w:r>
      <w:r w:rsidR="001925F7">
        <w:rPr>
          <w:rFonts w:cs="Arial"/>
        </w:rPr>
        <w:t>,</w:t>
      </w:r>
      <w:r w:rsidR="00077A17">
        <w:rPr>
          <w:rFonts w:cs="Arial"/>
        </w:rPr>
        <w:t xml:space="preserve"> encompassing </w:t>
      </w:r>
      <w:r w:rsidR="00077A17" w:rsidRPr="009A66BA">
        <w:rPr>
          <w:rFonts w:cs="Arial"/>
        </w:rPr>
        <w:t>the most</w:t>
      </w:r>
      <w:r w:rsidR="00077A17">
        <w:rPr>
          <w:rFonts w:cs="Arial"/>
        </w:rPr>
        <w:t xml:space="preserve"> economically</w:t>
      </w:r>
      <w:r w:rsidR="00077A17" w:rsidRPr="009A66BA">
        <w:rPr>
          <w:rFonts w:cs="Arial"/>
        </w:rPr>
        <w:t xml:space="preserve"> advantageous </w:t>
      </w:r>
      <w:r w:rsidR="001A6828">
        <w:rPr>
          <w:rFonts w:cs="Arial"/>
        </w:rPr>
        <w:t>tender</w:t>
      </w:r>
      <w:r w:rsidR="001A6828" w:rsidRPr="009A66BA">
        <w:rPr>
          <w:rFonts w:cs="Arial"/>
        </w:rPr>
        <w:t>, which</w:t>
      </w:r>
      <w:r w:rsidR="00077A17" w:rsidRPr="009A66BA">
        <w:rPr>
          <w:rFonts w:cs="Arial"/>
        </w:rPr>
        <w:t xml:space="preserve"> demonstrates a high degree of overall value for money, competence, </w:t>
      </w:r>
      <w:proofErr w:type="gramStart"/>
      <w:r w:rsidR="00077A17" w:rsidRPr="009A66BA">
        <w:rPr>
          <w:rFonts w:cs="Arial"/>
        </w:rPr>
        <w:t>credibility</w:t>
      </w:r>
      <w:proofErr w:type="gramEnd"/>
      <w:r w:rsidR="00077A17" w:rsidRPr="009A66BA">
        <w:rPr>
          <w:rFonts w:cs="Arial"/>
        </w:rPr>
        <w:t xml:space="preserve"> and ability to deliver.</w:t>
      </w:r>
    </w:p>
    <w:p w14:paraId="0B6477ED" w14:textId="77777777" w:rsidR="00077A17" w:rsidRDefault="00077A17" w:rsidP="008D63EC">
      <w:pPr>
        <w:tabs>
          <w:tab w:val="left" w:pos="-180"/>
          <w:tab w:val="left" w:pos="454"/>
          <w:tab w:val="left" w:pos="907"/>
        </w:tabs>
        <w:rPr>
          <w:rFonts w:cs="Arial"/>
        </w:rPr>
      </w:pPr>
    </w:p>
    <w:p w14:paraId="28597C78" w14:textId="27638E6A" w:rsidR="00077A17" w:rsidRDefault="00A11F92" w:rsidP="008447A5">
      <w:pPr>
        <w:tabs>
          <w:tab w:val="left" w:pos="-180"/>
          <w:tab w:val="left" w:pos="454"/>
          <w:tab w:val="left" w:pos="907"/>
        </w:tabs>
        <w:rPr>
          <w:rFonts w:cs="Arial"/>
        </w:rPr>
      </w:pPr>
      <w:r w:rsidRPr="00A4503A">
        <w:rPr>
          <w:rFonts w:cs="Arial"/>
        </w:rPr>
        <w:t>Your</w:t>
      </w:r>
      <w:r w:rsidR="00077A17" w:rsidRPr="00A4503A">
        <w:rPr>
          <w:rFonts w:cs="Arial"/>
        </w:rPr>
        <w:t xml:space="preserve"> tender will be evaluated using the following weightings</w:t>
      </w:r>
      <w:r w:rsidR="006C02EB">
        <w:rPr>
          <w:rFonts w:cs="Arial"/>
        </w:rPr>
        <w:t xml:space="preserve"> </w:t>
      </w:r>
      <w:r w:rsidR="00A4503A" w:rsidRPr="00A4503A">
        <w:rPr>
          <w:rFonts w:cs="Arial"/>
          <w:b/>
        </w:rPr>
        <w:t>and</w:t>
      </w:r>
      <w:r w:rsidR="006C02EB">
        <w:rPr>
          <w:rFonts w:cs="Arial"/>
          <w:b/>
        </w:rPr>
        <w:t xml:space="preserve"> </w:t>
      </w:r>
      <w:r w:rsidR="00077A17" w:rsidRPr="00A4503A">
        <w:rPr>
          <w:rFonts w:cs="Arial"/>
        </w:rPr>
        <w:t>t</w:t>
      </w:r>
      <w:r w:rsidR="006F5D75" w:rsidRPr="00A4503A">
        <w:rPr>
          <w:rFonts w:cs="Arial"/>
        </w:rPr>
        <w:t xml:space="preserve">he </w:t>
      </w:r>
      <w:r w:rsidR="00A4503A" w:rsidRPr="00A4503A">
        <w:rPr>
          <w:rFonts w:cs="Arial"/>
        </w:rPr>
        <w:t xml:space="preserve">criteria </w:t>
      </w:r>
      <w:r w:rsidR="006F5D75" w:rsidRPr="00A4503A">
        <w:rPr>
          <w:rFonts w:cs="Arial"/>
        </w:rPr>
        <w:t xml:space="preserve">weightings set out </w:t>
      </w:r>
      <w:r w:rsidR="006F5D75" w:rsidRPr="00E767C6">
        <w:rPr>
          <w:rFonts w:cs="Arial"/>
        </w:rPr>
        <w:t xml:space="preserve">at Annex </w:t>
      </w:r>
      <w:r w:rsidRPr="00E767C6">
        <w:rPr>
          <w:rFonts w:cs="Arial"/>
        </w:rPr>
        <w:t>1</w:t>
      </w:r>
      <w:r w:rsidR="00A4503A" w:rsidRPr="00E767C6">
        <w:rPr>
          <w:rFonts w:cs="Arial"/>
        </w:rPr>
        <w:t>,</w:t>
      </w:r>
      <w:r w:rsidR="00077A17" w:rsidRPr="00E767C6">
        <w:rPr>
          <w:rFonts w:cs="Arial"/>
        </w:rPr>
        <w:t xml:space="preserve"> to</w:t>
      </w:r>
      <w:r w:rsidR="00077A17" w:rsidRPr="00A4503A">
        <w:rPr>
          <w:rFonts w:cs="Arial"/>
        </w:rPr>
        <w:t xml:space="preserve"> o</w:t>
      </w:r>
      <w:r w:rsidR="00077A17">
        <w:rPr>
          <w:rFonts w:cs="Arial"/>
        </w:rPr>
        <w:t>btain the optimal balance of quality and cost.</w:t>
      </w:r>
    </w:p>
    <w:p w14:paraId="0C08BD82" w14:textId="77777777" w:rsidR="00A11F92" w:rsidRDefault="00A11F92" w:rsidP="008447A5">
      <w:pPr>
        <w:tabs>
          <w:tab w:val="left" w:pos="-180"/>
          <w:tab w:val="left" w:pos="454"/>
          <w:tab w:val="left" w:pos="907"/>
        </w:tabs>
        <w:rPr>
          <w:rFonts w:cs="Arial"/>
        </w:rPr>
      </w:pPr>
    </w:p>
    <w:p w14:paraId="465ADF02" w14:textId="77777777" w:rsidR="00906E16" w:rsidRDefault="00906E16" w:rsidP="00906E16"/>
    <w:p w14:paraId="272A2974" w14:textId="77777777" w:rsidR="00BE7BF9" w:rsidRDefault="00BE7BF9" w:rsidP="00BE7BF9">
      <w:pPr>
        <w:tabs>
          <w:tab w:val="left" w:pos="-180"/>
        </w:tabs>
        <w:spacing w:after="120"/>
        <w:jc w:val="both"/>
        <w:rPr>
          <w:rFonts w:cs="Arial"/>
          <w:b/>
          <w:szCs w:val="24"/>
          <w:u w:val="single"/>
        </w:rPr>
      </w:pPr>
      <w:r>
        <w:rPr>
          <w:rFonts w:cs="Arial"/>
          <w:b/>
          <w:szCs w:val="24"/>
          <w:u w:val="single"/>
        </w:rPr>
        <w:t>Mandatory Requirements (if applicable)</w:t>
      </w:r>
    </w:p>
    <w:p w14:paraId="17852182" w14:textId="77777777" w:rsidR="00BE7BF9" w:rsidRPr="00212657" w:rsidRDefault="00BE7BF9" w:rsidP="00BE7BF9">
      <w:pPr>
        <w:tabs>
          <w:tab w:val="left" w:pos="-180"/>
        </w:tabs>
        <w:spacing w:after="120"/>
        <w:jc w:val="both"/>
        <w:rPr>
          <w:rFonts w:cs="Arial"/>
          <w:szCs w:val="24"/>
        </w:rPr>
      </w:pPr>
      <w:r w:rsidRPr="00212657">
        <w:rPr>
          <w:rFonts w:cs="Arial"/>
          <w:szCs w:val="24"/>
        </w:rPr>
        <w:t xml:space="preserve">Annex 1 provides details of any elements/criteria considered as critical to the requirement. These are </w:t>
      </w:r>
      <w:r w:rsidR="009C0A08" w:rsidRPr="00212657">
        <w:rPr>
          <w:rFonts w:cs="Arial"/>
          <w:szCs w:val="24"/>
        </w:rPr>
        <w:t>criteria, which</w:t>
      </w:r>
      <w:r w:rsidRPr="00212657">
        <w:rPr>
          <w:rFonts w:cs="Arial"/>
          <w:szCs w:val="24"/>
        </w:rPr>
        <w:t xml:space="preserve"> will be evaluated on a pass/fail basis. A fail may result in the tender being excluded from further evaluation.</w:t>
      </w:r>
    </w:p>
    <w:p w14:paraId="69632DF3" w14:textId="77777777" w:rsidR="00BE7BF9" w:rsidRDefault="00BE7BF9" w:rsidP="004011A8">
      <w:pPr>
        <w:tabs>
          <w:tab w:val="left" w:pos="-180"/>
        </w:tabs>
        <w:spacing w:after="120"/>
        <w:jc w:val="both"/>
        <w:rPr>
          <w:rFonts w:cs="Arial"/>
          <w:b/>
          <w:szCs w:val="24"/>
          <w:u w:val="single"/>
        </w:rPr>
      </w:pPr>
    </w:p>
    <w:p w14:paraId="1CE6A62F" w14:textId="77777777" w:rsidR="00FF499E" w:rsidRPr="00BF1A58" w:rsidRDefault="00685336" w:rsidP="00FF499E">
      <w:pPr>
        <w:tabs>
          <w:tab w:val="left" w:pos="-180"/>
        </w:tabs>
        <w:spacing w:after="120"/>
        <w:jc w:val="both"/>
        <w:rPr>
          <w:rFonts w:cs="Arial"/>
          <w:b/>
          <w:szCs w:val="24"/>
          <w:u w:val="single"/>
        </w:rPr>
      </w:pPr>
      <w:r>
        <w:rPr>
          <w:rFonts w:cs="Arial"/>
          <w:b/>
          <w:szCs w:val="24"/>
          <w:u w:val="single"/>
        </w:rPr>
        <w:t>Quality Criteria</w:t>
      </w:r>
      <w:r w:rsidR="00FF499E" w:rsidRPr="00BF1A58">
        <w:rPr>
          <w:rFonts w:cs="Arial"/>
          <w:b/>
          <w:szCs w:val="24"/>
          <w:u w:val="single"/>
        </w:rPr>
        <w:t>:</w:t>
      </w:r>
    </w:p>
    <w:p w14:paraId="578229EC" w14:textId="77777777" w:rsidR="000F08FB" w:rsidRDefault="00FF499E" w:rsidP="000F08FB">
      <w:pPr>
        <w:tabs>
          <w:tab w:val="left" w:pos="-180"/>
        </w:tabs>
        <w:rPr>
          <w:rFonts w:cs="Arial"/>
          <w:szCs w:val="24"/>
        </w:rPr>
      </w:pPr>
      <w:r w:rsidRPr="00FF499E">
        <w:rPr>
          <w:rFonts w:cs="Arial"/>
          <w:szCs w:val="24"/>
        </w:rPr>
        <w:t>Annex</w:t>
      </w:r>
      <w:r>
        <w:rPr>
          <w:rFonts w:cs="Arial"/>
          <w:szCs w:val="24"/>
        </w:rPr>
        <w:t xml:space="preserve"> 1 provides details of the </w:t>
      </w:r>
      <w:r w:rsidR="006D2453">
        <w:rPr>
          <w:rFonts w:cs="Arial"/>
          <w:szCs w:val="24"/>
        </w:rPr>
        <w:t xml:space="preserve">quality </w:t>
      </w:r>
      <w:r>
        <w:rPr>
          <w:rFonts w:cs="Arial"/>
          <w:szCs w:val="24"/>
        </w:rPr>
        <w:t>criteria on which tenders will be evaluated.</w:t>
      </w:r>
      <w:r w:rsidR="006D2453">
        <w:rPr>
          <w:rFonts w:cs="Arial"/>
          <w:szCs w:val="24"/>
        </w:rPr>
        <w:t xml:space="preserve"> This will list the primary criteria along with the allocated percentage weighting and a description of the specific requirement. </w:t>
      </w:r>
      <w:r w:rsidR="008F6944">
        <w:rPr>
          <w:rFonts w:cs="Arial"/>
          <w:szCs w:val="24"/>
        </w:rPr>
        <w:t xml:space="preserve">The </w:t>
      </w:r>
      <w:r w:rsidR="00F53EA0">
        <w:rPr>
          <w:rFonts w:cs="Arial"/>
          <w:szCs w:val="24"/>
        </w:rPr>
        <w:t xml:space="preserve">overall </w:t>
      </w:r>
      <w:r w:rsidR="00141192">
        <w:rPr>
          <w:rFonts w:cs="Arial"/>
          <w:szCs w:val="24"/>
        </w:rPr>
        <w:t xml:space="preserve">percentage </w:t>
      </w:r>
      <w:r w:rsidR="00615FC4">
        <w:rPr>
          <w:rFonts w:cs="Arial"/>
          <w:szCs w:val="24"/>
        </w:rPr>
        <w:t>allocated</w:t>
      </w:r>
      <w:r w:rsidR="00141192">
        <w:rPr>
          <w:rFonts w:cs="Arial"/>
          <w:szCs w:val="24"/>
        </w:rPr>
        <w:t xml:space="preserve"> for the Quality Criteria is outlined in the Table “</w:t>
      </w:r>
      <w:r w:rsidR="00CF2E84">
        <w:rPr>
          <w:rFonts w:cs="Arial"/>
          <w:szCs w:val="24"/>
        </w:rPr>
        <w:t xml:space="preserve">Overall </w:t>
      </w:r>
      <w:r w:rsidR="00141192">
        <w:rPr>
          <w:rFonts w:cs="Arial"/>
          <w:szCs w:val="24"/>
        </w:rPr>
        <w:t>W</w:t>
      </w:r>
      <w:r w:rsidR="008F6944">
        <w:rPr>
          <w:rFonts w:cs="Arial"/>
          <w:szCs w:val="24"/>
        </w:rPr>
        <w:t xml:space="preserve">eighting </w:t>
      </w:r>
      <w:r w:rsidR="00141192">
        <w:rPr>
          <w:rFonts w:cs="Arial"/>
          <w:szCs w:val="24"/>
        </w:rPr>
        <w:t>A</w:t>
      </w:r>
      <w:r w:rsidR="008F6944">
        <w:rPr>
          <w:rFonts w:cs="Arial"/>
          <w:szCs w:val="24"/>
        </w:rPr>
        <w:t>llocation</w:t>
      </w:r>
      <w:r w:rsidR="00141192">
        <w:rPr>
          <w:rFonts w:cs="Arial"/>
          <w:szCs w:val="24"/>
        </w:rPr>
        <w:t>”</w:t>
      </w:r>
      <w:r w:rsidR="008F6944">
        <w:rPr>
          <w:rFonts w:cs="Arial"/>
          <w:szCs w:val="24"/>
        </w:rPr>
        <w:t xml:space="preserve"> and t</w:t>
      </w:r>
      <w:r w:rsidR="000F08FB">
        <w:rPr>
          <w:rFonts w:cs="Arial"/>
          <w:szCs w:val="24"/>
        </w:rPr>
        <w:t xml:space="preserve">he method used to allocate </w:t>
      </w:r>
      <w:r w:rsidR="00F34C6D">
        <w:rPr>
          <w:rFonts w:cs="Arial"/>
          <w:szCs w:val="24"/>
        </w:rPr>
        <w:t>scores</w:t>
      </w:r>
      <w:r w:rsidR="000F08FB">
        <w:rPr>
          <w:rFonts w:cs="Arial"/>
          <w:szCs w:val="24"/>
        </w:rPr>
        <w:t xml:space="preserve"> is outlined below</w:t>
      </w:r>
      <w:r w:rsidR="008F6944">
        <w:rPr>
          <w:rFonts w:cs="Arial"/>
          <w:szCs w:val="24"/>
        </w:rPr>
        <w:t>.</w:t>
      </w:r>
    </w:p>
    <w:p w14:paraId="378F1C33" w14:textId="77777777" w:rsidR="000F08FB" w:rsidRDefault="000F08FB" w:rsidP="000F08FB">
      <w:pPr>
        <w:tabs>
          <w:tab w:val="left" w:pos="-180"/>
        </w:tabs>
        <w:rPr>
          <w:rFonts w:cs="Arial"/>
          <w:szCs w:val="24"/>
        </w:rPr>
      </w:pPr>
    </w:p>
    <w:p w14:paraId="0839A5B9" w14:textId="77777777" w:rsidR="000F08FB" w:rsidRPr="00BE17D4" w:rsidRDefault="00685336" w:rsidP="000F08FB">
      <w:pPr>
        <w:tabs>
          <w:tab w:val="left" w:pos="-180"/>
        </w:tabs>
        <w:spacing w:after="120"/>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269771D7" w14:textId="77777777" w:rsidR="00AB3234" w:rsidRDefault="00AB3234" w:rsidP="000F08FB">
      <w:pPr>
        <w:tabs>
          <w:tab w:val="left" w:pos="-180"/>
        </w:tabs>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r w:rsidR="00E767C6">
        <w:rPr>
          <w:bCs/>
        </w:rPr>
        <w:t>:</w:t>
      </w:r>
    </w:p>
    <w:p w14:paraId="1AF71176"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74FB81D3"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136592DE" w14:textId="77777777" w:rsidR="00AB3234" w:rsidRPr="00F954DC" w:rsidRDefault="00AB3234" w:rsidP="00356175">
            <w:pPr>
              <w:rPr>
                <w:rFonts w:cs="Arial"/>
                <w:b/>
              </w:rPr>
            </w:pPr>
            <w:r w:rsidRPr="00F954DC">
              <w:rPr>
                <w:rFonts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3AC00E90" w14:textId="77777777" w:rsidR="00AB3234" w:rsidRPr="00F954DC" w:rsidRDefault="00AB3234" w:rsidP="00356175">
            <w:pPr>
              <w:rPr>
                <w:rFonts w:cs="Arial"/>
                <w:b/>
              </w:rPr>
            </w:pPr>
            <w:r w:rsidRPr="00F954DC">
              <w:rPr>
                <w:rFonts w:cs="Arial"/>
                <w:b/>
              </w:rPr>
              <w:t>Description</w:t>
            </w:r>
          </w:p>
        </w:tc>
      </w:tr>
      <w:tr w:rsidR="00AB3234" w14:paraId="350618D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6FB081D9" w14:textId="77777777" w:rsidR="00AB3234" w:rsidRPr="00F954DC" w:rsidRDefault="00176795" w:rsidP="00356175">
            <w:pPr>
              <w:rPr>
                <w:rFonts w:cs="Arial"/>
              </w:rPr>
            </w:pPr>
            <w:r>
              <w:rPr>
                <w:rFonts w:cs="Arial"/>
              </w:rPr>
              <w:t>100</w:t>
            </w:r>
          </w:p>
        </w:tc>
        <w:tc>
          <w:tcPr>
            <w:tcW w:w="6721" w:type="dxa"/>
            <w:tcBorders>
              <w:top w:val="single" w:sz="4" w:space="0" w:color="000000"/>
              <w:left w:val="single" w:sz="4" w:space="0" w:color="000000"/>
              <w:bottom w:val="single" w:sz="4" w:space="0" w:color="000000"/>
              <w:right w:val="single" w:sz="4" w:space="0" w:color="000000"/>
            </w:tcBorders>
          </w:tcPr>
          <w:p w14:paraId="617247F5" w14:textId="77777777" w:rsidR="00AB3234" w:rsidRPr="00F954DC" w:rsidRDefault="00AB3234" w:rsidP="00356175">
            <w:pPr>
              <w:rPr>
                <w:rFonts w:cs="Arial"/>
              </w:rPr>
            </w:pPr>
            <w:r>
              <w:rPr>
                <w:rFonts w:cs="Arial"/>
              </w:rPr>
              <w:t>Fully meets/evidence provided that demonstrates the requirement can be met</w:t>
            </w:r>
          </w:p>
          <w:p w14:paraId="783F7205" w14:textId="77777777" w:rsidR="00AB3234" w:rsidRPr="00F954DC" w:rsidRDefault="00AB3234" w:rsidP="00356175">
            <w:pPr>
              <w:rPr>
                <w:rFonts w:cs="Arial"/>
              </w:rPr>
            </w:pPr>
          </w:p>
        </w:tc>
      </w:tr>
      <w:tr w:rsidR="00AB3234" w14:paraId="391C98B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5F49141" w14:textId="77777777" w:rsidR="00AB3234" w:rsidRPr="00F954DC" w:rsidRDefault="00176795" w:rsidP="00356175">
            <w:pPr>
              <w:rPr>
                <w:rFonts w:cs="Arial"/>
              </w:rPr>
            </w:pPr>
            <w:r>
              <w:rPr>
                <w:rFonts w:cs="Arial"/>
              </w:rPr>
              <w:t>60</w:t>
            </w:r>
          </w:p>
        </w:tc>
        <w:tc>
          <w:tcPr>
            <w:tcW w:w="6721" w:type="dxa"/>
            <w:tcBorders>
              <w:top w:val="single" w:sz="4" w:space="0" w:color="000000"/>
              <w:left w:val="single" w:sz="4" w:space="0" w:color="000000"/>
              <w:bottom w:val="single" w:sz="4" w:space="0" w:color="000000"/>
              <w:right w:val="single" w:sz="4" w:space="0" w:color="000000"/>
            </w:tcBorders>
          </w:tcPr>
          <w:p w14:paraId="52754294" w14:textId="77777777" w:rsidR="00AB3234" w:rsidRPr="00F954DC" w:rsidRDefault="00AB3234" w:rsidP="00356175">
            <w:pPr>
              <w:rPr>
                <w:rFonts w:cs="Arial"/>
              </w:rPr>
            </w:pPr>
            <w:r w:rsidRPr="00F954DC">
              <w:rPr>
                <w:rFonts w:cs="Arial"/>
              </w:rPr>
              <w:t>Minor concerns/issues that the requirement can be met</w:t>
            </w:r>
          </w:p>
          <w:p w14:paraId="77880B0B" w14:textId="77777777" w:rsidR="00AB3234" w:rsidRPr="00F954DC" w:rsidRDefault="00AB3234" w:rsidP="00356175">
            <w:pPr>
              <w:rPr>
                <w:rFonts w:cs="Arial"/>
              </w:rPr>
            </w:pPr>
          </w:p>
        </w:tc>
      </w:tr>
      <w:tr w:rsidR="00AB3234" w14:paraId="7C2233B5"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191A5CCD" w14:textId="77777777" w:rsidR="00AB3234" w:rsidRPr="00F954DC" w:rsidRDefault="00DA3D2D" w:rsidP="00DA3D2D">
            <w:pPr>
              <w:rPr>
                <w:rFonts w:cs="Arial"/>
              </w:rPr>
            </w:pPr>
            <w:r>
              <w:rPr>
                <w:rFonts w:cs="Arial"/>
              </w:rPr>
              <w:t>30</w:t>
            </w:r>
          </w:p>
        </w:tc>
        <w:tc>
          <w:tcPr>
            <w:tcW w:w="6721" w:type="dxa"/>
            <w:tcBorders>
              <w:top w:val="single" w:sz="4" w:space="0" w:color="000000"/>
              <w:left w:val="single" w:sz="4" w:space="0" w:color="000000"/>
              <w:bottom w:val="single" w:sz="4" w:space="0" w:color="000000"/>
              <w:right w:val="single" w:sz="4" w:space="0" w:color="000000"/>
            </w:tcBorders>
          </w:tcPr>
          <w:p w14:paraId="2366D52E" w14:textId="77777777" w:rsidR="00AB3234" w:rsidRPr="00F954DC" w:rsidRDefault="00AB3234" w:rsidP="00356175">
            <w:pPr>
              <w:rPr>
                <w:rFonts w:cs="Arial"/>
              </w:rPr>
            </w:pPr>
            <w:r w:rsidRPr="00F954DC">
              <w:rPr>
                <w:rFonts w:cs="Arial"/>
              </w:rPr>
              <w:t>Major concerns/issues that the requirement can be met</w:t>
            </w:r>
          </w:p>
          <w:p w14:paraId="3B0CFBBC" w14:textId="77777777" w:rsidR="00AB3234" w:rsidRPr="00F954DC" w:rsidRDefault="00AB3234" w:rsidP="00356175">
            <w:pPr>
              <w:rPr>
                <w:rFonts w:cs="Arial"/>
              </w:rPr>
            </w:pPr>
          </w:p>
        </w:tc>
      </w:tr>
      <w:tr w:rsidR="00AB3234" w14:paraId="29D93327"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726B3D8" w14:textId="77777777" w:rsidR="00AB3234" w:rsidRPr="00F954DC" w:rsidRDefault="00176795" w:rsidP="00356175">
            <w:pPr>
              <w:rPr>
                <w:rFonts w:cs="Arial"/>
              </w:rPr>
            </w:pPr>
            <w:r>
              <w:rPr>
                <w:rFonts w:cs="Arial"/>
              </w:rPr>
              <w:t>0</w:t>
            </w:r>
          </w:p>
        </w:tc>
        <w:tc>
          <w:tcPr>
            <w:tcW w:w="6721" w:type="dxa"/>
            <w:tcBorders>
              <w:top w:val="single" w:sz="4" w:space="0" w:color="000000"/>
              <w:left w:val="single" w:sz="4" w:space="0" w:color="000000"/>
              <w:bottom w:val="single" w:sz="4" w:space="0" w:color="000000"/>
              <w:right w:val="single" w:sz="4" w:space="0" w:color="000000"/>
            </w:tcBorders>
          </w:tcPr>
          <w:p w14:paraId="32CE4082" w14:textId="77777777" w:rsidR="00AB3234" w:rsidRPr="00F954DC" w:rsidRDefault="00AB3234" w:rsidP="00356175">
            <w:pPr>
              <w:rPr>
                <w:rFonts w:cs="Arial"/>
              </w:rPr>
            </w:pPr>
            <w:r w:rsidRPr="00F954DC">
              <w:rPr>
                <w:rFonts w:cs="Arial"/>
              </w:rPr>
              <w:t>Does not meet the requirement, not addressed or no evidence provided</w:t>
            </w:r>
          </w:p>
          <w:p w14:paraId="2D8D894E" w14:textId="77777777" w:rsidR="00AB3234" w:rsidRPr="00F954DC" w:rsidRDefault="00AB3234" w:rsidP="00356175">
            <w:pPr>
              <w:rPr>
                <w:rFonts w:cs="Arial"/>
              </w:rPr>
            </w:pPr>
          </w:p>
        </w:tc>
      </w:tr>
    </w:tbl>
    <w:p w14:paraId="0C8C3364" w14:textId="77777777" w:rsidR="00AB3234" w:rsidRDefault="00AB3234" w:rsidP="000F08FB">
      <w:pPr>
        <w:tabs>
          <w:tab w:val="left" w:pos="-180"/>
        </w:tabs>
        <w:rPr>
          <w:rFonts w:cs="Arial"/>
          <w:szCs w:val="24"/>
        </w:rPr>
      </w:pPr>
    </w:p>
    <w:p w14:paraId="799C3D18" w14:textId="77777777" w:rsidR="005916A3" w:rsidRDefault="005916A3" w:rsidP="00E767C6">
      <w:pPr>
        <w:tabs>
          <w:tab w:val="left" w:pos="-180"/>
        </w:tabs>
        <w:rPr>
          <w:rFonts w:cs="Arial"/>
          <w:szCs w:val="24"/>
        </w:rPr>
      </w:pPr>
    </w:p>
    <w:p w14:paraId="79E0C3A4" w14:textId="77777777" w:rsidR="00AB3234" w:rsidRDefault="000F08FB" w:rsidP="00E767C6">
      <w:pPr>
        <w:tabs>
          <w:tab w:val="left" w:pos="-180"/>
        </w:tabs>
        <w:rPr>
          <w:rFonts w:cs="Arial"/>
          <w:szCs w:val="24"/>
        </w:rPr>
      </w:pPr>
      <w:r>
        <w:rPr>
          <w:rFonts w:cs="Arial"/>
          <w:szCs w:val="24"/>
        </w:rPr>
        <w:t>Based on the allocated score, a percentage will be calculated against each element using on the following calculation:</w:t>
      </w:r>
    </w:p>
    <w:p w14:paraId="3EBE6995" w14:textId="77777777" w:rsidR="00E767C6" w:rsidRDefault="00E767C6" w:rsidP="000F08FB">
      <w:pPr>
        <w:tabs>
          <w:tab w:val="left" w:pos="-180"/>
        </w:tabs>
        <w:rPr>
          <w:rFonts w:cs="Arial"/>
          <w:szCs w:val="24"/>
        </w:rPr>
      </w:pPr>
    </w:p>
    <w:p w14:paraId="29E54E79" w14:textId="77777777" w:rsidR="000F08FB" w:rsidRDefault="000F08FB" w:rsidP="000F08FB">
      <w:pPr>
        <w:tabs>
          <w:tab w:val="left" w:pos="-180"/>
        </w:tabs>
        <w:rPr>
          <w:rFonts w:cs="Arial"/>
          <w:szCs w:val="24"/>
        </w:rPr>
      </w:pPr>
      <w:r>
        <w:rPr>
          <w:rFonts w:cs="Arial"/>
          <w:szCs w:val="24"/>
        </w:rPr>
        <w:t>(Allocated Score</w:t>
      </w:r>
    </w:p>
    <w:p w14:paraId="5D004D86" w14:textId="715DE477" w:rsidR="00FF499E" w:rsidRDefault="00934AEF" w:rsidP="000F08FB">
      <w:pPr>
        <w:tabs>
          <w:tab w:val="left" w:pos="-180"/>
        </w:tabs>
        <w:rPr>
          <w:rFonts w:cs="Arial"/>
          <w:szCs w:val="24"/>
        </w:rPr>
      </w:pPr>
      <w:r>
        <w:rPr>
          <w:rFonts w:cs="Arial"/>
          <w:b/>
          <w:noProof/>
          <w:szCs w:val="24"/>
          <w:lang w:eastAsia="en-GB"/>
        </w:rPr>
        <mc:AlternateContent>
          <mc:Choice Requires="wps">
            <w:drawing>
              <wp:anchor distT="4294967295" distB="4294967295" distL="114300" distR="114300" simplePos="0" relativeHeight="251659776" behindDoc="0" locked="0" layoutInCell="1" allowOverlap="1" wp14:anchorId="359E2EF7" wp14:editId="264648A7">
                <wp:simplePos x="0" y="0"/>
                <wp:positionH relativeFrom="column">
                  <wp:posOffset>1270</wp:posOffset>
                </wp:positionH>
                <wp:positionV relativeFrom="paragraph">
                  <wp:posOffset>109854</wp:posOffset>
                </wp:positionV>
                <wp:extent cx="1068705" cy="0"/>
                <wp:effectExtent l="38100" t="38100" r="55245"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8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44C132"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" strokecolor="black [3200]" strokeweight="2pt">
                <v:shadow on="t" color="black" opacity="24903f" origin=",.5" offset="0,.55556mm"/>
                <o:lock v:ext="edit" shapetype="f"/>
              </v:line>
            </w:pict>
          </mc:Fallback>
        </mc:AlternateContent>
      </w:r>
      <w:r w:rsidR="000F08FB">
        <w:rPr>
          <w:rFonts w:cs="Arial"/>
          <w:szCs w:val="24"/>
        </w:rPr>
        <w:tab/>
      </w:r>
      <w:r w:rsidR="000F08FB">
        <w:rPr>
          <w:rFonts w:cs="Arial"/>
          <w:szCs w:val="24"/>
        </w:rPr>
        <w:tab/>
      </w:r>
      <w:r w:rsidR="000F08FB">
        <w:rPr>
          <w:rFonts w:cs="Arial"/>
          <w:szCs w:val="24"/>
        </w:rPr>
        <w:tab/>
      </w:r>
      <w:proofErr w:type="gramStart"/>
      <w:r w:rsidR="000F08FB">
        <w:rPr>
          <w:rFonts w:cs="Arial"/>
          <w:szCs w:val="24"/>
        </w:rPr>
        <w:t>X  Weighting</w:t>
      </w:r>
      <w:proofErr w:type="gramEnd"/>
    </w:p>
    <w:p w14:paraId="6FAAF826" w14:textId="77777777" w:rsidR="000F08FB" w:rsidRPr="000F08FB" w:rsidRDefault="000F08FB" w:rsidP="000F08FB">
      <w:pPr>
        <w:tabs>
          <w:tab w:val="left" w:pos="-180"/>
        </w:tabs>
        <w:jc w:val="both"/>
        <w:rPr>
          <w:rFonts w:cs="Arial"/>
          <w:szCs w:val="24"/>
        </w:rPr>
      </w:pPr>
      <w:r w:rsidRPr="000F08FB">
        <w:rPr>
          <w:rFonts w:cs="Arial"/>
          <w:szCs w:val="24"/>
        </w:rPr>
        <w:t>Maximum Score</w:t>
      </w:r>
      <w:r>
        <w:rPr>
          <w:rFonts w:cs="Arial"/>
          <w:szCs w:val="24"/>
        </w:rPr>
        <w:t>)</w:t>
      </w:r>
    </w:p>
    <w:p w14:paraId="0CFECE48" w14:textId="77777777" w:rsidR="00EC0323" w:rsidRDefault="00EC0323" w:rsidP="00BE17D4">
      <w:pPr>
        <w:tabs>
          <w:tab w:val="left" w:pos="-180"/>
        </w:tabs>
        <w:spacing w:after="120"/>
        <w:rPr>
          <w:rFonts w:cs="Arial"/>
          <w:szCs w:val="24"/>
        </w:rPr>
      </w:pPr>
    </w:p>
    <w:p w14:paraId="263C5907" w14:textId="173694B9" w:rsidR="000F08FB" w:rsidRPr="000F08FB" w:rsidRDefault="000F08FB" w:rsidP="00BE17D4">
      <w:pPr>
        <w:tabs>
          <w:tab w:val="left" w:pos="-180"/>
        </w:tabs>
        <w:spacing w:after="120"/>
        <w:rPr>
          <w:rFonts w:cs="Arial"/>
          <w:szCs w:val="24"/>
        </w:rPr>
      </w:pPr>
      <w:r w:rsidRPr="000F08FB">
        <w:rPr>
          <w:rFonts w:cs="Arial"/>
          <w:szCs w:val="24"/>
        </w:rPr>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6C02EB">
        <w:rPr>
          <w:rFonts w:cs="Arial"/>
          <w:szCs w:val="24"/>
        </w:rPr>
        <w:t xml:space="preserve"> </w:t>
      </w:r>
      <w:r w:rsidR="00685336">
        <w:rPr>
          <w:rFonts w:cs="Arial"/>
          <w:szCs w:val="24"/>
        </w:rPr>
        <w:t>Quality Criteria</w:t>
      </w:r>
      <w:r w:rsidR="006C02EB">
        <w:rPr>
          <w:rFonts w:cs="Arial"/>
          <w:szCs w:val="24"/>
        </w:rPr>
        <w:t xml:space="preserve"> </w:t>
      </w:r>
      <w:r>
        <w:rPr>
          <w:rFonts w:cs="Arial"/>
          <w:szCs w:val="24"/>
        </w:rPr>
        <w:t>score</w:t>
      </w:r>
      <w:r w:rsidR="00F34C6D">
        <w:rPr>
          <w:rFonts w:cs="Arial"/>
          <w:szCs w:val="24"/>
        </w:rPr>
        <w:t>.</w:t>
      </w:r>
    </w:p>
    <w:p w14:paraId="74303636" w14:textId="77777777" w:rsidR="00CD628A" w:rsidRDefault="00CD628A">
      <w:pPr>
        <w:rPr>
          <w:rFonts w:cs="Arial"/>
          <w:b/>
          <w:szCs w:val="24"/>
          <w:u w:val="single"/>
        </w:rPr>
      </w:pPr>
    </w:p>
    <w:p w14:paraId="789C9932" w14:textId="77777777" w:rsidR="00E767C6" w:rsidRDefault="00E767C6" w:rsidP="004E35B6">
      <w:pPr>
        <w:tabs>
          <w:tab w:val="left" w:pos="-180"/>
        </w:tabs>
        <w:spacing w:after="120"/>
        <w:jc w:val="both"/>
        <w:rPr>
          <w:rFonts w:cs="Arial"/>
          <w:b/>
          <w:szCs w:val="24"/>
          <w:u w:val="single"/>
        </w:rPr>
      </w:pPr>
    </w:p>
    <w:p w14:paraId="2AADFC71" w14:textId="77777777" w:rsidR="0092350C" w:rsidRPr="00BF1A58" w:rsidRDefault="0092350C" w:rsidP="004E35B6">
      <w:pPr>
        <w:tabs>
          <w:tab w:val="left" w:pos="-180"/>
        </w:tabs>
        <w:spacing w:after="120"/>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6FBA3677" w14:textId="77777777" w:rsidR="00082D33" w:rsidRPr="00082D33" w:rsidRDefault="00082D33" w:rsidP="00DD59CC">
      <w:pPr>
        <w:tabs>
          <w:tab w:val="left" w:pos="-180"/>
        </w:tabs>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55C87501" w14:textId="77777777" w:rsidR="00082D33" w:rsidRDefault="00082D33" w:rsidP="00DD59CC">
      <w:pPr>
        <w:tabs>
          <w:tab w:val="left" w:pos="-180"/>
        </w:tabs>
        <w:jc w:val="both"/>
        <w:rPr>
          <w:rFonts w:cs="Arial"/>
          <w:b/>
          <w:szCs w:val="24"/>
        </w:rPr>
      </w:pPr>
    </w:p>
    <w:p w14:paraId="063D9849" w14:textId="23F43A0D" w:rsidR="00021DCA" w:rsidRPr="00BE17D4" w:rsidRDefault="00021DCA" w:rsidP="009D6479">
      <w:pPr>
        <w:tabs>
          <w:tab w:val="left" w:pos="-180"/>
        </w:tabs>
        <w:spacing w:after="120"/>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6C02EB">
        <w:rPr>
          <w:rFonts w:cs="Arial"/>
          <w:b/>
          <w:szCs w:val="24"/>
          <w:u w:val="single"/>
        </w:rPr>
        <w:t xml:space="preserve"> </w:t>
      </w:r>
      <w:r w:rsidRPr="00BE17D4">
        <w:rPr>
          <w:rFonts w:cs="Arial"/>
          <w:b/>
          <w:szCs w:val="24"/>
          <w:u w:val="single"/>
        </w:rPr>
        <w:t>Scoring Methodology:</w:t>
      </w:r>
    </w:p>
    <w:p w14:paraId="0407D1BC" w14:textId="77777777" w:rsidR="00504A4E" w:rsidRPr="00DF07C6" w:rsidRDefault="00504A4E" w:rsidP="00504A4E">
      <w:pPr>
        <w:rPr>
          <w:rFonts w:cs="Arial"/>
        </w:rPr>
      </w:pPr>
      <w:r w:rsidRPr="00DF07C6">
        <w:rPr>
          <w:rFonts w:cs="Arial"/>
        </w:rPr>
        <w:t>A Percentage Scoring Methodology will be used to evaluate all proposals for this requirement.  This methodology is based on the following principles:</w:t>
      </w:r>
    </w:p>
    <w:p w14:paraId="3B05C907" w14:textId="77777777" w:rsidR="00504A4E" w:rsidRPr="00DF07C6" w:rsidRDefault="009C65C0" w:rsidP="00504A4E">
      <w:pPr>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67FDE011" w14:textId="77777777" w:rsidR="00504A4E" w:rsidRDefault="00504A4E" w:rsidP="00504A4E">
      <w:pPr>
        <w:rPr>
          <w:rFonts w:cs="Arial"/>
          <w:highlight w:val="yellow"/>
        </w:rPr>
      </w:pPr>
    </w:p>
    <w:p w14:paraId="1189D3CE" w14:textId="77777777" w:rsidR="00110F4A" w:rsidRDefault="00FC1D6F" w:rsidP="00110F4A">
      <w:pPr>
        <w:tabs>
          <w:tab w:val="left" w:pos="-180"/>
        </w:tabs>
        <w:rPr>
          <w:rFonts w:cs="Arial"/>
          <w:szCs w:val="24"/>
        </w:rPr>
      </w:pPr>
      <w:r>
        <w:rPr>
          <w:rFonts w:cs="Arial"/>
          <w:szCs w:val="24"/>
        </w:rPr>
        <w:t xml:space="preserve"> </w:t>
      </w:r>
      <w:r w:rsidR="00110F4A">
        <w:rPr>
          <w:rFonts w:cs="Arial"/>
          <w:szCs w:val="24"/>
        </w:rPr>
        <w:t>(Lowest Tendered Price</w:t>
      </w:r>
      <w:r>
        <w:rPr>
          <w:rFonts w:cs="Arial"/>
          <w:szCs w:val="24"/>
        </w:rPr>
        <w:t xml:space="preserve"> </w:t>
      </w:r>
      <w:proofErr w:type="gramStart"/>
      <w:r>
        <w:rPr>
          <w:rFonts w:cs="Arial"/>
          <w:szCs w:val="24"/>
        </w:rPr>
        <w:t>x</w:t>
      </w:r>
      <w:r w:rsidR="00110F4A">
        <w:rPr>
          <w:rFonts w:cs="Arial"/>
          <w:szCs w:val="24"/>
        </w:rPr>
        <w:t xml:space="preserve">  Maximum</w:t>
      </w:r>
      <w:proofErr w:type="gramEnd"/>
      <w:r w:rsidR="00110F4A">
        <w:rPr>
          <w:rFonts w:cs="Arial"/>
          <w:szCs w:val="24"/>
        </w:rPr>
        <w:t xml:space="preserve"> Score Available (i.e. Weighting)</w:t>
      </w:r>
    </w:p>
    <w:p w14:paraId="6F8F4154" w14:textId="674D1B26" w:rsidR="00FC1D6F" w:rsidRDefault="00934AEF" w:rsidP="00110F4A">
      <w:pPr>
        <w:tabs>
          <w:tab w:val="left" w:pos="-180"/>
        </w:tabs>
        <w:jc w:val="both"/>
        <w:rPr>
          <w:rFonts w:cs="Arial"/>
          <w:szCs w:val="24"/>
        </w:rPr>
      </w:pPr>
      <w:r>
        <w:rPr>
          <w:rFonts w:cs="Arial"/>
          <w:b/>
          <w:noProof/>
          <w:szCs w:val="24"/>
          <w:lang w:eastAsia="en-GB"/>
        </w:rPr>
        <mc:AlternateContent>
          <mc:Choice Requires="wps">
            <w:drawing>
              <wp:anchor distT="4294967295" distB="4294967295" distL="114300" distR="114300" simplePos="0" relativeHeight="251661824" behindDoc="0" locked="0" layoutInCell="1" allowOverlap="1" wp14:anchorId="107C8CE7" wp14:editId="498DFDC4">
                <wp:simplePos x="0" y="0"/>
                <wp:positionH relativeFrom="column">
                  <wp:posOffset>39370</wp:posOffset>
                </wp:positionH>
                <wp:positionV relativeFrom="paragraph">
                  <wp:posOffset>81914</wp:posOffset>
                </wp:positionV>
                <wp:extent cx="4258945" cy="0"/>
                <wp:effectExtent l="38100" t="38100" r="46355"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589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550D9" id="Straight Connector 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pt,6.45pt" to="338.4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" strokecolor="black [3200]" strokeweight="2pt">
                <v:shadow on="t" color="black" opacity="24903f" origin=",.5" offset="0,.55556mm"/>
                <o:lock v:ext="edit" shapetype="f"/>
              </v:line>
            </w:pict>
          </mc:Fallback>
        </mc:AlternateContent>
      </w:r>
    </w:p>
    <w:p w14:paraId="65CA15E5" w14:textId="77777777" w:rsidR="00110F4A" w:rsidRPr="000F08FB" w:rsidRDefault="00110F4A" w:rsidP="00110F4A">
      <w:pPr>
        <w:tabs>
          <w:tab w:val="left" w:pos="-180"/>
        </w:tabs>
        <w:jc w:val="both"/>
        <w:rPr>
          <w:rFonts w:cs="Arial"/>
          <w:szCs w:val="24"/>
        </w:rPr>
      </w:pPr>
      <w:r>
        <w:rPr>
          <w:rFonts w:cs="Arial"/>
          <w:szCs w:val="24"/>
        </w:rPr>
        <w:t>Tender Price Submitted per Supplier)</w:t>
      </w:r>
    </w:p>
    <w:p w14:paraId="14B6DF11" w14:textId="77777777" w:rsidR="00504A4E" w:rsidRPr="009E5235" w:rsidRDefault="00504A4E" w:rsidP="00504A4E">
      <w:pPr>
        <w:rPr>
          <w:rFonts w:cs="Arial"/>
          <w:highlight w:val="yellow"/>
        </w:rPr>
      </w:pPr>
    </w:p>
    <w:p w14:paraId="46983FBB" w14:textId="77777777" w:rsidR="00110F4A" w:rsidRPr="00CD628A" w:rsidRDefault="00110F4A">
      <w:pPr>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59D1B762" w14:textId="77777777" w:rsidR="00110F4A" w:rsidRPr="00CD628A" w:rsidRDefault="00110F4A">
      <w:pPr>
        <w:rPr>
          <w:bCs/>
        </w:rPr>
      </w:pPr>
      <w:r w:rsidRPr="00CD628A">
        <w:rPr>
          <w:bCs/>
        </w:rPr>
        <w:t>Supplier A = 100k/100k x 40 = 40%</w:t>
      </w:r>
    </w:p>
    <w:p w14:paraId="5D750B42" w14:textId="77777777" w:rsidR="00110F4A" w:rsidRPr="00CD628A" w:rsidRDefault="00110F4A">
      <w:pPr>
        <w:rPr>
          <w:bCs/>
        </w:rPr>
      </w:pPr>
      <w:r w:rsidRPr="00CD628A">
        <w:rPr>
          <w:bCs/>
        </w:rPr>
        <w:t>Supplier B = 100k/180k x 40 = 22</w:t>
      </w:r>
      <w:r w:rsidR="00CD628A">
        <w:rPr>
          <w:bCs/>
        </w:rPr>
        <w:t>.22</w:t>
      </w:r>
      <w:r w:rsidRPr="00CD628A">
        <w:rPr>
          <w:bCs/>
        </w:rPr>
        <w:t xml:space="preserve">%  </w:t>
      </w:r>
    </w:p>
    <w:p w14:paraId="6E3DC8F4" w14:textId="77777777" w:rsidR="00110F4A" w:rsidRDefault="00110F4A">
      <w:pPr>
        <w:rPr>
          <w:bCs/>
          <w:highlight w:val="yellow"/>
        </w:rPr>
      </w:pPr>
    </w:p>
    <w:p w14:paraId="53531AA5" w14:textId="77777777" w:rsidR="00AB3234" w:rsidRDefault="00AB3234">
      <w:pPr>
        <w:rPr>
          <w:rFonts w:cs="Arial"/>
          <w:b/>
          <w:szCs w:val="24"/>
          <w:u w:val="single"/>
        </w:rPr>
      </w:pPr>
    </w:p>
    <w:p w14:paraId="36321C43" w14:textId="77777777" w:rsidR="00C4184C" w:rsidRDefault="00C4184C" w:rsidP="00141192">
      <w:pPr>
        <w:tabs>
          <w:tab w:val="left" w:pos="-180"/>
        </w:tabs>
        <w:spacing w:after="120"/>
        <w:jc w:val="both"/>
        <w:rPr>
          <w:rFonts w:cs="Arial"/>
          <w:b/>
          <w:szCs w:val="24"/>
          <w:u w:val="single"/>
        </w:rPr>
      </w:pPr>
      <w:r>
        <w:rPr>
          <w:rFonts w:cs="Arial"/>
          <w:b/>
          <w:szCs w:val="24"/>
          <w:u w:val="single"/>
        </w:rPr>
        <w:br w:type="page"/>
      </w:r>
    </w:p>
    <w:p w14:paraId="3B72F488" w14:textId="77777777" w:rsidR="00F53EA0" w:rsidRPr="00F53EA0" w:rsidRDefault="00CF2E84" w:rsidP="00141192">
      <w:pPr>
        <w:tabs>
          <w:tab w:val="left" w:pos="-180"/>
        </w:tabs>
        <w:spacing w:after="120"/>
        <w:jc w:val="both"/>
        <w:rPr>
          <w:rFonts w:cs="Arial"/>
          <w:szCs w:val="24"/>
        </w:rPr>
      </w:pPr>
      <w:r>
        <w:rPr>
          <w:rFonts w:cs="Arial"/>
          <w:b/>
          <w:szCs w:val="24"/>
          <w:u w:val="single"/>
        </w:rPr>
        <w:lastRenderedPageBreak/>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20FAE1AE" w14:textId="77777777" w:rsidTr="00141192">
        <w:trPr>
          <w:trHeight w:val="260"/>
        </w:trPr>
        <w:tc>
          <w:tcPr>
            <w:tcW w:w="4729" w:type="dxa"/>
            <w:shd w:val="clear" w:color="auto" w:fill="F3F3F3"/>
          </w:tcPr>
          <w:p w14:paraId="441BD61B" w14:textId="77777777" w:rsidR="00141192" w:rsidRPr="0032407E" w:rsidRDefault="00141192" w:rsidP="00141192">
            <w:pPr>
              <w:tabs>
                <w:tab w:val="left" w:pos="454"/>
                <w:tab w:val="left" w:pos="907"/>
              </w:tabs>
              <w:rPr>
                <w:rFonts w:cs="Arial"/>
                <w:b/>
                <w:szCs w:val="24"/>
              </w:rPr>
            </w:pPr>
            <w:r>
              <w:rPr>
                <w:rFonts w:cs="Arial"/>
                <w:b/>
                <w:szCs w:val="24"/>
              </w:rPr>
              <w:t>Evaluation C</w:t>
            </w:r>
            <w:r w:rsidRPr="0032407E">
              <w:rPr>
                <w:rFonts w:cs="Arial"/>
                <w:b/>
                <w:szCs w:val="24"/>
              </w:rPr>
              <w:t>riteria</w:t>
            </w:r>
          </w:p>
        </w:tc>
        <w:tc>
          <w:tcPr>
            <w:tcW w:w="2346" w:type="dxa"/>
            <w:shd w:val="clear" w:color="auto" w:fill="F3F3F3"/>
          </w:tcPr>
          <w:p w14:paraId="7AF19555" w14:textId="77777777" w:rsidR="00141192" w:rsidRPr="0032407E" w:rsidRDefault="00141192" w:rsidP="00141192">
            <w:pPr>
              <w:tabs>
                <w:tab w:val="left" w:pos="454"/>
                <w:tab w:val="left" w:pos="907"/>
              </w:tabs>
              <w:rPr>
                <w:rFonts w:cs="Arial"/>
                <w:b/>
                <w:szCs w:val="24"/>
              </w:rPr>
            </w:pPr>
            <w:r>
              <w:rPr>
                <w:rFonts w:cs="Arial"/>
                <w:b/>
                <w:szCs w:val="24"/>
              </w:rPr>
              <w:t>Weighting</w:t>
            </w:r>
          </w:p>
        </w:tc>
      </w:tr>
      <w:tr w:rsidR="00141192" w:rsidRPr="0032407E" w14:paraId="0C786DA3" w14:textId="77777777" w:rsidTr="00141192">
        <w:trPr>
          <w:trHeight w:val="408"/>
        </w:trPr>
        <w:tc>
          <w:tcPr>
            <w:tcW w:w="4729" w:type="dxa"/>
            <w:shd w:val="clear" w:color="auto" w:fill="auto"/>
          </w:tcPr>
          <w:p w14:paraId="53B0972B" w14:textId="77777777" w:rsidR="00141192" w:rsidRPr="0032407E" w:rsidRDefault="00141192" w:rsidP="00141192">
            <w:pPr>
              <w:tabs>
                <w:tab w:val="left" w:pos="454"/>
                <w:tab w:val="left" w:pos="907"/>
              </w:tabs>
              <w:rPr>
                <w:rFonts w:cs="Arial"/>
                <w:szCs w:val="24"/>
              </w:rPr>
            </w:pPr>
            <w:r>
              <w:rPr>
                <w:rFonts w:cs="Arial"/>
                <w:b/>
                <w:szCs w:val="24"/>
              </w:rPr>
              <w:t>Quality Criteria</w:t>
            </w:r>
            <w:r w:rsidR="00F07501">
              <w:rPr>
                <w:rFonts w:cs="Arial"/>
                <w:b/>
                <w:szCs w:val="24"/>
              </w:rPr>
              <w:t xml:space="preserve"> and Social Value Criteria (if applicable)</w:t>
            </w:r>
          </w:p>
        </w:tc>
        <w:tc>
          <w:tcPr>
            <w:tcW w:w="2346" w:type="dxa"/>
            <w:shd w:val="clear" w:color="auto" w:fill="auto"/>
          </w:tcPr>
          <w:p w14:paraId="38A426FC" w14:textId="77777777" w:rsidR="00141192" w:rsidRPr="00E767C6" w:rsidRDefault="001A5B66" w:rsidP="00F07501">
            <w:pPr>
              <w:tabs>
                <w:tab w:val="left" w:pos="454"/>
                <w:tab w:val="left" w:pos="907"/>
              </w:tabs>
              <w:rPr>
                <w:rFonts w:cs="Arial"/>
                <w:szCs w:val="24"/>
              </w:rPr>
            </w:pPr>
            <w:r w:rsidRPr="00E767C6">
              <w:rPr>
                <w:rFonts w:cs="Arial"/>
                <w:szCs w:val="24"/>
              </w:rPr>
              <w:t>60</w:t>
            </w:r>
            <w:r w:rsidR="00141192" w:rsidRPr="00E767C6">
              <w:rPr>
                <w:rFonts w:cs="Arial"/>
                <w:szCs w:val="24"/>
              </w:rPr>
              <w:t>%</w:t>
            </w:r>
          </w:p>
        </w:tc>
      </w:tr>
      <w:tr w:rsidR="00141192" w:rsidRPr="0032407E" w14:paraId="31F7129F" w14:textId="77777777" w:rsidTr="00141192">
        <w:trPr>
          <w:trHeight w:val="311"/>
        </w:trPr>
        <w:tc>
          <w:tcPr>
            <w:tcW w:w="4729" w:type="dxa"/>
            <w:shd w:val="clear" w:color="auto" w:fill="auto"/>
          </w:tcPr>
          <w:p w14:paraId="0312C2C3" w14:textId="77777777" w:rsidR="00141192" w:rsidRPr="00FF499E" w:rsidRDefault="00141192" w:rsidP="00141192">
            <w:pPr>
              <w:tabs>
                <w:tab w:val="left" w:pos="454"/>
                <w:tab w:val="left" w:pos="907"/>
              </w:tabs>
              <w:rPr>
                <w:rFonts w:cs="Arial"/>
                <w:b/>
                <w:szCs w:val="24"/>
              </w:rPr>
            </w:pPr>
            <w:r w:rsidRPr="00FF499E">
              <w:rPr>
                <w:rFonts w:cs="Arial"/>
                <w:b/>
                <w:szCs w:val="24"/>
              </w:rPr>
              <w:t xml:space="preserve">Financial / </w:t>
            </w:r>
            <w:r>
              <w:rPr>
                <w:rFonts w:cs="Arial"/>
                <w:b/>
                <w:szCs w:val="24"/>
              </w:rPr>
              <w:t>Price Criteria</w:t>
            </w:r>
          </w:p>
        </w:tc>
        <w:tc>
          <w:tcPr>
            <w:tcW w:w="2346" w:type="dxa"/>
            <w:shd w:val="clear" w:color="auto" w:fill="auto"/>
          </w:tcPr>
          <w:p w14:paraId="01C65D54" w14:textId="77777777" w:rsidR="00141192" w:rsidRPr="00E767C6" w:rsidRDefault="001A5B66" w:rsidP="00141192">
            <w:pPr>
              <w:tabs>
                <w:tab w:val="left" w:pos="454"/>
                <w:tab w:val="left" w:pos="907"/>
              </w:tabs>
              <w:rPr>
                <w:rFonts w:cs="Arial"/>
                <w:szCs w:val="24"/>
              </w:rPr>
            </w:pPr>
            <w:r w:rsidRPr="00E767C6">
              <w:rPr>
                <w:rFonts w:cs="Arial"/>
                <w:szCs w:val="24"/>
              </w:rPr>
              <w:t>40</w:t>
            </w:r>
            <w:r w:rsidR="00141192" w:rsidRPr="00E767C6">
              <w:rPr>
                <w:rFonts w:cs="Arial"/>
                <w:szCs w:val="24"/>
              </w:rPr>
              <w:t>%</w:t>
            </w:r>
          </w:p>
        </w:tc>
      </w:tr>
      <w:tr w:rsidR="00141192" w:rsidRPr="0032407E" w14:paraId="0D3F8577" w14:textId="77777777" w:rsidTr="00141192">
        <w:trPr>
          <w:trHeight w:val="311"/>
        </w:trPr>
        <w:tc>
          <w:tcPr>
            <w:tcW w:w="4729" w:type="dxa"/>
            <w:shd w:val="clear" w:color="auto" w:fill="auto"/>
          </w:tcPr>
          <w:p w14:paraId="6E922396" w14:textId="77777777" w:rsidR="00141192" w:rsidRPr="00FF499E" w:rsidRDefault="003A0CFA" w:rsidP="003A0CFA">
            <w:pPr>
              <w:tabs>
                <w:tab w:val="left" w:pos="454"/>
                <w:tab w:val="left" w:pos="907"/>
              </w:tabs>
              <w:rPr>
                <w:rFonts w:cs="Arial"/>
                <w:b/>
                <w:szCs w:val="24"/>
              </w:rPr>
            </w:pPr>
            <w:r>
              <w:rPr>
                <w:rFonts w:cs="Arial"/>
                <w:b/>
                <w:szCs w:val="24"/>
              </w:rPr>
              <w:t>Total</w:t>
            </w:r>
          </w:p>
        </w:tc>
        <w:tc>
          <w:tcPr>
            <w:tcW w:w="2346" w:type="dxa"/>
            <w:shd w:val="clear" w:color="auto" w:fill="auto"/>
          </w:tcPr>
          <w:p w14:paraId="776C3523" w14:textId="77777777" w:rsidR="00141192" w:rsidRPr="00E767C6" w:rsidRDefault="00141192" w:rsidP="00141192">
            <w:pPr>
              <w:tabs>
                <w:tab w:val="left" w:pos="454"/>
                <w:tab w:val="left" w:pos="907"/>
              </w:tabs>
              <w:rPr>
                <w:rFonts w:cs="Arial"/>
                <w:szCs w:val="24"/>
              </w:rPr>
            </w:pPr>
            <w:r w:rsidRPr="00E767C6">
              <w:rPr>
                <w:rFonts w:cs="Arial"/>
                <w:szCs w:val="24"/>
              </w:rPr>
              <w:t>100%</w:t>
            </w:r>
          </w:p>
        </w:tc>
      </w:tr>
    </w:tbl>
    <w:p w14:paraId="58EFE28C" w14:textId="77777777" w:rsidR="00141192" w:rsidRDefault="00141192" w:rsidP="00141192">
      <w:pPr>
        <w:tabs>
          <w:tab w:val="left" w:pos="-180"/>
        </w:tabs>
        <w:spacing w:after="120"/>
        <w:jc w:val="both"/>
        <w:rPr>
          <w:rFonts w:cs="Arial"/>
          <w:b/>
          <w:szCs w:val="24"/>
        </w:rPr>
      </w:pPr>
    </w:p>
    <w:p w14:paraId="05D2F72B" w14:textId="77777777" w:rsidR="00141192" w:rsidRDefault="00141192" w:rsidP="00141192">
      <w:pPr>
        <w:tabs>
          <w:tab w:val="left" w:pos="-180"/>
        </w:tabs>
        <w:spacing w:after="120"/>
        <w:jc w:val="both"/>
        <w:rPr>
          <w:rFonts w:cs="Arial"/>
          <w:b/>
          <w:szCs w:val="24"/>
        </w:rPr>
      </w:pPr>
    </w:p>
    <w:p w14:paraId="0960EC17" w14:textId="77777777" w:rsidR="00141192" w:rsidRDefault="00141192" w:rsidP="00141192">
      <w:pPr>
        <w:tabs>
          <w:tab w:val="left" w:pos="-180"/>
        </w:tabs>
        <w:spacing w:after="120"/>
        <w:jc w:val="both"/>
        <w:rPr>
          <w:rFonts w:cs="Arial"/>
          <w:b/>
          <w:szCs w:val="24"/>
        </w:rPr>
      </w:pPr>
    </w:p>
    <w:p w14:paraId="664DDC0F" w14:textId="77777777" w:rsidR="00141192" w:rsidRDefault="00141192" w:rsidP="00141192">
      <w:pPr>
        <w:tabs>
          <w:tab w:val="left" w:pos="-180"/>
        </w:tabs>
        <w:spacing w:after="120"/>
        <w:jc w:val="both"/>
        <w:rPr>
          <w:rFonts w:cs="Arial"/>
          <w:b/>
          <w:szCs w:val="24"/>
        </w:rPr>
      </w:pPr>
    </w:p>
    <w:p w14:paraId="54002402" w14:textId="77777777" w:rsidR="00141192" w:rsidRDefault="00141192" w:rsidP="00141192">
      <w:pPr>
        <w:tabs>
          <w:tab w:val="left" w:pos="-180"/>
        </w:tabs>
        <w:spacing w:after="120"/>
        <w:jc w:val="both"/>
        <w:rPr>
          <w:rFonts w:cs="Arial"/>
          <w:b/>
          <w:szCs w:val="24"/>
        </w:rPr>
      </w:pPr>
    </w:p>
    <w:p w14:paraId="24724488" w14:textId="77777777" w:rsidR="00046BD2" w:rsidRPr="00141192" w:rsidRDefault="00046BD2" w:rsidP="00141192">
      <w:pPr>
        <w:tabs>
          <w:tab w:val="left" w:pos="-180"/>
        </w:tabs>
        <w:spacing w:before="120" w:after="120"/>
        <w:jc w:val="both"/>
        <w:rPr>
          <w:rFonts w:cs="Arial"/>
          <w:b/>
          <w:szCs w:val="24"/>
          <w:u w:val="single"/>
        </w:rPr>
      </w:pPr>
      <w:r w:rsidRPr="00141192">
        <w:rPr>
          <w:rFonts w:cs="Arial"/>
          <w:b/>
          <w:szCs w:val="24"/>
          <w:u w:val="single"/>
        </w:rPr>
        <w:t>Calculation of Overall Score:</w:t>
      </w:r>
    </w:p>
    <w:p w14:paraId="4EBBED26" w14:textId="77777777" w:rsidR="00E767C6" w:rsidRDefault="000F08FB" w:rsidP="005916A3">
      <w:pPr>
        <w:tabs>
          <w:tab w:val="left" w:pos="-180"/>
        </w:tabs>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p>
    <w:p w14:paraId="1A85992F" w14:textId="77777777" w:rsidR="005916A3" w:rsidRDefault="005916A3" w:rsidP="005916A3">
      <w:pPr>
        <w:tabs>
          <w:tab w:val="left" w:pos="-180"/>
        </w:tabs>
        <w:jc w:val="both"/>
        <w:rPr>
          <w:bCs/>
        </w:rPr>
      </w:pPr>
    </w:p>
    <w:p w14:paraId="12525367" w14:textId="77777777" w:rsidR="005916A3" w:rsidRDefault="005916A3" w:rsidP="005916A3">
      <w:pPr>
        <w:tabs>
          <w:tab w:val="left" w:pos="-180"/>
        </w:tabs>
        <w:jc w:val="both"/>
      </w:pPr>
    </w:p>
    <w:p w14:paraId="7B565A26" w14:textId="77777777" w:rsidR="001A236D" w:rsidRPr="00FC1D6F" w:rsidRDefault="00CB5A16" w:rsidP="00476BAD">
      <w:pPr>
        <w:pStyle w:val="Heading2"/>
        <w:tabs>
          <w:tab w:val="clear" w:pos="0"/>
          <w:tab w:val="left" w:pos="-180"/>
          <w:tab w:val="num" w:pos="747"/>
          <w:tab w:val="num" w:pos="1080"/>
        </w:tabs>
        <w:ind w:hanging="142"/>
        <w:rPr>
          <w:rFonts w:asciiTheme="minorHAnsi" w:hAnsiTheme="minorHAnsi" w:cstheme="minorHAnsi"/>
        </w:rPr>
      </w:pPr>
      <w:bookmarkStart w:id="37" w:name="_Toc71532052"/>
      <w:r w:rsidRPr="00FC1D6F">
        <w:rPr>
          <w:rFonts w:asciiTheme="minorHAnsi" w:hAnsiTheme="minorHAnsi" w:cstheme="minorHAnsi"/>
        </w:rPr>
        <w:t>1</w:t>
      </w:r>
      <w:r w:rsidR="005358B8" w:rsidRPr="00FC1D6F">
        <w:rPr>
          <w:rFonts w:asciiTheme="minorHAnsi" w:hAnsiTheme="minorHAnsi" w:cstheme="minorHAnsi"/>
        </w:rPr>
        <w:t>4</w:t>
      </w:r>
      <w:r w:rsidR="00904F8C" w:rsidRPr="00FC1D6F">
        <w:rPr>
          <w:rFonts w:asciiTheme="minorHAnsi" w:hAnsiTheme="minorHAnsi" w:cstheme="minorHAnsi"/>
        </w:rPr>
        <w:t xml:space="preserve">. </w:t>
      </w:r>
      <w:r w:rsidR="001A236D" w:rsidRPr="00FC1D6F">
        <w:rPr>
          <w:rFonts w:asciiTheme="minorHAnsi" w:hAnsiTheme="minorHAnsi" w:cstheme="minorHAnsi"/>
        </w:rPr>
        <w:t>Points of Contact</w:t>
      </w:r>
      <w:bookmarkEnd w:id="3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3D3EBEC5" w14:textId="77777777" w:rsidTr="000F2E21">
        <w:trPr>
          <w:cantSplit/>
        </w:trPr>
        <w:tc>
          <w:tcPr>
            <w:tcW w:w="3085" w:type="dxa"/>
            <w:shd w:val="clear" w:color="auto" w:fill="E0E0E0"/>
            <w:vAlign w:val="center"/>
          </w:tcPr>
          <w:p w14:paraId="3ACD6BCD"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75AD6505"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180970F2" w14:textId="29AA4100" w:rsidR="001A236D" w:rsidRPr="000F2E21" w:rsidRDefault="006B63A5" w:rsidP="000F2E21">
            <w:pPr>
              <w:tabs>
                <w:tab w:val="left" w:pos="-180"/>
              </w:tabs>
              <w:spacing w:before="120" w:after="120"/>
              <w:rPr>
                <w:rFonts w:cs="Arial"/>
              </w:rPr>
            </w:pPr>
            <w:proofErr w:type="spellStart"/>
            <w:r>
              <w:rPr>
                <w:rFonts w:ascii="Segoe UI" w:hAnsi="Segoe UI" w:cs="Segoe UI"/>
                <w:color w:val="242424"/>
                <w:sz w:val="20"/>
                <w:shd w:val="clear" w:color="auto" w:fill="FFFFFF"/>
              </w:rPr>
              <w:t>Xxxxx</w:t>
            </w:r>
            <w:proofErr w:type="spellEnd"/>
            <w:r>
              <w:rPr>
                <w:rFonts w:ascii="Segoe UI" w:hAnsi="Segoe UI" w:cs="Segoe UI"/>
                <w:color w:val="242424"/>
                <w:sz w:val="20"/>
                <w:shd w:val="clear" w:color="auto" w:fill="FFFFFF"/>
              </w:rPr>
              <w:t xml:space="preserve"> redacted under FOI Section 40</w:t>
            </w:r>
          </w:p>
        </w:tc>
      </w:tr>
      <w:tr w:rsidR="001A236D" w:rsidRPr="0086165E" w14:paraId="685AAE77" w14:textId="77777777" w:rsidTr="000F2E21">
        <w:trPr>
          <w:cantSplit/>
        </w:trPr>
        <w:tc>
          <w:tcPr>
            <w:tcW w:w="3085" w:type="dxa"/>
            <w:vMerge w:val="restart"/>
            <w:shd w:val="clear" w:color="auto" w:fill="E0E0E0"/>
            <w:vAlign w:val="center"/>
          </w:tcPr>
          <w:p w14:paraId="2B2950A7"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B07DC46"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279A5FD1" w14:textId="1568EA83" w:rsidR="001A236D" w:rsidRPr="000F2E21" w:rsidRDefault="006B63A5" w:rsidP="000F2E21">
            <w:pPr>
              <w:tabs>
                <w:tab w:val="left" w:pos="-180"/>
              </w:tabs>
              <w:spacing w:before="120" w:after="120"/>
              <w:ind w:left="67"/>
              <w:rPr>
                <w:rFonts w:cs="Arial"/>
              </w:rPr>
            </w:pPr>
            <w:proofErr w:type="spellStart"/>
            <w:r>
              <w:rPr>
                <w:rFonts w:ascii="Segoe UI" w:hAnsi="Segoe UI" w:cs="Segoe UI"/>
                <w:color w:val="242424"/>
                <w:sz w:val="20"/>
                <w:shd w:val="clear" w:color="auto" w:fill="FFFFFF"/>
              </w:rPr>
              <w:t>Xxxxx</w:t>
            </w:r>
            <w:proofErr w:type="spellEnd"/>
            <w:r>
              <w:rPr>
                <w:rFonts w:ascii="Segoe UI" w:hAnsi="Segoe UI" w:cs="Segoe UI"/>
                <w:color w:val="242424"/>
                <w:sz w:val="20"/>
                <w:shd w:val="clear" w:color="auto" w:fill="FFFFFF"/>
              </w:rPr>
              <w:t xml:space="preserve"> redacted under FOI Section 40</w:t>
            </w:r>
          </w:p>
        </w:tc>
      </w:tr>
      <w:tr w:rsidR="001A236D" w:rsidRPr="0086165E" w14:paraId="4EAD5B1C" w14:textId="77777777" w:rsidTr="000F2E21">
        <w:trPr>
          <w:cantSplit/>
        </w:trPr>
        <w:tc>
          <w:tcPr>
            <w:tcW w:w="3085" w:type="dxa"/>
            <w:vMerge/>
            <w:shd w:val="clear" w:color="auto" w:fill="E0E0E0"/>
            <w:vAlign w:val="center"/>
          </w:tcPr>
          <w:p w14:paraId="79E3E76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3730D134"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66D684B1" w14:textId="4306295D" w:rsidR="001A236D" w:rsidRPr="000F2E21" w:rsidRDefault="006B63A5" w:rsidP="000F2E21">
            <w:pPr>
              <w:tabs>
                <w:tab w:val="left" w:pos="-180"/>
              </w:tabs>
              <w:spacing w:before="120" w:after="120"/>
              <w:ind w:left="67"/>
              <w:rPr>
                <w:rFonts w:cs="Arial"/>
              </w:rPr>
            </w:pPr>
            <w:proofErr w:type="spellStart"/>
            <w:r>
              <w:rPr>
                <w:rFonts w:ascii="Segoe UI" w:hAnsi="Segoe UI" w:cs="Segoe UI"/>
                <w:color w:val="242424"/>
                <w:sz w:val="20"/>
                <w:shd w:val="clear" w:color="auto" w:fill="FFFFFF"/>
              </w:rPr>
              <w:t>Xxxxx</w:t>
            </w:r>
            <w:proofErr w:type="spellEnd"/>
            <w:r>
              <w:rPr>
                <w:rFonts w:ascii="Segoe UI" w:hAnsi="Segoe UI" w:cs="Segoe UI"/>
                <w:color w:val="242424"/>
                <w:sz w:val="20"/>
                <w:shd w:val="clear" w:color="auto" w:fill="FFFFFF"/>
              </w:rPr>
              <w:t xml:space="preserve"> redacted under FOI Section 40</w:t>
            </w:r>
          </w:p>
        </w:tc>
      </w:tr>
      <w:tr w:rsidR="001A236D" w:rsidRPr="0086165E" w14:paraId="77A47925" w14:textId="77777777" w:rsidTr="000F2E21">
        <w:trPr>
          <w:cantSplit/>
        </w:trPr>
        <w:tc>
          <w:tcPr>
            <w:tcW w:w="3085" w:type="dxa"/>
            <w:vMerge/>
            <w:shd w:val="clear" w:color="auto" w:fill="E0E0E0"/>
            <w:vAlign w:val="center"/>
          </w:tcPr>
          <w:p w14:paraId="6B8D0EB8"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1D7AA8F9" w14:textId="77777777" w:rsidR="001A236D" w:rsidRPr="000F2E21" w:rsidRDefault="001A236D" w:rsidP="000F2E21">
            <w:pPr>
              <w:tabs>
                <w:tab w:val="left" w:pos="68"/>
              </w:tabs>
              <w:spacing w:before="120" w:after="120"/>
              <w:ind w:left="68"/>
              <w:rPr>
                <w:rFonts w:cs="Arial"/>
              </w:rPr>
            </w:pPr>
            <w:r w:rsidRPr="000F2E21">
              <w:rPr>
                <w:rFonts w:cs="Arial"/>
              </w:rPr>
              <w:t>Address</w:t>
            </w:r>
          </w:p>
        </w:tc>
        <w:tc>
          <w:tcPr>
            <w:tcW w:w="4711" w:type="dxa"/>
            <w:vAlign w:val="center"/>
          </w:tcPr>
          <w:p w14:paraId="05B12350" w14:textId="77777777" w:rsidR="001A236D" w:rsidRPr="000F2E21" w:rsidRDefault="005F6A83" w:rsidP="000F2E21">
            <w:pPr>
              <w:tabs>
                <w:tab w:val="left" w:pos="-180"/>
              </w:tabs>
              <w:spacing w:before="120" w:after="120"/>
              <w:ind w:left="67"/>
              <w:rPr>
                <w:rFonts w:cs="Arial"/>
              </w:rPr>
            </w:pPr>
            <w:r>
              <w:rPr>
                <w:rFonts w:cs="Arial"/>
              </w:rPr>
              <w:t xml:space="preserve">DVLA, Longview Road, </w:t>
            </w:r>
            <w:proofErr w:type="spellStart"/>
            <w:r>
              <w:rPr>
                <w:rFonts w:cs="Arial"/>
              </w:rPr>
              <w:t>Clase</w:t>
            </w:r>
            <w:proofErr w:type="spellEnd"/>
            <w:r>
              <w:rPr>
                <w:rFonts w:cs="Arial"/>
              </w:rPr>
              <w:t>, Swansea SA67JL</w:t>
            </w:r>
          </w:p>
        </w:tc>
      </w:tr>
      <w:tr w:rsidR="0071376C" w:rsidRPr="0086165E" w14:paraId="1D6459D7" w14:textId="77777777" w:rsidTr="000F2E21">
        <w:trPr>
          <w:cantSplit/>
        </w:trPr>
        <w:tc>
          <w:tcPr>
            <w:tcW w:w="3085" w:type="dxa"/>
            <w:vMerge w:val="restart"/>
            <w:shd w:val="clear" w:color="auto" w:fill="E0E0E0"/>
            <w:vAlign w:val="center"/>
          </w:tcPr>
          <w:p w14:paraId="7BC86C69" w14:textId="77777777" w:rsidR="0071376C" w:rsidRPr="000F2E21" w:rsidRDefault="0071376C" w:rsidP="003C66B7">
            <w:pPr>
              <w:tabs>
                <w:tab w:val="left" w:pos="-180"/>
              </w:tabs>
              <w:spacing w:before="120" w:after="120"/>
              <w:ind w:left="34"/>
              <w:rPr>
                <w:rFonts w:cs="Arial"/>
                <w:b/>
              </w:rPr>
            </w:pPr>
            <w:r w:rsidRPr="000F2E21">
              <w:rPr>
                <w:rFonts w:cs="Arial"/>
                <w:b/>
              </w:rPr>
              <w:t>Project Lead</w:t>
            </w:r>
            <w:r w:rsidR="007E54BC">
              <w:rPr>
                <w:rFonts w:cs="Arial"/>
                <w:b/>
              </w:rPr>
              <w:t>/Business Area Contact</w:t>
            </w:r>
            <w:r w:rsidRPr="000F2E21">
              <w:rPr>
                <w:rFonts w:cs="Arial"/>
                <w:b/>
              </w:rPr>
              <w:br/>
            </w:r>
            <w:r w:rsidR="00E767C6">
              <w:rPr>
                <w:rFonts w:cs="Arial"/>
                <w:b/>
              </w:rPr>
              <w:t>Commercial Directorate</w:t>
            </w:r>
          </w:p>
        </w:tc>
        <w:tc>
          <w:tcPr>
            <w:tcW w:w="1418" w:type="dxa"/>
            <w:shd w:val="clear" w:color="auto" w:fill="E0E0E0"/>
            <w:vAlign w:val="center"/>
          </w:tcPr>
          <w:p w14:paraId="52F3EE9B"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731590E3" w14:textId="1B7F937B" w:rsidR="0071376C" w:rsidRPr="000F2E21" w:rsidRDefault="006B63A5" w:rsidP="000F2E21">
            <w:pPr>
              <w:tabs>
                <w:tab w:val="left" w:pos="-180"/>
              </w:tabs>
              <w:spacing w:before="120" w:after="120"/>
              <w:ind w:left="67"/>
              <w:rPr>
                <w:rFonts w:cs="Arial"/>
              </w:rPr>
            </w:pPr>
            <w:proofErr w:type="spellStart"/>
            <w:r>
              <w:rPr>
                <w:rFonts w:ascii="Segoe UI" w:hAnsi="Segoe UI" w:cs="Segoe UI"/>
                <w:color w:val="242424"/>
                <w:sz w:val="20"/>
                <w:shd w:val="clear" w:color="auto" w:fill="FFFFFF"/>
              </w:rPr>
              <w:t>Xxxxx</w:t>
            </w:r>
            <w:proofErr w:type="spellEnd"/>
            <w:r>
              <w:rPr>
                <w:rFonts w:ascii="Segoe UI" w:hAnsi="Segoe UI" w:cs="Segoe UI"/>
                <w:color w:val="242424"/>
                <w:sz w:val="20"/>
                <w:shd w:val="clear" w:color="auto" w:fill="FFFFFF"/>
              </w:rPr>
              <w:t xml:space="preserve"> redacted under FOI Section 40</w:t>
            </w:r>
          </w:p>
        </w:tc>
      </w:tr>
      <w:tr w:rsidR="0071376C" w:rsidRPr="0086165E" w14:paraId="398847C4" w14:textId="77777777" w:rsidTr="000F2E21">
        <w:trPr>
          <w:cantSplit/>
        </w:trPr>
        <w:tc>
          <w:tcPr>
            <w:tcW w:w="3085" w:type="dxa"/>
            <w:vMerge/>
            <w:shd w:val="clear" w:color="auto" w:fill="E0E0E0"/>
            <w:vAlign w:val="center"/>
          </w:tcPr>
          <w:p w14:paraId="2DD74CDF"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37ACD098"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BCB18ED" w14:textId="77777777" w:rsidR="0071376C" w:rsidRPr="000F2E21" w:rsidRDefault="00327C68" w:rsidP="000F2E21">
            <w:pPr>
              <w:tabs>
                <w:tab w:val="left" w:pos="-180"/>
              </w:tabs>
              <w:spacing w:before="120" w:after="120"/>
              <w:ind w:left="67"/>
              <w:rPr>
                <w:rFonts w:cs="Arial"/>
              </w:rPr>
            </w:pPr>
            <w:r>
              <w:rPr>
                <w:rFonts w:cs="Arial"/>
              </w:rPr>
              <w:t>n/a</w:t>
            </w:r>
          </w:p>
        </w:tc>
      </w:tr>
      <w:tr w:rsidR="0071376C" w:rsidRPr="0086165E" w14:paraId="47113C18" w14:textId="77777777" w:rsidTr="000F2E21">
        <w:trPr>
          <w:cantSplit/>
        </w:trPr>
        <w:tc>
          <w:tcPr>
            <w:tcW w:w="3085" w:type="dxa"/>
            <w:vMerge/>
            <w:shd w:val="clear" w:color="auto" w:fill="E0E0E0"/>
            <w:vAlign w:val="center"/>
          </w:tcPr>
          <w:p w14:paraId="3C35F3DC"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7CD90799"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2D058021" w14:textId="660F6DFD" w:rsidR="0071376C" w:rsidRPr="000F2E21" w:rsidRDefault="006B63A5" w:rsidP="000F2E21">
            <w:pPr>
              <w:tabs>
                <w:tab w:val="left" w:pos="-180"/>
              </w:tabs>
              <w:spacing w:before="120" w:after="120"/>
              <w:ind w:left="67"/>
              <w:rPr>
                <w:rFonts w:cs="Arial"/>
              </w:rPr>
            </w:pPr>
            <w:proofErr w:type="spellStart"/>
            <w:r>
              <w:rPr>
                <w:rFonts w:ascii="Segoe UI" w:hAnsi="Segoe UI" w:cs="Segoe UI"/>
                <w:color w:val="242424"/>
                <w:sz w:val="20"/>
                <w:shd w:val="clear" w:color="auto" w:fill="FFFFFF"/>
              </w:rPr>
              <w:t>Xxxxx</w:t>
            </w:r>
            <w:proofErr w:type="spellEnd"/>
            <w:r>
              <w:rPr>
                <w:rFonts w:ascii="Segoe UI" w:hAnsi="Segoe UI" w:cs="Segoe UI"/>
                <w:color w:val="242424"/>
                <w:sz w:val="20"/>
                <w:shd w:val="clear" w:color="auto" w:fill="FFFFFF"/>
              </w:rPr>
              <w:t xml:space="preserve"> redacted under FOI Section 40</w:t>
            </w:r>
          </w:p>
        </w:tc>
      </w:tr>
    </w:tbl>
    <w:p w14:paraId="7B3B30D8" w14:textId="77777777" w:rsidR="001A236D" w:rsidRDefault="001A236D" w:rsidP="008D63EC">
      <w:pPr>
        <w:tabs>
          <w:tab w:val="left" w:pos="-180"/>
        </w:tabs>
        <w:ind w:hanging="540"/>
        <w:jc w:val="center"/>
        <w:rPr>
          <w:rFonts w:cs="Arial"/>
          <w:b/>
          <w:u w:val="single"/>
        </w:rPr>
      </w:pPr>
    </w:p>
    <w:p w14:paraId="28CDBD4A"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77E38C3B" w14:textId="77777777" w:rsidR="00236890" w:rsidRDefault="00236890">
      <w:pPr>
        <w:rPr>
          <w:b/>
          <w:sz w:val="28"/>
        </w:rPr>
      </w:pPr>
      <w:bookmarkStart w:id="38" w:name="_Toc253400972"/>
      <w:r>
        <w:br w:type="page"/>
      </w:r>
    </w:p>
    <w:p w14:paraId="6F87B728" w14:textId="77777777" w:rsidR="002D0917" w:rsidRDefault="005358B8" w:rsidP="00476BAD">
      <w:pPr>
        <w:pStyle w:val="Heading2"/>
        <w:tabs>
          <w:tab w:val="clear" w:pos="0"/>
          <w:tab w:val="left" w:pos="-180"/>
        </w:tabs>
        <w:ind w:hanging="142"/>
        <w:rPr>
          <w:rFonts w:cs="Arial"/>
          <w:b w:val="0"/>
          <w:sz w:val="24"/>
        </w:rPr>
      </w:pPr>
      <w:bookmarkStart w:id="39" w:name="_Toc71532053"/>
      <w:r>
        <w:lastRenderedPageBreak/>
        <w:t>15</w:t>
      </w:r>
      <w:r w:rsidR="00904F8C" w:rsidRPr="00904F8C">
        <w:t>.</w:t>
      </w:r>
      <w:r w:rsidR="002D0917" w:rsidRPr="002D0917">
        <w:t>Annexes</w:t>
      </w:r>
      <w:r w:rsidR="002D0917">
        <w:t>:</w:t>
      </w:r>
      <w:bookmarkEnd w:id="39"/>
    </w:p>
    <w:p w14:paraId="448A5FF5" w14:textId="4B92BCAA" w:rsidR="001A236D" w:rsidRPr="00425182" w:rsidRDefault="001A236D" w:rsidP="002D0917">
      <w:pPr>
        <w:pStyle w:val="Heading3"/>
        <w:ind w:left="720" w:hanging="720"/>
        <w:rPr>
          <w:rFonts w:cs="Arial"/>
          <w:u w:val="single"/>
        </w:rPr>
      </w:pPr>
      <w:bookmarkStart w:id="40" w:name="_Toc71532054"/>
      <w:r w:rsidRPr="00425182">
        <w:t>Annex 1 – Evaluation Criteria:</w:t>
      </w:r>
      <w:bookmarkEnd w:id="38"/>
      <w:bookmarkEnd w:id="40"/>
    </w:p>
    <w:p w14:paraId="0B901F89" w14:textId="77777777" w:rsidR="00B675DC" w:rsidRDefault="00B675DC" w:rsidP="005916A3">
      <w:pPr>
        <w:rPr>
          <w:b/>
        </w:rPr>
      </w:pPr>
      <w:r w:rsidRPr="005916A3">
        <w:rPr>
          <w:b/>
        </w:rPr>
        <w:t xml:space="preserve">Mandatory </w:t>
      </w:r>
      <w:r w:rsidR="003110F3" w:rsidRPr="005916A3">
        <w:rPr>
          <w:b/>
        </w:rPr>
        <w:t>Criteria</w:t>
      </w:r>
    </w:p>
    <w:p w14:paraId="331682F8" w14:textId="77777777" w:rsidR="005916A3" w:rsidRPr="005916A3" w:rsidRDefault="005916A3" w:rsidP="005916A3">
      <w:pPr>
        <w:rPr>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670"/>
        <w:gridCol w:w="1418"/>
      </w:tblGrid>
      <w:tr w:rsidR="00D70D80" w:rsidRPr="00B43326" w14:paraId="5371D061" w14:textId="77777777" w:rsidTr="003110F3">
        <w:trPr>
          <w:trHeight w:val="113"/>
          <w:tblHeader/>
        </w:trPr>
        <w:tc>
          <w:tcPr>
            <w:tcW w:w="2405" w:type="dxa"/>
            <w:shd w:val="clear" w:color="auto" w:fill="auto"/>
            <w:vAlign w:val="center"/>
          </w:tcPr>
          <w:p w14:paraId="01AB206A" w14:textId="77777777" w:rsidR="00D70D80" w:rsidRPr="007160EF" w:rsidRDefault="00D70D80" w:rsidP="00D70D80">
            <w:pPr>
              <w:tabs>
                <w:tab w:val="num" w:pos="-180"/>
              </w:tabs>
              <w:rPr>
                <w:rFonts w:cs="Arial"/>
                <w:b/>
                <w:sz w:val="20"/>
              </w:rPr>
            </w:pPr>
            <w:r w:rsidRPr="007160EF">
              <w:rPr>
                <w:rFonts w:cs="Arial"/>
                <w:b/>
                <w:sz w:val="20"/>
              </w:rPr>
              <w:t>Mandatory Criteria</w:t>
            </w:r>
          </w:p>
        </w:tc>
        <w:tc>
          <w:tcPr>
            <w:tcW w:w="5670" w:type="dxa"/>
            <w:shd w:val="clear" w:color="auto" w:fill="auto"/>
            <w:vAlign w:val="center"/>
          </w:tcPr>
          <w:p w14:paraId="1D073E74" w14:textId="77777777" w:rsidR="00D70D80" w:rsidRPr="007160EF" w:rsidRDefault="00D70D80" w:rsidP="00D70D80">
            <w:pPr>
              <w:tabs>
                <w:tab w:val="num" w:pos="-180"/>
              </w:tabs>
              <w:jc w:val="center"/>
              <w:rPr>
                <w:rFonts w:cs="Arial"/>
                <w:b/>
                <w:sz w:val="20"/>
              </w:rPr>
            </w:pPr>
            <w:r w:rsidRPr="007160EF">
              <w:rPr>
                <w:rFonts w:cs="Arial"/>
                <w:b/>
                <w:sz w:val="20"/>
              </w:rPr>
              <w:t>Mandatory Criteria Description</w:t>
            </w:r>
          </w:p>
        </w:tc>
        <w:tc>
          <w:tcPr>
            <w:tcW w:w="1418" w:type="dxa"/>
            <w:shd w:val="clear" w:color="auto" w:fill="auto"/>
            <w:vAlign w:val="center"/>
          </w:tcPr>
          <w:p w14:paraId="39F3A79C" w14:textId="77777777" w:rsidR="00D70D80" w:rsidRPr="00597ADD" w:rsidRDefault="00D70D80" w:rsidP="00D70D80">
            <w:pPr>
              <w:tabs>
                <w:tab w:val="num" w:pos="0"/>
              </w:tabs>
              <w:rPr>
                <w:rFonts w:cs="Arial"/>
                <w:sz w:val="20"/>
              </w:rPr>
            </w:pPr>
            <w:r w:rsidRPr="00597ADD">
              <w:rPr>
                <w:rFonts w:cs="Arial"/>
                <w:b/>
                <w:sz w:val="20"/>
              </w:rPr>
              <w:t>Pass/Fail</w:t>
            </w:r>
          </w:p>
        </w:tc>
      </w:tr>
      <w:tr w:rsidR="00D70D80" w:rsidRPr="00B43326" w14:paraId="68A0367B" w14:textId="77777777" w:rsidTr="003110F3">
        <w:trPr>
          <w:trHeight w:val="113"/>
          <w:tblHeader/>
        </w:trPr>
        <w:tc>
          <w:tcPr>
            <w:tcW w:w="2405" w:type="dxa"/>
            <w:shd w:val="clear" w:color="auto" w:fill="auto"/>
            <w:vAlign w:val="center"/>
          </w:tcPr>
          <w:p w14:paraId="505408BB" w14:textId="77777777" w:rsidR="00D70D80" w:rsidRPr="007160EF" w:rsidRDefault="00543DD4" w:rsidP="00D70D80">
            <w:pPr>
              <w:tabs>
                <w:tab w:val="num" w:pos="-180"/>
              </w:tabs>
              <w:rPr>
                <w:rFonts w:cs="Arial"/>
                <w:b/>
                <w:sz w:val="20"/>
              </w:rPr>
            </w:pPr>
            <w:r w:rsidRPr="007160EF">
              <w:rPr>
                <w:rFonts w:cs="Arial"/>
                <w:b/>
                <w:sz w:val="20"/>
              </w:rPr>
              <w:t>Maximum Tonnage</w:t>
            </w:r>
          </w:p>
        </w:tc>
        <w:tc>
          <w:tcPr>
            <w:tcW w:w="5670" w:type="dxa"/>
            <w:shd w:val="clear" w:color="auto" w:fill="auto"/>
            <w:vAlign w:val="center"/>
          </w:tcPr>
          <w:p w14:paraId="42DFD290" w14:textId="77777777" w:rsidR="00197F99" w:rsidRPr="007160EF" w:rsidRDefault="00197F99" w:rsidP="00D70D80">
            <w:pPr>
              <w:tabs>
                <w:tab w:val="num" w:pos="-180"/>
              </w:tabs>
              <w:rPr>
                <w:rFonts w:cs="Arial"/>
                <w:sz w:val="20"/>
              </w:rPr>
            </w:pPr>
          </w:p>
          <w:p w14:paraId="1F9DB5FB" w14:textId="77777777" w:rsidR="00D70D80" w:rsidRPr="007160EF" w:rsidRDefault="00197F99" w:rsidP="00D70D80">
            <w:pPr>
              <w:tabs>
                <w:tab w:val="num" w:pos="-180"/>
              </w:tabs>
              <w:rPr>
                <w:rFonts w:cs="Arial"/>
                <w:sz w:val="20"/>
              </w:rPr>
            </w:pPr>
            <w:r w:rsidRPr="007160EF">
              <w:rPr>
                <w:rFonts w:cs="Arial"/>
                <w:sz w:val="20"/>
              </w:rPr>
              <w:t>The vehicles stipulated as part of the solution must not exceed 3.5</w:t>
            </w:r>
            <w:r w:rsidR="00FC1D6F">
              <w:rPr>
                <w:rFonts w:cs="Arial"/>
                <w:sz w:val="20"/>
              </w:rPr>
              <w:t xml:space="preserve"> </w:t>
            </w:r>
            <w:r w:rsidRPr="007160EF">
              <w:rPr>
                <w:rFonts w:cs="Arial"/>
                <w:sz w:val="20"/>
              </w:rPr>
              <w:t>tons fully laden</w:t>
            </w:r>
          </w:p>
          <w:p w14:paraId="005B2598" w14:textId="77777777" w:rsidR="00197F99" w:rsidRPr="007160EF" w:rsidRDefault="00197F99" w:rsidP="00D70D80">
            <w:pPr>
              <w:tabs>
                <w:tab w:val="num" w:pos="-180"/>
              </w:tabs>
              <w:rPr>
                <w:rFonts w:cs="Arial"/>
                <w:sz w:val="20"/>
              </w:rPr>
            </w:pPr>
          </w:p>
        </w:tc>
        <w:tc>
          <w:tcPr>
            <w:tcW w:w="1418" w:type="dxa"/>
            <w:shd w:val="clear" w:color="auto" w:fill="auto"/>
            <w:vAlign w:val="center"/>
          </w:tcPr>
          <w:p w14:paraId="43BDEFAA" w14:textId="77777777" w:rsidR="00D70D80" w:rsidRPr="00B43326" w:rsidRDefault="00D70D80" w:rsidP="00D70D80">
            <w:pPr>
              <w:tabs>
                <w:tab w:val="num" w:pos="0"/>
              </w:tabs>
              <w:rPr>
                <w:rFonts w:cs="Arial"/>
                <w:sz w:val="20"/>
              </w:rPr>
            </w:pPr>
          </w:p>
        </w:tc>
      </w:tr>
      <w:tr w:rsidR="00FF3786" w:rsidRPr="00B43326" w14:paraId="68A9E1C4" w14:textId="77777777" w:rsidTr="002C4C14">
        <w:trPr>
          <w:trHeight w:val="762"/>
          <w:tblHeader/>
        </w:trPr>
        <w:tc>
          <w:tcPr>
            <w:tcW w:w="2405" w:type="dxa"/>
            <w:shd w:val="clear" w:color="auto" w:fill="auto"/>
            <w:vAlign w:val="center"/>
          </w:tcPr>
          <w:p w14:paraId="65570039" w14:textId="77777777" w:rsidR="00FF3786" w:rsidRPr="007160EF" w:rsidRDefault="002C4C14" w:rsidP="00D70D80">
            <w:pPr>
              <w:tabs>
                <w:tab w:val="num" w:pos="-180"/>
              </w:tabs>
              <w:rPr>
                <w:rFonts w:cs="Arial"/>
                <w:b/>
                <w:sz w:val="20"/>
              </w:rPr>
            </w:pPr>
            <w:r>
              <w:rPr>
                <w:rFonts w:cs="Arial"/>
                <w:b/>
                <w:sz w:val="20"/>
              </w:rPr>
              <w:t>Type B Vehicle</w:t>
            </w:r>
          </w:p>
        </w:tc>
        <w:tc>
          <w:tcPr>
            <w:tcW w:w="5670" w:type="dxa"/>
            <w:shd w:val="clear" w:color="auto" w:fill="auto"/>
            <w:vAlign w:val="center"/>
          </w:tcPr>
          <w:p w14:paraId="55B067FE" w14:textId="77777777" w:rsidR="00FF3786" w:rsidRPr="007160EF" w:rsidRDefault="004C13EE" w:rsidP="00D70D80">
            <w:pPr>
              <w:tabs>
                <w:tab w:val="num" w:pos="-180"/>
              </w:tabs>
              <w:rPr>
                <w:rFonts w:cs="Arial"/>
                <w:sz w:val="20"/>
              </w:rPr>
            </w:pPr>
            <w:r>
              <w:rPr>
                <w:rFonts w:cs="Arial"/>
                <w:sz w:val="20"/>
              </w:rPr>
              <w:t>The single Type B vehicle must have 0g/km emissions.</w:t>
            </w:r>
          </w:p>
        </w:tc>
        <w:tc>
          <w:tcPr>
            <w:tcW w:w="1418" w:type="dxa"/>
            <w:shd w:val="clear" w:color="auto" w:fill="auto"/>
            <w:vAlign w:val="center"/>
          </w:tcPr>
          <w:p w14:paraId="6B925A94" w14:textId="77777777" w:rsidR="00FF3786" w:rsidRPr="00B43326" w:rsidRDefault="00FF3786" w:rsidP="00D70D80">
            <w:pPr>
              <w:tabs>
                <w:tab w:val="num" w:pos="0"/>
              </w:tabs>
              <w:rPr>
                <w:rFonts w:cs="Arial"/>
                <w:sz w:val="20"/>
              </w:rPr>
            </w:pPr>
          </w:p>
        </w:tc>
      </w:tr>
      <w:tr w:rsidR="003110F3" w:rsidRPr="00B43326" w14:paraId="05E18ABA" w14:textId="77777777" w:rsidTr="003110F3">
        <w:trPr>
          <w:trHeight w:val="113"/>
          <w:tblHeader/>
        </w:trPr>
        <w:tc>
          <w:tcPr>
            <w:tcW w:w="2405" w:type="dxa"/>
            <w:shd w:val="clear" w:color="auto" w:fill="auto"/>
            <w:vAlign w:val="center"/>
          </w:tcPr>
          <w:p w14:paraId="5846FBBC" w14:textId="77777777" w:rsidR="003110F3" w:rsidRPr="007160EF" w:rsidRDefault="003110F3" w:rsidP="003110F3">
            <w:pPr>
              <w:tabs>
                <w:tab w:val="num" w:pos="-180"/>
              </w:tabs>
              <w:rPr>
                <w:rFonts w:cs="Arial"/>
                <w:b/>
                <w:sz w:val="20"/>
              </w:rPr>
            </w:pPr>
            <w:r w:rsidRPr="007160EF">
              <w:rPr>
                <w:rFonts w:cs="Arial"/>
                <w:b/>
                <w:sz w:val="20"/>
              </w:rPr>
              <w:t xml:space="preserve">Tail-Lift </w:t>
            </w:r>
          </w:p>
        </w:tc>
        <w:tc>
          <w:tcPr>
            <w:tcW w:w="5670" w:type="dxa"/>
            <w:shd w:val="clear" w:color="auto" w:fill="auto"/>
            <w:vAlign w:val="center"/>
          </w:tcPr>
          <w:p w14:paraId="36344BD7" w14:textId="77777777" w:rsidR="003110F3" w:rsidRPr="007160EF" w:rsidRDefault="003110F3" w:rsidP="003110F3">
            <w:pPr>
              <w:spacing w:before="120" w:after="120"/>
              <w:rPr>
                <w:rFonts w:cs="Arial"/>
                <w:bCs/>
                <w:sz w:val="20"/>
              </w:rPr>
            </w:pPr>
            <w:r w:rsidRPr="007160EF">
              <w:rPr>
                <w:rFonts w:cs="Arial"/>
                <w:bCs/>
                <w:sz w:val="20"/>
              </w:rPr>
              <w:t xml:space="preserve">A standard Column Tail lift to be fitted at the rear of the leased vehicle </w:t>
            </w:r>
          </w:p>
          <w:p w14:paraId="0F4E4A34" w14:textId="77777777" w:rsidR="003110F3" w:rsidRPr="007160EF" w:rsidRDefault="003110F3" w:rsidP="003110F3">
            <w:pPr>
              <w:tabs>
                <w:tab w:val="num" w:pos="-180"/>
              </w:tabs>
              <w:rPr>
                <w:rFonts w:cs="Arial"/>
                <w:sz w:val="20"/>
              </w:rPr>
            </w:pPr>
          </w:p>
        </w:tc>
        <w:tc>
          <w:tcPr>
            <w:tcW w:w="1418" w:type="dxa"/>
            <w:shd w:val="clear" w:color="auto" w:fill="auto"/>
            <w:vAlign w:val="center"/>
          </w:tcPr>
          <w:p w14:paraId="4981713A" w14:textId="77777777" w:rsidR="003110F3" w:rsidRPr="00B43326" w:rsidRDefault="003110F3" w:rsidP="003110F3">
            <w:pPr>
              <w:tabs>
                <w:tab w:val="num" w:pos="0"/>
              </w:tabs>
              <w:rPr>
                <w:rFonts w:cs="Arial"/>
                <w:sz w:val="20"/>
              </w:rPr>
            </w:pPr>
          </w:p>
        </w:tc>
      </w:tr>
    </w:tbl>
    <w:p w14:paraId="3893AE14" w14:textId="77777777" w:rsidR="00F43ED5" w:rsidRDefault="00F43ED5" w:rsidP="00CC5CF0">
      <w:pPr>
        <w:spacing w:after="120"/>
        <w:rPr>
          <w:rFonts w:cs="Arial"/>
          <w:b/>
          <w:sz w:val="18"/>
        </w:rPr>
        <w:sectPr w:rsidR="00F43ED5" w:rsidSect="002B38D6">
          <w:pgSz w:w="11906" w:h="16838"/>
          <w:pgMar w:top="1440" w:right="1287" w:bottom="1440" w:left="1259" w:header="709" w:footer="709" w:gutter="0"/>
          <w:cols w:space="708"/>
          <w:titlePg/>
          <w:docGrid w:linePitch="360"/>
        </w:sectPr>
      </w:pPr>
    </w:p>
    <w:tbl>
      <w:tblPr>
        <w:tblpPr w:leftFromText="180" w:rightFromText="180" w:tblpY="649"/>
        <w:tblW w:w="1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937"/>
        <w:gridCol w:w="9413"/>
        <w:gridCol w:w="1251"/>
      </w:tblGrid>
      <w:tr w:rsidR="00F43ED5" w:rsidRPr="00F64CA6" w14:paraId="0ED71778" w14:textId="77777777" w:rsidTr="002C4C14">
        <w:trPr>
          <w:cantSplit/>
          <w:trHeight w:val="510"/>
          <w:tblHeader/>
        </w:trPr>
        <w:tc>
          <w:tcPr>
            <w:tcW w:w="14297" w:type="dxa"/>
            <w:gridSpan w:val="4"/>
            <w:shd w:val="clear" w:color="auto" w:fill="auto"/>
            <w:vAlign w:val="center"/>
          </w:tcPr>
          <w:p w14:paraId="148A0B10" w14:textId="6F60108E" w:rsidR="00F43ED5" w:rsidRPr="005916A3" w:rsidRDefault="00661287" w:rsidP="002C4C14">
            <w:pPr>
              <w:rPr>
                <w:b/>
              </w:rPr>
            </w:pPr>
            <w:r>
              <w:rPr>
                <w:b/>
              </w:rPr>
              <w:lastRenderedPageBreak/>
              <w:t xml:space="preserve">Annex 1 (continued) - </w:t>
            </w:r>
            <w:r w:rsidR="00F43ED5" w:rsidRPr="005916A3">
              <w:rPr>
                <w:b/>
              </w:rPr>
              <w:t>Quality/Scored Criteria</w:t>
            </w:r>
          </w:p>
        </w:tc>
      </w:tr>
      <w:tr w:rsidR="00F43ED5" w:rsidRPr="00F64CA6" w14:paraId="1CC7BD53" w14:textId="77777777" w:rsidTr="002C4C14">
        <w:trPr>
          <w:cantSplit/>
          <w:trHeight w:val="510"/>
          <w:tblHeader/>
        </w:trPr>
        <w:tc>
          <w:tcPr>
            <w:tcW w:w="1696" w:type="dxa"/>
            <w:shd w:val="clear" w:color="auto" w:fill="auto"/>
            <w:vAlign w:val="center"/>
          </w:tcPr>
          <w:p w14:paraId="6CAC01FA" w14:textId="77777777" w:rsidR="00F43ED5" w:rsidRPr="00F64CA6" w:rsidRDefault="00F43ED5" w:rsidP="002C4C14">
            <w:pPr>
              <w:tabs>
                <w:tab w:val="num" w:pos="-180"/>
              </w:tabs>
              <w:jc w:val="center"/>
              <w:rPr>
                <w:rFonts w:cs="Arial"/>
                <w:b/>
                <w:sz w:val="16"/>
              </w:rPr>
            </w:pPr>
            <w:r w:rsidRPr="00F64CA6">
              <w:rPr>
                <w:rFonts w:cs="Arial"/>
                <w:b/>
                <w:sz w:val="16"/>
              </w:rPr>
              <w:t>Primary Scored Criteria</w:t>
            </w:r>
          </w:p>
        </w:tc>
        <w:tc>
          <w:tcPr>
            <w:tcW w:w="1937" w:type="dxa"/>
            <w:shd w:val="clear" w:color="auto" w:fill="auto"/>
            <w:vAlign w:val="center"/>
          </w:tcPr>
          <w:p w14:paraId="1DD4B42E" w14:textId="77777777" w:rsidR="00F43ED5" w:rsidRPr="00F64CA6" w:rsidRDefault="00F43ED5" w:rsidP="002C4C14">
            <w:pPr>
              <w:tabs>
                <w:tab w:val="num" w:pos="-180"/>
              </w:tabs>
              <w:jc w:val="center"/>
              <w:rPr>
                <w:rFonts w:cs="Arial"/>
                <w:b/>
                <w:sz w:val="16"/>
              </w:rPr>
            </w:pPr>
            <w:r w:rsidRPr="00F64CA6">
              <w:rPr>
                <w:rFonts w:cs="Arial"/>
                <w:b/>
                <w:sz w:val="16"/>
              </w:rPr>
              <w:t>Primary Scored Criteria Weighting (%)</w:t>
            </w:r>
          </w:p>
        </w:tc>
        <w:tc>
          <w:tcPr>
            <w:tcW w:w="9413" w:type="dxa"/>
            <w:shd w:val="clear" w:color="auto" w:fill="auto"/>
            <w:vAlign w:val="center"/>
          </w:tcPr>
          <w:p w14:paraId="041112F8" w14:textId="77777777" w:rsidR="00F43ED5" w:rsidRPr="00F64CA6" w:rsidRDefault="00F43ED5" w:rsidP="002C4C14">
            <w:pPr>
              <w:tabs>
                <w:tab w:val="num" w:pos="-180"/>
              </w:tabs>
              <w:jc w:val="center"/>
              <w:rPr>
                <w:rFonts w:cs="Arial"/>
                <w:b/>
                <w:sz w:val="16"/>
              </w:rPr>
            </w:pPr>
            <w:r w:rsidRPr="00F64CA6">
              <w:rPr>
                <w:rFonts w:cs="Arial"/>
                <w:b/>
                <w:sz w:val="16"/>
              </w:rPr>
              <w:t>Scored Sub-criteria Description</w:t>
            </w:r>
          </w:p>
        </w:tc>
        <w:tc>
          <w:tcPr>
            <w:tcW w:w="1251" w:type="dxa"/>
            <w:shd w:val="clear" w:color="auto" w:fill="auto"/>
            <w:vAlign w:val="center"/>
          </w:tcPr>
          <w:p w14:paraId="1E1167CC" w14:textId="77777777" w:rsidR="00F43ED5" w:rsidRPr="00F64CA6" w:rsidRDefault="00F43ED5" w:rsidP="002C4C14">
            <w:pPr>
              <w:tabs>
                <w:tab w:val="num" w:pos="0"/>
              </w:tabs>
              <w:jc w:val="center"/>
              <w:rPr>
                <w:rFonts w:cs="Arial"/>
                <w:b/>
                <w:sz w:val="16"/>
              </w:rPr>
            </w:pPr>
            <w:proofErr w:type="gramStart"/>
            <w:r w:rsidRPr="00F64CA6">
              <w:rPr>
                <w:rFonts w:cs="Arial"/>
                <w:b/>
                <w:sz w:val="16"/>
              </w:rPr>
              <w:t>Percentage  Weighting</w:t>
            </w:r>
            <w:proofErr w:type="gramEnd"/>
          </w:p>
        </w:tc>
      </w:tr>
      <w:tr w:rsidR="00F43ED5" w:rsidRPr="003110F3" w14:paraId="1886FD3C" w14:textId="77777777" w:rsidTr="002C4C14">
        <w:trPr>
          <w:trHeight w:val="510"/>
          <w:tblHeader/>
        </w:trPr>
        <w:tc>
          <w:tcPr>
            <w:tcW w:w="1696" w:type="dxa"/>
            <w:vMerge w:val="restart"/>
            <w:shd w:val="clear" w:color="auto" w:fill="auto"/>
            <w:vAlign w:val="center"/>
          </w:tcPr>
          <w:p w14:paraId="35B6E62E" w14:textId="77777777" w:rsidR="00F43ED5" w:rsidRPr="007160EF" w:rsidRDefault="00F43ED5" w:rsidP="002C4C14">
            <w:pPr>
              <w:tabs>
                <w:tab w:val="num" w:pos="-180"/>
              </w:tabs>
              <w:rPr>
                <w:rFonts w:cs="Arial"/>
                <w:b/>
                <w:sz w:val="18"/>
              </w:rPr>
            </w:pPr>
            <w:r w:rsidRPr="007160EF">
              <w:rPr>
                <w:rFonts w:cs="Arial"/>
                <w:b/>
                <w:sz w:val="18"/>
              </w:rPr>
              <w:t>Service Delivery</w:t>
            </w:r>
          </w:p>
        </w:tc>
        <w:tc>
          <w:tcPr>
            <w:tcW w:w="1937" w:type="dxa"/>
            <w:vMerge w:val="restart"/>
            <w:shd w:val="clear" w:color="auto" w:fill="auto"/>
            <w:vAlign w:val="center"/>
          </w:tcPr>
          <w:p w14:paraId="44A9420F" w14:textId="77777777" w:rsidR="00F43ED5" w:rsidRPr="007160EF" w:rsidRDefault="00F43ED5" w:rsidP="002C4C14">
            <w:pPr>
              <w:tabs>
                <w:tab w:val="num" w:pos="-180"/>
              </w:tabs>
              <w:rPr>
                <w:rFonts w:cs="Arial"/>
                <w:b/>
                <w:sz w:val="18"/>
              </w:rPr>
            </w:pPr>
            <w:r w:rsidRPr="007160EF">
              <w:rPr>
                <w:rFonts w:cs="Arial"/>
                <w:b/>
                <w:sz w:val="18"/>
              </w:rPr>
              <w:t>50%</w:t>
            </w:r>
          </w:p>
        </w:tc>
        <w:tc>
          <w:tcPr>
            <w:tcW w:w="9413" w:type="dxa"/>
            <w:shd w:val="clear" w:color="auto" w:fill="auto"/>
            <w:vAlign w:val="center"/>
          </w:tcPr>
          <w:p w14:paraId="2C582100" w14:textId="77777777" w:rsidR="00F43ED5" w:rsidRPr="00612E1C" w:rsidRDefault="00F43ED5" w:rsidP="002C4C14">
            <w:pPr>
              <w:tabs>
                <w:tab w:val="num" w:pos="-180"/>
              </w:tabs>
              <w:rPr>
                <w:rFonts w:cs="Arial"/>
                <w:sz w:val="18"/>
                <w:szCs w:val="18"/>
              </w:rPr>
            </w:pPr>
            <w:r w:rsidRPr="00FC6CEF">
              <w:rPr>
                <w:rFonts w:cs="Arial"/>
                <w:sz w:val="18"/>
                <w:szCs w:val="18"/>
              </w:rPr>
              <w:t>Please detail how you will meet the minimum criteria as outlined in section 6 ensuring that you have the capacity and capability to deliver the requisite fleet vehicles</w:t>
            </w:r>
            <w:r>
              <w:rPr>
                <w:rFonts w:cs="Arial"/>
                <w:sz w:val="18"/>
                <w:szCs w:val="18"/>
              </w:rPr>
              <w:t xml:space="preserve">. </w:t>
            </w:r>
            <w:r w:rsidRPr="00ED7883">
              <w:rPr>
                <w:rFonts w:cs="Arial"/>
                <w:sz w:val="18"/>
                <w:szCs w:val="18"/>
              </w:rPr>
              <w:t>To fully evidence how you meet the criteria the Autho</w:t>
            </w:r>
            <w:r w:rsidRPr="00612E1C">
              <w:rPr>
                <w:rFonts w:cs="Arial"/>
                <w:sz w:val="18"/>
                <w:szCs w:val="18"/>
              </w:rPr>
              <w:t>rity would expect to be included as a minimum the following:</w:t>
            </w:r>
          </w:p>
          <w:p w14:paraId="4BF6D7E3" w14:textId="77777777" w:rsidR="00F43ED5" w:rsidRPr="00612E1C" w:rsidRDefault="00F43ED5" w:rsidP="002C4C14">
            <w:pPr>
              <w:tabs>
                <w:tab w:val="num" w:pos="-180"/>
              </w:tabs>
              <w:rPr>
                <w:rFonts w:cs="Arial"/>
                <w:sz w:val="18"/>
                <w:szCs w:val="18"/>
              </w:rPr>
            </w:pPr>
          </w:p>
          <w:p w14:paraId="57C505F7" w14:textId="77777777" w:rsidR="00F43ED5" w:rsidRPr="00612E1C" w:rsidRDefault="00F43ED5" w:rsidP="002C4C14">
            <w:pPr>
              <w:pStyle w:val="ListParagraph"/>
              <w:numPr>
                <w:ilvl w:val="0"/>
                <w:numId w:val="30"/>
              </w:numPr>
              <w:rPr>
                <w:rFonts w:ascii="Arial" w:hAnsi="Arial" w:cs="Arial"/>
                <w:sz w:val="18"/>
                <w:szCs w:val="18"/>
              </w:rPr>
            </w:pPr>
            <w:r w:rsidRPr="00612E1C">
              <w:rPr>
                <w:rFonts w:ascii="Arial" w:hAnsi="Arial" w:cs="Arial"/>
                <w:sz w:val="18"/>
                <w:szCs w:val="18"/>
              </w:rPr>
              <w:t xml:space="preserve">A clear description of the </w:t>
            </w:r>
            <w:proofErr w:type="gramStart"/>
            <w:r w:rsidRPr="00612E1C">
              <w:rPr>
                <w:rFonts w:ascii="Arial" w:hAnsi="Arial" w:cs="Arial"/>
                <w:sz w:val="18"/>
                <w:szCs w:val="18"/>
              </w:rPr>
              <w:t>vehicle</w:t>
            </w:r>
            <w:r w:rsidR="004C13EE">
              <w:rPr>
                <w:rFonts w:ascii="Arial" w:hAnsi="Arial" w:cs="Arial"/>
                <w:sz w:val="18"/>
                <w:szCs w:val="18"/>
              </w:rPr>
              <w:t>s</w:t>
            </w:r>
            <w:proofErr w:type="gramEnd"/>
            <w:r w:rsidRPr="00612E1C">
              <w:rPr>
                <w:rFonts w:ascii="Arial" w:hAnsi="Arial" w:cs="Arial"/>
                <w:sz w:val="18"/>
                <w:szCs w:val="18"/>
              </w:rPr>
              <w:t xml:space="preserve"> specification in line with section 6</w:t>
            </w:r>
          </w:p>
          <w:p w14:paraId="3C82C127" w14:textId="77777777" w:rsidR="00F43ED5" w:rsidRPr="00612E1C" w:rsidRDefault="00F43ED5" w:rsidP="002C4C14">
            <w:pPr>
              <w:pStyle w:val="ListParagraph"/>
              <w:numPr>
                <w:ilvl w:val="0"/>
                <w:numId w:val="30"/>
              </w:numPr>
              <w:rPr>
                <w:rFonts w:ascii="Arial" w:hAnsi="Arial" w:cs="Arial"/>
                <w:sz w:val="18"/>
                <w:szCs w:val="18"/>
              </w:rPr>
            </w:pPr>
            <w:r w:rsidRPr="00612E1C">
              <w:rPr>
                <w:rFonts w:ascii="Arial" w:hAnsi="Arial" w:cs="Arial"/>
                <w:sz w:val="18"/>
                <w:szCs w:val="18"/>
              </w:rPr>
              <w:t xml:space="preserve">A </w:t>
            </w:r>
            <w:proofErr w:type="gramStart"/>
            <w:r w:rsidRPr="00612E1C">
              <w:rPr>
                <w:rFonts w:ascii="Arial" w:hAnsi="Arial" w:cs="Arial"/>
                <w:sz w:val="18"/>
                <w:szCs w:val="18"/>
              </w:rPr>
              <w:t>high level</w:t>
            </w:r>
            <w:proofErr w:type="gramEnd"/>
            <w:r w:rsidRPr="00612E1C">
              <w:rPr>
                <w:rFonts w:ascii="Arial" w:hAnsi="Arial" w:cs="Arial"/>
                <w:sz w:val="18"/>
                <w:szCs w:val="18"/>
              </w:rPr>
              <w:t xml:space="preserve"> overview of the main safety features of the vehicles specified, to include</w:t>
            </w:r>
            <w:r w:rsidR="004C13EE">
              <w:rPr>
                <w:rFonts w:ascii="Arial" w:hAnsi="Arial" w:cs="Arial"/>
                <w:sz w:val="18"/>
                <w:szCs w:val="18"/>
              </w:rPr>
              <w:t xml:space="preserve"> where applicable</w:t>
            </w:r>
            <w:r w:rsidRPr="00612E1C">
              <w:rPr>
                <w:rFonts w:ascii="Arial" w:hAnsi="Arial" w:cs="Arial"/>
                <w:sz w:val="18"/>
                <w:szCs w:val="18"/>
              </w:rPr>
              <w:t>:</w:t>
            </w:r>
          </w:p>
          <w:p w14:paraId="7F38C8A2" w14:textId="77777777" w:rsidR="00F43ED5" w:rsidRPr="00612E1C" w:rsidRDefault="00F43ED5" w:rsidP="002C4C14">
            <w:pPr>
              <w:pStyle w:val="ListParagraph"/>
              <w:numPr>
                <w:ilvl w:val="1"/>
                <w:numId w:val="30"/>
              </w:numPr>
              <w:rPr>
                <w:rFonts w:ascii="Arial" w:hAnsi="Arial" w:cs="Arial"/>
                <w:sz w:val="18"/>
                <w:szCs w:val="18"/>
              </w:rPr>
            </w:pPr>
            <w:r w:rsidRPr="00612E1C">
              <w:rPr>
                <w:rFonts w:ascii="Arial" w:hAnsi="Arial" w:cs="Arial"/>
                <w:sz w:val="18"/>
                <w:szCs w:val="18"/>
              </w:rPr>
              <w:t xml:space="preserve">Tail lift functionality, </w:t>
            </w:r>
            <w:proofErr w:type="gramStart"/>
            <w:r w:rsidRPr="00612E1C">
              <w:rPr>
                <w:rFonts w:ascii="Arial" w:hAnsi="Arial" w:cs="Arial"/>
                <w:sz w:val="18"/>
                <w:szCs w:val="18"/>
              </w:rPr>
              <w:t>platform</w:t>
            </w:r>
            <w:proofErr w:type="gramEnd"/>
            <w:r w:rsidRPr="00612E1C">
              <w:rPr>
                <w:rFonts w:ascii="Arial" w:hAnsi="Arial" w:cs="Arial"/>
                <w:sz w:val="18"/>
                <w:szCs w:val="18"/>
              </w:rPr>
              <w:t xml:space="preserve"> and mechanism</w:t>
            </w:r>
          </w:p>
          <w:p w14:paraId="4075FC64" w14:textId="77777777" w:rsidR="00F43ED5" w:rsidRPr="00612E1C" w:rsidRDefault="00F43ED5" w:rsidP="002C4C14">
            <w:pPr>
              <w:pStyle w:val="ListParagraph"/>
              <w:numPr>
                <w:ilvl w:val="1"/>
                <w:numId w:val="30"/>
              </w:numPr>
              <w:rPr>
                <w:rFonts w:ascii="Arial" w:hAnsi="Arial" w:cs="Arial"/>
                <w:sz w:val="18"/>
                <w:szCs w:val="18"/>
              </w:rPr>
            </w:pPr>
            <w:r w:rsidRPr="00612E1C">
              <w:rPr>
                <w:rFonts w:ascii="Arial" w:hAnsi="Arial" w:cs="Arial"/>
                <w:sz w:val="18"/>
                <w:szCs w:val="18"/>
              </w:rPr>
              <w:t>Tail lift maintenance including annual LOLER certification</w:t>
            </w:r>
          </w:p>
          <w:p w14:paraId="096066D1" w14:textId="77777777" w:rsidR="00F43ED5" w:rsidRPr="00612E1C" w:rsidRDefault="00F43ED5" w:rsidP="002C4C14">
            <w:pPr>
              <w:pStyle w:val="ListParagraph"/>
              <w:numPr>
                <w:ilvl w:val="0"/>
                <w:numId w:val="30"/>
              </w:numPr>
              <w:rPr>
                <w:rFonts w:ascii="Arial" w:hAnsi="Arial" w:cs="Arial"/>
                <w:sz w:val="18"/>
                <w:szCs w:val="18"/>
              </w:rPr>
            </w:pPr>
            <w:r w:rsidRPr="00612E1C">
              <w:rPr>
                <w:rFonts w:ascii="Arial" w:hAnsi="Arial" w:cs="Arial"/>
                <w:sz w:val="18"/>
                <w:szCs w:val="18"/>
              </w:rPr>
              <w:t>A high level overview of the security features of the</w:t>
            </w:r>
            <w:r w:rsidR="004C13EE">
              <w:rPr>
                <w:rFonts w:ascii="Arial" w:hAnsi="Arial" w:cs="Arial"/>
                <w:sz w:val="18"/>
                <w:szCs w:val="18"/>
              </w:rPr>
              <w:t xml:space="preserve"> Type A</w:t>
            </w:r>
            <w:r w:rsidRPr="00612E1C">
              <w:rPr>
                <w:rFonts w:ascii="Arial" w:hAnsi="Arial" w:cs="Arial"/>
                <w:sz w:val="18"/>
                <w:szCs w:val="18"/>
              </w:rPr>
              <w:t xml:space="preserve"> </w:t>
            </w:r>
            <w:proofErr w:type="gramStart"/>
            <w:r w:rsidRPr="00612E1C">
              <w:rPr>
                <w:rFonts w:ascii="Arial" w:hAnsi="Arial" w:cs="Arial"/>
                <w:sz w:val="18"/>
                <w:szCs w:val="18"/>
              </w:rPr>
              <w:t>vehicle</w:t>
            </w:r>
            <w:r w:rsidR="004C13EE">
              <w:rPr>
                <w:rFonts w:ascii="Arial" w:hAnsi="Arial" w:cs="Arial"/>
                <w:sz w:val="18"/>
                <w:szCs w:val="18"/>
              </w:rPr>
              <w:t xml:space="preserve"> :</w:t>
            </w:r>
            <w:proofErr w:type="gramEnd"/>
          </w:p>
          <w:p w14:paraId="52551546" w14:textId="77777777" w:rsidR="00F43ED5" w:rsidRPr="00612E1C" w:rsidRDefault="00F43ED5" w:rsidP="002C4C14">
            <w:pPr>
              <w:pStyle w:val="ListParagraph"/>
              <w:numPr>
                <w:ilvl w:val="1"/>
                <w:numId w:val="30"/>
              </w:numPr>
              <w:rPr>
                <w:rFonts w:ascii="Arial" w:hAnsi="Arial" w:cs="Arial"/>
                <w:sz w:val="18"/>
                <w:szCs w:val="18"/>
              </w:rPr>
            </w:pPr>
            <w:r w:rsidRPr="00612E1C">
              <w:rPr>
                <w:rFonts w:ascii="Arial" w:hAnsi="Arial" w:cs="Arial"/>
                <w:sz w:val="18"/>
                <w:szCs w:val="18"/>
              </w:rPr>
              <w:t>Tail lift isolation functionality</w:t>
            </w:r>
          </w:p>
          <w:p w14:paraId="251E04DC" w14:textId="77777777" w:rsidR="00F43ED5" w:rsidRPr="00612E1C" w:rsidRDefault="00F43ED5" w:rsidP="002C4C14">
            <w:pPr>
              <w:pStyle w:val="ListParagraph"/>
              <w:numPr>
                <w:ilvl w:val="1"/>
                <w:numId w:val="30"/>
              </w:numPr>
              <w:rPr>
                <w:rFonts w:ascii="Arial" w:hAnsi="Arial" w:cs="Arial"/>
                <w:sz w:val="18"/>
                <w:szCs w:val="18"/>
              </w:rPr>
            </w:pPr>
            <w:r w:rsidRPr="00612E1C">
              <w:rPr>
                <w:rFonts w:ascii="Arial" w:hAnsi="Arial" w:cs="Arial"/>
                <w:sz w:val="18"/>
                <w:szCs w:val="18"/>
              </w:rPr>
              <w:t>Internal and external tail lift operational mechanism</w:t>
            </w:r>
          </w:p>
          <w:p w14:paraId="0BAD2B04" w14:textId="77777777" w:rsidR="00F43ED5" w:rsidRPr="00612E1C" w:rsidRDefault="00F43ED5" w:rsidP="002C4C14">
            <w:pPr>
              <w:pStyle w:val="ListParagraph"/>
              <w:numPr>
                <w:ilvl w:val="1"/>
                <w:numId w:val="30"/>
              </w:numPr>
              <w:rPr>
                <w:rFonts w:ascii="Arial" w:hAnsi="Arial" w:cs="Arial"/>
                <w:sz w:val="18"/>
                <w:szCs w:val="18"/>
              </w:rPr>
            </w:pPr>
            <w:r w:rsidRPr="00612E1C">
              <w:rPr>
                <w:rFonts w:ascii="Arial" w:hAnsi="Arial" w:cs="Arial"/>
                <w:sz w:val="18"/>
                <w:szCs w:val="18"/>
              </w:rPr>
              <w:t>Load safety – considering use of shoring poles and safety ratchet straps to secure heavy loads</w:t>
            </w:r>
          </w:p>
          <w:p w14:paraId="0D57E9AF" w14:textId="77777777" w:rsidR="00F43ED5" w:rsidRPr="004C13EE" w:rsidRDefault="00F43ED5" w:rsidP="002C4C14">
            <w:pPr>
              <w:pStyle w:val="ListParagraph"/>
              <w:numPr>
                <w:ilvl w:val="1"/>
                <w:numId w:val="30"/>
              </w:numPr>
              <w:rPr>
                <w:rFonts w:cs="Arial"/>
                <w:sz w:val="18"/>
                <w:szCs w:val="18"/>
              </w:rPr>
            </w:pPr>
            <w:r w:rsidRPr="00612E1C">
              <w:rPr>
                <w:rFonts w:ascii="Arial" w:hAnsi="Arial" w:cs="Arial"/>
                <w:sz w:val="18"/>
                <w:szCs w:val="18"/>
              </w:rPr>
              <w:t>Confirmation of the ability to safely transport palletised goods, as a minimum 2 pallets safely within the vehicle and confirmation of safe maximum operating loads for vehicles up to 3.5ton</w:t>
            </w:r>
            <w:r>
              <w:rPr>
                <w:rFonts w:ascii="Arial" w:hAnsi="Arial" w:cs="Arial"/>
                <w:sz w:val="18"/>
                <w:szCs w:val="18"/>
              </w:rPr>
              <w:t>nes</w:t>
            </w:r>
          </w:p>
          <w:p w14:paraId="00AC9F04" w14:textId="77777777" w:rsidR="004C13EE" w:rsidRDefault="004C13EE" w:rsidP="004C13EE">
            <w:pPr>
              <w:pStyle w:val="ListParagraph"/>
              <w:numPr>
                <w:ilvl w:val="0"/>
                <w:numId w:val="30"/>
              </w:numPr>
              <w:rPr>
                <w:rFonts w:ascii="Arial" w:hAnsi="Arial" w:cs="Arial"/>
                <w:sz w:val="18"/>
                <w:szCs w:val="18"/>
              </w:rPr>
            </w:pPr>
            <w:r w:rsidRPr="004C13EE">
              <w:rPr>
                <w:rFonts w:ascii="Arial" w:hAnsi="Arial" w:cs="Arial"/>
                <w:sz w:val="18"/>
                <w:szCs w:val="18"/>
              </w:rPr>
              <w:t xml:space="preserve">A </w:t>
            </w:r>
            <w:proofErr w:type="gramStart"/>
            <w:r w:rsidRPr="004C13EE">
              <w:rPr>
                <w:rFonts w:ascii="Arial" w:hAnsi="Arial" w:cs="Arial"/>
                <w:sz w:val="18"/>
                <w:szCs w:val="18"/>
              </w:rPr>
              <w:t>high level</w:t>
            </w:r>
            <w:proofErr w:type="gramEnd"/>
            <w:r w:rsidRPr="004C13EE">
              <w:rPr>
                <w:rFonts w:ascii="Arial" w:hAnsi="Arial" w:cs="Arial"/>
                <w:sz w:val="18"/>
                <w:szCs w:val="18"/>
              </w:rPr>
              <w:t xml:space="preserve"> overview of the features of the Type B Vehicle</w:t>
            </w:r>
          </w:p>
          <w:p w14:paraId="795D1805" w14:textId="77777777" w:rsidR="004C13EE" w:rsidRPr="004C13EE" w:rsidRDefault="004C13EE" w:rsidP="004C13EE">
            <w:pPr>
              <w:pStyle w:val="ListParagraph"/>
              <w:rPr>
                <w:rFonts w:ascii="Arial" w:hAnsi="Arial" w:cs="Arial"/>
                <w:sz w:val="18"/>
                <w:szCs w:val="18"/>
              </w:rPr>
            </w:pPr>
          </w:p>
          <w:p w14:paraId="036F612C" w14:textId="77777777" w:rsidR="004C13EE" w:rsidRPr="004C13EE" w:rsidRDefault="004C13EE" w:rsidP="004C13EE">
            <w:pPr>
              <w:rPr>
                <w:rFonts w:cs="Arial"/>
                <w:sz w:val="18"/>
                <w:szCs w:val="18"/>
              </w:rPr>
            </w:pPr>
          </w:p>
        </w:tc>
        <w:tc>
          <w:tcPr>
            <w:tcW w:w="1251" w:type="dxa"/>
            <w:shd w:val="clear" w:color="auto" w:fill="auto"/>
            <w:vAlign w:val="center"/>
          </w:tcPr>
          <w:p w14:paraId="62EF7C78" w14:textId="77777777" w:rsidR="00F43ED5" w:rsidRPr="007160EF" w:rsidRDefault="00F43ED5" w:rsidP="002C4C14">
            <w:pPr>
              <w:tabs>
                <w:tab w:val="num" w:pos="0"/>
              </w:tabs>
              <w:jc w:val="center"/>
              <w:rPr>
                <w:rFonts w:cs="Arial"/>
                <w:sz w:val="18"/>
              </w:rPr>
            </w:pPr>
            <w:r>
              <w:rPr>
                <w:rFonts w:cs="Arial"/>
                <w:sz w:val="18"/>
              </w:rPr>
              <w:t>24</w:t>
            </w:r>
            <w:r w:rsidRPr="007160EF">
              <w:rPr>
                <w:rFonts w:cs="Arial"/>
                <w:sz w:val="18"/>
              </w:rPr>
              <w:t>%</w:t>
            </w:r>
          </w:p>
        </w:tc>
      </w:tr>
      <w:tr w:rsidR="00F43ED5" w:rsidRPr="003110F3" w14:paraId="193126C6" w14:textId="77777777" w:rsidTr="002C4C14">
        <w:trPr>
          <w:trHeight w:val="510"/>
          <w:tblHeader/>
        </w:trPr>
        <w:tc>
          <w:tcPr>
            <w:tcW w:w="1696" w:type="dxa"/>
            <w:vMerge/>
            <w:shd w:val="clear" w:color="auto" w:fill="auto"/>
            <w:vAlign w:val="center"/>
          </w:tcPr>
          <w:p w14:paraId="0DADA105"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5906F576" w14:textId="77777777" w:rsidR="00F43ED5" w:rsidRPr="007160EF" w:rsidRDefault="00F43ED5" w:rsidP="002C4C14">
            <w:pPr>
              <w:tabs>
                <w:tab w:val="num" w:pos="-180"/>
              </w:tabs>
              <w:rPr>
                <w:rFonts w:cs="Arial"/>
                <w:b/>
                <w:sz w:val="18"/>
              </w:rPr>
            </w:pPr>
          </w:p>
        </w:tc>
        <w:tc>
          <w:tcPr>
            <w:tcW w:w="9413" w:type="dxa"/>
            <w:shd w:val="clear" w:color="auto" w:fill="auto"/>
            <w:vAlign w:val="center"/>
          </w:tcPr>
          <w:p w14:paraId="7B0395FE" w14:textId="77777777" w:rsidR="00F43ED5" w:rsidRPr="00612E1C" w:rsidRDefault="00F43ED5" w:rsidP="002C4C14">
            <w:pPr>
              <w:tabs>
                <w:tab w:val="num" w:pos="-180"/>
              </w:tabs>
              <w:rPr>
                <w:rFonts w:cs="Arial"/>
                <w:sz w:val="18"/>
                <w:szCs w:val="18"/>
              </w:rPr>
            </w:pPr>
            <w:r w:rsidRPr="00FC6CEF">
              <w:rPr>
                <w:rFonts w:cs="Arial"/>
                <w:sz w:val="18"/>
                <w:szCs w:val="18"/>
              </w:rPr>
              <w:t xml:space="preserve">Please detail </w:t>
            </w:r>
            <w:r w:rsidRPr="00ED7883">
              <w:rPr>
                <w:rFonts w:cs="Arial"/>
                <w:sz w:val="18"/>
                <w:szCs w:val="18"/>
              </w:rPr>
              <w:t xml:space="preserve">how the delivery process will be facilitated for the vehicle fleet. Outlining any specific requirements that the authority needs to factor into the implementation of the new fleet. This should </w:t>
            </w:r>
            <w:r w:rsidRPr="00612E1C">
              <w:rPr>
                <w:rFonts w:cs="Arial"/>
                <w:sz w:val="18"/>
                <w:szCs w:val="18"/>
              </w:rPr>
              <w:t>include:</w:t>
            </w:r>
          </w:p>
          <w:p w14:paraId="539E2137" w14:textId="77777777" w:rsidR="00F43ED5" w:rsidRPr="00612E1C" w:rsidRDefault="00F43ED5" w:rsidP="002C4C14">
            <w:pPr>
              <w:pStyle w:val="ListParagraph"/>
              <w:numPr>
                <w:ilvl w:val="0"/>
                <w:numId w:val="32"/>
              </w:numPr>
              <w:rPr>
                <w:rFonts w:ascii="Arial" w:hAnsi="Arial" w:cs="Arial"/>
                <w:sz w:val="18"/>
                <w:szCs w:val="18"/>
              </w:rPr>
            </w:pPr>
            <w:r>
              <w:rPr>
                <w:rFonts w:ascii="Arial" w:hAnsi="Arial" w:cs="Arial"/>
                <w:sz w:val="18"/>
                <w:szCs w:val="18"/>
              </w:rPr>
              <w:t>cl</w:t>
            </w:r>
            <w:r w:rsidRPr="00612E1C">
              <w:rPr>
                <w:rFonts w:ascii="Arial" w:hAnsi="Arial" w:cs="Arial"/>
                <w:sz w:val="18"/>
                <w:szCs w:val="18"/>
              </w:rPr>
              <w:t>ear expected lead times for delivery of the fleet</w:t>
            </w:r>
          </w:p>
          <w:p w14:paraId="746D2334" w14:textId="77777777" w:rsidR="00F43ED5" w:rsidRPr="00612E1C" w:rsidRDefault="00F43ED5" w:rsidP="002C4C14">
            <w:pPr>
              <w:pStyle w:val="ListParagraph"/>
              <w:numPr>
                <w:ilvl w:val="0"/>
                <w:numId w:val="32"/>
              </w:numPr>
              <w:rPr>
                <w:rFonts w:ascii="Arial" w:hAnsi="Arial" w:cs="Arial"/>
                <w:sz w:val="18"/>
                <w:szCs w:val="18"/>
              </w:rPr>
            </w:pPr>
            <w:r w:rsidRPr="00612E1C">
              <w:rPr>
                <w:rFonts w:ascii="Arial" w:hAnsi="Arial" w:cs="Arial"/>
                <w:sz w:val="18"/>
                <w:szCs w:val="18"/>
              </w:rPr>
              <w:t xml:space="preserve">vehicle health checks upon delivery, </w:t>
            </w:r>
          </w:p>
          <w:p w14:paraId="19EC7522" w14:textId="77777777" w:rsidR="00F43ED5" w:rsidRPr="00612E1C" w:rsidRDefault="00F43ED5" w:rsidP="002C4C14">
            <w:pPr>
              <w:pStyle w:val="ListParagraph"/>
              <w:numPr>
                <w:ilvl w:val="0"/>
                <w:numId w:val="32"/>
              </w:numPr>
              <w:rPr>
                <w:rFonts w:ascii="Arial" w:hAnsi="Arial" w:cs="Arial"/>
                <w:sz w:val="18"/>
                <w:szCs w:val="18"/>
              </w:rPr>
            </w:pPr>
            <w:r w:rsidRPr="00612E1C">
              <w:rPr>
                <w:rFonts w:ascii="Arial" w:hAnsi="Arial" w:cs="Arial"/>
                <w:sz w:val="18"/>
                <w:szCs w:val="18"/>
              </w:rPr>
              <w:t xml:space="preserve">signatures on receipt of delivery, </w:t>
            </w:r>
            <w:proofErr w:type="gramStart"/>
            <w:r w:rsidRPr="00612E1C">
              <w:rPr>
                <w:rFonts w:ascii="Arial" w:hAnsi="Arial" w:cs="Arial"/>
                <w:sz w:val="18"/>
                <w:szCs w:val="18"/>
              </w:rPr>
              <w:t>and;</w:t>
            </w:r>
            <w:proofErr w:type="gramEnd"/>
          </w:p>
          <w:p w14:paraId="1F565AEB" w14:textId="77777777" w:rsidR="00F43ED5" w:rsidRPr="00612E1C" w:rsidRDefault="00F43ED5" w:rsidP="002C4C14">
            <w:pPr>
              <w:pStyle w:val="ListParagraph"/>
              <w:numPr>
                <w:ilvl w:val="0"/>
                <w:numId w:val="32"/>
              </w:numPr>
              <w:rPr>
                <w:rFonts w:cs="Arial"/>
                <w:sz w:val="18"/>
                <w:szCs w:val="18"/>
              </w:rPr>
            </w:pPr>
            <w:r w:rsidRPr="00612E1C">
              <w:rPr>
                <w:rFonts w:ascii="Arial" w:hAnsi="Arial" w:cs="Arial"/>
                <w:sz w:val="18"/>
                <w:szCs w:val="18"/>
              </w:rPr>
              <w:t xml:space="preserve">any other conditions that would impact the acceptance of the fleet vehicle at point of delivery. </w:t>
            </w:r>
          </w:p>
        </w:tc>
        <w:tc>
          <w:tcPr>
            <w:tcW w:w="1251" w:type="dxa"/>
            <w:shd w:val="clear" w:color="auto" w:fill="auto"/>
            <w:vAlign w:val="center"/>
          </w:tcPr>
          <w:p w14:paraId="4EEA9A60" w14:textId="77777777" w:rsidR="00F43ED5" w:rsidRPr="007160EF" w:rsidRDefault="00F43ED5" w:rsidP="002C4C14">
            <w:pPr>
              <w:tabs>
                <w:tab w:val="num" w:pos="0"/>
              </w:tabs>
              <w:jc w:val="center"/>
              <w:rPr>
                <w:rFonts w:cs="Arial"/>
                <w:sz w:val="18"/>
              </w:rPr>
            </w:pPr>
            <w:r>
              <w:rPr>
                <w:rFonts w:cs="Arial"/>
                <w:sz w:val="18"/>
              </w:rPr>
              <w:t>12</w:t>
            </w:r>
            <w:r w:rsidRPr="007160EF">
              <w:rPr>
                <w:rFonts w:cs="Arial"/>
                <w:sz w:val="18"/>
              </w:rPr>
              <w:t>%</w:t>
            </w:r>
          </w:p>
        </w:tc>
      </w:tr>
      <w:tr w:rsidR="00F43ED5" w:rsidRPr="003110F3" w14:paraId="08887274" w14:textId="77777777" w:rsidTr="002C4C14">
        <w:trPr>
          <w:trHeight w:val="510"/>
          <w:tblHeader/>
        </w:trPr>
        <w:tc>
          <w:tcPr>
            <w:tcW w:w="1696" w:type="dxa"/>
            <w:vMerge/>
            <w:shd w:val="clear" w:color="auto" w:fill="auto"/>
            <w:vAlign w:val="center"/>
          </w:tcPr>
          <w:p w14:paraId="0DA941DD"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31507D26" w14:textId="77777777" w:rsidR="00F43ED5" w:rsidRPr="007160EF" w:rsidRDefault="00F43ED5" w:rsidP="002C4C14">
            <w:pPr>
              <w:tabs>
                <w:tab w:val="num" w:pos="-180"/>
              </w:tabs>
              <w:rPr>
                <w:rFonts w:cs="Arial"/>
                <w:b/>
                <w:sz w:val="18"/>
              </w:rPr>
            </w:pPr>
          </w:p>
        </w:tc>
        <w:tc>
          <w:tcPr>
            <w:tcW w:w="9413" w:type="dxa"/>
            <w:shd w:val="clear" w:color="auto" w:fill="FFFFFF" w:themeFill="background1"/>
            <w:vAlign w:val="center"/>
          </w:tcPr>
          <w:p w14:paraId="77DDE7AE" w14:textId="77777777" w:rsidR="00F43ED5" w:rsidRPr="00612E1C" w:rsidRDefault="00F43ED5" w:rsidP="002C4C14">
            <w:pPr>
              <w:tabs>
                <w:tab w:val="num" w:pos="-180"/>
              </w:tabs>
              <w:rPr>
                <w:rFonts w:cs="Arial"/>
                <w:noProof/>
                <w:sz w:val="18"/>
                <w:szCs w:val="18"/>
                <w:lang w:eastAsia="en-GB"/>
              </w:rPr>
            </w:pPr>
            <w:r w:rsidRPr="00FC6CEF">
              <w:rPr>
                <w:rFonts w:cs="Arial"/>
                <w:noProof/>
                <w:sz w:val="18"/>
                <w:szCs w:val="18"/>
                <w:lang w:eastAsia="en-GB"/>
              </w:rPr>
              <w:t>Please provide a detailed breakdown of th</w:t>
            </w:r>
            <w:r w:rsidRPr="00ED7883">
              <w:rPr>
                <w:rFonts w:cs="Arial"/>
                <w:noProof/>
                <w:sz w:val="18"/>
                <w:szCs w:val="18"/>
                <w:lang w:eastAsia="en-GB"/>
              </w:rPr>
              <w:t>e Account Management team that will be assigned to the process along with the Account Management team that will be employed to conduct the management of the Contract for the duration</w:t>
            </w:r>
            <w:r w:rsidRPr="00612E1C">
              <w:rPr>
                <w:rFonts w:cs="Arial"/>
                <w:noProof/>
                <w:sz w:val="18"/>
                <w:szCs w:val="18"/>
                <w:lang w:eastAsia="en-GB"/>
              </w:rPr>
              <w:t>. The Authority expects that the account team will be sufficiently experienced in account mangement, have the necessary skills and experience in dealing with clients of a similar nature</w:t>
            </w:r>
          </w:p>
          <w:p w14:paraId="170DE5FD" w14:textId="77777777" w:rsidR="00F43ED5" w:rsidRPr="00612E1C" w:rsidRDefault="00F43ED5" w:rsidP="002C4C14">
            <w:pPr>
              <w:spacing w:before="40" w:after="40"/>
              <w:rPr>
                <w:rFonts w:cs="Arial"/>
                <w:sz w:val="18"/>
                <w:szCs w:val="18"/>
                <w:lang w:eastAsia="en-GB"/>
              </w:rPr>
            </w:pPr>
            <w:r w:rsidRPr="00612E1C">
              <w:rPr>
                <w:rFonts w:cs="Arial"/>
                <w:sz w:val="18"/>
                <w:szCs w:val="18"/>
                <w:lang w:eastAsia="en-GB"/>
              </w:rPr>
              <w:t xml:space="preserve">The response should include but not be limited to </w:t>
            </w:r>
          </w:p>
          <w:p w14:paraId="0B3CE46B"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Names</w:t>
            </w:r>
          </w:p>
          <w:p w14:paraId="3A13979E"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Skills</w:t>
            </w:r>
          </w:p>
          <w:p w14:paraId="1CAC4B76"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Experiences</w:t>
            </w:r>
          </w:p>
          <w:p w14:paraId="18D7B726"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Relevant security clearances</w:t>
            </w:r>
          </w:p>
          <w:p w14:paraId="2699F902"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Performance history</w:t>
            </w:r>
          </w:p>
          <w:p w14:paraId="7BF29126"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Organisational charts of account management team</w:t>
            </w:r>
          </w:p>
          <w:p w14:paraId="23B74D53"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lastRenderedPageBreak/>
              <w:t>Relevant contact details (addresses/email/phone)</w:t>
            </w:r>
          </w:p>
          <w:p w14:paraId="4A1E3FFE"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Evidence of why they are being proposed as part of the account management team</w:t>
            </w:r>
          </w:p>
          <w:p w14:paraId="0589E11F" w14:textId="77777777" w:rsidR="00F43ED5" w:rsidRPr="00612E1C" w:rsidRDefault="00F43ED5" w:rsidP="002C4C14">
            <w:pPr>
              <w:numPr>
                <w:ilvl w:val="0"/>
                <w:numId w:val="33"/>
              </w:numPr>
              <w:overflowPunct w:val="0"/>
              <w:autoSpaceDE w:val="0"/>
              <w:autoSpaceDN w:val="0"/>
              <w:adjustRightInd w:val="0"/>
              <w:spacing w:before="40" w:after="40"/>
              <w:jc w:val="both"/>
              <w:textAlignment w:val="baseline"/>
              <w:rPr>
                <w:rFonts w:eastAsia="Calibri" w:cs="Arial"/>
                <w:sz w:val="18"/>
                <w:szCs w:val="18"/>
                <w:lang w:eastAsia="en-GB"/>
              </w:rPr>
            </w:pPr>
            <w:r w:rsidRPr="00612E1C">
              <w:rPr>
                <w:rFonts w:eastAsia="Calibri" w:cs="Arial"/>
                <w:sz w:val="18"/>
                <w:szCs w:val="18"/>
                <w:lang w:eastAsia="en-GB"/>
              </w:rPr>
              <w:t>Any other members who will be involved in the post contract award management</w:t>
            </w:r>
          </w:p>
        </w:tc>
        <w:tc>
          <w:tcPr>
            <w:tcW w:w="1251" w:type="dxa"/>
            <w:shd w:val="clear" w:color="auto" w:fill="FFFFFF" w:themeFill="background1"/>
            <w:vAlign w:val="center"/>
          </w:tcPr>
          <w:p w14:paraId="158E20AE" w14:textId="77777777" w:rsidR="00F43ED5" w:rsidRPr="007160EF" w:rsidRDefault="00F43ED5" w:rsidP="002C4C14">
            <w:pPr>
              <w:tabs>
                <w:tab w:val="num" w:pos="0"/>
              </w:tabs>
              <w:jc w:val="center"/>
              <w:rPr>
                <w:rFonts w:cs="Arial"/>
                <w:sz w:val="18"/>
              </w:rPr>
            </w:pPr>
            <w:r>
              <w:rPr>
                <w:rFonts w:cs="Arial"/>
                <w:sz w:val="18"/>
              </w:rPr>
              <w:lastRenderedPageBreak/>
              <w:t>8</w:t>
            </w:r>
            <w:r w:rsidRPr="007160EF">
              <w:rPr>
                <w:rFonts w:cs="Arial"/>
                <w:sz w:val="18"/>
              </w:rPr>
              <w:t>%</w:t>
            </w:r>
          </w:p>
        </w:tc>
      </w:tr>
      <w:tr w:rsidR="00F43ED5" w:rsidRPr="003110F3" w14:paraId="34425F9A" w14:textId="77777777" w:rsidTr="002C4C14">
        <w:trPr>
          <w:trHeight w:val="510"/>
          <w:tblHeader/>
        </w:trPr>
        <w:tc>
          <w:tcPr>
            <w:tcW w:w="1696" w:type="dxa"/>
            <w:vMerge/>
            <w:shd w:val="clear" w:color="auto" w:fill="auto"/>
            <w:vAlign w:val="center"/>
          </w:tcPr>
          <w:p w14:paraId="759B8B4D"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6B3C0DE5" w14:textId="77777777" w:rsidR="00F43ED5" w:rsidRPr="007160EF" w:rsidRDefault="00F43ED5" w:rsidP="002C4C14">
            <w:pPr>
              <w:tabs>
                <w:tab w:val="num" w:pos="-180"/>
              </w:tabs>
              <w:rPr>
                <w:rFonts w:cs="Arial"/>
                <w:b/>
                <w:sz w:val="18"/>
              </w:rPr>
            </w:pPr>
          </w:p>
        </w:tc>
        <w:tc>
          <w:tcPr>
            <w:tcW w:w="9413" w:type="dxa"/>
            <w:shd w:val="clear" w:color="auto" w:fill="FFFFFF" w:themeFill="background1"/>
            <w:vAlign w:val="center"/>
          </w:tcPr>
          <w:p w14:paraId="79EDED05" w14:textId="77777777" w:rsidR="00F43ED5" w:rsidRPr="00ED7883" w:rsidRDefault="00F43ED5" w:rsidP="002C4C14">
            <w:pPr>
              <w:tabs>
                <w:tab w:val="center" w:pos="4536"/>
                <w:tab w:val="right" w:pos="9072"/>
              </w:tabs>
              <w:rPr>
                <w:rFonts w:cs="Arial"/>
                <w:noProof/>
                <w:sz w:val="18"/>
                <w:szCs w:val="18"/>
                <w:lang w:eastAsia="en-GB"/>
              </w:rPr>
            </w:pPr>
            <w:r w:rsidRPr="00FC6CEF">
              <w:rPr>
                <w:rFonts w:cs="Arial"/>
                <w:noProof/>
                <w:sz w:val="18"/>
                <w:szCs w:val="18"/>
                <w:lang w:eastAsia="en-GB"/>
              </w:rPr>
              <w:t xml:space="preserve">Please describe how you will ensure adherence to the Service Level Agreement of 98% availability as outlined within section 6, and please </w:t>
            </w:r>
            <w:r w:rsidRPr="00ED7883">
              <w:rPr>
                <w:rFonts w:cs="Arial"/>
                <w:noProof/>
                <w:sz w:val="18"/>
                <w:szCs w:val="18"/>
                <w:lang w:eastAsia="en-GB"/>
              </w:rPr>
              <w:t>outline:</w:t>
            </w:r>
          </w:p>
          <w:p w14:paraId="37AAC922" w14:textId="77777777" w:rsidR="00F43ED5" w:rsidRPr="00612E1C" w:rsidRDefault="00F43ED5" w:rsidP="002C4C14">
            <w:pPr>
              <w:pStyle w:val="ListParagraph"/>
              <w:numPr>
                <w:ilvl w:val="0"/>
                <w:numId w:val="34"/>
              </w:numPr>
              <w:tabs>
                <w:tab w:val="center" w:pos="4536"/>
                <w:tab w:val="right" w:pos="9072"/>
              </w:tabs>
              <w:rPr>
                <w:rFonts w:ascii="Arial" w:hAnsi="Arial" w:cs="Arial"/>
                <w:noProof/>
                <w:sz w:val="18"/>
                <w:szCs w:val="18"/>
              </w:rPr>
            </w:pPr>
            <w:r w:rsidRPr="00612E1C">
              <w:rPr>
                <w:rFonts w:ascii="Arial" w:hAnsi="Arial" w:cs="Arial"/>
                <w:noProof/>
                <w:sz w:val="18"/>
                <w:szCs w:val="18"/>
              </w:rPr>
              <w:t xml:space="preserve">your escalation path and; </w:t>
            </w:r>
          </w:p>
          <w:p w14:paraId="2DF301FB" w14:textId="77777777" w:rsidR="00F43ED5" w:rsidRPr="00612E1C" w:rsidRDefault="00F43ED5" w:rsidP="002C4C14">
            <w:pPr>
              <w:pStyle w:val="ListParagraph"/>
              <w:numPr>
                <w:ilvl w:val="0"/>
                <w:numId w:val="34"/>
              </w:numPr>
              <w:tabs>
                <w:tab w:val="center" w:pos="4536"/>
                <w:tab w:val="right" w:pos="9072"/>
              </w:tabs>
              <w:rPr>
                <w:rFonts w:cs="Arial"/>
                <w:noProof/>
                <w:sz w:val="18"/>
                <w:szCs w:val="18"/>
              </w:rPr>
            </w:pPr>
            <w:r w:rsidRPr="00612E1C">
              <w:rPr>
                <w:rFonts w:ascii="Arial" w:hAnsi="Arial" w:cs="Arial"/>
                <w:noProof/>
                <w:sz w:val="18"/>
                <w:szCs w:val="18"/>
              </w:rPr>
              <w:t xml:space="preserve">complaints resolution procedure to minimise the amount of unresolved complaints throughout the term of any resultant contract.  </w:t>
            </w:r>
          </w:p>
        </w:tc>
        <w:tc>
          <w:tcPr>
            <w:tcW w:w="1251" w:type="dxa"/>
            <w:shd w:val="clear" w:color="auto" w:fill="FFFFFF" w:themeFill="background1"/>
            <w:vAlign w:val="center"/>
          </w:tcPr>
          <w:p w14:paraId="5E9FD1D9" w14:textId="77777777" w:rsidR="00F43ED5" w:rsidRPr="007160EF" w:rsidRDefault="00F43ED5" w:rsidP="002C4C14">
            <w:pPr>
              <w:tabs>
                <w:tab w:val="num" w:pos="0"/>
              </w:tabs>
              <w:jc w:val="center"/>
              <w:rPr>
                <w:rFonts w:cs="Arial"/>
                <w:sz w:val="18"/>
              </w:rPr>
            </w:pPr>
            <w:r>
              <w:rPr>
                <w:rFonts w:cs="Arial"/>
                <w:sz w:val="18"/>
              </w:rPr>
              <w:t>4</w:t>
            </w:r>
            <w:r w:rsidRPr="007160EF">
              <w:rPr>
                <w:rFonts w:cs="Arial"/>
                <w:sz w:val="18"/>
              </w:rPr>
              <w:t>%</w:t>
            </w:r>
          </w:p>
        </w:tc>
      </w:tr>
      <w:tr w:rsidR="00F43ED5" w:rsidRPr="003110F3" w14:paraId="35BF814F" w14:textId="77777777" w:rsidTr="002C4C14">
        <w:trPr>
          <w:trHeight w:val="510"/>
          <w:tblHeader/>
        </w:trPr>
        <w:tc>
          <w:tcPr>
            <w:tcW w:w="1696" w:type="dxa"/>
            <w:vMerge/>
            <w:shd w:val="clear" w:color="auto" w:fill="auto"/>
            <w:vAlign w:val="center"/>
          </w:tcPr>
          <w:p w14:paraId="715A74C1"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363DF9D7" w14:textId="77777777" w:rsidR="00F43ED5" w:rsidRPr="007160EF" w:rsidRDefault="00F43ED5" w:rsidP="002C4C14">
            <w:pPr>
              <w:tabs>
                <w:tab w:val="num" w:pos="-180"/>
              </w:tabs>
              <w:rPr>
                <w:rFonts w:cs="Arial"/>
                <w:b/>
                <w:sz w:val="18"/>
              </w:rPr>
            </w:pPr>
          </w:p>
        </w:tc>
        <w:tc>
          <w:tcPr>
            <w:tcW w:w="9413" w:type="dxa"/>
            <w:shd w:val="clear" w:color="auto" w:fill="auto"/>
            <w:vAlign w:val="center"/>
          </w:tcPr>
          <w:p w14:paraId="02A66BF9" w14:textId="77777777" w:rsidR="00F43ED5" w:rsidRPr="00612E1C" w:rsidRDefault="00F43ED5" w:rsidP="002C4C14">
            <w:pPr>
              <w:tabs>
                <w:tab w:val="num" w:pos="-180"/>
              </w:tabs>
              <w:rPr>
                <w:rFonts w:cs="Arial"/>
                <w:sz w:val="18"/>
                <w:szCs w:val="18"/>
              </w:rPr>
            </w:pPr>
            <w:r w:rsidRPr="00FC6CEF">
              <w:rPr>
                <w:rFonts w:cs="Arial"/>
                <w:sz w:val="18"/>
                <w:szCs w:val="18"/>
              </w:rPr>
              <w:t xml:space="preserve">During transition to the new fleet vehicles the successful supplier will be required to facilitate training to The AUTHORITY personnel.  As outlined within section 6. </w:t>
            </w:r>
            <w:r w:rsidRPr="00ED7883">
              <w:rPr>
                <w:rFonts w:cs="Arial"/>
                <w:sz w:val="18"/>
                <w:szCs w:val="18"/>
              </w:rPr>
              <w:t xml:space="preserve">Please outline how you intend </w:t>
            </w:r>
            <w:proofErr w:type="gramStart"/>
            <w:r w:rsidRPr="00ED7883">
              <w:rPr>
                <w:rFonts w:cs="Arial"/>
                <w:sz w:val="18"/>
                <w:szCs w:val="18"/>
              </w:rPr>
              <w:t>to</w:t>
            </w:r>
            <w:r w:rsidRPr="00612E1C">
              <w:rPr>
                <w:rFonts w:cs="Arial"/>
                <w:sz w:val="18"/>
                <w:szCs w:val="18"/>
              </w:rPr>
              <w:t>;</w:t>
            </w:r>
            <w:proofErr w:type="gramEnd"/>
          </w:p>
          <w:p w14:paraId="4588F225" w14:textId="77777777" w:rsidR="00F43ED5" w:rsidRPr="00612E1C" w:rsidRDefault="00F43ED5" w:rsidP="002C4C14">
            <w:pPr>
              <w:pStyle w:val="ListParagraph"/>
              <w:numPr>
                <w:ilvl w:val="0"/>
                <w:numId w:val="35"/>
              </w:numPr>
              <w:rPr>
                <w:rFonts w:ascii="Arial" w:hAnsi="Arial" w:cs="Arial"/>
                <w:sz w:val="18"/>
                <w:szCs w:val="18"/>
              </w:rPr>
            </w:pPr>
            <w:r w:rsidRPr="00612E1C">
              <w:rPr>
                <w:rFonts w:ascii="Arial" w:hAnsi="Arial" w:cs="Arial"/>
                <w:sz w:val="18"/>
                <w:szCs w:val="18"/>
              </w:rPr>
              <w:t xml:space="preserve">upskill relevant personnel, </w:t>
            </w:r>
          </w:p>
          <w:p w14:paraId="31BE423F" w14:textId="77777777" w:rsidR="00F43ED5" w:rsidRPr="00612E1C" w:rsidRDefault="00F43ED5" w:rsidP="002C4C14">
            <w:pPr>
              <w:pStyle w:val="ListParagraph"/>
              <w:numPr>
                <w:ilvl w:val="0"/>
                <w:numId w:val="35"/>
              </w:numPr>
              <w:rPr>
                <w:rFonts w:ascii="Arial" w:hAnsi="Arial" w:cs="Arial"/>
                <w:sz w:val="18"/>
                <w:szCs w:val="18"/>
              </w:rPr>
            </w:pPr>
            <w:r w:rsidRPr="00612E1C">
              <w:rPr>
                <w:rFonts w:ascii="Arial" w:hAnsi="Arial" w:cs="Arial"/>
                <w:sz w:val="18"/>
                <w:szCs w:val="18"/>
              </w:rPr>
              <w:t xml:space="preserve">provide relevant / easy to follow Operating Instructions </w:t>
            </w:r>
            <w:proofErr w:type="gramStart"/>
            <w:r w:rsidRPr="00612E1C">
              <w:rPr>
                <w:rFonts w:ascii="Arial" w:hAnsi="Arial" w:cs="Arial"/>
                <w:sz w:val="18"/>
                <w:szCs w:val="18"/>
              </w:rPr>
              <w:t>and;</w:t>
            </w:r>
            <w:proofErr w:type="gramEnd"/>
          </w:p>
          <w:p w14:paraId="6B003C55" w14:textId="77777777" w:rsidR="00F43ED5" w:rsidRPr="00612E1C" w:rsidRDefault="00F43ED5" w:rsidP="002C4C14">
            <w:pPr>
              <w:pStyle w:val="ListParagraph"/>
              <w:numPr>
                <w:ilvl w:val="0"/>
                <w:numId w:val="35"/>
              </w:numPr>
              <w:rPr>
                <w:rFonts w:cs="Arial"/>
                <w:sz w:val="18"/>
                <w:szCs w:val="18"/>
              </w:rPr>
            </w:pPr>
            <w:r w:rsidRPr="00612E1C">
              <w:rPr>
                <w:rFonts w:ascii="Arial" w:hAnsi="Arial" w:cs="Arial"/>
                <w:sz w:val="18"/>
                <w:szCs w:val="18"/>
              </w:rPr>
              <w:t>provide an overview of the support that your organisations helpdesk will provide during the contract term.</w:t>
            </w:r>
          </w:p>
        </w:tc>
        <w:tc>
          <w:tcPr>
            <w:tcW w:w="1251" w:type="dxa"/>
            <w:shd w:val="clear" w:color="auto" w:fill="auto"/>
            <w:vAlign w:val="center"/>
          </w:tcPr>
          <w:p w14:paraId="031773BB" w14:textId="77777777" w:rsidR="00F43ED5" w:rsidRPr="007160EF" w:rsidRDefault="00F43ED5" w:rsidP="002C4C14">
            <w:pPr>
              <w:tabs>
                <w:tab w:val="num" w:pos="0"/>
              </w:tabs>
              <w:jc w:val="center"/>
              <w:rPr>
                <w:rFonts w:cs="Arial"/>
                <w:sz w:val="18"/>
              </w:rPr>
            </w:pPr>
            <w:r>
              <w:rPr>
                <w:rFonts w:cs="Arial"/>
                <w:sz w:val="18"/>
              </w:rPr>
              <w:t>2</w:t>
            </w:r>
            <w:r w:rsidRPr="007160EF">
              <w:rPr>
                <w:rFonts w:cs="Arial"/>
                <w:sz w:val="18"/>
              </w:rPr>
              <w:t>%</w:t>
            </w:r>
          </w:p>
        </w:tc>
      </w:tr>
      <w:tr w:rsidR="00F43ED5" w:rsidRPr="003110F3" w14:paraId="42CBF03C" w14:textId="77777777" w:rsidTr="002C4C14">
        <w:trPr>
          <w:trHeight w:val="510"/>
          <w:tblHeader/>
        </w:trPr>
        <w:tc>
          <w:tcPr>
            <w:tcW w:w="1696" w:type="dxa"/>
            <w:vMerge w:val="restart"/>
            <w:shd w:val="clear" w:color="auto" w:fill="auto"/>
            <w:vAlign w:val="center"/>
          </w:tcPr>
          <w:p w14:paraId="0ED08C45" w14:textId="77777777" w:rsidR="00F43ED5" w:rsidRPr="007160EF" w:rsidRDefault="00F43ED5" w:rsidP="002C4C14">
            <w:pPr>
              <w:tabs>
                <w:tab w:val="num" w:pos="-180"/>
              </w:tabs>
              <w:rPr>
                <w:rFonts w:cs="Arial"/>
                <w:b/>
                <w:sz w:val="18"/>
              </w:rPr>
            </w:pPr>
            <w:r w:rsidRPr="007160EF">
              <w:rPr>
                <w:rFonts w:cs="Arial"/>
                <w:b/>
                <w:sz w:val="18"/>
              </w:rPr>
              <w:t>Social Value Outcomes</w:t>
            </w:r>
          </w:p>
        </w:tc>
        <w:tc>
          <w:tcPr>
            <w:tcW w:w="1937" w:type="dxa"/>
            <w:vMerge w:val="restart"/>
            <w:shd w:val="clear" w:color="auto" w:fill="auto"/>
            <w:vAlign w:val="center"/>
          </w:tcPr>
          <w:p w14:paraId="71A1F201" w14:textId="77777777" w:rsidR="00F43ED5" w:rsidRPr="00325D5D" w:rsidRDefault="00F43ED5" w:rsidP="002C4C14">
            <w:pPr>
              <w:tabs>
                <w:tab w:val="num" w:pos="-180"/>
              </w:tabs>
              <w:rPr>
                <w:rFonts w:cs="Arial"/>
                <w:b/>
                <w:sz w:val="18"/>
              </w:rPr>
            </w:pPr>
            <w:r w:rsidRPr="00325D5D">
              <w:rPr>
                <w:rFonts w:cs="Arial"/>
                <w:b/>
                <w:sz w:val="18"/>
              </w:rPr>
              <w:t>10%</w:t>
            </w:r>
          </w:p>
        </w:tc>
        <w:tc>
          <w:tcPr>
            <w:tcW w:w="9413" w:type="dxa"/>
            <w:shd w:val="clear" w:color="auto" w:fill="auto"/>
            <w:vAlign w:val="center"/>
          </w:tcPr>
          <w:p w14:paraId="6CCE0061" w14:textId="77777777" w:rsidR="00F43ED5" w:rsidRPr="00325D5D" w:rsidRDefault="00F43ED5" w:rsidP="002C4C14">
            <w:pPr>
              <w:tabs>
                <w:tab w:val="center" w:pos="4536"/>
                <w:tab w:val="right" w:pos="9072"/>
              </w:tabs>
              <w:spacing w:before="120" w:after="120"/>
              <w:rPr>
                <w:rFonts w:cs="Arial"/>
                <w:noProof/>
                <w:sz w:val="18"/>
                <w:szCs w:val="18"/>
                <w:lang w:eastAsia="en-GB"/>
              </w:rPr>
            </w:pPr>
            <w:r w:rsidRPr="00325D5D">
              <w:rPr>
                <w:rFonts w:cs="Arial"/>
                <w:noProof/>
                <w:sz w:val="18"/>
                <w:szCs w:val="18"/>
                <w:lang w:eastAsia="en-GB"/>
              </w:rPr>
              <w:t>Bidders are to outline how their vehicles and compliance with this specifciation  will minimise any adverse impact on the environment.  The response should include and highlight the following;</w:t>
            </w:r>
          </w:p>
          <w:p w14:paraId="35F1785C" w14:textId="77777777" w:rsidR="00F43ED5" w:rsidRPr="00325D5D" w:rsidRDefault="00F43ED5" w:rsidP="002C4C14">
            <w:pPr>
              <w:pStyle w:val="ListParagraph"/>
              <w:numPr>
                <w:ilvl w:val="0"/>
                <w:numId w:val="31"/>
              </w:numPr>
              <w:tabs>
                <w:tab w:val="center" w:pos="4536"/>
                <w:tab w:val="right" w:pos="9072"/>
              </w:tabs>
              <w:spacing w:before="120" w:after="120"/>
              <w:rPr>
                <w:rFonts w:ascii="Arial" w:hAnsi="Arial" w:cs="Arial"/>
                <w:noProof/>
                <w:sz w:val="18"/>
                <w:szCs w:val="18"/>
              </w:rPr>
            </w:pPr>
            <w:r w:rsidRPr="00325D5D">
              <w:rPr>
                <w:rFonts w:ascii="Arial" w:hAnsi="Arial" w:cs="Arial"/>
                <w:noProof/>
                <w:sz w:val="18"/>
                <w:szCs w:val="18"/>
              </w:rPr>
              <w:t>sustainable development/recycling/re-use/landfill avoidance processes that are to be used.</w:t>
            </w:r>
          </w:p>
          <w:p w14:paraId="0BA3234A" w14:textId="77777777" w:rsidR="00F43ED5" w:rsidRPr="00325D5D" w:rsidRDefault="00F43ED5" w:rsidP="002C4C14">
            <w:pPr>
              <w:pStyle w:val="ListParagraph"/>
              <w:numPr>
                <w:ilvl w:val="0"/>
                <w:numId w:val="31"/>
              </w:numPr>
              <w:tabs>
                <w:tab w:val="center" w:pos="4536"/>
                <w:tab w:val="right" w:pos="9072"/>
              </w:tabs>
              <w:spacing w:before="120" w:after="120"/>
              <w:rPr>
                <w:rFonts w:ascii="Arial" w:eastAsia="Times New Roman" w:hAnsi="Arial" w:cs="Arial"/>
                <w:noProof/>
                <w:sz w:val="18"/>
                <w:szCs w:val="18"/>
              </w:rPr>
            </w:pPr>
            <w:r w:rsidRPr="00325D5D">
              <w:rPr>
                <w:rFonts w:ascii="Arial" w:hAnsi="Arial" w:cs="Arial"/>
                <w:noProof/>
                <w:sz w:val="18"/>
                <w:szCs w:val="18"/>
              </w:rPr>
              <w:t>reduction in CarbonFootprint and sustainable vehicle considerations should be made where possible and supported with clear evidence.</w:t>
            </w:r>
          </w:p>
          <w:p w14:paraId="0C8D7466" w14:textId="77777777" w:rsidR="008352D5" w:rsidRPr="008352D5" w:rsidRDefault="00F43ED5" w:rsidP="008352D5">
            <w:pPr>
              <w:pStyle w:val="ListParagraph"/>
              <w:numPr>
                <w:ilvl w:val="0"/>
                <w:numId w:val="31"/>
              </w:numPr>
              <w:tabs>
                <w:tab w:val="center" w:pos="4536"/>
                <w:tab w:val="right" w:pos="9072"/>
              </w:tabs>
              <w:spacing w:before="120" w:after="120"/>
              <w:rPr>
                <w:rFonts w:cs="Arial"/>
                <w:noProof/>
                <w:sz w:val="18"/>
                <w:szCs w:val="18"/>
              </w:rPr>
            </w:pPr>
            <w:r w:rsidRPr="00325D5D">
              <w:rPr>
                <w:rFonts w:ascii="Arial" w:hAnsi="Arial" w:cs="Arial"/>
                <w:noProof/>
                <w:sz w:val="18"/>
                <w:szCs w:val="18"/>
              </w:rPr>
              <w:t>future sustainability reductions and how over the life of the Contract the Bidder will support environmental policies.</w:t>
            </w:r>
          </w:p>
          <w:p w14:paraId="29B72E78" w14:textId="77777777" w:rsidR="008352D5" w:rsidRPr="008352D5" w:rsidRDefault="008352D5" w:rsidP="008352D5">
            <w:pPr>
              <w:pStyle w:val="ListParagraph"/>
              <w:numPr>
                <w:ilvl w:val="0"/>
                <w:numId w:val="31"/>
              </w:numPr>
              <w:tabs>
                <w:tab w:val="center" w:pos="4536"/>
                <w:tab w:val="right" w:pos="9072"/>
              </w:tabs>
              <w:spacing w:before="120" w:after="120"/>
              <w:rPr>
                <w:rFonts w:ascii="Arial" w:hAnsi="Arial" w:cs="Arial"/>
                <w:noProof/>
                <w:sz w:val="18"/>
                <w:szCs w:val="18"/>
              </w:rPr>
            </w:pPr>
            <w:r>
              <w:rPr>
                <w:rFonts w:ascii="Arial" w:hAnsi="Arial" w:cs="Arial"/>
                <w:noProof/>
                <w:sz w:val="18"/>
                <w:szCs w:val="18"/>
              </w:rPr>
              <w:t>t</w:t>
            </w:r>
            <w:r w:rsidRPr="008352D5">
              <w:rPr>
                <w:rFonts w:ascii="Arial" w:hAnsi="Arial" w:cs="Arial"/>
                <w:noProof/>
                <w:sz w:val="18"/>
                <w:szCs w:val="18"/>
              </w:rPr>
              <w:t>he proposed vehicles offered and the emissions that they produce, will impact the overall score applied against the social value criteria.</w:t>
            </w:r>
          </w:p>
          <w:p w14:paraId="737E7B05" w14:textId="77777777" w:rsidR="00F43ED5" w:rsidRPr="00BF1D5F" w:rsidRDefault="00F43ED5" w:rsidP="002C4C14">
            <w:pPr>
              <w:tabs>
                <w:tab w:val="center" w:pos="4536"/>
                <w:tab w:val="right" w:pos="9072"/>
              </w:tabs>
              <w:spacing w:before="120" w:after="120"/>
              <w:rPr>
                <w:rFonts w:cs="Arial"/>
                <w:noProof/>
                <w:sz w:val="18"/>
                <w:szCs w:val="18"/>
              </w:rPr>
            </w:pPr>
            <w:r w:rsidRPr="00325D5D">
              <w:rPr>
                <w:rFonts w:cs="Arial"/>
                <w:sz w:val="18"/>
                <w:szCs w:val="18"/>
              </w:rPr>
              <w:t>(</w:t>
            </w:r>
            <w:r>
              <w:rPr>
                <w:rFonts w:cs="Arial"/>
                <w:sz w:val="18"/>
                <w:szCs w:val="18"/>
              </w:rPr>
              <w:t xml:space="preserve">For additional info </w:t>
            </w:r>
            <w:r w:rsidRPr="00325D5D">
              <w:rPr>
                <w:rFonts w:cs="Arial"/>
                <w:sz w:val="18"/>
                <w:szCs w:val="18"/>
              </w:rPr>
              <w:t xml:space="preserve">see Model Award Criteria </w:t>
            </w:r>
            <w:r>
              <w:rPr>
                <w:rFonts w:cs="Arial"/>
                <w:sz w:val="18"/>
                <w:szCs w:val="18"/>
              </w:rPr>
              <w:t>4.1</w:t>
            </w:r>
            <w:r w:rsidRPr="00325D5D">
              <w:rPr>
                <w:rFonts w:cs="Arial"/>
                <w:sz w:val="18"/>
                <w:szCs w:val="18"/>
              </w:rPr>
              <w:t xml:space="preserve"> in the Social Value Model)</w:t>
            </w:r>
          </w:p>
          <w:p w14:paraId="56426F51" w14:textId="77777777" w:rsidR="00F43ED5" w:rsidRPr="00325D5D" w:rsidRDefault="00F43ED5" w:rsidP="002C4C14">
            <w:pPr>
              <w:tabs>
                <w:tab w:val="num" w:pos="-180"/>
              </w:tabs>
              <w:rPr>
                <w:rFonts w:cs="Arial"/>
                <w:sz w:val="18"/>
                <w:szCs w:val="18"/>
              </w:rPr>
            </w:pPr>
          </w:p>
        </w:tc>
        <w:tc>
          <w:tcPr>
            <w:tcW w:w="1251" w:type="dxa"/>
            <w:shd w:val="clear" w:color="auto" w:fill="auto"/>
            <w:vAlign w:val="center"/>
          </w:tcPr>
          <w:p w14:paraId="4DB5640C" w14:textId="77777777" w:rsidR="00F43ED5" w:rsidRPr="00025868" w:rsidRDefault="00F43ED5" w:rsidP="002C4C14">
            <w:pPr>
              <w:tabs>
                <w:tab w:val="num" w:pos="0"/>
              </w:tabs>
              <w:jc w:val="center"/>
              <w:rPr>
                <w:rFonts w:cs="Arial"/>
                <w:sz w:val="18"/>
                <w:highlight w:val="yellow"/>
              </w:rPr>
            </w:pPr>
            <w:r w:rsidRPr="00AC6DDC">
              <w:rPr>
                <w:rFonts w:cs="Arial"/>
                <w:sz w:val="18"/>
              </w:rPr>
              <w:t>10%</w:t>
            </w:r>
          </w:p>
        </w:tc>
      </w:tr>
      <w:tr w:rsidR="00F43ED5" w:rsidRPr="003110F3" w14:paraId="647947A9" w14:textId="77777777" w:rsidTr="002C4C14">
        <w:trPr>
          <w:trHeight w:val="510"/>
          <w:tblHeader/>
        </w:trPr>
        <w:tc>
          <w:tcPr>
            <w:tcW w:w="1696" w:type="dxa"/>
            <w:vMerge/>
            <w:shd w:val="clear" w:color="auto" w:fill="auto"/>
            <w:vAlign w:val="center"/>
          </w:tcPr>
          <w:p w14:paraId="24CBF967"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402BA275" w14:textId="77777777" w:rsidR="00F43ED5" w:rsidRPr="00325D5D" w:rsidRDefault="00F43ED5" w:rsidP="002C4C14">
            <w:pPr>
              <w:tabs>
                <w:tab w:val="num" w:pos="-180"/>
              </w:tabs>
              <w:rPr>
                <w:rFonts w:cs="Arial"/>
                <w:b/>
                <w:sz w:val="18"/>
              </w:rPr>
            </w:pPr>
          </w:p>
        </w:tc>
        <w:tc>
          <w:tcPr>
            <w:tcW w:w="9413" w:type="dxa"/>
            <w:shd w:val="clear" w:color="auto" w:fill="auto"/>
            <w:vAlign w:val="center"/>
          </w:tcPr>
          <w:p w14:paraId="65044BA0" w14:textId="77777777" w:rsidR="00F43ED5" w:rsidRPr="00325D5D" w:rsidRDefault="00F43ED5" w:rsidP="002C4C14">
            <w:pPr>
              <w:tabs>
                <w:tab w:val="num" w:pos="-180"/>
              </w:tabs>
              <w:rPr>
                <w:rFonts w:cs="Arial"/>
                <w:sz w:val="18"/>
                <w:szCs w:val="18"/>
              </w:rPr>
            </w:pPr>
            <w:r w:rsidRPr="00FC6CEF">
              <w:rPr>
                <w:rFonts w:cs="Arial"/>
                <w:b/>
                <w:sz w:val="18"/>
                <w:szCs w:val="18"/>
              </w:rPr>
              <w:t>Social Value Sub-Total</w:t>
            </w:r>
            <w:r w:rsidRPr="00ED7883">
              <w:rPr>
                <w:rFonts w:cs="Arial"/>
                <w:b/>
                <w:sz w:val="18"/>
                <w:szCs w:val="18"/>
              </w:rPr>
              <w:t>:</w:t>
            </w:r>
          </w:p>
        </w:tc>
        <w:tc>
          <w:tcPr>
            <w:tcW w:w="1251" w:type="dxa"/>
            <w:shd w:val="clear" w:color="auto" w:fill="auto"/>
            <w:vAlign w:val="center"/>
          </w:tcPr>
          <w:p w14:paraId="70D63341" w14:textId="77777777" w:rsidR="00F43ED5" w:rsidRPr="00025868" w:rsidRDefault="00F43ED5" w:rsidP="002C4C14">
            <w:pPr>
              <w:tabs>
                <w:tab w:val="num" w:pos="0"/>
              </w:tabs>
              <w:jc w:val="center"/>
              <w:rPr>
                <w:rFonts w:cs="Arial"/>
                <w:sz w:val="18"/>
                <w:highlight w:val="yellow"/>
              </w:rPr>
            </w:pPr>
            <w:r w:rsidRPr="007160EF">
              <w:rPr>
                <w:rFonts w:cs="Arial"/>
                <w:b/>
                <w:sz w:val="18"/>
              </w:rPr>
              <w:t>10%</w:t>
            </w:r>
          </w:p>
        </w:tc>
      </w:tr>
      <w:tr w:rsidR="00F43ED5" w:rsidRPr="003110F3" w14:paraId="0D06EC76" w14:textId="77777777" w:rsidTr="002C4C14">
        <w:trPr>
          <w:trHeight w:val="510"/>
          <w:tblHeader/>
        </w:trPr>
        <w:tc>
          <w:tcPr>
            <w:tcW w:w="1696" w:type="dxa"/>
            <w:vMerge/>
            <w:shd w:val="clear" w:color="auto" w:fill="auto"/>
            <w:vAlign w:val="center"/>
          </w:tcPr>
          <w:p w14:paraId="1BBF12C3" w14:textId="77777777" w:rsidR="00F43ED5" w:rsidRPr="007160EF" w:rsidRDefault="00F43ED5" w:rsidP="002C4C14">
            <w:pPr>
              <w:tabs>
                <w:tab w:val="num" w:pos="-180"/>
              </w:tabs>
              <w:rPr>
                <w:rFonts w:cs="Arial"/>
                <w:b/>
                <w:sz w:val="18"/>
              </w:rPr>
            </w:pPr>
          </w:p>
        </w:tc>
        <w:tc>
          <w:tcPr>
            <w:tcW w:w="1937" w:type="dxa"/>
            <w:vMerge/>
            <w:shd w:val="clear" w:color="auto" w:fill="auto"/>
            <w:vAlign w:val="center"/>
          </w:tcPr>
          <w:p w14:paraId="0C3F79B1" w14:textId="77777777" w:rsidR="00F43ED5" w:rsidRPr="007160EF" w:rsidRDefault="00F43ED5" w:rsidP="002C4C14">
            <w:pPr>
              <w:tabs>
                <w:tab w:val="num" w:pos="-180"/>
              </w:tabs>
              <w:rPr>
                <w:rFonts w:cs="Arial"/>
                <w:b/>
                <w:sz w:val="18"/>
              </w:rPr>
            </w:pPr>
          </w:p>
        </w:tc>
        <w:tc>
          <w:tcPr>
            <w:tcW w:w="9413" w:type="dxa"/>
            <w:shd w:val="clear" w:color="auto" w:fill="auto"/>
            <w:vAlign w:val="center"/>
          </w:tcPr>
          <w:p w14:paraId="7A2C2D46" w14:textId="77777777" w:rsidR="00F43ED5" w:rsidRPr="00ED7883" w:rsidRDefault="00F43ED5" w:rsidP="002C4C14">
            <w:pPr>
              <w:tabs>
                <w:tab w:val="num" w:pos="-180"/>
              </w:tabs>
              <w:rPr>
                <w:rFonts w:cs="Arial"/>
                <w:b/>
                <w:sz w:val="18"/>
                <w:szCs w:val="18"/>
              </w:rPr>
            </w:pPr>
            <w:r w:rsidRPr="00FC6CEF">
              <w:rPr>
                <w:rFonts w:cs="Arial"/>
                <w:b/>
                <w:sz w:val="18"/>
                <w:szCs w:val="18"/>
              </w:rPr>
              <w:t>Overall</w:t>
            </w:r>
            <w:r w:rsidRPr="00ED7883">
              <w:rPr>
                <w:rFonts w:cs="Arial"/>
                <w:b/>
                <w:sz w:val="18"/>
                <w:szCs w:val="18"/>
              </w:rPr>
              <w:t xml:space="preserve"> Quality Total:</w:t>
            </w:r>
          </w:p>
        </w:tc>
        <w:tc>
          <w:tcPr>
            <w:tcW w:w="1251" w:type="dxa"/>
            <w:shd w:val="clear" w:color="auto" w:fill="auto"/>
            <w:vAlign w:val="center"/>
          </w:tcPr>
          <w:p w14:paraId="0BD1DC8E" w14:textId="77777777" w:rsidR="00F43ED5" w:rsidRPr="007160EF" w:rsidRDefault="00F43ED5" w:rsidP="002C4C14">
            <w:pPr>
              <w:tabs>
                <w:tab w:val="num" w:pos="0"/>
              </w:tabs>
              <w:jc w:val="center"/>
              <w:rPr>
                <w:rFonts w:cs="Arial"/>
                <w:b/>
                <w:sz w:val="18"/>
              </w:rPr>
            </w:pPr>
            <w:r w:rsidRPr="007160EF">
              <w:rPr>
                <w:rFonts w:cs="Arial"/>
                <w:b/>
                <w:sz w:val="18"/>
              </w:rPr>
              <w:t>60%</w:t>
            </w:r>
          </w:p>
        </w:tc>
      </w:tr>
    </w:tbl>
    <w:p w14:paraId="5DAA192C" w14:textId="77777777" w:rsidR="00C4184C" w:rsidRDefault="00C4184C" w:rsidP="00CC5CF0">
      <w:pPr>
        <w:spacing w:after="120"/>
        <w:rPr>
          <w:rFonts w:cs="Arial"/>
          <w:b/>
          <w:sz w:val="18"/>
        </w:rPr>
      </w:pPr>
    </w:p>
    <w:p w14:paraId="61949090" w14:textId="77777777" w:rsidR="00C4184C" w:rsidRDefault="00C4184C" w:rsidP="00CC5CF0">
      <w:pPr>
        <w:spacing w:after="120"/>
        <w:rPr>
          <w:rFonts w:cs="Arial"/>
          <w:b/>
          <w:sz w:val="18"/>
        </w:rPr>
      </w:pPr>
    </w:p>
    <w:p w14:paraId="1B7ACD84" w14:textId="77777777" w:rsidR="00C4184C" w:rsidRDefault="00C4184C" w:rsidP="00CC5CF0">
      <w:pPr>
        <w:spacing w:after="120"/>
        <w:rPr>
          <w:rFonts w:cs="Arial"/>
          <w:b/>
          <w:sz w:val="18"/>
        </w:rPr>
      </w:pPr>
    </w:p>
    <w:p w14:paraId="78127014" w14:textId="77777777" w:rsidR="007160EF" w:rsidRDefault="007160EF" w:rsidP="00011F3E">
      <w:pPr>
        <w:spacing w:after="120"/>
        <w:ind w:left="-181"/>
        <w:rPr>
          <w:rFonts w:cs="Arial"/>
          <w:b/>
        </w:rPr>
      </w:pPr>
    </w:p>
    <w:p w14:paraId="3CE480BA" w14:textId="77777777" w:rsidR="00575D5C" w:rsidRDefault="00575D5C" w:rsidP="005916A3">
      <w:pPr>
        <w:rPr>
          <w:b/>
        </w:rPr>
      </w:pPr>
      <w:r>
        <w:rPr>
          <w:b/>
        </w:rPr>
        <w:br w:type="page"/>
      </w:r>
    </w:p>
    <w:p w14:paraId="7662A3ED" w14:textId="146D3705" w:rsidR="00011F3E" w:rsidRPr="005916A3" w:rsidRDefault="00661287" w:rsidP="005916A3">
      <w:pPr>
        <w:rPr>
          <w:b/>
        </w:rPr>
      </w:pPr>
      <w:r>
        <w:rPr>
          <w:b/>
        </w:rPr>
        <w:lastRenderedPageBreak/>
        <w:t xml:space="preserve">Annex 1 continued - </w:t>
      </w:r>
      <w:r w:rsidR="00011F3E" w:rsidRPr="005916A3">
        <w:rPr>
          <w:b/>
        </w:rPr>
        <w:t xml:space="preserve">Financial/Pricing </w:t>
      </w:r>
      <w:r w:rsidR="00504A4E" w:rsidRPr="005916A3">
        <w:rPr>
          <w:b/>
        </w:rPr>
        <w:t xml:space="preserve">Criteria </w:t>
      </w:r>
    </w:p>
    <w:p w14:paraId="4137B442" w14:textId="77777777" w:rsidR="007160EF" w:rsidRPr="00597ADD" w:rsidRDefault="007160EF"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278D6F28" w14:textId="77777777" w:rsidTr="00DA222C">
        <w:trPr>
          <w:cantSplit/>
          <w:tblHeader/>
        </w:trPr>
        <w:tc>
          <w:tcPr>
            <w:tcW w:w="1908" w:type="dxa"/>
            <w:shd w:val="clear" w:color="auto" w:fill="auto"/>
            <w:vAlign w:val="center"/>
          </w:tcPr>
          <w:p w14:paraId="110B16E1" w14:textId="77777777"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7179737A" w14:textId="77777777"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5B5002EF" w14:textId="77777777"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487C8B05" w14:textId="77777777" w:rsidTr="00DA222C">
        <w:trPr>
          <w:trHeight w:val="552"/>
        </w:trPr>
        <w:tc>
          <w:tcPr>
            <w:tcW w:w="1908" w:type="dxa"/>
            <w:shd w:val="clear" w:color="auto" w:fill="auto"/>
            <w:vAlign w:val="center"/>
          </w:tcPr>
          <w:p w14:paraId="77EE0D52" w14:textId="77777777"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0282010C" w14:textId="77777777" w:rsidR="00DA222C" w:rsidRPr="004B3C1E" w:rsidRDefault="0046358A" w:rsidP="00430AAC">
            <w:pPr>
              <w:tabs>
                <w:tab w:val="num" w:pos="-180"/>
              </w:tabs>
              <w:rPr>
                <w:rFonts w:cs="Arial"/>
                <w:b/>
                <w:sz w:val="20"/>
              </w:rPr>
            </w:pPr>
            <w:r>
              <w:rPr>
                <w:rFonts w:cs="Arial"/>
                <w:b/>
                <w:sz w:val="20"/>
              </w:rPr>
              <w:t>40%</w:t>
            </w:r>
          </w:p>
        </w:tc>
        <w:tc>
          <w:tcPr>
            <w:tcW w:w="4394" w:type="dxa"/>
            <w:shd w:val="clear" w:color="auto" w:fill="auto"/>
            <w:vAlign w:val="center"/>
          </w:tcPr>
          <w:p w14:paraId="506EDF62" w14:textId="647256B8" w:rsidR="00DA222C" w:rsidRPr="0099365E" w:rsidRDefault="00661287" w:rsidP="00430AAC">
            <w:pPr>
              <w:tabs>
                <w:tab w:val="num" w:pos="-180"/>
              </w:tabs>
              <w:rPr>
                <w:rFonts w:cs="Arial"/>
                <w:b/>
                <w:sz w:val="20"/>
                <w:highlight w:val="yellow"/>
              </w:rPr>
            </w:pPr>
            <w:r>
              <w:rPr>
                <w:rFonts w:cs="Arial"/>
                <w:b/>
                <w:sz w:val="20"/>
              </w:rPr>
              <w:t xml:space="preserve">Please complete the Pricing </w:t>
            </w:r>
            <w:proofErr w:type="spellStart"/>
            <w:r>
              <w:rPr>
                <w:rFonts w:cs="Arial"/>
                <w:b/>
                <w:sz w:val="20"/>
              </w:rPr>
              <w:t>Schelue</w:t>
            </w:r>
            <w:proofErr w:type="spellEnd"/>
            <w:r>
              <w:rPr>
                <w:rFonts w:cs="Arial"/>
                <w:b/>
                <w:sz w:val="20"/>
              </w:rPr>
              <w:t xml:space="preserve"> (Annex 8).</w:t>
            </w:r>
          </w:p>
        </w:tc>
      </w:tr>
      <w:tr w:rsidR="00DA222C" w:rsidRPr="00B43326" w14:paraId="3FBB8010" w14:textId="77777777" w:rsidTr="00DA222C">
        <w:trPr>
          <w:trHeight w:val="553"/>
        </w:trPr>
        <w:tc>
          <w:tcPr>
            <w:tcW w:w="1908" w:type="dxa"/>
            <w:tcBorders>
              <w:left w:val="nil"/>
              <w:bottom w:val="nil"/>
            </w:tcBorders>
            <w:shd w:val="clear" w:color="auto" w:fill="auto"/>
            <w:vAlign w:val="center"/>
          </w:tcPr>
          <w:p w14:paraId="6CEE162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04D5DAFA" w14:textId="77777777" w:rsidR="00DA222C" w:rsidRPr="00B43326" w:rsidRDefault="00DA222C" w:rsidP="003A0CFA">
            <w:pPr>
              <w:tabs>
                <w:tab w:val="num" w:pos="-180"/>
              </w:tabs>
              <w:jc w:val="center"/>
              <w:rPr>
                <w:rFonts w:cs="Arial"/>
                <w:sz w:val="20"/>
              </w:rPr>
            </w:pPr>
            <w:r w:rsidRPr="00B43326">
              <w:rPr>
                <w:rFonts w:cs="Arial"/>
                <w:b/>
                <w:sz w:val="20"/>
              </w:rPr>
              <w:t xml:space="preserve">Total = </w:t>
            </w:r>
            <w:r w:rsidR="00F54E2A" w:rsidRPr="00F54E2A">
              <w:rPr>
                <w:rFonts w:cs="Arial"/>
                <w:b/>
                <w:sz w:val="20"/>
              </w:rPr>
              <w:t>100</w:t>
            </w:r>
            <w:r w:rsidRPr="00F54E2A">
              <w:rPr>
                <w:rFonts w:cs="Arial"/>
                <w:b/>
                <w:sz w:val="20"/>
              </w:rPr>
              <w:t>%</w:t>
            </w:r>
          </w:p>
        </w:tc>
        <w:tc>
          <w:tcPr>
            <w:tcW w:w="4394" w:type="dxa"/>
            <w:tcBorders>
              <w:left w:val="single" w:sz="4" w:space="0" w:color="auto"/>
              <w:bottom w:val="nil"/>
              <w:right w:val="nil"/>
            </w:tcBorders>
            <w:shd w:val="clear" w:color="auto" w:fill="auto"/>
            <w:vAlign w:val="center"/>
          </w:tcPr>
          <w:p w14:paraId="1B3E4A77" w14:textId="77777777" w:rsidR="00DA222C" w:rsidRPr="004B3C1E" w:rsidRDefault="00DA222C" w:rsidP="00430AAC">
            <w:pPr>
              <w:tabs>
                <w:tab w:val="num" w:pos="-180"/>
              </w:tabs>
              <w:ind w:hanging="540"/>
              <w:jc w:val="right"/>
              <w:rPr>
                <w:rFonts w:cs="Arial"/>
                <w:sz w:val="20"/>
                <w:highlight w:val="yellow"/>
              </w:rPr>
            </w:pPr>
          </w:p>
        </w:tc>
      </w:tr>
    </w:tbl>
    <w:p w14:paraId="172CAE92" w14:textId="77777777" w:rsidR="00B675DC" w:rsidRDefault="00B675DC" w:rsidP="007160EF">
      <w:pPr>
        <w:rPr>
          <w:rFonts w:cs="Arial"/>
          <w:b/>
          <w:highlight w:val="yellow"/>
        </w:rPr>
      </w:pPr>
    </w:p>
    <w:p w14:paraId="2831D8D4" w14:textId="77777777" w:rsidR="00692673" w:rsidRDefault="00692673" w:rsidP="007160EF">
      <w:pPr>
        <w:rPr>
          <w:rFonts w:cs="Arial"/>
          <w:b/>
          <w:highlight w:val="yellow"/>
        </w:rPr>
      </w:pPr>
    </w:p>
    <w:sectPr w:rsidR="00692673" w:rsidSect="003B43FF">
      <w:pgSz w:w="16838" w:h="11906" w:orient="landscape"/>
      <w:pgMar w:top="1259" w:right="1440" w:bottom="128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6F5B" w14:textId="77777777" w:rsidR="003B43FF" w:rsidRDefault="003B43FF">
      <w:r>
        <w:separator/>
      </w:r>
    </w:p>
  </w:endnote>
  <w:endnote w:type="continuationSeparator" w:id="0">
    <w:p w14:paraId="4CC2D65A" w14:textId="77777777" w:rsidR="003B43FF" w:rsidRDefault="003B4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7" w:usb1="00000000" w:usb2="00000000" w:usb3="00000000" w:csb0="00000093"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216418"/>
      <w:docPartObj>
        <w:docPartGallery w:val="Page Numbers (Bottom of Page)"/>
        <w:docPartUnique/>
      </w:docPartObj>
    </w:sdtPr>
    <w:sdtEndPr/>
    <w:sdtContent>
      <w:sdt>
        <w:sdtPr>
          <w:id w:val="-1861045631"/>
          <w:docPartObj>
            <w:docPartGallery w:val="Page Numbers (Top of Page)"/>
            <w:docPartUnique/>
          </w:docPartObj>
        </w:sdtPr>
        <w:sdtEndPr/>
        <w:sdtContent>
          <w:p w14:paraId="6A3A6BF6" w14:textId="77777777" w:rsidR="003B43FF" w:rsidRDefault="003B43F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24</w:t>
            </w:r>
            <w:r>
              <w:rPr>
                <w:b/>
                <w:bCs/>
                <w:szCs w:val="24"/>
              </w:rPr>
              <w:fldChar w:fldCharType="end"/>
            </w:r>
            <w:r>
              <w:rPr>
                <w:b/>
                <w:bCs/>
                <w:szCs w:val="24"/>
              </w:rPr>
              <w:tab/>
            </w:r>
            <w:r>
              <w:rPr>
                <w:b/>
                <w:bCs/>
                <w:szCs w:val="24"/>
              </w:rPr>
              <w:tab/>
              <w:t>December 2020</w:t>
            </w:r>
          </w:p>
        </w:sdtContent>
      </w:sdt>
    </w:sdtContent>
  </w:sdt>
  <w:p w14:paraId="5E4CB41A" w14:textId="77777777" w:rsidR="003B43FF" w:rsidRPr="005A7DF2" w:rsidRDefault="003B43FF">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4A4D" w14:textId="77777777" w:rsidR="003B43FF" w:rsidRDefault="003B43FF">
      <w:r>
        <w:separator/>
      </w:r>
    </w:p>
  </w:footnote>
  <w:footnote w:type="continuationSeparator" w:id="0">
    <w:p w14:paraId="3831E9F8" w14:textId="77777777" w:rsidR="003B43FF" w:rsidRDefault="003B4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A7DC" w14:textId="77777777" w:rsidR="003B43FF" w:rsidRDefault="003B43FF" w:rsidP="003049E0">
    <w:pPr>
      <w:pStyle w:val="Header"/>
    </w:pPr>
    <w:r>
      <w:rPr>
        <w:noProof/>
        <w:lang w:val="en-US"/>
      </w:rPr>
      <w:drawing>
        <wp:anchor distT="0" distB="0" distL="114300" distR="114300" simplePos="0" relativeHeight="251659264" behindDoc="1" locked="0" layoutInCell="1" allowOverlap="1" wp14:anchorId="4CFA37E4" wp14:editId="363F00CB">
          <wp:simplePos x="0" y="0"/>
          <wp:positionH relativeFrom="page">
            <wp:posOffset>154112</wp:posOffset>
          </wp:positionH>
          <wp:positionV relativeFrom="topMargin">
            <wp:posOffset>-104240</wp:posOffset>
          </wp:positionV>
          <wp:extent cx="3867150" cy="895350"/>
          <wp:effectExtent l="0" t="0" r="0" b="0"/>
          <wp:wrapNone/>
          <wp:docPr id="8"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2A2AE1"/>
    <w:multiLevelType w:val="hybridMultilevel"/>
    <w:tmpl w:val="ED9C24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F63E9"/>
    <w:multiLevelType w:val="multilevel"/>
    <w:tmpl w:val="F6E08F42"/>
    <w:lvl w:ilvl="0">
      <w:start w:val="4"/>
      <w:numFmt w:val="decimal"/>
      <w:lvlText w:val="%1"/>
      <w:lvlJc w:val="left"/>
      <w:pPr>
        <w:ind w:left="855" w:hanging="855"/>
      </w:pPr>
      <w:rPr>
        <w:rFonts w:hint="default"/>
      </w:rPr>
    </w:lvl>
    <w:lvl w:ilvl="1">
      <w:start w:val="6"/>
      <w:numFmt w:val="decimal"/>
      <w:lvlText w:val="%1.%2"/>
      <w:lvlJc w:val="left"/>
      <w:pPr>
        <w:ind w:left="1091" w:hanging="855"/>
      </w:pPr>
      <w:rPr>
        <w:rFonts w:hint="default"/>
      </w:rPr>
    </w:lvl>
    <w:lvl w:ilvl="2">
      <w:start w:val="1"/>
      <w:numFmt w:val="bullet"/>
      <w:lvlText w:val=""/>
      <w:lvlJc w:val="left"/>
      <w:pPr>
        <w:ind w:left="1327" w:hanging="855"/>
      </w:pPr>
      <w:rPr>
        <w:rFonts w:ascii="Symbol" w:hAnsi="Symbol"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1A00208D"/>
    <w:multiLevelType w:val="hybridMultilevel"/>
    <w:tmpl w:val="DCB0D8D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A3B6F99"/>
    <w:multiLevelType w:val="hybridMultilevel"/>
    <w:tmpl w:val="11C288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23098D"/>
    <w:multiLevelType w:val="hybridMultilevel"/>
    <w:tmpl w:val="250452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9E3505"/>
    <w:multiLevelType w:val="hybridMultilevel"/>
    <w:tmpl w:val="3E42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54401"/>
    <w:multiLevelType w:val="hybridMultilevel"/>
    <w:tmpl w:val="5496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C038E"/>
    <w:multiLevelType w:val="hybridMultilevel"/>
    <w:tmpl w:val="24400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F2253"/>
    <w:multiLevelType w:val="hybridMultilevel"/>
    <w:tmpl w:val="5DE82808"/>
    <w:lvl w:ilvl="0" w:tplc="08090005">
      <w:start w:val="1"/>
      <w:numFmt w:val="bullet"/>
      <w:lvlText w:val=""/>
      <w:lvlJc w:val="left"/>
      <w:pPr>
        <w:ind w:left="4059" w:hanging="360"/>
      </w:pPr>
      <w:rPr>
        <w:rFonts w:ascii="Wingdings" w:hAnsi="Wingdings" w:hint="default"/>
      </w:rPr>
    </w:lvl>
    <w:lvl w:ilvl="1" w:tplc="08090003" w:tentative="1">
      <w:start w:val="1"/>
      <w:numFmt w:val="bullet"/>
      <w:lvlText w:val="o"/>
      <w:lvlJc w:val="left"/>
      <w:pPr>
        <w:ind w:left="4779" w:hanging="360"/>
      </w:pPr>
      <w:rPr>
        <w:rFonts w:ascii="Courier New" w:hAnsi="Courier New" w:cs="Courier New" w:hint="default"/>
      </w:rPr>
    </w:lvl>
    <w:lvl w:ilvl="2" w:tplc="08090005" w:tentative="1">
      <w:start w:val="1"/>
      <w:numFmt w:val="bullet"/>
      <w:lvlText w:val=""/>
      <w:lvlJc w:val="left"/>
      <w:pPr>
        <w:ind w:left="5499" w:hanging="360"/>
      </w:pPr>
      <w:rPr>
        <w:rFonts w:ascii="Wingdings" w:hAnsi="Wingdings" w:hint="default"/>
      </w:rPr>
    </w:lvl>
    <w:lvl w:ilvl="3" w:tplc="08090001" w:tentative="1">
      <w:start w:val="1"/>
      <w:numFmt w:val="bullet"/>
      <w:lvlText w:val=""/>
      <w:lvlJc w:val="left"/>
      <w:pPr>
        <w:ind w:left="6219" w:hanging="360"/>
      </w:pPr>
      <w:rPr>
        <w:rFonts w:ascii="Symbol" w:hAnsi="Symbol" w:hint="default"/>
      </w:rPr>
    </w:lvl>
    <w:lvl w:ilvl="4" w:tplc="08090003" w:tentative="1">
      <w:start w:val="1"/>
      <w:numFmt w:val="bullet"/>
      <w:lvlText w:val="o"/>
      <w:lvlJc w:val="left"/>
      <w:pPr>
        <w:ind w:left="6939" w:hanging="360"/>
      </w:pPr>
      <w:rPr>
        <w:rFonts w:ascii="Courier New" w:hAnsi="Courier New" w:cs="Courier New" w:hint="default"/>
      </w:rPr>
    </w:lvl>
    <w:lvl w:ilvl="5" w:tplc="08090005" w:tentative="1">
      <w:start w:val="1"/>
      <w:numFmt w:val="bullet"/>
      <w:lvlText w:val=""/>
      <w:lvlJc w:val="left"/>
      <w:pPr>
        <w:ind w:left="7659" w:hanging="360"/>
      </w:pPr>
      <w:rPr>
        <w:rFonts w:ascii="Wingdings" w:hAnsi="Wingdings" w:hint="default"/>
      </w:rPr>
    </w:lvl>
    <w:lvl w:ilvl="6" w:tplc="08090001" w:tentative="1">
      <w:start w:val="1"/>
      <w:numFmt w:val="bullet"/>
      <w:lvlText w:val=""/>
      <w:lvlJc w:val="left"/>
      <w:pPr>
        <w:ind w:left="8379" w:hanging="360"/>
      </w:pPr>
      <w:rPr>
        <w:rFonts w:ascii="Symbol" w:hAnsi="Symbol" w:hint="default"/>
      </w:rPr>
    </w:lvl>
    <w:lvl w:ilvl="7" w:tplc="08090003" w:tentative="1">
      <w:start w:val="1"/>
      <w:numFmt w:val="bullet"/>
      <w:lvlText w:val="o"/>
      <w:lvlJc w:val="left"/>
      <w:pPr>
        <w:ind w:left="9099" w:hanging="360"/>
      </w:pPr>
      <w:rPr>
        <w:rFonts w:ascii="Courier New" w:hAnsi="Courier New" w:cs="Courier New" w:hint="default"/>
      </w:rPr>
    </w:lvl>
    <w:lvl w:ilvl="8" w:tplc="08090005" w:tentative="1">
      <w:start w:val="1"/>
      <w:numFmt w:val="bullet"/>
      <w:lvlText w:val=""/>
      <w:lvlJc w:val="left"/>
      <w:pPr>
        <w:ind w:left="9819" w:hanging="360"/>
      </w:pPr>
      <w:rPr>
        <w:rFonts w:ascii="Wingdings" w:hAnsi="Wingdings" w:hint="default"/>
      </w:rPr>
    </w:lvl>
  </w:abstractNum>
  <w:abstractNum w:abstractNumId="15" w15:restartNumberingAfterBreak="0">
    <w:nsid w:val="3C01421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4065232"/>
    <w:multiLevelType w:val="hybridMultilevel"/>
    <w:tmpl w:val="421EF7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82E455B"/>
    <w:multiLevelType w:val="hybridMultilevel"/>
    <w:tmpl w:val="C808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45D04F1"/>
    <w:multiLevelType w:val="hybridMultilevel"/>
    <w:tmpl w:val="6154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6DD71045"/>
    <w:multiLevelType w:val="hybridMultilevel"/>
    <w:tmpl w:val="A802F2E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29"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F723343"/>
    <w:multiLevelType w:val="hybridMultilevel"/>
    <w:tmpl w:val="83C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D2127"/>
    <w:multiLevelType w:val="hybridMultilevel"/>
    <w:tmpl w:val="2C88CD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5EC29C9"/>
    <w:multiLevelType w:val="hybridMultilevel"/>
    <w:tmpl w:val="6122E5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E630125"/>
    <w:multiLevelType w:val="hybridMultilevel"/>
    <w:tmpl w:val="21D8D26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0"/>
  </w:num>
  <w:num w:numId="2">
    <w:abstractNumId w:val="25"/>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3"/>
  </w:num>
  <w:num w:numId="6">
    <w:abstractNumId w:val="21"/>
  </w:num>
  <w:num w:numId="7">
    <w:abstractNumId w:val="0"/>
  </w:num>
  <w:num w:numId="8">
    <w:abstractNumId w:val="18"/>
  </w:num>
  <w:num w:numId="9">
    <w:abstractNumId w:val="29"/>
  </w:num>
  <w:num w:numId="10">
    <w:abstractNumId w:val="2"/>
  </w:num>
  <w:num w:numId="11">
    <w:abstractNumId w:val="19"/>
  </w:num>
  <w:num w:numId="12">
    <w:abstractNumId w:val="28"/>
  </w:num>
  <w:num w:numId="13">
    <w:abstractNumId w:val="11"/>
  </w:num>
  <w:num w:numId="14">
    <w:abstractNumId w:val="7"/>
  </w:num>
  <w:num w:numId="15">
    <w:abstractNumId w:val="24"/>
  </w:num>
  <w:num w:numId="16">
    <w:abstractNumId w:val="26"/>
  </w:num>
  <w:num w:numId="17">
    <w:abstractNumId w:val="34"/>
  </w:num>
  <w:num w:numId="18">
    <w:abstractNumId w:val="1"/>
  </w:num>
  <w:num w:numId="19">
    <w:abstractNumId w:val="4"/>
  </w:num>
  <w:num w:numId="20">
    <w:abstractNumId w:val="10"/>
  </w:num>
  <w:num w:numId="21">
    <w:abstractNumId w:val="17"/>
  </w:num>
  <w:num w:numId="22">
    <w:abstractNumId w:val="13"/>
  </w:num>
  <w:num w:numId="23">
    <w:abstractNumId w:val="14"/>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7"/>
  </w:num>
  <w:num w:numId="28">
    <w:abstractNumId w:val="15"/>
  </w:num>
  <w:num w:numId="29">
    <w:abstractNumId w:val="9"/>
  </w:num>
  <w:num w:numId="30">
    <w:abstractNumId w:val="22"/>
  </w:num>
  <w:num w:numId="31">
    <w:abstractNumId w:val="31"/>
  </w:num>
  <w:num w:numId="32">
    <w:abstractNumId w:val="33"/>
  </w:num>
  <w:num w:numId="33">
    <w:abstractNumId w:val="12"/>
  </w:num>
  <w:num w:numId="34">
    <w:abstractNumId w:val="6"/>
  </w:num>
  <w:num w:numId="3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DC"/>
    <w:rsid w:val="0000238E"/>
    <w:rsid w:val="00011F3E"/>
    <w:rsid w:val="00013A7F"/>
    <w:rsid w:val="000164A5"/>
    <w:rsid w:val="00021DCA"/>
    <w:rsid w:val="00025868"/>
    <w:rsid w:val="000305B2"/>
    <w:rsid w:val="00030C8C"/>
    <w:rsid w:val="00033C37"/>
    <w:rsid w:val="00034B4F"/>
    <w:rsid w:val="000416B7"/>
    <w:rsid w:val="000443B0"/>
    <w:rsid w:val="00046BD2"/>
    <w:rsid w:val="00050FBE"/>
    <w:rsid w:val="000543C0"/>
    <w:rsid w:val="00057810"/>
    <w:rsid w:val="00067851"/>
    <w:rsid w:val="0007750C"/>
    <w:rsid w:val="00077A17"/>
    <w:rsid w:val="00077AD0"/>
    <w:rsid w:val="0008110C"/>
    <w:rsid w:val="00082D33"/>
    <w:rsid w:val="00086A73"/>
    <w:rsid w:val="00087A67"/>
    <w:rsid w:val="00087C2B"/>
    <w:rsid w:val="00091B80"/>
    <w:rsid w:val="0009506C"/>
    <w:rsid w:val="000A3FB7"/>
    <w:rsid w:val="000B3537"/>
    <w:rsid w:val="000C3014"/>
    <w:rsid w:val="000D4B8A"/>
    <w:rsid w:val="000E1435"/>
    <w:rsid w:val="000E1CA5"/>
    <w:rsid w:val="000F08FB"/>
    <w:rsid w:val="000F1815"/>
    <w:rsid w:val="000F2E21"/>
    <w:rsid w:val="000F563D"/>
    <w:rsid w:val="001013C5"/>
    <w:rsid w:val="001025F7"/>
    <w:rsid w:val="00103F4B"/>
    <w:rsid w:val="00110F4A"/>
    <w:rsid w:val="00111750"/>
    <w:rsid w:val="001157B7"/>
    <w:rsid w:val="00120940"/>
    <w:rsid w:val="0012687B"/>
    <w:rsid w:val="00136330"/>
    <w:rsid w:val="00136AFE"/>
    <w:rsid w:val="00141192"/>
    <w:rsid w:val="00142529"/>
    <w:rsid w:val="00146794"/>
    <w:rsid w:val="001470BF"/>
    <w:rsid w:val="00147696"/>
    <w:rsid w:val="00153E53"/>
    <w:rsid w:val="00161A63"/>
    <w:rsid w:val="0016217D"/>
    <w:rsid w:val="00162B99"/>
    <w:rsid w:val="00171330"/>
    <w:rsid w:val="00175680"/>
    <w:rsid w:val="00176795"/>
    <w:rsid w:val="00176FCB"/>
    <w:rsid w:val="0018142D"/>
    <w:rsid w:val="0018220F"/>
    <w:rsid w:val="00190473"/>
    <w:rsid w:val="001916B4"/>
    <w:rsid w:val="00191BE9"/>
    <w:rsid w:val="00191F7D"/>
    <w:rsid w:val="001925F7"/>
    <w:rsid w:val="00192965"/>
    <w:rsid w:val="00194695"/>
    <w:rsid w:val="00194F9F"/>
    <w:rsid w:val="00197F99"/>
    <w:rsid w:val="001A236D"/>
    <w:rsid w:val="001A2B92"/>
    <w:rsid w:val="001A59F6"/>
    <w:rsid w:val="001A5B66"/>
    <w:rsid w:val="001A6828"/>
    <w:rsid w:val="001A7B1C"/>
    <w:rsid w:val="001B0DBC"/>
    <w:rsid w:val="001B0DD7"/>
    <w:rsid w:val="001B2327"/>
    <w:rsid w:val="001B3106"/>
    <w:rsid w:val="001B69DC"/>
    <w:rsid w:val="001C624D"/>
    <w:rsid w:val="001C6E8E"/>
    <w:rsid w:val="001D010C"/>
    <w:rsid w:val="001D13BF"/>
    <w:rsid w:val="001E03E8"/>
    <w:rsid w:val="001E092D"/>
    <w:rsid w:val="001E15EA"/>
    <w:rsid w:val="001E236E"/>
    <w:rsid w:val="001F3A20"/>
    <w:rsid w:val="00202B96"/>
    <w:rsid w:val="00204BB6"/>
    <w:rsid w:val="0021007A"/>
    <w:rsid w:val="002108D8"/>
    <w:rsid w:val="00211032"/>
    <w:rsid w:val="00212657"/>
    <w:rsid w:val="00212BB0"/>
    <w:rsid w:val="00213203"/>
    <w:rsid w:val="0021542F"/>
    <w:rsid w:val="00220165"/>
    <w:rsid w:val="00220488"/>
    <w:rsid w:val="00222498"/>
    <w:rsid w:val="00226712"/>
    <w:rsid w:val="0023368B"/>
    <w:rsid w:val="00236890"/>
    <w:rsid w:val="00237E4B"/>
    <w:rsid w:val="002409E1"/>
    <w:rsid w:val="0025267D"/>
    <w:rsid w:val="00252EFE"/>
    <w:rsid w:val="00253489"/>
    <w:rsid w:val="00253F00"/>
    <w:rsid w:val="00260E8B"/>
    <w:rsid w:val="0026368F"/>
    <w:rsid w:val="002643B2"/>
    <w:rsid w:val="00264EB4"/>
    <w:rsid w:val="00264F0E"/>
    <w:rsid w:val="00266854"/>
    <w:rsid w:val="00271B0F"/>
    <w:rsid w:val="0027395C"/>
    <w:rsid w:val="002739A0"/>
    <w:rsid w:val="002769E2"/>
    <w:rsid w:val="00276D00"/>
    <w:rsid w:val="002773C8"/>
    <w:rsid w:val="0028270F"/>
    <w:rsid w:val="00284EB1"/>
    <w:rsid w:val="00285DE7"/>
    <w:rsid w:val="00294417"/>
    <w:rsid w:val="002A67E8"/>
    <w:rsid w:val="002A7E36"/>
    <w:rsid w:val="002B38D6"/>
    <w:rsid w:val="002B5811"/>
    <w:rsid w:val="002B5E1C"/>
    <w:rsid w:val="002C16CC"/>
    <w:rsid w:val="002C4C14"/>
    <w:rsid w:val="002C5781"/>
    <w:rsid w:val="002D0917"/>
    <w:rsid w:val="002D0CB5"/>
    <w:rsid w:val="002D5A03"/>
    <w:rsid w:val="002D6126"/>
    <w:rsid w:val="002E114F"/>
    <w:rsid w:val="002F6B4B"/>
    <w:rsid w:val="002F7B76"/>
    <w:rsid w:val="0030069B"/>
    <w:rsid w:val="00301979"/>
    <w:rsid w:val="00301D64"/>
    <w:rsid w:val="003049E0"/>
    <w:rsid w:val="00305A22"/>
    <w:rsid w:val="00307D58"/>
    <w:rsid w:val="003110F3"/>
    <w:rsid w:val="003145E6"/>
    <w:rsid w:val="00317542"/>
    <w:rsid w:val="003211E1"/>
    <w:rsid w:val="00321E0B"/>
    <w:rsid w:val="00325D5D"/>
    <w:rsid w:val="00327C68"/>
    <w:rsid w:val="00333D5A"/>
    <w:rsid w:val="00337E88"/>
    <w:rsid w:val="00344563"/>
    <w:rsid w:val="003449F5"/>
    <w:rsid w:val="003455F4"/>
    <w:rsid w:val="00354877"/>
    <w:rsid w:val="00355289"/>
    <w:rsid w:val="00355700"/>
    <w:rsid w:val="00356175"/>
    <w:rsid w:val="00357208"/>
    <w:rsid w:val="0036118D"/>
    <w:rsid w:val="00364A90"/>
    <w:rsid w:val="003678CF"/>
    <w:rsid w:val="003758E9"/>
    <w:rsid w:val="0037592B"/>
    <w:rsid w:val="0037695D"/>
    <w:rsid w:val="00376B0D"/>
    <w:rsid w:val="00376F96"/>
    <w:rsid w:val="003800CA"/>
    <w:rsid w:val="00381081"/>
    <w:rsid w:val="00386A73"/>
    <w:rsid w:val="0039332F"/>
    <w:rsid w:val="003945DF"/>
    <w:rsid w:val="003A0CFA"/>
    <w:rsid w:val="003A5A34"/>
    <w:rsid w:val="003A5CA9"/>
    <w:rsid w:val="003A6184"/>
    <w:rsid w:val="003B029F"/>
    <w:rsid w:val="003B15B8"/>
    <w:rsid w:val="003B43FF"/>
    <w:rsid w:val="003B47A7"/>
    <w:rsid w:val="003C66B7"/>
    <w:rsid w:val="003D07B1"/>
    <w:rsid w:val="003D1F3F"/>
    <w:rsid w:val="003D29FA"/>
    <w:rsid w:val="003D4D09"/>
    <w:rsid w:val="003D502C"/>
    <w:rsid w:val="003D5803"/>
    <w:rsid w:val="003D5E49"/>
    <w:rsid w:val="003E078D"/>
    <w:rsid w:val="003F712B"/>
    <w:rsid w:val="003F7E1C"/>
    <w:rsid w:val="004011A8"/>
    <w:rsid w:val="00413135"/>
    <w:rsid w:val="0041550C"/>
    <w:rsid w:val="004157CE"/>
    <w:rsid w:val="00416612"/>
    <w:rsid w:val="0042256B"/>
    <w:rsid w:val="00423A1B"/>
    <w:rsid w:val="004259DF"/>
    <w:rsid w:val="0043081A"/>
    <w:rsid w:val="00430AAC"/>
    <w:rsid w:val="00434D1D"/>
    <w:rsid w:val="00436005"/>
    <w:rsid w:val="00436293"/>
    <w:rsid w:val="00437D15"/>
    <w:rsid w:val="0044039E"/>
    <w:rsid w:val="00440969"/>
    <w:rsid w:val="004437C5"/>
    <w:rsid w:val="00446A2F"/>
    <w:rsid w:val="00446EC5"/>
    <w:rsid w:val="00455722"/>
    <w:rsid w:val="00461BEC"/>
    <w:rsid w:val="00462C40"/>
    <w:rsid w:val="0046358A"/>
    <w:rsid w:val="004676C3"/>
    <w:rsid w:val="004734A7"/>
    <w:rsid w:val="00476BAD"/>
    <w:rsid w:val="00484A78"/>
    <w:rsid w:val="0049145E"/>
    <w:rsid w:val="00493CF4"/>
    <w:rsid w:val="00496949"/>
    <w:rsid w:val="004A144C"/>
    <w:rsid w:val="004A5544"/>
    <w:rsid w:val="004A591F"/>
    <w:rsid w:val="004A7502"/>
    <w:rsid w:val="004B295E"/>
    <w:rsid w:val="004B34C1"/>
    <w:rsid w:val="004B3C1E"/>
    <w:rsid w:val="004B6EE6"/>
    <w:rsid w:val="004C1118"/>
    <w:rsid w:val="004C13EE"/>
    <w:rsid w:val="004C3CA5"/>
    <w:rsid w:val="004C62D8"/>
    <w:rsid w:val="004D0F42"/>
    <w:rsid w:val="004D14CE"/>
    <w:rsid w:val="004D7E93"/>
    <w:rsid w:val="004E35B6"/>
    <w:rsid w:val="004E4497"/>
    <w:rsid w:val="004F264C"/>
    <w:rsid w:val="004F67FE"/>
    <w:rsid w:val="00500264"/>
    <w:rsid w:val="005023FA"/>
    <w:rsid w:val="00503A18"/>
    <w:rsid w:val="00504A4E"/>
    <w:rsid w:val="00505BAA"/>
    <w:rsid w:val="00514C1D"/>
    <w:rsid w:val="00523B63"/>
    <w:rsid w:val="005253E6"/>
    <w:rsid w:val="00526582"/>
    <w:rsid w:val="00527013"/>
    <w:rsid w:val="00534732"/>
    <w:rsid w:val="005358B8"/>
    <w:rsid w:val="00536A09"/>
    <w:rsid w:val="00536FD1"/>
    <w:rsid w:val="00540538"/>
    <w:rsid w:val="00542C2D"/>
    <w:rsid w:val="00543DD4"/>
    <w:rsid w:val="00544221"/>
    <w:rsid w:val="00544B59"/>
    <w:rsid w:val="00544F94"/>
    <w:rsid w:val="00550051"/>
    <w:rsid w:val="00556954"/>
    <w:rsid w:val="00562632"/>
    <w:rsid w:val="0056295E"/>
    <w:rsid w:val="00565D16"/>
    <w:rsid w:val="005708FF"/>
    <w:rsid w:val="00575D5C"/>
    <w:rsid w:val="0057628B"/>
    <w:rsid w:val="00577892"/>
    <w:rsid w:val="005916A3"/>
    <w:rsid w:val="0059187A"/>
    <w:rsid w:val="00592949"/>
    <w:rsid w:val="00594035"/>
    <w:rsid w:val="0059411E"/>
    <w:rsid w:val="005954BC"/>
    <w:rsid w:val="00597ADD"/>
    <w:rsid w:val="005A0097"/>
    <w:rsid w:val="005A1D70"/>
    <w:rsid w:val="005A2D9B"/>
    <w:rsid w:val="005A4D9F"/>
    <w:rsid w:val="005A7B34"/>
    <w:rsid w:val="005A7DF2"/>
    <w:rsid w:val="005C506E"/>
    <w:rsid w:val="005D0237"/>
    <w:rsid w:val="005D4687"/>
    <w:rsid w:val="005D4A3D"/>
    <w:rsid w:val="005E1107"/>
    <w:rsid w:val="005E3488"/>
    <w:rsid w:val="005F1E7C"/>
    <w:rsid w:val="005F6A83"/>
    <w:rsid w:val="005F7352"/>
    <w:rsid w:val="006006F7"/>
    <w:rsid w:val="00606930"/>
    <w:rsid w:val="0060744B"/>
    <w:rsid w:val="00612E1C"/>
    <w:rsid w:val="006148EE"/>
    <w:rsid w:val="00615FC4"/>
    <w:rsid w:val="00623230"/>
    <w:rsid w:val="0062434B"/>
    <w:rsid w:val="00624E79"/>
    <w:rsid w:val="00630C0C"/>
    <w:rsid w:val="00632327"/>
    <w:rsid w:val="00632F75"/>
    <w:rsid w:val="00633334"/>
    <w:rsid w:val="0063367E"/>
    <w:rsid w:val="00635819"/>
    <w:rsid w:val="00636DF1"/>
    <w:rsid w:val="00640CBA"/>
    <w:rsid w:val="006432A1"/>
    <w:rsid w:val="00647C38"/>
    <w:rsid w:val="00650CA8"/>
    <w:rsid w:val="00651512"/>
    <w:rsid w:val="00651F06"/>
    <w:rsid w:val="00661287"/>
    <w:rsid w:val="00662B62"/>
    <w:rsid w:val="00663BF1"/>
    <w:rsid w:val="00664E04"/>
    <w:rsid w:val="00666486"/>
    <w:rsid w:val="006675AC"/>
    <w:rsid w:val="00667684"/>
    <w:rsid w:val="0067327F"/>
    <w:rsid w:val="00675659"/>
    <w:rsid w:val="00680AA4"/>
    <w:rsid w:val="00680F18"/>
    <w:rsid w:val="0068131C"/>
    <w:rsid w:val="00684601"/>
    <w:rsid w:val="00685324"/>
    <w:rsid w:val="00685336"/>
    <w:rsid w:val="00686DCB"/>
    <w:rsid w:val="0068736B"/>
    <w:rsid w:val="0069124E"/>
    <w:rsid w:val="0069185B"/>
    <w:rsid w:val="00692673"/>
    <w:rsid w:val="00696D73"/>
    <w:rsid w:val="00697835"/>
    <w:rsid w:val="006A0DE0"/>
    <w:rsid w:val="006A47CA"/>
    <w:rsid w:val="006A5AD9"/>
    <w:rsid w:val="006A6267"/>
    <w:rsid w:val="006B179D"/>
    <w:rsid w:val="006B3327"/>
    <w:rsid w:val="006B63A5"/>
    <w:rsid w:val="006C02EB"/>
    <w:rsid w:val="006C2254"/>
    <w:rsid w:val="006C57D4"/>
    <w:rsid w:val="006D2453"/>
    <w:rsid w:val="006D4AF7"/>
    <w:rsid w:val="006D72D3"/>
    <w:rsid w:val="006D7A26"/>
    <w:rsid w:val="006D7C93"/>
    <w:rsid w:val="006E228F"/>
    <w:rsid w:val="006E2514"/>
    <w:rsid w:val="006E2DD4"/>
    <w:rsid w:val="006E341C"/>
    <w:rsid w:val="006E36FD"/>
    <w:rsid w:val="006E6A4D"/>
    <w:rsid w:val="006F21BC"/>
    <w:rsid w:val="006F5746"/>
    <w:rsid w:val="006F5D75"/>
    <w:rsid w:val="006F7272"/>
    <w:rsid w:val="006F7E88"/>
    <w:rsid w:val="0070235E"/>
    <w:rsid w:val="0070600A"/>
    <w:rsid w:val="00706CC3"/>
    <w:rsid w:val="00710748"/>
    <w:rsid w:val="007119C7"/>
    <w:rsid w:val="0071376C"/>
    <w:rsid w:val="007160EF"/>
    <w:rsid w:val="0073356B"/>
    <w:rsid w:val="007414AD"/>
    <w:rsid w:val="00743158"/>
    <w:rsid w:val="00743E92"/>
    <w:rsid w:val="007455DC"/>
    <w:rsid w:val="00754361"/>
    <w:rsid w:val="00757094"/>
    <w:rsid w:val="007605BD"/>
    <w:rsid w:val="00760E82"/>
    <w:rsid w:val="00771E66"/>
    <w:rsid w:val="00775EAC"/>
    <w:rsid w:val="007779F1"/>
    <w:rsid w:val="00777CCF"/>
    <w:rsid w:val="00780CA1"/>
    <w:rsid w:val="00781BA1"/>
    <w:rsid w:val="00783512"/>
    <w:rsid w:val="0078772A"/>
    <w:rsid w:val="0079708C"/>
    <w:rsid w:val="007A2887"/>
    <w:rsid w:val="007A2EAA"/>
    <w:rsid w:val="007A4598"/>
    <w:rsid w:val="007A4E93"/>
    <w:rsid w:val="007A61E9"/>
    <w:rsid w:val="007C3C3B"/>
    <w:rsid w:val="007C6011"/>
    <w:rsid w:val="007C6A2F"/>
    <w:rsid w:val="007C6A37"/>
    <w:rsid w:val="007C6A82"/>
    <w:rsid w:val="007D20BE"/>
    <w:rsid w:val="007D5621"/>
    <w:rsid w:val="007D774F"/>
    <w:rsid w:val="007E34BB"/>
    <w:rsid w:val="007E54BC"/>
    <w:rsid w:val="007E7A46"/>
    <w:rsid w:val="007F095A"/>
    <w:rsid w:val="007F4801"/>
    <w:rsid w:val="007F633E"/>
    <w:rsid w:val="00800973"/>
    <w:rsid w:val="008042EC"/>
    <w:rsid w:val="00806673"/>
    <w:rsid w:val="008078F8"/>
    <w:rsid w:val="00812026"/>
    <w:rsid w:val="00820ABF"/>
    <w:rsid w:val="00827DD2"/>
    <w:rsid w:val="00827ED2"/>
    <w:rsid w:val="00834157"/>
    <w:rsid w:val="008352D5"/>
    <w:rsid w:val="00840CE1"/>
    <w:rsid w:val="008447A5"/>
    <w:rsid w:val="00844FF4"/>
    <w:rsid w:val="00846033"/>
    <w:rsid w:val="00847A2F"/>
    <w:rsid w:val="00850192"/>
    <w:rsid w:val="0085610A"/>
    <w:rsid w:val="00860FCC"/>
    <w:rsid w:val="0086165E"/>
    <w:rsid w:val="00870AC2"/>
    <w:rsid w:val="0087333B"/>
    <w:rsid w:val="0087593E"/>
    <w:rsid w:val="00883CF9"/>
    <w:rsid w:val="008A006D"/>
    <w:rsid w:val="008A1146"/>
    <w:rsid w:val="008B34AD"/>
    <w:rsid w:val="008C164B"/>
    <w:rsid w:val="008C42AC"/>
    <w:rsid w:val="008C6693"/>
    <w:rsid w:val="008C66A1"/>
    <w:rsid w:val="008D0049"/>
    <w:rsid w:val="008D2EFD"/>
    <w:rsid w:val="008D4AA5"/>
    <w:rsid w:val="008D623D"/>
    <w:rsid w:val="008D63EC"/>
    <w:rsid w:val="008E3704"/>
    <w:rsid w:val="008E5C2F"/>
    <w:rsid w:val="008F188C"/>
    <w:rsid w:val="008F6944"/>
    <w:rsid w:val="00904205"/>
    <w:rsid w:val="00904BD7"/>
    <w:rsid w:val="00904F8C"/>
    <w:rsid w:val="00906E16"/>
    <w:rsid w:val="0091083F"/>
    <w:rsid w:val="009109E4"/>
    <w:rsid w:val="00920CD3"/>
    <w:rsid w:val="0092350C"/>
    <w:rsid w:val="00924DED"/>
    <w:rsid w:val="0093049C"/>
    <w:rsid w:val="00931FAE"/>
    <w:rsid w:val="00934AEF"/>
    <w:rsid w:val="009424D8"/>
    <w:rsid w:val="0094289B"/>
    <w:rsid w:val="00942F5D"/>
    <w:rsid w:val="00943D93"/>
    <w:rsid w:val="009459D1"/>
    <w:rsid w:val="00945DAF"/>
    <w:rsid w:val="009507A1"/>
    <w:rsid w:val="009522B3"/>
    <w:rsid w:val="009554ED"/>
    <w:rsid w:val="009609F0"/>
    <w:rsid w:val="00965FDB"/>
    <w:rsid w:val="00966EF0"/>
    <w:rsid w:val="00970909"/>
    <w:rsid w:val="0098124A"/>
    <w:rsid w:val="00981961"/>
    <w:rsid w:val="00984182"/>
    <w:rsid w:val="00985E2F"/>
    <w:rsid w:val="00990A79"/>
    <w:rsid w:val="00992869"/>
    <w:rsid w:val="0099365E"/>
    <w:rsid w:val="009941A7"/>
    <w:rsid w:val="009A5A2D"/>
    <w:rsid w:val="009A5A8E"/>
    <w:rsid w:val="009A5D85"/>
    <w:rsid w:val="009B14E3"/>
    <w:rsid w:val="009B158B"/>
    <w:rsid w:val="009C0A08"/>
    <w:rsid w:val="009C54A7"/>
    <w:rsid w:val="009C65C0"/>
    <w:rsid w:val="009C671B"/>
    <w:rsid w:val="009C75B9"/>
    <w:rsid w:val="009C7F49"/>
    <w:rsid w:val="009D063B"/>
    <w:rsid w:val="009D06A9"/>
    <w:rsid w:val="009D6479"/>
    <w:rsid w:val="009E722A"/>
    <w:rsid w:val="009F1004"/>
    <w:rsid w:val="009F2F8A"/>
    <w:rsid w:val="009F348D"/>
    <w:rsid w:val="009F5C9F"/>
    <w:rsid w:val="009F5CD6"/>
    <w:rsid w:val="009F6BD3"/>
    <w:rsid w:val="00A024A2"/>
    <w:rsid w:val="00A068CE"/>
    <w:rsid w:val="00A11ED0"/>
    <w:rsid w:val="00A11F92"/>
    <w:rsid w:val="00A12DD2"/>
    <w:rsid w:val="00A175F3"/>
    <w:rsid w:val="00A17AED"/>
    <w:rsid w:val="00A24A7E"/>
    <w:rsid w:val="00A256B3"/>
    <w:rsid w:val="00A33728"/>
    <w:rsid w:val="00A42C5D"/>
    <w:rsid w:val="00A4503A"/>
    <w:rsid w:val="00A45567"/>
    <w:rsid w:val="00A47A8B"/>
    <w:rsid w:val="00A60832"/>
    <w:rsid w:val="00A64787"/>
    <w:rsid w:val="00A82231"/>
    <w:rsid w:val="00A878AB"/>
    <w:rsid w:val="00A87A59"/>
    <w:rsid w:val="00A9040F"/>
    <w:rsid w:val="00AB3234"/>
    <w:rsid w:val="00AB3FB8"/>
    <w:rsid w:val="00AB5796"/>
    <w:rsid w:val="00AB6E7E"/>
    <w:rsid w:val="00AB71B4"/>
    <w:rsid w:val="00AB7CC6"/>
    <w:rsid w:val="00AC5DCC"/>
    <w:rsid w:val="00AC6DDC"/>
    <w:rsid w:val="00AD068B"/>
    <w:rsid w:val="00AD1CC4"/>
    <w:rsid w:val="00AD645B"/>
    <w:rsid w:val="00AD6875"/>
    <w:rsid w:val="00AE13D9"/>
    <w:rsid w:val="00AE5B39"/>
    <w:rsid w:val="00AE6A40"/>
    <w:rsid w:val="00AE7D97"/>
    <w:rsid w:val="00AF734D"/>
    <w:rsid w:val="00AF785A"/>
    <w:rsid w:val="00AF7AB8"/>
    <w:rsid w:val="00B0075E"/>
    <w:rsid w:val="00B0397E"/>
    <w:rsid w:val="00B04A06"/>
    <w:rsid w:val="00B04CA1"/>
    <w:rsid w:val="00B05FE7"/>
    <w:rsid w:val="00B13EFF"/>
    <w:rsid w:val="00B159BD"/>
    <w:rsid w:val="00B22335"/>
    <w:rsid w:val="00B25974"/>
    <w:rsid w:val="00B33D56"/>
    <w:rsid w:val="00B34FB2"/>
    <w:rsid w:val="00B367FD"/>
    <w:rsid w:val="00B42F5C"/>
    <w:rsid w:val="00B43326"/>
    <w:rsid w:val="00B5060B"/>
    <w:rsid w:val="00B51367"/>
    <w:rsid w:val="00B549E5"/>
    <w:rsid w:val="00B618AC"/>
    <w:rsid w:val="00B62B2E"/>
    <w:rsid w:val="00B62BFD"/>
    <w:rsid w:val="00B639EE"/>
    <w:rsid w:val="00B64AE7"/>
    <w:rsid w:val="00B675DC"/>
    <w:rsid w:val="00B747E0"/>
    <w:rsid w:val="00B748C6"/>
    <w:rsid w:val="00B801B4"/>
    <w:rsid w:val="00B823DD"/>
    <w:rsid w:val="00B84B40"/>
    <w:rsid w:val="00B85CAE"/>
    <w:rsid w:val="00B85D16"/>
    <w:rsid w:val="00B8698A"/>
    <w:rsid w:val="00B87D8B"/>
    <w:rsid w:val="00B96BE4"/>
    <w:rsid w:val="00B96CC0"/>
    <w:rsid w:val="00B9753F"/>
    <w:rsid w:val="00BA0E8C"/>
    <w:rsid w:val="00BA2647"/>
    <w:rsid w:val="00BA5ADD"/>
    <w:rsid w:val="00BA6940"/>
    <w:rsid w:val="00BA71C8"/>
    <w:rsid w:val="00BB0055"/>
    <w:rsid w:val="00BB1138"/>
    <w:rsid w:val="00BB31C1"/>
    <w:rsid w:val="00BB4DAC"/>
    <w:rsid w:val="00BC0F4A"/>
    <w:rsid w:val="00BC46B0"/>
    <w:rsid w:val="00BD3E00"/>
    <w:rsid w:val="00BE17D4"/>
    <w:rsid w:val="00BE6924"/>
    <w:rsid w:val="00BE7BF9"/>
    <w:rsid w:val="00BF1A58"/>
    <w:rsid w:val="00BF1D5F"/>
    <w:rsid w:val="00BF26F7"/>
    <w:rsid w:val="00BF4E6A"/>
    <w:rsid w:val="00BF6E83"/>
    <w:rsid w:val="00C03742"/>
    <w:rsid w:val="00C10E0A"/>
    <w:rsid w:val="00C124E1"/>
    <w:rsid w:val="00C16F91"/>
    <w:rsid w:val="00C2167B"/>
    <w:rsid w:val="00C274A5"/>
    <w:rsid w:val="00C27660"/>
    <w:rsid w:val="00C34AD4"/>
    <w:rsid w:val="00C351E4"/>
    <w:rsid w:val="00C35A82"/>
    <w:rsid w:val="00C40209"/>
    <w:rsid w:val="00C40BE3"/>
    <w:rsid w:val="00C4184C"/>
    <w:rsid w:val="00C41A09"/>
    <w:rsid w:val="00C43ADB"/>
    <w:rsid w:val="00C500ED"/>
    <w:rsid w:val="00C51131"/>
    <w:rsid w:val="00C53AEA"/>
    <w:rsid w:val="00C53EFF"/>
    <w:rsid w:val="00C55C70"/>
    <w:rsid w:val="00C567BF"/>
    <w:rsid w:val="00C576A1"/>
    <w:rsid w:val="00C62215"/>
    <w:rsid w:val="00C65C53"/>
    <w:rsid w:val="00C775FD"/>
    <w:rsid w:val="00C815E0"/>
    <w:rsid w:val="00C95239"/>
    <w:rsid w:val="00C9734C"/>
    <w:rsid w:val="00CA0203"/>
    <w:rsid w:val="00CA1486"/>
    <w:rsid w:val="00CA6221"/>
    <w:rsid w:val="00CB028A"/>
    <w:rsid w:val="00CB5A16"/>
    <w:rsid w:val="00CB5C62"/>
    <w:rsid w:val="00CC3C85"/>
    <w:rsid w:val="00CC461F"/>
    <w:rsid w:val="00CC5CF0"/>
    <w:rsid w:val="00CD234D"/>
    <w:rsid w:val="00CD5DAA"/>
    <w:rsid w:val="00CD628A"/>
    <w:rsid w:val="00CF024D"/>
    <w:rsid w:val="00CF2E84"/>
    <w:rsid w:val="00CF32C2"/>
    <w:rsid w:val="00D0012E"/>
    <w:rsid w:val="00D01C9D"/>
    <w:rsid w:val="00D01D0D"/>
    <w:rsid w:val="00D13523"/>
    <w:rsid w:val="00D15E0D"/>
    <w:rsid w:val="00D20CCD"/>
    <w:rsid w:val="00D2169E"/>
    <w:rsid w:val="00D22050"/>
    <w:rsid w:val="00D24313"/>
    <w:rsid w:val="00D30A94"/>
    <w:rsid w:val="00D31EB7"/>
    <w:rsid w:val="00D32E58"/>
    <w:rsid w:val="00D40677"/>
    <w:rsid w:val="00D44413"/>
    <w:rsid w:val="00D45722"/>
    <w:rsid w:val="00D45B3A"/>
    <w:rsid w:val="00D511AB"/>
    <w:rsid w:val="00D52548"/>
    <w:rsid w:val="00D52F9F"/>
    <w:rsid w:val="00D54A7E"/>
    <w:rsid w:val="00D565F0"/>
    <w:rsid w:val="00D60304"/>
    <w:rsid w:val="00D63562"/>
    <w:rsid w:val="00D651CF"/>
    <w:rsid w:val="00D70D80"/>
    <w:rsid w:val="00D733C4"/>
    <w:rsid w:val="00D76D6E"/>
    <w:rsid w:val="00D90D4A"/>
    <w:rsid w:val="00D9216B"/>
    <w:rsid w:val="00D951A3"/>
    <w:rsid w:val="00DA222C"/>
    <w:rsid w:val="00DA331C"/>
    <w:rsid w:val="00DA3D2D"/>
    <w:rsid w:val="00DA44A9"/>
    <w:rsid w:val="00DA51B3"/>
    <w:rsid w:val="00DB29AB"/>
    <w:rsid w:val="00DB29F0"/>
    <w:rsid w:val="00DB2B00"/>
    <w:rsid w:val="00DB2E5A"/>
    <w:rsid w:val="00DC01E1"/>
    <w:rsid w:val="00DC0C76"/>
    <w:rsid w:val="00DC7BC6"/>
    <w:rsid w:val="00DD59CC"/>
    <w:rsid w:val="00DD6474"/>
    <w:rsid w:val="00DE1130"/>
    <w:rsid w:val="00DE6E80"/>
    <w:rsid w:val="00DF07C6"/>
    <w:rsid w:val="00DF4AE3"/>
    <w:rsid w:val="00DF6335"/>
    <w:rsid w:val="00DF75C6"/>
    <w:rsid w:val="00E06DD0"/>
    <w:rsid w:val="00E10CD4"/>
    <w:rsid w:val="00E11991"/>
    <w:rsid w:val="00E16E7E"/>
    <w:rsid w:val="00E16FE1"/>
    <w:rsid w:val="00E22A4B"/>
    <w:rsid w:val="00E23869"/>
    <w:rsid w:val="00E2575F"/>
    <w:rsid w:val="00E2638D"/>
    <w:rsid w:val="00E2737A"/>
    <w:rsid w:val="00E300A7"/>
    <w:rsid w:val="00E320B8"/>
    <w:rsid w:val="00E34400"/>
    <w:rsid w:val="00E45180"/>
    <w:rsid w:val="00E45D01"/>
    <w:rsid w:val="00E5511D"/>
    <w:rsid w:val="00E6242D"/>
    <w:rsid w:val="00E66935"/>
    <w:rsid w:val="00E676DC"/>
    <w:rsid w:val="00E767C6"/>
    <w:rsid w:val="00E77C6B"/>
    <w:rsid w:val="00E80842"/>
    <w:rsid w:val="00E91929"/>
    <w:rsid w:val="00E924B3"/>
    <w:rsid w:val="00E95709"/>
    <w:rsid w:val="00E961B2"/>
    <w:rsid w:val="00EB24CD"/>
    <w:rsid w:val="00EC0323"/>
    <w:rsid w:val="00EC0B60"/>
    <w:rsid w:val="00EC5CAB"/>
    <w:rsid w:val="00EC7A3D"/>
    <w:rsid w:val="00ED021C"/>
    <w:rsid w:val="00ED1DBC"/>
    <w:rsid w:val="00ED289A"/>
    <w:rsid w:val="00ED4B17"/>
    <w:rsid w:val="00ED7714"/>
    <w:rsid w:val="00ED7883"/>
    <w:rsid w:val="00EE3B69"/>
    <w:rsid w:val="00EE71D6"/>
    <w:rsid w:val="00EF0506"/>
    <w:rsid w:val="00EF0C55"/>
    <w:rsid w:val="00EF2FFA"/>
    <w:rsid w:val="00EF5B08"/>
    <w:rsid w:val="00EF5CBA"/>
    <w:rsid w:val="00F01B35"/>
    <w:rsid w:val="00F0363F"/>
    <w:rsid w:val="00F0375A"/>
    <w:rsid w:val="00F056C6"/>
    <w:rsid w:val="00F063E6"/>
    <w:rsid w:val="00F06671"/>
    <w:rsid w:val="00F07501"/>
    <w:rsid w:val="00F1060D"/>
    <w:rsid w:val="00F12361"/>
    <w:rsid w:val="00F15CCB"/>
    <w:rsid w:val="00F15F3E"/>
    <w:rsid w:val="00F2115A"/>
    <w:rsid w:val="00F241F7"/>
    <w:rsid w:val="00F32C18"/>
    <w:rsid w:val="00F34AF3"/>
    <w:rsid w:val="00F34C6D"/>
    <w:rsid w:val="00F36769"/>
    <w:rsid w:val="00F40401"/>
    <w:rsid w:val="00F4103A"/>
    <w:rsid w:val="00F42D14"/>
    <w:rsid w:val="00F43AED"/>
    <w:rsid w:val="00F43ED5"/>
    <w:rsid w:val="00F444B5"/>
    <w:rsid w:val="00F44FA2"/>
    <w:rsid w:val="00F4725A"/>
    <w:rsid w:val="00F528C6"/>
    <w:rsid w:val="00F53EA0"/>
    <w:rsid w:val="00F549B4"/>
    <w:rsid w:val="00F54E2A"/>
    <w:rsid w:val="00F613DD"/>
    <w:rsid w:val="00F62B46"/>
    <w:rsid w:val="00F62D65"/>
    <w:rsid w:val="00F64CA6"/>
    <w:rsid w:val="00F66BF9"/>
    <w:rsid w:val="00F8511D"/>
    <w:rsid w:val="00F95168"/>
    <w:rsid w:val="00FA0C19"/>
    <w:rsid w:val="00FA2C34"/>
    <w:rsid w:val="00FB0BEF"/>
    <w:rsid w:val="00FB3029"/>
    <w:rsid w:val="00FC1D6F"/>
    <w:rsid w:val="00FC6CEF"/>
    <w:rsid w:val="00FC71D6"/>
    <w:rsid w:val="00FD1408"/>
    <w:rsid w:val="00FD197D"/>
    <w:rsid w:val="00FD7F0E"/>
    <w:rsid w:val="00FE1043"/>
    <w:rsid w:val="00FE6596"/>
    <w:rsid w:val="00FE6886"/>
    <w:rsid w:val="00FE7414"/>
    <w:rsid w:val="00FF3786"/>
    <w:rsid w:val="00FF499E"/>
    <w:rsid w:val="00FF4D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FBE1D39"/>
  <w15:docId w15:val="{B94A37A8-89C3-4817-B4B1-2F9A26B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06E"/>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Heading3"/>
    <w:qFormat/>
    <w:rsid w:val="00FC1D6F"/>
    <w:pPr>
      <w:keepNext/>
      <w:tabs>
        <w:tab w:val="left" w:pos="0"/>
      </w:tabs>
      <w:overflowPunct w:val="0"/>
      <w:autoSpaceDE w:val="0"/>
      <w:autoSpaceDN w:val="0"/>
      <w:adjustRightInd w:val="0"/>
      <w:spacing w:before="120" w:after="120"/>
      <w:jc w:val="both"/>
      <w:textAlignment w:val="baseline"/>
      <w:outlineLvl w:val="1"/>
    </w:pPr>
    <w:rPr>
      <w:rFonts w:ascii="Calibri" w:hAnsi="Calibri"/>
      <w:b/>
      <w:sz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5C506E"/>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uiPriority w:val="9"/>
    <w:qFormat/>
    <w:rsid w:val="00556954"/>
    <w:pPr>
      <w:keepNext/>
      <w:numPr>
        <w:ilvl w:val="3"/>
        <w:numId w:val="1"/>
      </w:numPr>
      <w:tabs>
        <w:tab w:val="left" w:pos="0"/>
      </w:tabs>
      <w:overflowPunct w:val="0"/>
      <w:autoSpaceDE w:val="0"/>
      <w:autoSpaceDN w:val="0"/>
      <w:adjustRightInd w:val="0"/>
      <w:textAlignment w:val="baseline"/>
      <w:outlineLvl w:val="3"/>
    </w:pPr>
    <w:rPr>
      <w:b/>
      <w:i/>
      <w:snapToGrid w:val="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uiPriority w:val="9"/>
    <w:qFormat/>
    <w:rsid w:val="00556954"/>
    <w:pPr>
      <w:numPr>
        <w:ilvl w:val="4"/>
        <w:numId w:val="1"/>
      </w:numPr>
      <w:overflowPunct w:val="0"/>
      <w:autoSpaceDE w:val="0"/>
      <w:autoSpaceDN w:val="0"/>
      <w:adjustRightInd w:val="0"/>
      <w:spacing w:before="130"/>
      <w:textAlignment w:val="baseline"/>
      <w:outlineLvl w:val="4"/>
    </w:pPr>
    <w:rPr>
      <w:i/>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Bp"/>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aliases w:val="Heading 7 (Do Not Use),Heading 7(unused),Legal Level 1.1.,L2 PIP,Lev 7,H7DO NOT USE,PA Appendix Major,Blank 3,Comments,Cover,Appendix Major"/>
    <w:basedOn w:val="Normal"/>
    <w:next w:val="Normal"/>
    <w:qFormat/>
    <w:rsid w:val="00556954"/>
    <w:pPr>
      <w:numPr>
        <w:ilvl w:val="6"/>
        <w:numId w:val="1"/>
      </w:numPr>
      <w:overflowPunct w:val="0"/>
      <w:autoSpaceDE w:val="0"/>
      <w:autoSpaceDN w:val="0"/>
      <w:adjustRightInd w:val="0"/>
      <w:spacing w:before="240" w:after="60"/>
      <w:textAlignment w:val="baseline"/>
      <w:outlineLvl w:val="6"/>
    </w:pPr>
  </w:style>
  <w:style w:type="paragraph" w:styleId="Heading8">
    <w:name w:val="heading 8"/>
    <w:aliases w:val="Heading 8 (Do Not Use),Legal Level 1.1.1.,Lev 8,h8 DO NOT USE,PA Appendix Minor,Blank 4,code/paths,Appendix Minor"/>
    <w:basedOn w:val="Normal"/>
    <w:next w:val="Normal"/>
    <w:qFormat/>
    <w:rsid w:val="00556954"/>
    <w:pPr>
      <w:numPr>
        <w:ilvl w:val="7"/>
        <w:numId w:val="1"/>
      </w:numPr>
      <w:overflowPunct w:val="0"/>
      <w:autoSpaceDE w:val="0"/>
      <w:autoSpaceDN w:val="0"/>
      <w:adjustRightInd w:val="0"/>
      <w:spacing w:before="240" w:after="60"/>
      <w:textAlignment w:val="baseline"/>
      <w:outlineLvl w:val="7"/>
    </w:pPr>
  </w:style>
  <w:style w:type="paragraph" w:styleId="Heading9">
    <w:name w:val="heading 9"/>
    <w:aliases w:val="Heading 9 (Do Not Use),Heading 9 (defunct),Legal Level 1.1.1.1.,Lev 9,h9 DO NOT USE,App Heading,Titre 10,App1,Blank 5,appendix,Appendix"/>
    <w:basedOn w:val="Normal"/>
    <w:next w:val="Normal"/>
    <w:qFormat/>
    <w:rsid w:val="00556954"/>
    <w:pPr>
      <w:numPr>
        <w:ilvl w:val="8"/>
        <w:numId w:val="1"/>
      </w:numPr>
      <w:overflowPunct w:val="0"/>
      <w:autoSpaceDE w:val="0"/>
      <w:autoSpaceDN w:val="0"/>
      <w:adjustRightInd w:val="0"/>
      <w:spacing w:before="240" w:after="60"/>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0075E"/>
    <w:rPr>
      <w:sz w:val="16"/>
      <w:szCs w:val="16"/>
    </w:rPr>
  </w:style>
  <w:style w:type="paragraph" w:styleId="CommentText">
    <w:name w:val="annotation text"/>
    <w:basedOn w:val="Normal"/>
    <w:link w:val="CommentTextChar"/>
    <w:semiHidden/>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Cs w:val="22"/>
      <w:lang w:eastAsia="en-GB"/>
    </w:rPr>
  </w:style>
  <w:style w:type="paragraph" w:styleId="ListBullet2">
    <w:name w:val="List Bullet 2"/>
    <w:basedOn w:val="Normal"/>
    <w:rsid w:val="006D72D3"/>
    <w:pPr>
      <w:numPr>
        <w:numId w:val="7"/>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semiHidden/>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customStyle="1" w:styleId="ListParagraphChar">
    <w:name w:val="List Paragraph Char"/>
    <w:link w:val="ListParagraph"/>
    <w:uiPriority w:val="34"/>
    <w:locked/>
    <w:rsid w:val="005708FF"/>
    <w:rPr>
      <w:rFonts w:ascii="Calibri" w:eastAsia="Calibri" w:hAnsi="Calibri"/>
      <w:sz w:val="22"/>
      <w:szCs w:val="22"/>
    </w:rPr>
  </w:style>
  <w:style w:type="paragraph" w:customStyle="1" w:styleId="BodyTextInd1">
    <w:name w:val="BodyTextInd1"/>
    <w:basedOn w:val="Normal"/>
    <w:rsid w:val="005708FF"/>
    <w:pPr>
      <w:jc w:val="both"/>
    </w:pPr>
    <w:rPr>
      <w:rFonts w:ascii="CG Times" w:hAnsi="CG Times"/>
      <w:lang w:eastAsia="en-GB"/>
    </w:rPr>
  </w:style>
  <w:style w:type="character" w:customStyle="1" w:styleId="UnresolvedMention1">
    <w:name w:val="Unresolved Mention1"/>
    <w:basedOn w:val="DefaultParagraphFont"/>
    <w:uiPriority w:val="99"/>
    <w:semiHidden/>
    <w:unhideWhenUsed/>
    <w:rsid w:val="0032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77388033">
      <w:bodyDiv w:val="1"/>
      <w:marLeft w:val="0"/>
      <w:marRight w:val="0"/>
      <w:marTop w:val="0"/>
      <w:marBottom w:val="0"/>
      <w:divBdr>
        <w:top w:val="none" w:sz="0" w:space="0" w:color="auto"/>
        <w:left w:val="none" w:sz="0" w:space="0" w:color="auto"/>
        <w:bottom w:val="none" w:sz="0" w:space="0" w:color="auto"/>
        <w:right w:val="none" w:sz="0" w:space="0" w:color="auto"/>
      </w:divBdr>
      <w:divsChild>
        <w:div w:id="180253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28625-F055-4969-BCBE-A0A62D83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5217</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36149</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4</cp:revision>
  <cp:lastPrinted>2018-03-07T08:33:00Z</cp:lastPrinted>
  <dcterms:created xsi:type="dcterms:W3CDTF">2022-07-20T10:50:00Z</dcterms:created>
  <dcterms:modified xsi:type="dcterms:W3CDTF">2022-07-21T10:09:00Z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