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RM6116 Network Services 3</w:t>
      </w:r>
      <w:r w:rsidDel="00000000" w:rsidR="00000000" w:rsidRPr="00000000">
        <w:rPr>
          <w:rtl w:val="0"/>
        </w:rPr>
      </w:r>
    </w:p>
    <w:p w:rsidR="00000000" w:rsidDel="00000000" w:rsidP="00000000" w:rsidRDefault="00000000" w:rsidRPr="00000000" w14:paraId="0000000A">
      <w:pP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Fonts w:ascii="Arial" w:cs="Arial" w:eastAsia="Arial" w:hAnsi="Arial"/>
          <w:sz w:val="24"/>
          <w:szCs w:val="24"/>
          <w:rtl w:val="0"/>
        </w:rPr>
        <w:tab/>
        <w:tab/>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sz w:val="24"/>
              <w:szCs w:val="24"/>
              <w:rtl w:val="0"/>
            </w:rPr>
            <w:t xml:space="preserve">12</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r>
          </w:hyperlink>
          <w:r w:rsidDel="00000000" w:rsidR="00000000" w:rsidRPr="00000000">
            <w:rPr>
              <w:rFonts w:ascii="Arial" w:cs="Arial" w:eastAsia="Arial" w:hAnsi="Arial"/>
              <w:sz w:val="24"/>
              <w:szCs w:val="24"/>
              <w:rtl w:val="0"/>
            </w:rPr>
            <w:t xml:space="preserve">12</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rPr>
              <w:rFonts w:ascii="Arial" w:cs="Arial" w:eastAsia="Arial" w:hAnsi="Arial"/>
              <w:sz w:val="24"/>
              <w:szCs w:val="24"/>
              <w:rtl w:val="0"/>
            </w:rPr>
            <w:t xml:space="preserve">12</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w:t>
            </w:r>
          </w:hyperlink>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w:t>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w:t>
            </w:r>
          </w:hyperlink>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r>
          </w:hyperlink>
          <w:r w:rsidDel="00000000" w:rsidR="00000000" w:rsidRPr="00000000">
            <w:rPr>
              <w:rFonts w:ascii="Arial" w:cs="Arial" w:eastAsia="Arial" w:hAnsi="Arial"/>
              <w:sz w:val="24"/>
              <w:szCs w:val="24"/>
              <w:rtl w:val="0"/>
            </w:rPr>
            <w:t xml:space="preserve">24</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60" w:before="60" w:lineRule="auto"/>
        <w:ind w:left="720" w:firstLine="0"/>
        <w:jc w:val="right"/>
        <w:rPr/>
      </w:pPr>
      <w:r w:rsidDel="00000000" w:rsidR="00000000" w:rsidRPr="00000000">
        <w:rPr>
          <w:rtl w:val="0"/>
        </w:rPr>
      </w:r>
    </w:p>
    <w:p w:rsidR="00000000" w:rsidDel="00000000" w:rsidP="00000000" w:rsidRDefault="00000000" w:rsidRPr="00000000" w14:paraId="00000020">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RM6116 Network Services 3</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3">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4">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6">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8">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2E">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and Professional Ability</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template</w:t>
      </w:r>
      <w:r w:rsidDel="00000000" w:rsidR="00000000" w:rsidRPr="00000000">
        <w:rPr>
          <w:rFonts w:ascii="Arial" w:cs="Arial" w:eastAsia="Arial" w:hAnsi="Arial"/>
          <w:sz w:val="24"/>
          <w:szCs w:val="24"/>
          <w:highlight w:val="white"/>
          <w:rtl w:val="0"/>
        </w:rPr>
        <w:t xml:space="preserve"> – you must complete this and get your buyer/customer to validate this attachment. You must then attach each certificate to the relevant selection questions in the eSourcing Suite (qualification envelope). </w:t>
      </w:r>
      <w:r w:rsidDel="00000000" w:rsidR="00000000" w:rsidRPr="00000000">
        <w:rPr>
          <w:rFonts w:ascii="Arial" w:cs="Arial" w:eastAsia="Arial" w:hAnsi="Arial"/>
          <w:sz w:val="24"/>
          <w:szCs w:val="24"/>
          <w:highlight w:val="white"/>
          <w:rtl w:val="0"/>
        </w:rPr>
        <w:t xml:space="preserve">This applies to all Lots 1a to 4e, with the exception of Lot 1d which requires 3 certificates to be provided.</w:t>
      </w:r>
      <w:r w:rsidDel="00000000" w:rsidR="00000000" w:rsidRPr="00000000">
        <w:rPr>
          <w:rtl w:val="0"/>
        </w:rPr>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2c Relevant Principal Services template</w:t>
      </w:r>
      <w:r w:rsidDel="00000000" w:rsidR="00000000" w:rsidRPr="00000000">
        <w:rPr>
          <w:rFonts w:ascii="Arial" w:cs="Arial" w:eastAsia="Arial" w:hAnsi="Arial"/>
          <w:sz w:val="24"/>
          <w:szCs w:val="24"/>
          <w:highlight w:val="white"/>
          <w:rtl w:val="0"/>
        </w:rPr>
        <w:t xml:space="preserve"> – you must provide a full and comprehensive list of all the Relevant Principal Services provided in the previous three (3) years. You must then attach the template to the relevant selection questions in the eSourcing Suite (qualification envelope). This applies only if you are bidding for Lots 1a, 2a and 4b. </w:t>
      </w:r>
    </w:p>
    <w:p w:rsidR="00000000" w:rsidDel="00000000" w:rsidP="00000000" w:rsidRDefault="00000000" w:rsidRPr="00000000" w14:paraId="00000030">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2d Certificate of Past Performance template</w:t>
      </w:r>
      <w:r w:rsidDel="00000000" w:rsidR="00000000" w:rsidRPr="00000000">
        <w:rPr>
          <w:rFonts w:ascii="Arial" w:cs="Arial" w:eastAsia="Arial" w:hAnsi="Arial"/>
          <w:sz w:val="24"/>
          <w:szCs w:val="24"/>
          <w:highlight w:val="white"/>
          <w:rtl w:val="0"/>
        </w:rPr>
        <w:t xml:space="preserve"> –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envelope).This applies only if you are bidding for Lots 1a, 2a and 4b. </w:t>
      </w:r>
    </w:p>
    <w:p w:rsidR="00000000" w:rsidDel="00000000" w:rsidP="00000000" w:rsidRDefault="00000000" w:rsidRPr="00000000" w14:paraId="00000031">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cells in this attachment and upload to question PQ1 in the eSourcing Suite (commercial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4">
      <w:pPr>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Attachment 5a – </w:t>
      </w:r>
      <w:r w:rsidDel="00000000" w:rsidR="00000000" w:rsidRPr="00000000">
        <w:rPr>
          <w:rFonts w:ascii="Arial" w:cs="Arial" w:eastAsia="Arial" w:hAnsi="Arial"/>
          <w:sz w:val="24"/>
          <w:szCs w:val="24"/>
          <w:rtl w:val="0"/>
        </w:rPr>
        <w:t xml:space="preserve">Gold/Silver </w:t>
      </w:r>
      <w:r w:rsidDel="00000000" w:rsidR="00000000" w:rsidRPr="00000000">
        <w:rPr>
          <w:rFonts w:ascii="Arial" w:cs="Arial" w:eastAsia="Arial" w:hAnsi="Arial"/>
          <w:color w:val="000000"/>
          <w:sz w:val="24"/>
          <w:szCs w:val="24"/>
          <w:rtl w:val="0"/>
        </w:rPr>
        <w:t xml:space="preserve">FVRA To</w:t>
      </w:r>
      <w:r w:rsidDel="00000000" w:rsidR="00000000" w:rsidRPr="00000000">
        <w:rPr>
          <w:rFonts w:ascii="Arial" w:cs="Arial" w:eastAsia="Arial" w:hAnsi="Arial"/>
          <w:sz w:val="24"/>
          <w:szCs w:val="24"/>
          <w:rtl w:val="0"/>
        </w:rPr>
        <w:t xml:space="preserve">ol.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Gold/Silver</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note before completing this document.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w:t>
      </w:r>
      <w:r w:rsidDel="00000000" w:rsidR="00000000" w:rsidRPr="00000000">
        <w:rPr>
          <w:rFonts w:ascii="Arial" w:cs="Arial" w:eastAsia="Arial" w:hAnsi="Arial"/>
          <w:sz w:val="24"/>
          <w:szCs w:val="24"/>
          <w:highlight w:val="white"/>
          <w:rtl w:val="0"/>
        </w:rPr>
        <w:t xml:space="preserve">1.8 </w:t>
      </w:r>
      <w:r w:rsidDel="00000000" w:rsidR="00000000" w:rsidRPr="00000000">
        <w:rPr>
          <w:rFonts w:ascii="Arial" w:cs="Arial" w:eastAsia="Arial" w:hAnsi="Arial"/>
          <w:sz w:val="24"/>
          <w:szCs w:val="24"/>
          <w:rtl w:val="0"/>
        </w:rPr>
        <w:t xml:space="preserve">in the eSourcing Suite (qualification envelope).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highlight w:val="white"/>
          <w:rtl w:val="0"/>
        </w:rPr>
        <w:t xml:space="preserve">1.10i</w:t>
      </w:r>
      <w:r w:rsidDel="00000000" w:rsidR="00000000" w:rsidRPr="00000000">
        <w:rPr>
          <w:rFonts w:ascii="Arial" w:cs="Arial" w:eastAsia="Arial" w:hAnsi="Arial"/>
          <w:sz w:val="24"/>
          <w:szCs w:val="24"/>
          <w:rtl w:val="0"/>
        </w:rPr>
        <w:t xml:space="preserve">n the eSourcing Suite (qualification envelope)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b w:val="1"/>
          <w:sz w:val="24"/>
          <w:szCs w:val="24"/>
          <w:highlight w:val="white"/>
          <w:rtl w:val="0"/>
        </w:rPr>
        <w:t xml:space="preserve">Framework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Letter of intent to guarantee </w:t>
      </w:r>
      <w:r w:rsidDel="00000000" w:rsidR="00000000" w:rsidRPr="00000000">
        <w:rPr>
          <w:rFonts w:ascii="Arial" w:cs="Arial" w:eastAsia="Arial" w:hAnsi="Arial"/>
          <w:color w:val="000000"/>
          <w:sz w:val="24"/>
          <w:szCs w:val="24"/>
          <w:highlight w:val="white"/>
          <w:rtl w:val="0"/>
        </w:rPr>
        <w:t xml:space="preserve">– If at question 1.21</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you have confirmed that you would like to nominate a guarantor to provide additional assurance to a Buyer that you will meet their obligations under a Call off contract, you are required to submit the Letter of Intent to Guarantee at question </w:t>
      </w:r>
      <w:r w:rsidDel="00000000" w:rsidR="00000000" w:rsidRPr="00000000">
        <w:rPr>
          <w:rFonts w:ascii="Arial" w:cs="Arial" w:eastAsia="Arial" w:hAnsi="Arial"/>
          <w:sz w:val="24"/>
          <w:szCs w:val="24"/>
          <w:highlight w:val="white"/>
          <w:rtl w:val="0"/>
        </w:rPr>
        <w:t xml:space="preserve">1.21 </w:t>
      </w:r>
      <w:r w:rsidDel="00000000" w:rsidR="00000000" w:rsidRPr="00000000">
        <w:rPr>
          <w:rFonts w:ascii="Arial" w:cs="Arial" w:eastAsia="Arial" w:hAnsi="Arial"/>
          <w:color w:val="000000"/>
          <w:sz w:val="24"/>
          <w:szCs w:val="24"/>
          <w:highlight w:val="white"/>
          <w:rtl w:val="0"/>
        </w:rPr>
        <w:t xml:space="preserve">in addition to a Certified copy of the extract of the board minutes and/or resolution of the Guarantor approving the intention to enter into a Letter of Intent to Guarantee at question </w:t>
      </w:r>
      <w:r w:rsidDel="00000000" w:rsidR="00000000" w:rsidRPr="00000000">
        <w:rPr>
          <w:rFonts w:ascii="Arial" w:cs="Arial" w:eastAsia="Arial" w:hAnsi="Arial"/>
          <w:sz w:val="24"/>
          <w:szCs w:val="24"/>
          <w:highlight w:val="white"/>
          <w:rtl w:val="0"/>
        </w:rPr>
        <w:t xml:space="preserve">1.21</w:t>
      </w:r>
      <w:r w:rsidDel="00000000" w:rsidR="00000000" w:rsidRPr="00000000">
        <w:rPr>
          <w:rFonts w:ascii="Arial" w:cs="Arial" w:eastAsia="Arial" w:hAnsi="Arial"/>
          <w:color w:val="000000"/>
          <w:sz w:val="24"/>
          <w:szCs w:val="24"/>
          <w:highlight w:val="white"/>
          <w:rtl w:val="0"/>
        </w:rPr>
        <w:t xml:space="preserve">.</w:t>
      </w:r>
    </w:p>
    <w:p w:rsidR="00000000" w:rsidDel="00000000" w:rsidP="00000000" w:rsidRDefault="00000000" w:rsidRPr="00000000" w14:paraId="0000003A">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color w:val="000000"/>
          <w:sz w:val="24"/>
          <w:szCs w:val="24"/>
          <w:highlight w:val="white"/>
          <w:rtl w:val="0"/>
        </w:rPr>
        <w:t xml:space="preserve">this folder forms the Framework Contract and consists of: </w:t>
      </w:r>
    </w:p>
    <w:p w:rsidR="00000000" w:rsidDel="00000000" w:rsidP="00000000" w:rsidRDefault="00000000" w:rsidRPr="00000000" w14:paraId="0000003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3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3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w:t>
      </w:r>
    </w:p>
    <w:p w:rsidR="00000000" w:rsidDel="00000000" w:rsidP="00000000" w:rsidRDefault="00000000" w:rsidRPr="00000000" w14:paraId="0000003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3F">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0">
      <w:pPr>
        <w:ind w:left="0" w:firstLine="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11 - Social Value Declaration </w:t>
      </w:r>
      <w:r w:rsidDel="00000000" w:rsidR="00000000" w:rsidRPr="00000000">
        <w:rPr>
          <w:rFonts w:ascii="Arial" w:cs="Arial" w:eastAsia="Arial" w:hAnsi="Arial"/>
          <w:sz w:val="24"/>
          <w:szCs w:val="24"/>
          <w:highlight w:val="white"/>
          <w:rtl w:val="0"/>
        </w:rPr>
        <w:t xml:space="preserve">- you need to sign at senior e.g. Director level this to declare your commitment to deliver social value within the parameters list at individual call off stage, as required by Customer. </w:t>
      </w:r>
    </w:p>
    <w:p w:rsidR="00000000" w:rsidDel="00000000" w:rsidP="00000000" w:rsidRDefault="00000000" w:rsidRPr="00000000" w14:paraId="00000041">
      <w:pPr>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w:t>
      </w:r>
      <w:r w:rsidDel="00000000" w:rsidR="00000000" w:rsidRPr="00000000">
        <w:rPr>
          <w:rFonts w:ascii="Arial" w:cs="Arial" w:eastAsia="Arial" w:hAnsi="Arial"/>
          <w:sz w:val="24"/>
          <w:szCs w:val="24"/>
          <w:highlight w:val="white"/>
          <w:rtl w:val="0"/>
        </w:rPr>
        <w:t xml:space="preserve"> 6. ‘</w:t>
      </w:r>
      <w:r w:rsidDel="00000000" w:rsidR="00000000" w:rsidRPr="00000000">
        <w:rPr>
          <w:rFonts w:ascii="Arial" w:cs="Arial" w:eastAsia="Arial" w:hAnsi="Arial"/>
          <w:sz w:val="24"/>
          <w:szCs w:val="24"/>
          <w:rtl w:val="0"/>
        </w:rPr>
        <w:t xml:space="preserve">When and how to ask questions’.</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5">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2"/>
      <w:bookmarkEnd w:id="2"/>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4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C">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4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4E">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0">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4">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5">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6">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240" w:line="240" w:lineRule="auto"/>
        <w:ind w:left="737" w:hanging="27.9999999999999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5D">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5E">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5F">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709" w:hanging="851"/>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 Russia or Belarus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March 2022, the Government introduced its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Procurement Note 01/22 ‘Contracts with suppliers from Russia or Belarus’ (</w:t>
      </w:r>
      <w:hyperlink r:id="rId15">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PPN 01/22</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43" w:right="0" w:hanging="360"/>
        <w:jc w:val="left"/>
        <w:rPr>
          <w:rFonts w:ascii="Arial" w:cs="Arial" w:eastAsia="Arial" w:hAnsi="Arial"/>
          <w:b w:val="0"/>
          <w:i w:val="0"/>
          <w:smallCaps w:val="0"/>
          <w:strike w:val="0"/>
          <w:color w:val="0a0b0b"/>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from this competition any tenders that are deemed from bidders (or subcontractors) who are </w:t>
      </w:r>
      <w:r w:rsidDel="00000000" w:rsidR="00000000" w:rsidRPr="00000000">
        <w:rPr>
          <w:rFonts w:ascii="Arial" w:cs="Arial" w:eastAsia="Arial" w:hAnsi="Arial"/>
          <w:b w:val="0"/>
          <w:i w:val="0"/>
          <w:smallCaps w:val="0"/>
          <w:strike w:val="0"/>
          <w:color w:val="0a0b0b"/>
          <w:sz w:val="24"/>
          <w:szCs w:val="24"/>
          <w:u w:val="none"/>
          <w:shd w:fill="auto" w:val="clear"/>
          <w:vertAlign w:val="baseline"/>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43" w:right="0" w:hanging="360"/>
        <w:jc w:val="left"/>
        <w:rPr/>
      </w:pPr>
      <w:r w:rsidDel="00000000" w:rsidR="00000000" w:rsidRPr="00000000">
        <w:rPr>
          <w:rFonts w:ascii="Arial" w:cs="Arial" w:eastAsia="Arial" w:hAnsi="Arial"/>
          <w:b w:val="0"/>
          <w:i w:val="0"/>
          <w:smallCaps w:val="0"/>
          <w:strike w:val="0"/>
          <w:color w:val="0a0b0b"/>
          <w:sz w:val="24"/>
          <w:szCs w:val="24"/>
          <w:u w:val="none"/>
          <w:shd w:fill="auto" w:val="clear"/>
          <w:vertAlign w:val="baseline"/>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color w:val="000000"/>
          <w:sz w:val="32"/>
          <w:szCs w:val="32"/>
        </w:rPr>
      </w:pPr>
      <w:bookmarkStart w:colFirst="0" w:colLast="0" w:name="_heading=h.2et92p0" w:id="4"/>
      <w:bookmarkEnd w:id="4"/>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agreement will provide buyers across the whole  of the UK with access to networks and telecommunications services. This includes cloud services, audio and video conferencing, radio and satellite networking, across the range of Lots as indicated in Section 3.1 below.</w:t>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This will include the provision of:</w:t>
      </w:r>
    </w:p>
    <w:p w:rsidR="00000000" w:rsidDel="00000000" w:rsidP="00000000" w:rsidRDefault="00000000" w:rsidRPr="00000000" w14:paraId="0000006C">
      <w:pPr>
        <w:numPr>
          <w:ilvl w:val="0"/>
          <w:numId w:val="3"/>
        </w:numPr>
        <w:spacing w:after="280" w:line="276" w:lineRule="auto"/>
        <w:ind w:left="720" w:hanging="360"/>
        <w:jc w:val="both"/>
        <w:rPr>
          <w:sz w:val="24"/>
          <w:szCs w:val="24"/>
        </w:rPr>
      </w:pPr>
      <w:r w:rsidDel="00000000" w:rsidR="00000000" w:rsidRPr="00000000">
        <w:rPr>
          <w:rFonts w:ascii="Arial" w:cs="Arial" w:eastAsia="Arial" w:hAnsi="Arial"/>
          <w:sz w:val="24"/>
          <w:szCs w:val="24"/>
          <w:rtl w:val="0"/>
        </w:rPr>
        <w:t xml:space="preserve">A robust performance management approach, including collection and analysis of KPI metrics and quarterly performance reviews between the Authority, Contracting Authorities and the framework Suppliers to support maintenance and continuous improvement of performance levels throughout the framework lifetime.</w:t>
      </w:r>
      <w:r w:rsidDel="00000000" w:rsidR="00000000" w:rsidRPr="00000000">
        <w:rPr>
          <w:rtl w:val="0"/>
        </w:rPr>
      </w:r>
    </w:p>
    <w:p w:rsidR="00000000" w:rsidDel="00000000" w:rsidP="00000000" w:rsidRDefault="00000000" w:rsidRPr="00000000" w14:paraId="0000006D">
      <w:pPr>
        <w:numPr>
          <w:ilvl w:val="0"/>
          <w:numId w:val="3"/>
        </w:numPr>
        <w:spacing w:after="280" w:line="276" w:lineRule="auto"/>
        <w:ind w:left="720" w:hanging="360"/>
        <w:jc w:val="both"/>
        <w:rPr>
          <w:sz w:val="24"/>
          <w:szCs w:val="24"/>
        </w:rPr>
      </w:pPr>
      <w:r w:rsidDel="00000000" w:rsidR="00000000" w:rsidRPr="00000000">
        <w:rPr>
          <w:rFonts w:ascii="Arial" w:cs="Arial" w:eastAsia="Arial" w:hAnsi="Arial"/>
          <w:sz w:val="24"/>
          <w:szCs w:val="24"/>
          <w:rtl w:val="0"/>
        </w:rPr>
        <w:t xml:space="preserve">Data gathering route to allow collection of detailed management information and metrics to support ongoing trend analysis and service development. </w:t>
      </w:r>
      <w:r w:rsidDel="00000000" w:rsidR="00000000" w:rsidRPr="00000000">
        <w:rPr>
          <w:rtl w:val="0"/>
        </w:rPr>
      </w:r>
    </w:p>
    <w:p w:rsidR="00000000" w:rsidDel="00000000" w:rsidP="00000000" w:rsidRDefault="00000000" w:rsidRPr="00000000" w14:paraId="0000006E">
      <w:pPr>
        <w:numPr>
          <w:ilvl w:val="0"/>
          <w:numId w:val="3"/>
        </w:numPr>
        <w:spacing w:after="280" w:line="276" w:lineRule="auto"/>
        <w:ind w:left="720" w:hanging="360"/>
        <w:jc w:val="both"/>
        <w:rPr>
          <w:sz w:val="24"/>
          <w:szCs w:val="24"/>
        </w:rPr>
      </w:pPr>
      <w:r w:rsidDel="00000000" w:rsidR="00000000" w:rsidRPr="00000000">
        <w:rPr>
          <w:rFonts w:ascii="Arial" w:cs="Arial" w:eastAsia="Arial" w:hAnsi="Arial"/>
          <w:sz w:val="24"/>
          <w:szCs w:val="24"/>
          <w:rtl w:val="0"/>
        </w:rPr>
        <w:t xml:space="preserve">Transparency of Supplier service capability/offer and pricing to support informed buying decisions by Customers.</w:t>
      </w:r>
      <w:r w:rsidDel="00000000" w:rsidR="00000000" w:rsidRPr="00000000">
        <w:rPr>
          <w:rtl w:val="0"/>
        </w:rPr>
      </w:r>
    </w:p>
    <w:p w:rsidR="00000000" w:rsidDel="00000000" w:rsidP="00000000" w:rsidRDefault="00000000" w:rsidRPr="00000000" w14:paraId="0000006F">
      <w:pPr>
        <w:numPr>
          <w:ilvl w:val="0"/>
          <w:numId w:val="3"/>
        </w:numPr>
        <w:spacing w:after="280" w:line="276" w:lineRule="auto"/>
        <w:ind w:left="720" w:hanging="360"/>
        <w:jc w:val="both"/>
        <w:rPr>
          <w:sz w:val="24"/>
          <w:szCs w:val="24"/>
        </w:rPr>
      </w:pPr>
      <w:r w:rsidDel="00000000" w:rsidR="00000000" w:rsidRPr="00000000">
        <w:rPr>
          <w:rFonts w:ascii="Arial" w:cs="Arial" w:eastAsia="Arial" w:hAnsi="Arial"/>
          <w:sz w:val="24"/>
          <w:szCs w:val="24"/>
          <w:rtl w:val="0"/>
        </w:rPr>
        <w:t xml:space="preserve">Flexibility of call-off approach via direct award or further competition to meet customer timelines.</w:t>
      </w: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Some Buyers may have complex needs that do not fall within one Lot. The suggested approach here is for the buyer to split their specification across the most appropriate Lots and notify the suppliers on the applicable Lots that the opportunity forms part of a larger project.</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Consequently, if they:</w:t>
      </w:r>
    </w:p>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(a)  are not seeking to disaggregate their requirement; and</w:t>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(b)  require a single call-off contract with a single supplier,</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then they may wish to consider whether it is feasible to combine their specification and run a further competition across the multiple Lots that they have selected.​  ​In these circumstances, the providers capable of performing the contract will be those  that are common to the selected Lots to the further competition (e.g. suppliers that appear in the appropriate lots). Buyers may wish to seek their own legal advice in respect of how to design and run a cross lot competition.</w:t>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5"/>
      <w:bookmarkEnd w:id="5"/>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7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7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D">
      <w:pPr>
        <w:spacing w:after="120" w:before="120" w:lineRule="auto"/>
        <w:rPr/>
      </w:pPr>
      <w:bookmarkStart w:colFirst="0" w:colLast="0" w:name="_heading=h.3dy6vkm" w:id="6"/>
      <w:bookmarkEnd w:id="6"/>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84" w:right="0" w:hanging="284"/>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the Framework is structured</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24</w:t>
      </w:r>
      <w:r w:rsidDel="00000000" w:rsidR="00000000" w:rsidRPr="00000000">
        <w:rPr>
          <w:rFonts w:ascii="Arial" w:cs="Arial" w:eastAsia="Arial" w:hAnsi="Arial"/>
          <w:color w:val="000000"/>
          <w:sz w:val="24"/>
          <w:szCs w:val="24"/>
          <w:rtl w:val="0"/>
        </w:rPr>
        <w:t xml:space="preserve"> months with the option for us to extend for two periods, each for one year</w:t>
      </w:r>
      <w:r w:rsidDel="00000000" w:rsidR="00000000" w:rsidRPr="00000000">
        <w:rPr>
          <w:rFonts w:ascii="Arial" w:cs="Arial" w:eastAsia="Arial" w:hAnsi="Arial"/>
          <w:sz w:val="24"/>
          <w:szCs w:val="24"/>
          <w:rtl w:val="0"/>
        </w:rPr>
        <w:t xml:space="preserve">, i.e. </w:t>
      </w:r>
      <w:r w:rsidDel="00000000" w:rsidR="00000000" w:rsidRPr="00000000">
        <w:rPr>
          <w:rFonts w:ascii="Roboto" w:cs="Roboto" w:eastAsia="Roboto" w:hAnsi="Roboto"/>
          <w:sz w:val="24"/>
          <w:szCs w:val="24"/>
          <w:highlight w:val="white"/>
          <w:rtl w:val="0"/>
        </w:rPr>
        <w:t xml:space="preserve">a 2+1+1 year agreement</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tl w:val="0"/>
        </w:rPr>
      </w:r>
    </w:p>
    <w:tbl>
      <w:tblPr>
        <w:tblStyle w:val="Table1"/>
        <w:tblW w:w="8220.0"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7290"/>
        <w:tblGridChange w:id="0">
          <w:tblGrid>
            <w:gridCol w:w="930"/>
            <w:gridCol w:w="729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3">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4">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85">
            <w:pPr>
              <w:rPr/>
            </w:pPr>
            <w:r w:rsidDel="00000000" w:rsidR="00000000" w:rsidRPr="00000000">
              <w:rPr>
                <w:rtl w:val="0"/>
              </w:rPr>
              <w:t xml:space="preserve">Lot 1a</w:t>
            </w:r>
          </w:p>
        </w:tc>
        <w:tc>
          <w:tcPr>
            <w:vAlign w:val="center"/>
          </w:tcPr>
          <w:p w:rsidR="00000000" w:rsidDel="00000000" w:rsidP="00000000" w:rsidRDefault="00000000" w:rsidRPr="00000000" w14:paraId="00000086">
            <w:pPr>
              <w:rPr/>
            </w:pPr>
            <w:r w:rsidDel="00000000" w:rsidR="00000000" w:rsidRPr="00000000">
              <w:rPr>
                <w:rtl w:val="0"/>
              </w:rPr>
              <w:t xml:space="preserve">Inter site Connectivity (Wider Area Network) / Data Access Services</w:t>
            </w:r>
          </w:p>
        </w:tc>
      </w:tr>
      <w:tr>
        <w:trPr>
          <w:cantSplit w:val="0"/>
          <w:trHeight w:val="567" w:hRule="atLeast"/>
          <w:tblHeader w:val="0"/>
        </w:trPr>
        <w:tc>
          <w:tcPr>
            <w:vAlign w:val="center"/>
          </w:tcPr>
          <w:p w:rsidR="00000000" w:rsidDel="00000000" w:rsidP="00000000" w:rsidRDefault="00000000" w:rsidRPr="00000000" w14:paraId="00000087">
            <w:pPr>
              <w:rPr/>
            </w:pPr>
            <w:r w:rsidDel="00000000" w:rsidR="00000000" w:rsidRPr="00000000">
              <w:rPr>
                <w:rtl w:val="0"/>
              </w:rPr>
              <w:t xml:space="preserve">Lot 1b</w:t>
            </w:r>
          </w:p>
        </w:tc>
        <w:tc>
          <w:tcPr>
            <w:vAlign w:val="center"/>
          </w:tcPr>
          <w:p w:rsidR="00000000" w:rsidDel="00000000" w:rsidP="00000000" w:rsidRDefault="00000000" w:rsidRPr="00000000" w14:paraId="00000088">
            <w:pPr>
              <w:rPr/>
            </w:pPr>
            <w:r w:rsidDel="00000000" w:rsidR="00000000" w:rsidRPr="00000000">
              <w:rPr>
                <w:rtl w:val="0"/>
              </w:rPr>
              <w:t xml:space="preserve">Commercial Radio capabilities</w:t>
            </w:r>
          </w:p>
        </w:tc>
      </w:tr>
      <w:tr>
        <w:trPr>
          <w:cantSplit w:val="0"/>
          <w:trHeight w:val="567" w:hRule="atLeast"/>
          <w:tblHeader w:val="0"/>
        </w:trPr>
        <w:tc>
          <w:tcPr>
            <w:vAlign w:val="center"/>
          </w:tcPr>
          <w:p w:rsidR="00000000" w:rsidDel="00000000" w:rsidP="00000000" w:rsidRDefault="00000000" w:rsidRPr="00000000" w14:paraId="00000089">
            <w:pPr>
              <w:rPr/>
            </w:pPr>
            <w:r w:rsidDel="00000000" w:rsidR="00000000" w:rsidRPr="00000000">
              <w:rPr>
                <w:rtl w:val="0"/>
              </w:rPr>
              <w:t xml:space="preserve">Lot 1c</w:t>
            </w:r>
          </w:p>
        </w:tc>
        <w:tc>
          <w:tcPr>
            <w:vAlign w:val="center"/>
          </w:tcPr>
          <w:p w:rsidR="00000000" w:rsidDel="00000000" w:rsidP="00000000" w:rsidRDefault="00000000" w:rsidRPr="00000000" w14:paraId="0000008A">
            <w:pPr>
              <w:rPr/>
            </w:pPr>
            <w:r w:rsidDel="00000000" w:rsidR="00000000" w:rsidRPr="00000000">
              <w:rPr>
                <w:rtl w:val="0"/>
              </w:rPr>
              <w:t xml:space="preserve">Tactical Radio Systems</w:t>
            </w:r>
          </w:p>
        </w:tc>
      </w:tr>
      <w:tr>
        <w:trPr>
          <w:cantSplit w:val="0"/>
          <w:trHeight w:val="567" w:hRule="atLeast"/>
          <w:tblHeader w:val="0"/>
        </w:trPr>
        <w:tc>
          <w:tcPr>
            <w:vAlign w:val="center"/>
          </w:tcPr>
          <w:p w:rsidR="00000000" w:rsidDel="00000000" w:rsidP="00000000" w:rsidRDefault="00000000" w:rsidRPr="00000000" w14:paraId="0000008B">
            <w:pPr>
              <w:rPr/>
            </w:pPr>
            <w:r w:rsidDel="00000000" w:rsidR="00000000" w:rsidRPr="00000000">
              <w:rPr>
                <w:rtl w:val="0"/>
              </w:rPr>
              <w:t xml:space="preserve">Lot 1d</w:t>
            </w:r>
          </w:p>
        </w:tc>
        <w:tc>
          <w:tcPr>
            <w:vAlign w:val="center"/>
          </w:tcPr>
          <w:p w:rsidR="00000000" w:rsidDel="00000000" w:rsidP="00000000" w:rsidRDefault="00000000" w:rsidRPr="00000000" w14:paraId="0000008C">
            <w:pPr>
              <w:rPr/>
            </w:pPr>
            <w:r w:rsidDel="00000000" w:rsidR="00000000" w:rsidRPr="00000000">
              <w:rPr>
                <w:rtl w:val="0"/>
              </w:rPr>
              <w:t xml:space="preserve">Critical Domain Services</w:t>
            </w:r>
          </w:p>
        </w:tc>
      </w:tr>
      <w:tr>
        <w:trPr>
          <w:cantSplit w:val="0"/>
          <w:trHeight w:val="567" w:hRule="atLeast"/>
          <w:tblHeader w:val="0"/>
        </w:trPr>
        <w:tc>
          <w:tcPr>
            <w:vAlign w:val="center"/>
          </w:tcPr>
          <w:p w:rsidR="00000000" w:rsidDel="00000000" w:rsidP="00000000" w:rsidRDefault="00000000" w:rsidRPr="00000000" w14:paraId="0000008D">
            <w:pPr>
              <w:rPr/>
            </w:pPr>
            <w:r w:rsidDel="00000000" w:rsidR="00000000" w:rsidRPr="00000000">
              <w:rPr>
                <w:rtl w:val="0"/>
              </w:rPr>
              <w:t xml:space="preserve">Lot 2a</w:t>
            </w:r>
          </w:p>
        </w:tc>
        <w:tc>
          <w:tcPr>
            <w:vAlign w:val="center"/>
          </w:tcPr>
          <w:p w:rsidR="00000000" w:rsidDel="00000000" w:rsidP="00000000" w:rsidRDefault="00000000" w:rsidRPr="00000000" w14:paraId="0000008E">
            <w:pPr>
              <w:tabs>
                <w:tab w:val="left" w:pos="2835"/>
              </w:tabs>
              <w:spacing w:after="120" w:before="120" w:lineRule="auto"/>
              <w:ind w:left="0" w:firstLine="0"/>
              <w:jc w:val="both"/>
              <w:rPr>
                <w:shd w:fill="ffff99" w:val="clear"/>
              </w:rPr>
            </w:pPr>
            <w:r w:rsidDel="00000000" w:rsidR="00000000" w:rsidRPr="00000000">
              <w:rPr>
                <w:rtl w:val="0"/>
              </w:rPr>
              <w:t xml:space="preserve">Intra site Connectivity (Local Area Network) / Local Connectivity Services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F">
            <w:pPr>
              <w:rPr/>
            </w:pPr>
            <w:r w:rsidDel="00000000" w:rsidR="00000000" w:rsidRPr="00000000">
              <w:rPr>
                <w:rtl w:val="0"/>
              </w:rPr>
              <w:t xml:space="preserve">Lot 3a</w:t>
            </w:r>
          </w:p>
        </w:tc>
        <w:tc>
          <w:tcPr>
            <w:vAlign w:val="center"/>
          </w:tcPr>
          <w:p w:rsidR="00000000" w:rsidDel="00000000" w:rsidP="00000000" w:rsidRDefault="00000000" w:rsidRPr="00000000" w14:paraId="00000090">
            <w:pPr>
              <w:rPr/>
            </w:pPr>
            <w:r w:rsidDel="00000000" w:rsidR="00000000" w:rsidRPr="00000000">
              <w:rPr>
                <w:rtl w:val="0"/>
              </w:rPr>
              <w:t xml:space="preserve">loT and Smart Cities (Smart shared and connected spaces)</w:t>
            </w:r>
          </w:p>
        </w:tc>
      </w:tr>
      <w:tr>
        <w:trPr>
          <w:cantSplit w:val="0"/>
          <w:trHeight w:val="567" w:hRule="atLeast"/>
          <w:tblHeader w:val="0"/>
        </w:trPr>
        <w:tc>
          <w:tcPr>
            <w:vAlign w:val="center"/>
          </w:tcPr>
          <w:p w:rsidR="00000000" w:rsidDel="00000000" w:rsidP="00000000" w:rsidRDefault="00000000" w:rsidRPr="00000000" w14:paraId="00000091">
            <w:pPr>
              <w:rPr/>
            </w:pPr>
            <w:r w:rsidDel="00000000" w:rsidR="00000000" w:rsidRPr="00000000">
              <w:rPr>
                <w:rtl w:val="0"/>
              </w:rPr>
              <w:t xml:space="preserve">Lot 3b</w:t>
            </w:r>
          </w:p>
        </w:tc>
        <w:tc>
          <w:tcPr>
            <w:vAlign w:val="center"/>
          </w:tcPr>
          <w:p w:rsidR="00000000" w:rsidDel="00000000" w:rsidP="00000000" w:rsidRDefault="00000000" w:rsidRPr="00000000" w14:paraId="00000092">
            <w:pPr>
              <w:rPr/>
            </w:pPr>
            <w:r w:rsidDel="00000000" w:rsidR="00000000" w:rsidRPr="00000000">
              <w:rPr>
                <w:rtl w:val="0"/>
              </w:rPr>
              <w:t xml:space="preserve">Communication Platform as a Service</w:t>
            </w:r>
          </w:p>
        </w:tc>
      </w:tr>
      <w:tr>
        <w:trPr>
          <w:cantSplit w:val="0"/>
          <w:trHeight w:val="567" w:hRule="atLeast"/>
          <w:tblHeader w:val="0"/>
        </w:trPr>
        <w:tc>
          <w:tcPr>
            <w:vAlign w:val="center"/>
          </w:tcPr>
          <w:p w:rsidR="00000000" w:rsidDel="00000000" w:rsidP="00000000" w:rsidRDefault="00000000" w:rsidRPr="00000000" w14:paraId="00000093">
            <w:pPr>
              <w:rPr/>
            </w:pPr>
            <w:r w:rsidDel="00000000" w:rsidR="00000000" w:rsidRPr="00000000">
              <w:rPr>
                <w:rtl w:val="0"/>
              </w:rPr>
              <w:t xml:space="preserve">Lot 4a</w:t>
            </w:r>
          </w:p>
        </w:tc>
        <w:tc>
          <w:tcPr>
            <w:vAlign w:val="center"/>
          </w:tcPr>
          <w:p w:rsidR="00000000" w:rsidDel="00000000" w:rsidP="00000000" w:rsidRDefault="00000000" w:rsidRPr="00000000" w14:paraId="00000094">
            <w:pPr>
              <w:rPr/>
            </w:pPr>
            <w:r w:rsidDel="00000000" w:rsidR="00000000" w:rsidRPr="00000000">
              <w:rPr>
                <w:rtl w:val="0"/>
              </w:rPr>
              <w:t xml:space="preserve">Analogue Telephony</w:t>
            </w:r>
          </w:p>
        </w:tc>
      </w:tr>
      <w:tr>
        <w:trPr>
          <w:cantSplit w:val="0"/>
          <w:trHeight w:val="567" w:hRule="atLeast"/>
          <w:tblHeader w:val="0"/>
        </w:trPr>
        <w:tc>
          <w:tcPr>
            <w:vAlign w:val="center"/>
          </w:tcPr>
          <w:p w:rsidR="00000000" w:rsidDel="00000000" w:rsidP="00000000" w:rsidRDefault="00000000" w:rsidRPr="00000000" w14:paraId="00000095">
            <w:pPr>
              <w:rPr/>
            </w:pPr>
            <w:r w:rsidDel="00000000" w:rsidR="00000000" w:rsidRPr="00000000">
              <w:rPr>
                <w:rtl w:val="0"/>
              </w:rPr>
              <w:t xml:space="preserve">Lot 4b</w:t>
            </w:r>
          </w:p>
        </w:tc>
        <w:tc>
          <w:tcPr>
            <w:vAlign w:val="center"/>
          </w:tcPr>
          <w:p w:rsidR="00000000" w:rsidDel="00000000" w:rsidP="00000000" w:rsidRDefault="00000000" w:rsidRPr="00000000" w14:paraId="00000096">
            <w:pPr>
              <w:tabs>
                <w:tab w:val="left" w:pos="2835"/>
              </w:tabs>
              <w:spacing w:after="120" w:before="120" w:lineRule="auto"/>
              <w:ind w:left="0" w:firstLine="0"/>
              <w:jc w:val="both"/>
              <w:rPr/>
            </w:pPr>
            <w:r w:rsidDel="00000000" w:rsidR="00000000" w:rsidRPr="00000000">
              <w:rPr>
                <w:color w:val="202124"/>
                <w:rtl w:val="0"/>
              </w:rPr>
              <w:t xml:space="preserve">D</w:t>
            </w:r>
            <w:r w:rsidDel="00000000" w:rsidR="00000000" w:rsidRPr="00000000">
              <w:rPr>
                <w:color w:val="202124"/>
                <w:rtl w:val="0"/>
              </w:rPr>
              <w:t xml:space="preserve">igital Communication Services (Unified Communications)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7">
            <w:pPr>
              <w:rPr/>
            </w:pPr>
            <w:r w:rsidDel="00000000" w:rsidR="00000000" w:rsidRPr="00000000">
              <w:rPr>
                <w:rtl w:val="0"/>
              </w:rPr>
              <w:t xml:space="preserve">Lot 4c</w:t>
            </w:r>
          </w:p>
        </w:tc>
        <w:tc>
          <w:tcPr>
            <w:vAlign w:val="center"/>
          </w:tcPr>
          <w:p w:rsidR="00000000" w:rsidDel="00000000" w:rsidP="00000000" w:rsidRDefault="00000000" w:rsidRPr="00000000" w14:paraId="00000098">
            <w:pPr>
              <w:rPr/>
            </w:pPr>
            <w:r w:rsidDel="00000000" w:rsidR="00000000" w:rsidRPr="00000000">
              <w:rPr>
                <w:rtl w:val="0"/>
              </w:rPr>
              <w:t xml:space="preserve">Contact Centre Solutions</w:t>
            </w:r>
          </w:p>
        </w:tc>
      </w:tr>
      <w:tr>
        <w:trPr>
          <w:cantSplit w:val="0"/>
          <w:trHeight w:val="567" w:hRule="atLeast"/>
          <w:tblHeader w:val="0"/>
        </w:trPr>
        <w:tc>
          <w:tcPr>
            <w:vAlign w:val="center"/>
          </w:tcPr>
          <w:p w:rsidR="00000000" w:rsidDel="00000000" w:rsidP="00000000" w:rsidRDefault="00000000" w:rsidRPr="00000000" w14:paraId="00000099">
            <w:pPr>
              <w:rPr/>
            </w:pPr>
            <w:r w:rsidDel="00000000" w:rsidR="00000000" w:rsidRPr="00000000">
              <w:rPr>
                <w:rtl w:val="0"/>
              </w:rPr>
              <w:t xml:space="preserve">Lot 4d</w:t>
            </w:r>
          </w:p>
        </w:tc>
        <w:tc>
          <w:tcPr>
            <w:vAlign w:val="center"/>
          </w:tcPr>
          <w:p w:rsidR="00000000" w:rsidDel="00000000" w:rsidP="00000000" w:rsidRDefault="00000000" w:rsidRPr="00000000" w14:paraId="0000009A">
            <w:pPr>
              <w:rPr/>
            </w:pPr>
            <w:r w:rsidDel="00000000" w:rsidR="00000000" w:rsidRPr="00000000">
              <w:rPr>
                <w:rtl w:val="0"/>
              </w:rPr>
              <w:t xml:space="preserve">Inbound Telephony Services</w:t>
            </w:r>
          </w:p>
        </w:tc>
      </w:tr>
      <w:tr>
        <w:trPr>
          <w:cantSplit w:val="0"/>
          <w:trHeight w:val="567" w:hRule="atLeast"/>
          <w:tblHeader w:val="0"/>
        </w:trPr>
        <w:tc>
          <w:tcPr>
            <w:vAlign w:val="center"/>
          </w:tcPr>
          <w:p w:rsidR="00000000" w:rsidDel="00000000" w:rsidP="00000000" w:rsidRDefault="00000000" w:rsidRPr="00000000" w14:paraId="0000009B">
            <w:pPr>
              <w:rPr/>
            </w:pPr>
            <w:r w:rsidDel="00000000" w:rsidR="00000000" w:rsidRPr="00000000">
              <w:rPr>
                <w:rtl w:val="0"/>
              </w:rPr>
              <w:t xml:space="preserve">Lot 4e</w:t>
            </w:r>
          </w:p>
        </w:tc>
        <w:tc>
          <w:tcPr>
            <w:vAlign w:val="center"/>
          </w:tcPr>
          <w:p w:rsidR="00000000" w:rsidDel="00000000" w:rsidP="00000000" w:rsidRDefault="00000000" w:rsidRPr="00000000" w14:paraId="0000009C">
            <w:pPr>
              <w:rPr/>
            </w:pPr>
            <w:r w:rsidDel="00000000" w:rsidR="00000000" w:rsidRPr="00000000">
              <w:rPr>
                <w:rtl w:val="0"/>
              </w:rPr>
              <w:t xml:space="preserve">Paging &amp; Alerting</w:t>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Bidders can bid for one or more lots</w:t>
      </w:r>
      <w:r w:rsidDel="00000000" w:rsidR="00000000" w:rsidRPr="00000000">
        <w:rPr>
          <w:rFonts w:ascii="Arial" w:cs="Arial" w:eastAsia="Arial" w:hAnsi="Arial"/>
          <w:sz w:val="24"/>
          <w:szCs w:val="24"/>
          <w:rtl w:val="0"/>
        </w:rPr>
        <w:t xml:space="preserve">. There are no restrictions.</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bidder is successful on one or both lot(s) they will be awarded a Framework Contract for those lot(s).</w:t>
      </w:r>
    </w:p>
    <w:p w:rsidR="00000000" w:rsidDel="00000000" w:rsidP="00000000" w:rsidRDefault="00000000" w:rsidRPr="00000000" w14:paraId="000000A1">
      <w:pP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no restrictions on the number of Lots that any single bidder may bid for or be awarded.</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 up to:</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0.0"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7185"/>
        <w:tblGridChange w:id="0">
          <w:tblGrid>
            <w:gridCol w:w="1035"/>
            <w:gridCol w:w="718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A6">
            <w:pPr>
              <w:rPr/>
            </w:pPr>
            <w:r w:rsidDel="00000000" w:rsidR="00000000" w:rsidRPr="00000000">
              <w:rPr>
                <w:rtl w:val="0"/>
              </w:rPr>
              <w:t xml:space="preserve">Number of </w:t>
            </w:r>
            <w:r w:rsidDel="00000000" w:rsidR="00000000" w:rsidRPr="00000000">
              <w:rPr>
                <w:rtl w:val="0"/>
              </w:rPr>
              <w:t xml:space="preserve">places</w:t>
            </w:r>
            <w:r w:rsidDel="00000000" w:rsidR="00000000" w:rsidRPr="00000000">
              <w:rPr>
                <w:rtl w:val="0"/>
              </w:rPr>
              <w:t xml:space="preserve"> </w:t>
            </w:r>
          </w:p>
        </w:tc>
      </w:tr>
      <w:tr>
        <w:trPr>
          <w:cantSplit w:val="0"/>
          <w:trHeight w:val="567" w:hRule="atLeast"/>
          <w:tblHeader w:val="0"/>
        </w:trPr>
        <w:tc>
          <w:tcPr>
            <w:vAlign w:val="center"/>
          </w:tcPr>
          <w:p w:rsidR="00000000" w:rsidDel="00000000" w:rsidP="00000000" w:rsidRDefault="00000000" w:rsidRPr="00000000" w14:paraId="000000A7">
            <w:pPr>
              <w:rPr/>
            </w:pPr>
            <w:r w:rsidDel="00000000" w:rsidR="00000000" w:rsidRPr="00000000">
              <w:rPr>
                <w:rtl w:val="0"/>
              </w:rPr>
              <w:t xml:space="preserve">Lot 1a</w:t>
            </w:r>
          </w:p>
        </w:tc>
        <w:tc>
          <w:tcPr>
            <w:vAlign w:val="center"/>
          </w:tcPr>
          <w:p w:rsidR="00000000" w:rsidDel="00000000" w:rsidP="00000000" w:rsidRDefault="00000000" w:rsidRPr="00000000" w14:paraId="000000A8">
            <w:pPr>
              <w:rPr/>
            </w:pPr>
            <w:r w:rsidDel="00000000" w:rsidR="00000000" w:rsidRPr="00000000">
              <w:rPr>
                <w:rtl w:val="0"/>
              </w:rPr>
              <w:t xml:space="preserve">35</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9">
            <w:pPr>
              <w:rPr/>
            </w:pPr>
            <w:r w:rsidDel="00000000" w:rsidR="00000000" w:rsidRPr="00000000">
              <w:rPr>
                <w:rtl w:val="0"/>
              </w:rPr>
              <w:t xml:space="preserve">Lot 1b</w:t>
            </w:r>
          </w:p>
        </w:tc>
        <w:tc>
          <w:tcPr>
            <w:vAlign w:val="center"/>
          </w:tcPr>
          <w:p w:rsidR="00000000" w:rsidDel="00000000" w:rsidP="00000000" w:rsidRDefault="00000000" w:rsidRPr="00000000" w14:paraId="000000AA">
            <w:pPr>
              <w:rPr/>
            </w:pPr>
            <w:r w:rsidDel="00000000" w:rsidR="00000000" w:rsidRPr="00000000">
              <w:rPr>
                <w:rtl w:val="0"/>
              </w:rPr>
              <w:t xml:space="preserve">20</w:t>
            </w:r>
          </w:p>
        </w:tc>
      </w:tr>
      <w:tr>
        <w:trPr>
          <w:cantSplit w:val="0"/>
          <w:trHeight w:val="567" w:hRule="atLeast"/>
          <w:tblHeader w:val="0"/>
        </w:trPr>
        <w:tc>
          <w:tcPr>
            <w:vAlign w:val="center"/>
          </w:tcPr>
          <w:p w:rsidR="00000000" w:rsidDel="00000000" w:rsidP="00000000" w:rsidRDefault="00000000" w:rsidRPr="00000000" w14:paraId="000000AB">
            <w:pPr>
              <w:rPr/>
            </w:pPr>
            <w:r w:rsidDel="00000000" w:rsidR="00000000" w:rsidRPr="00000000">
              <w:rPr>
                <w:rtl w:val="0"/>
              </w:rPr>
              <w:t xml:space="preserve">Lot 1c</w:t>
            </w:r>
          </w:p>
        </w:tc>
        <w:tc>
          <w:tcPr>
            <w:vAlign w:val="center"/>
          </w:tcPr>
          <w:p w:rsidR="00000000" w:rsidDel="00000000" w:rsidP="00000000" w:rsidRDefault="00000000" w:rsidRPr="00000000" w14:paraId="000000AC">
            <w:pPr>
              <w:rPr/>
            </w:pPr>
            <w:r w:rsidDel="00000000" w:rsidR="00000000" w:rsidRPr="00000000">
              <w:rPr>
                <w:rtl w:val="0"/>
              </w:rPr>
              <w:t xml:space="preserve">20</w:t>
            </w:r>
          </w:p>
        </w:tc>
      </w:tr>
      <w:tr>
        <w:trPr>
          <w:cantSplit w:val="0"/>
          <w:trHeight w:val="567" w:hRule="atLeast"/>
          <w:tblHeader w:val="0"/>
        </w:trPr>
        <w:tc>
          <w:tcPr>
            <w:vAlign w:val="center"/>
          </w:tcPr>
          <w:p w:rsidR="00000000" w:rsidDel="00000000" w:rsidP="00000000" w:rsidRDefault="00000000" w:rsidRPr="00000000" w14:paraId="000000AD">
            <w:pPr>
              <w:rPr/>
            </w:pPr>
            <w:r w:rsidDel="00000000" w:rsidR="00000000" w:rsidRPr="00000000">
              <w:rPr>
                <w:rtl w:val="0"/>
              </w:rPr>
              <w:t xml:space="preserve">Lot 1d</w:t>
            </w:r>
          </w:p>
        </w:tc>
        <w:tc>
          <w:tcPr>
            <w:vAlign w:val="center"/>
          </w:tcPr>
          <w:p w:rsidR="00000000" w:rsidDel="00000000" w:rsidP="00000000" w:rsidRDefault="00000000" w:rsidRPr="00000000" w14:paraId="000000AE">
            <w:pPr>
              <w:rPr/>
            </w:pPr>
            <w:r w:rsidDel="00000000" w:rsidR="00000000" w:rsidRPr="00000000">
              <w:rPr>
                <w:rtl w:val="0"/>
              </w:rPr>
              <w:t xml:space="preserve">25</w:t>
            </w:r>
          </w:p>
        </w:tc>
      </w:tr>
      <w:tr>
        <w:trPr>
          <w:cantSplit w:val="0"/>
          <w:trHeight w:val="567" w:hRule="atLeast"/>
          <w:tblHeader w:val="0"/>
        </w:trPr>
        <w:tc>
          <w:tcPr>
            <w:vAlign w:val="center"/>
          </w:tcPr>
          <w:p w:rsidR="00000000" w:rsidDel="00000000" w:rsidP="00000000" w:rsidRDefault="00000000" w:rsidRPr="00000000" w14:paraId="000000AF">
            <w:pPr>
              <w:rPr/>
            </w:pPr>
            <w:r w:rsidDel="00000000" w:rsidR="00000000" w:rsidRPr="00000000">
              <w:rPr>
                <w:rtl w:val="0"/>
              </w:rPr>
              <w:t xml:space="preserve">Lot 2a</w:t>
            </w:r>
          </w:p>
        </w:tc>
        <w:tc>
          <w:tcPr>
            <w:vAlign w:val="center"/>
          </w:tcPr>
          <w:p w:rsidR="00000000" w:rsidDel="00000000" w:rsidP="00000000" w:rsidRDefault="00000000" w:rsidRPr="00000000" w14:paraId="000000B0">
            <w:pPr>
              <w:rPr/>
            </w:pPr>
            <w:r w:rsidDel="00000000" w:rsidR="00000000" w:rsidRPr="00000000">
              <w:rPr>
                <w:rtl w:val="0"/>
              </w:rPr>
              <w:t xml:space="preserve">35</w:t>
            </w:r>
          </w:p>
        </w:tc>
      </w:tr>
      <w:tr>
        <w:trPr>
          <w:cantSplit w:val="0"/>
          <w:trHeight w:val="567" w:hRule="atLeast"/>
          <w:tblHeader w:val="0"/>
        </w:trPr>
        <w:tc>
          <w:tcPr>
            <w:vAlign w:val="center"/>
          </w:tcPr>
          <w:p w:rsidR="00000000" w:rsidDel="00000000" w:rsidP="00000000" w:rsidRDefault="00000000" w:rsidRPr="00000000" w14:paraId="000000B1">
            <w:pPr>
              <w:rPr/>
            </w:pPr>
            <w:r w:rsidDel="00000000" w:rsidR="00000000" w:rsidRPr="00000000">
              <w:rPr>
                <w:rtl w:val="0"/>
              </w:rPr>
              <w:t xml:space="preserve">Lot 3a</w:t>
            </w:r>
          </w:p>
        </w:tc>
        <w:tc>
          <w:tcPr>
            <w:vAlign w:val="center"/>
          </w:tcPr>
          <w:p w:rsidR="00000000" w:rsidDel="00000000" w:rsidP="00000000" w:rsidRDefault="00000000" w:rsidRPr="00000000" w14:paraId="000000B2">
            <w:pPr>
              <w:rPr/>
            </w:pPr>
            <w:r w:rsidDel="00000000" w:rsidR="00000000" w:rsidRPr="00000000">
              <w:rPr>
                <w:rtl w:val="0"/>
              </w:rPr>
              <w:t xml:space="preserve">25</w:t>
            </w:r>
          </w:p>
        </w:tc>
      </w:tr>
      <w:tr>
        <w:trPr>
          <w:cantSplit w:val="0"/>
          <w:trHeight w:val="567" w:hRule="atLeast"/>
          <w:tblHeader w:val="0"/>
        </w:trPr>
        <w:tc>
          <w:tcPr>
            <w:vAlign w:val="center"/>
          </w:tcPr>
          <w:p w:rsidR="00000000" w:rsidDel="00000000" w:rsidP="00000000" w:rsidRDefault="00000000" w:rsidRPr="00000000" w14:paraId="000000B3">
            <w:pPr>
              <w:rPr/>
            </w:pPr>
            <w:r w:rsidDel="00000000" w:rsidR="00000000" w:rsidRPr="00000000">
              <w:rPr>
                <w:rtl w:val="0"/>
              </w:rPr>
              <w:t xml:space="preserve">Lot 3b</w:t>
            </w:r>
          </w:p>
        </w:tc>
        <w:tc>
          <w:tcPr>
            <w:vAlign w:val="center"/>
          </w:tcPr>
          <w:p w:rsidR="00000000" w:rsidDel="00000000" w:rsidP="00000000" w:rsidRDefault="00000000" w:rsidRPr="00000000" w14:paraId="000000B4">
            <w:pPr>
              <w:rPr/>
            </w:pPr>
            <w:r w:rsidDel="00000000" w:rsidR="00000000" w:rsidRPr="00000000">
              <w:rPr>
                <w:rtl w:val="0"/>
              </w:rPr>
              <w:t xml:space="preserve">10</w:t>
            </w:r>
          </w:p>
        </w:tc>
      </w:tr>
      <w:tr>
        <w:trPr>
          <w:cantSplit w:val="0"/>
          <w:trHeight w:val="567" w:hRule="atLeast"/>
          <w:tblHeader w:val="0"/>
        </w:trPr>
        <w:tc>
          <w:tcPr>
            <w:vAlign w:val="center"/>
          </w:tcPr>
          <w:p w:rsidR="00000000" w:rsidDel="00000000" w:rsidP="00000000" w:rsidRDefault="00000000" w:rsidRPr="00000000" w14:paraId="000000B5">
            <w:pPr>
              <w:rPr/>
            </w:pPr>
            <w:r w:rsidDel="00000000" w:rsidR="00000000" w:rsidRPr="00000000">
              <w:rPr>
                <w:rtl w:val="0"/>
              </w:rPr>
              <w:t xml:space="preserve">Lot 4a</w:t>
            </w:r>
          </w:p>
        </w:tc>
        <w:tc>
          <w:tcPr>
            <w:vAlign w:val="center"/>
          </w:tcPr>
          <w:p w:rsidR="00000000" w:rsidDel="00000000" w:rsidP="00000000" w:rsidRDefault="00000000" w:rsidRPr="00000000" w14:paraId="000000B6">
            <w:pPr>
              <w:rPr/>
            </w:pPr>
            <w:r w:rsidDel="00000000" w:rsidR="00000000" w:rsidRPr="00000000">
              <w:rPr>
                <w:rtl w:val="0"/>
              </w:rPr>
              <w:t xml:space="preserve">20</w:t>
            </w:r>
          </w:p>
        </w:tc>
      </w:tr>
      <w:tr>
        <w:trPr>
          <w:cantSplit w:val="0"/>
          <w:trHeight w:val="567" w:hRule="atLeast"/>
          <w:tblHeader w:val="0"/>
        </w:trPr>
        <w:tc>
          <w:tcPr>
            <w:vAlign w:val="center"/>
          </w:tcPr>
          <w:p w:rsidR="00000000" w:rsidDel="00000000" w:rsidP="00000000" w:rsidRDefault="00000000" w:rsidRPr="00000000" w14:paraId="000000B7">
            <w:pPr>
              <w:rPr/>
            </w:pPr>
            <w:r w:rsidDel="00000000" w:rsidR="00000000" w:rsidRPr="00000000">
              <w:rPr>
                <w:rtl w:val="0"/>
              </w:rPr>
              <w:t xml:space="preserve">Lot 4b</w:t>
            </w:r>
          </w:p>
        </w:tc>
        <w:tc>
          <w:tcPr>
            <w:vAlign w:val="center"/>
          </w:tcPr>
          <w:p w:rsidR="00000000" w:rsidDel="00000000" w:rsidP="00000000" w:rsidRDefault="00000000" w:rsidRPr="00000000" w14:paraId="000000B8">
            <w:pPr>
              <w:rPr/>
            </w:pPr>
            <w:r w:rsidDel="00000000" w:rsidR="00000000" w:rsidRPr="00000000">
              <w:rPr>
                <w:rtl w:val="0"/>
              </w:rPr>
              <w:t xml:space="preserve">50</w:t>
            </w:r>
          </w:p>
        </w:tc>
      </w:tr>
      <w:tr>
        <w:trPr>
          <w:cantSplit w:val="0"/>
          <w:trHeight w:val="567" w:hRule="atLeast"/>
          <w:tblHeader w:val="0"/>
        </w:trPr>
        <w:tc>
          <w:tcPr>
            <w:vAlign w:val="center"/>
          </w:tcPr>
          <w:p w:rsidR="00000000" w:rsidDel="00000000" w:rsidP="00000000" w:rsidRDefault="00000000" w:rsidRPr="00000000" w14:paraId="000000B9">
            <w:pPr>
              <w:rPr/>
            </w:pPr>
            <w:r w:rsidDel="00000000" w:rsidR="00000000" w:rsidRPr="00000000">
              <w:rPr>
                <w:rtl w:val="0"/>
              </w:rPr>
              <w:t xml:space="preserve">Lot 4c</w:t>
            </w:r>
          </w:p>
        </w:tc>
        <w:tc>
          <w:tcPr>
            <w:vAlign w:val="center"/>
          </w:tcPr>
          <w:p w:rsidR="00000000" w:rsidDel="00000000" w:rsidP="00000000" w:rsidRDefault="00000000" w:rsidRPr="00000000" w14:paraId="000000BA">
            <w:pPr>
              <w:rPr/>
            </w:pPr>
            <w:r w:rsidDel="00000000" w:rsidR="00000000" w:rsidRPr="00000000">
              <w:rPr>
                <w:rtl w:val="0"/>
              </w:rPr>
              <w:t xml:space="preserve">40</w:t>
            </w:r>
          </w:p>
        </w:tc>
      </w:tr>
      <w:tr>
        <w:trPr>
          <w:cantSplit w:val="0"/>
          <w:trHeight w:val="567" w:hRule="atLeast"/>
          <w:tblHeader w:val="0"/>
        </w:trPr>
        <w:tc>
          <w:tcPr>
            <w:vAlign w:val="center"/>
          </w:tcPr>
          <w:p w:rsidR="00000000" w:rsidDel="00000000" w:rsidP="00000000" w:rsidRDefault="00000000" w:rsidRPr="00000000" w14:paraId="000000BB">
            <w:pPr>
              <w:rPr/>
            </w:pPr>
            <w:r w:rsidDel="00000000" w:rsidR="00000000" w:rsidRPr="00000000">
              <w:rPr>
                <w:rtl w:val="0"/>
              </w:rPr>
              <w:t xml:space="preserve">Lot 4d</w:t>
            </w:r>
          </w:p>
        </w:tc>
        <w:tc>
          <w:tcPr>
            <w:vAlign w:val="center"/>
          </w:tcPr>
          <w:p w:rsidR="00000000" w:rsidDel="00000000" w:rsidP="00000000" w:rsidRDefault="00000000" w:rsidRPr="00000000" w14:paraId="000000BC">
            <w:pPr>
              <w:rPr/>
            </w:pPr>
            <w:r w:rsidDel="00000000" w:rsidR="00000000" w:rsidRPr="00000000">
              <w:rPr>
                <w:rtl w:val="0"/>
              </w:rPr>
              <w:t xml:space="preserve">20</w:t>
            </w:r>
          </w:p>
        </w:tc>
      </w:tr>
      <w:tr>
        <w:trPr>
          <w:cantSplit w:val="0"/>
          <w:trHeight w:val="567" w:hRule="atLeast"/>
          <w:tblHeader w:val="0"/>
        </w:trPr>
        <w:tc>
          <w:tcPr>
            <w:vAlign w:val="center"/>
          </w:tcPr>
          <w:p w:rsidR="00000000" w:rsidDel="00000000" w:rsidP="00000000" w:rsidRDefault="00000000" w:rsidRPr="00000000" w14:paraId="000000BD">
            <w:pPr>
              <w:rPr/>
            </w:pPr>
            <w:r w:rsidDel="00000000" w:rsidR="00000000" w:rsidRPr="00000000">
              <w:rPr>
                <w:rtl w:val="0"/>
              </w:rPr>
              <w:t xml:space="preserve">Lot 4e</w:t>
            </w:r>
          </w:p>
        </w:tc>
        <w:tc>
          <w:tcPr>
            <w:vAlign w:val="center"/>
          </w:tcPr>
          <w:p w:rsidR="00000000" w:rsidDel="00000000" w:rsidP="00000000" w:rsidRDefault="00000000" w:rsidRPr="00000000" w14:paraId="000000BE">
            <w:pPr>
              <w:rPr/>
            </w:pPr>
            <w:r w:rsidDel="00000000" w:rsidR="00000000" w:rsidRPr="00000000">
              <w:rPr>
                <w:rtl w:val="0"/>
              </w:rPr>
              <w:t xml:space="preserve">10</w:t>
            </w:r>
          </w:p>
        </w:tc>
      </w:tr>
    </w:tbl>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7"/>
      <w:bookmarkEnd w:id="7"/>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color w:val="000000"/>
          <w:sz w:val="24"/>
          <w:szCs w:val="24"/>
          <w:rtl w:val="0"/>
        </w:rPr>
        <w:t xml:space="preserve">open procedure. This means that anyone can submit a bid in response to the published contract notice.</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C4">
      <w:pPr>
        <w:numPr>
          <w:ilvl w:val="0"/>
          <w:numId w:val="5"/>
        </w:numPr>
        <w:ind w:left="566.9291338582675" w:hanging="270"/>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C5">
      <w:pPr>
        <w:numPr>
          <w:ilvl w:val="0"/>
          <w:numId w:val="5"/>
        </w:numPr>
        <w:ind w:left="566.9291338582675" w:hanging="270"/>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C7">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8"/>
      <w:bookmarkEnd w:id="8"/>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C9">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CA">
            <w:pPr>
              <w:spacing w:after="120" w:before="120" w:lineRule="auto"/>
              <w:rPr>
                <w:highlight w:val="white"/>
              </w:rPr>
            </w:pPr>
            <w:r w:rsidDel="00000000" w:rsidR="00000000" w:rsidRPr="00000000">
              <w:rPr>
                <w:highlight w:val="white"/>
                <w:rtl w:val="0"/>
              </w:rPr>
              <w:t xml:space="preserve">18/11/2022</w:t>
            </w:r>
          </w:p>
        </w:tc>
      </w:tr>
      <w:tr>
        <w:trPr>
          <w:cantSplit w:val="0"/>
          <w:tblHeader w:val="0"/>
        </w:trPr>
        <w:tc>
          <w:tcPr/>
          <w:p w:rsidR="00000000" w:rsidDel="00000000" w:rsidP="00000000" w:rsidRDefault="00000000" w:rsidRPr="00000000" w14:paraId="000000CB">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CC">
            <w:pPr>
              <w:spacing w:after="120" w:before="120" w:lineRule="auto"/>
              <w:rPr>
                <w:highlight w:val="white"/>
              </w:rPr>
            </w:pPr>
            <w:r w:rsidDel="00000000" w:rsidR="00000000" w:rsidRPr="00000000">
              <w:rPr>
                <w:highlight w:val="white"/>
                <w:rtl w:val="0"/>
              </w:rPr>
              <w:t xml:space="preserve">18/11/2022</w:t>
            </w:r>
          </w:p>
        </w:tc>
      </w:tr>
      <w:tr>
        <w:trPr>
          <w:cantSplit w:val="0"/>
          <w:tblHeader w:val="0"/>
        </w:trPr>
        <w:tc>
          <w:tcPr/>
          <w:p w:rsidR="00000000" w:rsidDel="00000000" w:rsidP="00000000" w:rsidRDefault="00000000" w:rsidRPr="00000000" w14:paraId="000000CD">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E">
            <w:pPr>
              <w:rPr>
                <w:highlight w:val="white"/>
              </w:rPr>
            </w:pPr>
            <w:r w:rsidDel="00000000" w:rsidR="00000000" w:rsidRPr="00000000">
              <w:rPr>
                <w:highlight w:val="white"/>
                <w:rtl w:val="0"/>
              </w:rPr>
              <w:t xml:space="preserve">17:00 9/12/2022</w:t>
            </w:r>
          </w:p>
        </w:tc>
      </w:tr>
      <w:tr>
        <w:trPr>
          <w:cantSplit w:val="0"/>
          <w:tblHeader w:val="0"/>
        </w:trPr>
        <w:tc>
          <w:tcPr/>
          <w:p w:rsidR="00000000" w:rsidDel="00000000" w:rsidP="00000000" w:rsidRDefault="00000000" w:rsidRPr="00000000" w14:paraId="000000CF">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D0">
            <w:pPr>
              <w:rPr>
                <w:highlight w:val="white"/>
              </w:rPr>
            </w:pPr>
            <w:r w:rsidDel="00000000" w:rsidR="00000000" w:rsidRPr="00000000">
              <w:rPr>
                <w:highlight w:val="white"/>
                <w:rtl w:val="0"/>
              </w:rPr>
              <w:t xml:space="preserve">17:00 22/12/2022</w:t>
            </w:r>
          </w:p>
        </w:tc>
      </w:tr>
      <w:tr>
        <w:trPr>
          <w:cantSplit w:val="0"/>
          <w:tblHeader w:val="0"/>
        </w:trPr>
        <w:tc>
          <w:tcPr/>
          <w:p w:rsidR="00000000" w:rsidDel="00000000" w:rsidP="00000000" w:rsidRDefault="00000000" w:rsidRPr="00000000" w14:paraId="000000D1">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2">
            <w:pPr>
              <w:rPr>
                <w:highlight w:val="white"/>
              </w:rPr>
            </w:pPr>
            <w:r w:rsidDel="00000000" w:rsidR="00000000" w:rsidRPr="00000000">
              <w:rPr>
                <w:highlight w:val="white"/>
                <w:rtl w:val="0"/>
              </w:rPr>
              <w:t xml:space="preserve">15:00 13/01/2023</w:t>
            </w:r>
          </w:p>
        </w:tc>
      </w:tr>
      <w:tr>
        <w:trPr>
          <w:cantSplit w:val="0"/>
          <w:tblHeader w:val="0"/>
        </w:trPr>
        <w:tc>
          <w:tcPr>
            <w:vAlign w:val="center"/>
          </w:tcPr>
          <w:p w:rsidR="00000000" w:rsidDel="00000000" w:rsidP="00000000" w:rsidRDefault="00000000" w:rsidRPr="00000000" w14:paraId="000000D3">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D4">
            <w:pPr>
              <w:rPr>
                <w:highlight w:val="white"/>
              </w:rPr>
            </w:pPr>
            <w:r w:rsidDel="00000000" w:rsidR="00000000" w:rsidRPr="00000000">
              <w:rPr>
                <w:highlight w:val="white"/>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D5">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6">
            <w:pPr>
              <w:rPr>
                <w:highlight w:val="white"/>
              </w:rPr>
            </w:pPr>
            <w:r w:rsidDel="00000000" w:rsidR="00000000" w:rsidRPr="00000000">
              <w:rPr>
                <w:highlight w:val="white"/>
                <w:rtl w:val="0"/>
              </w:rPr>
              <w:t xml:space="preserve">12/05/2023</w:t>
            </w:r>
          </w:p>
        </w:tc>
      </w:tr>
      <w:tr>
        <w:trPr>
          <w:cantSplit w:val="0"/>
          <w:trHeight w:val="737" w:hRule="atLeast"/>
          <w:tblHeader w:val="0"/>
        </w:trPr>
        <w:tc>
          <w:tcPr/>
          <w:p w:rsidR="00000000" w:rsidDel="00000000" w:rsidP="00000000" w:rsidRDefault="00000000" w:rsidRPr="00000000" w14:paraId="000000D7">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8">
            <w:pPr>
              <w:rPr>
                <w:highlight w:val="white"/>
              </w:rPr>
            </w:pPr>
            <w:r w:rsidDel="00000000" w:rsidR="00000000" w:rsidRPr="00000000">
              <w:rPr>
                <w:highlight w:val="white"/>
                <w:rtl w:val="0"/>
              </w:rPr>
              <w:t xml:space="preserve">midnight at the end of 22/05/2023</w:t>
            </w:r>
          </w:p>
        </w:tc>
      </w:tr>
      <w:tr>
        <w:trPr>
          <w:cantSplit w:val="0"/>
          <w:tblHeader w:val="0"/>
        </w:trPr>
        <w:tc>
          <w:tcPr/>
          <w:p w:rsidR="00000000" w:rsidDel="00000000" w:rsidP="00000000" w:rsidRDefault="00000000" w:rsidRPr="00000000" w14:paraId="000000D9">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DA">
            <w:pPr>
              <w:rPr>
                <w:highlight w:val="white"/>
              </w:rPr>
            </w:pPr>
            <w:r w:rsidDel="00000000" w:rsidR="00000000" w:rsidRPr="00000000">
              <w:rPr>
                <w:highlight w:val="white"/>
                <w:rtl w:val="0"/>
              </w:rPr>
              <w:t xml:space="preserve">23/05/2023</w:t>
            </w:r>
          </w:p>
        </w:tc>
      </w:tr>
      <w:tr>
        <w:trPr>
          <w:cantSplit w:val="0"/>
          <w:tblHeader w:val="0"/>
        </w:trPr>
        <w:tc>
          <w:tcPr/>
          <w:p w:rsidR="00000000" w:rsidDel="00000000" w:rsidP="00000000" w:rsidRDefault="00000000" w:rsidRPr="00000000" w14:paraId="000000DB">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C">
            <w:pPr>
              <w:rPr>
                <w:highlight w:val="white"/>
              </w:rPr>
            </w:pPr>
            <w:r w:rsidDel="00000000" w:rsidR="00000000" w:rsidRPr="00000000">
              <w:rPr>
                <w:highlight w:val="white"/>
                <w:rtl w:val="0"/>
              </w:rPr>
              <w:t xml:space="preserve">23/05/2023</w:t>
            </w:r>
          </w:p>
        </w:tc>
      </w:tr>
    </w:tbl>
    <w:p w:rsidR="00000000" w:rsidDel="00000000" w:rsidP="00000000" w:rsidRDefault="00000000" w:rsidRPr="00000000" w14:paraId="000000DD">
      <w:pPr>
        <w:rPr>
          <w:rFonts w:ascii="Arial" w:cs="Arial" w:eastAsia="Arial" w:hAnsi="Arial"/>
          <w:b w:val="1"/>
          <w:sz w:val="32"/>
          <w:szCs w:val="32"/>
        </w:rPr>
      </w:pPr>
      <w:bookmarkStart w:colFirst="0" w:colLast="0" w:name="_heading=h.2s8eyo1" w:id="9"/>
      <w:bookmarkEnd w:id="9"/>
      <w:r w:rsidDel="00000000" w:rsidR="00000000" w:rsidRPr="00000000">
        <w:rPr>
          <w:rtl w:val="0"/>
        </w:rPr>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10"/>
      <w:bookmarkEnd w:id="10"/>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1"/>
      <w:bookmarkEnd w:id="11"/>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E5">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p>
    <w:p w:rsidR="00000000" w:rsidDel="00000000" w:rsidP="00000000" w:rsidRDefault="00000000" w:rsidRPr="00000000" w14:paraId="000000E6">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2"/>
      <w:bookmarkEnd w:id="12"/>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Fonts w:ascii="Arial" w:cs="Arial" w:eastAsia="Arial" w:hAnsi="Arial"/>
          <w:sz w:val="24"/>
          <w:szCs w:val="24"/>
          <w:rtl w:val="0"/>
        </w:rPr>
        <w:t xml:space="preserve"> services will only be provided to buyers under Call-Off contracts, no services will be provided to CCS under the Framework Contract.</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think that TUPE may apply to </w:t>
      </w:r>
      <w:r w:rsidDel="00000000" w:rsidR="00000000" w:rsidRPr="00000000">
        <w:rPr>
          <w:rFonts w:ascii="Arial" w:cs="Arial" w:eastAsia="Arial" w:hAnsi="Arial"/>
          <w:b w:val="1"/>
          <w:color w:val="000000"/>
          <w:sz w:val="24"/>
          <w:szCs w:val="24"/>
          <w:highlight w:val="white"/>
          <w:rtl w:val="0"/>
        </w:rPr>
        <w:t xml:space="preserve">Call-Off contracts</w:t>
      </w:r>
      <w:r w:rsidDel="00000000" w:rsidR="00000000" w:rsidRPr="00000000">
        <w:rPr>
          <w:rFonts w:ascii="Arial" w:cs="Arial" w:eastAsia="Arial" w:hAnsi="Arial"/>
          <w:color w:val="000000"/>
          <w:sz w:val="24"/>
          <w:szCs w:val="24"/>
          <w:highlight w:val="white"/>
          <w:rtl w:val="0"/>
        </w:rPr>
        <w:t xml:space="preserve"> because:</w:t>
      </w:r>
    </w:p>
    <w:p w:rsidR="00000000" w:rsidDel="00000000" w:rsidP="00000000" w:rsidRDefault="00000000" w:rsidRPr="00000000" w14:paraId="000000EB">
      <w:pPr>
        <w:numPr>
          <w:ilvl w:val="0"/>
          <w:numId w:val="5"/>
        </w:numPr>
        <w:ind w:left="1985" w:hanging="566.9999999999999"/>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responsibility for delivering those or comparable services will transfer to the supplier who is awarded the Call-Off contract</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can’t provide information in respect of employees at this stage because it’s not available. It will be provided by the customer at Call-Off stage.</w:t>
      </w:r>
    </w:p>
    <w:p w:rsidR="00000000" w:rsidDel="00000000" w:rsidP="00000000" w:rsidRDefault="00000000" w:rsidRPr="00000000" w14:paraId="000000EF">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3"/>
      <w:bookmarkEnd w:id="13"/>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sets out the rules of this competition. It needs to be read together with the ITT pack. </w:t>
      </w:r>
    </w:p>
    <w:p w:rsidR="00000000" w:rsidDel="00000000" w:rsidP="00000000" w:rsidRDefault="00000000" w:rsidRPr="00000000" w14:paraId="000000F1">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4"/>
      <w:bookmarkEnd w:id="14"/>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F3">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a m</w:t>
      </w:r>
      <w:r w:rsidDel="00000000" w:rsidR="00000000" w:rsidRPr="00000000">
        <w:rPr>
          <w:rFonts w:ascii="Arial" w:cs="Arial" w:eastAsia="Arial" w:hAnsi="Arial"/>
          <w:sz w:val="24"/>
          <w:szCs w:val="24"/>
          <w:rtl w:val="0"/>
        </w:rPr>
        <w:t xml:space="preserve">inimum of 6 months </w:t>
      </w:r>
      <w:r w:rsidDel="00000000" w:rsidR="00000000" w:rsidRPr="00000000">
        <w:rPr>
          <w:rFonts w:ascii="Arial" w:cs="Arial" w:eastAsia="Arial" w:hAnsi="Arial"/>
          <w:color w:val="000000"/>
          <w:sz w:val="24"/>
          <w:szCs w:val="24"/>
          <w:rtl w:val="0"/>
        </w:rPr>
        <w:t xml:space="preserve">after the bid submission deadline.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F7">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highlight w:val="white"/>
          <w:rtl w:val="0"/>
        </w:rPr>
        <w:t xml:space="preserve">or the same lot, we may make further enquiries. For example, where you submit</w:t>
      </w:r>
      <w:r w:rsidDel="00000000" w:rsidR="00000000" w:rsidRPr="00000000">
        <w:rPr>
          <w:rFonts w:ascii="Arial" w:cs="Arial" w:eastAsia="Arial" w:hAnsi="Arial"/>
          <w:color w:val="000000"/>
          <w:sz w:val="24"/>
          <w:szCs w:val="24"/>
          <w:rtl w:val="0"/>
        </w:rPr>
        <w:t xml:space="preserve"> a bid:</w:t>
      </w:r>
    </w:p>
    <w:p w:rsidR="00000000" w:rsidDel="00000000" w:rsidP="00000000" w:rsidRDefault="00000000" w:rsidRPr="00000000" w14:paraId="000000F9">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A">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B">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FC">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D">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E">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F">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00">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5"/>
      <w:bookmarkEnd w:id="15"/>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02">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03">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04">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5">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6">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109">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B">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require a consortium to form a specific legal entity when signing a Framework Contract. </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E">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10">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11">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12">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4">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bookmarkStart w:colFirst="0" w:colLast="0" w:name="_heading=h.2jxsxqh" w:id="16"/>
      <w:bookmarkEnd w:id="16"/>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16">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7">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8">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A">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C">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D">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E">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F">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20">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21">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22">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23">
      <w:pPr>
        <w:numPr>
          <w:ilvl w:val="0"/>
          <w:numId w:val="5"/>
        </w:numPr>
        <w:ind w:left="1275.5905511811022" w:hanging="55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extend lots by varying durations of 1 year plus a further one year period.  </w:t>
      </w:r>
    </w:p>
    <w:p w:rsidR="00000000" w:rsidDel="00000000" w:rsidP="00000000" w:rsidRDefault="00000000" w:rsidRPr="00000000" w14:paraId="00000124">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5">
      <w:pPr>
        <w:numPr>
          <w:ilvl w:val="1"/>
          <w:numId w:val="7"/>
        </w:numPr>
        <w:pBdr>
          <w:top w:space="0" w:sz="0" w:val="nil"/>
          <w:left w:space="0" w:sz="0" w:val="nil"/>
          <w:bottom w:space="0" w:sz="0" w:val="nil"/>
          <w:right w:space="0" w:sz="0" w:val="nil"/>
          <w:between w:space="0" w:sz="0" w:val="nil"/>
        </w:pBdr>
        <w:spacing w:after="80" w:lineRule="auto"/>
        <w:ind w:left="1275.590551181102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6">
      <w:pPr>
        <w:numPr>
          <w:ilvl w:val="1"/>
          <w:numId w:val="7"/>
        </w:numPr>
        <w:pBdr>
          <w:top w:space="0" w:sz="0" w:val="nil"/>
          <w:left w:space="0" w:sz="0" w:val="nil"/>
          <w:bottom w:space="0" w:sz="0" w:val="nil"/>
          <w:right w:space="0" w:sz="0" w:val="nil"/>
          <w:between w:space="0" w:sz="0" w:val="nil"/>
        </w:pBdr>
        <w:spacing w:after="80" w:lineRule="auto"/>
        <w:ind w:left="1275.590551181102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7">
      <w:pPr>
        <w:numPr>
          <w:ilvl w:val="1"/>
          <w:numId w:val="7"/>
        </w:numPr>
        <w:pBdr>
          <w:top w:space="0" w:sz="0" w:val="nil"/>
          <w:left w:space="0" w:sz="0" w:val="nil"/>
          <w:bottom w:space="0" w:sz="0" w:val="nil"/>
          <w:right w:space="0" w:sz="0" w:val="nil"/>
          <w:between w:space="0" w:sz="0" w:val="nil"/>
        </w:pBdr>
        <w:spacing w:after="80" w:lineRule="auto"/>
        <w:ind w:left="1984.251968503937" w:hanging="5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8">
      <w:pPr>
        <w:numPr>
          <w:ilvl w:val="1"/>
          <w:numId w:val="7"/>
        </w:numPr>
        <w:pBdr>
          <w:top w:space="0" w:sz="0" w:val="nil"/>
          <w:left w:space="0" w:sz="0" w:val="nil"/>
          <w:bottom w:space="0" w:sz="0" w:val="nil"/>
          <w:right w:space="0" w:sz="0" w:val="nil"/>
          <w:between w:space="0" w:sz="0" w:val="nil"/>
        </w:pBdr>
        <w:spacing w:after="80" w:lineRule="auto"/>
        <w:ind w:left="1984.251968503937" w:hanging="5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9">
      <w:pPr>
        <w:numPr>
          <w:ilvl w:val="1"/>
          <w:numId w:val="7"/>
        </w:numPr>
        <w:pBdr>
          <w:top w:space="0" w:sz="0" w:val="nil"/>
          <w:left w:space="0" w:sz="0" w:val="nil"/>
          <w:bottom w:space="0" w:sz="0" w:val="nil"/>
          <w:right w:space="0" w:sz="0" w:val="nil"/>
          <w:between w:space="0" w:sz="0" w:val="nil"/>
        </w:pBdr>
        <w:spacing w:after="80" w:lineRule="auto"/>
        <w:ind w:left="1984.251968503937" w:hanging="5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A">
      <w:pPr>
        <w:numPr>
          <w:ilvl w:val="1"/>
          <w:numId w:val="7"/>
        </w:numPr>
        <w:pBdr>
          <w:top w:space="0" w:sz="0" w:val="nil"/>
          <w:left w:space="0" w:sz="0" w:val="nil"/>
          <w:bottom w:space="0" w:sz="0" w:val="nil"/>
          <w:right w:space="0" w:sz="0" w:val="nil"/>
          <w:between w:space="0" w:sz="0" w:val="nil"/>
        </w:pBdr>
        <w:spacing w:after="80" w:lineRule="auto"/>
        <w:ind w:left="1984.251968503937" w:hanging="5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B">
      <w:pPr>
        <w:numPr>
          <w:ilvl w:val="1"/>
          <w:numId w:val="7"/>
        </w:numPr>
        <w:pBdr>
          <w:top w:space="0" w:sz="0" w:val="nil"/>
          <w:left w:space="0" w:sz="0" w:val="nil"/>
          <w:bottom w:space="0" w:sz="0" w:val="nil"/>
          <w:right w:space="0" w:sz="0" w:val="nil"/>
          <w:between w:space="0" w:sz="0" w:val="nil"/>
        </w:pBdr>
        <w:spacing w:after="80" w:lineRule="auto"/>
        <w:ind w:left="1984.251968503937" w:hanging="5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C">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E">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F">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30">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31">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32">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34">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6">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7">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A">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D">
      <w:pPr>
        <w:numPr>
          <w:ilvl w:val="0"/>
          <w:numId w:val="5"/>
        </w:numPr>
        <w:ind w:left="1275.5905511811022"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E">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F">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1">
      <w:pPr>
        <w:numPr>
          <w:ilvl w:val="1"/>
          <w:numId w:val="6"/>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4">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17"/>
      <w:bookmarkEnd w:id="17"/>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45">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46">
      <w:pPr>
        <w:spacing w:after="200" w:line="276" w:lineRule="auto"/>
        <w:rPr>
          <w:sz w:val="28"/>
          <w:szCs w:val="28"/>
        </w:rPr>
      </w:pPr>
      <w:r w:rsidDel="00000000" w:rsidR="00000000" w:rsidRPr="00000000">
        <w:rPr>
          <w:rFonts w:ascii="Arial" w:cs="Arial" w:eastAsia="Arial" w:hAnsi="Arial"/>
          <w:sz w:val="24"/>
          <w:szCs w:val="24"/>
          <w:rtl w:val="0"/>
        </w:rPr>
        <w:t xml:space="preserve">10.1   </w:t>
      </w:r>
      <w:r w:rsidDel="00000000" w:rsidR="00000000" w:rsidRPr="00000000">
        <w:rPr>
          <w:rFonts w:ascii="Arial" w:cs="Arial" w:eastAsia="Arial" w:hAnsi="Arial"/>
          <w:b w:val="1"/>
          <w:sz w:val="28"/>
          <w:szCs w:val="28"/>
          <w:rtl w:val="0"/>
        </w:rPr>
        <w:t xml:space="preserve">Core terms </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pos="709"/>
        </w:tabs>
        <w:spacing w:after="120" w:before="240" w:line="240" w:lineRule="auto"/>
        <w:ind w:left="708.6614173228347" w:hanging="708.6614173228347"/>
        <w:rPr>
          <w:sz w:val="28"/>
          <w:szCs w:val="28"/>
        </w:rPr>
      </w:pPr>
      <w:r w:rsidDel="00000000" w:rsidR="00000000" w:rsidRPr="00000000">
        <w:rPr>
          <w:rFonts w:ascii="Arial" w:cs="Arial" w:eastAsia="Arial" w:hAnsi="Arial"/>
          <w:sz w:val="28"/>
          <w:szCs w:val="28"/>
          <w:rtl w:val="0"/>
        </w:rPr>
        <w:t xml:space="preserve">10.2</w:t>
      </w:r>
      <w:r w:rsidDel="00000000" w:rsidR="00000000" w:rsidRPr="00000000">
        <w:rPr>
          <w:rFonts w:ascii="Arial" w:cs="Arial" w:eastAsia="Arial" w:hAnsi="Arial"/>
          <w:b w:val="1"/>
          <w:sz w:val="28"/>
          <w:szCs w:val="28"/>
          <w:rtl w:val="0"/>
        </w:rPr>
        <w:t xml:space="preserve">   Schedules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Refer to Section 9.5 (The Contract Terms) for schedules.</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pos="709"/>
        </w:tabs>
        <w:spacing w:after="120" w:before="240" w:line="240" w:lineRule="auto"/>
        <w:ind w:left="1440" w:hanging="1440"/>
        <w:rPr>
          <w:sz w:val="28"/>
          <w:szCs w:val="28"/>
        </w:rPr>
      </w:pPr>
      <w:r w:rsidDel="00000000" w:rsidR="00000000" w:rsidRPr="00000000">
        <w:rPr>
          <w:rFonts w:ascii="Arial" w:cs="Arial" w:eastAsia="Arial" w:hAnsi="Arial"/>
          <w:sz w:val="28"/>
          <w:szCs w:val="28"/>
          <w:rtl w:val="0"/>
        </w:rPr>
        <w:t xml:space="preserve">10.3</w:t>
      </w:r>
      <w:r w:rsidDel="00000000" w:rsidR="00000000" w:rsidRPr="00000000">
        <w:rPr>
          <w:rFonts w:ascii="Arial" w:cs="Arial" w:eastAsia="Arial" w:hAnsi="Arial"/>
          <w:b w:val="1"/>
          <w:sz w:val="28"/>
          <w:szCs w:val="28"/>
          <w:rtl w:val="0"/>
        </w:rPr>
        <w:t xml:space="preserve">  Framework award form</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withdraw our offer of a Framework agreement.</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pos="709"/>
        </w:tabs>
        <w:spacing w:after="120" w:before="240" w:line="240" w:lineRule="auto"/>
        <w:ind w:left="1440" w:hanging="1440"/>
        <w:rPr>
          <w:sz w:val="28"/>
          <w:szCs w:val="28"/>
        </w:rPr>
      </w:pPr>
      <w:r w:rsidDel="00000000" w:rsidR="00000000" w:rsidRPr="00000000">
        <w:rPr>
          <w:rFonts w:ascii="Arial" w:cs="Arial" w:eastAsia="Arial" w:hAnsi="Arial"/>
          <w:sz w:val="28"/>
          <w:szCs w:val="28"/>
          <w:rtl w:val="0"/>
        </w:rPr>
        <w:t xml:space="preserve">10.4</w:t>
      </w:r>
      <w:r w:rsidDel="00000000" w:rsidR="00000000" w:rsidRPr="00000000">
        <w:rPr>
          <w:rFonts w:ascii="Arial" w:cs="Arial" w:eastAsia="Arial" w:hAnsi="Arial"/>
          <w:b w:val="1"/>
          <w:sz w:val="28"/>
          <w:szCs w:val="28"/>
          <w:rtl w:val="0"/>
        </w:rPr>
        <w:t xml:space="preserve"> Order form</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52">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3">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54">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55">
      <w:pPr>
        <w:numPr>
          <w:ilvl w:val="0"/>
          <w:numId w:val="5"/>
        </w:numPr>
        <w:ind w:left="1417.3228346456694" w:hanging="55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56">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8">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9">
      <w:pPr>
        <w:numPr>
          <w:ilvl w:val="0"/>
          <w:numId w:val="5"/>
        </w:numPr>
        <w:ind w:left="1417.3228346456694"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pos="705"/>
        </w:tabs>
        <w:spacing w:after="120" w:before="240" w:line="240" w:lineRule="auto"/>
        <w:ind w:left="1440" w:hanging="1440"/>
        <w:rPr>
          <w:sz w:val="28"/>
          <w:szCs w:val="28"/>
        </w:rPr>
      </w:pPr>
      <w:r w:rsidDel="00000000" w:rsidR="00000000" w:rsidRPr="00000000">
        <w:rPr>
          <w:rFonts w:ascii="Arial" w:cs="Arial" w:eastAsia="Arial" w:hAnsi="Arial"/>
          <w:sz w:val="28"/>
          <w:szCs w:val="28"/>
          <w:rtl w:val="0"/>
        </w:rPr>
        <w:t xml:space="preserve">10.5</w:t>
      </w:r>
      <w:r w:rsidDel="00000000" w:rsidR="00000000" w:rsidRPr="00000000">
        <w:rPr>
          <w:rFonts w:ascii="Arial" w:cs="Arial" w:eastAsia="Arial" w:hAnsi="Arial"/>
          <w:b w:val="1"/>
          <w:sz w:val="28"/>
          <w:szCs w:val="28"/>
          <w:rtl w:val="0"/>
        </w:rPr>
        <w:t xml:space="preserve"> The contract documents</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r w:rsidDel="00000000" w:rsidR="00000000" w:rsidRPr="00000000">
        <w:rPr>
          <w:rtl w:val="0"/>
        </w:rPr>
      </w:r>
    </w:p>
    <w:p w:rsidR="00000000" w:rsidDel="00000000" w:rsidP="00000000" w:rsidRDefault="00000000" w:rsidRPr="00000000" w14:paraId="0000015D">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62">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highlight w:val="white"/>
              </w:rPr>
            </w:pPr>
            <w:r w:rsidDel="00000000" w:rsidR="00000000" w:rsidRPr="00000000">
              <w:rPr>
                <w:b w:val="1"/>
                <w:highlight w:val="white"/>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highlight w:val="white"/>
              </w:rPr>
            </w:pPr>
            <w:r w:rsidDel="00000000" w:rsidR="00000000" w:rsidRPr="00000000">
              <w:rPr>
                <w:highlight w:val="white"/>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4">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85">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86">
            <w:pPr>
              <w:widowControl w:val="0"/>
              <w:spacing w:after="80" w:lineRule="auto"/>
              <w:rPr/>
            </w:pPr>
            <w:r w:rsidDel="00000000" w:rsidR="00000000" w:rsidRPr="00000000">
              <w:rPr>
                <w:rtl w:val="0"/>
              </w:rPr>
            </w:r>
          </w:p>
          <w:p w:rsidR="00000000" w:rsidDel="00000000" w:rsidP="00000000" w:rsidRDefault="00000000" w:rsidRPr="00000000" w14:paraId="00000187">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88">
            <w:pPr>
              <w:widowControl w:val="0"/>
              <w:spacing w:after="80" w:lineRule="auto"/>
              <w:rPr/>
            </w:pPr>
            <w:r w:rsidDel="00000000" w:rsidR="00000000" w:rsidRPr="00000000">
              <w:rPr>
                <w:rtl w:val="0"/>
              </w:rPr>
            </w:r>
          </w:p>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Joint Schedule 7 (Financial Difficulties)</w:t>
            </w:r>
          </w:p>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spacing w:after="200" w:line="276" w:lineRule="auto"/>
              <w:ind w:left="0"/>
              <w:rPr>
                <w:b w:val="1"/>
                <w:sz w:val="12"/>
                <w:szCs w:val="12"/>
              </w:rPr>
            </w:pPr>
            <w:r w:rsidDel="00000000" w:rsidR="00000000" w:rsidRPr="00000000">
              <w:rPr>
                <w:b w:val="1"/>
                <w:rtl w:val="0"/>
              </w:rPr>
              <w:t xml:space="preserve">Joint Schedule 12 (Supply Chain Visibility)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rPr/>
            </w:pPr>
            <w:r w:rsidDel="00000000" w:rsidR="00000000" w:rsidRPr="00000000">
              <w:rPr>
                <w:rtl w:val="0"/>
              </w:rPr>
              <w:t xml:space="preserve">Requirement to advertise subcontractor opportunities for spend above £25,000</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As applies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15 </w:t>
            </w:r>
          </w:p>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b w:val="1"/>
              </w:rPr>
            </w:pPr>
            <w:r w:rsidDel="00000000" w:rsidR="00000000" w:rsidRPr="00000000">
              <w:rPr>
                <w:b w:val="1"/>
                <w:rtl w:val="0"/>
              </w:rPr>
              <w:t xml:space="preserve">Call-Off Schedule 20 (Specification)</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E">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2">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6">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259" w:lineRule="auto"/>
              <w:ind w:left="0" w:firstLine="0"/>
              <w:rPr>
                <w:b w:val="1"/>
              </w:rPr>
            </w:pPr>
            <w:r w:rsidDel="00000000" w:rsidR="00000000" w:rsidRPr="00000000">
              <w:rPr>
                <w:b w:val="1"/>
                <w:highlight w:val="white"/>
                <w:rtl w:val="0"/>
              </w:rPr>
              <w:t xml:space="preserve">Call-Off Schedule 24</w:t>
            </w:r>
            <w:r w:rsidDel="00000000" w:rsidR="00000000" w:rsidRPr="00000000">
              <w:rPr>
                <w:highlight w:val="white"/>
                <w:rtl w:val="0"/>
              </w:rPr>
              <w:t xml:space="preserve"> </w:t>
            </w:r>
            <w:r w:rsidDel="00000000" w:rsidR="00000000" w:rsidRPr="00000000">
              <w:rPr>
                <w:b w:val="1"/>
                <w:rtl w:val="0"/>
              </w:rPr>
              <w:t xml:space="preserve">(Supplier Furnished Terms)</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259" w:lineRule="auto"/>
              <w:ind w:left="0" w:firstLine="0"/>
              <w:rPr/>
            </w:pPr>
            <w:r w:rsidDel="00000000" w:rsidR="00000000" w:rsidRPr="00000000">
              <w:rPr>
                <w:rtl w:val="0"/>
              </w:rPr>
              <w:t xml:space="preserve">This schedule covers terms applicable for Licenced software </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259" w:lineRule="auto"/>
              <w:ind w:left="0" w:firstLine="0"/>
              <w:rPr/>
            </w:pPr>
            <w:r w:rsidDel="00000000" w:rsidR="00000000" w:rsidRPr="00000000">
              <w:rPr>
                <w:rtl w:val="0"/>
              </w:rPr>
              <w:t xml:space="preserve">As applies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80" w:line="259" w:lineRule="auto"/>
              <w:ind w:left="0"/>
              <w:rPr>
                <w:b w:val="1"/>
                <w:highlight w:val="white"/>
              </w:rPr>
            </w:pPr>
            <w:r w:rsidDel="00000000" w:rsidR="00000000" w:rsidRPr="00000000">
              <w:rPr>
                <w:b w:val="1"/>
                <w:highlight w:val="white"/>
                <w:rtl w:val="0"/>
              </w:rPr>
              <w:t xml:space="preserve">Call-Off Schedule 25 (Supplier Operational Terms)</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after="80" w:line="259" w:lineRule="auto"/>
              <w:ind w:left="0" w:firstLine="0"/>
              <w:rPr/>
            </w:pPr>
            <w:r w:rsidDel="00000000" w:rsidR="00000000" w:rsidRPr="00000000">
              <w:rPr>
                <w:rtl w:val="0"/>
              </w:rPr>
              <w:t xml:space="preserve">This schedule covers specific additional terms applicable for service requirements</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259" w:lineRule="auto"/>
              <w:ind w:left="0" w:firstLine="0"/>
              <w:rPr/>
            </w:pPr>
            <w:r w:rsidDel="00000000" w:rsidR="00000000" w:rsidRPr="00000000">
              <w:rPr>
                <w:rtl w:val="0"/>
              </w:rPr>
              <w:t xml:space="preserve">No</w:t>
            </w:r>
          </w:p>
        </w:tc>
      </w:tr>
    </w:tbl>
    <w:p w:rsidR="00000000" w:rsidDel="00000000" w:rsidP="00000000" w:rsidRDefault="00000000" w:rsidRPr="00000000" w14:paraId="000001FF">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200">
      <w:pPr>
        <w:tabs>
          <w:tab w:val="left" w:pos="2290"/>
        </w:tabs>
        <w:spacing w:after="200" w:line="276" w:lineRule="auto"/>
        <w:rPr/>
      </w:pPr>
      <w:r w:rsidDel="00000000" w:rsidR="00000000" w:rsidRPr="00000000">
        <w:rPr>
          <w:rtl w:val="0"/>
        </w:rPr>
      </w:r>
    </w:p>
    <w:p w:rsidR="00000000" w:rsidDel="00000000" w:rsidP="00000000" w:rsidRDefault="00000000" w:rsidRPr="00000000" w14:paraId="00000201">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18"/>
      <w:bookmarkEnd w:id="18"/>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202">
      <w:pPr>
        <w:numPr>
          <w:ilvl w:val="1"/>
          <w:numId w:val="8"/>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9"/>
      <w:bookmarkEnd w:id="19"/>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C">
      <w:pPr>
        <w:numPr>
          <w:ilvl w:val="1"/>
          <w:numId w:val="8"/>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D">
      <w:pPr>
        <w:numPr>
          <w:ilvl w:val="0"/>
          <w:numId w:val="4"/>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color w:val="000000"/>
          <w:sz w:val="32"/>
          <w:szCs w:val="32"/>
        </w:rPr>
      </w:pPr>
      <w:bookmarkStart w:colFirst="0" w:colLast="0" w:name="_heading=h.4i7ojhp" w:id="20"/>
      <w:bookmarkEnd w:id="20"/>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20E">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F">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10">
      <w:pPr>
        <w:numPr>
          <w:ilvl w:val="0"/>
          <w:numId w:val="5"/>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1">
      <w:pPr>
        <w:numPr>
          <w:ilvl w:val="0"/>
          <w:numId w:val="5"/>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4">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5">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A">
      <w:pPr>
        <w:numPr>
          <w:ilvl w:val="1"/>
          <w:numId w:val="4"/>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headerReference r:id="rId22" w:type="first"/>
      <w:footerReference r:id="rId23" w:type="default"/>
      <w:footerReference r:id="rId24"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4</w:t>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v4.0</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6116 Network Services 3</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 Crown Copyright</w:t>
      <w:tab/>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ab/>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27</w:t>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v4.0</w:t>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pos="4513"/>
        <w:tab w:val="right" w:pos="9026"/>
      </w:tabs>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6116 Network Services 3</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8">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17"/>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pPr>
      <w:numPr>
        <w:numId w:val="18"/>
      </w:numPr>
    </w:pPr>
  </w:style>
  <w:style w:type="paragraph" w:styleId="Style7" w:customStyle="1">
    <w:name w:val="Style7"/>
    <w:basedOn w:val="Heading1"/>
    <w:next w:val="Style8"/>
    <w:link w:val="Style7Char"/>
    <w:qFormat w:val="1"/>
    <w:rsid w:val="003955D8"/>
    <w:pPr>
      <w:keepLines w:val="0"/>
      <w:numPr>
        <w:numId w:val="9"/>
      </w:numPr>
      <w:tabs>
        <w:tab w:val="left" w:pos="851"/>
      </w:tabs>
      <w:adjustRightInd w:val="0"/>
      <w:spacing w:after="120" w:line="240" w:lineRule="auto"/>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9"/>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9"/>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9"/>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numPr>
        <w:numId w:val="12"/>
      </w:numPr>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numPr>
        <w:ilvl w:val="1"/>
        <w:numId w:val="12"/>
      </w:numPr>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numPr>
        <w:ilvl w:val="2"/>
        <w:numId w:val="12"/>
      </w:numPr>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numPr>
        <w:ilvl w:val="3"/>
        <w:numId w:val="12"/>
      </w:numPr>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crowncommercialservice.bravosolution.co.uk/" TargetMode="External"/><Relationship Id="rId22" Type="http://schemas.openxmlformats.org/officeDocument/2006/relationships/header" Target="header2.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gov.uk/government/publications/esourcing-tool-guidance-for-suppliers" TargetMode="External"/><Relationship Id="rId24" Type="http://schemas.openxmlformats.org/officeDocument/2006/relationships/footer" Target="footer2.xml"/><Relationship Id="rId12" Type="http://schemas.openxmlformats.org/officeDocument/2006/relationships/hyperlink" Target="https://crowncommercialservice.bravosolution.co.uk/"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HtPgarapntGFTZ+WPXPb1GqbYw==">AMUW2mWcZU8+NrPAjSFzc87y0N+1uoZ8OWs+ttDxt02m4EH0Sex/tMFHZsuIavV8GMQTFf6LsAPiSEejv3kxVwsgCOaNRQjDjicBVL7Hs14Rflrtr2Aqk8drcSnFOq/aDUXay14jru2stwqhWl9q0LFDUhuoG5Q0eDN/S1zYAGdzBHeShSeNpNmu11gmt/K1rlXqW/lXAwsHN3DEXjbCEcXAdQUwjpYPZcNjpM+VGMOLtfXlqSHwmKGYd3SAKWeF7a5tdsbmL5CMAKo06rxkHlyORfaq6RzDgnnxKlYsTPg/MymsZQ/KweqU4ts0kM/4fxejZNsOhDlBFaAdunczkAfhqRLgZj28fUahK31oEyEL6A11uBdzuRoENYHi1Ina+qG4R3qtiJg28BJN10XGErwu2hDh6CNP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2022-04-22T12:36:00Z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