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0" w:type="dxa"/>
        <w:tblLook w:val="04A0" w:firstRow="1" w:lastRow="0" w:firstColumn="1" w:lastColumn="0" w:noHBand="0" w:noVBand="1"/>
      </w:tblPr>
      <w:tblGrid>
        <w:gridCol w:w="440"/>
        <w:gridCol w:w="7777"/>
        <w:gridCol w:w="5953"/>
      </w:tblGrid>
      <w:tr w:rsidR="004545E7" w14:paraId="39AFE5E7" w14:textId="193FF630" w:rsidTr="00A511BE">
        <w:tc>
          <w:tcPr>
            <w:tcW w:w="440" w:type="dxa"/>
          </w:tcPr>
          <w:p w14:paraId="30574C53" w14:textId="77777777" w:rsidR="004545E7" w:rsidRPr="009B6ED5" w:rsidRDefault="004545E7">
            <w:pPr>
              <w:rPr>
                <w:b/>
              </w:rPr>
            </w:pPr>
          </w:p>
        </w:tc>
        <w:tc>
          <w:tcPr>
            <w:tcW w:w="7777" w:type="dxa"/>
          </w:tcPr>
          <w:p w14:paraId="227D3D93" w14:textId="7586FBA2" w:rsidR="004545E7" w:rsidRPr="009B6ED5" w:rsidRDefault="004545E7">
            <w:pPr>
              <w:rPr>
                <w:b/>
              </w:rPr>
            </w:pPr>
            <w:r w:rsidRPr="009B6ED5">
              <w:rPr>
                <w:b/>
              </w:rPr>
              <w:t>Clarification Question</w:t>
            </w:r>
            <w:r>
              <w:rPr>
                <w:b/>
              </w:rPr>
              <w:t>s</w:t>
            </w:r>
          </w:p>
        </w:tc>
        <w:tc>
          <w:tcPr>
            <w:tcW w:w="5953" w:type="dxa"/>
          </w:tcPr>
          <w:p w14:paraId="7E4B721C" w14:textId="3A7BA40B" w:rsidR="004545E7" w:rsidRPr="009B6ED5" w:rsidRDefault="004545E7">
            <w:pPr>
              <w:rPr>
                <w:b/>
              </w:rPr>
            </w:pPr>
            <w:r>
              <w:rPr>
                <w:b/>
              </w:rPr>
              <w:t>Answers</w:t>
            </w:r>
          </w:p>
        </w:tc>
      </w:tr>
      <w:tr w:rsidR="00DD64D1" w14:paraId="1232F4EF" w14:textId="77777777" w:rsidTr="00A511BE">
        <w:tc>
          <w:tcPr>
            <w:tcW w:w="440" w:type="dxa"/>
          </w:tcPr>
          <w:p w14:paraId="26205385" w14:textId="532BE73B" w:rsidR="00DD64D1" w:rsidRDefault="00606343" w:rsidP="00237BFF">
            <w:r>
              <w:t>1</w:t>
            </w:r>
          </w:p>
        </w:tc>
        <w:tc>
          <w:tcPr>
            <w:tcW w:w="7777" w:type="dxa"/>
          </w:tcPr>
          <w:p w14:paraId="68A1F826" w14:textId="1B4EA9C9" w:rsidR="00DD64D1" w:rsidRPr="00BD2821" w:rsidRDefault="00856359" w:rsidP="00A511BE">
            <w:pPr>
              <w:pStyle w:val="ListParagraph"/>
              <w:numPr>
                <w:ilvl w:val="0"/>
                <w:numId w:val="28"/>
              </w:numPr>
            </w:pPr>
            <w:proofErr w:type="spellStart"/>
            <w:r w:rsidRPr="00BD2821">
              <w:rPr>
                <w:b/>
                <w:bCs/>
              </w:rPr>
              <w:t>Ludham</w:t>
            </w:r>
            <w:proofErr w:type="spellEnd"/>
            <w:r w:rsidRPr="00BD2821">
              <w:rPr>
                <w:b/>
                <w:bCs/>
              </w:rPr>
              <w:t xml:space="preserve"> and Potter Heigham Marshes</w:t>
            </w:r>
            <w:r>
              <w:t xml:space="preserve"> - </w:t>
            </w:r>
            <w:r w:rsidR="003D3F86">
              <w:t xml:space="preserve">The clarification </w:t>
            </w:r>
            <w:r w:rsidR="00561827">
              <w:t xml:space="preserve">response </w:t>
            </w:r>
            <w:r w:rsidR="003D3F86">
              <w:t xml:space="preserve">indicates that </w:t>
            </w:r>
            <w:r w:rsidRPr="00BD2821">
              <w:t xml:space="preserve">costs for </w:t>
            </w:r>
            <w:r w:rsidR="003E6FAB" w:rsidRPr="00BD2821">
              <w:rPr>
                <w:b/>
                <w:bCs/>
              </w:rPr>
              <w:t xml:space="preserve">only </w:t>
            </w:r>
            <w:r w:rsidR="00FD06CD" w:rsidRPr="00BD2821">
              <w:rPr>
                <w:b/>
                <w:bCs/>
              </w:rPr>
              <w:t xml:space="preserve">using </w:t>
            </w:r>
            <w:r w:rsidR="005D4B03" w:rsidRPr="00BD2821">
              <w:rPr>
                <w:b/>
                <w:bCs/>
              </w:rPr>
              <w:t xml:space="preserve">high-accuracy </w:t>
            </w:r>
            <w:proofErr w:type="spellStart"/>
            <w:r w:rsidR="005D4B03" w:rsidRPr="00BD2821">
              <w:rPr>
                <w:b/>
                <w:bCs/>
              </w:rPr>
              <w:t>gps</w:t>
            </w:r>
            <w:proofErr w:type="spellEnd"/>
            <w:r w:rsidR="005D4B03" w:rsidRPr="00BD2821">
              <w:t xml:space="preserve"> are required.</w:t>
            </w:r>
          </w:p>
          <w:p w14:paraId="4AF38591" w14:textId="77777777" w:rsidR="005D4B03" w:rsidRDefault="005D4B03" w:rsidP="00610B0C">
            <w:pPr>
              <w:pStyle w:val="ListParagraph"/>
            </w:pPr>
            <w:r>
              <w:t xml:space="preserve">Does this only apply to this site or </w:t>
            </w:r>
            <w:r w:rsidR="00610B0C">
              <w:t>also the other 5 NNR sites?</w:t>
            </w:r>
          </w:p>
          <w:p w14:paraId="4130E052" w14:textId="72C6AD4E" w:rsidR="00561827" w:rsidRDefault="00561827" w:rsidP="00610B0C">
            <w:pPr>
              <w:pStyle w:val="ListParagraph"/>
            </w:pPr>
          </w:p>
        </w:tc>
        <w:tc>
          <w:tcPr>
            <w:tcW w:w="5953" w:type="dxa"/>
          </w:tcPr>
          <w:p w14:paraId="0B1A7CD0" w14:textId="4A12C895" w:rsidR="00DD64D1" w:rsidRDefault="00E51450" w:rsidP="00FA39D9">
            <w:r>
              <w:t xml:space="preserve">Yes, this only applies to </w:t>
            </w:r>
            <w:proofErr w:type="spellStart"/>
            <w:r>
              <w:t>Ludham</w:t>
            </w:r>
            <w:proofErr w:type="spellEnd"/>
            <w:r>
              <w:t xml:space="preserve"> &amp; Potter Heigham Marshes. For the other sites, we would like two quotes – one with and one without using high-accuracy </w:t>
            </w:r>
            <w:proofErr w:type="spellStart"/>
            <w:r>
              <w:t>gps</w:t>
            </w:r>
            <w:proofErr w:type="spellEnd"/>
            <w:r>
              <w:t>.</w:t>
            </w:r>
          </w:p>
        </w:tc>
      </w:tr>
      <w:tr w:rsidR="00610B0C" w14:paraId="6813A61B" w14:textId="77777777" w:rsidTr="00A511BE">
        <w:tc>
          <w:tcPr>
            <w:tcW w:w="440" w:type="dxa"/>
          </w:tcPr>
          <w:p w14:paraId="619AF296" w14:textId="5652ABEE" w:rsidR="00610B0C" w:rsidRDefault="00606343" w:rsidP="00237BFF">
            <w:r>
              <w:t>2</w:t>
            </w:r>
          </w:p>
        </w:tc>
        <w:tc>
          <w:tcPr>
            <w:tcW w:w="7777" w:type="dxa"/>
          </w:tcPr>
          <w:p w14:paraId="195464C2" w14:textId="560AAE1F" w:rsidR="00610B0C" w:rsidRDefault="00610B0C" w:rsidP="00610B0C">
            <w:pPr>
              <w:pStyle w:val="ListParagraph"/>
              <w:numPr>
                <w:ilvl w:val="0"/>
                <w:numId w:val="28"/>
              </w:numPr>
            </w:pPr>
            <w:proofErr w:type="spellStart"/>
            <w:r w:rsidRPr="00BD2821">
              <w:rPr>
                <w:b/>
                <w:bCs/>
              </w:rPr>
              <w:t>Ludham</w:t>
            </w:r>
            <w:proofErr w:type="spellEnd"/>
            <w:r w:rsidRPr="00BD2821">
              <w:rPr>
                <w:b/>
                <w:bCs/>
              </w:rPr>
              <w:t xml:space="preserve"> and Potter Heigham Marshes</w:t>
            </w:r>
            <w:r>
              <w:t xml:space="preserve"> - The clarification </w:t>
            </w:r>
            <w:r w:rsidR="00561827">
              <w:t xml:space="preserve">response </w:t>
            </w:r>
            <w:r>
              <w:t xml:space="preserve">indicates that new </w:t>
            </w:r>
            <w:proofErr w:type="spellStart"/>
            <w:r>
              <w:t>feno</w:t>
            </w:r>
            <w:proofErr w:type="spellEnd"/>
            <w:r>
              <w:t xml:space="preserve"> markers will not be required for this site.</w:t>
            </w:r>
          </w:p>
          <w:p w14:paraId="76FE3FC2" w14:textId="77777777" w:rsidR="00610B0C" w:rsidRDefault="00610B0C" w:rsidP="00610B0C">
            <w:pPr>
              <w:pStyle w:val="ListParagraph"/>
            </w:pPr>
            <w:r>
              <w:t>Does this only apply to this site or also the other 5 NNR sites?</w:t>
            </w:r>
          </w:p>
          <w:p w14:paraId="1059533D" w14:textId="7B57EBCE" w:rsidR="00561827" w:rsidRDefault="00561827" w:rsidP="00610B0C">
            <w:pPr>
              <w:pStyle w:val="ListParagraph"/>
            </w:pPr>
          </w:p>
        </w:tc>
        <w:tc>
          <w:tcPr>
            <w:tcW w:w="5953" w:type="dxa"/>
          </w:tcPr>
          <w:p w14:paraId="433F6623" w14:textId="30B8E784" w:rsidR="00610B0C" w:rsidRDefault="00E51450" w:rsidP="00FA39D9">
            <w:r>
              <w:t xml:space="preserve">Yes, this only applies to </w:t>
            </w:r>
            <w:proofErr w:type="spellStart"/>
            <w:r>
              <w:t>Ludham</w:t>
            </w:r>
            <w:proofErr w:type="spellEnd"/>
            <w:r>
              <w:t xml:space="preserve"> &amp; Potter Heigham Marshes and not the other 5 sites. </w:t>
            </w:r>
          </w:p>
          <w:p w14:paraId="62535306" w14:textId="77777777" w:rsidR="00E51450" w:rsidRDefault="00E51450" w:rsidP="00FA39D9"/>
          <w:p w14:paraId="4DDB1078" w14:textId="235D924B" w:rsidR="00E51450" w:rsidRDefault="00E51450" w:rsidP="00462E18">
            <w:r>
              <w:t xml:space="preserve">We hope that new </w:t>
            </w:r>
            <w:proofErr w:type="spellStart"/>
            <w:r>
              <w:t>feno</w:t>
            </w:r>
            <w:proofErr w:type="spellEnd"/>
            <w:r>
              <w:t xml:space="preserve"> markers won’t be needed at the other sites but that </w:t>
            </w:r>
            <w:r w:rsidR="00462E18">
              <w:t xml:space="preserve">varies with habitats, </w:t>
            </w:r>
            <w:r>
              <w:t xml:space="preserve">disturbance and </w:t>
            </w:r>
            <w:r w:rsidR="00462E18">
              <w:t xml:space="preserve">efficient use of </w:t>
            </w:r>
            <w:proofErr w:type="gramStart"/>
            <w:r>
              <w:t>high-accuracy</w:t>
            </w:r>
            <w:proofErr w:type="gramEnd"/>
            <w:r>
              <w:t xml:space="preserve"> </w:t>
            </w:r>
            <w:proofErr w:type="spellStart"/>
            <w:r>
              <w:t>gps</w:t>
            </w:r>
            <w:proofErr w:type="spellEnd"/>
            <w:r w:rsidR="00462E18">
              <w:t>; in other words some replacements may be necessary.</w:t>
            </w:r>
          </w:p>
        </w:tc>
      </w:tr>
      <w:tr w:rsidR="004545E7" w14:paraId="2CB30252" w14:textId="43F30877" w:rsidTr="00A511BE">
        <w:tc>
          <w:tcPr>
            <w:tcW w:w="440" w:type="dxa"/>
          </w:tcPr>
          <w:p w14:paraId="6B9CF7A7" w14:textId="17C760FC" w:rsidR="004545E7" w:rsidRDefault="00606343" w:rsidP="00237BFF">
            <w:r>
              <w:t>3</w:t>
            </w:r>
          </w:p>
        </w:tc>
        <w:tc>
          <w:tcPr>
            <w:tcW w:w="7777" w:type="dxa"/>
          </w:tcPr>
          <w:p w14:paraId="66177366" w14:textId="57C1FBCF" w:rsidR="00561827" w:rsidRDefault="006A018C" w:rsidP="00462E18">
            <w:pPr>
              <w:pStyle w:val="ListParagraph"/>
              <w:numPr>
                <w:ilvl w:val="0"/>
                <w:numId w:val="28"/>
              </w:numPr>
            </w:pPr>
            <w:r>
              <w:t xml:space="preserve">Is the cost of Feno </w:t>
            </w:r>
            <w:r w:rsidR="00EC186E">
              <w:t xml:space="preserve">markers </w:t>
            </w:r>
            <w:r w:rsidR="00466BCA">
              <w:t>to be included in the</w:t>
            </w:r>
            <w:r w:rsidR="006C2ECB">
              <w:t xml:space="preserve"> quotations</w:t>
            </w:r>
            <w:r w:rsidR="00866662">
              <w:t xml:space="preserve">? Or are these costs to be refunded by NE separately. </w:t>
            </w:r>
            <w:r w:rsidR="006A6A0D">
              <w:t xml:space="preserve">It is also noted that there are different lengths of Feno markers </w:t>
            </w:r>
            <w:r w:rsidR="00046960">
              <w:t>– please confirm exact requirements</w:t>
            </w:r>
          </w:p>
        </w:tc>
        <w:tc>
          <w:tcPr>
            <w:tcW w:w="5953" w:type="dxa"/>
          </w:tcPr>
          <w:p w14:paraId="591B5CB3" w14:textId="593F556F" w:rsidR="004545E7" w:rsidRDefault="00A53EA8" w:rsidP="00FA39D9">
            <w:r>
              <w:t xml:space="preserve">As it is unknown at this stage, </w:t>
            </w:r>
            <w:proofErr w:type="gramStart"/>
            <w:r>
              <w:t>whether or not</w:t>
            </w:r>
            <w:proofErr w:type="gramEnd"/>
            <w:r>
              <w:t xml:space="preserve"> any new </w:t>
            </w:r>
            <w:proofErr w:type="spellStart"/>
            <w:r>
              <w:t>feno</w:t>
            </w:r>
            <w:proofErr w:type="spellEnd"/>
            <w:r>
              <w:t xml:space="preserve"> markers will be needed, the cost can be added later to the items in the invoice.</w:t>
            </w:r>
          </w:p>
        </w:tc>
      </w:tr>
      <w:tr w:rsidR="004545E7" w14:paraId="3AB66870" w14:textId="6AB99F91" w:rsidTr="00A511BE">
        <w:tc>
          <w:tcPr>
            <w:tcW w:w="440" w:type="dxa"/>
          </w:tcPr>
          <w:p w14:paraId="27D7C3C1" w14:textId="7BB5E1F7" w:rsidR="004545E7" w:rsidRDefault="00606343" w:rsidP="00534D3B">
            <w:r>
              <w:t>4</w:t>
            </w:r>
          </w:p>
        </w:tc>
        <w:tc>
          <w:tcPr>
            <w:tcW w:w="7777" w:type="dxa"/>
          </w:tcPr>
          <w:p w14:paraId="546D5EA5" w14:textId="77777777" w:rsidR="004545E7" w:rsidRDefault="00F43A79" w:rsidP="00A511BE">
            <w:pPr>
              <w:pStyle w:val="ListParagraph"/>
              <w:numPr>
                <w:ilvl w:val="0"/>
                <w:numId w:val="28"/>
              </w:numPr>
            </w:pPr>
            <w:r>
              <w:t xml:space="preserve">Will NE pay for the </w:t>
            </w:r>
            <w:proofErr w:type="spellStart"/>
            <w:r w:rsidR="00F068C8">
              <w:t>feno</w:t>
            </w:r>
            <w:proofErr w:type="spellEnd"/>
            <w:r w:rsidR="00F068C8">
              <w:t xml:space="preserve"> marker installation equipment </w:t>
            </w:r>
            <w:r w:rsidR="00AA34D9">
              <w:t xml:space="preserve">– should the costs of these be included in the returned </w:t>
            </w:r>
            <w:r w:rsidR="006C2ECB">
              <w:t>quotation</w:t>
            </w:r>
            <w:r w:rsidR="00A51337">
              <w:t>?</w:t>
            </w:r>
          </w:p>
          <w:p w14:paraId="1B7D8DD2" w14:textId="0C452A1D" w:rsidR="00561827" w:rsidRDefault="00561827" w:rsidP="00BD2821">
            <w:pPr>
              <w:pStyle w:val="ListParagraph"/>
            </w:pPr>
          </w:p>
        </w:tc>
        <w:tc>
          <w:tcPr>
            <w:tcW w:w="5953" w:type="dxa"/>
          </w:tcPr>
          <w:p w14:paraId="1088A272" w14:textId="47E61681" w:rsidR="00A53EA8" w:rsidRDefault="00A53EA8" w:rsidP="00534D3B">
            <w:r>
              <w:t xml:space="preserve">Yes, we will pay for any </w:t>
            </w:r>
            <w:proofErr w:type="spellStart"/>
            <w:r>
              <w:t>feno</w:t>
            </w:r>
            <w:proofErr w:type="spellEnd"/>
            <w:r>
              <w:t xml:space="preserve"> marker blocks, </w:t>
            </w:r>
            <w:proofErr w:type="gramStart"/>
            <w:r>
              <w:t>tools</w:t>
            </w:r>
            <w:proofErr w:type="gramEnd"/>
            <w:r>
              <w:t xml:space="preserve"> and accessories if these are needed. As these must be purchased from the known supplier and we know the costs, it does not need to be included in the returned quotation.</w:t>
            </w:r>
          </w:p>
        </w:tc>
      </w:tr>
      <w:tr w:rsidR="004545E7" w14:paraId="6C0D8968" w14:textId="4FFD575F" w:rsidTr="00A511BE">
        <w:tc>
          <w:tcPr>
            <w:tcW w:w="440" w:type="dxa"/>
          </w:tcPr>
          <w:p w14:paraId="51D2DA01" w14:textId="2D2C0B70" w:rsidR="004545E7" w:rsidRDefault="00606343" w:rsidP="00534D3B">
            <w:r>
              <w:t>5</w:t>
            </w:r>
          </w:p>
        </w:tc>
        <w:tc>
          <w:tcPr>
            <w:tcW w:w="7777" w:type="dxa"/>
          </w:tcPr>
          <w:p w14:paraId="2102308E" w14:textId="60FA38B0" w:rsidR="00561827" w:rsidRDefault="00FD7455" w:rsidP="00462E18">
            <w:pPr>
              <w:pStyle w:val="ListParagraph"/>
              <w:numPr>
                <w:ilvl w:val="0"/>
                <w:numId w:val="28"/>
              </w:numPr>
            </w:pPr>
            <w:r>
              <w:t xml:space="preserve">In the proposed costing tables </w:t>
            </w:r>
            <w:r w:rsidR="00BC5C1C">
              <w:t>this only show staff day rates. Presumably a separate ro</w:t>
            </w:r>
            <w:r w:rsidR="00C159CC">
              <w:t>w can be added for expenses?</w:t>
            </w:r>
          </w:p>
        </w:tc>
        <w:tc>
          <w:tcPr>
            <w:tcW w:w="5953" w:type="dxa"/>
          </w:tcPr>
          <w:p w14:paraId="5F74C0E8" w14:textId="6DBD7909" w:rsidR="004545E7" w:rsidRDefault="00A53EA8" w:rsidP="00534D3B">
            <w:r>
              <w:t>Yes, that’s fine.</w:t>
            </w:r>
          </w:p>
        </w:tc>
      </w:tr>
      <w:tr w:rsidR="004545E7" w14:paraId="03FBC1CB" w14:textId="3B57550B" w:rsidTr="00A511BE">
        <w:tc>
          <w:tcPr>
            <w:tcW w:w="440" w:type="dxa"/>
          </w:tcPr>
          <w:p w14:paraId="48C44CA5" w14:textId="09F85734" w:rsidR="004545E7" w:rsidRDefault="00606343" w:rsidP="00534D3B">
            <w:r>
              <w:t>6</w:t>
            </w:r>
          </w:p>
        </w:tc>
        <w:tc>
          <w:tcPr>
            <w:tcW w:w="7777" w:type="dxa"/>
          </w:tcPr>
          <w:p w14:paraId="5A36D0F9" w14:textId="6FCF734A" w:rsidR="00561827" w:rsidRDefault="000E4162" w:rsidP="00462E18">
            <w:pPr>
              <w:pStyle w:val="ListParagraph"/>
              <w:numPr>
                <w:ilvl w:val="0"/>
                <w:numId w:val="28"/>
              </w:numPr>
            </w:pPr>
            <w:r>
              <w:t>Can NE provide an example of both a LTMN site plot tracker</w:t>
            </w:r>
            <w:r w:rsidR="004E1449">
              <w:t xml:space="preserve"> and </w:t>
            </w:r>
            <w:r w:rsidR="006E21F6">
              <w:rPr>
                <w:rFonts w:ascii="Calibri" w:hAnsi="Calibri" w:cs="Arial"/>
              </w:rPr>
              <w:t>LTMN vegetation data input spreadsheet</w:t>
            </w:r>
          </w:p>
        </w:tc>
        <w:tc>
          <w:tcPr>
            <w:tcW w:w="5953" w:type="dxa"/>
          </w:tcPr>
          <w:p w14:paraId="572B43C5" w14:textId="4A322432" w:rsidR="004545E7" w:rsidRDefault="00276488" w:rsidP="00534D3B">
            <w:r>
              <w:t>OK, attached.</w:t>
            </w:r>
          </w:p>
        </w:tc>
      </w:tr>
      <w:tr w:rsidR="009D545F" w14:paraId="7E0C4638" w14:textId="77777777" w:rsidTr="00A511BE">
        <w:tc>
          <w:tcPr>
            <w:tcW w:w="440" w:type="dxa"/>
          </w:tcPr>
          <w:p w14:paraId="372E1567" w14:textId="12B70E78" w:rsidR="009D545F" w:rsidRDefault="00606343" w:rsidP="009D545F">
            <w:r>
              <w:t>7</w:t>
            </w:r>
          </w:p>
        </w:tc>
        <w:tc>
          <w:tcPr>
            <w:tcW w:w="7777" w:type="dxa"/>
          </w:tcPr>
          <w:p w14:paraId="7DF7EAA1" w14:textId="675851CD" w:rsidR="009D545F" w:rsidRPr="00A511BE" w:rsidRDefault="006E21F6" w:rsidP="009D545F">
            <w:pPr>
              <w:pStyle w:val="ListParagraph"/>
              <w:numPr>
                <w:ilvl w:val="0"/>
                <w:numId w:val="28"/>
              </w:numPr>
              <w:rPr>
                <w:rFonts w:cstheme="minorHAnsi"/>
              </w:rPr>
            </w:pPr>
            <w:r>
              <w:rPr>
                <w:rFonts w:cstheme="minorHAnsi"/>
              </w:rPr>
              <w:t>Would the use of TAB</w:t>
            </w:r>
            <w:r w:rsidR="00851F3A">
              <w:rPr>
                <w:rFonts w:cstheme="minorHAnsi"/>
              </w:rPr>
              <w:t>LEFIT be a suitable alternative for MAVIS for NVC analysis?</w:t>
            </w:r>
          </w:p>
        </w:tc>
        <w:tc>
          <w:tcPr>
            <w:tcW w:w="5953" w:type="dxa"/>
          </w:tcPr>
          <w:p w14:paraId="2AF11701" w14:textId="120C656F" w:rsidR="009D545F" w:rsidRDefault="00276488" w:rsidP="009D545F">
            <w:pPr>
              <w:rPr>
                <w:rFonts w:cstheme="minorHAnsi"/>
              </w:rPr>
            </w:pPr>
            <w:r>
              <w:rPr>
                <w:rFonts w:cstheme="minorHAnsi"/>
              </w:rPr>
              <w:t xml:space="preserve">Yes, that’s fine – would need stating in the final short report. </w:t>
            </w:r>
          </w:p>
        </w:tc>
      </w:tr>
      <w:tr w:rsidR="009D545F" w14:paraId="79DEF3B5" w14:textId="77777777" w:rsidTr="00A511BE">
        <w:tc>
          <w:tcPr>
            <w:tcW w:w="440" w:type="dxa"/>
          </w:tcPr>
          <w:p w14:paraId="01EC6693" w14:textId="718F9E43" w:rsidR="009D545F" w:rsidRDefault="00BD2821" w:rsidP="009D545F">
            <w:r>
              <w:t>8</w:t>
            </w:r>
          </w:p>
        </w:tc>
        <w:tc>
          <w:tcPr>
            <w:tcW w:w="7777" w:type="dxa"/>
          </w:tcPr>
          <w:p w14:paraId="38ECC0D9" w14:textId="20E54EB0" w:rsidR="002E1E47" w:rsidRDefault="008B0E69" w:rsidP="00BD2821">
            <w:pPr>
              <w:pStyle w:val="ListParagraph"/>
              <w:numPr>
                <w:ilvl w:val="0"/>
                <w:numId w:val="28"/>
              </w:numPr>
              <w:rPr>
                <w:rFonts w:cstheme="minorHAnsi"/>
              </w:rPr>
            </w:pPr>
            <w:r>
              <w:rPr>
                <w:rFonts w:cstheme="minorHAnsi"/>
              </w:rPr>
              <w:t xml:space="preserve">The </w:t>
            </w:r>
            <w:r w:rsidRPr="00540BBC">
              <w:rPr>
                <w:rFonts w:cstheme="minorHAnsi"/>
                <w:b/>
                <w:bCs/>
              </w:rPr>
              <w:t>Dark Peak</w:t>
            </w:r>
            <w:r>
              <w:rPr>
                <w:rFonts w:cstheme="minorHAnsi"/>
              </w:rPr>
              <w:t xml:space="preserve"> clarification response indicates there is </w:t>
            </w:r>
            <w:r w:rsidR="002E1E47">
              <w:rPr>
                <w:rFonts w:cstheme="minorHAnsi"/>
              </w:rPr>
              <w:t>s</w:t>
            </w:r>
            <w:r w:rsidR="00E73F41">
              <w:rPr>
                <w:rFonts w:cstheme="minorHAnsi"/>
              </w:rPr>
              <w:t>ome</w:t>
            </w:r>
            <w:r w:rsidR="002E1E47">
              <w:rPr>
                <w:rFonts w:cstheme="minorHAnsi"/>
              </w:rPr>
              <w:t xml:space="preserve"> flexibility in survey windows</w:t>
            </w:r>
            <w:r w:rsidR="002E1E47">
              <w:t xml:space="preserve"> (</w:t>
            </w:r>
            <w:r w:rsidR="002E1E47" w:rsidRPr="002E1E47">
              <w:rPr>
                <w:rFonts w:cstheme="minorHAnsi"/>
              </w:rPr>
              <w:t>three weeks either side for subsequent survey</w:t>
            </w:r>
            <w:r w:rsidR="002E1E47">
              <w:rPr>
                <w:rFonts w:cstheme="minorHAnsi"/>
              </w:rPr>
              <w:t>)</w:t>
            </w:r>
          </w:p>
          <w:p w14:paraId="6527CB80" w14:textId="359C905F" w:rsidR="009D545F" w:rsidRPr="00A511BE" w:rsidRDefault="002E1E47" w:rsidP="002E1E47">
            <w:pPr>
              <w:pStyle w:val="ListParagraph"/>
              <w:rPr>
                <w:rFonts w:cstheme="minorHAnsi"/>
              </w:rPr>
            </w:pPr>
            <w:r>
              <w:rPr>
                <w:rFonts w:cstheme="minorHAnsi"/>
              </w:rPr>
              <w:t xml:space="preserve"> </w:t>
            </w:r>
            <w:r w:rsidR="00BD2821">
              <w:rPr>
                <w:rFonts w:cstheme="minorHAnsi"/>
              </w:rPr>
              <w:t>Is there any flexibility in the proposed survey periods</w:t>
            </w:r>
            <w:r>
              <w:rPr>
                <w:rFonts w:cstheme="minorHAnsi"/>
              </w:rPr>
              <w:t xml:space="preserve"> for the </w:t>
            </w:r>
            <w:r w:rsidR="00540BBC">
              <w:rPr>
                <w:rFonts w:cstheme="minorHAnsi"/>
              </w:rPr>
              <w:t>other sites</w:t>
            </w:r>
            <w:r w:rsidR="00BD2821">
              <w:rPr>
                <w:rFonts w:cstheme="minorHAnsi"/>
              </w:rPr>
              <w:t xml:space="preserve">, can they be moved slightly earlier/later? </w:t>
            </w:r>
          </w:p>
        </w:tc>
        <w:tc>
          <w:tcPr>
            <w:tcW w:w="5953" w:type="dxa"/>
          </w:tcPr>
          <w:p w14:paraId="42B6CCE3" w14:textId="46AEBED6" w:rsidR="009D545F" w:rsidRDefault="00276488" w:rsidP="009D545F">
            <w:pPr>
              <w:rPr>
                <w:rFonts w:cstheme="minorHAnsi"/>
              </w:rPr>
            </w:pPr>
            <w:r>
              <w:rPr>
                <w:rFonts w:cstheme="minorHAnsi"/>
              </w:rPr>
              <w:t>Yes, we generally say three weeks either</w:t>
            </w:r>
            <w:r w:rsidR="004A3CFF">
              <w:rPr>
                <w:rFonts w:cstheme="minorHAnsi"/>
              </w:rPr>
              <w:t xml:space="preserve"> </w:t>
            </w:r>
            <w:r>
              <w:rPr>
                <w:rFonts w:cstheme="minorHAnsi"/>
              </w:rPr>
              <w:t xml:space="preserve">side of the previous survey dates – but if a wide window has </w:t>
            </w:r>
            <w:r w:rsidR="00462E18">
              <w:rPr>
                <w:rFonts w:cstheme="minorHAnsi"/>
              </w:rPr>
              <w:t xml:space="preserve">already </w:t>
            </w:r>
            <w:r>
              <w:rPr>
                <w:rFonts w:cstheme="minorHAnsi"/>
              </w:rPr>
              <w:t xml:space="preserve">been given in the project specification, then the most appropriate time for surveying the </w:t>
            </w:r>
            <w:proofErr w:type="gramStart"/>
            <w:r>
              <w:rPr>
                <w:rFonts w:cstheme="minorHAnsi"/>
              </w:rPr>
              <w:t>particular habitat(s)</w:t>
            </w:r>
            <w:proofErr w:type="gramEnd"/>
            <w:r>
              <w:rPr>
                <w:rFonts w:cstheme="minorHAnsi"/>
              </w:rPr>
              <w:t xml:space="preserve"> must be taken into account.</w:t>
            </w:r>
          </w:p>
        </w:tc>
      </w:tr>
      <w:tr w:rsidR="009D545F" w:rsidRPr="00D44EF6" w14:paraId="47C490CB" w14:textId="77777777" w:rsidTr="00A511BE">
        <w:tc>
          <w:tcPr>
            <w:tcW w:w="440" w:type="dxa"/>
            <w:shd w:val="clear" w:color="auto" w:fill="FFFFFF" w:themeFill="background1"/>
          </w:tcPr>
          <w:p w14:paraId="3ED09A0E" w14:textId="2DB759EA" w:rsidR="009D545F" w:rsidRDefault="00BD2821" w:rsidP="009D545F">
            <w:pPr>
              <w:rPr>
                <w:rFonts w:cstheme="minorHAnsi"/>
              </w:rPr>
            </w:pPr>
            <w:r>
              <w:rPr>
                <w:rFonts w:cstheme="minorHAnsi"/>
              </w:rPr>
              <w:t>9</w:t>
            </w:r>
          </w:p>
        </w:tc>
        <w:tc>
          <w:tcPr>
            <w:tcW w:w="7777" w:type="dxa"/>
            <w:shd w:val="clear" w:color="auto" w:fill="FFFFFF" w:themeFill="background1"/>
          </w:tcPr>
          <w:p w14:paraId="687F2C6D" w14:textId="773FD439" w:rsidR="00BD2821" w:rsidRPr="00BD2821" w:rsidRDefault="00BD2821" w:rsidP="00BD2821">
            <w:pPr>
              <w:pStyle w:val="ListParagraph"/>
              <w:numPr>
                <w:ilvl w:val="0"/>
                <w:numId w:val="30"/>
              </w:numPr>
              <w:rPr>
                <w:rFonts w:cstheme="minorHAnsi"/>
              </w:rPr>
            </w:pPr>
            <w:r w:rsidRPr="00BD2821">
              <w:rPr>
                <w:rFonts w:cstheme="minorHAnsi"/>
                <w:b/>
                <w:bCs/>
              </w:rPr>
              <w:t>Lullington Heath</w:t>
            </w:r>
            <w:r w:rsidRPr="00BD2821">
              <w:rPr>
                <w:rFonts w:cstheme="minorHAnsi"/>
              </w:rPr>
              <w:t xml:space="preserve"> </w:t>
            </w:r>
            <w:r>
              <w:rPr>
                <w:rFonts w:cstheme="minorHAnsi"/>
              </w:rPr>
              <w:t xml:space="preserve">– with regards </w:t>
            </w:r>
            <w:r w:rsidRPr="00BD2821">
              <w:rPr>
                <w:rFonts w:cstheme="minorHAnsi"/>
              </w:rPr>
              <w:t xml:space="preserve">the woodland survey methodology it is mentioned that the percentage cover </w:t>
            </w:r>
            <w:proofErr w:type="gramStart"/>
            <w:r w:rsidRPr="00BD2821">
              <w:rPr>
                <w:rFonts w:cstheme="minorHAnsi"/>
              </w:rPr>
              <w:t>of  trees</w:t>
            </w:r>
            <w:proofErr w:type="gramEnd"/>
            <w:r w:rsidRPr="00BD2821">
              <w:rPr>
                <w:rFonts w:cstheme="minorHAnsi"/>
              </w:rPr>
              <w:t xml:space="preserve"> and shrubs is required for the 10 x 10 m plots for each species and for each crown class.  Do we calculate </w:t>
            </w:r>
            <w:r w:rsidRPr="00BD2821">
              <w:rPr>
                <w:rFonts w:cstheme="minorHAnsi"/>
              </w:rPr>
              <w:lastRenderedPageBreak/>
              <w:t>the widest point of the canopy for this for each species and within each crown? How do we calculate cover where trees and shrubs may overlap with each other? Can the calculations collectively go over 100% for example because of overlap?</w:t>
            </w:r>
          </w:p>
          <w:p w14:paraId="63B2D962" w14:textId="2ACF8813" w:rsidR="009D545F" w:rsidRPr="00044455" w:rsidRDefault="009D545F" w:rsidP="00BD2821">
            <w:pPr>
              <w:pStyle w:val="ListParagraph"/>
              <w:rPr>
                <w:rFonts w:cstheme="minorHAnsi"/>
              </w:rPr>
            </w:pPr>
          </w:p>
        </w:tc>
        <w:tc>
          <w:tcPr>
            <w:tcW w:w="5953" w:type="dxa"/>
            <w:shd w:val="clear" w:color="auto" w:fill="FFFFFF" w:themeFill="background1"/>
          </w:tcPr>
          <w:p w14:paraId="4DB32E59" w14:textId="77777777" w:rsidR="009D545F" w:rsidRDefault="00276488" w:rsidP="009D545F">
            <w:pPr>
              <w:rPr>
                <w:rFonts w:cstheme="minorHAnsi"/>
              </w:rPr>
            </w:pPr>
            <w:r>
              <w:rPr>
                <w:rFonts w:cstheme="minorHAnsi"/>
              </w:rPr>
              <w:lastRenderedPageBreak/>
              <w:t>Yes, the % cover of each shrub and tree species</w:t>
            </w:r>
            <w:r w:rsidR="00DA56D6">
              <w:rPr>
                <w:rFonts w:cstheme="minorHAnsi"/>
              </w:rPr>
              <w:t xml:space="preserve">, and for those each crown class, </w:t>
            </w:r>
            <w:r>
              <w:rPr>
                <w:rFonts w:cstheme="minorHAnsi"/>
              </w:rPr>
              <w:t>can amount to more than 100%.</w:t>
            </w:r>
          </w:p>
          <w:p w14:paraId="7259434B" w14:textId="77777777" w:rsidR="00DA56D6" w:rsidRDefault="00DA56D6" w:rsidP="009D545F">
            <w:pPr>
              <w:rPr>
                <w:rFonts w:cstheme="minorHAnsi"/>
              </w:rPr>
            </w:pPr>
          </w:p>
          <w:p w14:paraId="5F4A7DAF" w14:textId="4E2395C8" w:rsidR="00DA56D6" w:rsidRPr="005D75D4" w:rsidRDefault="00E51450" w:rsidP="009D545F">
            <w:pPr>
              <w:rPr>
                <w:rFonts w:cstheme="minorHAnsi"/>
              </w:rPr>
            </w:pPr>
            <w:r>
              <w:rPr>
                <w:rFonts w:cstheme="minorHAnsi"/>
              </w:rPr>
              <w:lastRenderedPageBreak/>
              <w:t>Similar to</w:t>
            </w:r>
            <w:r w:rsidR="00DA56D6">
              <w:rPr>
                <w:rFonts w:cstheme="minorHAnsi"/>
              </w:rPr>
              <w:t xml:space="preserve"> % cover</w:t>
            </w:r>
            <w:r>
              <w:rPr>
                <w:rFonts w:cstheme="minorHAnsi"/>
              </w:rPr>
              <w:t xml:space="preserve"> estimates</w:t>
            </w:r>
            <w:r w:rsidR="00DA56D6">
              <w:rPr>
                <w:rFonts w:cstheme="minorHAnsi"/>
              </w:rPr>
              <w:t xml:space="preserve"> </w:t>
            </w:r>
            <w:r w:rsidR="00462E18">
              <w:rPr>
                <w:rFonts w:cstheme="minorHAnsi"/>
              </w:rPr>
              <w:t>for</w:t>
            </w:r>
            <w:r w:rsidR="00DA56D6">
              <w:rPr>
                <w:rFonts w:cstheme="minorHAnsi"/>
              </w:rPr>
              <w:t xml:space="preserve"> plant species in the 2m2 plot, the shrub and tree </w:t>
            </w:r>
            <w:r>
              <w:rPr>
                <w:rFonts w:cstheme="minorHAnsi"/>
              </w:rPr>
              <w:t xml:space="preserve">% </w:t>
            </w:r>
            <w:r w:rsidR="00DA56D6">
              <w:rPr>
                <w:rFonts w:cstheme="minorHAnsi"/>
              </w:rPr>
              <w:t>covers are estimates</w:t>
            </w:r>
            <w:r>
              <w:rPr>
                <w:rFonts w:cstheme="minorHAnsi"/>
              </w:rPr>
              <w:t>, based on an overview of the 10m plot and</w:t>
            </w:r>
            <w:r w:rsidR="00DA56D6">
              <w:rPr>
                <w:rFonts w:cstheme="minorHAnsi"/>
              </w:rPr>
              <w:t xml:space="preserve"> ideally reached through consensus with another surveyor</w:t>
            </w:r>
            <w:r>
              <w:rPr>
                <w:rFonts w:cstheme="minorHAnsi"/>
              </w:rPr>
              <w:t>(s).</w:t>
            </w:r>
          </w:p>
        </w:tc>
      </w:tr>
      <w:tr w:rsidR="00C265E1" w:rsidRPr="00D44EF6" w14:paraId="793B8D2A" w14:textId="77777777" w:rsidTr="00A511BE">
        <w:tc>
          <w:tcPr>
            <w:tcW w:w="440" w:type="dxa"/>
            <w:shd w:val="clear" w:color="auto" w:fill="FFFFFF" w:themeFill="background1"/>
          </w:tcPr>
          <w:p w14:paraId="166D924D" w14:textId="0FA73804" w:rsidR="00C265E1" w:rsidRDefault="00C265E1" w:rsidP="009D545F">
            <w:pPr>
              <w:rPr>
                <w:rFonts w:cstheme="minorHAnsi"/>
              </w:rPr>
            </w:pPr>
          </w:p>
        </w:tc>
        <w:tc>
          <w:tcPr>
            <w:tcW w:w="7777" w:type="dxa"/>
            <w:shd w:val="clear" w:color="auto" w:fill="FFFFFF" w:themeFill="background1"/>
          </w:tcPr>
          <w:p w14:paraId="04924774" w14:textId="1D1CA0BC" w:rsidR="00C265E1" w:rsidRPr="00044455" w:rsidRDefault="00C265E1" w:rsidP="00276488">
            <w:pPr>
              <w:pStyle w:val="ListParagraph"/>
              <w:rPr>
                <w:rFonts w:cstheme="minorHAnsi"/>
              </w:rPr>
            </w:pPr>
          </w:p>
        </w:tc>
        <w:tc>
          <w:tcPr>
            <w:tcW w:w="5953" w:type="dxa"/>
            <w:shd w:val="clear" w:color="auto" w:fill="FFFFFF" w:themeFill="background1"/>
          </w:tcPr>
          <w:p w14:paraId="7ACBD872" w14:textId="77777777" w:rsidR="00C265E1" w:rsidRPr="005D75D4" w:rsidRDefault="00C265E1" w:rsidP="009D545F">
            <w:pPr>
              <w:rPr>
                <w:rFonts w:cstheme="minorHAnsi"/>
              </w:rPr>
            </w:pPr>
          </w:p>
        </w:tc>
      </w:tr>
    </w:tbl>
    <w:p w14:paraId="4BA4C177" w14:textId="60169E97" w:rsidR="002872BA" w:rsidRPr="002872BA" w:rsidRDefault="002872BA" w:rsidP="002872BA">
      <w:pPr>
        <w:spacing w:before="100" w:beforeAutospacing="1" w:after="100" w:afterAutospacing="1" w:line="240" w:lineRule="auto"/>
        <w:rPr>
          <w:rFonts w:ascii="Arial" w:eastAsia="Times New Roman" w:hAnsi="Arial" w:cs="Arial"/>
          <w:sz w:val="20"/>
          <w:szCs w:val="20"/>
          <w:lang w:eastAsia="en-GB"/>
        </w:rPr>
      </w:pPr>
      <w:r w:rsidRPr="002872BA">
        <w:rPr>
          <w:rFonts w:ascii="Tahoma" w:eastAsia="Times New Roman" w:hAnsi="Tahoma" w:cs="Tahoma"/>
          <w:sz w:val="20"/>
          <w:szCs w:val="20"/>
          <w:lang w:eastAsia="en-GB"/>
        </w:rPr>
        <w:t>﻿</w:t>
      </w:r>
    </w:p>
    <w:p w14:paraId="59E51FA0" w14:textId="69828DF1" w:rsidR="00174D42" w:rsidRDefault="00174D42" w:rsidP="002872BA"/>
    <w:sectPr w:rsidR="00174D42" w:rsidSect="009B6E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E11A6"/>
    <w:multiLevelType w:val="hybridMultilevel"/>
    <w:tmpl w:val="96EDD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2ECF08"/>
    <w:multiLevelType w:val="hybridMultilevel"/>
    <w:tmpl w:val="2E3654B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5C1115"/>
    <w:multiLevelType w:val="hybridMultilevel"/>
    <w:tmpl w:val="25B11A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5CEAFB"/>
    <w:multiLevelType w:val="hybridMultilevel"/>
    <w:tmpl w:val="43D8B5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77B58B"/>
    <w:multiLevelType w:val="hybridMultilevel"/>
    <w:tmpl w:val="34CE79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90BA58"/>
    <w:multiLevelType w:val="hybridMultilevel"/>
    <w:tmpl w:val="3BE975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6F205D"/>
    <w:multiLevelType w:val="hybridMultilevel"/>
    <w:tmpl w:val="B2C65A6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6744FD"/>
    <w:multiLevelType w:val="hybridMultilevel"/>
    <w:tmpl w:val="E2A7F9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7E6F2A"/>
    <w:multiLevelType w:val="hybridMultilevel"/>
    <w:tmpl w:val="48B21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CE06CC"/>
    <w:multiLevelType w:val="hybridMultilevel"/>
    <w:tmpl w:val="1CF67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AC3EC2"/>
    <w:multiLevelType w:val="hybridMultilevel"/>
    <w:tmpl w:val="CE16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C67FD"/>
    <w:multiLevelType w:val="hybridMultilevel"/>
    <w:tmpl w:val="477C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0F657C"/>
    <w:multiLevelType w:val="hybridMultilevel"/>
    <w:tmpl w:val="BD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FBAD7"/>
    <w:multiLevelType w:val="hybridMultilevel"/>
    <w:tmpl w:val="9C5497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663A1E"/>
    <w:multiLevelType w:val="hybridMultilevel"/>
    <w:tmpl w:val="CFC66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7A4A92"/>
    <w:multiLevelType w:val="hybridMultilevel"/>
    <w:tmpl w:val="EEFC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76C96"/>
    <w:multiLevelType w:val="multilevel"/>
    <w:tmpl w:val="431255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EC678B"/>
    <w:multiLevelType w:val="hybridMultilevel"/>
    <w:tmpl w:val="3D0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137AB"/>
    <w:multiLevelType w:val="hybridMultilevel"/>
    <w:tmpl w:val="F12E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CE339"/>
    <w:multiLevelType w:val="hybridMultilevel"/>
    <w:tmpl w:val="366B81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35F2331"/>
    <w:multiLevelType w:val="hybridMultilevel"/>
    <w:tmpl w:val="BDB458BC"/>
    <w:lvl w:ilvl="0" w:tplc="21A2CD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51F4CD"/>
    <w:multiLevelType w:val="hybridMultilevel"/>
    <w:tmpl w:val="5042839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8AF511"/>
    <w:multiLevelType w:val="hybridMultilevel"/>
    <w:tmpl w:val="33E909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C6C84E"/>
    <w:multiLevelType w:val="hybridMultilevel"/>
    <w:tmpl w:val="C740B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561F10"/>
    <w:multiLevelType w:val="hybridMultilevel"/>
    <w:tmpl w:val="3338F0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367970"/>
    <w:multiLevelType w:val="hybridMultilevel"/>
    <w:tmpl w:val="ACC322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BD681FD"/>
    <w:multiLevelType w:val="hybridMultilevel"/>
    <w:tmpl w:val="1054D2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1BD41D"/>
    <w:multiLevelType w:val="hybridMultilevel"/>
    <w:tmpl w:val="0620AA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31F15C"/>
    <w:multiLevelType w:val="hybridMultilevel"/>
    <w:tmpl w:val="7BBC1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2074F0"/>
    <w:multiLevelType w:val="hybridMultilevel"/>
    <w:tmpl w:val="239E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6A9D7"/>
    <w:multiLevelType w:val="hybridMultilevel"/>
    <w:tmpl w:val="4282A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4001225">
    <w:abstractNumId w:val="22"/>
  </w:num>
  <w:num w:numId="2" w16cid:durableId="1711685608">
    <w:abstractNumId w:val="23"/>
  </w:num>
  <w:num w:numId="3" w16cid:durableId="356858612">
    <w:abstractNumId w:val="19"/>
  </w:num>
  <w:num w:numId="4" w16cid:durableId="1662613242">
    <w:abstractNumId w:val="29"/>
  </w:num>
  <w:num w:numId="5" w16cid:durableId="1494297042">
    <w:abstractNumId w:val="5"/>
  </w:num>
  <w:num w:numId="6" w16cid:durableId="99691606">
    <w:abstractNumId w:val="27"/>
  </w:num>
  <w:num w:numId="7" w16cid:durableId="919750231">
    <w:abstractNumId w:val="30"/>
  </w:num>
  <w:num w:numId="8" w16cid:durableId="180625583">
    <w:abstractNumId w:val="24"/>
  </w:num>
  <w:num w:numId="9" w16cid:durableId="489296206">
    <w:abstractNumId w:val="10"/>
  </w:num>
  <w:num w:numId="10" w16cid:durableId="379718855">
    <w:abstractNumId w:val="1"/>
  </w:num>
  <w:num w:numId="11" w16cid:durableId="1509910435">
    <w:abstractNumId w:val="2"/>
  </w:num>
  <w:num w:numId="12" w16cid:durableId="1094395592">
    <w:abstractNumId w:val="13"/>
  </w:num>
  <w:num w:numId="13" w16cid:durableId="1992052826">
    <w:abstractNumId w:val="9"/>
  </w:num>
  <w:num w:numId="14" w16cid:durableId="2025669379">
    <w:abstractNumId w:val="28"/>
  </w:num>
  <w:num w:numId="15" w16cid:durableId="878903425">
    <w:abstractNumId w:val="3"/>
  </w:num>
  <w:num w:numId="16" w16cid:durableId="1536886277">
    <w:abstractNumId w:val="8"/>
  </w:num>
  <w:num w:numId="17" w16cid:durableId="1696034696">
    <w:abstractNumId w:val="25"/>
  </w:num>
  <w:num w:numId="18" w16cid:durableId="101581467">
    <w:abstractNumId w:val="6"/>
  </w:num>
  <w:num w:numId="19" w16cid:durableId="847982220">
    <w:abstractNumId w:val="26"/>
  </w:num>
  <w:num w:numId="20" w16cid:durableId="1860966501">
    <w:abstractNumId w:val="0"/>
  </w:num>
  <w:num w:numId="21" w16cid:durableId="296569738">
    <w:abstractNumId w:val="14"/>
  </w:num>
  <w:num w:numId="22" w16cid:durableId="85268784">
    <w:abstractNumId w:val="7"/>
  </w:num>
  <w:num w:numId="23" w16cid:durableId="1265378742">
    <w:abstractNumId w:val="21"/>
  </w:num>
  <w:num w:numId="24" w16cid:durableId="1198471018">
    <w:abstractNumId w:val="4"/>
  </w:num>
  <w:num w:numId="25" w16cid:durableId="1517845443">
    <w:abstractNumId w:val="20"/>
  </w:num>
  <w:num w:numId="26" w16cid:durableId="18334522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3182300">
    <w:abstractNumId w:val="15"/>
  </w:num>
  <w:num w:numId="28" w16cid:durableId="2000765770">
    <w:abstractNumId w:val="18"/>
  </w:num>
  <w:num w:numId="29" w16cid:durableId="20211602">
    <w:abstractNumId w:val="11"/>
  </w:num>
  <w:num w:numId="30" w16cid:durableId="282075721">
    <w:abstractNumId w:val="12"/>
  </w:num>
  <w:num w:numId="31" w16cid:durableId="19471521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91"/>
    <w:rsid w:val="0004415E"/>
    <w:rsid w:val="00044455"/>
    <w:rsid w:val="00045AA0"/>
    <w:rsid w:val="00046960"/>
    <w:rsid w:val="00062410"/>
    <w:rsid w:val="0008190E"/>
    <w:rsid w:val="000D3538"/>
    <w:rsid w:val="000E2ED8"/>
    <w:rsid w:val="000E4162"/>
    <w:rsid w:val="00106F20"/>
    <w:rsid w:val="00113383"/>
    <w:rsid w:val="0013230A"/>
    <w:rsid w:val="00151413"/>
    <w:rsid w:val="00174D42"/>
    <w:rsid w:val="001C37C0"/>
    <w:rsid w:val="002010B0"/>
    <w:rsid w:val="00203985"/>
    <w:rsid w:val="00204438"/>
    <w:rsid w:val="00220D3B"/>
    <w:rsid w:val="0022454C"/>
    <w:rsid w:val="002246B6"/>
    <w:rsid w:val="00232F60"/>
    <w:rsid w:val="00234DD8"/>
    <w:rsid w:val="00237BFF"/>
    <w:rsid w:val="00255901"/>
    <w:rsid w:val="00276488"/>
    <w:rsid w:val="002872BA"/>
    <w:rsid w:val="00294B0B"/>
    <w:rsid w:val="002B0C10"/>
    <w:rsid w:val="002D42D9"/>
    <w:rsid w:val="002E1E47"/>
    <w:rsid w:val="002E6BE7"/>
    <w:rsid w:val="002F1A1B"/>
    <w:rsid w:val="002F4768"/>
    <w:rsid w:val="002F6C6B"/>
    <w:rsid w:val="00306AF9"/>
    <w:rsid w:val="00327311"/>
    <w:rsid w:val="0033522D"/>
    <w:rsid w:val="00354BE8"/>
    <w:rsid w:val="00360A40"/>
    <w:rsid w:val="0036217E"/>
    <w:rsid w:val="00377A88"/>
    <w:rsid w:val="003C1C19"/>
    <w:rsid w:val="003D3F86"/>
    <w:rsid w:val="003E49CF"/>
    <w:rsid w:val="003E6FAB"/>
    <w:rsid w:val="003F565E"/>
    <w:rsid w:val="003F5E48"/>
    <w:rsid w:val="004545E7"/>
    <w:rsid w:val="00455BC7"/>
    <w:rsid w:val="00462E18"/>
    <w:rsid w:val="00466BCA"/>
    <w:rsid w:val="004870A2"/>
    <w:rsid w:val="004957DC"/>
    <w:rsid w:val="004A047A"/>
    <w:rsid w:val="004A3CFF"/>
    <w:rsid w:val="004D0B10"/>
    <w:rsid w:val="004D15AB"/>
    <w:rsid w:val="004E1449"/>
    <w:rsid w:val="004E7D78"/>
    <w:rsid w:val="005071D3"/>
    <w:rsid w:val="005256EB"/>
    <w:rsid w:val="00526DFB"/>
    <w:rsid w:val="005278A8"/>
    <w:rsid w:val="00534D3B"/>
    <w:rsid w:val="00540BBC"/>
    <w:rsid w:val="00561827"/>
    <w:rsid w:val="0058122D"/>
    <w:rsid w:val="00590878"/>
    <w:rsid w:val="005B3E79"/>
    <w:rsid w:val="005C6297"/>
    <w:rsid w:val="005C6550"/>
    <w:rsid w:val="005C6641"/>
    <w:rsid w:val="005D2ED8"/>
    <w:rsid w:val="005D4B03"/>
    <w:rsid w:val="005D75D4"/>
    <w:rsid w:val="00600A33"/>
    <w:rsid w:val="00603532"/>
    <w:rsid w:val="00606343"/>
    <w:rsid w:val="00610B0C"/>
    <w:rsid w:val="00622EF9"/>
    <w:rsid w:val="0063015B"/>
    <w:rsid w:val="00636038"/>
    <w:rsid w:val="0066672E"/>
    <w:rsid w:val="006A018C"/>
    <w:rsid w:val="006A4931"/>
    <w:rsid w:val="006A6A0D"/>
    <w:rsid w:val="006B39CB"/>
    <w:rsid w:val="006B3A7C"/>
    <w:rsid w:val="006C25D4"/>
    <w:rsid w:val="006C2ECB"/>
    <w:rsid w:val="006C694A"/>
    <w:rsid w:val="006E21F6"/>
    <w:rsid w:val="00700F8C"/>
    <w:rsid w:val="00701BC9"/>
    <w:rsid w:val="00706197"/>
    <w:rsid w:val="00715DE6"/>
    <w:rsid w:val="007160E2"/>
    <w:rsid w:val="007245AC"/>
    <w:rsid w:val="00730334"/>
    <w:rsid w:val="007614AB"/>
    <w:rsid w:val="00776ED7"/>
    <w:rsid w:val="0078389C"/>
    <w:rsid w:val="007841F7"/>
    <w:rsid w:val="0078677D"/>
    <w:rsid w:val="00786A0A"/>
    <w:rsid w:val="007955F7"/>
    <w:rsid w:val="007B154E"/>
    <w:rsid w:val="007B3D3A"/>
    <w:rsid w:val="007B4576"/>
    <w:rsid w:val="007F0816"/>
    <w:rsid w:val="00811CA2"/>
    <w:rsid w:val="0082716F"/>
    <w:rsid w:val="00851F3A"/>
    <w:rsid w:val="00856359"/>
    <w:rsid w:val="00862236"/>
    <w:rsid w:val="00866662"/>
    <w:rsid w:val="00877547"/>
    <w:rsid w:val="00897B3A"/>
    <w:rsid w:val="008A7B6E"/>
    <w:rsid w:val="008B0B18"/>
    <w:rsid w:val="008B0E69"/>
    <w:rsid w:val="008B1889"/>
    <w:rsid w:val="008B4727"/>
    <w:rsid w:val="008B7815"/>
    <w:rsid w:val="00904C79"/>
    <w:rsid w:val="0091700C"/>
    <w:rsid w:val="00921073"/>
    <w:rsid w:val="009431C2"/>
    <w:rsid w:val="00957FA8"/>
    <w:rsid w:val="009630B7"/>
    <w:rsid w:val="0096538D"/>
    <w:rsid w:val="009A1F0F"/>
    <w:rsid w:val="009B6ED5"/>
    <w:rsid w:val="009D545F"/>
    <w:rsid w:val="009E077A"/>
    <w:rsid w:val="009F5B39"/>
    <w:rsid w:val="00A04AAC"/>
    <w:rsid w:val="00A07A94"/>
    <w:rsid w:val="00A14D79"/>
    <w:rsid w:val="00A43A80"/>
    <w:rsid w:val="00A511BE"/>
    <w:rsid w:val="00A51337"/>
    <w:rsid w:val="00A53EA8"/>
    <w:rsid w:val="00A551C7"/>
    <w:rsid w:val="00A61832"/>
    <w:rsid w:val="00A7610C"/>
    <w:rsid w:val="00AA34D9"/>
    <w:rsid w:val="00AB7792"/>
    <w:rsid w:val="00AC26A8"/>
    <w:rsid w:val="00AF7D71"/>
    <w:rsid w:val="00B320F3"/>
    <w:rsid w:val="00BA44C0"/>
    <w:rsid w:val="00BA493C"/>
    <w:rsid w:val="00BC5C1C"/>
    <w:rsid w:val="00BD2821"/>
    <w:rsid w:val="00BE70BF"/>
    <w:rsid w:val="00BF1D1C"/>
    <w:rsid w:val="00C0160D"/>
    <w:rsid w:val="00C159CC"/>
    <w:rsid w:val="00C265E1"/>
    <w:rsid w:val="00C51343"/>
    <w:rsid w:val="00C53791"/>
    <w:rsid w:val="00C71483"/>
    <w:rsid w:val="00C94F0B"/>
    <w:rsid w:val="00CB2419"/>
    <w:rsid w:val="00CB3528"/>
    <w:rsid w:val="00CC43F5"/>
    <w:rsid w:val="00CC4E5E"/>
    <w:rsid w:val="00CE364A"/>
    <w:rsid w:val="00CF0615"/>
    <w:rsid w:val="00CF0899"/>
    <w:rsid w:val="00D44EF6"/>
    <w:rsid w:val="00D612E4"/>
    <w:rsid w:val="00D87C1D"/>
    <w:rsid w:val="00D94326"/>
    <w:rsid w:val="00D94BEF"/>
    <w:rsid w:val="00DA56D6"/>
    <w:rsid w:val="00DD64D1"/>
    <w:rsid w:val="00DF1481"/>
    <w:rsid w:val="00E15A5D"/>
    <w:rsid w:val="00E51450"/>
    <w:rsid w:val="00E733CB"/>
    <w:rsid w:val="00E73F41"/>
    <w:rsid w:val="00E746C0"/>
    <w:rsid w:val="00E9444B"/>
    <w:rsid w:val="00EB29EE"/>
    <w:rsid w:val="00EB6169"/>
    <w:rsid w:val="00EC186E"/>
    <w:rsid w:val="00ED21B4"/>
    <w:rsid w:val="00ED2E83"/>
    <w:rsid w:val="00EF5FC3"/>
    <w:rsid w:val="00F01298"/>
    <w:rsid w:val="00F068C8"/>
    <w:rsid w:val="00F07D58"/>
    <w:rsid w:val="00F17E5B"/>
    <w:rsid w:val="00F4217D"/>
    <w:rsid w:val="00F43A79"/>
    <w:rsid w:val="00F540A7"/>
    <w:rsid w:val="00F62D77"/>
    <w:rsid w:val="00F733EC"/>
    <w:rsid w:val="00F828AD"/>
    <w:rsid w:val="00F86088"/>
    <w:rsid w:val="00FA39D9"/>
    <w:rsid w:val="00FC1710"/>
    <w:rsid w:val="00FC430B"/>
    <w:rsid w:val="00FD06CD"/>
    <w:rsid w:val="00FD3A0B"/>
    <w:rsid w:val="00FD6872"/>
    <w:rsid w:val="00FD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17DB"/>
  <w15:chartTrackingRefBased/>
  <w15:docId w15:val="{C2C53371-A24A-4DB1-A176-740EE7E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8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7FA8"/>
    <w:pPr>
      <w:ind w:left="720"/>
      <w:contextualSpacing/>
    </w:pPr>
  </w:style>
  <w:style w:type="character" w:styleId="CommentReference">
    <w:name w:val="annotation reference"/>
    <w:basedOn w:val="DefaultParagraphFont"/>
    <w:uiPriority w:val="99"/>
    <w:semiHidden/>
    <w:unhideWhenUsed/>
    <w:rsid w:val="006B3A7C"/>
    <w:rPr>
      <w:sz w:val="16"/>
      <w:szCs w:val="16"/>
    </w:rPr>
  </w:style>
  <w:style w:type="paragraph" w:styleId="CommentText">
    <w:name w:val="annotation text"/>
    <w:basedOn w:val="Normal"/>
    <w:link w:val="CommentTextChar"/>
    <w:uiPriority w:val="99"/>
    <w:semiHidden/>
    <w:unhideWhenUsed/>
    <w:rsid w:val="006B3A7C"/>
    <w:pPr>
      <w:spacing w:line="240" w:lineRule="auto"/>
    </w:pPr>
    <w:rPr>
      <w:sz w:val="20"/>
      <w:szCs w:val="20"/>
    </w:rPr>
  </w:style>
  <w:style w:type="character" w:customStyle="1" w:styleId="CommentTextChar">
    <w:name w:val="Comment Text Char"/>
    <w:basedOn w:val="DefaultParagraphFont"/>
    <w:link w:val="CommentText"/>
    <w:uiPriority w:val="99"/>
    <w:semiHidden/>
    <w:rsid w:val="006B3A7C"/>
    <w:rPr>
      <w:sz w:val="20"/>
      <w:szCs w:val="20"/>
    </w:rPr>
  </w:style>
  <w:style w:type="paragraph" w:styleId="CommentSubject">
    <w:name w:val="annotation subject"/>
    <w:basedOn w:val="CommentText"/>
    <w:next w:val="CommentText"/>
    <w:link w:val="CommentSubjectChar"/>
    <w:uiPriority w:val="99"/>
    <w:semiHidden/>
    <w:unhideWhenUsed/>
    <w:rsid w:val="006B3A7C"/>
    <w:rPr>
      <w:b/>
      <w:bCs/>
    </w:rPr>
  </w:style>
  <w:style w:type="character" w:customStyle="1" w:styleId="CommentSubjectChar">
    <w:name w:val="Comment Subject Char"/>
    <w:basedOn w:val="CommentTextChar"/>
    <w:link w:val="CommentSubject"/>
    <w:uiPriority w:val="99"/>
    <w:semiHidden/>
    <w:rsid w:val="006B3A7C"/>
    <w:rPr>
      <w:b/>
      <w:bCs/>
      <w:sz w:val="20"/>
      <w:szCs w:val="20"/>
    </w:rPr>
  </w:style>
  <w:style w:type="character" w:customStyle="1" w:styleId="cf01">
    <w:name w:val="cf01"/>
    <w:basedOn w:val="DefaultParagraphFont"/>
    <w:rsid w:val="002872BA"/>
    <w:rPr>
      <w:rFonts w:ascii="Times New Roman" w:hAnsi="Times New Roman" w:cs="Times New Roman" w:hint="default"/>
    </w:rPr>
  </w:style>
  <w:style w:type="paragraph" w:customStyle="1" w:styleId="pf0">
    <w:name w:val="pf0"/>
    <w:basedOn w:val="Normal"/>
    <w:rsid w:val="00287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2872BA"/>
    <w:rPr>
      <w:rFonts w:ascii="Times New Roman" w:hAnsi="Times New Roman" w:cs="Times New Roman" w:hint="default"/>
    </w:rPr>
  </w:style>
  <w:style w:type="character" w:customStyle="1" w:styleId="cf21">
    <w:name w:val="cf21"/>
    <w:basedOn w:val="DefaultParagraphFont"/>
    <w:rsid w:val="002872BA"/>
    <w:rPr>
      <w:rFonts w:ascii="Times New Roman" w:hAnsi="Times New Roman" w:cs="Times New Roman" w:hint="default"/>
    </w:rPr>
  </w:style>
  <w:style w:type="character" w:customStyle="1" w:styleId="cf31">
    <w:name w:val="cf31"/>
    <w:basedOn w:val="DefaultParagraphFont"/>
    <w:rsid w:val="002872B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8288">
      <w:bodyDiv w:val="1"/>
      <w:marLeft w:val="0"/>
      <w:marRight w:val="0"/>
      <w:marTop w:val="0"/>
      <w:marBottom w:val="0"/>
      <w:divBdr>
        <w:top w:val="none" w:sz="0" w:space="0" w:color="auto"/>
        <w:left w:val="none" w:sz="0" w:space="0" w:color="auto"/>
        <w:bottom w:val="none" w:sz="0" w:space="0" w:color="auto"/>
        <w:right w:val="none" w:sz="0" w:space="0" w:color="auto"/>
      </w:divBdr>
    </w:div>
    <w:div w:id="522792604">
      <w:bodyDiv w:val="1"/>
      <w:marLeft w:val="0"/>
      <w:marRight w:val="0"/>
      <w:marTop w:val="0"/>
      <w:marBottom w:val="0"/>
      <w:divBdr>
        <w:top w:val="none" w:sz="0" w:space="0" w:color="auto"/>
        <w:left w:val="none" w:sz="0" w:space="0" w:color="auto"/>
        <w:bottom w:val="none" w:sz="0" w:space="0" w:color="auto"/>
        <w:right w:val="none" w:sz="0" w:space="0" w:color="auto"/>
      </w:divBdr>
    </w:div>
    <w:div w:id="9168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Evans</dc:creator>
  <cp:keywords/>
  <dc:description/>
  <cp:lastModifiedBy>Underwood, Nick</cp:lastModifiedBy>
  <cp:revision>3</cp:revision>
  <dcterms:created xsi:type="dcterms:W3CDTF">2023-03-16T12:22:00Z</dcterms:created>
  <dcterms:modified xsi:type="dcterms:W3CDTF">2023-03-16T12:22:00Z</dcterms:modified>
</cp:coreProperties>
</file>