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ABE" w:rsidRDefault="00AC4ABE">
      <w:pPr>
        <w:rPr>
          <w:szCs w:val="20"/>
          <w:lang w:val="en-GB"/>
        </w:rPr>
      </w:pPr>
    </w:p>
    <w:p w:rsidR="00D15AC3" w:rsidRDefault="0007298F" w:rsidP="00D15AC3">
      <w:pPr>
        <w:spacing w:line="240" w:lineRule="auto"/>
        <w:rPr>
          <w:rFonts w:cs="Arial"/>
        </w:rPr>
      </w:pPr>
      <w:r>
        <w:rPr>
          <w:rFonts w:cs="Arial"/>
        </w:rPr>
        <w:t>Ernst &amp; Young LLP</w:t>
      </w:r>
    </w:p>
    <w:p w:rsidR="00D15AC3" w:rsidRDefault="0007298F" w:rsidP="00D15AC3">
      <w:pPr>
        <w:spacing w:line="240" w:lineRule="auto"/>
        <w:rPr>
          <w:rFonts w:cs="Arial"/>
        </w:rPr>
      </w:pPr>
      <w:r>
        <w:rPr>
          <w:rFonts w:cs="Arial"/>
        </w:rPr>
        <w:t>1 More London Place</w:t>
      </w:r>
      <w:r>
        <w:rPr>
          <w:rFonts w:cs="Arial"/>
        </w:rPr>
        <w:tab/>
      </w:r>
    </w:p>
    <w:p w:rsidR="00D15AC3" w:rsidRDefault="00D15AC3" w:rsidP="00D15AC3">
      <w:pPr>
        <w:spacing w:line="240" w:lineRule="auto"/>
        <w:rPr>
          <w:rFonts w:cs="Arial"/>
        </w:rPr>
      </w:pPr>
      <w:r>
        <w:rPr>
          <w:rFonts w:cs="Arial"/>
        </w:rPr>
        <w:t>London</w:t>
      </w:r>
    </w:p>
    <w:p w:rsidR="00D15AC3" w:rsidRPr="00A4589E" w:rsidRDefault="002A165C" w:rsidP="00D15AC3">
      <w:pPr>
        <w:spacing w:line="240" w:lineRule="auto"/>
        <w:rPr>
          <w:rFonts w:cs="Arial"/>
        </w:rPr>
      </w:pPr>
      <w:r>
        <w:rPr>
          <w:rFonts w:cs="Arial"/>
        </w:rPr>
        <w:t>SE21 2AF</w:t>
      </w:r>
    </w:p>
    <w:p w:rsidR="00D15AC3" w:rsidRDefault="00D15AC3" w:rsidP="00D15AC3">
      <w:pPr>
        <w:rPr>
          <w:rFonts w:cs="Arial"/>
          <w:shd w:val="clear" w:color="auto" w:fill="FFFF00"/>
        </w:rPr>
      </w:pPr>
    </w:p>
    <w:p w:rsidR="00495190" w:rsidRPr="00A4589E" w:rsidRDefault="00BC016A" w:rsidP="00D15AC3">
      <w:pPr>
        <w:shd w:val="clear" w:color="auto" w:fill="FFFFFF" w:themeFill="background1"/>
        <w:rPr>
          <w:rFonts w:cs="Arial"/>
        </w:rPr>
      </w:pPr>
      <w:r>
        <w:rPr>
          <w:rFonts w:cs="Arial"/>
        </w:rPr>
        <w:t>29</w:t>
      </w:r>
      <w:r w:rsidR="002A165C" w:rsidRPr="002A165C">
        <w:rPr>
          <w:rFonts w:cs="Arial"/>
          <w:vertAlign w:val="superscript"/>
        </w:rPr>
        <w:t>th</w:t>
      </w:r>
      <w:r w:rsidR="002A165C">
        <w:rPr>
          <w:rFonts w:cs="Arial"/>
        </w:rPr>
        <w:t xml:space="preserve"> </w:t>
      </w:r>
      <w:r w:rsidR="00D15AC3">
        <w:rPr>
          <w:rFonts w:cs="Arial"/>
        </w:rPr>
        <w:t>March 2018</w:t>
      </w:r>
    </w:p>
    <w:p w:rsidR="00495190" w:rsidRPr="00A4589E" w:rsidRDefault="00495190" w:rsidP="00495190">
      <w:pPr>
        <w:spacing w:line="240" w:lineRule="auto"/>
        <w:rPr>
          <w:rFonts w:cs="Arial"/>
          <w:b/>
        </w:rPr>
      </w:pPr>
    </w:p>
    <w:p w:rsidR="008B41FE" w:rsidRDefault="00495190" w:rsidP="00D15AC3">
      <w:pPr>
        <w:tabs>
          <w:tab w:val="left" w:pos="8383"/>
        </w:tabs>
        <w:spacing w:line="240" w:lineRule="auto"/>
        <w:rPr>
          <w:rFonts w:cs="Arial"/>
        </w:rPr>
      </w:pPr>
      <w:r w:rsidRPr="00A4589E">
        <w:rPr>
          <w:rFonts w:cs="Arial"/>
        </w:rPr>
        <w:t>Dear Sirs,</w:t>
      </w:r>
    </w:p>
    <w:p w:rsidR="008B41FE" w:rsidRDefault="008B41FE" w:rsidP="00D15AC3">
      <w:pPr>
        <w:tabs>
          <w:tab w:val="left" w:pos="8383"/>
        </w:tabs>
        <w:spacing w:line="240" w:lineRule="auto"/>
        <w:rPr>
          <w:rFonts w:cs="Arial"/>
        </w:rPr>
      </w:pPr>
    </w:p>
    <w:p w:rsidR="00E33960" w:rsidRPr="008B41FE" w:rsidRDefault="008B41FE" w:rsidP="00D15AC3">
      <w:pPr>
        <w:tabs>
          <w:tab w:val="left" w:pos="8383"/>
        </w:tabs>
        <w:spacing w:line="240" w:lineRule="auto"/>
        <w:rPr>
          <w:rFonts w:cs="Arial"/>
          <w:b/>
          <w:szCs w:val="20"/>
        </w:rPr>
      </w:pPr>
      <w:r w:rsidRPr="008B41FE">
        <w:rPr>
          <w:rFonts w:cs="Arial"/>
          <w:b/>
          <w:szCs w:val="20"/>
        </w:rPr>
        <w:t xml:space="preserve">Award to </w:t>
      </w:r>
      <w:r w:rsidR="002A165C">
        <w:rPr>
          <w:rFonts w:cs="Arial"/>
          <w:b/>
          <w:szCs w:val="20"/>
        </w:rPr>
        <w:t>Primary</w:t>
      </w:r>
      <w:r w:rsidRPr="008B41FE">
        <w:rPr>
          <w:rFonts w:cs="Arial"/>
          <w:b/>
          <w:szCs w:val="20"/>
        </w:rPr>
        <w:t xml:space="preserve"> Provider</w:t>
      </w:r>
      <w:r w:rsidR="005E2CF2" w:rsidRPr="008B41FE">
        <w:rPr>
          <w:rFonts w:cs="Arial"/>
          <w:b/>
          <w:szCs w:val="20"/>
        </w:rPr>
        <w:tab/>
      </w:r>
    </w:p>
    <w:p w:rsidR="00E33960" w:rsidRDefault="00E33960" w:rsidP="00C66213">
      <w:pPr>
        <w:shd w:val="clear" w:color="auto" w:fill="FFFFFF" w:themeFill="background1"/>
        <w:spacing w:line="240" w:lineRule="auto"/>
        <w:rPr>
          <w:rFonts w:cs="Arial"/>
        </w:rPr>
      </w:pPr>
    </w:p>
    <w:p w:rsidR="00D15AC3" w:rsidRPr="00544B88" w:rsidRDefault="00D15AC3" w:rsidP="00D15AC3">
      <w:pPr>
        <w:pStyle w:val="Header"/>
        <w:rPr>
          <w:b/>
          <w:sz w:val="20"/>
          <w:szCs w:val="20"/>
        </w:rPr>
      </w:pPr>
      <w:r w:rsidRPr="00544B88">
        <w:rPr>
          <w:b/>
          <w:sz w:val="20"/>
          <w:szCs w:val="20"/>
        </w:rPr>
        <w:t>Contract Title: Provision of Complex Tra</w:t>
      </w:r>
      <w:r w:rsidR="00BC016A">
        <w:rPr>
          <w:b/>
          <w:sz w:val="20"/>
          <w:szCs w:val="20"/>
        </w:rPr>
        <w:t>n</w:t>
      </w:r>
      <w:r w:rsidRPr="00544B88">
        <w:rPr>
          <w:b/>
          <w:sz w:val="20"/>
          <w:szCs w:val="20"/>
        </w:rPr>
        <w:t>sactions Co-Sourcing Commercial</w:t>
      </w:r>
      <w:r>
        <w:rPr>
          <w:b/>
          <w:sz w:val="20"/>
          <w:szCs w:val="20"/>
        </w:rPr>
        <w:t xml:space="preserve"> </w:t>
      </w:r>
      <w:r w:rsidRPr="00544B88">
        <w:rPr>
          <w:b/>
          <w:sz w:val="20"/>
          <w:szCs w:val="20"/>
        </w:rPr>
        <w:t>Consultancy Support</w:t>
      </w:r>
    </w:p>
    <w:p w:rsidR="00D15AC3" w:rsidRPr="0075590B" w:rsidRDefault="00D15AC3" w:rsidP="00D15AC3">
      <w:pPr>
        <w:shd w:val="clear" w:color="auto" w:fill="FFFFFF" w:themeFill="background1"/>
        <w:spacing w:line="240" w:lineRule="auto"/>
        <w:rPr>
          <w:rFonts w:cs="Arial"/>
          <w:b/>
        </w:rPr>
      </w:pPr>
      <w:r w:rsidRPr="00186088">
        <w:rPr>
          <w:rFonts w:cs="Arial"/>
          <w:b/>
        </w:rPr>
        <w:t>Contract Reference: CCCC1</w:t>
      </w:r>
      <w:r>
        <w:rPr>
          <w:rFonts w:cs="Arial"/>
          <w:b/>
        </w:rPr>
        <w:t>8A16</w:t>
      </w:r>
    </w:p>
    <w:p w:rsidR="00D15AC3" w:rsidRDefault="00D15AC3" w:rsidP="00D15AC3">
      <w:pPr>
        <w:spacing w:line="240" w:lineRule="auto"/>
        <w:rPr>
          <w:b/>
        </w:rPr>
      </w:pPr>
      <w:r>
        <w:rPr>
          <w:rFonts w:cs="Arial"/>
          <w:b/>
        </w:rPr>
        <w:t xml:space="preserve">Contract Period: </w:t>
      </w:r>
      <w:r w:rsidR="00632650">
        <w:rPr>
          <w:b/>
        </w:rPr>
        <w:t>Monday 9</w:t>
      </w:r>
      <w:r w:rsidRPr="00544B88">
        <w:rPr>
          <w:b/>
          <w:vertAlign w:val="superscript"/>
        </w:rPr>
        <w:t>th</w:t>
      </w:r>
      <w:r w:rsidR="00632650">
        <w:rPr>
          <w:b/>
        </w:rPr>
        <w:t xml:space="preserve"> April 2018 to Tuesday 9</w:t>
      </w:r>
      <w:r w:rsidRPr="00544B88">
        <w:rPr>
          <w:b/>
          <w:vertAlign w:val="superscript"/>
        </w:rPr>
        <w:t>th</w:t>
      </w:r>
      <w:r w:rsidR="00BC016A">
        <w:rPr>
          <w:b/>
        </w:rPr>
        <w:t xml:space="preserve"> April</w:t>
      </w:r>
      <w:r w:rsidRPr="00544B88">
        <w:rPr>
          <w:b/>
        </w:rPr>
        <w:t xml:space="preserve"> 2019</w:t>
      </w:r>
      <w:r w:rsidR="00080070">
        <w:rPr>
          <w:b/>
        </w:rPr>
        <w:t xml:space="preserve"> with the option for a six </w:t>
      </w:r>
      <w:r w:rsidR="00632650">
        <w:rPr>
          <w:b/>
        </w:rPr>
        <w:t xml:space="preserve">(6) </w:t>
      </w:r>
      <w:r w:rsidR="00080070">
        <w:rPr>
          <w:b/>
        </w:rPr>
        <w:t>month extension</w:t>
      </w:r>
    </w:p>
    <w:p w:rsidR="00D15AC3" w:rsidRPr="0075590B" w:rsidRDefault="00D15AC3" w:rsidP="00D15AC3">
      <w:pPr>
        <w:spacing w:line="240" w:lineRule="auto"/>
        <w:rPr>
          <w:rFonts w:cs="Arial"/>
          <w:b/>
        </w:rPr>
      </w:pPr>
    </w:p>
    <w:p w:rsidR="00C66213" w:rsidRDefault="00F03E4A" w:rsidP="00577BE0">
      <w:pPr>
        <w:spacing w:before="40" w:after="40"/>
        <w:ind w:right="-329"/>
        <w:rPr>
          <w:szCs w:val="20"/>
        </w:rPr>
      </w:pPr>
      <w:r w:rsidRPr="00C66213">
        <w:rPr>
          <w:rFonts w:cs="Arial"/>
          <w:color w:val="000000" w:themeColor="text1"/>
          <w:szCs w:val="20"/>
        </w:rPr>
        <w:t xml:space="preserve">Contract for the provision of consultancy services </w:t>
      </w:r>
      <w:r w:rsidRPr="00577BE0">
        <w:rPr>
          <w:rFonts w:cs="Arial"/>
          <w:color w:val="000000" w:themeColor="text1"/>
          <w:szCs w:val="20"/>
        </w:rPr>
        <w:t xml:space="preserve">by </w:t>
      </w:r>
      <w:r w:rsidR="002A165C">
        <w:rPr>
          <w:rFonts w:cs="Arial"/>
          <w:color w:val="000000" w:themeColor="text1"/>
          <w:szCs w:val="20"/>
        </w:rPr>
        <w:t>Ernst &amp; Young LLP,</w:t>
      </w:r>
      <w:r w:rsidR="004E64E7">
        <w:rPr>
          <w:rFonts w:cs="Arial"/>
          <w:color w:val="000000" w:themeColor="text1"/>
          <w:szCs w:val="20"/>
        </w:rPr>
        <w:t xml:space="preserve"> </w:t>
      </w:r>
      <w:r w:rsidR="002A165C">
        <w:rPr>
          <w:rFonts w:cs="Arial"/>
          <w:color w:val="000000" w:themeColor="text1"/>
          <w:szCs w:val="20"/>
        </w:rPr>
        <w:t>1 More London Place, London, SE21 2AF</w:t>
      </w:r>
      <w:r w:rsidR="00D15AC3">
        <w:rPr>
          <w:rFonts w:cs="Arial"/>
          <w:color w:val="000000" w:themeColor="text1"/>
          <w:szCs w:val="20"/>
        </w:rPr>
        <w:t xml:space="preserve"> </w:t>
      </w:r>
      <w:r w:rsidRPr="00D15AC3">
        <w:rPr>
          <w:rFonts w:cs="Arial"/>
          <w:b/>
          <w:color w:val="000000" w:themeColor="text1"/>
          <w:szCs w:val="20"/>
        </w:rPr>
        <w:t xml:space="preserve">as Supplier to The </w:t>
      </w:r>
      <w:r w:rsidR="009B0A7F">
        <w:rPr>
          <w:rFonts w:cs="Arial"/>
          <w:b/>
          <w:color w:val="000000" w:themeColor="text1"/>
          <w:szCs w:val="20"/>
        </w:rPr>
        <w:t>Crown Commercial Service</w:t>
      </w:r>
      <w:r w:rsidRPr="00D15AC3">
        <w:rPr>
          <w:rFonts w:cs="Arial"/>
          <w:b/>
          <w:color w:val="000000" w:themeColor="text1"/>
          <w:szCs w:val="20"/>
        </w:rPr>
        <w:t xml:space="preserve"> </w:t>
      </w:r>
      <w:r w:rsidR="00C66213" w:rsidRPr="009B0A7F">
        <w:rPr>
          <w:szCs w:val="20"/>
        </w:rPr>
        <w:t>b</w:t>
      </w:r>
      <w:r w:rsidR="00C66213" w:rsidRPr="00C66213">
        <w:rPr>
          <w:szCs w:val="20"/>
        </w:rPr>
        <w:t>etween ESPO and the Consultant on 24 January 2013 ("</w:t>
      </w:r>
      <w:r w:rsidR="00C66213" w:rsidRPr="00C66213">
        <w:rPr>
          <w:b/>
          <w:szCs w:val="20"/>
        </w:rPr>
        <w:t>Framework Agreement</w:t>
      </w:r>
      <w:r w:rsidR="00C66213" w:rsidRPr="00C66213">
        <w:rPr>
          <w:szCs w:val="20"/>
        </w:rPr>
        <w:t xml:space="preserve">").  The Consultant agrees to supply the services specified below on and subject to the terms of this Contract and for the avoidance of doubt the Contract consists of the terms set out in this Order Form and the Order Terms, together with any appendices thereto.  </w:t>
      </w:r>
    </w:p>
    <w:p w:rsidR="00A33029" w:rsidRDefault="00577BE0" w:rsidP="008A3BCF">
      <w:pPr>
        <w:overflowPunct w:val="0"/>
        <w:autoSpaceDE w:val="0"/>
        <w:autoSpaceDN w:val="0"/>
        <w:adjustRightInd w:val="0"/>
        <w:spacing w:after="240" w:line="240" w:lineRule="auto"/>
        <w:jc w:val="both"/>
        <w:textAlignment w:val="baseline"/>
        <w:rPr>
          <w:rFonts w:cs="Arial"/>
        </w:rPr>
      </w:pPr>
      <w:r>
        <w:rPr>
          <w:rFonts w:cs="Arial"/>
        </w:rPr>
        <w:br/>
      </w:r>
      <w:r w:rsidR="00C66213">
        <w:rPr>
          <w:rFonts w:cs="Arial"/>
        </w:rPr>
        <w:t>This Order is placed under Lot</w:t>
      </w:r>
      <w:r w:rsidR="009B0A7F">
        <w:rPr>
          <w:rFonts w:cs="Arial"/>
        </w:rPr>
        <w:t xml:space="preserve"> 10</w:t>
      </w:r>
      <w:r w:rsidR="00C66213">
        <w:rPr>
          <w:rFonts w:cs="Arial"/>
        </w:rPr>
        <w:t xml:space="preserve"> </w:t>
      </w:r>
      <w:r w:rsidR="005302D3">
        <w:rPr>
          <w:rFonts w:cs="Arial"/>
        </w:rPr>
        <w:t>of the Framework Agreement</w:t>
      </w:r>
      <w:r w:rsidR="009B0A7F">
        <w:rPr>
          <w:rFonts w:cs="Arial"/>
        </w:rPr>
        <w:t xml:space="preserve"> Strategic Projects</w:t>
      </w:r>
      <w:r w:rsidR="00A33029">
        <w:rPr>
          <w:rFonts w:cs="Arial"/>
        </w:rPr>
        <w:t xml:space="preserve">. </w:t>
      </w:r>
    </w:p>
    <w:p w:rsidR="001B13FC" w:rsidRPr="00A1383D" w:rsidRDefault="00A33029" w:rsidP="00A1383D">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t>
      </w:r>
      <w:r w:rsidR="008B41FE">
        <w:rPr>
          <w:rFonts w:cs="Arial"/>
        </w:rPr>
        <w:t xml:space="preserve">in total </w:t>
      </w:r>
      <w:r>
        <w:rPr>
          <w:rFonts w:cs="Arial"/>
        </w:rPr>
        <w:t xml:space="preserve">will not </w:t>
      </w:r>
      <w:r w:rsidRPr="00142376">
        <w:rPr>
          <w:rFonts w:cs="Arial"/>
        </w:rPr>
        <w:t>exceed</w:t>
      </w:r>
      <w:r w:rsidR="005302D3" w:rsidRPr="00142376">
        <w:rPr>
          <w:rFonts w:cs="Arial"/>
        </w:rPr>
        <w:t xml:space="preserve"> </w:t>
      </w:r>
      <w:r w:rsidR="00142376" w:rsidRPr="00142376">
        <w:rPr>
          <w:rFonts w:cs="Arial"/>
        </w:rPr>
        <w:t>£</w:t>
      </w:r>
      <w:r w:rsidR="004F2E84">
        <w:rPr>
          <w:rFonts w:cs="Arial"/>
        </w:rPr>
        <w:t>3,450</w:t>
      </w:r>
      <w:r w:rsidR="00A1383D">
        <w:rPr>
          <w:rFonts w:cs="Arial"/>
        </w:rPr>
        <w:t>,000.00</w:t>
      </w:r>
      <w:r w:rsidRPr="00142376">
        <w:rPr>
          <w:rFonts w:cs="Arial"/>
        </w:rPr>
        <w:t xml:space="preserve"> exc. VAT</w:t>
      </w:r>
      <w:r w:rsidR="00142376" w:rsidRPr="00142376">
        <w:rPr>
          <w:rFonts w:cs="Arial"/>
        </w:rPr>
        <w:t>.</w:t>
      </w:r>
    </w:p>
    <w:p w:rsidR="00495190" w:rsidRPr="00C57593" w:rsidRDefault="00495190" w:rsidP="00495190">
      <w:pPr>
        <w:spacing w:line="240" w:lineRule="auto"/>
        <w:ind w:left="426" w:hanging="426"/>
        <w:rPr>
          <w:rFonts w:cs="Arial"/>
        </w:rPr>
      </w:pPr>
      <w:r w:rsidRPr="00C57593">
        <w:rPr>
          <w:rFonts w:cs="Arial"/>
        </w:rPr>
        <w:t>For the purposes of the Contract, the address of each Party is:</w:t>
      </w:r>
      <w:r w:rsidR="00577BE0">
        <w:rPr>
          <w:rFonts w:cs="Arial"/>
        </w:rPr>
        <w:br/>
      </w:r>
    </w:p>
    <w:p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rsidR="00577BE0" w:rsidRDefault="00A1383D" w:rsidP="00577BE0">
      <w:pPr>
        <w:spacing w:line="240" w:lineRule="auto"/>
        <w:ind w:left="720"/>
        <w:rPr>
          <w:rFonts w:cs="Arial"/>
        </w:rPr>
      </w:pPr>
      <w:r>
        <w:rPr>
          <w:rFonts w:cs="Arial"/>
        </w:rPr>
        <w:t>1 Horse Guards Road</w:t>
      </w:r>
    </w:p>
    <w:p w:rsidR="00A1383D" w:rsidRDefault="00A1383D" w:rsidP="00577BE0">
      <w:pPr>
        <w:spacing w:line="240" w:lineRule="auto"/>
        <w:ind w:left="720"/>
        <w:rPr>
          <w:rFonts w:cs="Arial"/>
        </w:rPr>
      </w:pPr>
      <w:r>
        <w:rPr>
          <w:rFonts w:cs="Arial"/>
        </w:rPr>
        <w:t>London</w:t>
      </w:r>
    </w:p>
    <w:p w:rsidR="00A1383D" w:rsidRDefault="00A1383D" w:rsidP="00577BE0">
      <w:pPr>
        <w:spacing w:line="240" w:lineRule="auto"/>
        <w:ind w:left="720"/>
        <w:rPr>
          <w:rFonts w:cs="Arial"/>
        </w:rPr>
      </w:pPr>
      <w:r>
        <w:rPr>
          <w:rFonts w:cs="Arial"/>
        </w:rPr>
        <w:t>SW1A 2HQ</w:t>
      </w:r>
    </w:p>
    <w:p w:rsidR="00495190" w:rsidRDefault="00495190" w:rsidP="00495190">
      <w:pPr>
        <w:spacing w:line="240" w:lineRule="auto"/>
        <w:ind w:left="720"/>
        <w:rPr>
          <w:rFonts w:cs="Arial"/>
          <w:shd w:val="clear" w:color="auto" w:fill="FFFF00"/>
        </w:rPr>
      </w:pPr>
      <w:r w:rsidRPr="00577BE0">
        <w:rPr>
          <w:rFonts w:cs="Arial"/>
        </w:rPr>
        <w:t xml:space="preserve">For the attention of: </w:t>
      </w:r>
      <w:r w:rsidR="00FB2EBF">
        <w:rPr>
          <w:rFonts w:cs="Arial"/>
        </w:rPr>
        <w:t>REDACTED</w:t>
      </w:r>
      <w:r w:rsidR="00577BE0" w:rsidRPr="004306F1">
        <w:rPr>
          <w:rFonts w:cs="Arial"/>
          <w:szCs w:val="20"/>
        </w:rPr>
        <w:br/>
      </w:r>
      <w:r w:rsidR="00577BE0" w:rsidRPr="0063583A">
        <w:rPr>
          <w:rFonts w:cs="Arial"/>
          <w:szCs w:val="20"/>
        </w:rPr>
        <w:t xml:space="preserve">Email: </w:t>
      </w:r>
      <w:r w:rsidR="00FB2EBF">
        <w:rPr>
          <w:rFonts w:cs="Arial"/>
        </w:rPr>
        <w:t>REDACTED</w:t>
      </w:r>
      <w:r w:rsidR="00577BE0">
        <w:rPr>
          <w:rFonts w:cs="Arial"/>
        </w:rPr>
        <w:br/>
      </w:r>
    </w:p>
    <w:p w:rsidR="00E33960" w:rsidRDefault="00E33960" w:rsidP="00495190">
      <w:pPr>
        <w:spacing w:line="240" w:lineRule="auto"/>
        <w:ind w:left="720"/>
        <w:rPr>
          <w:rFonts w:cs="Arial"/>
          <w:shd w:val="clear" w:color="auto" w:fill="FFFF00"/>
        </w:rPr>
      </w:pPr>
    </w:p>
    <w:p w:rsidR="00495190" w:rsidRPr="00A4589E" w:rsidRDefault="00495190" w:rsidP="00577BE0">
      <w:pPr>
        <w:pStyle w:val="ListParagraph"/>
        <w:numPr>
          <w:ilvl w:val="0"/>
          <w:numId w:val="4"/>
        </w:numPr>
        <w:overflowPunct w:val="0"/>
        <w:autoSpaceDE w:val="0"/>
        <w:autoSpaceDN w:val="0"/>
        <w:adjustRightInd w:val="0"/>
        <w:spacing w:after="240" w:line="240" w:lineRule="auto"/>
        <w:ind w:left="142" w:hanging="207"/>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rsidR="002A165C" w:rsidRPr="002A165C" w:rsidRDefault="002A165C" w:rsidP="002A165C">
      <w:pPr>
        <w:pStyle w:val="ListParagraph"/>
        <w:spacing w:line="240" w:lineRule="auto"/>
        <w:rPr>
          <w:rFonts w:cs="Arial"/>
        </w:rPr>
      </w:pPr>
      <w:r w:rsidRPr="002A165C">
        <w:rPr>
          <w:rFonts w:cs="Arial"/>
        </w:rPr>
        <w:t>Ernst &amp; Young LLP</w:t>
      </w:r>
    </w:p>
    <w:p w:rsidR="002A165C" w:rsidRPr="002A165C" w:rsidRDefault="002A165C" w:rsidP="002A165C">
      <w:pPr>
        <w:pStyle w:val="ListParagraph"/>
        <w:spacing w:line="240" w:lineRule="auto"/>
        <w:rPr>
          <w:rFonts w:cs="Arial"/>
        </w:rPr>
      </w:pPr>
      <w:r w:rsidRPr="002A165C">
        <w:rPr>
          <w:rFonts w:cs="Arial"/>
        </w:rPr>
        <w:t>1 More London Place</w:t>
      </w:r>
      <w:r w:rsidRPr="002A165C">
        <w:rPr>
          <w:rFonts w:cs="Arial"/>
        </w:rPr>
        <w:tab/>
      </w:r>
    </w:p>
    <w:p w:rsidR="002A165C" w:rsidRPr="002A165C" w:rsidRDefault="002A165C" w:rsidP="002A165C">
      <w:pPr>
        <w:pStyle w:val="ListParagraph"/>
        <w:spacing w:line="240" w:lineRule="auto"/>
        <w:rPr>
          <w:rFonts w:cs="Arial"/>
        </w:rPr>
      </w:pPr>
      <w:r w:rsidRPr="002A165C">
        <w:rPr>
          <w:rFonts w:cs="Arial"/>
        </w:rPr>
        <w:t>London</w:t>
      </w:r>
    </w:p>
    <w:p w:rsidR="002A165C" w:rsidRPr="002A165C" w:rsidRDefault="002A165C" w:rsidP="002A165C">
      <w:pPr>
        <w:pStyle w:val="ListParagraph"/>
        <w:spacing w:line="240" w:lineRule="auto"/>
        <w:rPr>
          <w:rFonts w:cs="Arial"/>
        </w:rPr>
      </w:pPr>
      <w:r w:rsidRPr="002A165C">
        <w:rPr>
          <w:rFonts w:cs="Arial"/>
        </w:rPr>
        <w:t>SE21 2AF</w:t>
      </w:r>
    </w:p>
    <w:p w:rsidR="0063583A" w:rsidRPr="004306F1" w:rsidRDefault="00495190" w:rsidP="00495190">
      <w:pPr>
        <w:spacing w:line="240" w:lineRule="auto"/>
        <w:ind w:left="720"/>
        <w:rPr>
          <w:szCs w:val="20"/>
        </w:rPr>
      </w:pPr>
      <w:r w:rsidRPr="0063583A">
        <w:rPr>
          <w:rFonts w:cs="Arial"/>
          <w:szCs w:val="20"/>
        </w:rPr>
        <w:t>F</w:t>
      </w:r>
      <w:r w:rsidR="004306F1">
        <w:rPr>
          <w:rFonts w:cs="Arial"/>
          <w:szCs w:val="20"/>
        </w:rPr>
        <w:t xml:space="preserve">or the attention of: </w:t>
      </w:r>
      <w:r w:rsidR="00FB2EBF">
        <w:rPr>
          <w:rFonts w:cs="Arial"/>
        </w:rPr>
        <w:t>REDACTED</w:t>
      </w:r>
      <w:r w:rsidR="002A165C">
        <w:rPr>
          <w:rFonts w:cs="Arial"/>
          <w:szCs w:val="20"/>
        </w:rPr>
        <w:br/>
        <w:t xml:space="preserve">Tel: </w:t>
      </w:r>
      <w:r w:rsidR="00FB2EBF">
        <w:rPr>
          <w:rFonts w:cs="Arial"/>
        </w:rPr>
        <w:t>REDACTED</w:t>
      </w:r>
    </w:p>
    <w:p w:rsidR="00577BE0" w:rsidRDefault="00577BE0" w:rsidP="004306F1">
      <w:pPr>
        <w:spacing w:line="240" w:lineRule="auto"/>
        <w:ind w:left="720"/>
        <w:rPr>
          <w:rFonts w:cs="Arial"/>
          <w:shd w:val="clear" w:color="auto" w:fill="FFFF00"/>
        </w:rPr>
      </w:pPr>
      <w:r w:rsidRPr="0063583A">
        <w:rPr>
          <w:rFonts w:cs="Arial"/>
          <w:szCs w:val="20"/>
        </w:rPr>
        <w:t xml:space="preserve">Email: </w:t>
      </w:r>
      <w:r w:rsidR="00FB2EBF">
        <w:rPr>
          <w:rFonts w:cs="Arial"/>
        </w:rPr>
        <w:t>REDACTED</w:t>
      </w:r>
      <w:bookmarkStart w:id="0" w:name="_GoBack"/>
      <w:bookmarkEnd w:id="0"/>
      <w:r w:rsidR="00495190" w:rsidRPr="008B41FE">
        <w:rPr>
          <w:rFonts w:cs="Arial"/>
        </w:rPr>
        <w:br/>
      </w:r>
    </w:p>
    <w:p w:rsidR="008D2747" w:rsidRDefault="008D2747" w:rsidP="008D2747">
      <w:pPr>
        <w:spacing w:line="240" w:lineRule="auto"/>
        <w:ind w:left="720"/>
        <w:jc w:val="both"/>
        <w:rPr>
          <w:rFonts w:cs="Arial"/>
        </w:rPr>
      </w:pPr>
    </w:p>
    <w:p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sidR="0098719E">
        <w:rPr>
          <w:rFonts w:cs="Arial"/>
          <w:b/>
        </w:rPr>
        <w:t>the</w:t>
      </w:r>
      <w:r w:rsidR="00577BE0">
        <w:rPr>
          <w:rFonts w:cs="Arial"/>
          <w:b/>
        </w:rPr>
        <w:t xml:space="preserve"> Order Form</w:t>
      </w:r>
      <w:r>
        <w:rPr>
          <w:rFonts w:cs="Arial"/>
          <w:b/>
        </w:rPr>
        <w:t xml:space="preserve">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rsidR="008D2747" w:rsidRPr="00A4589E" w:rsidRDefault="008D2747" w:rsidP="008D2747">
      <w:pPr>
        <w:spacing w:line="240" w:lineRule="auto"/>
        <w:jc w:val="both"/>
        <w:rPr>
          <w:rFonts w:cs="Arial"/>
          <w:b/>
        </w:rPr>
      </w:pPr>
    </w:p>
    <w:p w:rsidR="00495190" w:rsidRDefault="00495190" w:rsidP="008D2747">
      <w:pPr>
        <w:spacing w:line="240" w:lineRule="auto"/>
        <w:jc w:val="both"/>
        <w:rPr>
          <w:rFonts w:cs="Arial"/>
          <w:b/>
        </w:rPr>
      </w:pPr>
      <w:r w:rsidRPr="00A4589E">
        <w:rPr>
          <w:rFonts w:cs="Arial"/>
          <w:b/>
        </w:rPr>
        <w:lastRenderedPageBreak/>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sidR="00DE4172">
        <w:rPr>
          <w:rFonts w:cs="Arial"/>
          <w:b/>
        </w:rPr>
        <w:t>the Authority</w:t>
      </w:r>
      <w:r w:rsidRPr="00A4589E">
        <w:rPr>
          <w:rFonts w:cs="Arial"/>
          <w:b/>
        </w:rPr>
        <w:t xml:space="preserve"> to supply the </w:t>
      </w:r>
      <w:r>
        <w:rPr>
          <w:rFonts w:cs="Arial"/>
          <w:b/>
        </w:rPr>
        <w:t xml:space="preserve">Contract </w:t>
      </w:r>
      <w:r w:rsidRPr="00A4589E">
        <w:rPr>
          <w:rFonts w:cs="Arial"/>
          <w:b/>
        </w:rPr>
        <w:t xml:space="preserve">Services specified </w:t>
      </w:r>
      <w:r w:rsidR="00577BE0">
        <w:rPr>
          <w:rFonts w:cs="Arial"/>
          <w:b/>
        </w:rPr>
        <w:t>within the Order Form</w:t>
      </w:r>
      <w:r w:rsidRPr="00A4589E">
        <w:rPr>
          <w:rFonts w:cs="Arial"/>
          <w:b/>
        </w:rPr>
        <w:t xml:space="preserve">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rsidR="008D2747" w:rsidRPr="00A4589E" w:rsidRDefault="008D2747" w:rsidP="00495190">
      <w:pPr>
        <w:spacing w:line="240" w:lineRule="auto"/>
        <w:rPr>
          <w:rFonts w:cs="Arial"/>
          <w:b/>
        </w:rPr>
      </w:pPr>
    </w:p>
    <w:p w:rsidR="00495190" w:rsidRPr="00A4589E" w:rsidRDefault="00495190" w:rsidP="00495190">
      <w:pPr>
        <w:spacing w:line="240" w:lineRule="auto"/>
        <w:rPr>
          <w:rFonts w:cs="Arial"/>
        </w:rPr>
      </w:pPr>
      <w:r w:rsidRPr="00A4589E">
        <w:rPr>
          <w:rFonts w:cs="Arial"/>
        </w:rPr>
        <w:t>Yours faithfully</w:t>
      </w:r>
      <w:r w:rsidR="00B46008">
        <w:rPr>
          <w:rFonts w:cs="Arial"/>
        </w:rPr>
        <w:t>,</w:t>
      </w:r>
    </w:p>
    <w:p w:rsidR="008D2747" w:rsidRDefault="008D2747" w:rsidP="00495190">
      <w:pPr>
        <w:spacing w:line="240" w:lineRule="auto"/>
        <w:rPr>
          <w:rFonts w:cs="Arial"/>
        </w:rPr>
      </w:pPr>
    </w:p>
    <w:p w:rsidR="00577BE0" w:rsidRDefault="00577BE0" w:rsidP="00495190">
      <w:pPr>
        <w:pStyle w:val="MarginText"/>
        <w:rPr>
          <w:noProof/>
          <w:lang w:eastAsia="en-GB"/>
        </w:rPr>
      </w:pPr>
    </w:p>
    <w:p w:rsidR="004306F1" w:rsidRPr="00556EFE" w:rsidRDefault="004306F1" w:rsidP="00495190">
      <w:pPr>
        <w:pStyle w:val="MarginText"/>
        <w:rPr>
          <w:rFonts w:cs="Arial"/>
          <w:sz w:val="20"/>
          <w:highlight w:val="yellow"/>
          <w:shd w:val="clear" w:color="auto" w:fill="FFFF00"/>
        </w:rPr>
      </w:pPr>
    </w:p>
    <w:p w:rsidR="00BD371A" w:rsidRDefault="00B9591B" w:rsidP="00556EFE">
      <w:pPr>
        <w:rPr>
          <w:rFonts w:cs="Arial"/>
          <w:szCs w:val="20"/>
        </w:rPr>
      </w:pPr>
      <w:r>
        <w:rPr>
          <w:rFonts w:ascii="Verdana" w:hAnsi="Verdana" w:cs="Arial"/>
          <w:b/>
        </w:rPr>
        <w:t>REDACTED</w:t>
      </w:r>
    </w:p>
    <w:p w:rsidR="00B46008" w:rsidRDefault="00DE4172" w:rsidP="00556EFE">
      <w:pPr>
        <w:rPr>
          <w:rFonts w:cs="Arial"/>
          <w:szCs w:val="20"/>
        </w:rPr>
      </w:pPr>
      <w:r>
        <w:rPr>
          <w:rFonts w:cs="Arial"/>
          <w:szCs w:val="20"/>
        </w:rPr>
        <w:t>Procurement Operations – People – Head of Procurement</w:t>
      </w:r>
    </w:p>
    <w:p w:rsidR="00556EFE" w:rsidRDefault="00556EFE" w:rsidP="00556EFE">
      <w:r w:rsidRPr="00577BE0">
        <w:t>Crown Commercial Service</w:t>
      </w:r>
    </w:p>
    <w:p w:rsidR="00556EFE" w:rsidRDefault="00556EFE" w:rsidP="00495190">
      <w:pPr>
        <w:pStyle w:val="MarginText"/>
        <w:rPr>
          <w:rFonts w:cs="Arial"/>
          <w:sz w:val="20"/>
          <w:shd w:val="clear" w:color="auto" w:fill="FFFF00"/>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sectPr w:rsidR="00842302"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770" w:rsidRDefault="00F85770" w:rsidP="0024317A">
      <w:pPr>
        <w:spacing w:line="240" w:lineRule="auto"/>
      </w:pPr>
      <w:r>
        <w:separator/>
      </w:r>
    </w:p>
  </w:endnote>
  <w:endnote w:type="continuationSeparator" w:id="0">
    <w:p w:rsidR="00F85770" w:rsidRDefault="00F85770"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000"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FC" w:rsidRDefault="004311FC">
    <w:pPr>
      <w:pStyle w:val="Footer"/>
    </w:pPr>
    <w:r>
      <w:rPr>
        <w:noProof/>
        <w:lang w:val="en-GB" w:eastAsia="en-GB"/>
      </w:rPr>
      <w:drawing>
        <wp:anchor distT="0" distB="0" distL="114300" distR="114300" simplePos="0" relativeHeight="251659264" behindDoc="1" locked="0" layoutInCell="1" allowOverlap="1">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770" w:rsidRDefault="00F85770" w:rsidP="0024317A">
      <w:pPr>
        <w:spacing w:line="240" w:lineRule="auto"/>
      </w:pPr>
      <w:r>
        <w:separator/>
      </w:r>
    </w:p>
  </w:footnote>
  <w:footnote w:type="continuationSeparator" w:id="0">
    <w:p w:rsidR="00F85770" w:rsidRDefault="00F85770" w:rsidP="00243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360" w:type="dxa"/>
      <w:tblInd w:w="-170" w:type="dxa"/>
      <w:tblLayout w:type="fixed"/>
      <w:tblCellMar>
        <w:left w:w="0" w:type="dxa"/>
        <w:right w:w="0" w:type="dxa"/>
      </w:tblCellMar>
      <w:tblLook w:val="04A0" w:firstRow="1" w:lastRow="0" w:firstColumn="1" w:lastColumn="0" w:noHBand="0" w:noVBand="1"/>
    </w:tblPr>
    <w:tblGrid>
      <w:gridCol w:w="4706"/>
      <w:gridCol w:w="2693"/>
      <w:gridCol w:w="283"/>
      <w:gridCol w:w="4678"/>
    </w:tblGrid>
    <w:tr w:rsidR="004311FC" w:rsidRPr="00EC1947" w:rsidTr="0098719E">
      <w:trPr>
        <w:trHeight w:hRule="exact" w:val="624"/>
      </w:trPr>
      <w:tc>
        <w:tcPr>
          <w:tcW w:w="4706" w:type="dxa"/>
          <w:vMerge w:val="restart"/>
          <w:shd w:val="clear" w:color="auto" w:fill="auto"/>
          <w:tcMar>
            <w:left w:w="0" w:type="dxa"/>
            <w:right w:w="0" w:type="dxa"/>
          </w:tcMar>
        </w:tcPr>
        <w:p w:rsidR="004311FC" w:rsidRPr="00EC1947" w:rsidRDefault="00795DFC" w:rsidP="0098719E">
          <w:pPr>
            <w:pStyle w:val="Header"/>
            <w:jc w:val="center"/>
          </w:pPr>
          <w:r w:rsidRPr="00795DFC">
            <w:rPr>
              <w:noProof/>
              <w:lang w:val="en-GB" w:eastAsia="en-GB"/>
            </w:rPr>
            <w:drawing>
              <wp:anchor distT="0" distB="0" distL="114300" distR="114300" simplePos="0" relativeHeight="251661312" behindDoc="0" locked="0" layoutInCell="1" allowOverlap="1" wp14:anchorId="3E1243AC" wp14:editId="5DBAED48">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rsidR="0098719E">
            <w:t>OFFICIAL</w:t>
          </w:r>
        </w:p>
      </w:tc>
      <w:tc>
        <w:tcPr>
          <w:tcW w:w="2693" w:type="dxa"/>
          <w:shd w:val="clear" w:color="auto" w:fill="auto"/>
        </w:tcPr>
        <w:p w:rsidR="004311FC" w:rsidRPr="00EC1947" w:rsidRDefault="004311FC" w:rsidP="0098234C">
          <w:pPr>
            <w:pStyle w:val="Header"/>
          </w:pPr>
        </w:p>
      </w:tc>
      <w:tc>
        <w:tcPr>
          <w:tcW w:w="283" w:type="dxa"/>
          <w:shd w:val="clear" w:color="auto" w:fill="auto"/>
        </w:tcPr>
        <w:p w:rsidR="004311FC" w:rsidRPr="00EC1947" w:rsidRDefault="004311FC" w:rsidP="0098234C">
          <w:pPr>
            <w:pStyle w:val="Header"/>
            <w:rPr>
              <w:color w:val="005ABB"/>
            </w:rPr>
          </w:pPr>
        </w:p>
      </w:tc>
      <w:tc>
        <w:tcPr>
          <w:tcW w:w="4678" w:type="dxa"/>
          <w:shd w:val="clear" w:color="auto" w:fill="auto"/>
          <w:tcMar>
            <w:left w:w="0" w:type="dxa"/>
            <w:right w:w="0" w:type="dxa"/>
          </w:tcMar>
        </w:tcPr>
        <w:p w:rsidR="0098719E" w:rsidRPr="00EC1947" w:rsidRDefault="0098719E" w:rsidP="0098719E">
          <w:pPr>
            <w:pStyle w:val="Header"/>
            <w:rPr>
              <w:spacing w:val="-2"/>
            </w:rPr>
          </w:pPr>
          <w:r w:rsidRPr="00EC1947">
            <w:rPr>
              <w:spacing w:val="-2"/>
            </w:rPr>
            <w:t>Room 2Y92 Concept House</w:t>
          </w:r>
        </w:p>
        <w:p w:rsidR="0098719E" w:rsidRPr="00EC1947" w:rsidRDefault="0098719E" w:rsidP="0098719E">
          <w:pPr>
            <w:pStyle w:val="Header"/>
          </w:pPr>
          <w:r w:rsidRPr="00EC1947">
            <w:rPr>
              <w:spacing w:val="-2"/>
            </w:rPr>
            <w:t>Cardiff Road</w:t>
          </w:r>
        </w:p>
        <w:p w:rsidR="0098719E" w:rsidRPr="00EC1947" w:rsidRDefault="0098719E" w:rsidP="0098719E">
          <w:pPr>
            <w:pStyle w:val="Header"/>
          </w:pPr>
          <w:r w:rsidRPr="00EC1947">
            <w:t>Newport</w:t>
          </w:r>
        </w:p>
        <w:p w:rsidR="004311FC" w:rsidRPr="00EC1947" w:rsidRDefault="0098719E" w:rsidP="0098719E">
          <w:pPr>
            <w:pStyle w:val="Header"/>
            <w:rPr>
              <w:color w:val="005ABB"/>
            </w:rPr>
          </w:pPr>
          <w:r w:rsidRPr="00EC1947">
            <w:t>NP10 8QQ</w:t>
          </w:r>
        </w:p>
      </w:tc>
    </w:tr>
    <w:tr w:rsidR="004311FC" w:rsidRPr="00EC1947" w:rsidTr="0098719E">
      <w:tc>
        <w:tcPr>
          <w:tcW w:w="4706" w:type="dxa"/>
          <w:vMerge/>
          <w:shd w:val="clear" w:color="auto" w:fill="auto"/>
          <w:tcMar>
            <w:left w:w="0" w:type="dxa"/>
            <w:right w:w="0" w:type="dxa"/>
          </w:tcMar>
        </w:tcPr>
        <w:p w:rsidR="004311FC" w:rsidRPr="00EC1947" w:rsidRDefault="004311FC" w:rsidP="0098234C">
          <w:pPr>
            <w:pStyle w:val="Header"/>
          </w:pPr>
        </w:p>
      </w:tc>
      <w:tc>
        <w:tcPr>
          <w:tcW w:w="2693" w:type="dxa"/>
          <w:shd w:val="clear" w:color="auto" w:fill="auto"/>
        </w:tcPr>
        <w:p w:rsidR="004311FC" w:rsidRPr="00EC1947" w:rsidRDefault="004311FC" w:rsidP="0098719E">
          <w:pPr>
            <w:pStyle w:val="Header"/>
          </w:pPr>
        </w:p>
      </w:tc>
      <w:tc>
        <w:tcPr>
          <w:tcW w:w="283" w:type="dxa"/>
          <w:shd w:val="clear" w:color="auto" w:fill="auto"/>
        </w:tcPr>
        <w:p w:rsidR="004311FC" w:rsidRPr="00EC1947" w:rsidRDefault="004311FC" w:rsidP="00192A0D">
          <w:pPr>
            <w:pStyle w:val="Header"/>
          </w:pPr>
        </w:p>
      </w:tc>
      <w:tc>
        <w:tcPr>
          <w:tcW w:w="4678" w:type="dxa"/>
          <w:shd w:val="clear" w:color="auto" w:fill="auto"/>
          <w:tcMar>
            <w:left w:w="0" w:type="dxa"/>
            <w:right w:w="0" w:type="dxa"/>
          </w:tcMar>
        </w:tcPr>
        <w:p w:rsidR="004311FC" w:rsidRPr="00EC1947" w:rsidRDefault="004311FC" w:rsidP="00192A0D">
          <w:pPr>
            <w:pStyle w:val="Header"/>
          </w:pPr>
          <w:r w:rsidRPr="00EC1947">
            <w:t>T  +44 (0)1633 811 600</w:t>
          </w:r>
        </w:p>
        <w:p w:rsidR="004311FC" w:rsidRPr="00EC1947" w:rsidRDefault="00842302" w:rsidP="00D17946">
          <w:pPr>
            <w:pStyle w:val="Header"/>
          </w:pPr>
          <w:r>
            <w:t>E  info@crowncommercial.gov.uk</w:t>
          </w:r>
        </w:p>
        <w:p w:rsidR="004311FC" w:rsidRPr="00EC1947" w:rsidRDefault="004311FC" w:rsidP="00192A0D">
          <w:pPr>
            <w:pStyle w:val="Header"/>
          </w:pPr>
        </w:p>
        <w:p w:rsidR="004311FC" w:rsidRPr="00EC1947" w:rsidRDefault="004311FC" w:rsidP="00192A0D">
          <w:pPr>
            <w:pStyle w:val="Header"/>
          </w:pPr>
        </w:p>
        <w:p w:rsidR="004311FC" w:rsidRPr="00795DFC" w:rsidRDefault="00F85770" w:rsidP="00192A0D">
          <w:pPr>
            <w:pStyle w:val="Header"/>
            <w:rPr>
              <w:b/>
              <w:color w:val="0000FF"/>
              <w:u w:val="single"/>
            </w:rPr>
          </w:pPr>
          <w:hyperlink r:id="rId2" w:tgtFrame="_blank" w:history="1">
            <w:r w:rsidR="00917413">
              <w:rPr>
                <w:rStyle w:val="Hyperlink"/>
                <w:b/>
                <w:bCs/>
              </w:rPr>
              <w:t>www.gov.uk/ccs</w:t>
            </w:r>
          </w:hyperlink>
        </w:p>
      </w:tc>
    </w:tr>
  </w:tbl>
  <w:p w:rsidR="004311FC" w:rsidRPr="0098234C" w:rsidRDefault="004311FC"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2B5D"/>
    <w:rsid w:val="00015200"/>
    <w:rsid w:val="000174E2"/>
    <w:rsid w:val="000273D1"/>
    <w:rsid w:val="00032372"/>
    <w:rsid w:val="00041A3A"/>
    <w:rsid w:val="0004359E"/>
    <w:rsid w:val="0006612F"/>
    <w:rsid w:val="0007298F"/>
    <w:rsid w:val="00074FA4"/>
    <w:rsid w:val="00080070"/>
    <w:rsid w:val="00081E39"/>
    <w:rsid w:val="00086DB2"/>
    <w:rsid w:val="00086ED4"/>
    <w:rsid w:val="000A6B93"/>
    <w:rsid w:val="000B138B"/>
    <w:rsid w:val="000B2934"/>
    <w:rsid w:val="000C1072"/>
    <w:rsid w:val="000C2F84"/>
    <w:rsid w:val="000C392E"/>
    <w:rsid w:val="000C5ABA"/>
    <w:rsid w:val="000C68C5"/>
    <w:rsid w:val="000C6F28"/>
    <w:rsid w:val="000D5BF7"/>
    <w:rsid w:val="000D7984"/>
    <w:rsid w:val="000F2D45"/>
    <w:rsid w:val="000F75C4"/>
    <w:rsid w:val="0012043A"/>
    <w:rsid w:val="00132B73"/>
    <w:rsid w:val="001331A2"/>
    <w:rsid w:val="00134A59"/>
    <w:rsid w:val="001364CB"/>
    <w:rsid w:val="00142376"/>
    <w:rsid w:val="00160900"/>
    <w:rsid w:val="00163156"/>
    <w:rsid w:val="00176228"/>
    <w:rsid w:val="001843D2"/>
    <w:rsid w:val="0018729E"/>
    <w:rsid w:val="00192A0D"/>
    <w:rsid w:val="001A2397"/>
    <w:rsid w:val="001B13FC"/>
    <w:rsid w:val="001D058B"/>
    <w:rsid w:val="001E01C3"/>
    <w:rsid w:val="001F54E1"/>
    <w:rsid w:val="001F5C9C"/>
    <w:rsid w:val="002107D2"/>
    <w:rsid w:val="0021204C"/>
    <w:rsid w:val="0021389D"/>
    <w:rsid w:val="00230585"/>
    <w:rsid w:val="0024317A"/>
    <w:rsid w:val="00250DD5"/>
    <w:rsid w:val="00284E98"/>
    <w:rsid w:val="002871E7"/>
    <w:rsid w:val="0029209E"/>
    <w:rsid w:val="00296CB6"/>
    <w:rsid w:val="002A05DE"/>
    <w:rsid w:val="002A109A"/>
    <w:rsid w:val="002A165C"/>
    <w:rsid w:val="002A391E"/>
    <w:rsid w:val="002B3F94"/>
    <w:rsid w:val="002B5557"/>
    <w:rsid w:val="002C4183"/>
    <w:rsid w:val="002D5E9D"/>
    <w:rsid w:val="00302D25"/>
    <w:rsid w:val="003163EF"/>
    <w:rsid w:val="00340F4A"/>
    <w:rsid w:val="00347E40"/>
    <w:rsid w:val="003548D3"/>
    <w:rsid w:val="0035686D"/>
    <w:rsid w:val="00364985"/>
    <w:rsid w:val="003804CE"/>
    <w:rsid w:val="003879AA"/>
    <w:rsid w:val="003A3479"/>
    <w:rsid w:val="003A4FA8"/>
    <w:rsid w:val="003A57F1"/>
    <w:rsid w:val="003B568E"/>
    <w:rsid w:val="003D2181"/>
    <w:rsid w:val="003D2DF0"/>
    <w:rsid w:val="003D4015"/>
    <w:rsid w:val="003E46B5"/>
    <w:rsid w:val="003E4EA1"/>
    <w:rsid w:val="003E634B"/>
    <w:rsid w:val="003E6EEA"/>
    <w:rsid w:val="003F2ABB"/>
    <w:rsid w:val="003F2BCC"/>
    <w:rsid w:val="003F3867"/>
    <w:rsid w:val="003F539D"/>
    <w:rsid w:val="003F65CC"/>
    <w:rsid w:val="0040344B"/>
    <w:rsid w:val="004072EF"/>
    <w:rsid w:val="004117A2"/>
    <w:rsid w:val="004142BF"/>
    <w:rsid w:val="00414551"/>
    <w:rsid w:val="004304C3"/>
    <w:rsid w:val="004306F1"/>
    <w:rsid w:val="004311FC"/>
    <w:rsid w:val="0045158D"/>
    <w:rsid w:val="00463F42"/>
    <w:rsid w:val="0047130F"/>
    <w:rsid w:val="00480EFC"/>
    <w:rsid w:val="00481907"/>
    <w:rsid w:val="004942F8"/>
    <w:rsid w:val="00495190"/>
    <w:rsid w:val="004B54A9"/>
    <w:rsid w:val="004D069E"/>
    <w:rsid w:val="004D3189"/>
    <w:rsid w:val="004D49BC"/>
    <w:rsid w:val="004E2E5E"/>
    <w:rsid w:val="004E3724"/>
    <w:rsid w:val="004E64E7"/>
    <w:rsid w:val="004F2E84"/>
    <w:rsid w:val="00523570"/>
    <w:rsid w:val="005302D3"/>
    <w:rsid w:val="00541C5E"/>
    <w:rsid w:val="00546392"/>
    <w:rsid w:val="00556EFE"/>
    <w:rsid w:val="0056285A"/>
    <w:rsid w:val="00577BE0"/>
    <w:rsid w:val="00582C27"/>
    <w:rsid w:val="005859CA"/>
    <w:rsid w:val="005B11C6"/>
    <w:rsid w:val="005B6F50"/>
    <w:rsid w:val="005C4802"/>
    <w:rsid w:val="005D02EE"/>
    <w:rsid w:val="005D2C5A"/>
    <w:rsid w:val="005D752D"/>
    <w:rsid w:val="005E2CF2"/>
    <w:rsid w:val="005F167A"/>
    <w:rsid w:val="006059D5"/>
    <w:rsid w:val="00632650"/>
    <w:rsid w:val="0063583A"/>
    <w:rsid w:val="006432FE"/>
    <w:rsid w:val="00644CFE"/>
    <w:rsid w:val="006B6411"/>
    <w:rsid w:val="006D0F70"/>
    <w:rsid w:val="006E78CB"/>
    <w:rsid w:val="00725FDD"/>
    <w:rsid w:val="007322C3"/>
    <w:rsid w:val="00747213"/>
    <w:rsid w:val="0076187E"/>
    <w:rsid w:val="007803BB"/>
    <w:rsid w:val="0078680F"/>
    <w:rsid w:val="00792F42"/>
    <w:rsid w:val="00795DFC"/>
    <w:rsid w:val="007A1D7F"/>
    <w:rsid w:val="007A3768"/>
    <w:rsid w:val="007D377C"/>
    <w:rsid w:val="007E48AE"/>
    <w:rsid w:val="007E4CB7"/>
    <w:rsid w:val="007E6E7F"/>
    <w:rsid w:val="00824280"/>
    <w:rsid w:val="008276F6"/>
    <w:rsid w:val="00833EEB"/>
    <w:rsid w:val="008378BB"/>
    <w:rsid w:val="00840087"/>
    <w:rsid w:val="00842302"/>
    <w:rsid w:val="00851429"/>
    <w:rsid w:val="008551C1"/>
    <w:rsid w:val="00870FFC"/>
    <w:rsid w:val="00880E41"/>
    <w:rsid w:val="00891DC9"/>
    <w:rsid w:val="008A3BCF"/>
    <w:rsid w:val="008A516E"/>
    <w:rsid w:val="008A6E97"/>
    <w:rsid w:val="008B41FE"/>
    <w:rsid w:val="008C0B8A"/>
    <w:rsid w:val="008D2747"/>
    <w:rsid w:val="00912908"/>
    <w:rsid w:val="00917413"/>
    <w:rsid w:val="009329E6"/>
    <w:rsid w:val="009367FB"/>
    <w:rsid w:val="00941624"/>
    <w:rsid w:val="00946BD7"/>
    <w:rsid w:val="00966958"/>
    <w:rsid w:val="00972D81"/>
    <w:rsid w:val="0098234C"/>
    <w:rsid w:val="0098719E"/>
    <w:rsid w:val="00992E2F"/>
    <w:rsid w:val="009B05A0"/>
    <w:rsid w:val="009B0A7F"/>
    <w:rsid w:val="009F480F"/>
    <w:rsid w:val="00A02994"/>
    <w:rsid w:val="00A06137"/>
    <w:rsid w:val="00A1383D"/>
    <w:rsid w:val="00A33029"/>
    <w:rsid w:val="00A46C2C"/>
    <w:rsid w:val="00A54F1F"/>
    <w:rsid w:val="00A77139"/>
    <w:rsid w:val="00A80369"/>
    <w:rsid w:val="00A82E50"/>
    <w:rsid w:val="00AB00F3"/>
    <w:rsid w:val="00AB05E7"/>
    <w:rsid w:val="00AC4ABE"/>
    <w:rsid w:val="00AC5917"/>
    <w:rsid w:val="00AE05B4"/>
    <w:rsid w:val="00AE2B8B"/>
    <w:rsid w:val="00AF0229"/>
    <w:rsid w:val="00AF1402"/>
    <w:rsid w:val="00AF20BC"/>
    <w:rsid w:val="00AF5744"/>
    <w:rsid w:val="00B07FF9"/>
    <w:rsid w:val="00B46008"/>
    <w:rsid w:val="00B4600E"/>
    <w:rsid w:val="00B4620C"/>
    <w:rsid w:val="00B54EDA"/>
    <w:rsid w:val="00B73118"/>
    <w:rsid w:val="00B75F11"/>
    <w:rsid w:val="00B76269"/>
    <w:rsid w:val="00B83890"/>
    <w:rsid w:val="00B94D3B"/>
    <w:rsid w:val="00B9591B"/>
    <w:rsid w:val="00BC016A"/>
    <w:rsid w:val="00BC45AE"/>
    <w:rsid w:val="00BC5080"/>
    <w:rsid w:val="00BD371A"/>
    <w:rsid w:val="00C021A2"/>
    <w:rsid w:val="00C05DBB"/>
    <w:rsid w:val="00C06749"/>
    <w:rsid w:val="00C10056"/>
    <w:rsid w:val="00C21ADD"/>
    <w:rsid w:val="00C25167"/>
    <w:rsid w:val="00C31911"/>
    <w:rsid w:val="00C57CF4"/>
    <w:rsid w:val="00C64923"/>
    <w:rsid w:val="00C64A5E"/>
    <w:rsid w:val="00C66213"/>
    <w:rsid w:val="00C7390F"/>
    <w:rsid w:val="00C77484"/>
    <w:rsid w:val="00C84E3E"/>
    <w:rsid w:val="00C91C4C"/>
    <w:rsid w:val="00CA65A1"/>
    <w:rsid w:val="00CB3C76"/>
    <w:rsid w:val="00CB7E04"/>
    <w:rsid w:val="00CC05C1"/>
    <w:rsid w:val="00CF150A"/>
    <w:rsid w:val="00D10A24"/>
    <w:rsid w:val="00D15AC3"/>
    <w:rsid w:val="00D17946"/>
    <w:rsid w:val="00D36793"/>
    <w:rsid w:val="00D37C50"/>
    <w:rsid w:val="00D419C4"/>
    <w:rsid w:val="00D47258"/>
    <w:rsid w:val="00D749B4"/>
    <w:rsid w:val="00D75C71"/>
    <w:rsid w:val="00D76618"/>
    <w:rsid w:val="00D84D1C"/>
    <w:rsid w:val="00D85E5F"/>
    <w:rsid w:val="00DA449E"/>
    <w:rsid w:val="00DB5065"/>
    <w:rsid w:val="00DE4172"/>
    <w:rsid w:val="00E204EC"/>
    <w:rsid w:val="00E33960"/>
    <w:rsid w:val="00E65864"/>
    <w:rsid w:val="00E6708E"/>
    <w:rsid w:val="00E83B52"/>
    <w:rsid w:val="00E83F05"/>
    <w:rsid w:val="00E92D2E"/>
    <w:rsid w:val="00E942D7"/>
    <w:rsid w:val="00EA007F"/>
    <w:rsid w:val="00EA02F6"/>
    <w:rsid w:val="00EA3506"/>
    <w:rsid w:val="00EA454E"/>
    <w:rsid w:val="00EB0A12"/>
    <w:rsid w:val="00EB59EA"/>
    <w:rsid w:val="00EB661D"/>
    <w:rsid w:val="00EC1947"/>
    <w:rsid w:val="00ED02FE"/>
    <w:rsid w:val="00EE2448"/>
    <w:rsid w:val="00F03E4A"/>
    <w:rsid w:val="00F10AF6"/>
    <w:rsid w:val="00F133C4"/>
    <w:rsid w:val="00F17869"/>
    <w:rsid w:val="00F2432A"/>
    <w:rsid w:val="00F36C2A"/>
    <w:rsid w:val="00F41714"/>
    <w:rsid w:val="00F53FA6"/>
    <w:rsid w:val="00F57526"/>
    <w:rsid w:val="00F638EF"/>
    <w:rsid w:val="00F745B2"/>
    <w:rsid w:val="00F77E63"/>
    <w:rsid w:val="00F85770"/>
    <w:rsid w:val="00FA2487"/>
    <w:rsid w:val="00FB1082"/>
    <w:rsid w:val="00FB2EBF"/>
    <w:rsid w:val="00FD4BB4"/>
    <w:rsid w:val="00FF0A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BDDF9F2-1C64-4D2A-B752-1FCC85EF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4.xml><?xml version="1.0" encoding="utf-8"?>
<ds:datastoreItem xmlns:ds="http://schemas.openxmlformats.org/officeDocument/2006/customXml" ds:itemID="{FBCD044E-D429-4DF8-9069-AD7FA769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1922</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Jonathan Lloyd</cp:lastModifiedBy>
  <cp:revision>9</cp:revision>
  <cp:lastPrinted>2013-05-13T15:36:00Z</cp:lastPrinted>
  <dcterms:created xsi:type="dcterms:W3CDTF">2018-03-23T12:37:00Z</dcterms:created>
  <dcterms:modified xsi:type="dcterms:W3CDTF">2018-05-18T09:32:00Z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