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B6" w:rsidRDefault="007208B6" w:rsidP="007208B6">
      <w:pPr>
        <w:tabs>
          <w:tab w:val="left" w:pos="9360"/>
        </w:tabs>
        <w:ind w:right="-414"/>
        <w:jc w:val="center"/>
      </w:pPr>
      <w:bookmarkStart w:id="0" w:name="_GoBack"/>
      <w:bookmarkEnd w:id="0"/>
    </w:p>
    <w:p w:rsidR="007208B6" w:rsidRDefault="008855CE" w:rsidP="007208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40.25pt">
            <v:imagedata r:id="rId11" o:title=""/>
          </v:shape>
        </w:pict>
      </w: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37033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D37033">
        <w:rPr>
          <w:rFonts w:ascii="Arial" w:hAnsi="Arial" w:cs="Arial"/>
          <w:b/>
          <w:noProof/>
          <w:sz w:val="40"/>
          <w:szCs w:val="40"/>
          <w:u w:val="single"/>
        </w:rPr>
        <w:t xml:space="preserve">CONTRACT NUMBER </w:t>
      </w:r>
      <w:r>
        <w:rPr>
          <w:rFonts w:ascii="Arial" w:hAnsi="Arial" w:cs="Arial"/>
          <w:b/>
          <w:noProof/>
          <w:sz w:val="40"/>
          <w:szCs w:val="40"/>
          <w:u w:val="single"/>
        </w:rPr>
        <w:t>ARMYHQ/DFRP003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SCHEDULE 12</w:t>
      </w:r>
    </w:p>
    <w:p w:rsidR="003621DD" w:rsidRDefault="007208B6" w:rsidP="007208B6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C118A4">
        <w:rPr>
          <w:rFonts w:ascii="Arial" w:hAnsi="Arial" w:cs="Arial"/>
          <w:b/>
          <w:caps/>
          <w:sz w:val="40"/>
          <w:szCs w:val="40"/>
          <w:u w:val="single"/>
        </w:rPr>
        <w:t>Reporting</w:t>
      </w:r>
      <w:r w:rsidR="004E52A9">
        <w:rPr>
          <w:rFonts w:ascii="Arial" w:hAnsi="Arial" w:cs="Arial"/>
          <w:b/>
          <w:caps/>
          <w:sz w:val="40"/>
          <w:szCs w:val="40"/>
          <w:u w:val="single"/>
        </w:rPr>
        <w:t xml:space="preserve"> </w:t>
      </w:r>
    </w:p>
    <w:p w:rsidR="007208B6" w:rsidRPr="00C118A4" w:rsidRDefault="003621DD" w:rsidP="007208B6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>
        <w:rPr>
          <w:rFonts w:ascii="Arial" w:hAnsi="Arial" w:cs="Arial"/>
          <w:b/>
          <w:caps/>
          <w:sz w:val="40"/>
          <w:szCs w:val="40"/>
          <w:u w:val="single"/>
        </w:rPr>
        <w:t>{S</w:t>
      </w:r>
      <w:r w:rsidR="004E52A9">
        <w:rPr>
          <w:rFonts w:ascii="Arial" w:hAnsi="Arial" w:cs="Arial"/>
          <w:b/>
          <w:caps/>
          <w:sz w:val="40"/>
          <w:szCs w:val="40"/>
          <w:u w:val="single"/>
        </w:rPr>
        <w:t>12}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/>
    <w:p w:rsidR="007208B6" w:rsidRDefault="007208B6" w:rsidP="007208B6"/>
    <w:p w:rsidR="007208B6" w:rsidRDefault="007208B6" w:rsidP="007208B6"/>
    <w:p w:rsidR="007208B6" w:rsidRPr="007208B6" w:rsidRDefault="007208B6" w:rsidP="007208B6"/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D96A5A" w:rsidRDefault="00D96A5A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C83E84" w:rsidRDefault="00C83E84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C83E84" w:rsidRDefault="00C83E84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C83E84" w:rsidRDefault="00C83E84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C83E84" w:rsidRDefault="00C83E84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Pr="004B64A9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  <w:r w:rsidRPr="004B64A9">
        <w:rPr>
          <w:rFonts w:ascii="Arial" w:hAnsi="Arial" w:cs="Arial"/>
          <w:sz w:val="22"/>
          <w:szCs w:val="22"/>
          <w:lang w:val="en-GB"/>
        </w:rPr>
        <w:t>Document Control</w:t>
      </w:r>
    </w:p>
    <w:p w:rsidR="007208B6" w:rsidRPr="004B64A9" w:rsidRDefault="007208B6" w:rsidP="007208B6">
      <w:pPr>
        <w:rPr>
          <w:rFonts w:ascii="Arial" w:hAnsi="Arial" w:cs="Arial"/>
          <w:sz w:val="22"/>
          <w:szCs w:val="22"/>
        </w:rPr>
      </w:pPr>
    </w:p>
    <w:p w:rsidR="007208B6" w:rsidRPr="004B64A9" w:rsidRDefault="007208B6" w:rsidP="007208B6">
      <w:pPr>
        <w:rPr>
          <w:rFonts w:ascii="Arial" w:hAnsi="Arial" w:cs="Arial"/>
          <w:sz w:val="22"/>
          <w:szCs w:val="22"/>
        </w:rPr>
      </w:pPr>
      <w:r w:rsidRPr="004B64A9">
        <w:rPr>
          <w:rFonts w:ascii="Arial" w:hAnsi="Arial" w:cs="Arial"/>
          <w:sz w:val="22"/>
          <w:szCs w:val="22"/>
        </w:rPr>
        <w:t>Distribution</w:t>
      </w:r>
    </w:p>
    <w:p w:rsidR="007208B6" w:rsidRDefault="007208B6" w:rsidP="007208B6">
      <w:pPr>
        <w:rPr>
          <w:rFonts w:ascii="Arial" w:hAnsi="Arial" w:cs="Arial"/>
          <w:sz w:val="22"/>
          <w:szCs w:val="22"/>
        </w:rPr>
      </w:pPr>
    </w:p>
    <w:p w:rsidR="003B26D8" w:rsidRDefault="003B26D8" w:rsidP="007208B6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5"/>
        <w:gridCol w:w="5105"/>
      </w:tblGrid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DFRP-64.7</w:t>
            </w:r>
          </w:p>
        </w:tc>
      </w:tr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</w:t>
            </w:r>
          </w:p>
        </w:tc>
      </w:tr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 ''''''''''''''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 ''''''''''''</w:t>
            </w:r>
          </w:p>
        </w:tc>
      </w:tr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Owner: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DFR HQ Commercial</w:t>
            </w:r>
          </w:p>
        </w:tc>
      </w:tr>
      <w:tr w:rsidR="00B30679" w:rsidRPr="00936936" w:rsidTr="00B30679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 xml:space="preserve">Reviewed By: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 xml:space="preserve">DFR HQ Commercial / Capita </w:t>
            </w:r>
            <w:r w:rsidR="00176062" w:rsidRPr="004B64A9">
              <w:rPr>
                <w:rFonts w:ascii="Arial" w:hAnsi="Arial" w:cs="Arial"/>
                <w:sz w:val="22"/>
                <w:szCs w:val="22"/>
              </w:rPr>
              <w:t>Business Services Ltd</w:t>
            </w:r>
          </w:p>
        </w:tc>
      </w:tr>
    </w:tbl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Pr="00ED3A8D" w:rsidRDefault="00ED3A8D" w:rsidP="00B30679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 '''''''''''''''''''</w:t>
      </w:r>
    </w:p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620"/>
        <w:gridCol w:w="2288"/>
        <w:gridCol w:w="4082"/>
      </w:tblGrid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 xml:space="preserve">''''''''''''''''''' ''' ''''''''''''''''''''''''' '''''''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 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 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'''''''''''''''''''''''' '' ''''''''''''''''''' ''''''''''''''''''' ''''''''''''''''''''' ''''''''''' ''''''''''''''''''''''''''' ''''' ''''''''''''' '''''''''''''''''''' ''''''''''''''''''''''''' '''''''''''' '''''''' '''''''''''''' ''''''''''''''''''' ''''''''''''''''' '''''''''''''''''''''''''' ''''''''''''''  '''''' '''''''''' ''''''''</w:t>
            </w:r>
          </w:p>
        </w:tc>
      </w:tr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 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 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 ''''''''''''''''' '''' '''''''''''''''''''' ''''''''''''''''''' ''''''''''''''''''''''' '''''''''' ''''''''''''''''''''''''' '''' ''''''''''''' '''''''''''''''''''' ''''''''''''''''''''''''' ''''''''''''' '''''''''' ''''''''''''''' ''''' ''' ''''''</w:t>
            </w:r>
          </w:p>
        </w:tc>
      </w:tr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679" w:rsidRPr="00936936" w:rsidTr="00B30679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Pr="00ED3A8D" w:rsidRDefault="00ED3A8D" w:rsidP="00B30679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</w:t>
      </w:r>
    </w:p>
    <w:p w:rsidR="00B30679" w:rsidRPr="00ED3A8D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Pr="00ED3A8D" w:rsidRDefault="00B30679" w:rsidP="00B30679">
      <w:pPr>
        <w:rPr>
          <w:rFonts w:ascii="Arial" w:hAnsi="Arial" w:cs="Arial"/>
          <w:sz w:val="22"/>
          <w:szCs w:val="22"/>
        </w:rPr>
      </w:pPr>
    </w:p>
    <w:p w:rsidR="00B30679" w:rsidRDefault="00ED3A8D" w:rsidP="00B30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'''''''''''''''''''''''' ''''''''''''''''''' '''''''' '''''''''''''''''''' ''''''''''''''''''''''</w:t>
      </w:r>
      <w:r w:rsidR="00B30679">
        <w:rPr>
          <w:rFonts w:ascii="Arial" w:hAnsi="Arial" w:cs="Arial"/>
          <w:sz w:val="22"/>
          <w:szCs w:val="22"/>
        </w:rPr>
        <w:t xml:space="preserve">. </w:t>
      </w:r>
    </w:p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9"/>
        <w:gridCol w:w="3001"/>
        <w:gridCol w:w="2200"/>
      </w:tblGrid>
      <w:tr w:rsidR="00B30679" w:rsidRPr="00936936" w:rsidTr="00B30679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</w:t>
            </w:r>
          </w:p>
        </w:tc>
      </w:tr>
      <w:tr w:rsidR="00B30679" w:rsidRPr="00936936" w:rsidTr="00B30679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 '''''''' ''''''''''''''''''''''''''''' '''''''''''''' '''''''''''''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0679" w:rsidRPr="00ED3A8D" w:rsidRDefault="00ED3A8D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 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679" w:rsidRPr="00ED3A8D" w:rsidRDefault="00B30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679" w:rsidRDefault="00B30679" w:rsidP="00B30679">
      <w:pPr>
        <w:rPr>
          <w:rFonts w:ascii="Arial" w:hAnsi="Arial" w:cs="Arial"/>
          <w:sz w:val="22"/>
          <w:szCs w:val="22"/>
        </w:rPr>
      </w:pPr>
    </w:p>
    <w:p w:rsidR="003B26D8" w:rsidRDefault="003B26D8" w:rsidP="007208B6">
      <w:pPr>
        <w:rPr>
          <w:rFonts w:ascii="Arial" w:hAnsi="Arial" w:cs="Arial"/>
          <w:sz w:val="22"/>
          <w:szCs w:val="22"/>
        </w:rPr>
      </w:pPr>
    </w:p>
    <w:p w:rsidR="003B26D8" w:rsidRDefault="003B26D8" w:rsidP="007208B6">
      <w:pPr>
        <w:rPr>
          <w:rFonts w:ascii="Arial" w:hAnsi="Arial" w:cs="Arial"/>
          <w:sz w:val="22"/>
          <w:szCs w:val="22"/>
        </w:rPr>
      </w:pPr>
    </w:p>
    <w:p w:rsidR="003B26D8" w:rsidRPr="005C024A" w:rsidRDefault="003B26D8" w:rsidP="007208B6">
      <w:pPr>
        <w:rPr>
          <w:rFonts w:ascii="Arial" w:hAnsi="Arial" w:cs="Arial"/>
          <w:sz w:val="22"/>
          <w:szCs w:val="22"/>
        </w:rPr>
      </w:pPr>
    </w:p>
    <w:p w:rsidR="007208B6" w:rsidRPr="004B64A9" w:rsidRDefault="007208B6" w:rsidP="007208B6">
      <w:pPr>
        <w:rPr>
          <w:rFonts w:ascii="Arial" w:hAnsi="Arial" w:cs="Arial"/>
          <w:sz w:val="22"/>
          <w:szCs w:val="22"/>
        </w:rPr>
      </w:pPr>
      <w:r w:rsidRPr="004B64A9">
        <w:rPr>
          <w:rFonts w:ascii="Arial" w:hAnsi="Arial" w:cs="Arial"/>
          <w:sz w:val="22"/>
          <w:szCs w:val="22"/>
        </w:rPr>
        <w:t>Related Documents</w:t>
      </w:r>
    </w:p>
    <w:p w:rsidR="007208B6" w:rsidRPr="005C024A" w:rsidRDefault="007208B6" w:rsidP="007208B6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7208B6" w:rsidRPr="00936936" w:rsidTr="007208B6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ED3A8D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4B64A9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ED3A8D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8B6" w:rsidRPr="00936936" w:rsidTr="007208B6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ED3A8D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ED3A8D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7208B6" w:rsidRPr="005C024A" w:rsidSect="005C024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828" w:right="1134" w:bottom="567" w:left="1134" w:header="539" w:footer="386" w:gutter="0"/>
          <w:pgNumType w:start="1"/>
          <w:cols w:space="708"/>
          <w:docGrid w:linePitch="360"/>
        </w:sect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024A">
        <w:rPr>
          <w:rFonts w:ascii="Arial" w:hAnsi="Arial" w:cs="Arial"/>
          <w:b/>
          <w:sz w:val="22"/>
          <w:szCs w:val="22"/>
          <w:u w:val="single"/>
        </w:rPr>
        <w:lastRenderedPageBreak/>
        <w:t>Content</w:t>
      </w:r>
    </w:p>
    <w:p w:rsidR="007208B6" w:rsidRPr="005C024A" w:rsidRDefault="007208B6" w:rsidP="007208B6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687"/>
        <w:gridCol w:w="2687"/>
      </w:tblGrid>
      <w:tr w:rsidR="007208B6" w:rsidRPr="005C024A" w:rsidTr="007208B6">
        <w:tc>
          <w:tcPr>
            <w:tcW w:w="1305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7208B6" w:rsidRPr="005C024A" w:rsidTr="007208B6">
        <w:tc>
          <w:tcPr>
            <w:tcW w:w="1305" w:type="dxa"/>
          </w:tcPr>
          <w:p w:rsidR="007208B6" w:rsidRPr="005C024A" w:rsidRDefault="002A4645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7208B6" w:rsidRPr="005C024A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5C024A">
              <w:rPr>
                <w:rFonts w:ascii="Arial" w:hAnsi="Arial" w:cs="Arial"/>
                <w:sz w:val="22"/>
                <w:szCs w:val="22"/>
              </w:rPr>
              <w:t>Required Reports</w:t>
            </w:r>
          </w:p>
        </w:tc>
        <w:tc>
          <w:tcPr>
            <w:tcW w:w="1214" w:type="dxa"/>
          </w:tcPr>
          <w:p w:rsidR="007208B6" w:rsidRPr="005C024A" w:rsidRDefault="00D96A5A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208B6" w:rsidRPr="005C024A" w:rsidTr="007208B6">
        <w:tc>
          <w:tcPr>
            <w:tcW w:w="1305" w:type="dxa"/>
          </w:tcPr>
          <w:p w:rsidR="007208B6" w:rsidRPr="005C024A" w:rsidRDefault="002A4645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7208B6" w:rsidRPr="005C024A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5C024A">
              <w:rPr>
                <w:rFonts w:ascii="Arial" w:hAnsi="Arial" w:cs="Arial"/>
                <w:sz w:val="22"/>
                <w:szCs w:val="22"/>
              </w:rPr>
              <w:t>Revised Reports</w:t>
            </w:r>
          </w:p>
        </w:tc>
        <w:tc>
          <w:tcPr>
            <w:tcW w:w="1214" w:type="dxa"/>
          </w:tcPr>
          <w:p w:rsidR="007208B6" w:rsidRPr="005C024A" w:rsidRDefault="00D96A5A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208B6" w:rsidRPr="005C024A" w:rsidTr="007208B6">
        <w:tc>
          <w:tcPr>
            <w:tcW w:w="1305" w:type="dxa"/>
          </w:tcPr>
          <w:p w:rsidR="007208B6" w:rsidRPr="005C024A" w:rsidRDefault="002A4645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:rsidR="007208B6" w:rsidRPr="005C024A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5C024A">
              <w:rPr>
                <w:rFonts w:ascii="Arial" w:hAnsi="Arial" w:cs="Arial"/>
                <w:sz w:val="22"/>
                <w:szCs w:val="22"/>
              </w:rPr>
              <w:t xml:space="preserve">Report Description </w:t>
            </w:r>
          </w:p>
        </w:tc>
        <w:tc>
          <w:tcPr>
            <w:tcW w:w="1214" w:type="dxa"/>
          </w:tcPr>
          <w:p w:rsidR="007208B6" w:rsidRPr="005C024A" w:rsidRDefault="00D96A5A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208B6" w:rsidRPr="005C024A" w:rsidTr="007208B6">
        <w:tc>
          <w:tcPr>
            <w:tcW w:w="1305" w:type="dxa"/>
            <w:shd w:val="clear" w:color="auto" w:fill="99CC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5" w:type="dxa"/>
            <w:shd w:val="clear" w:color="auto" w:fill="99CCFF"/>
          </w:tcPr>
          <w:p w:rsidR="007208B6" w:rsidRPr="005C024A" w:rsidRDefault="007208B6" w:rsidP="00720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ANNEXES</w:t>
            </w:r>
          </w:p>
        </w:tc>
        <w:tc>
          <w:tcPr>
            <w:tcW w:w="1214" w:type="dxa"/>
            <w:shd w:val="clear" w:color="auto" w:fill="99CC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08B6" w:rsidRPr="005C024A" w:rsidTr="007208B6">
        <w:tc>
          <w:tcPr>
            <w:tcW w:w="1305" w:type="dxa"/>
          </w:tcPr>
          <w:p w:rsidR="007208B6" w:rsidRPr="005C024A" w:rsidRDefault="002A4645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 A</w:t>
            </w:r>
          </w:p>
        </w:tc>
        <w:tc>
          <w:tcPr>
            <w:tcW w:w="5535" w:type="dxa"/>
          </w:tcPr>
          <w:p w:rsidR="007208B6" w:rsidRPr="005C024A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5C024A">
              <w:rPr>
                <w:rFonts w:ascii="Arial" w:hAnsi="Arial" w:cs="Arial"/>
                <w:sz w:val="22"/>
                <w:szCs w:val="22"/>
              </w:rPr>
              <w:t>Contractor Produced Reports</w:t>
            </w:r>
          </w:p>
        </w:tc>
        <w:tc>
          <w:tcPr>
            <w:tcW w:w="1214" w:type="dxa"/>
          </w:tcPr>
          <w:p w:rsidR="007208B6" w:rsidRPr="005C024A" w:rsidRDefault="00020257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96A5A" w:rsidRDefault="00D96A5A" w:rsidP="00EC06E7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  <w:sectPr w:rsidR="00D96A5A" w:rsidSect="00D96A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797" w:bottom="1440" w:left="1797" w:header="709" w:footer="709" w:gutter="0"/>
          <w:pgNumType w:fmt="lowerRoman" w:start="1"/>
          <w:cols w:space="708"/>
          <w:docGrid w:linePitch="360"/>
        </w:sectPr>
      </w:pPr>
    </w:p>
    <w:p w:rsidR="007660D2" w:rsidRPr="005C024A" w:rsidRDefault="007660D2" w:rsidP="00EC06E7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left="709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C024A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Required </w:t>
      </w:r>
      <w:r w:rsidR="00EC06E7" w:rsidRPr="005C024A">
        <w:rPr>
          <w:rFonts w:ascii="Arial" w:hAnsi="Arial" w:cs="Arial"/>
          <w:b/>
          <w:bCs/>
          <w:sz w:val="22"/>
          <w:szCs w:val="22"/>
          <w:u w:val="single"/>
        </w:rPr>
        <w:t>Reports</w:t>
      </w:r>
      <w:r w:rsidR="004E52A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621DD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4E52A9">
        <w:rPr>
          <w:rFonts w:ascii="Arial"/>
          <w:b/>
          <w:bCs/>
          <w:sz w:val="22"/>
          <w:szCs w:val="22"/>
          <w:bdr w:val="none" w:sz="0" w:space="0" w:color="auto" w:frame="1"/>
        </w:rPr>
        <w:t>12.1}</w:t>
      </w:r>
    </w:p>
    <w:p w:rsidR="007660D2" w:rsidRPr="005C024A" w:rsidRDefault="007660D2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7208B6" w:rsidRPr="005C024A">
        <w:rPr>
          <w:rFonts w:ascii="Arial" w:hAnsi="Arial" w:cs="Arial"/>
          <w:sz w:val="22"/>
          <w:szCs w:val="22"/>
        </w:rPr>
        <w:t>Contractor</w:t>
      </w:r>
      <w:r w:rsidRPr="005C024A">
        <w:rPr>
          <w:rFonts w:ascii="Arial" w:hAnsi="Arial" w:cs="Arial"/>
          <w:sz w:val="22"/>
          <w:szCs w:val="22"/>
        </w:rPr>
        <w:t xml:space="preserve"> shall prepare the </w:t>
      </w:r>
      <w:r w:rsidR="00EC06E7" w:rsidRPr="005C024A">
        <w:rPr>
          <w:rFonts w:ascii="Arial" w:hAnsi="Arial" w:cs="Arial"/>
          <w:sz w:val="22"/>
          <w:szCs w:val="22"/>
        </w:rPr>
        <w:t>following</w:t>
      </w:r>
      <w:r w:rsidRPr="005C024A">
        <w:rPr>
          <w:rFonts w:ascii="Arial" w:hAnsi="Arial" w:cs="Arial"/>
          <w:sz w:val="22"/>
          <w:szCs w:val="22"/>
        </w:rPr>
        <w:t xml:space="preserve">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>eports: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reports </w:t>
      </w:r>
      <w:r w:rsidR="00EC06E7" w:rsidRPr="005C024A">
        <w:rPr>
          <w:rFonts w:ascii="Arial" w:hAnsi="Arial" w:cs="Arial"/>
          <w:sz w:val="22"/>
          <w:szCs w:val="22"/>
        </w:rPr>
        <w:t>specified</w:t>
      </w:r>
      <w:r w:rsidRPr="005C024A">
        <w:rPr>
          <w:rFonts w:ascii="Arial" w:hAnsi="Arial" w:cs="Arial"/>
          <w:sz w:val="22"/>
          <w:szCs w:val="22"/>
        </w:rPr>
        <w:t xml:space="preserve"> in </w:t>
      </w:r>
      <w:r w:rsidR="007208B6" w:rsidRPr="005C024A">
        <w:rPr>
          <w:rFonts w:ascii="Arial" w:hAnsi="Arial" w:cs="Arial"/>
          <w:sz w:val="22"/>
          <w:szCs w:val="22"/>
        </w:rPr>
        <w:t>Annex A,</w:t>
      </w:r>
      <w:r w:rsidRPr="005C024A">
        <w:rPr>
          <w:rFonts w:ascii="Arial" w:hAnsi="Arial" w:cs="Arial"/>
          <w:sz w:val="22"/>
          <w:szCs w:val="22"/>
        </w:rPr>
        <w:t xml:space="preserve"> or elsewhere in this </w:t>
      </w:r>
      <w:r w:rsidR="0001383B">
        <w:rPr>
          <w:rFonts w:ascii="Arial" w:hAnsi="Arial" w:cs="Arial"/>
          <w:sz w:val="22"/>
          <w:szCs w:val="22"/>
        </w:rPr>
        <w:t>C</w:t>
      </w:r>
      <w:r w:rsidRPr="005C024A">
        <w:rPr>
          <w:rFonts w:ascii="Arial" w:hAnsi="Arial" w:cs="Arial"/>
          <w:sz w:val="22"/>
          <w:szCs w:val="22"/>
        </w:rPr>
        <w:t>ontract</w:t>
      </w:r>
      <w:r w:rsidR="007208B6" w:rsidRPr="005C024A">
        <w:rPr>
          <w:rFonts w:ascii="Arial" w:hAnsi="Arial" w:cs="Arial"/>
          <w:sz w:val="22"/>
          <w:szCs w:val="22"/>
        </w:rPr>
        <w:t>,</w:t>
      </w:r>
      <w:r w:rsidRPr="005C024A">
        <w:rPr>
          <w:rFonts w:ascii="Arial" w:hAnsi="Arial" w:cs="Arial"/>
          <w:sz w:val="22"/>
          <w:szCs w:val="22"/>
        </w:rPr>
        <w:t xml:space="preserve"> </w:t>
      </w:r>
      <w:r w:rsidR="007208B6" w:rsidRPr="005C024A">
        <w:rPr>
          <w:rFonts w:ascii="Arial" w:hAnsi="Arial" w:cs="Arial"/>
          <w:sz w:val="22"/>
          <w:szCs w:val="22"/>
        </w:rPr>
        <w:t xml:space="preserve">shall be produced to include the specified content to meet the requirements and at the frequency detailed </w:t>
      </w:r>
      <w:r w:rsidR="002A4645">
        <w:rPr>
          <w:rFonts w:ascii="Arial" w:hAnsi="Arial" w:cs="Arial"/>
          <w:sz w:val="22"/>
          <w:szCs w:val="22"/>
        </w:rPr>
        <w:t>in Annex A;</w:t>
      </w:r>
      <w:r w:rsidRPr="005C024A">
        <w:rPr>
          <w:rFonts w:ascii="Arial" w:hAnsi="Arial" w:cs="Arial"/>
          <w:sz w:val="22"/>
          <w:szCs w:val="22"/>
        </w:rPr>
        <w:t xml:space="preserve"> and 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>such other re</w:t>
      </w:r>
      <w:r w:rsidR="00EC06E7" w:rsidRPr="005C024A">
        <w:rPr>
          <w:rFonts w:ascii="Arial" w:hAnsi="Arial" w:cs="Arial"/>
          <w:sz w:val="22"/>
          <w:szCs w:val="22"/>
        </w:rPr>
        <w:t>ports as may be reasonably</w:t>
      </w:r>
      <w:r w:rsidRPr="005C024A">
        <w:rPr>
          <w:rFonts w:ascii="Arial" w:hAnsi="Arial" w:cs="Arial"/>
          <w:sz w:val="22"/>
          <w:szCs w:val="22"/>
        </w:rPr>
        <w:t xml:space="preserve"> requested by the Auth</w:t>
      </w:r>
      <w:r w:rsidR="00EC06E7" w:rsidRPr="005C024A">
        <w:rPr>
          <w:rFonts w:ascii="Arial" w:hAnsi="Arial" w:cs="Arial"/>
          <w:sz w:val="22"/>
          <w:szCs w:val="22"/>
        </w:rPr>
        <w:t>ority</w:t>
      </w:r>
      <w:r w:rsidRPr="005C024A">
        <w:rPr>
          <w:rFonts w:ascii="Arial" w:hAnsi="Arial" w:cs="Arial"/>
          <w:sz w:val="22"/>
          <w:szCs w:val="22"/>
        </w:rPr>
        <w:t xml:space="preserve"> within such period and in such format as may be reasonably required by the </w:t>
      </w:r>
      <w:r w:rsidR="00EC06E7" w:rsidRPr="005C024A">
        <w:rPr>
          <w:rFonts w:ascii="Arial" w:hAnsi="Arial" w:cs="Arial"/>
          <w:sz w:val="22"/>
          <w:szCs w:val="22"/>
        </w:rPr>
        <w:t>Authority</w:t>
      </w:r>
      <w:r w:rsidRPr="005C024A">
        <w:rPr>
          <w:rFonts w:ascii="Arial" w:hAnsi="Arial" w:cs="Arial"/>
          <w:sz w:val="22"/>
          <w:szCs w:val="22"/>
        </w:rPr>
        <w:t xml:space="preserve"> (taking into account the </w:t>
      </w:r>
      <w:r w:rsidR="00EC06E7" w:rsidRPr="005C024A">
        <w:rPr>
          <w:rFonts w:ascii="Arial" w:hAnsi="Arial" w:cs="Arial"/>
          <w:sz w:val="22"/>
          <w:szCs w:val="22"/>
        </w:rPr>
        <w:t>purpose</w:t>
      </w:r>
      <w:r w:rsidRPr="005C024A">
        <w:rPr>
          <w:rFonts w:ascii="Arial" w:hAnsi="Arial" w:cs="Arial"/>
          <w:sz w:val="22"/>
          <w:szCs w:val="22"/>
        </w:rPr>
        <w:t xml:space="preserve"> for which the report is required).</w:t>
      </w:r>
    </w:p>
    <w:p w:rsidR="007660D2" w:rsidRPr="005C024A" w:rsidRDefault="00EC06E7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>U</w:t>
      </w:r>
      <w:r w:rsidR="007660D2" w:rsidRPr="005C024A">
        <w:rPr>
          <w:rFonts w:ascii="Arial" w:hAnsi="Arial" w:cs="Arial"/>
          <w:sz w:val="22"/>
          <w:szCs w:val="22"/>
        </w:rPr>
        <w:t xml:space="preserve">nless </w:t>
      </w:r>
      <w:r w:rsidRPr="005C024A">
        <w:rPr>
          <w:rFonts w:ascii="Arial" w:hAnsi="Arial" w:cs="Arial"/>
          <w:sz w:val="22"/>
          <w:szCs w:val="22"/>
        </w:rPr>
        <w:t>otherwise</w:t>
      </w:r>
      <w:r w:rsidR="007660D2" w:rsidRPr="005C024A">
        <w:rPr>
          <w:rFonts w:ascii="Arial" w:hAnsi="Arial" w:cs="Arial"/>
          <w:sz w:val="22"/>
          <w:szCs w:val="22"/>
        </w:rPr>
        <w:t xml:space="preserve"> stated in this </w:t>
      </w:r>
      <w:r w:rsidRPr="005C024A">
        <w:rPr>
          <w:rFonts w:ascii="Arial" w:hAnsi="Arial" w:cs="Arial"/>
          <w:sz w:val="22"/>
          <w:szCs w:val="22"/>
        </w:rPr>
        <w:t>Contract</w:t>
      </w:r>
      <w:r w:rsidR="007660D2" w:rsidRPr="005C024A">
        <w:rPr>
          <w:rFonts w:ascii="Arial" w:hAnsi="Arial" w:cs="Arial"/>
          <w:sz w:val="22"/>
          <w:szCs w:val="22"/>
        </w:rPr>
        <w:t xml:space="preserve"> or required by the </w:t>
      </w:r>
      <w:r w:rsidRPr="005C024A">
        <w:rPr>
          <w:rFonts w:ascii="Arial" w:hAnsi="Arial" w:cs="Arial"/>
          <w:sz w:val="22"/>
          <w:szCs w:val="22"/>
        </w:rPr>
        <w:t>Authority</w:t>
      </w:r>
      <w:r w:rsidR="007660D2" w:rsidRPr="005C024A">
        <w:rPr>
          <w:rFonts w:ascii="Arial" w:hAnsi="Arial" w:cs="Arial"/>
          <w:sz w:val="22"/>
          <w:szCs w:val="22"/>
        </w:rPr>
        <w:t xml:space="preserve">, in respect of each </w:t>
      </w:r>
      <w:r w:rsidR="007660D2" w:rsidRPr="005462FB">
        <w:rPr>
          <w:rFonts w:ascii="Arial" w:hAnsi="Arial" w:cs="Arial"/>
          <w:sz w:val="22"/>
          <w:szCs w:val="22"/>
        </w:rPr>
        <w:t xml:space="preserve">Required </w:t>
      </w:r>
      <w:r w:rsidRPr="005462FB">
        <w:rPr>
          <w:rFonts w:ascii="Arial" w:hAnsi="Arial" w:cs="Arial"/>
          <w:sz w:val="22"/>
          <w:szCs w:val="22"/>
        </w:rPr>
        <w:t>Report</w:t>
      </w:r>
      <w:r w:rsidR="007660D2" w:rsidRPr="005462FB">
        <w:rPr>
          <w:rFonts w:ascii="Arial" w:hAnsi="Arial" w:cs="Arial"/>
          <w:sz w:val="22"/>
          <w:szCs w:val="22"/>
        </w:rPr>
        <w:t>: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>electronic version of the report shall be s</w:t>
      </w:r>
      <w:r w:rsidR="007208B6" w:rsidRPr="005C024A">
        <w:rPr>
          <w:rFonts w:ascii="Arial" w:hAnsi="Arial" w:cs="Arial"/>
          <w:sz w:val="22"/>
          <w:szCs w:val="22"/>
        </w:rPr>
        <w:t xml:space="preserve">hared </w:t>
      </w:r>
      <w:r w:rsidR="00321B9B">
        <w:rPr>
          <w:rFonts w:ascii="Arial" w:hAnsi="Arial" w:cs="Arial"/>
          <w:sz w:val="22"/>
          <w:szCs w:val="22"/>
        </w:rPr>
        <w:t>with the Authority</w:t>
      </w:r>
      <w:r w:rsidR="007208B6" w:rsidRPr="005C024A">
        <w:rPr>
          <w:rFonts w:ascii="Arial" w:hAnsi="Arial" w:cs="Arial"/>
          <w:sz w:val="22"/>
          <w:szCs w:val="22"/>
        </w:rPr>
        <w:t>, or where specified hard copies made available</w:t>
      </w:r>
      <w:r w:rsidRPr="005C024A">
        <w:rPr>
          <w:rFonts w:ascii="Arial" w:hAnsi="Arial" w:cs="Arial"/>
          <w:sz w:val="22"/>
          <w:szCs w:val="22"/>
        </w:rPr>
        <w:t>;</w:t>
      </w:r>
      <w:r w:rsidR="008E35BB">
        <w:rPr>
          <w:rFonts w:ascii="Arial" w:hAnsi="Arial" w:cs="Arial"/>
          <w:sz w:val="22"/>
          <w:szCs w:val="22"/>
        </w:rPr>
        <w:t xml:space="preserve"> and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EC06E7" w:rsidRPr="005C024A">
        <w:rPr>
          <w:rFonts w:ascii="Arial" w:hAnsi="Arial" w:cs="Arial"/>
          <w:sz w:val="22"/>
          <w:szCs w:val="22"/>
        </w:rPr>
        <w:t>report</w:t>
      </w:r>
      <w:r w:rsidRPr="005C024A">
        <w:rPr>
          <w:rFonts w:ascii="Arial" w:hAnsi="Arial" w:cs="Arial"/>
          <w:sz w:val="22"/>
          <w:szCs w:val="22"/>
        </w:rPr>
        <w:t xml:space="preserve"> shall be made </w:t>
      </w:r>
      <w:r w:rsidR="00EC06E7" w:rsidRPr="005C024A">
        <w:rPr>
          <w:rFonts w:ascii="Arial" w:hAnsi="Arial" w:cs="Arial"/>
          <w:sz w:val="22"/>
          <w:szCs w:val="22"/>
        </w:rPr>
        <w:t>available</w:t>
      </w:r>
      <w:r w:rsidRPr="005C024A">
        <w:rPr>
          <w:rFonts w:ascii="Arial" w:hAnsi="Arial" w:cs="Arial"/>
          <w:sz w:val="22"/>
          <w:szCs w:val="22"/>
        </w:rPr>
        <w:t xml:space="preserve"> within </w:t>
      </w:r>
      <w:r w:rsidR="00F55B97">
        <w:rPr>
          <w:rFonts w:ascii="Arial" w:hAnsi="Arial" w:cs="Arial"/>
          <w:sz w:val="22"/>
          <w:szCs w:val="22"/>
        </w:rPr>
        <w:t>two (</w:t>
      </w:r>
      <w:r w:rsidR="007878F8">
        <w:rPr>
          <w:rFonts w:ascii="Arial" w:hAnsi="Arial" w:cs="Arial"/>
          <w:sz w:val="22"/>
          <w:szCs w:val="22"/>
        </w:rPr>
        <w:t>2</w:t>
      </w:r>
      <w:r w:rsidR="00F55B97">
        <w:rPr>
          <w:rFonts w:ascii="Arial" w:hAnsi="Arial" w:cs="Arial"/>
          <w:sz w:val="22"/>
          <w:szCs w:val="22"/>
        </w:rPr>
        <w:t>)</w:t>
      </w:r>
      <w:r w:rsidR="007878F8">
        <w:rPr>
          <w:rFonts w:ascii="Arial" w:hAnsi="Arial" w:cs="Arial"/>
          <w:sz w:val="22"/>
          <w:szCs w:val="22"/>
        </w:rPr>
        <w:t xml:space="preserve"> Business Days </w:t>
      </w:r>
      <w:r w:rsidRPr="005C024A">
        <w:rPr>
          <w:rFonts w:ascii="Arial" w:hAnsi="Arial" w:cs="Arial"/>
          <w:sz w:val="22"/>
          <w:szCs w:val="22"/>
        </w:rPr>
        <w:t xml:space="preserve">of the report being generated. The report shall be exportable to MS Office or Adobe Reader (or similar) as required by the </w:t>
      </w:r>
      <w:r w:rsidR="00EC06E7" w:rsidRPr="005C024A">
        <w:rPr>
          <w:rFonts w:ascii="Arial" w:hAnsi="Arial" w:cs="Arial"/>
          <w:sz w:val="22"/>
          <w:szCs w:val="22"/>
        </w:rPr>
        <w:t>Authority</w:t>
      </w:r>
      <w:r w:rsidR="008E35BB">
        <w:rPr>
          <w:rFonts w:ascii="Arial" w:hAnsi="Arial" w:cs="Arial"/>
          <w:sz w:val="22"/>
          <w:szCs w:val="22"/>
        </w:rPr>
        <w:t>.</w:t>
      </w:r>
    </w:p>
    <w:p w:rsidR="007660D2" w:rsidRPr="005C024A" w:rsidRDefault="007660D2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7208B6" w:rsidRPr="005C024A">
        <w:rPr>
          <w:rFonts w:ascii="Arial" w:hAnsi="Arial" w:cs="Arial"/>
          <w:sz w:val="22"/>
          <w:szCs w:val="22"/>
        </w:rPr>
        <w:t>Contractor</w:t>
      </w:r>
      <w:r w:rsidRPr="005C024A">
        <w:rPr>
          <w:rFonts w:ascii="Arial" w:hAnsi="Arial" w:cs="Arial"/>
          <w:sz w:val="22"/>
          <w:szCs w:val="22"/>
        </w:rPr>
        <w:t xml:space="preserve"> shall ensure that: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EC06E7" w:rsidRPr="005C024A">
        <w:rPr>
          <w:rFonts w:ascii="Arial" w:hAnsi="Arial" w:cs="Arial"/>
          <w:sz w:val="22"/>
          <w:szCs w:val="22"/>
        </w:rPr>
        <w:t>information</w:t>
      </w:r>
      <w:r w:rsidRPr="005C024A">
        <w:rPr>
          <w:rFonts w:ascii="Arial" w:hAnsi="Arial" w:cs="Arial"/>
          <w:sz w:val="22"/>
          <w:szCs w:val="22"/>
        </w:rPr>
        <w:t xml:space="preserve">, conclusions and / or recommendations contained in the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="00EC06E7" w:rsidRPr="005C024A">
        <w:rPr>
          <w:rFonts w:ascii="Arial" w:hAnsi="Arial" w:cs="Arial"/>
          <w:sz w:val="22"/>
          <w:szCs w:val="22"/>
        </w:rPr>
        <w:t>eport</w:t>
      </w:r>
      <w:r w:rsidRPr="005C024A">
        <w:rPr>
          <w:rFonts w:ascii="Arial" w:hAnsi="Arial" w:cs="Arial"/>
          <w:sz w:val="22"/>
          <w:szCs w:val="22"/>
        </w:rPr>
        <w:t xml:space="preserve"> are (where relevant) evidenced, substantiated and justified by reference to calculations, data and any other necessary matters; and</w:t>
      </w:r>
    </w:p>
    <w:p w:rsidR="007660D2" w:rsidRPr="005C024A" w:rsidRDefault="007660D2" w:rsidP="00EC06E7">
      <w:pPr>
        <w:numPr>
          <w:ilvl w:val="2"/>
          <w:numId w:val="1"/>
        </w:numPr>
        <w:tabs>
          <w:tab w:val="clear" w:pos="1080"/>
          <w:tab w:val="num" w:pos="1843"/>
        </w:tabs>
        <w:spacing w:after="240"/>
        <w:ind w:left="1843" w:hanging="1134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any data or other </w:t>
      </w:r>
      <w:r w:rsidR="00EC06E7" w:rsidRPr="005C024A">
        <w:rPr>
          <w:rFonts w:ascii="Arial" w:hAnsi="Arial" w:cs="Arial"/>
          <w:sz w:val="22"/>
          <w:szCs w:val="22"/>
        </w:rPr>
        <w:t>information</w:t>
      </w:r>
      <w:r w:rsidRPr="005C024A">
        <w:rPr>
          <w:rFonts w:ascii="Arial" w:hAnsi="Arial" w:cs="Arial"/>
          <w:sz w:val="22"/>
          <w:szCs w:val="22"/>
        </w:rPr>
        <w:t xml:space="preserve"> in the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eports shall, where </w:t>
      </w:r>
      <w:r w:rsidR="00EC06E7" w:rsidRPr="005C024A">
        <w:rPr>
          <w:rFonts w:ascii="Arial" w:hAnsi="Arial" w:cs="Arial"/>
          <w:sz w:val="22"/>
          <w:szCs w:val="22"/>
        </w:rPr>
        <w:t>applicable</w:t>
      </w:r>
      <w:r w:rsidRPr="005C024A">
        <w:rPr>
          <w:rFonts w:ascii="Arial" w:hAnsi="Arial" w:cs="Arial"/>
          <w:sz w:val="22"/>
          <w:szCs w:val="22"/>
        </w:rPr>
        <w:t>, be</w:t>
      </w:r>
      <w:r w:rsidR="00EC06E7" w:rsidRPr="005C024A">
        <w:rPr>
          <w:rFonts w:ascii="Arial" w:hAnsi="Arial" w:cs="Arial"/>
          <w:sz w:val="22"/>
          <w:szCs w:val="22"/>
        </w:rPr>
        <w:t xml:space="preserve"> </w:t>
      </w:r>
      <w:r w:rsidRPr="005C024A">
        <w:rPr>
          <w:rFonts w:ascii="Arial" w:hAnsi="Arial" w:cs="Arial"/>
          <w:sz w:val="22"/>
          <w:szCs w:val="22"/>
        </w:rPr>
        <w:t>referenced to:</w:t>
      </w:r>
    </w:p>
    <w:p w:rsidR="007660D2" w:rsidRPr="005C024A" w:rsidRDefault="007660D2" w:rsidP="00EC06E7">
      <w:pPr>
        <w:numPr>
          <w:ilvl w:val="3"/>
          <w:numId w:val="1"/>
        </w:numPr>
        <w:tabs>
          <w:tab w:val="clear" w:pos="1080"/>
          <w:tab w:val="num" w:pos="2835"/>
        </w:tabs>
        <w:spacing w:after="240"/>
        <w:ind w:left="2835" w:hanging="992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relevant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>ecords;</w:t>
      </w:r>
    </w:p>
    <w:p w:rsidR="007660D2" w:rsidRPr="005C024A" w:rsidRDefault="007660D2" w:rsidP="00EC06E7">
      <w:pPr>
        <w:numPr>
          <w:ilvl w:val="3"/>
          <w:numId w:val="1"/>
        </w:numPr>
        <w:tabs>
          <w:tab w:val="clear" w:pos="1080"/>
          <w:tab w:val="num" w:pos="2835"/>
        </w:tabs>
        <w:spacing w:after="240"/>
        <w:ind w:left="2835" w:hanging="992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location of the data within the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ecords; and </w:t>
      </w:r>
    </w:p>
    <w:p w:rsidR="007660D2" w:rsidRPr="005C024A" w:rsidRDefault="007660D2" w:rsidP="00EC06E7">
      <w:pPr>
        <w:numPr>
          <w:ilvl w:val="3"/>
          <w:numId w:val="1"/>
        </w:numPr>
        <w:tabs>
          <w:tab w:val="clear" w:pos="1080"/>
          <w:tab w:val="num" w:pos="2835"/>
        </w:tabs>
        <w:spacing w:after="240"/>
        <w:ind w:left="2835" w:hanging="992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where and how the </w:t>
      </w:r>
      <w:r w:rsidR="00EC06E7" w:rsidRPr="005C024A">
        <w:rPr>
          <w:rFonts w:ascii="Arial" w:hAnsi="Arial" w:cs="Arial"/>
          <w:sz w:val="22"/>
          <w:szCs w:val="22"/>
        </w:rPr>
        <w:t>relevant</w:t>
      </w:r>
      <w:r w:rsidRPr="005C024A">
        <w:rPr>
          <w:rFonts w:ascii="Arial" w:hAnsi="Arial" w:cs="Arial"/>
          <w:sz w:val="22"/>
          <w:szCs w:val="22"/>
        </w:rPr>
        <w:t xml:space="preserve"> data and the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ecords can be </w:t>
      </w:r>
      <w:r w:rsidR="00EC06E7" w:rsidRPr="005C024A">
        <w:rPr>
          <w:rFonts w:ascii="Arial" w:hAnsi="Arial" w:cs="Arial"/>
          <w:sz w:val="22"/>
          <w:szCs w:val="22"/>
        </w:rPr>
        <w:t>located</w:t>
      </w:r>
      <w:r w:rsidRPr="005C024A">
        <w:rPr>
          <w:rFonts w:ascii="Arial" w:hAnsi="Arial" w:cs="Arial"/>
          <w:sz w:val="22"/>
          <w:szCs w:val="22"/>
        </w:rPr>
        <w:t xml:space="preserve"> and identified.</w:t>
      </w:r>
    </w:p>
    <w:p w:rsidR="007660D2" w:rsidRPr="005C024A" w:rsidRDefault="00EC06E7" w:rsidP="00EC06E7">
      <w:pPr>
        <w:numPr>
          <w:ilvl w:val="0"/>
          <w:numId w:val="1"/>
        </w:numPr>
        <w:tabs>
          <w:tab w:val="clear" w:pos="1080"/>
        </w:tabs>
        <w:spacing w:after="240"/>
        <w:ind w:left="709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C024A">
        <w:rPr>
          <w:rFonts w:ascii="Arial" w:hAnsi="Arial" w:cs="Arial"/>
          <w:b/>
          <w:bCs/>
          <w:sz w:val="22"/>
          <w:szCs w:val="22"/>
          <w:u w:val="single"/>
        </w:rPr>
        <w:t>Revision</w:t>
      </w:r>
      <w:r w:rsidR="007660D2" w:rsidRPr="005C024A">
        <w:rPr>
          <w:rFonts w:ascii="Arial" w:hAnsi="Arial" w:cs="Arial"/>
          <w:b/>
          <w:bCs/>
          <w:sz w:val="22"/>
          <w:szCs w:val="22"/>
          <w:u w:val="single"/>
        </w:rPr>
        <w:t xml:space="preserve"> to Reports</w:t>
      </w:r>
      <w:r w:rsidR="004E52A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621DD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4E52A9">
        <w:rPr>
          <w:rFonts w:ascii="Arial"/>
          <w:b/>
          <w:bCs/>
          <w:sz w:val="22"/>
          <w:szCs w:val="22"/>
          <w:bdr w:val="none" w:sz="0" w:space="0" w:color="auto" w:frame="1"/>
        </w:rPr>
        <w:t>12.2}</w:t>
      </w:r>
    </w:p>
    <w:p w:rsidR="007660D2" w:rsidRPr="005C024A" w:rsidRDefault="007660D2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7208B6" w:rsidRPr="005C024A">
        <w:rPr>
          <w:rFonts w:ascii="Arial" w:hAnsi="Arial" w:cs="Arial"/>
          <w:sz w:val="22"/>
          <w:szCs w:val="22"/>
        </w:rPr>
        <w:t>Contractor</w:t>
      </w:r>
      <w:r w:rsidRPr="005C024A">
        <w:rPr>
          <w:rFonts w:ascii="Arial" w:hAnsi="Arial" w:cs="Arial"/>
          <w:sz w:val="22"/>
          <w:szCs w:val="22"/>
        </w:rPr>
        <w:t xml:space="preserve"> shall </w:t>
      </w:r>
      <w:r w:rsidR="007208B6" w:rsidRPr="005C024A">
        <w:rPr>
          <w:rFonts w:ascii="Arial" w:hAnsi="Arial" w:cs="Arial"/>
          <w:sz w:val="22"/>
          <w:szCs w:val="22"/>
        </w:rPr>
        <w:t xml:space="preserve">within </w:t>
      </w:r>
      <w:r w:rsidR="00F55B97">
        <w:rPr>
          <w:rFonts w:ascii="Arial" w:hAnsi="Arial" w:cs="Arial"/>
          <w:sz w:val="22"/>
          <w:szCs w:val="22"/>
        </w:rPr>
        <w:t>ten (</w:t>
      </w:r>
      <w:r w:rsidR="002A4645">
        <w:rPr>
          <w:rFonts w:ascii="Arial" w:hAnsi="Arial" w:cs="Arial"/>
          <w:sz w:val="22"/>
          <w:szCs w:val="22"/>
        </w:rPr>
        <w:t>10</w:t>
      </w:r>
      <w:r w:rsidR="00F55B97">
        <w:rPr>
          <w:rFonts w:ascii="Arial" w:hAnsi="Arial" w:cs="Arial"/>
          <w:sz w:val="22"/>
          <w:szCs w:val="22"/>
        </w:rPr>
        <w:t>)</w:t>
      </w:r>
      <w:r w:rsidR="007208B6" w:rsidRPr="005C024A">
        <w:rPr>
          <w:rFonts w:ascii="Arial" w:hAnsi="Arial" w:cs="Arial"/>
          <w:sz w:val="22"/>
          <w:szCs w:val="22"/>
        </w:rPr>
        <w:t xml:space="preserve"> </w:t>
      </w:r>
      <w:r w:rsidR="0001383B">
        <w:rPr>
          <w:rFonts w:ascii="Arial" w:hAnsi="Arial" w:cs="Arial"/>
          <w:sz w:val="22"/>
          <w:szCs w:val="22"/>
        </w:rPr>
        <w:t>B</w:t>
      </w:r>
      <w:r w:rsidR="007208B6" w:rsidRPr="005C024A">
        <w:rPr>
          <w:rFonts w:ascii="Arial" w:hAnsi="Arial" w:cs="Arial"/>
          <w:sz w:val="22"/>
          <w:szCs w:val="22"/>
        </w:rPr>
        <w:t xml:space="preserve">usiness </w:t>
      </w:r>
      <w:r w:rsidR="0001383B">
        <w:rPr>
          <w:rFonts w:ascii="Arial" w:hAnsi="Arial" w:cs="Arial"/>
          <w:sz w:val="22"/>
          <w:szCs w:val="22"/>
        </w:rPr>
        <w:t>D</w:t>
      </w:r>
      <w:r w:rsidR="007208B6" w:rsidRPr="005C024A">
        <w:rPr>
          <w:rFonts w:ascii="Arial" w:hAnsi="Arial" w:cs="Arial"/>
          <w:sz w:val="22"/>
          <w:szCs w:val="22"/>
        </w:rPr>
        <w:t>ays</w:t>
      </w:r>
      <w:r w:rsidRPr="005C024A">
        <w:rPr>
          <w:rFonts w:ascii="Arial" w:hAnsi="Arial" w:cs="Arial"/>
          <w:sz w:val="22"/>
          <w:szCs w:val="22"/>
        </w:rPr>
        <w:t xml:space="preserve"> and at no additional cost to the Authority</w:t>
      </w:r>
      <w:r w:rsidR="0001383B">
        <w:rPr>
          <w:rFonts w:ascii="Arial" w:hAnsi="Arial" w:cs="Arial"/>
          <w:sz w:val="22"/>
          <w:szCs w:val="22"/>
        </w:rPr>
        <w:t>,</w:t>
      </w:r>
      <w:r w:rsidRPr="005C024A">
        <w:rPr>
          <w:rFonts w:ascii="Arial" w:hAnsi="Arial" w:cs="Arial"/>
          <w:sz w:val="22"/>
          <w:szCs w:val="22"/>
        </w:rPr>
        <w:t xml:space="preserve"> rectify any errors or inaccuracies in any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equired </w:t>
      </w:r>
      <w:r w:rsidR="002A4645">
        <w:rPr>
          <w:rFonts w:ascii="Arial" w:hAnsi="Arial" w:cs="Arial"/>
          <w:sz w:val="22"/>
          <w:szCs w:val="22"/>
        </w:rPr>
        <w:t>r</w:t>
      </w:r>
      <w:r w:rsidRPr="005C024A">
        <w:rPr>
          <w:rFonts w:ascii="Arial" w:hAnsi="Arial" w:cs="Arial"/>
          <w:sz w:val="22"/>
          <w:szCs w:val="22"/>
        </w:rPr>
        <w:t xml:space="preserve">eport identified by the </w:t>
      </w:r>
      <w:r w:rsidR="00EC06E7" w:rsidRPr="005C024A">
        <w:rPr>
          <w:rFonts w:ascii="Arial" w:hAnsi="Arial" w:cs="Arial"/>
          <w:sz w:val="22"/>
          <w:szCs w:val="22"/>
        </w:rPr>
        <w:t>Authority</w:t>
      </w:r>
      <w:r w:rsidRPr="005C024A">
        <w:rPr>
          <w:rFonts w:ascii="Arial" w:hAnsi="Arial" w:cs="Arial"/>
          <w:sz w:val="22"/>
          <w:szCs w:val="22"/>
        </w:rPr>
        <w:t xml:space="preserve"> or which the </w:t>
      </w:r>
      <w:r w:rsidR="007208B6" w:rsidRPr="005C024A">
        <w:rPr>
          <w:rFonts w:ascii="Arial" w:hAnsi="Arial" w:cs="Arial"/>
          <w:sz w:val="22"/>
          <w:szCs w:val="22"/>
        </w:rPr>
        <w:t>Contractor</w:t>
      </w:r>
      <w:r w:rsidRPr="005C024A">
        <w:rPr>
          <w:rFonts w:ascii="Arial" w:hAnsi="Arial" w:cs="Arial"/>
          <w:sz w:val="22"/>
          <w:szCs w:val="22"/>
        </w:rPr>
        <w:t xml:space="preserve"> itself discovers.</w:t>
      </w:r>
    </w:p>
    <w:p w:rsidR="007660D2" w:rsidRPr="005C024A" w:rsidRDefault="007660D2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The </w:t>
      </w:r>
      <w:r w:rsidR="007208B6" w:rsidRPr="005C024A">
        <w:rPr>
          <w:rFonts w:ascii="Arial" w:hAnsi="Arial" w:cs="Arial"/>
          <w:sz w:val="22"/>
          <w:szCs w:val="22"/>
        </w:rPr>
        <w:t>Contractor</w:t>
      </w:r>
      <w:r w:rsidRPr="005C024A">
        <w:rPr>
          <w:rFonts w:ascii="Arial" w:hAnsi="Arial" w:cs="Arial"/>
          <w:sz w:val="22"/>
          <w:szCs w:val="22"/>
        </w:rPr>
        <w:t xml:space="preserve"> shall at no </w:t>
      </w:r>
      <w:r w:rsidR="00EC06E7" w:rsidRPr="005C024A">
        <w:rPr>
          <w:rFonts w:ascii="Arial" w:hAnsi="Arial" w:cs="Arial"/>
          <w:sz w:val="22"/>
          <w:szCs w:val="22"/>
        </w:rPr>
        <w:t>additional</w:t>
      </w:r>
      <w:r w:rsidRPr="005C024A">
        <w:rPr>
          <w:rFonts w:ascii="Arial" w:hAnsi="Arial" w:cs="Arial"/>
          <w:sz w:val="22"/>
          <w:szCs w:val="22"/>
        </w:rPr>
        <w:t xml:space="preserve"> cost to the Authority make such reasonable changes</w:t>
      </w:r>
      <w:r w:rsidR="008E35BB">
        <w:rPr>
          <w:rFonts w:ascii="Arial" w:hAnsi="Arial" w:cs="Arial"/>
          <w:sz w:val="22"/>
          <w:szCs w:val="22"/>
        </w:rPr>
        <w:t>, as agreed between the Parties,</w:t>
      </w:r>
      <w:r w:rsidRPr="005C024A">
        <w:rPr>
          <w:rFonts w:ascii="Arial" w:hAnsi="Arial" w:cs="Arial"/>
          <w:sz w:val="22"/>
          <w:szCs w:val="22"/>
        </w:rPr>
        <w:t xml:space="preserve"> to the required format, content and frequency of any report described in </w:t>
      </w:r>
      <w:r w:rsidR="005C024A">
        <w:rPr>
          <w:rFonts w:ascii="Arial" w:hAnsi="Arial" w:cs="Arial"/>
          <w:sz w:val="22"/>
          <w:szCs w:val="22"/>
        </w:rPr>
        <w:t>Annex A</w:t>
      </w:r>
      <w:r w:rsidRPr="005C024A">
        <w:rPr>
          <w:rFonts w:ascii="Arial" w:hAnsi="Arial" w:cs="Arial"/>
          <w:sz w:val="22"/>
          <w:szCs w:val="22"/>
        </w:rPr>
        <w:t xml:space="preserve"> and elsewhere in this </w:t>
      </w:r>
      <w:r w:rsidR="00EC06E7" w:rsidRPr="005C024A">
        <w:rPr>
          <w:rFonts w:ascii="Arial" w:hAnsi="Arial" w:cs="Arial"/>
          <w:sz w:val="22"/>
          <w:szCs w:val="22"/>
        </w:rPr>
        <w:t>Contract</w:t>
      </w:r>
      <w:r w:rsidR="002A4645">
        <w:rPr>
          <w:rFonts w:ascii="Arial" w:hAnsi="Arial" w:cs="Arial"/>
          <w:sz w:val="22"/>
          <w:szCs w:val="22"/>
        </w:rPr>
        <w:t>.</w:t>
      </w:r>
    </w:p>
    <w:p w:rsidR="000A186D" w:rsidRPr="005C024A" w:rsidRDefault="000A186D" w:rsidP="00EC06E7">
      <w:pPr>
        <w:numPr>
          <w:ilvl w:val="0"/>
          <w:numId w:val="1"/>
        </w:numPr>
        <w:tabs>
          <w:tab w:val="clear" w:pos="1080"/>
        </w:tabs>
        <w:spacing w:after="240"/>
        <w:ind w:left="709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C024A">
        <w:rPr>
          <w:rFonts w:ascii="Arial" w:hAnsi="Arial" w:cs="Arial"/>
          <w:b/>
          <w:bCs/>
          <w:sz w:val="22"/>
          <w:szCs w:val="22"/>
          <w:u w:val="single"/>
        </w:rPr>
        <w:t>Report Descriptions</w:t>
      </w:r>
      <w:r w:rsidR="004E52A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621DD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4E52A9">
        <w:rPr>
          <w:rFonts w:ascii="Arial"/>
          <w:b/>
          <w:bCs/>
          <w:sz w:val="22"/>
          <w:szCs w:val="22"/>
          <w:bdr w:val="none" w:sz="0" w:space="0" w:color="auto" w:frame="1"/>
        </w:rPr>
        <w:t>12.3}</w:t>
      </w:r>
    </w:p>
    <w:p w:rsidR="000A186D" w:rsidRPr="005C024A" w:rsidRDefault="000A186D" w:rsidP="00EC06E7">
      <w:pPr>
        <w:numPr>
          <w:ilvl w:val="1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C024A">
        <w:rPr>
          <w:rFonts w:ascii="Arial" w:hAnsi="Arial" w:cs="Arial"/>
          <w:sz w:val="22"/>
          <w:szCs w:val="22"/>
        </w:rPr>
        <w:t xml:space="preserve">In the event of any ambiguity, conflict or </w:t>
      </w:r>
      <w:r w:rsidR="00EC06E7" w:rsidRPr="005C024A">
        <w:rPr>
          <w:rFonts w:ascii="Arial" w:hAnsi="Arial" w:cs="Arial"/>
          <w:sz w:val="22"/>
          <w:szCs w:val="22"/>
        </w:rPr>
        <w:t>inconsistency</w:t>
      </w:r>
      <w:r w:rsidRPr="005C024A">
        <w:rPr>
          <w:rFonts w:ascii="Arial" w:hAnsi="Arial" w:cs="Arial"/>
          <w:sz w:val="22"/>
          <w:szCs w:val="22"/>
        </w:rPr>
        <w:t xml:space="preserve"> between any of the summary report descriptions set out in </w:t>
      </w:r>
      <w:r w:rsidR="005C024A">
        <w:rPr>
          <w:rFonts w:ascii="Arial" w:hAnsi="Arial" w:cs="Arial"/>
          <w:sz w:val="22"/>
          <w:szCs w:val="22"/>
        </w:rPr>
        <w:t>Annex A</w:t>
      </w:r>
      <w:r w:rsidRPr="005C024A">
        <w:rPr>
          <w:rFonts w:ascii="Arial" w:hAnsi="Arial" w:cs="Arial"/>
          <w:sz w:val="22"/>
          <w:szCs w:val="22"/>
        </w:rPr>
        <w:t xml:space="preserve"> and any more detailed </w:t>
      </w:r>
      <w:r w:rsidRPr="005C024A">
        <w:rPr>
          <w:rFonts w:ascii="Arial" w:hAnsi="Arial" w:cs="Arial"/>
          <w:sz w:val="22"/>
          <w:szCs w:val="22"/>
        </w:rPr>
        <w:lastRenderedPageBreak/>
        <w:t xml:space="preserve">description of the same report in </w:t>
      </w:r>
      <w:r w:rsidR="00EC06E7" w:rsidRPr="005C024A">
        <w:rPr>
          <w:rFonts w:ascii="Arial" w:hAnsi="Arial" w:cs="Arial"/>
          <w:sz w:val="22"/>
          <w:szCs w:val="22"/>
        </w:rPr>
        <w:t>a</w:t>
      </w:r>
      <w:r w:rsidRPr="005C024A">
        <w:rPr>
          <w:rFonts w:ascii="Arial" w:hAnsi="Arial" w:cs="Arial"/>
          <w:sz w:val="22"/>
          <w:szCs w:val="22"/>
        </w:rPr>
        <w:t xml:space="preserve">ny other </w:t>
      </w:r>
      <w:r w:rsidR="00EC06E7" w:rsidRPr="005C024A">
        <w:rPr>
          <w:rFonts w:ascii="Arial" w:hAnsi="Arial" w:cs="Arial"/>
          <w:sz w:val="22"/>
          <w:szCs w:val="22"/>
        </w:rPr>
        <w:t>Schedule</w:t>
      </w:r>
      <w:r w:rsidRPr="005C024A">
        <w:rPr>
          <w:rFonts w:ascii="Arial" w:hAnsi="Arial" w:cs="Arial"/>
          <w:sz w:val="22"/>
          <w:szCs w:val="22"/>
        </w:rPr>
        <w:t>, then the more detailed description in the other Schedule shall take precedence</w:t>
      </w:r>
      <w:r w:rsidR="00EC06E7" w:rsidRPr="005C024A">
        <w:rPr>
          <w:rFonts w:ascii="Arial" w:hAnsi="Arial" w:cs="Arial"/>
          <w:sz w:val="22"/>
          <w:szCs w:val="22"/>
        </w:rPr>
        <w:t>.</w:t>
      </w:r>
    </w:p>
    <w:p w:rsidR="00020257" w:rsidRPr="00483F88" w:rsidRDefault="00020257" w:rsidP="00020257">
      <w:pPr>
        <w:spacing w:after="240"/>
        <w:jc w:val="right"/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483F88">
        <w:rPr>
          <w:rFonts w:ascii="Arial" w:hAnsi="Arial" w:cs="Arial"/>
          <w:b/>
          <w:sz w:val="22"/>
          <w:szCs w:val="22"/>
        </w:rPr>
        <w:lastRenderedPageBreak/>
        <w:t>Annex A to Schedule 12</w:t>
      </w:r>
      <w:r w:rsidR="004E52A9">
        <w:rPr>
          <w:rFonts w:ascii="Arial" w:hAnsi="Arial" w:cs="Arial"/>
          <w:b/>
          <w:sz w:val="22"/>
          <w:szCs w:val="22"/>
        </w:rPr>
        <w:t xml:space="preserve"> </w:t>
      </w:r>
      <w:r w:rsidR="003621DD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4E52A9">
        <w:rPr>
          <w:rFonts w:ascii="Arial"/>
          <w:b/>
          <w:bCs/>
          <w:sz w:val="22"/>
          <w:szCs w:val="22"/>
          <w:bdr w:val="none" w:sz="0" w:space="0" w:color="auto" w:frame="1"/>
        </w:rPr>
        <w:t>12AA}</w:t>
      </w:r>
    </w:p>
    <w:p w:rsidR="00020257" w:rsidRPr="00483F88" w:rsidRDefault="00020257" w:rsidP="00020257">
      <w:pPr>
        <w:spacing w:after="240"/>
        <w:rPr>
          <w:rFonts w:ascii="Arial" w:hAnsi="Arial" w:cs="Arial"/>
          <w:b/>
          <w:sz w:val="22"/>
          <w:szCs w:val="22"/>
        </w:rPr>
      </w:pPr>
      <w:r w:rsidRPr="00483F88">
        <w:rPr>
          <w:rFonts w:ascii="Arial" w:hAnsi="Arial" w:cs="Arial"/>
          <w:b/>
          <w:sz w:val="22"/>
          <w:szCs w:val="22"/>
        </w:rPr>
        <w:t>Contractor Produced Reports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6"/>
        <w:gridCol w:w="2091"/>
        <w:gridCol w:w="1787"/>
      </w:tblGrid>
      <w:tr w:rsidR="00020257" w:rsidRPr="00E30F17" w:rsidTr="00465BDE">
        <w:tc>
          <w:tcPr>
            <w:tcW w:w="2094" w:type="dxa"/>
            <w:shd w:val="clear" w:color="auto" w:fill="C0C0C0"/>
            <w:vAlign w:val="bottom"/>
          </w:tcPr>
          <w:p w:rsidR="00020257" w:rsidRPr="00E30F17" w:rsidRDefault="00020257" w:rsidP="00E30F17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0F17">
              <w:rPr>
                <w:rFonts w:ascii="Arial" w:hAnsi="Arial" w:cs="Arial"/>
                <w:b/>
                <w:sz w:val="22"/>
                <w:szCs w:val="22"/>
              </w:rPr>
              <w:t>Report Name</w:t>
            </w:r>
          </w:p>
        </w:tc>
        <w:tc>
          <w:tcPr>
            <w:tcW w:w="2556" w:type="dxa"/>
            <w:shd w:val="clear" w:color="auto" w:fill="C0C0C0"/>
            <w:vAlign w:val="bottom"/>
          </w:tcPr>
          <w:p w:rsidR="00020257" w:rsidRPr="00E30F17" w:rsidRDefault="00020257" w:rsidP="00E30F17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0F17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091" w:type="dxa"/>
            <w:shd w:val="clear" w:color="auto" w:fill="C0C0C0"/>
            <w:vAlign w:val="bottom"/>
          </w:tcPr>
          <w:p w:rsidR="00020257" w:rsidRPr="00E30F17" w:rsidRDefault="00020257" w:rsidP="00E30F17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0F17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</w:tc>
        <w:tc>
          <w:tcPr>
            <w:tcW w:w="1787" w:type="dxa"/>
            <w:shd w:val="clear" w:color="auto" w:fill="C0C0C0"/>
            <w:vAlign w:val="bottom"/>
          </w:tcPr>
          <w:p w:rsidR="00020257" w:rsidRPr="00E30F17" w:rsidRDefault="00020257" w:rsidP="00E30F17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0F17">
              <w:rPr>
                <w:rFonts w:ascii="Arial" w:hAnsi="Arial" w:cs="Arial"/>
                <w:b/>
                <w:sz w:val="22"/>
                <w:szCs w:val="22"/>
              </w:rPr>
              <w:t>Recipients</w:t>
            </w:r>
          </w:p>
        </w:tc>
      </w:tr>
      <w:tr w:rsidR="00020257" w:rsidRPr="00E30F17" w:rsidTr="00465BDE">
        <w:tc>
          <w:tcPr>
            <w:tcW w:w="2094" w:type="dxa"/>
            <w:shd w:val="clear" w:color="auto" w:fill="auto"/>
          </w:tcPr>
          <w:p w:rsidR="00020257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DFR</w:t>
            </w:r>
            <w:r w:rsidR="00176062">
              <w:rPr>
                <w:rFonts w:ascii="Arial" w:hAnsi="Arial" w:cs="Arial"/>
                <w:sz w:val="22"/>
                <w:szCs w:val="22"/>
              </w:rPr>
              <w:t xml:space="preserve"> Operations Board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</w:t>
            </w:r>
          </w:p>
          <w:p w:rsidR="00E274B1" w:rsidRPr="00D44D9B" w:rsidRDefault="00E274B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177AC" w:rsidRPr="00D44D9B" w:rsidRDefault="00D9439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177AC" w:rsidRPr="00D44D9B">
              <w:rPr>
                <w:rFonts w:ascii="Arial" w:hAnsi="Arial" w:cs="Arial"/>
                <w:sz w:val="22"/>
                <w:szCs w:val="22"/>
              </w:rPr>
              <w:t>Contractor</w:t>
            </w:r>
            <w:r w:rsidRPr="00D44D9B">
              <w:rPr>
                <w:rFonts w:ascii="Arial" w:hAnsi="Arial" w:cs="Arial"/>
                <w:sz w:val="22"/>
                <w:szCs w:val="22"/>
              </w:rPr>
              <w:t xml:space="preserve"> shall report performance against</w:t>
            </w:r>
            <w:r w:rsidR="007177AC" w:rsidRPr="00D44D9B">
              <w:rPr>
                <w:rFonts w:ascii="Arial" w:hAnsi="Arial" w:cs="Arial"/>
                <w:sz w:val="22"/>
                <w:szCs w:val="22"/>
              </w:rPr>
              <w:t>:</w:t>
            </w:r>
            <w:r w:rsidRPr="00D44D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604A" w:rsidRDefault="0083604A" w:rsidP="00465BDE">
            <w:pPr>
              <w:numPr>
                <w:ilvl w:val="0"/>
                <w:numId w:val="2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Indicators and Key Performance Indicators;</w:t>
            </w:r>
          </w:p>
          <w:p w:rsidR="00DF33B7" w:rsidRPr="00465BDE" w:rsidRDefault="00627BCD" w:rsidP="00465BDE">
            <w:pPr>
              <w:numPr>
                <w:ilvl w:val="0"/>
                <w:numId w:val="2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 xml:space="preserve">progress </w:t>
            </w:r>
            <w:r w:rsidR="00DF33B7" w:rsidRPr="00465BDE">
              <w:rPr>
                <w:rFonts w:ascii="Arial" w:hAnsi="Arial" w:cs="Arial"/>
                <w:sz w:val="22"/>
                <w:szCs w:val="22"/>
              </w:rPr>
              <w:t xml:space="preserve">of Contract </w:t>
            </w:r>
            <w:r w:rsidRPr="00465BDE">
              <w:rPr>
                <w:rFonts w:ascii="Arial" w:hAnsi="Arial" w:cs="Arial"/>
                <w:sz w:val="22"/>
                <w:szCs w:val="22"/>
              </w:rPr>
              <w:t>objectives</w:t>
            </w:r>
            <w:r w:rsidR="00DF33B7" w:rsidRPr="00465BDE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020257" w:rsidRPr="00D44D9B" w:rsidRDefault="00B52256" w:rsidP="00465BDE">
            <w:pPr>
              <w:numPr>
                <w:ilvl w:val="0"/>
                <w:numId w:val="2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 xml:space="preserve">progress against the </w:t>
            </w:r>
            <w:r w:rsidR="00F55B97">
              <w:rPr>
                <w:rFonts w:ascii="Arial" w:hAnsi="Arial" w:cs="Arial"/>
                <w:sz w:val="22"/>
                <w:szCs w:val="22"/>
              </w:rPr>
              <w:t xml:space="preserve">MMT Programme </w:t>
            </w:r>
            <w:r w:rsidRPr="00465BDE">
              <w:rPr>
                <w:rFonts w:ascii="Arial" w:hAnsi="Arial" w:cs="Arial"/>
                <w:sz w:val="22"/>
                <w:szCs w:val="22"/>
              </w:rPr>
              <w:t>Plan.</w:t>
            </w:r>
          </w:p>
        </w:tc>
        <w:tc>
          <w:tcPr>
            <w:tcW w:w="2091" w:type="dxa"/>
            <w:shd w:val="clear" w:color="auto" w:fill="auto"/>
          </w:tcPr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E274B1" w:rsidRDefault="00DF33B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Monthly</w:t>
            </w: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Quarterly</w:t>
            </w: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FAC" w:rsidRDefault="006D2FAC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04A" w:rsidRPr="00D44D9B" w:rsidRDefault="0083604A" w:rsidP="00465B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  <w:tc>
          <w:tcPr>
            <w:tcW w:w="1787" w:type="dxa"/>
            <w:shd w:val="clear" w:color="auto" w:fill="auto"/>
          </w:tcPr>
          <w:p w:rsidR="00020257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  <w:r w:rsidR="00020257" w:rsidRPr="00D44D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241E1" w:rsidRPr="00E30F17" w:rsidTr="00465BDE">
        <w:trPr>
          <w:trHeight w:val="327"/>
        </w:trPr>
        <w:tc>
          <w:tcPr>
            <w:tcW w:w="2094" w:type="dxa"/>
            <w:shd w:val="clear" w:color="auto" w:fill="auto"/>
          </w:tcPr>
          <w:p w:rsidR="00B241E1" w:rsidRPr="00D44D9B" w:rsidRDefault="00D94391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Non-Emergency Incident Report</w:t>
            </w:r>
          </w:p>
        </w:tc>
        <w:tc>
          <w:tcPr>
            <w:tcW w:w="2556" w:type="dxa"/>
            <w:shd w:val="clear" w:color="auto" w:fill="auto"/>
          </w:tcPr>
          <w:p w:rsidR="00B241E1" w:rsidRPr="00D44D9B" w:rsidRDefault="007177AC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Attendance</w:t>
            </w:r>
            <w:r w:rsidR="00D94391" w:rsidRPr="00465BDE">
              <w:rPr>
                <w:rFonts w:ascii="Arial" w:hAnsi="Arial" w:cs="Arial"/>
                <w:sz w:val="22"/>
                <w:szCs w:val="22"/>
              </w:rPr>
              <w:t xml:space="preserve"> of individual fire station assets to all non-emergency incidents </w:t>
            </w:r>
            <w:r w:rsidR="00D94391" w:rsidRPr="00796E97">
              <w:rPr>
                <w:rFonts w:ascii="Arial" w:hAnsi="Arial" w:cs="Arial"/>
                <w:sz w:val="22"/>
                <w:szCs w:val="22"/>
              </w:rPr>
              <w:t>via a Non-Emergency Incident Response (NEIR) reporting system</w:t>
            </w:r>
            <w:r w:rsidR="00D94391"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B241E1" w:rsidRPr="00D44D9B" w:rsidRDefault="00B241E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1787" w:type="dxa"/>
            <w:shd w:val="clear" w:color="auto" w:fill="auto"/>
          </w:tcPr>
          <w:p w:rsidR="00B241E1" w:rsidRPr="00D44D9B" w:rsidRDefault="00D9439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B241E1" w:rsidRPr="00E30F17" w:rsidTr="00465BDE">
        <w:tc>
          <w:tcPr>
            <w:tcW w:w="2094" w:type="dxa"/>
            <w:shd w:val="clear" w:color="auto" w:fill="auto"/>
          </w:tcPr>
          <w:p w:rsidR="00D94391" w:rsidRPr="00465BDE" w:rsidRDefault="00D94391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Emergency Incident Report</w:t>
            </w:r>
          </w:p>
          <w:p w:rsidR="00D94391" w:rsidRPr="00465BDE" w:rsidRDefault="00D94391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1E1" w:rsidRPr="00D44D9B" w:rsidRDefault="00B241E1" w:rsidP="00465B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B241E1" w:rsidRPr="00D44D9B" w:rsidRDefault="00DF33B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</w:t>
            </w:r>
            <w:r w:rsidR="00D94391" w:rsidRPr="00465BDE">
              <w:rPr>
                <w:rFonts w:ascii="Arial" w:hAnsi="Arial" w:cs="Arial"/>
                <w:sz w:val="22"/>
                <w:szCs w:val="22"/>
              </w:rPr>
              <w:t xml:space="preserve">ttendance of individual fire station assets to all emergency incidents </w:t>
            </w:r>
            <w:r w:rsidR="00D94391" w:rsidRPr="00796E97">
              <w:rPr>
                <w:rFonts w:ascii="Arial" w:hAnsi="Arial" w:cs="Arial"/>
                <w:sz w:val="22"/>
                <w:szCs w:val="22"/>
              </w:rPr>
              <w:t>via an Emergency Incident Response (EIR) reporting system</w:t>
            </w:r>
            <w:r w:rsidR="00D94391"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B241E1" w:rsidRPr="00D44D9B" w:rsidRDefault="00B241E1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Report to be completed &amp; submitted by end of shift</w:t>
            </w:r>
            <w:r w:rsidR="00DF33B7" w:rsidRPr="00465BDE">
              <w:rPr>
                <w:rFonts w:ascii="Arial" w:hAnsi="Arial" w:cs="Arial"/>
                <w:sz w:val="22"/>
                <w:szCs w:val="22"/>
              </w:rPr>
              <w:t xml:space="preserve"> on day of incident.</w:t>
            </w:r>
          </w:p>
        </w:tc>
        <w:tc>
          <w:tcPr>
            <w:tcW w:w="1787" w:type="dxa"/>
            <w:shd w:val="clear" w:color="auto" w:fill="auto"/>
          </w:tcPr>
          <w:p w:rsidR="00B241E1" w:rsidRPr="00D44D9B" w:rsidRDefault="00627BCD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B241E1" w:rsidRPr="00E30F17" w:rsidTr="00465BDE">
        <w:tc>
          <w:tcPr>
            <w:tcW w:w="2094" w:type="dxa"/>
            <w:shd w:val="clear" w:color="auto" w:fill="auto"/>
          </w:tcPr>
          <w:p w:rsidR="0042708A" w:rsidRPr="00465BDE" w:rsidRDefault="0042708A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Mobilisation &amp; Migration Report</w:t>
            </w:r>
          </w:p>
          <w:p w:rsidR="0042708A" w:rsidRPr="00465BDE" w:rsidRDefault="0042708A" w:rsidP="00465BD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1E1" w:rsidRPr="00D44D9B" w:rsidRDefault="00B241E1" w:rsidP="00465B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B241E1" w:rsidRPr="00D44D9B" w:rsidRDefault="00DF33B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P</w:t>
            </w:r>
            <w:r w:rsidR="0042708A" w:rsidRPr="00465BDE">
              <w:rPr>
                <w:rFonts w:ascii="Arial" w:hAnsi="Arial" w:cs="Arial"/>
                <w:sz w:val="22"/>
                <w:szCs w:val="22"/>
              </w:rPr>
              <w:t xml:space="preserve">erformance against the Contract </w:t>
            </w:r>
            <w:r w:rsidR="00F55B97">
              <w:rPr>
                <w:rFonts w:ascii="Arial" w:hAnsi="Arial" w:cs="Arial"/>
                <w:sz w:val="22"/>
                <w:szCs w:val="22"/>
              </w:rPr>
              <w:t>MMT Programme Plan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B241E1" w:rsidRPr="00D44D9B" w:rsidRDefault="00176062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</w:p>
        </w:tc>
        <w:tc>
          <w:tcPr>
            <w:tcW w:w="1787" w:type="dxa"/>
            <w:shd w:val="clear" w:color="auto" w:fill="auto"/>
          </w:tcPr>
          <w:p w:rsidR="00B241E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B241E1" w:rsidRPr="00E30F17" w:rsidTr="00465BDE">
        <w:tc>
          <w:tcPr>
            <w:tcW w:w="2094" w:type="dxa"/>
            <w:shd w:val="clear" w:color="auto" w:fill="auto"/>
          </w:tcPr>
          <w:p w:rsidR="00B241E1" w:rsidRPr="00D44D9B" w:rsidRDefault="0042708A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Fire Investigation Report</w:t>
            </w:r>
          </w:p>
        </w:tc>
        <w:tc>
          <w:tcPr>
            <w:tcW w:w="2556" w:type="dxa"/>
            <w:shd w:val="clear" w:color="auto" w:fill="auto"/>
          </w:tcPr>
          <w:p w:rsidR="00B241E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C</w:t>
            </w:r>
            <w:r w:rsidR="0042708A" w:rsidRPr="00465BDE">
              <w:rPr>
                <w:rFonts w:ascii="Arial" w:hAnsi="Arial" w:cs="Arial"/>
                <w:sz w:val="22"/>
                <w:szCs w:val="22"/>
              </w:rPr>
              <w:t xml:space="preserve">omprehensive fire investigation report on all outbreaks of fire on the </w:t>
            </w:r>
            <w:r w:rsidRPr="00465BDE">
              <w:rPr>
                <w:rFonts w:ascii="Arial" w:hAnsi="Arial" w:cs="Arial"/>
                <w:sz w:val="22"/>
                <w:szCs w:val="22"/>
              </w:rPr>
              <w:t xml:space="preserve">Authority </w:t>
            </w:r>
            <w:r w:rsidR="0042708A" w:rsidRPr="00465BDE">
              <w:rPr>
                <w:rFonts w:ascii="Arial" w:hAnsi="Arial" w:cs="Arial"/>
                <w:sz w:val="22"/>
                <w:szCs w:val="22"/>
              </w:rPr>
              <w:t>estate.</w:t>
            </w:r>
          </w:p>
        </w:tc>
        <w:tc>
          <w:tcPr>
            <w:tcW w:w="2091" w:type="dxa"/>
            <w:shd w:val="clear" w:color="auto" w:fill="auto"/>
          </w:tcPr>
          <w:p w:rsidR="00B241E1" w:rsidRPr="00D44D9B" w:rsidRDefault="00D44D9B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</w:t>
            </w:r>
            <w:r w:rsidR="0067142C" w:rsidRPr="00D44D9B">
              <w:rPr>
                <w:rFonts w:ascii="Arial" w:hAnsi="Arial" w:cs="Arial"/>
                <w:sz w:val="22"/>
                <w:szCs w:val="22"/>
              </w:rPr>
              <w:t xml:space="preserve">vailable to the Authority </w:t>
            </w:r>
            <w:r w:rsidR="004641B3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D44D9B">
              <w:rPr>
                <w:rFonts w:ascii="Arial" w:hAnsi="Arial" w:cs="Arial"/>
                <w:sz w:val="22"/>
                <w:szCs w:val="22"/>
              </w:rPr>
              <w:t>request.</w:t>
            </w:r>
          </w:p>
        </w:tc>
        <w:tc>
          <w:tcPr>
            <w:tcW w:w="1787" w:type="dxa"/>
            <w:shd w:val="clear" w:color="auto" w:fill="auto"/>
          </w:tcPr>
          <w:p w:rsidR="00B241E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B241E1" w:rsidRPr="00E30F17" w:rsidTr="00465BDE">
        <w:tc>
          <w:tcPr>
            <w:tcW w:w="2094" w:type="dxa"/>
            <w:shd w:val="clear" w:color="auto" w:fill="auto"/>
          </w:tcPr>
          <w:p w:rsidR="00B241E1" w:rsidRPr="00D44D9B" w:rsidRDefault="0042708A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Post-Fire Audit Report</w:t>
            </w:r>
          </w:p>
        </w:tc>
        <w:tc>
          <w:tcPr>
            <w:tcW w:w="2556" w:type="dxa"/>
            <w:shd w:val="clear" w:color="auto" w:fill="auto"/>
          </w:tcPr>
          <w:p w:rsidR="0042708A" w:rsidRPr="00465BDE" w:rsidRDefault="00D44D9B" w:rsidP="0042708A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P</w:t>
            </w:r>
            <w:r w:rsidR="0042708A" w:rsidRPr="00465BDE">
              <w:rPr>
                <w:rFonts w:ascii="Arial" w:hAnsi="Arial" w:cs="Arial"/>
                <w:sz w:val="22"/>
                <w:szCs w:val="22"/>
              </w:rPr>
              <w:t>ost-fire audit reports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41E1" w:rsidRPr="00D44D9B" w:rsidRDefault="00B241E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B241E1" w:rsidRPr="00D44D9B" w:rsidRDefault="00E274B1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 xml:space="preserve">Within 5 working days of the </w:t>
            </w:r>
            <w:r w:rsidR="00D44D9B" w:rsidRPr="00465BDE">
              <w:rPr>
                <w:rFonts w:ascii="Arial" w:hAnsi="Arial" w:cs="Arial"/>
                <w:sz w:val="22"/>
                <w:szCs w:val="22"/>
              </w:rPr>
              <w:t xml:space="preserve">fire </w:t>
            </w:r>
            <w:r w:rsidRPr="00465BDE">
              <w:rPr>
                <w:rFonts w:ascii="Arial" w:hAnsi="Arial" w:cs="Arial"/>
                <w:sz w:val="22"/>
                <w:szCs w:val="22"/>
              </w:rPr>
              <w:t>incident occurring.</w:t>
            </w:r>
          </w:p>
        </w:tc>
        <w:tc>
          <w:tcPr>
            <w:tcW w:w="1787" w:type="dxa"/>
            <w:shd w:val="clear" w:color="auto" w:fill="auto"/>
          </w:tcPr>
          <w:p w:rsidR="00B241E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Authority and </w:t>
            </w:r>
            <w:r w:rsidR="00627BCD" w:rsidRPr="00D44D9B">
              <w:rPr>
                <w:rFonts w:ascii="Arial" w:hAnsi="Arial" w:cs="Arial"/>
                <w:sz w:val="22"/>
                <w:szCs w:val="22"/>
              </w:rPr>
              <w:t>Head of Establishment</w:t>
            </w:r>
          </w:p>
        </w:tc>
      </w:tr>
      <w:tr w:rsidR="00B241E1" w:rsidRPr="00E30F17" w:rsidTr="00465BDE">
        <w:tc>
          <w:tcPr>
            <w:tcW w:w="2094" w:type="dxa"/>
            <w:shd w:val="clear" w:color="auto" w:fill="auto"/>
          </w:tcPr>
          <w:p w:rsidR="00B241E1" w:rsidRPr="00D44D9B" w:rsidRDefault="00627BCD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Legislation Report</w:t>
            </w:r>
          </w:p>
        </w:tc>
        <w:tc>
          <w:tcPr>
            <w:tcW w:w="2556" w:type="dxa"/>
            <w:shd w:val="clear" w:color="auto" w:fill="auto"/>
          </w:tcPr>
          <w:p w:rsidR="00B241E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I</w:t>
            </w:r>
            <w:r w:rsidR="00627BCD" w:rsidRPr="00465BDE">
              <w:rPr>
                <w:rFonts w:ascii="Arial" w:hAnsi="Arial" w:cs="Arial"/>
                <w:sz w:val="22"/>
                <w:szCs w:val="22"/>
              </w:rPr>
              <w:t xml:space="preserve">dentify new, amended or emerging F&amp;R related legislation that </w:t>
            </w:r>
            <w:r w:rsidR="00627BCD" w:rsidRPr="00465BDE">
              <w:rPr>
                <w:rFonts w:ascii="Arial" w:hAnsi="Arial" w:cs="Arial"/>
                <w:sz w:val="22"/>
                <w:szCs w:val="22"/>
              </w:rPr>
              <w:lastRenderedPageBreak/>
              <w:t>impacts upon MOD Policy and working practices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B241E1" w:rsidRPr="00D44D9B" w:rsidRDefault="00627BCD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lastRenderedPageBreak/>
              <w:t>Quarterly</w:t>
            </w:r>
          </w:p>
        </w:tc>
        <w:tc>
          <w:tcPr>
            <w:tcW w:w="1787" w:type="dxa"/>
            <w:shd w:val="clear" w:color="auto" w:fill="auto"/>
          </w:tcPr>
          <w:p w:rsidR="00627BCD" w:rsidRPr="00465BDE" w:rsidRDefault="00F55B97" w:rsidP="00627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  <w:p w:rsidR="00B241E1" w:rsidRPr="00D44D9B" w:rsidRDefault="00B241E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4B1" w:rsidRPr="00E30F17" w:rsidTr="00465BDE">
        <w:tc>
          <w:tcPr>
            <w:tcW w:w="2094" w:type="dxa"/>
            <w:shd w:val="clear" w:color="auto" w:fill="auto"/>
          </w:tcPr>
          <w:p w:rsidR="00E274B1" w:rsidRPr="00D44D9B" w:rsidRDefault="00627BCD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Annual Fire Strategy Report</w:t>
            </w:r>
          </w:p>
        </w:tc>
        <w:tc>
          <w:tcPr>
            <w:tcW w:w="2556" w:type="dxa"/>
            <w:shd w:val="clear" w:color="auto" w:fill="auto"/>
          </w:tcPr>
          <w:p w:rsidR="00E274B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</w:t>
            </w:r>
            <w:r w:rsidR="00627BCD" w:rsidRPr="00465BDE">
              <w:rPr>
                <w:rFonts w:ascii="Arial" w:hAnsi="Arial" w:cs="Arial"/>
                <w:sz w:val="22"/>
                <w:szCs w:val="22"/>
              </w:rPr>
              <w:t>nnual report on the effectiveness of the fire safety strategy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E274B1" w:rsidRPr="00465BDE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Annual</w:t>
            </w:r>
          </w:p>
          <w:p w:rsidR="00E274B1" w:rsidRPr="00D44D9B" w:rsidRDefault="00E274B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274B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E274B1" w:rsidRPr="00E30F17" w:rsidTr="00465BDE">
        <w:tc>
          <w:tcPr>
            <w:tcW w:w="2094" w:type="dxa"/>
            <w:shd w:val="clear" w:color="auto" w:fill="auto"/>
          </w:tcPr>
          <w:p w:rsidR="00E274B1" w:rsidRPr="00D44D9B" w:rsidRDefault="009C285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796E97">
              <w:rPr>
                <w:rFonts w:ascii="Arial" w:hAnsi="Arial" w:cs="Arial"/>
                <w:sz w:val="22"/>
                <w:szCs w:val="22"/>
              </w:rPr>
              <w:t>Benefits Realisation Report</w:t>
            </w:r>
          </w:p>
        </w:tc>
        <w:tc>
          <w:tcPr>
            <w:tcW w:w="2556" w:type="dxa"/>
            <w:shd w:val="clear" w:color="auto" w:fill="auto"/>
          </w:tcPr>
          <w:p w:rsidR="00E274B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796E97">
              <w:rPr>
                <w:rFonts w:ascii="Arial" w:hAnsi="Arial" w:cs="Arial"/>
                <w:sz w:val="22"/>
                <w:szCs w:val="22"/>
              </w:rPr>
              <w:t>Progress</w:t>
            </w:r>
            <w:r w:rsidR="009C2857" w:rsidRPr="00796E97">
              <w:rPr>
                <w:rFonts w:ascii="Arial" w:hAnsi="Arial" w:cs="Arial"/>
                <w:sz w:val="22"/>
                <w:szCs w:val="22"/>
              </w:rPr>
              <w:t xml:space="preserve"> against the Benefits Realisation Management Plan</w:t>
            </w:r>
            <w:r w:rsidR="004641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E274B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  <w:tc>
          <w:tcPr>
            <w:tcW w:w="1787" w:type="dxa"/>
            <w:shd w:val="clear" w:color="auto" w:fill="auto"/>
          </w:tcPr>
          <w:p w:rsidR="00E274B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E274B1" w:rsidRPr="00E30F17" w:rsidTr="00465BDE">
        <w:tc>
          <w:tcPr>
            <w:tcW w:w="2094" w:type="dxa"/>
            <w:shd w:val="clear" w:color="auto" w:fill="auto"/>
          </w:tcPr>
          <w:p w:rsidR="00E274B1" w:rsidRPr="00D44D9B" w:rsidRDefault="009C285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Annual Customer Satisfaction Report</w:t>
            </w:r>
          </w:p>
        </w:tc>
        <w:tc>
          <w:tcPr>
            <w:tcW w:w="2556" w:type="dxa"/>
            <w:shd w:val="clear" w:color="auto" w:fill="auto"/>
          </w:tcPr>
          <w:p w:rsidR="00E274B1" w:rsidRPr="00D44D9B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</w:t>
            </w:r>
            <w:r w:rsidR="009C2857" w:rsidRPr="00465BDE">
              <w:rPr>
                <w:rFonts w:ascii="Arial" w:hAnsi="Arial" w:cs="Arial"/>
                <w:sz w:val="22"/>
                <w:szCs w:val="22"/>
              </w:rPr>
              <w:t>nnual independent customer satisfaction survey with TLB desk officers and HoEs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E274B1" w:rsidRPr="00465BDE" w:rsidRDefault="009C2857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Annual</w:t>
            </w:r>
          </w:p>
          <w:p w:rsidR="00E274B1" w:rsidRPr="00D44D9B" w:rsidRDefault="00E274B1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274B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E274B1" w:rsidRPr="00E30F17" w:rsidTr="00465BDE">
        <w:tc>
          <w:tcPr>
            <w:tcW w:w="2094" w:type="dxa"/>
            <w:shd w:val="clear" w:color="auto" w:fill="auto"/>
          </w:tcPr>
          <w:p w:rsidR="00E274B1" w:rsidRPr="00465BDE" w:rsidRDefault="00B52256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Health, Safety and Environmental Protection Report</w:t>
            </w:r>
          </w:p>
        </w:tc>
        <w:tc>
          <w:tcPr>
            <w:tcW w:w="2556" w:type="dxa"/>
            <w:shd w:val="clear" w:color="auto" w:fill="auto"/>
          </w:tcPr>
          <w:p w:rsidR="00E274B1" w:rsidRPr="00465BDE" w:rsidRDefault="00D44D9B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>P</w:t>
            </w:r>
            <w:r w:rsidR="00B52256" w:rsidRPr="00465BDE">
              <w:rPr>
                <w:rFonts w:ascii="Arial" w:hAnsi="Arial" w:cs="Arial"/>
                <w:sz w:val="22"/>
                <w:szCs w:val="22"/>
              </w:rPr>
              <w:t>eriodic audits of Health, Safety and Environmental Protection Management within its working areas</w:t>
            </w:r>
            <w:r w:rsidRPr="00465B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D94391" w:rsidRPr="00465BDE" w:rsidRDefault="00D94391" w:rsidP="00465BDE">
            <w:pPr>
              <w:rPr>
                <w:rFonts w:ascii="Arial" w:hAnsi="Arial" w:cs="Arial"/>
                <w:sz w:val="22"/>
                <w:szCs w:val="22"/>
              </w:rPr>
            </w:pPr>
            <w:r w:rsidRPr="00465BDE">
              <w:rPr>
                <w:rFonts w:ascii="Arial" w:hAnsi="Arial" w:cs="Arial"/>
                <w:sz w:val="22"/>
                <w:szCs w:val="22"/>
              </w:rPr>
              <w:t xml:space="preserve">Quarterly </w:t>
            </w:r>
          </w:p>
          <w:p w:rsidR="00E274B1" w:rsidRPr="00465BDE" w:rsidRDefault="00E274B1" w:rsidP="00465B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274B1" w:rsidRPr="00D44D9B" w:rsidRDefault="00F55B9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  <w:tr w:rsidR="00020257" w:rsidRPr="00E30F17" w:rsidTr="00465BDE">
        <w:trPr>
          <w:trHeight w:val="523"/>
        </w:trPr>
        <w:tc>
          <w:tcPr>
            <w:tcW w:w="2094" w:type="dxa"/>
            <w:shd w:val="clear" w:color="auto" w:fill="auto"/>
          </w:tcPr>
          <w:p w:rsidR="00020257" w:rsidRPr="00D44D9B" w:rsidRDefault="0002025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Public Store Account</w:t>
            </w:r>
          </w:p>
        </w:tc>
        <w:tc>
          <w:tcPr>
            <w:tcW w:w="2556" w:type="dxa"/>
            <w:shd w:val="clear" w:color="auto" w:fill="auto"/>
          </w:tcPr>
          <w:p w:rsidR="00020257" w:rsidRPr="00D44D9B" w:rsidRDefault="0002025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In accordance with DEFCON 694</w:t>
            </w:r>
          </w:p>
        </w:tc>
        <w:tc>
          <w:tcPr>
            <w:tcW w:w="2091" w:type="dxa"/>
            <w:shd w:val="clear" w:color="auto" w:fill="auto"/>
          </w:tcPr>
          <w:p w:rsidR="00020257" w:rsidRPr="00D44D9B" w:rsidRDefault="00020257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  <w:tc>
          <w:tcPr>
            <w:tcW w:w="1787" w:type="dxa"/>
            <w:shd w:val="clear" w:color="auto" w:fill="auto"/>
          </w:tcPr>
          <w:p w:rsidR="007177AC" w:rsidRPr="00D44D9B" w:rsidRDefault="00D44D9B" w:rsidP="00465B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44D9B">
              <w:rPr>
                <w:rFonts w:ascii="Arial" w:hAnsi="Arial" w:cs="Arial"/>
                <w:sz w:val="22"/>
                <w:szCs w:val="22"/>
              </w:rPr>
              <w:t>Authority</w:t>
            </w:r>
          </w:p>
        </w:tc>
      </w:tr>
    </w:tbl>
    <w:p w:rsidR="00020257" w:rsidRPr="00663BF8" w:rsidRDefault="00020257" w:rsidP="00020257">
      <w:pPr>
        <w:spacing w:after="240"/>
        <w:jc w:val="center"/>
        <w:rPr>
          <w:rFonts w:ascii="Arial" w:hAnsi="Arial" w:cs="Arial"/>
          <w:sz w:val="22"/>
          <w:szCs w:val="22"/>
        </w:rPr>
      </w:pPr>
    </w:p>
    <w:p w:rsidR="00663BF8" w:rsidRPr="005C024A" w:rsidRDefault="00663BF8" w:rsidP="000A6A95">
      <w:pPr>
        <w:spacing w:after="240"/>
        <w:jc w:val="center"/>
        <w:rPr>
          <w:sz w:val="22"/>
          <w:szCs w:val="22"/>
        </w:rPr>
      </w:pPr>
    </w:p>
    <w:sectPr w:rsidR="00663BF8" w:rsidRPr="005C024A" w:rsidSect="00D96A5A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CE" w:rsidRDefault="008855CE">
      <w:r>
        <w:separator/>
      </w:r>
    </w:p>
  </w:endnote>
  <w:endnote w:type="continuationSeparator" w:id="0">
    <w:p w:rsidR="008855CE" w:rsidRDefault="0088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 w:rsidP="005C02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C02" w:rsidRDefault="00055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Pr="000D498A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  <w:r w:rsidRPr="000D498A">
      <w:rPr>
        <w:rFonts w:ascii="Arial" w:hAnsi="Arial" w:cs="Arial"/>
        <w:sz w:val="22"/>
        <w:szCs w:val="22"/>
      </w:rPr>
      <w:t xml:space="preserve">OFFICIAL - COMMERCIAL </w:t>
    </w:r>
  </w:p>
  <w:p w:rsidR="00055C02" w:rsidRDefault="00055C02" w:rsidP="00D96A5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 w:rsidP="007208B6">
    <w:pPr>
      <w:pStyle w:val="Footer"/>
      <w:jc w:val="center"/>
      <w:rPr>
        <w:rStyle w:val="PageNumber"/>
        <w:rFonts w:ascii="Arial" w:hAnsi="Arial" w:cs="Arial"/>
      </w:rPr>
    </w:pPr>
    <w:r w:rsidRPr="00BC203F">
      <w:rPr>
        <w:rStyle w:val="PageNumber"/>
        <w:rFonts w:ascii="Arial" w:hAnsi="Arial" w:cs="Arial"/>
      </w:rPr>
      <w:fldChar w:fldCharType="begin"/>
    </w:r>
    <w:r w:rsidRPr="00BC203F">
      <w:rPr>
        <w:rStyle w:val="PageNumber"/>
        <w:rFonts w:ascii="Arial" w:hAnsi="Arial" w:cs="Arial"/>
      </w:rPr>
      <w:instrText xml:space="preserve"> PAGE </w:instrText>
    </w:r>
    <w:r w:rsidRPr="00BC203F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- 1 -</w:t>
    </w:r>
    <w:r w:rsidRPr="00BC203F">
      <w:rPr>
        <w:rStyle w:val="PageNumber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 w:rsidP="00D96A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C02" w:rsidRDefault="00055C0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 w:rsidP="00D96A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A8D">
      <w:rPr>
        <w:rStyle w:val="PageNumber"/>
        <w:noProof/>
      </w:rPr>
      <w:t>i</w:t>
    </w:r>
    <w:r>
      <w:rPr>
        <w:rStyle w:val="PageNumber"/>
      </w:rPr>
      <w:fldChar w:fldCharType="end"/>
    </w:r>
  </w:p>
  <w:p w:rsidR="00055C02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</w:p>
  <w:p w:rsidR="00055C02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</w:p>
  <w:p w:rsidR="00055C02" w:rsidRDefault="00055C02" w:rsidP="00D96A5A">
    <w:pPr>
      <w:pStyle w:val="Header"/>
      <w:jc w:val="center"/>
    </w:pPr>
    <w:r w:rsidRPr="000D498A">
      <w:rPr>
        <w:rFonts w:ascii="Arial" w:hAnsi="Arial" w:cs="Arial"/>
        <w:sz w:val="22"/>
        <w:szCs w:val="22"/>
      </w:rPr>
      <w:t xml:space="preserve">OFFICIAL - COMMERCIAL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Pr="00332508" w:rsidRDefault="00332508" w:rsidP="00D96A5A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332508">
      <w:rPr>
        <w:rStyle w:val="PageNumber"/>
        <w:rFonts w:ascii="Arial" w:hAnsi="Arial" w:cs="Arial"/>
        <w:sz w:val="22"/>
        <w:szCs w:val="22"/>
      </w:rPr>
      <w:t xml:space="preserve">Schedule 12 - Page </w:t>
    </w:r>
    <w:r w:rsidRPr="00332508">
      <w:rPr>
        <w:rStyle w:val="PageNumber"/>
        <w:rFonts w:ascii="Arial" w:hAnsi="Arial" w:cs="Arial"/>
        <w:bCs/>
        <w:sz w:val="22"/>
        <w:szCs w:val="22"/>
      </w:rPr>
      <w:fldChar w:fldCharType="begin"/>
    </w:r>
    <w:r w:rsidRPr="00332508">
      <w:rPr>
        <w:rStyle w:val="PageNumber"/>
        <w:rFonts w:ascii="Arial" w:hAnsi="Arial" w:cs="Arial"/>
        <w:bCs/>
        <w:sz w:val="22"/>
        <w:szCs w:val="22"/>
      </w:rPr>
      <w:instrText xml:space="preserve"> PAGE  \* Arabic  \* MERGEFORMAT </w:instrText>
    </w:r>
    <w:r w:rsidRPr="00332508">
      <w:rPr>
        <w:rStyle w:val="PageNumber"/>
        <w:rFonts w:ascii="Arial" w:hAnsi="Arial" w:cs="Arial"/>
        <w:bCs/>
        <w:sz w:val="22"/>
        <w:szCs w:val="22"/>
      </w:rPr>
      <w:fldChar w:fldCharType="separate"/>
    </w:r>
    <w:r w:rsidR="00ED3A8D">
      <w:rPr>
        <w:rStyle w:val="PageNumber"/>
        <w:rFonts w:ascii="Arial" w:hAnsi="Arial" w:cs="Arial"/>
        <w:bCs/>
        <w:noProof/>
        <w:sz w:val="22"/>
        <w:szCs w:val="22"/>
      </w:rPr>
      <w:t>4</w:t>
    </w:r>
    <w:r w:rsidRPr="00332508">
      <w:rPr>
        <w:rStyle w:val="PageNumber"/>
        <w:rFonts w:ascii="Arial" w:hAnsi="Arial" w:cs="Arial"/>
        <w:bCs/>
        <w:sz w:val="22"/>
        <w:szCs w:val="22"/>
      </w:rPr>
      <w:fldChar w:fldCharType="end"/>
    </w:r>
    <w:r w:rsidRPr="00332508">
      <w:rPr>
        <w:rStyle w:val="PageNumber"/>
        <w:rFonts w:ascii="Arial" w:hAnsi="Arial" w:cs="Arial"/>
        <w:sz w:val="22"/>
        <w:szCs w:val="22"/>
      </w:rPr>
      <w:t xml:space="preserve"> of </w:t>
    </w:r>
    <w:r>
      <w:rPr>
        <w:rStyle w:val="PageNumber"/>
        <w:rFonts w:ascii="Arial" w:hAnsi="Arial" w:cs="Arial"/>
        <w:bCs/>
        <w:sz w:val="22"/>
        <w:szCs w:val="22"/>
      </w:rPr>
      <w:t>4</w:t>
    </w:r>
  </w:p>
  <w:p w:rsidR="00055C02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</w:p>
  <w:p w:rsidR="00055C02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</w:p>
  <w:p w:rsidR="00055C02" w:rsidRDefault="00055C02" w:rsidP="00D96A5A">
    <w:pPr>
      <w:pStyle w:val="Header"/>
      <w:jc w:val="center"/>
    </w:pPr>
    <w:r w:rsidRPr="000D498A">
      <w:rPr>
        <w:rFonts w:ascii="Arial" w:hAnsi="Arial" w:cs="Arial"/>
        <w:sz w:val="22"/>
        <w:szCs w:val="22"/>
      </w:rPr>
      <w:t xml:space="preserve">OFFICIAL - COMMERCIAL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CE" w:rsidRDefault="008855CE">
      <w:r>
        <w:separator/>
      </w:r>
    </w:p>
  </w:footnote>
  <w:footnote w:type="continuationSeparator" w:id="0">
    <w:p w:rsidR="008855CE" w:rsidRDefault="0088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8C" w:rsidRDefault="00672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Pr="00D96A5A" w:rsidRDefault="00055C02" w:rsidP="005C024A">
    <w:pPr>
      <w:pStyle w:val="Header"/>
      <w:jc w:val="center"/>
      <w:rPr>
        <w:rFonts w:ascii="Arial" w:hAnsi="Arial" w:cs="Arial"/>
        <w:sz w:val="22"/>
        <w:szCs w:val="22"/>
      </w:rPr>
    </w:pPr>
    <w:r w:rsidRPr="00D96A5A">
      <w:rPr>
        <w:rFonts w:ascii="Arial" w:hAnsi="Arial" w:cs="Arial"/>
        <w:sz w:val="22"/>
        <w:szCs w:val="22"/>
      </w:rPr>
      <w:t>OFFICIAL - COMMERCIAL</w:t>
    </w:r>
  </w:p>
  <w:p w:rsidR="00055C02" w:rsidRDefault="00055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 w:rsidP="005C024A">
    <w:pPr>
      <w:pStyle w:val="Header"/>
      <w:jc w:val="center"/>
      <w:rPr>
        <w:rFonts w:ascii="Arial" w:hAnsi="Arial" w:cs="Arial"/>
      </w:rPr>
    </w:pPr>
    <w:r w:rsidRPr="00A8138D">
      <w:rPr>
        <w:rFonts w:ascii="Arial" w:hAnsi="Arial" w:cs="Arial"/>
      </w:rPr>
      <w:t xml:space="preserve">OFFICIAL </w:t>
    </w:r>
    <w:r>
      <w:rPr>
        <w:rFonts w:ascii="Arial" w:hAnsi="Arial" w:cs="Arial"/>
      </w:rPr>
      <w:t>-</w:t>
    </w:r>
    <w:r w:rsidRPr="00A8138D">
      <w:rPr>
        <w:rFonts w:ascii="Arial" w:hAnsi="Arial" w:cs="Arial"/>
      </w:rPr>
      <w:t xml:space="preserve"> SENSITIVE</w:t>
    </w:r>
    <w:r>
      <w:rPr>
        <w:rFonts w:ascii="Arial" w:hAnsi="Arial" w:cs="Arial"/>
      </w:rPr>
      <w:t xml:space="preserve"> – COMMERCIAL</w:t>
    </w:r>
  </w:p>
  <w:p w:rsidR="00055C02" w:rsidRPr="000156E5" w:rsidRDefault="00055C02" w:rsidP="005C024A">
    <w:pPr>
      <w:pStyle w:val="Header"/>
      <w:jc w:val="center"/>
      <w:rPr>
        <w:rStyle w:val="PageNumber"/>
        <w:rFonts w:ascii="Arial" w:hAnsi="Arial" w:cs="Arial"/>
        <w:sz w:val="20"/>
        <w:szCs w:val="20"/>
      </w:rPr>
    </w:pPr>
    <w:r w:rsidRPr="000156E5">
      <w:rPr>
        <w:rFonts w:ascii="Arial" w:hAnsi="Arial" w:cs="Arial"/>
        <w:sz w:val="20"/>
        <w:szCs w:val="20"/>
      </w:rPr>
      <w:t>(When Complete)</w:t>
    </w:r>
  </w:p>
  <w:p w:rsidR="00055C02" w:rsidRDefault="00055C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Pr="00D96A5A" w:rsidRDefault="00055C02" w:rsidP="00D96A5A">
    <w:pPr>
      <w:pStyle w:val="Header"/>
      <w:jc w:val="center"/>
      <w:rPr>
        <w:rFonts w:ascii="Arial" w:hAnsi="Arial" w:cs="Arial"/>
        <w:sz w:val="22"/>
        <w:szCs w:val="22"/>
      </w:rPr>
    </w:pPr>
    <w:r w:rsidRPr="00D96A5A">
      <w:rPr>
        <w:rFonts w:ascii="Arial" w:hAnsi="Arial" w:cs="Arial"/>
        <w:sz w:val="22"/>
        <w:szCs w:val="22"/>
      </w:rPr>
      <w:t>OFFICIAL – COMMERCIAL</w:t>
    </w:r>
  </w:p>
  <w:p w:rsidR="00055C02" w:rsidRPr="005C024A" w:rsidRDefault="00055C02" w:rsidP="00D96A5A">
    <w:pPr>
      <w:pStyle w:val="Header"/>
      <w:jc w:val="center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02" w:rsidRDefault="00055C0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8C" w:rsidRDefault="0067218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8C" w:rsidRDefault="0067218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8C" w:rsidRDefault="0067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3DB6"/>
    <w:multiLevelType w:val="multilevel"/>
    <w:tmpl w:val="412A3C7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E1D1D3B"/>
    <w:multiLevelType w:val="hybridMultilevel"/>
    <w:tmpl w:val="2DB61B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3CFC"/>
    <w:multiLevelType w:val="hybridMultilevel"/>
    <w:tmpl w:val="C610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0D2"/>
    <w:rsid w:val="00002D68"/>
    <w:rsid w:val="0001383B"/>
    <w:rsid w:val="00020257"/>
    <w:rsid w:val="00020FF4"/>
    <w:rsid w:val="00055C02"/>
    <w:rsid w:val="000868EF"/>
    <w:rsid w:val="00090296"/>
    <w:rsid w:val="000A186D"/>
    <w:rsid w:val="000A6A95"/>
    <w:rsid w:val="000C0A37"/>
    <w:rsid w:val="000D2116"/>
    <w:rsid w:val="000E72E1"/>
    <w:rsid w:val="00100B57"/>
    <w:rsid w:val="001179C8"/>
    <w:rsid w:val="00133D34"/>
    <w:rsid w:val="00176062"/>
    <w:rsid w:val="001A678B"/>
    <w:rsid w:val="001B13F4"/>
    <w:rsid w:val="001E6875"/>
    <w:rsid w:val="001F360C"/>
    <w:rsid w:val="0020437C"/>
    <w:rsid w:val="002179DC"/>
    <w:rsid w:val="00235AAF"/>
    <w:rsid w:val="0025573B"/>
    <w:rsid w:val="00263F58"/>
    <w:rsid w:val="00291AD3"/>
    <w:rsid w:val="002A4645"/>
    <w:rsid w:val="002D0EFD"/>
    <w:rsid w:val="003120A5"/>
    <w:rsid w:val="00321B9B"/>
    <w:rsid w:val="0032402D"/>
    <w:rsid w:val="00332508"/>
    <w:rsid w:val="003502B0"/>
    <w:rsid w:val="003621DD"/>
    <w:rsid w:val="00370F10"/>
    <w:rsid w:val="003B26D8"/>
    <w:rsid w:val="003B482D"/>
    <w:rsid w:val="003D08AA"/>
    <w:rsid w:val="003F7DA0"/>
    <w:rsid w:val="004056E2"/>
    <w:rsid w:val="0042708A"/>
    <w:rsid w:val="004549CD"/>
    <w:rsid w:val="004641B3"/>
    <w:rsid w:val="00465BDE"/>
    <w:rsid w:val="00483F88"/>
    <w:rsid w:val="004B64A9"/>
    <w:rsid w:val="004D3C46"/>
    <w:rsid w:val="004E52A9"/>
    <w:rsid w:val="005462FB"/>
    <w:rsid w:val="005C024A"/>
    <w:rsid w:val="006117A3"/>
    <w:rsid w:val="00624DD9"/>
    <w:rsid w:val="00627BCD"/>
    <w:rsid w:val="00640722"/>
    <w:rsid w:val="00656B0E"/>
    <w:rsid w:val="00661255"/>
    <w:rsid w:val="00663BF8"/>
    <w:rsid w:val="0067142C"/>
    <w:rsid w:val="0067218C"/>
    <w:rsid w:val="00674C50"/>
    <w:rsid w:val="006D2FAC"/>
    <w:rsid w:val="00711DAC"/>
    <w:rsid w:val="007177AC"/>
    <w:rsid w:val="007208B6"/>
    <w:rsid w:val="007357D1"/>
    <w:rsid w:val="00735F5B"/>
    <w:rsid w:val="00746E67"/>
    <w:rsid w:val="007623C2"/>
    <w:rsid w:val="007660D2"/>
    <w:rsid w:val="007878F8"/>
    <w:rsid w:val="007942BE"/>
    <w:rsid w:val="00796E97"/>
    <w:rsid w:val="007B6C24"/>
    <w:rsid w:val="00833DF4"/>
    <w:rsid w:val="0083604A"/>
    <w:rsid w:val="008855CE"/>
    <w:rsid w:val="008E35BB"/>
    <w:rsid w:val="00906518"/>
    <w:rsid w:val="00917DB5"/>
    <w:rsid w:val="00936936"/>
    <w:rsid w:val="00952458"/>
    <w:rsid w:val="00964321"/>
    <w:rsid w:val="009A3D73"/>
    <w:rsid w:val="009C2857"/>
    <w:rsid w:val="00A375FD"/>
    <w:rsid w:val="00A864F9"/>
    <w:rsid w:val="00AA04AA"/>
    <w:rsid w:val="00AB31BA"/>
    <w:rsid w:val="00AE1047"/>
    <w:rsid w:val="00AF0E24"/>
    <w:rsid w:val="00AF4361"/>
    <w:rsid w:val="00B20D48"/>
    <w:rsid w:val="00B241E1"/>
    <w:rsid w:val="00B30679"/>
    <w:rsid w:val="00B52256"/>
    <w:rsid w:val="00B66835"/>
    <w:rsid w:val="00B807BD"/>
    <w:rsid w:val="00BB78D7"/>
    <w:rsid w:val="00C118A4"/>
    <w:rsid w:val="00C27688"/>
    <w:rsid w:val="00C4429A"/>
    <w:rsid w:val="00C715CD"/>
    <w:rsid w:val="00C83E84"/>
    <w:rsid w:val="00CA2EAF"/>
    <w:rsid w:val="00D018F4"/>
    <w:rsid w:val="00D07C4D"/>
    <w:rsid w:val="00D14CB0"/>
    <w:rsid w:val="00D15EEF"/>
    <w:rsid w:val="00D41956"/>
    <w:rsid w:val="00D44D9B"/>
    <w:rsid w:val="00D6728F"/>
    <w:rsid w:val="00D74D97"/>
    <w:rsid w:val="00D94391"/>
    <w:rsid w:val="00D96A5A"/>
    <w:rsid w:val="00DA211E"/>
    <w:rsid w:val="00DF33B7"/>
    <w:rsid w:val="00E274B1"/>
    <w:rsid w:val="00E30F17"/>
    <w:rsid w:val="00E438F2"/>
    <w:rsid w:val="00E50902"/>
    <w:rsid w:val="00EC06E7"/>
    <w:rsid w:val="00EC21E5"/>
    <w:rsid w:val="00ED0761"/>
    <w:rsid w:val="00ED3A8D"/>
    <w:rsid w:val="00EF070A"/>
    <w:rsid w:val="00F46296"/>
    <w:rsid w:val="00F55B97"/>
    <w:rsid w:val="00F83EC3"/>
    <w:rsid w:val="00FD093E"/>
    <w:rsid w:val="00FD6300"/>
    <w:rsid w:val="00FE567D"/>
    <w:rsid w:val="00FE7922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63B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BF8"/>
  </w:style>
  <w:style w:type="paragraph" w:styleId="Header">
    <w:name w:val="header"/>
    <w:basedOn w:val="Normal"/>
    <w:rsid w:val="00663BF8"/>
    <w:pPr>
      <w:tabs>
        <w:tab w:val="center" w:pos="4153"/>
        <w:tab w:val="right" w:pos="8306"/>
      </w:tabs>
    </w:pPr>
  </w:style>
  <w:style w:type="paragraph" w:customStyle="1" w:styleId="11Sectionheader">
    <w:name w:val="1.1 Section header"/>
    <w:next w:val="Normal"/>
    <w:rsid w:val="007208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semiHidden/>
    <w:rsid w:val="00EC21E5"/>
    <w:rPr>
      <w:sz w:val="16"/>
      <w:szCs w:val="16"/>
    </w:rPr>
  </w:style>
  <w:style w:type="paragraph" w:styleId="CommentText">
    <w:name w:val="annotation text"/>
    <w:basedOn w:val="Normal"/>
    <w:semiHidden/>
    <w:rsid w:val="00EC21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1E5"/>
    <w:rPr>
      <w:b/>
      <w:bCs/>
    </w:rPr>
  </w:style>
  <w:style w:type="paragraph" w:styleId="BalloonText">
    <w:name w:val="Balloon Text"/>
    <w:basedOn w:val="Normal"/>
    <w:semiHidden/>
    <w:rsid w:val="00EC21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728F"/>
    <w:rPr>
      <w:sz w:val="24"/>
      <w:szCs w:val="24"/>
    </w:rPr>
  </w:style>
  <w:style w:type="paragraph" w:styleId="FootnoteText">
    <w:name w:val="footnote text"/>
    <w:basedOn w:val="Normal"/>
    <w:link w:val="FootnoteTextChar"/>
    <w:rsid w:val="00AF0E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0E24"/>
  </w:style>
  <w:style w:type="character" w:styleId="FootnoteReference">
    <w:name w:val="footnote reference"/>
    <w:rsid w:val="00AF0E24"/>
    <w:rPr>
      <w:vertAlign w:val="superscript"/>
    </w:rPr>
  </w:style>
  <w:style w:type="paragraph" w:customStyle="1" w:styleId="TableText-Left">
    <w:name w:val="Table Text - Left"/>
    <w:basedOn w:val="Normal"/>
    <w:link w:val="TableText-LeftChar"/>
    <w:qFormat/>
    <w:rsid w:val="00C83E84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C83E84"/>
    <w:rPr>
      <w:rFonts w:ascii="Arial" w:hAnsi="Arial"/>
      <w:sz w:val="22"/>
      <w:szCs w:val="24"/>
      <w:lang w:eastAsia="en-US"/>
    </w:rPr>
  </w:style>
  <w:style w:type="paragraph" w:customStyle="1" w:styleId="DocumentSubtitle">
    <w:name w:val="Document Subtitle"/>
    <w:basedOn w:val="Normal"/>
    <w:rsid w:val="00C83E84"/>
    <w:pPr>
      <w:spacing w:before="120" w:after="240"/>
      <w:jc w:val="center"/>
    </w:pPr>
    <w:rPr>
      <w:rFonts w:ascii="Arial Bold" w:hAnsi="Arial Bold"/>
      <w:b/>
      <w:color w:val="3CB6CE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D015D-E1B3-42E1-889C-37CEF345345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A30C0D-C7CA-4E9C-A659-C013F11A8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A1C02-1913-4AA7-B70C-E4D53301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932BE-74D8-43CC-B5DC-3F14726EFB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A4D06B-B064-4CB9-9042-270104F1F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20170919_Capita_ISFT_Schedule_12_OSC</vt:lpstr>
    </vt:vector>
  </TitlesOfParts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20170919_Capita_ISFT_Schedule_12_OSC</dc:title>
  <dc:subject/>
  <dc:creator/>
  <cp:keywords/>
  <cp:lastModifiedBy/>
  <cp:revision>1</cp:revision>
  <dcterms:created xsi:type="dcterms:W3CDTF">2019-08-06T13:09:00Z</dcterms:created>
  <dcterms:modified xsi:type="dcterms:W3CDTF">2019-08-06T13:10:00Z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Subject CategoryOOB">
    <vt:lpwstr>CONTRACT TERMS AND CONDITIONS</vt:lpwstr>
  </property>
  <property fmtid="{D5CDD505-2E9C-101B-9397-08002B2CF9AE}" pid="11" name="Subject KeywordsOOB">
    <vt:lpwstr>Army Headquarters</vt:lpwstr>
  </property>
  <property fmtid="{D5CDD505-2E9C-101B-9397-08002B2CF9AE}" pid="12" name="Local KeywordsOOB">
    <vt:lpwstr>Andover</vt:lpwstr>
  </property>
  <property fmtid="{D5CDD505-2E9C-101B-9397-08002B2CF9AE}" pid="13" name="DocumentVersion">
    <vt:lpwstr>0.2</vt:lpwstr>
  </property>
  <property fmtid="{D5CDD505-2E9C-101B-9397-08002B2CF9AE}" pid="14" name="CreatedOriginated">
    <vt:lpwstr>2014-07-28T00:00:00Z</vt:lpwstr>
  </property>
  <property fmtid="{D5CDD505-2E9C-101B-9397-08002B2CF9AE}" pid="15" name="SecurityDescriptors">
    <vt:lpwstr>COMMERCIAL</vt:lpwstr>
  </property>
  <property fmtid="{D5CDD505-2E9C-101B-9397-08002B2CF9AE}" pid="16" name="Status">
    <vt:lpwstr>Final</vt:lpwstr>
  </property>
  <property fmtid="{D5CDD505-2E9C-101B-9397-08002B2CF9AE}" pid="17" name="AuthorOriginator">
    <vt:lpwstr>Greenwood, Juliet C1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Army Headquarters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>Not Assessed</vt:lpwstr>
  </property>
  <property fmtid="{D5CDD505-2E9C-101B-9397-08002B2CF9AE}" pid="24" name="Declared">
    <vt:lpwstr>0</vt:lpwstr>
  </property>
  <property fmtid="{D5CDD505-2E9C-101B-9397-08002B2CF9AE}" pid="25" name="Order">
    <vt:lpwstr>900.000000000000</vt:lpwstr>
  </property>
  <property fmtid="{D5CDD505-2E9C-101B-9397-08002B2CF9AE}" pid="26" name="TemplateUrl">
    <vt:lpwstr/>
  </property>
  <property fmtid="{D5CDD505-2E9C-101B-9397-08002B2CF9AE}" pid="27" name="fileplanID">
    <vt:lpwstr/>
  </property>
  <property fmtid="{D5CDD505-2E9C-101B-9397-08002B2CF9AE}" pid="28" name="DocId">
    <vt:lpwstr/>
  </property>
  <property fmtid="{D5CDD505-2E9C-101B-9397-08002B2CF9AE}" pid="29" name="LocalKeywords">
    <vt:lpwstr/>
  </property>
  <property fmtid="{D5CDD505-2E9C-101B-9397-08002B2CF9AE}" pid="30" name="MeridioUrl">
    <vt:lpwstr/>
  </property>
  <property fmtid="{D5CDD505-2E9C-101B-9397-08002B2CF9AE}" pid="31" name="MeridioEDCData">
    <vt:lpwstr/>
  </property>
  <property fmtid="{D5CDD505-2E9C-101B-9397-08002B2CF9AE}" pid="32" name="MODScanStandard">
    <vt:lpwstr/>
  </property>
  <property fmtid="{D5CDD505-2E9C-101B-9397-08002B2CF9AE}" pid="33" name="MODScanVerified">
    <vt:lpwstr>Pending</vt:lpwstr>
  </property>
  <property fmtid="{D5CDD505-2E9C-101B-9397-08002B2CF9AE}" pid="34" name="RetentionCategory">
    <vt:lpwstr>None</vt:lpwstr>
  </property>
  <property fmtid="{D5CDD505-2E9C-101B-9397-08002B2CF9AE}" pid="35" name="SubjectCategory">
    <vt:lpwstr/>
  </property>
  <property fmtid="{D5CDD505-2E9C-101B-9397-08002B2CF9AE}" pid="36" name="Cc">
    <vt:lpwstr/>
  </property>
  <property fmtid="{D5CDD505-2E9C-101B-9397-08002B2CF9AE}" pid="37" name="To">
    <vt:lpwstr/>
  </property>
  <property fmtid="{D5CDD505-2E9C-101B-9397-08002B2CF9AE}" pid="38" name="MODNumberOfPagesScanned">
    <vt:lpwstr/>
  </property>
  <property fmtid="{D5CDD505-2E9C-101B-9397-08002B2CF9AE}" pid="39" name="BusinessOwner">
    <vt:lpwstr/>
  </property>
  <property fmtid="{D5CDD505-2E9C-101B-9397-08002B2CF9AE}" pid="40" name="ScannerOperator">
    <vt:lpwstr/>
  </property>
  <property fmtid="{D5CDD505-2E9C-101B-9397-08002B2CF9AE}" pid="41" name="MeridioEDCStatus">
    <vt:lpwstr/>
  </property>
  <property fmtid="{D5CDD505-2E9C-101B-9397-08002B2CF9AE}" pid="42" name="From">
    <vt:lpwstr/>
  </property>
  <property fmtid="{D5CDD505-2E9C-101B-9397-08002B2CF9AE}" pid="43" name="MODSubject">
    <vt:lpwstr/>
  </property>
  <property fmtid="{D5CDD505-2E9C-101B-9397-08002B2CF9AE}" pid="44" name="SubjectKeywords">
    <vt:lpwstr/>
  </property>
  <property fmtid="{D5CDD505-2E9C-101B-9397-08002B2CF9AE}" pid="45" name="fileplanIDPTH">
    <vt:lpwstr>04_Deliver</vt:lpwstr>
  </property>
  <property fmtid="{D5CDD505-2E9C-101B-9397-08002B2CF9AE}" pid="46" name="xd_ProgID">
    <vt:lpwstr/>
  </property>
  <property fmtid="{D5CDD505-2E9C-101B-9397-08002B2CF9AE}" pid="47" name="MODImageCleaning">
    <vt:lpwstr/>
  </property>
  <property fmtid="{D5CDD505-2E9C-101B-9397-08002B2CF9AE}" pid="48" name="_CopySource">
    <vt:lpwstr>http://cui1-uk.diif.r.mil.uk/r/64/DFRP/7.procurement/7.10 Contract/7102 Schedules/20140701-Draft_DFRP_Sch_Reporting.doc</vt:lpwstr>
  </property>
  <property fmtid="{D5CDD505-2E9C-101B-9397-08002B2CF9AE}" pid="49" name="Filter">
    <vt:lpwstr>7.5.4.6 Final Tender Documents</vt:lpwstr>
  </property>
  <property fmtid="{D5CDD505-2E9C-101B-9397-08002B2CF9AE}" pid="50" name="Sent">
    <vt:lpwstr/>
  </property>
  <property fmtid="{D5CDD505-2E9C-101B-9397-08002B2CF9AE}" pid="51" name="DateScanned">
    <vt:lpwstr/>
  </property>
  <property fmtid="{D5CDD505-2E9C-101B-9397-08002B2CF9AE}" pid="52" name="URL">
    <vt:lpwstr>, </vt:lpwstr>
  </property>
  <property fmtid="{D5CDD505-2E9C-101B-9397-08002B2CF9AE}" pid="53" name="Bidder">
    <vt:lpwstr>Capita</vt:lpwstr>
  </property>
  <property fmtid="{D5CDD505-2E9C-101B-9397-08002B2CF9AE}" pid="54" name="FOIPublicationDate">
    <vt:lpwstr/>
  </property>
  <property fmtid="{D5CDD505-2E9C-101B-9397-08002B2CF9AE}" pid="55" name="TaxKeywordTaxHTField">
    <vt:lpwstr/>
  </property>
  <property fmtid="{D5CDD505-2E9C-101B-9397-08002B2CF9AE}" pid="56" name="TaxKeyword">
    <vt:lpwstr/>
  </property>
  <property fmtid="{D5CDD505-2E9C-101B-9397-08002B2CF9AE}" pid="57" name="Business Owner">
    <vt:lpwstr>19;#FdArmy|f287a2d2-3cc3-4de3-babf-5509aae7e4aa</vt:lpwstr>
  </property>
  <property fmtid="{D5CDD505-2E9C-101B-9397-08002B2CF9AE}" pid="58" name="TaxCatchAll">
    <vt:lpwstr>19;#FdArmy|f287a2d2-3cc3-4de3-babf-5509aae7e4aa</vt:lpwstr>
  </property>
  <property fmtid="{D5CDD505-2E9C-101B-9397-08002B2CF9AE}" pid="59" name="d67af1ddf1dc47979d20c0eae491b81b">
    <vt:lpwstr/>
  </property>
  <property fmtid="{D5CDD505-2E9C-101B-9397-08002B2CF9AE}" pid="60" name="_Status">
    <vt:lpwstr>Not Started</vt:lpwstr>
  </property>
  <property fmtid="{D5CDD505-2E9C-101B-9397-08002B2CF9AE}" pid="61" name="n1f450bd0d644ca798bdc94626fdef4f">
    <vt:lpwstr/>
  </property>
  <property fmtid="{D5CDD505-2E9C-101B-9397-08002B2CF9AE}" pid="62" name="m79e07ce3690491db9121a08429fad40">
    <vt:lpwstr>FdArmy|f287a2d2-3cc3-4de3-babf-5509aae7e4aa</vt:lpwstr>
  </property>
  <property fmtid="{D5CDD505-2E9C-101B-9397-08002B2CF9AE}" pid="63" name="CategoryDescription">
    <vt:lpwstr/>
  </property>
  <property fmtid="{D5CDD505-2E9C-101B-9397-08002B2CF9AE}" pid="64" name="i71a74d1f9984201b479cc08077b6323">
    <vt:lpwstr/>
  </property>
  <property fmtid="{D5CDD505-2E9C-101B-9397-08002B2CF9AE}" pid="65" name="wic_System_Copyright">
    <vt:lpwstr/>
  </property>
  <property fmtid="{D5CDD505-2E9C-101B-9397-08002B2CF9AE}" pid="66" name="Subject Category">
    <vt:lpwstr/>
  </property>
  <property fmtid="{D5CDD505-2E9C-101B-9397-08002B2CF9AE}" pid="67" name="Subject Keywords">
    <vt:lpwstr/>
  </property>
  <property fmtid="{D5CDD505-2E9C-101B-9397-08002B2CF9AE}" pid="68" name="xd_Signature">
    <vt:lpwstr/>
  </property>
  <property fmtid="{D5CDD505-2E9C-101B-9397-08002B2CF9AE}" pid="69" name="display_urn:schemas-microsoft-com:office:office#Editor">
    <vt:lpwstr>Ellison, Philip C2 (Army Comrcl-RPP SO2)</vt:lpwstr>
  </property>
  <property fmtid="{D5CDD505-2E9C-101B-9397-08002B2CF9AE}" pid="70" name="display_urn:schemas-microsoft-com:office:office#Author">
    <vt:lpwstr>Ellison, Philip C2 (Army Comrcl-RPP SO2)</vt:lpwstr>
  </property>
  <property fmtid="{D5CDD505-2E9C-101B-9397-08002B2CF9AE}" pid="71" name="ComplianceAssetId">
    <vt:lpwstr/>
  </property>
  <property fmtid="{D5CDD505-2E9C-101B-9397-08002B2CF9AE}" pid="72" name="ContentTypeId">
    <vt:lpwstr>0x010100FB2E84D5125AA0419CAF1C6048359737</vt:lpwstr>
  </property>
</Properties>
</file>