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0485422"/>
        <w:docPartObj>
          <w:docPartGallery w:val="Cover Pages"/>
          <w:docPartUnique/>
        </w:docPartObj>
      </w:sdtPr>
      <w:sdtContent>
        <w:p w14:paraId="5B02F4B8" w14:textId="415167E2" w:rsidR="00AC7D4B" w:rsidRDefault="00AC7D4B"/>
        <w:p w14:paraId="79C577D3" w14:textId="6C37228B" w:rsidR="00E739D5" w:rsidRDefault="00DE0CA6">
          <w:pPr>
            <w:spacing w:after="160" w:line="259" w:lineRule="auto"/>
          </w:pPr>
          <w:r>
            <w:rPr>
              <w:noProof/>
              <w:lang w:eastAsia="en-GB"/>
            </w:rPr>
            <mc:AlternateContent>
              <mc:Choice Requires="wps">
                <w:drawing>
                  <wp:anchor distT="0" distB="0" distL="114300" distR="114300" simplePos="0" relativeHeight="251661312" behindDoc="0" locked="0" layoutInCell="1" allowOverlap="1" wp14:anchorId="04A64E6C" wp14:editId="527C74B2">
                    <wp:simplePos x="0" y="0"/>
                    <wp:positionH relativeFrom="page">
                      <wp:posOffset>225188</wp:posOffset>
                    </wp:positionH>
                    <wp:positionV relativeFrom="page">
                      <wp:posOffset>6632813</wp:posOffset>
                    </wp:positionV>
                    <wp:extent cx="7315200" cy="586854"/>
                    <wp:effectExtent l="0" t="0" r="0" b="381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5868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B7B55" w14:textId="61068129" w:rsidR="009537A1" w:rsidRDefault="009537A1">
                                <w:pPr>
                                  <w:pStyle w:val="NoSpacing"/>
                                  <w:jc w:val="right"/>
                                  <w:rPr>
                                    <w:color w:val="4472C4" w:themeColor="accent1"/>
                                    <w:sz w:val="28"/>
                                    <w:szCs w:val="28"/>
                                  </w:rPr>
                                </w:pPr>
                                <w:r>
                                  <w:rPr>
                                    <w:color w:val="4472C4" w:themeColor="accent1"/>
                                    <w:sz w:val="28"/>
                                    <w:szCs w:val="28"/>
                                  </w:rPr>
                                  <w:t xml:space="preserve">Version Final </w:t>
                                </w:r>
                              </w:p>
                              <w:p w14:paraId="47674472" w14:textId="737B3857" w:rsidR="009537A1" w:rsidRDefault="009537A1">
                                <w:pPr>
                                  <w:pStyle w:val="NoSpacing"/>
                                  <w:jc w:val="right"/>
                                  <w:rPr>
                                    <w:color w:val="595959" w:themeColor="text1" w:themeTint="A6"/>
                                  </w:rPr>
                                </w:pPr>
                                <w:r>
                                  <w:rPr>
                                    <w:color w:val="595959" w:themeColor="text1" w:themeTint="A6"/>
                                  </w:rPr>
                                  <w:t xml:space="preserve">Feb 19 </w:t>
                                </w:r>
                                <w:r>
                                  <w:rPr>
                                    <w:color w:val="595959" w:themeColor="text1" w:themeTint="A6"/>
                                  </w:rPr>
                                  <w:br/>
                                </w:r>
                                <w:r>
                                  <w:rPr>
                                    <w:color w:val="595959" w:themeColor="text1" w:themeTint="A6"/>
                                  </w:rPr>
                                  <w:br/>
                                </w:r>
                                <w:r>
                                  <w:rPr>
                                    <w:color w:val="595959" w:themeColor="text1" w:themeTint="A6"/>
                                  </w:rPr>
                                  <w:br/>
                                </w:r>
                                <w:r>
                                  <w:rPr>
                                    <w:color w:val="595959" w:themeColor="text1" w:themeTint="A6"/>
                                  </w:rPr>
                                  <w:br/>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4A64E6C" id="_x0000_t202" coordsize="21600,21600" o:spt="202" path="m,l,21600r21600,l21600,xe">
                    <v:stroke joinstyle="miter"/>
                    <v:path gradientshapeok="t" o:connecttype="rect"/>
                  </v:shapetype>
                  <v:shape id="Text Box 153" o:spid="_x0000_s1026" type="#_x0000_t202" style="position:absolute;margin-left:17.75pt;margin-top:522.25pt;width:8in;height:46.2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k5fwIAAGEFAAAOAAAAZHJzL2Uyb0RvYy54bWysVE1v2zAMvQ/YfxB0X+20SxYEdYqsRYcB&#10;RVssHXpWZKkxJomaxMTOfv0o2U6LbpcOu8g0+Ujx41HnF501bK9CbMBVfHJScqachLpxTxX//nD9&#10;Yc5ZROFqYcCpih9U5BfL9+/OW79Qp7AFU6vAKIiLi9ZXfIvoF0UR5VZZEU/AK0dGDcEKpN/wVNRB&#10;tBTdmuK0LGdFC6H2AaSKkbRXvZEvc3ytlcQ7raNCZipOuWE+Qz436SyW52LxFITfNnJIQ/xDFlY0&#10;ji49hroSKNguNH+Eso0MEEHjiQRbgNaNVLkGqmZSvqpmvRVe5VqoOdEf2xT/X1h5u78PrKlpdtMz&#10;zpywNKQH1SH7DB1LOupQ6+OCgGtPUOzIQOhRH0mZCu90sOlLJTGyU68Px/6mcJKUn84mUxoaZ5Js&#10;0/lsPv2YwhTP3j5E/KLAsiRUPND8clvF/iZiDx0h6TIH140xeYbGsbbis7NpmR2OFgpuXMKqzIYh&#10;TKqozzxLeDAqYYz7pjR1IxeQFJmH6tIEthfEICGlcphrz3EJnVCakniL44B/zuotzn0d483g8Ohs&#10;GwchV/8q7frHmLLu8dTzF3UnEbtNN0x6A/WBBh2gX5bo5XVD07gREe9FoO2gAdLG4x0d2gB1HQaJ&#10;sy2EX3/TJzyRlqyctbRtFY8/dyIozsxXR3SezMoyMwPzL90QskAUmSfCbEa129lLoElM6FnxMosJ&#10;jGYUdQD7SG/CKl1IJuEkXVtxHMVL7Nef3hSpVqsMol30Am/c2ssUOg0m0eyhexTBD1xEYvEtjCsp&#10;Fq8o2WOTp4PVDkE3ma+pt31Dh57THmfGD29Oeihe/mfU88u4/A0AAP//AwBQSwMEFAAGAAgAAAAh&#10;AAYa0O3hAAAADQEAAA8AAABkcnMvZG93bnJldi54bWxMj81OwzAQhO9IvIO1SNyoXdqkJcSpEFCk&#10;HkCiReLqxiaJ8E9kb9Pw9mxOcJvdGc1+W25GZ9lgYuqClzCfCWDG10F3vpHwcdjerIElVF4rG7yR&#10;8GMSbKrLi1IVOpz9uxn22DAq8alQElrEvuA81a1xKs1Cbzx5XyE6hTTGhuuozlTuLL8VIudOdZ4u&#10;tKo3j62pv/cnJyFHjK+jWO3e+uxz2O7w8GxfnqS8vhof7oGhGfEvDBM+oUNFTMdw8joxK2GRZZSk&#10;vVguSU2J+XpF6jipRX4HvCr5/y+qXwAAAP//AwBQSwECLQAUAAYACAAAACEAtoM4kv4AAADhAQAA&#10;EwAAAAAAAAAAAAAAAAAAAAAAW0NvbnRlbnRfVHlwZXNdLnhtbFBLAQItABQABgAIAAAAIQA4/SH/&#10;1gAAAJQBAAALAAAAAAAAAAAAAAAAAC8BAABfcmVscy8ucmVsc1BLAQItABQABgAIAAAAIQDx4gk5&#10;fwIAAGEFAAAOAAAAAAAAAAAAAAAAAC4CAABkcnMvZTJvRG9jLnhtbFBLAQItABQABgAIAAAAIQAG&#10;GtDt4QAAAA0BAAAPAAAAAAAAAAAAAAAAANkEAABkcnMvZG93bnJldi54bWxQSwUGAAAAAAQABADz&#10;AAAA5wUAAAAA&#10;" filled="f" stroked="f" strokeweight=".5pt">
                    <v:textbox inset="126pt,0,54pt,0">
                      <w:txbxContent>
                        <w:p w14:paraId="456B7B55" w14:textId="61068129" w:rsidR="009537A1" w:rsidRDefault="009537A1">
                          <w:pPr>
                            <w:pStyle w:val="NoSpacing"/>
                            <w:jc w:val="right"/>
                            <w:rPr>
                              <w:color w:val="4472C4" w:themeColor="accent1"/>
                              <w:sz w:val="28"/>
                              <w:szCs w:val="28"/>
                            </w:rPr>
                          </w:pPr>
                          <w:r>
                            <w:rPr>
                              <w:color w:val="4472C4" w:themeColor="accent1"/>
                              <w:sz w:val="28"/>
                              <w:szCs w:val="28"/>
                            </w:rPr>
                            <w:t xml:space="preserve">Version Final </w:t>
                          </w:r>
                        </w:p>
                        <w:p w14:paraId="47674472" w14:textId="737B3857" w:rsidR="009537A1" w:rsidRDefault="009537A1">
                          <w:pPr>
                            <w:pStyle w:val="NoSpacing"/>
                            <w:jc w:val="right"/>
                            <w:rPr>
                              <w:color w:val="595959" w:themeColor="text1" w:themeTint="A6"/>
                            </w:rPr>
                          </w:pPr>
                          <w:r>
                            <w:rPr>
                              <w:color w:val="595959" w:themeColor="text1" w:themeTint="A6"/>
                            </w:rPr>
                            <w:t xml:space="preserve">Feb 19 </w:t>
                          </w:r>
                          <w:r>
                            <w:rPr>
                              <w:color w:val="595959" w:themeColor="text1" w:themeTint="A6"/>
                            </w:rPr>
                            <w:br/>
                          </w:r>
                          <w:r>
                            <w:rPr>
                              <w:color w:val="595959" w:themeColor="text1" w:themeTint="A6"/>
                            </w:rPr>
                            <w:br/>
                          </w:r>
                          <w:r>
                            <w:rPr>
                              <w:color w:val="595959" w:themeColor="text1" w:themeTint="A6"/>
                            </w:rPr>
                            <w:br/>
                          </w:r>
                          <w:r>
                            <w:rPr>
                              <w:color w:val="595959" w:themeColor="text1" w:themeTint="A6"/>
                            </w:rPr>
                            <w:br/>
                          </w: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FC87F5D" wp14:editId="57512339">
                    <wp:simplePos x="0" y="0"/>
                    <wp:positionH relativeFrom="page">
                      <wp:posOffset>225188</wp:posOffset>
                    </wp:positionH>
                    <wp:positionV relativeFrom="page">
                      <wp:posOffset>2702257</wp:posOffset>
                    </wp:positionV>
                    <wp:extent cx="7315200" cy="2893325"/>
                    <wp:effectExtent l="0" t="0" r="0" b="25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89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997B6" w14:textId="064341F1" w:rsidR="009537A1" w:rsidRDefault="009537A1">
                                <w:pPr>
                                  <w:jc w:val="right"/>
                                  <w:rPr>
                                    <w:color w:val="4472C4" w:themeColor="accent1"/>
                                    <w:sz w:val="64"/>
                                    <w:szCs w:val="64"/>
                                  </w:rPr>
                                </w:pPr>
                                <w:r>
                                  <w:rPr>
                                    <w:caps/>
                                    <w:color w:val="4472C4" w:themeColor="accent1"/>
                                    <w:sz w:val="64"/>
                                    <w:szCs w:val="64"/>
                                  </w:rPr>
                                  <w:t>Workday HCM, Payroll and Expenses Contract</w:t>
                                </w:r>
                              </w:p>
                              <w:p w14:paraId="6DFE1A33" w14:textId="4BF3F035" w:rsidR="009537A1" w:rsidRDefault="009537A1">
                                <w:pPr>
                                  <w:jc w:val="right"/>
                                  <w:rPr>
                                    <w:smallCaps/>
                                    <w:color w:val="404040" w:themeColor="text1" w:themeTint="BF"/>
                                    <w:sz w:val="36"/>
                                    <w:szCs w:val="36"/>
                                  </w:rPr>
                                </w:pPr>
                                <w:r>
                                  <w:rPr>
                                    <w:color w:val="404040" w:themeColor="text1" w:themeTint="BF"/>
                                    <w:sz w:val="36"/>
                                    <w:szCs w:val="36"/>
                                  </w:rPr>
                                  <w:t>Between DfE and Workday</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FC87F5D" id="Text Box 154" o:spid="_x0000_s1027" type="#_x0000_t202" style="position:absolute;margin-left:17.75pt;margin-top:212.8pt;width:8in;height:227.8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LshAIAAGkFAAAOAAAAZHJzL2Uyb0RvYy54bWysVN9v2jAQfp+0/8Hy+0iAwRgiVIyq06Sq&#10;rVamPhvHhmi2z7MNCfvre3YSWrG9dNqLc7n7fL4f393iqtGKHIXzFZiCDgc5JcJwKCuzK+iPzc2H&#10;GSU+MFMyBUYU9CQ8vVq+f7eo7VyMYA+qFI6gE+PntS3oPgQ7zzLP90IzPwArDBolOM0C/rpdVjpW&#10;o3etslGeT7MaXGkdcOE9aq9bI10m/1IKHu6l9CIQVVCMLaTTpXMbz2y5YPOdY3Zf8S4M9g9RaFYZ&#10;fPTs6poFRg6u+sOVrrgDDzIMOOgMpKy4SDlgNsP8IpvHPbMi5YLF8fZcJv//3PK744MjVYm9m3yk&#10;xDCNTdqIJpAv0JCowwrV1s8R+GgRGho0ILrXe1TGxBvpdPxiSgTtWOvTub7RHUflp/Fwgk2jhKNt&#10;NPs8Ho8m0U/2ct06H74K0CQKBXXYwFRXdrz1oYX2kPiagZtKqdREZUhd0Ol4kqcLZws6VyZiRaJD&#10;5yam1IaepHBSImKU+S4kliNlEBWJiGKtHDkypBDjXJiQkk9+ER1REoN4y8UO/xLVWy63efQvgwnn&#10;y7oy4FL2F2GXP/uQZYvHmr/KO4qh2TYtD/rObqE8YcMdtEPjLb+psCm3zIcH5nBKsJE4+eEeD6kA&#10;iw+dRMke3O+/6SMeyYtWSmqcuoL6XwfmBCXqm0FaD6d5nhgS0i++4JIwnU1mkTjbXm0Oeg3YkCGu&#10;F8uTGMFB9aJ0oJ9wN6zig2hihuOzBd324jq0awB3CxerVQLhTFoWbs2j5dF17E9k26Z5Ys52lAzI&#10;5jvoR5PNL5jZYuNNA6tDAFkl2sYStwXtSo/znIjf7Z64MF7/J9TLhlw+AwAA//8DAFBLAwQUAAYA&#10;CAAAACEAaL3UuOEAAAALAQAADwAAAGRycy9kb3ducmV2LnhtbEyPQU7DMBBF90jcwRokNhV1Ekga&#10;QiYVAmWFWND0AG48OIHYDrHbpj097gqWM/P05/1yPeuBHWhyvTUI8TICRqa1sjcKYdvUdzkw54WR&#10;YrCGEE7kYF1dX5WikPZoPuiw8YqFEOMKgdB5Pxacu7YjLdzSjmTC7dNOWvgwTorLSRxDuB54EkUZ&#10;16I34UMnRnrpqP3e7DWCkmor3+tVs8jqrPl5fH1bfJ0nxNub+fkJmKfZ/8Fw0Q/qUAWnnd0b6diA&#10;cJ+mgUR4SNIM2AWI81VY7RDyPE6AVyX/36H6BQAA//8DAFBLAQItABQABgAIAAAAIQC2gziS/gAA&#10;AOEBAAATAAAAAAAAAAAAAAAAAAAAAABbQ29udGVudF9UeXBlc10ueG1sUEsBAi0AFAAGAAgAAAAh&#10;ADj9If/WAAAAlAEAAAsAAAAAAAAAAAAAAAAALwEAAF9yZWxzLy5yZWxzUEsBAi0AFAAGAAgAAAAh&#10;AJSVouyEAgAAaQUAAA4AAAAAAAAAAAAAAAAALgIAAGRycy9lMm9Eb2MueG1sUEsBAi0AFAAGAAgA&#10;AAAhAGi91LjhAAAACwEAAA8AAAAAAAAAAAAAAAAA3gQAAGRycy9kb3ducmV2LnhtbFBLBQYAAAAA&#10;BAAEAPMAAADsBQAAAAA=&#10;" filled="f" stroked="f" strokeweight=".5pt">
                    <v:textbox inset="126pt,0,54pt,0">
                      <w:txbxContent>
                        <w:p w14:paraId="5FB997B6" w14:textId="064341F1" w:rsidR="009537A1" w:rsidRDefault="009537A1">
                          <w:pPr>
                            <w:jc w:val="right"/>
                            <w:rPr>
                              <w:color w:val="4472C4" w:themeColor="accent1"/>
                              <w:sz w:val="64"/>
                              <w:szCs w:val="64"/>
                            </w:rPr>
                          </w:pPr>
                          <w:r>
                            <w:rPr>
                              <w:caps/>
                              <w:color w:val="4472C4" w:themeColor="accent1"/>
                              <w:sz w:val="64"/>
                              <w:szCs w:val="64"/>
                            </w:rPr>
                            <w:t>Workday HCM, Payroll and Expenses Contract</w:t>
                          </w:r>
                        </w:p>
                        <w:p w14:paraId="6DFE1A33" w14:textId="4BF3F035" w:rsidR="009537A1" w:rsidRDefault="009537A1">
                          <w:pPr>
                            <w:jc w:val="right"/>
                            <w:rPr>
                              <w:smallCaps/>
                              <w:color w:val="404040" w:themeColor="text1" w:themeTint="BF"/>
                              <w:sz w:val="36"/>
                              <w:szCs w:val="36"/>
                            </w:rPr>
                          </w:pPr>
                          <w:r>
                            <w:rPr>
                              <w:color w:val="404040" w:themeColor="text1" w:themeTint="BF"/>
                              <w:sz w:val="36"/>
                              <w:szCs w:val="36"/>
                            </w:rPr>
                            <w:t>Between DfE and Workday</w:t>
                          </w:r>
                        </w:p>
                      </w:txbxContent>
                    </v:textbox>
                    <w10:wrap type="square" anchorx="page" anchory="page"/>
                  </v:shape>
                </w:pict>
              </mc:Fallback>
            </mc:AlternateContent>
          </w:r>
          <w:r w:rsidRPr="00DE0CA6">
            <w:rPr>
              <w:noProof/>
              <w:lang w:eastAsia="en-GB"/>
            </w:rPr>
            <w:drawing>
              <wp:inline distT="0" distB="0" distL="0" distR="0" wp14:anchorId="421389AC" wp14:editId="651E0DDF">
                <wp:extent cx="2442950" cy="1132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3342" cy="1150925"/>
                        </a:xfrm>
                        <a:prstGeom prst="rect">
                          <a:avLst/>
                        </a:prstGeom>
                        <a:noFill/>
                        <a:ln>
                          <a:noFill/>
                        </a:ln>
                      </pic:spPr>
                    </pic:pic>
                  </a:graphicData>
                </a:graphic>
              </wp:inline>
            </w:drawing>
          </w:r>
          <w:r w:rsidR="00E739D5">
            <w:br w:type="page"/>
          </w:r>
        </w:p>
        <w:p w14:paraId="18F819FA" w14:textId="77777777" w:rsidR="00DE0CA6" w:rsidRDefault="00DE0CA6">
          <w:pPr>
            <w:spacing w:after="160" w:line="259" w:lineRule="auto"/>
          </w:pPr>
        </w:p>
        <w:p w14:paraId="47AB3915" w14:textId="500BC5A4" w:rsidR="00DE0CA6" w:rsidRDefault="00DE0CA6">
          <w:pPr>
            <w:spacing w:after="160" w:line="259" w:lineRule="auto"/>
          </w:pPr>
        </w:p>
        <w:p w14:paraId="001278CC" w14:textId="2792D968" w:rsidR="00AC7D4B" w:rsidRDefault="009537A1">
          <w:pPr>
            <w:spacing w:after="160" w:line="259" w:lineRule="auto"/>
          </w:pPr>
        </w:p>
      </w:sdtContent>
    </w:sdt>
    <w:p w14:paraId="1BDCF198" w14:textId="4C4B5452" w:rsidR="00242C67" w:rsidRPr="00ED1913" w:rsidRDefault="00E4373D">
      <w:r w:rsidRPr="00ED1913">
        <w:rPr>
          <w:noProof/>
          <w:lang w:eastAsia="en-GB"/>
        </w:rPr>
        <w:drawing>
          <wp:inline distT="0" distB="0" distL="0" distR="0" wp14:anchorId="337E7DEB" wp14:editId="00EEB771">
            <wp:extent cx="1800000" cy="1502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800000" cy="1502043"/>
                    </a:xfrm>
                    <a:prstGeom prst="rect">
                      <a:avLst/>
                    </a:prstGeom>
                  </pic:spPr>
                </pic:pic>
              </a:graphicData>
            </a:graphic>
          </wp:inline>
        </w:drawing>
      </w:r>
    </w:p>
    <w:p w14:paraId="062D0CF1" w14:textId="77777777" w:rsidR="00E4373D" w:rsidRPr="00ED1913" w:rsidRDefault="00E4373D"/>
    <w:p w14:paraId="09564049" w14:textId="77777777" w:rsidR="00E4373D" w:rsidRPr="00ED1913" w:rsidRDefault="00E4373D"/>
    <w:p w14:paraId="4CECF5FA" w14:textId="77777777" w:rsidR="00E4373D" w:rsidRPr="00ED1913" w:rsidRDefault="00E4373D"/>
    <w:p w14:paraId="39A56045" w14:textId="77777777" w:rsidR="00E4373D" w:rsidRPr="00ED1913" w:rsidRDefault="00E4373D"/>
    <w:p w14:paraId="186B18DA" w14:textId="77777777" w:rsidR="00E4373D" w:rsidRPr="00ED1913" w:rsidRDefault="00E4373D"/>
    <w:p w14:paraId="5FA5183E" w14:textId="77777777" w:rsidR="00E4373D" w:rsidRPr="00ED1913" w:rsidRDefault="00E4373D" w:rsidP="00E4373D">
      <w:pPr>
        <w:rPr>
          <w:b/>
          <w:sz w:val="48"/>
          <w:szCs w:val="48"/>
        </w:rPr>
      </w:pPr>
      <w:r w:rsidRPr="00ED1913">
        <w:rPr>
          <w:b/>
          <w:w w:val="105"/>
          <w:sz w:val="48"/>
          <w:szCs w:val="48"/>
        </w:rPr>
        <w:t>G-Cloud 10 Call-Off Contract</w:t>
      </w:r>
    </w:p>
    <w:p w14:paraId="5B9FF370" w14:textId="77777777" w:rsidR="00E4373D" w:rsidRPr="00ED1913" w:rsidRDefault="00E4373D" w:rsidP="00E4373D"/>
    <w:p w14:paraId="224B05A0" w14:textId="77777777" w:rsidR="00E4373D" w:rsidRPr="00ED1913" w:rsidRDefault="00E4373D" w:rsidP="00E4373D"/>
    <w:p w14:paraId="3323A138" w14:textId="77777777" w:rsidR="00E4373D" w:rsidRPr="00ED1913" w:rsidRDefault="00E4373D" w:rsidP="00E4373D"/>
    <w:p w14:paraId="78ECAFDE" w14:textId="77777777" w:rsidR="00E4373D" w:rsidRPr="00ED1913" w:rsidRDefault="00E4373D" w:rsidP="00E4373D">
      <w:r w:rsidRPr="00ED1913">
        <w:t>This Call-Off Contract for the G-Cloud 10 Framework Agreement (RM1557.10) includes:</w:t>
      </w:r>
    </w:p>
    <w:p w14:paraId="2B23BF47" w14:textId="77777777" w:rsidR="00E4373D" w:rsidRPr="00ED1913" w:rsidRDefault="00E4373D"/>
    <w:sdt>
      <w:sdtPr>
        <w:id w:val="-628930796"/>
        <w:docPartObj>
          <w:docPartGallery w:val="Table of Contents"/>
          <w:docPartUnique/>
        </w:docPartObj>
      </w:sdtPr>
      <w:sdtEndPr>
        <w:rPr>
          <w:b/>
          <w:bCs/>
        </w:rPr>
      </w:sdtEndPr>
      <w:sdtContent>
        <w:p w14:paraId="0B8D429B" w14:textId="619C79BB" w:rsidR="002F3E52" w:rsidRDefault="00C82E38">
          <w:pPr>
            <w:pStyle w:val="TOC1"/>
            <w:rPr>
              <w:rFonts w:asciiTheme="minorHAnsi" w:eastAsiaTheme="minorEastAsia" w:hAnsiTheme="minorHAnsi"/>
              <w:noProof/>
              <w:sz w:val="22"/>
              <w:lang w:eastAsia="en-GB"/>
            </w:rPr>
          </w:pPr>
          <w:r w:rsidRPr="00ED1913">
            <w:fldChar w:fldCharType="begin"/>
          </w:r>
          <w:r w:rsidRPr="00ED1913">
            <w:instrText xml:space="preserve"> TOC \h \z \t "Title,1" </w:instrText>
          </w:r>
          <w:r w:rsidRPr="00ED1913">
            <w:fldChar w:fldCharType="separate"/>
          </w:r>
          <w:hyperlink w:anchor="_Toc534903705" w:history="1">
            <w:r w:rsidR="002F3E52" w:rsidRPr="004056AA">
              <w:rPr>
                <w:rStyle w:val="Hyperlink"/>
                <w:noProof/>
              </w:rPr>
              <w:t>Part A - Order Form</w:t>
            </w:r>
            <w:r w:rsidR="002F3E52">
              <w:rPr>
                <w:noProof/>
                <w:webHidden/>
              </w:rPr>
              <w:tab/>
            </w:r>
            <w:r w:rsidR="002F3E52">
              <w:rPr>
                <w:noProof/>
                <w:webHidden/>
              </w:rPr>
              <w:fldChar w:fldCharType="begin"/>
            </w:r>
            <w:r w:rsidR="002F3E52">
              <w:rPr>
                <w:noProof/>
                <w:webHidden/>
              </w:rPr>
              <w:instrText xml:space="preserve"> PAGEREF _Toc534903705 \h </w:instrText>
            </w:r>
            <w:r w:rsidR="002F3E52">
              <w:rPr>
                <w:noProof/>
                <w:webHidden/>
              </w:rPr>
            </w:r>
            <w:r w:rsidR="002F3E52">
              <w:rPr>
                <w:noProof/>
                <w:webHidden/>
              </w:rPr>
              <w:fldChar w:fldCharType="separate"/>
            </w:r>
            <w:r w:rsidR="00240008">
              <w:rPr>
                <w:noProof/>
                <w:webHidden/>
              </w:rPr>
              <w:t>3</w:t>
            </w:r>
            <w:r w:rsidR="002F3E52">
              <w:rPr>
                <w:noProof/>
                <w:webHidden/>
              </w:rPr>
              <w:fldChar w:fldCharType="end"/>
            </w:r>
          </w:hyperlink>
        </w:p>
        <w:p w14:paraId="4540FBF1" w14:textId="7A14042F" w:rsidR="002F3E52" w:rsidRDefault="009537A1">
          <w:pPr>
            <w:pStyle w:val="TOC1"/>
            <w:rPr>
              <w:rFonts w:asciiTheme="minorHAnsi" w:eastAsiaTheme="minorEastAsia" w:hAnsiTheme="minorHAnsi"/>
              <w:noProof/>
              <w:sz w:val="22"/>
              <w:lang w:eastAsia="en-GB"/>
            </w:rPr>
          </w:pPr>
          <w:hyperlink w:anchor="_Toc534903706" w:history="1">
            <w:r w:rsidR="002F3E52" w:rsidRPr="004056AA">
              <w:rPr>
                <w:rStyle w:val="Hyperlink"/>
                <w:noProof/>
              </w:rPr>
              <w:t>Schedule 1 - Services</w:t>
            </w:r>
            <w:r w:rsidR="002F3E52">
              <w:rPr>
                <w:noProof/>
                <w:webHidden/>
              </w:rPr>
              <w:tab/>
            </w:r>
            <w:r w:rsidR="002F3E52">
              <w:rPr>
                <w:noProof/>
                <w:webHidden/>
              </w:rPr>
              <w:fldChar w:fldCharType="begin"/>
            </w:r>
            <w:r w:rsidR="002F3E52">
              <w:rPr>
                <w:noProof/>
                <w:webHidden/>
              </w:rPr>
              <w:instrText xml:space="preserve"> PAGEREF _Toc534903706 \h </w:instrText>
            </w:r>
            <w:r w:rsidR="002F3E52">
              <w:rPr>
                <w:noProof/>
                <w:webHidden/>
              </w:rPr>
            </w:r>
            <w:r w:rsidR="002F3E52">
              <w:rPr>
                <w:noProof/>
                <w:webHidden/>
              </w:rPr>
              <w:fldChar w:fldCharType="separate"/>
            </w:r>
            <w:r w:rsidR="00240008">
              <w:rPr>
                <w:noProof/>
                <w:webHidden/>
              </w:rPr>
              <w:t>14</w:t>
            </w:r>
            <w:r w:rsidR="002F3E52">
              <w:rPr>
                <w:noProof/>
                <w:webHidden/>
              </w:rPr>
              <w:fldChar w:fldCharType="end"/>
            </w:r>
          </w:hyperlink>
        </w:p>
        <w:p w14:paraId="690E18E7" w14:textId="0875CF7E" w:rsidR="002F3E52" w:rsidRDefault="009537A1">
          <w:pPr>
            <w:pStyle w:val="TOC1"/>
            <w:rPr>
              <w:rFonts w:asciiTheme="minorHAnsi" w:eastAsiaTheme="minorEastAsia" w:hAnsiTheme="minorHAnsi"/>
              <w:noProof/>
              <w:sz w:val="22"/>
              <w:lang w:eastAsia="en-GB"/>
            </w:rPr>
          </w:pPr>
          <w:hyperlink w:anchor="_Toc534903707" w:history="1">
            <w:r w:rsidR="002F3E52" w:rsidRPr="004056AA">
              <w:rPr>
                <w:rStyle w:val="Hyperlink"/>
                <w:noProof/>
              </w:rPr>
              <w:t>Schedule 2 - Call-Off Contract charges</w:t>
            </w:r>
            <w:r w:rsidR="002F3E52">
              <w:rPr>
                <w:noProof/>
                <w:webHidden/>
              </w:rPr>
              <w:tab/>
            </w:r>
            <w:r w:rsidR="002F3E52">
              <w:rPr>
                <w:noProof/>
                <w:webHidden/>
              </w:rPr>
              <w:fldChar w:fldCharType="begin"/>
            </w:r>
            <w:r w:rsidR="002F3E52">
              <w:rPr>
                <w:noProof/>
                <w:webHidden/>
              </w:rPr>
              <w:instrText xml:space="preserve"> PAGEREF _Toc534903707 \h </w:instrText>
            </w:r>
            <w:r w:rsidR="002F3E52">
              <w:rPr>
                <w:noProof/>
                <w:webHidden/>
              </w:rPr>
            </w:r>
            <w:r w:rsidR="002F3E52">
              <w:rPr>
                <w:noProof/>
                <w:webHidden/>
              </w:rPr>
              <w:fldChar w:fldCharType="separate"/>
            </w:r>
            <w:r w:rsidR="00240008">
              <w:rPr>
                <w:noProof/>
                <w:webHidden/>
              </w:rPr>
              <w:t>16</w:t>
            </w:r>
            <w:r w:rsidR="002F3E52">
              <w:rPr>
                <w:noProof/>
                <w:webHidden/>
              </w:rPr>
              <w:fldChar w:fldCharType="end"/>
            </w:r>
          </w:hyperlink>
        </w:p>
        <w:p w14:paraId="5CDE3347" w14:textId="330067F1" w:rsidR="002F3E52" w:rsidRDefault="009537A1">
          <w:pPr>
            <w:pStyle w:val="TOC1"/>
            <w:rPr>
              <w:rFonts w:asciiTheme="minorHAnsi" w:eastAsiaTheme="minorEastAsia" w:hAnsiTheme="minorHAnsi"/>
              <w:noProof/>
              <w:sz w:val="22"/>
              <w:lang w:eastAsia="en-GB"/>
            </w:rPr>
          </w:pPr>
          <w:hyperlink w:anchor="_Toc534903708" w:history="1">
            <w:r w:rsidR="002F3E52" w:rsidRPr="004056AA">
              <w:rPr>
                <w:rStyle w:val="Hyperlink"/>
                <w:noProof/>
              </w:rPr>
              <w:t>Part B - Terms and Conditions</w:t>
            </w:r>
            <w:r w:rsidR="002F3E52">
              <w:rPr>
                <w:noProof/>
                <w:webHidden/>
              </w:rPr>
              <w:tab/>
            </w:r>
            <w:r w:rsidR="002F3E52">
              <w:rPr>
                <w:noProof/>
                <w:webHidden/>
              </w:rPr>
              <w:fldChar w:fldCharType="begin"/>
            </w:r>
            <w:r w:rsidR="002F3E52">
              <w:rPr>
                <w:noProof/>
                <w:webHidden/>
              </w:rPr>
              <w:instrText xml:space="preserve"> PAGEREF _Toc534903708 \h </w:instrText>
            </w:r>
            <w:r w:rsidR="002F3E52">
              <w:rPr>
                <w:noProof/>
                <w:webHidden/>
              </w:rPr>
            </w:r>
            <w:r w:rsidR="002F3E52">
              <w:rPr>
                <w:noProof/>
                <w:webHidden/>
              </w:rPr>
              <w:fldChar w:fldCharType="separate"/>
            </w:r>
            <w:r w:rsidR="00240008">
              <w:rPr>
                <w:noProof/>
                <w:webHidden/>
              </w:rPr>
              <w:t>18</w:t>
            </w:r>
            <w:r w:rsidR="002F3E52">
              <w:rPr>
                <w:noProof/>
                <w:webHidden/>
              </w:rPr>
              <w:fldChar w:fldCharType="end"/>
            </w:r>
          </w:hyperlink>
        </w:p>
        <w:p w14:paraId="53621112" w14:textId="718C60C1" w:rsidR="002F3E52" w:rsidRDefault="009537A1">
          <w:pPr>
            <w:pStyle w:val="TOC1"/>
            <w:rPr>
              <w:rFonts w:asciiTheme="minorHAnsi" w:eastAsiaTheme="minorEastAsia" w:hAnsiTheme="minorHAnsi"/>
              <w:noProof/>
              <w:sz w:val="22"/>
              <w:lang w:eastAsia="en-GB"/>
            </w:rPr>
          </w:pPr>
          <w:hyperlink w:anchor="_Toc534903709" w:history="1">
            <w:r w:rsidR="002F3E52" w:rsidRPr="004056AA">
              <w:rPr>
                <w:rStyle w:val="Hyperlink"/>
                <w:noProof/>
              </w:rPr>
              <w:t>Schedule 3 - Collaboration agreement</w:t>
            </w:r>
            <w:r w:rsidR="002F3E52">
              <w:rPr>
                <w:noProof/>
                <w:webHidden/>
              </w:rPr>
              <w:tab/>
            </w:r>
            <w:r w:rsidR="002F3E52">
              <w:rPr>
                <w:noProof/>
                <w:webHidden/>
              </w:rPr>
              <w:fldChar w:fldCharType="begin"/>
            </w:r>
            <w:r w:rsidR="002F3E52">
              <w:rPr>
                <w:noProof/>
                <w:webHidden/>
              </w:rPr>
              <w:instrText xml:space="preserve"> PAGEREF _Toc534903709 \h </w:instrText>
            </w:r>
            <w:r w:rsidR="002F3E52">
              <w:rPr>
                <w:noProof/>
                <w:webHidden/>
              </w:rPr>
            </w:r>
            <w:r w:rsidR="002F3E52">
              <w:rPr>
                <w:noProof/>
                <w:webHidden/>
              </w:rPr>
              <w:fldChar w:fldCharType="separate"/>
            </w:r>
            <w:r w:rsidR="00240008">
              <w:rPr>
                <w:noProof/>
                <w:webHidden/>
              </w:rPr>
              <w:t>36</w:t>
            </w:r>
            <w:r w:rsidR="002F3E52">
              <w:rPr>
                <w:noProof/>
                <w:webHidden/>
              </w:rPr>
              <w:fldChar w:fldCharType="end"/>
            </w:r>
          </w:hyperlink>
        </w:p>
        <w:p w14:paraId="7435B70D" w14:textId="1C4AD2FC" w:rsidR="002F3E52" w:rsidRDefault="009537A1">
          <w:pPr>
            <w:pStyle w:val="TOC1"/>
            <w:rPr>
              <w:rFonts w:asciiTheme="minorHAnsi" w:eastAsiaTheme="minorEastAsia" w:hAnsiTheme="minorHAnsi"/>
              <w:noProof/>
              <w:sz w:val="22"/>
              <w:lang w:eastAsia="en-GB"/>
            </w:rPr>
          </w:pPr>
          <w:hyperlink w:anchor="_Toc534903710" w:history="1">
            <w:r w:rsidR="002F3E52" w:rsidRPr="004056AA">
              <w:rPr>
                <w:rStyle w:val="Hyperlink"/>
                <w:noProof/>
              </w:rPr>
              <w:t>Schedule 4 - Alternative clauses</w:t>
            </w:r>
            <w:r w:rsidR="002F3E52">
              <w:rPr>
                <w:noProof/>
                <w:webHidden/>
              </w:rPr>
              <w:tab/>
            </w:r>
            <w:r w:rsidR="002F3E52">
              <w:rPr>
                <w:noProof/>
                <w:webHidden/>
              </w:rPr>
              <w:fldChar w:fldCharType="begin"/>
            </w:r>
            <w:r w:rsidR="002F3E52">
              <w:rPr>
                <w:noProof/>
                <w:webHidden/>
              </w:rPr>
              <w:instrText xml:space="preserve"> PAGEREF _Toc534903710 \h </w:instrText>
            </w:r>
            <w:r w:rsidR="002F3E52">
              <w:rPr>
                <w:noProof/>
                <w:webHidden/>
              </w:rPr>
            </w:r>
            <w:r w:rsidR="002F3E52">
              <w:rPr>
                <w:noProof/>
                <w:webHidden/>
              </w:rPr>
              <w:fldChar w:fldCharType="separate"/>
            </w:r>
            <w:r w:rsidR="00240008">
              <w:rPr>
                <w:noProof/>
                <w:webHidden/>
              </w:rPr>
              <w:t>37</w:t>
            </w:r>
            <w:r w:rsidR="002F3E52">
              <w:rPr>
                <w:noProof/>
                <w:webHidden/>
              </w:rPr>
              <w:fldChar w:fldCharType="end"/>
            </w:r>
          </w:hyperlink>
        </w:p>
        <w:p w14:paraId="4BBC73EB" w14:textId="1FB5883D" w:rsidR="002F3E52" w:rsidRDefault="009537A1">
          <w:pPr>
            <w:pStyle w:val="TOC1"/>
            <w:rPr>
              <w:rFonts w:asciiTheme="minorHAnsi" w:eastAsiaTheme="minorEastAsia" w:hAnsiTheme="minorHAnsi"/>
              <w:noProof/>
              <w:sz w:val="22"/>
              <w:lang w:eastAsia="en-GB"/>
            </w:rPr>
          </w:pPr>
          <w:hyperlink w:anchor="_Toc534903711" w:history="1">
            <w:r w:rsidR="002F3E52" w:rsidRPr="004056AA">
              <w:rPr>
                <w:rStyle w:val="Hyperlink"/>
                <w:noProof/>
              </w:rPr>
              <w:t>Schedule 5 - Guarantee</w:t>
            </w:r>
            <w:r w:rsidR="002F3E52">
              <w:rPr>
                <w:noProof/>
                <w:webHidden/>
              </w:rPr>
              <w:tab/>
            </w:r>
            <w:r w:rsidR="002F3E52">
              <w:rPr>
                <w:noProof/>
                <w:webHidden/>
              </w:rPr>
              <w:fldChar w:fldCharType="begin"/>
            </w:r>
            <w:r w:rsidR="002F3E52">
              <w:rPr>
                <w:noProof/>
                <w:webHidden/>
              </w:rPr>
              <w:instrText xml:space="preserve"> PAGEREF _Toc534903711 \h </w:instrText>
            </w:r>
            <w:r w:rsidR="002F3E52">
              <w:rPr>
                <w:noProof/>
                <w:webHidden/>
              </w:rPr>
            </w:r>
            <w:r w:rsidR="002F3E52">
              <w:rPr>
                <w:noProof/>
                <w:webHidden/>
              </w:rPr>
              <w:fldChar w:fldCharType="separate"/>
            </w:r>
            <w:r w:rsidR="00240008">
              <w:rPr>
                <w:noProof/>
                <w:webHidden/>
              </w:rPr>
              <w:t>38</w:t>
            </w:r>
            <w:r w:rsidR="002F3E52">
              <w:rPr>
                <w:noProof/>
                <w:webHidden/>
              </w:rPr>
              <w:fldChar w:fldCharType="end"/>
            </w:r>
          </w:hyperlink>
        </w:p>
        <w:p w14:paraId="17B7E480" w14:textId="1286A68C" w:rsidR="002F3E52" w:rsidRDefault="009537A1">
          <w:pPr>
            <w:pStyle w:val="TOC1"/>
            <w:rPr>
              <w:rFonts w:asciiTheme="minorHAnsi" w:eastAsiaTheme="minorEastAsia" w:hAnsiTheme="minorHAnsi"/>
              <w:noProof/>
              <w:sz w:val="22"/>
              <w:lang w:eastAsia="en-GB"/>
            </w:rPr>
          </w:pPr>
          <w:hyperlink w:anchor="_Toc534903712" w:history="1">
            <w:r w:rsidR="002F3E52" w:rsidRPr="004056AA">
              <w:rPr>
                <w:rStyle w:val="Hyperlink"/>
                <w:noProof/>
              </w:rPr>
              <w:t>Schedule 6 - Glossary and interpretations</w:t>
            </w:r>
            <w:r w:rsidR="002F3E52">
              <w:rPr>
                <w:noProof/>
                <w:webHidden/>
              </w:rPr>
              <w:tab/>
            </w:r>
            <w:r w:rsidR="002F3E52">
              <w:rPr>
                <w:noProof/>
                <w:webHidden/>
              </w:rPr>
              <w:fldChar w:fldCharType="begin"/>
            </w:r>
            <w:r w:rsidR="002F3E52">
              <w:rPr>
                <w:noProof/>
                <w:webHidden/>
              </w:rPr>
              <w:instrText xml:space="preserve"> PAGEREF _Toc534903712 \h </w:instrText>
            </w:r>
            <w:r w:rsidR="002F3E52">
              <w:rPr>
                <w:noProof/>
                <w:webHidden/>
              </w:rPr>
            </w:r>
            <w:r w:rsidR="002F3E52">
              <w:rPr>
                <w:noProof/>
                <w:webHidden/>
              </w:rPr>
              <w:fldChar w:fldCharType="separate"/>
            </w:r>
            <w:r w:rsidR="00240008">
              <w:rPr>
                <w:noProof/>
                <w:webHidden/>
              </w:rPr>
              <w:t>39</w:t>
            </w:r>
            <w:r w:rsidR="002F3E52">
              <w:rPr>
                <w:noProof/>
                <w:webHidden/>
              </w:rPr>
              <w:fldChar w:fldCharType="end"/>
            </w:r>
          </w:hyperlink>
        </w:p>
        <w:p w14:paraId="04C5CC15" w14:textId="439B8A7C" w:rsidR="002F3E52" w:rsidRDefault="009537A1">
          <w:pPr>
            <w:pStyle w:val="TOC1"/>
            <w:rPr>
              <w:rFonts w:asciiTheme="minorHAnsi" w:eastAsiaTheme="minorEastAsia" w:hAnsiTheme="minorHAnsi"/>
              <w:noProof/>
              <w:sz w:val="22"/>
              <w:lang w:eastAsia="en-GB"/>
            </w:rPr>
          </w:pPr>
          <w:hyperlink w:anchor="_Toc534903713" w:history="1">
            <w:r w:rsidR="002F3E52" w:rsidRPr="004056AA">
              <w:rPr>
                <w:rStyle w:val="Hyperlink"/>
                <w:noProof/>
              </w:rPr>
              <w:t>Schedule 7 - Processing, Personal Data and Data Subjects</w:t>
            </w:r>
            <w:r w:rsidR="002F3E52">
              <w:rPr>
                <w:noProof/>
                <w:webHidden/>
              </w:rPr>
              <w:tab/>
            </w:r>
            <w:r w:rsidR="002F3E52">
              <w:rPr>
                <w:noProof/>
                <w:webHidden/>
              </w:rPr>
              <w:fldChar w:fldCharType="begin"/>
            </w:r>
            <w:r w:rsidR="002F3E52">
              <w:rPr>
                <w:noProof/>
                <w:webHidden/>
              </w:rPr>
              <w:instrText xml:space="preserve"> PAGEREF _Toc534903713 \h </w:instrText>
            </w:r>
            <w:r w:rsidR="002F3E52">
              <w:rPr>
                <w:noProof/>
                <w:webHidden/>
              </w:rPr>
            </w:r>
            <w:r w:rsidR="002F3E52">
              <w:rPr>
                <w:noProof/>
                <w:webHidden/>
              </w:rPr>
              <w:fldChar w:fldCharType="separate"/>
            </w:r>
            <w:r w:rsidR="00240008">
              <w:rPr>
                <w:noProof/>
                <w:webHidden/>
              </w:rPr>
              <w:t>50</w:t>
            </w:r>
            <w:r w:rsidR="002F3E52">
              <w:rPr>
                <w:noProof/>
                <w:webHidden/>
              </w:rPr>
              <w:fldChar w:fldCharType="end"/>
            </w:r>
          </w:hyperlink>
        </w:p>
        <w:p w14:paraId="33330358" w14:textId="127C61A0" w:rsidR="002F3E52" w:rsidRDefault="009537A1">
          <w:pPr>
            <w:pStyle w:val="TOC1"/>
            <w:rPr>
              <w:rFonts w:asciiTheme="minorHAnsi" w:eastAsiaTheme="minorEastAsia" w:hAnsiTheme="minorHAnsi"/>
              <w:noProof/>
              <w:sz w:val="22"/>
              <w:lang w:eastAsia="en-GB"/>
            </w:rPr>
          </w:pPr>
          <w:hyperlink w:anchor="_Toc534903714" w:history="1">
            <w:r w:rsidR="002F3E52" w:rsidRPr="004056AA">
              <w:rPr>
                <w:rStyle w:val="Hyperlink"/>
                <w:noProof/>
              </w:rPr>
              <w:t>Schedule 8 – Additional Buyers Terms and Conditions</w:t>
            </w:r>
            <w:r w:rsidR="002F3E52">
              <w:rPr>
                <w:noProof/>
                <w:webHidden/>
              </w:rPr>
              <w:tab/>
            </w:r>
            <w:r w:rsidR="002F3E52">
              <w:rPr>
                <w:noProof/>
                <w:webHidden/>
              </w:rPr>
              <w:fldChar w:fldCharType="begin"/>
            </w:r>
            <w:r w:rsidR="002F3E52">
              <w:rPr>
                <w:noProof/>
                <w:webHidden/>
              </w:rPr>
              <w:instrText xml:space="preserve"> PAGEREF _Toc534903714 \h </w:instrText>
            </w:r>
            <w:r w:rsidR="002F3E52">
              <w:rPr>
                <w:noProof/>
                <w:webHidden/>
              </w:rPr>
              <w:fldChar w:fldCharType="separate"/>
            </w:r>
            <w:r w:rsidR="00240008">
              <w:rPr>
                <w:b/>
                <w:bCs/>
                <w:noProof/>
                <w:webHidden/>
                <w:lang w:val="en-US"/>
              </w:rPr>
              <w:t>Error! Bookmark not defined.</w:t>
            </w:r>
            <w:r w:rsidR="002F3E52">
              <w:rPr>
                <w:noProof/>
                <w:webHidden/>
              </w:rPr>
              <w:fldChar w:fldCharType="end"/>
            </w:r>
          </w:hyperlink>
        </w:p>
        <w:p w14:paraId="729B8E01" w14:textId="3997AF4E" w:rsidR="00E4373D" w:rsidRPr="00ED1913" w:rsidRDefault="00C82E38" w:rsidP="00C82E38">
          <w:pPr>
            <w:pStyle w:val="TOC1"/>
            <w:tabs>
              <w:tab w:val="left" w:pos="440"/>
            </w:tabs>
          </w:pPr>
          <w:r w:rsidRPr="00ED1913">
            <w:fldChar w:fldCharType="end"/>
          </w:r>
        </w:p>
      </w:sdtContent>
    </w:sdt>
    <w:p w14:paraId="54A3BBBE" w14:textId="77777777" w:rsidR="00E4373D" w:rsidRPr="00ED1913" w:rsidRDefault="00E4373D"/>
    <w:p w14:paraId="286639C6" w14:textId="77777777" w:rsidR="00E4373D" w:rsidRPr="00ED1913" w:rsidRDefault="00E4373D" w:rsidP="00E4373D">
      <w:r w:rsidRPr="00ED1913">
        <w:br w:type="page"/>
      </w:r>
    </w:p>
    <w:p w14:paraId="74C31AEC" w14:textId="77777777" w:rsidR="00E4373D" w:rsidRPr="00ED1913" w:rsidRDefault="00E4373D" w:rsidP="00704FFC">
      <w:pPr>
        <w:pStyle w:val="Title"/>
      </w:pPr>
      <w:bookmarkStart w:id="0" w:name="_Toc534903705"/>
      <w:r w:rsidRPr="00ED1913">
        <w:lastRenderedPageBreak/>
        <w:t xml:space="preserve">Part A </w:t>
      </w:r>
      <w:r w:rsidR="00C82E38" w:rsidRPr="00ED1913">
        <w:t>-</w:t>
      </w:r>
      <w:r w:rsidRPr="00ED1913">
        <w:t xml:space="preserve"> Order Form</w:t>
      </w:r>
      <w:bookmarkEnd w:id="0"/>
    </w:p>
    <w:p w14:paraId="44965718" w14:textId="77777777" w:rsidR="00E4373D" w:rsidRPr="00ED1913" w:rsidRDefault="00E4373D" w:rsidP="00E4373D"/>
    <w:tbl>
      <w:tblPr>
        <w:tblStyle w:val="TableGrid"/>
        <w:tblW w:w="9638" w:type="dxa"/>
        <w:tblLook w:val="04A0" w:firstRow="1" w:lastRow="0" w:firstColumn="1" w:lastColumn="0" w:noHBand="0" w:noVBand="1"/>
      </w:tblPr>
      <w:tblGrid>
        <w:gridCol w:w="4819"/>
        <w:gridCol w:w="4819"/>
      </w:tblGrid>
      <w:tr w:rsidR="00E4373D" w:rsidRPr="00ED1913" w14:paraId="0BF5B03E" w14:textId="77777777" w:rsidTr="00E4373D">
        <w:tc>
          <w:tcPr>
            <w:tcW w:w="4819" w:type="dxa"/>
          </w:tcPr>
          <w:p w14:paraId="56980337" w14:textId="77777777" w:rsidR="00E4373D" w:rsidRPr="00ED1913" w:rsidRDefault="00E4373D" w:rsidP="00E4373D">
            <w:pPr>
              <w:spacing w:before="120" w:after="120"/>
              <w:rPr>
                <w:b/>
              </w:rPr>
            </w:pPr>
            <w:r w:rsidRPr="00ED1913">
              <w:rPr>
                <w:b/>
              </w:rPr>
              <w:t>Digital Marketplace service ID number:</w:t>
            </w:r>
          </w:p>
        </w:tc>
        <w:tc>
          <w:tcPr>
            <w:tcW w:w="4819" w:type="dxa"/>
          </w:tcPr>
          <w:p w14:paraId="20C04A78" w14:textId="4BA79A97" w:rsidR="00E4373D" w:rsidRPr="00ED1913" w:rsidRDefault="00F05F14" w:rsidP="00E4373D">
            <w:pPr>
              <w:spacing w:before="120" w:after="120"/>
            </w:pPr>
            <w:r>
              <w:t>5248 3723 9972 037</w:t>
            </w:r>
          </w:p>
        </w:tc>
      </w:tr>
      <w:tr w:rsidR="001820E7" w:rsidRPr="00ED1913" w14:paraId="076A0A45" w14:textId="77777777" w:rsidTr="00E4373D">
        <w:tc>
          <w:tcPr>
            <w:tcW w:w="4819" w:type="dxa"/>
          </w:tcPr>
          <w:p w14:paraId="1B75BA9A" w14:textId="39479C25" w:rsidR="001820E7" w:rsidRPr="00ED1913" w:rsidRDefault="001820E7" w:rsidP="00E4373D">
            <w:pPr>
              <w:spacing w:before="120" w:after="120"/>
              <w:rPr>
                <w:b/>
              </w:rPr>
            </w:pPr>
            <w:r>
              <w:rPr>
                <w:b/>
              </w:rPr>
              <w:t xml:space="preserve">Call-off Contract Reference: </w:t>
            </w:r>
          </w:p>
        </w:tc>
        <w:tc>
          <w:tcPr>
            <w:tcW w:w="4819" w:type="dxa"/>
          </w:tcPr>
          <w:p w14:paraId="0E84602B" w14:textId="5BC2953C" w:rsidR="001820E7" w:rsidRDefault="005E00D6" w:rsidP="00E4373D">
            <w:pPr>
              <w:spacing w:before="120" w:after="120"/>
            </w:pPr>
            <w:r>
              <w:t>CON_1871</w:t>
            </w:r>
          </w:p>
        </w:tc>
      </w:tr>
      <w:tr w:rsidR="00E4373D" w:rsidRPr="00ED1913" w14:paraId="180B6377" w14:textId="77777777" w:rsidTr="00E4373D">
        <w:tc>
          <w:tcPr>
            <w:tcW w:w="4819" w:type="dxa"/>
          </w:tcPr>
          <w:p w14:paraId="51CED5C4" w14:textId="77777777" w:rsidR="00E4373D" w:rsidRPr="00ED1913" w:rsidRDefault="00E4373D" w:rsidP="00E4373D">
            <w:pPr>
              <w:spacing w:before="120" w:after="120"/>
              <w:rPr>
                <w:b/>
              </w:rPr>
            </w:pPr>
            <w:r w:rsidRPr="00ED1913">
              <w:rPr>
                <w:b/>
              </w:rPr>
              <w:t>Call-Off Contract title:</w:t>
            </w:r>
          </w:p>
        </w:tc>
        <w:tc>
          <w:tcPr>
            <w:tcW w:w="4819" w:type="dxa"/>
          </w:tcPr>
          <w:p w14:paraId="06EB9DA4" w14:textId="4B67C7A0" w:rsidR="001820E7" w:rsidRPr="00ED1913" w:rsidRDefault="00F05F14" w:rsidP="00F05F14">
            <w:pPr>
              <w:spacing w:before="120" w:after="120"/>
            </w:pPr>
            <w:r>
              <w:t>Workday HCM, Payroll and Expenses</w:t>
            </w:r>
          </w:p>
        </w:tc>
      </w:tr>
      <w:tr w:rsidR="00E4373D" w:rsidRPr="00ED1913" w14:paraId="1EAFE064" w14:textId="77777777" w:rsidTr="00E4373D">
        <w:tc>
          <w:tcPr>
            <w:tcW w:w="4819" w:type="dxa"/>
          </w:tcPr>
          <w:p w14:paraId="07F37944" w14:textId="77777777" w:rsidR="00E4373D" w:rsidRPr="00ED1913" w:rsidRDefault="00E4373D" w:rsidP="00E4373D">
            <w:pPr>
              <w:spacing w:before="120" w:after="120"/>
              <w:rPr>
                <w:b/>
              </w:rPr>
            </w:pPr>
            <w:r w:rsidRPr="00ED1913">
              <w:rPr>
                <w:b/>
              </w:rPr>
              <w:t>Call-Off Contract description:</w:t>
            </w:r>
          </w:p>
        </w:tc>
        <w:tc>
          <w:tcPr>
            <w:tcW w:w="4819" w:type="dxa"/>
          </w:tcPr>
          <w:p w14:paraId="227FDF8D" w14:textId="1C3E348D" w:rsidR="00117625" w:rsidRPr="00ED1913" w:rsidRDefault="00F05F14" w:rsidP="00F05F14">
            <w:pPr>
              <w:spacing w:before="120" w:after="120"/>
            </w:pPr>
            <w:r>
              <w:t xml:space="preserve">Provision </w:t>
            </w:r>
            <w:r w:rsidR="00117625">
              <w:t xml:space="preserve">of </w:t>
            </w:r>
            <w:r>
              <w:t xml:space="preserve">HCM, Payroll and Expenses </w:t>
            </w:r>
            <w:r w:rsidR="00170E72">
              <w:t>application</w:t>
            </w:r>
            <w:r w:rsidR="00AF6EEE">
              <w:t xml:space="preserve"> </w:t>
            </w:r>
          </w:p>
        </w:tc>
      </w:tr>
      <w:tr w:rsidR="00E4373D" w:rsidRPr="00ED1913" w14:paraId="7B3DA19D" w14:textId="77777777" w:rsidTr="00E4373D">
        <w:tc>
          <w:tcPr>
            <w:tcW w:w="4819" w:type="dxa"/>
          </w:tcPr>
          <w:p w14:paraId="5C4030B2" w14:textId="77777777" w:rsidR="00E4373D" w:rsidRPr="00ED1913" w:rsidRDefault="00E4373D" w:rsidP="00E4373D">
            <w:pPr>
              <w:spacing w:before="120" w:after="120"/>
              <w:rPr>
                <w:b/>
              </w:rPr>
            </w:pPr>
            <w:r w:rsidRPr="00ED1913">
              <w:rPr>
                <w:b/>
              </w:rPr>
              <w:t>Start date:</w:t>
            </w:r>
          </w:p>
        </w:tc>
        <w:tc>
          <w:tcPr>
            <w:tcW w:w="4819" w:type="dxa"/>
          </w:tcPr>
          <w:p w14:paraId="25990ABC" w14:textId="47E600EE" w:rsidR="00E4373D" w:rsidRPr="006F0E3A" w:rsidRDefault="00EC648E" w:rsidP="000B4761">
            <w:pPr>
              <w:spacing w:before="120" w:after="120"/>
            </w:pPr>
            <w:r>
              <w:t>21</w:t>
            </w:r>
            <w:r w:rsidRPr="00E47AEC">
              <w:rPr>
                <w:vertAlign w:val="superscript"/>
              </w:rPr>
              <w:t>st</w:t>
            </w:r>
            <w:r w:rsidR="000B4761">
              <w:t xml:space="preserve"> February</w:t>
            </w:r>
            <w:r w:rsidR="00966BC3">
              <w:t xml:space="preserve"> 2019</w:t>
            </w:r>
          </w:p>
        </w:tc>
      </w:tr>
      <w:tr w:rsidR="00E4373D" w:rsidRPr="00ED1913" w14:paraId="03A97A85" w14:textId="77777777" w:rsidTr="00E4373D">
        <w:tc>
          <w:tcPr>
            <w:tcW w:w="4819" w:type="dxa"/>
          </w:tcPr>
          <w:p w14:paraId="066E03A4" w14:textId="77777777" w:rsidR="00E4373D" w:rsidRPr="00ED1913" w:rsidRDefault="00E4373D" w:rsidP="00E4373D">
            <w:pPr>
              <w:spacing w:before="120" w:after="120"/>
              <w:rPr>
                <w:b/>
              </w:rPr>
            </w:pPr>
            <w:r w:rsidRPr="00ED1913">
              <w:rPr>
                <w:b/>
              </w:rPr>
              <w:t>Expiry date:</w:t>
            </w:r>
          </w:p>
        </w:tc>
        <w:tc>
          <w:tcPr>
            <w:tcW w:w="4819" w:type="dxa"/>
          </w:tcPr>
          <w:p w14:paraId="458E6AF1" w14:textId="0640A59E" w:rsidR="00E4373D" w:rsidRPr="006F0E3A" w:rsidRDefault="00EC648E" w:rsidP="000B4761">
            <w:pPr>
              <w:spacing w:before="120" w:after="120"/>
            </w:pPr>
            <w:r>
              <w:t>20</w:t>
            </w:r>
            <w:r w:rsidR="000B4761" w:rsidRPr="00E47AEC">
              <w:rPr>
                <w:vertAlign w:val="superscript"/>
              </w:rPr>
              <w:t>th</w:t>
            </w:r>
            <w:r w:rsidR="000B4761">
              <w:t xml:space="preserve"> February </w:t>
            </w:r>
            <w:r w:rsidR="00966BC3">
              <w:t>2021 (excludes extensions)</w:t>
            </w:r>
          </w:p>
        </w:tc>
      </w:tr>
      <w:tr w:rsidR="00E4373D" w:rsidRPr="00ED1913" w14:paraId="3E376D98" w14:textId="77777777" w:rsidTr="00E4373D">
        <w:tc>
          <w:tcPr>
            <w:tcW w:w="4819" w:type="dxa"/>
          </w:tcPr>
          <w:p w14:paraId="17CDE110" w14:textId="77777777" w:rsidR="00E4373D" w:rsidRPr="00ED1913" w:rsidRDefault="00E4373D" w:rsidP="00E4373D">
            <w:pPr>
              <w:spacing w:before="120" w:after="120"/>
              <w:rPr>
                <w:b/>
              </w:rPr>
            </w:pPr>
            <w:r w:rsidRPr="00ED1913">
              <w:rPr>
                <w:b/>
              </w:rPr>
              <w:t>Call-Off Contract value:</w:t>
            </w:r>
          </w:p>
        </w:tc>
        <w:tc>
          <w:tcPr>
            <w:tcW w:w="4819" w:type="dxa"/>
          </w:tcPr>
          <w:p w14:paraId="787F3563" w14:textId="4E91B094" w:rsidR="00F019B8" w:rsidRDefault="00F019B8" w:rsidP="00F019B8">
            <w:pPr>
              <w:spacing w:before="120" w:after="120"/>
            </w:pPr>
            <w:r>
              <w:t xml:space="preserve">Fixed Costs of </w:t>
            </w:r>
            <w:r w:rsidR="0010568A" w:rsidRPr="006F0E3A">
              <w:t>£</w:t>
            </w:r>
            <w:proofErr w:type="gramStart"/>
            <w:r w:rsidR="00EC648E" w:rsidRPr="00EC648E">
              <w:t>1,</w:t>
            </w:r>
            <w:r w:rsidR="00BE3196">
              <w:t>683,934</w:t>
            </w:r>
            <w:r w:rsidR="00170E72">
              <w:t xml:space="preserve"> </w:t>
            </w:r>
            <w:r w:rsidR="0010568A" w:rsidRPr="006F0E3A">
              <w:t xml:space="preserve"> </w:t>
            </w:r>
            <w:r w:rsidR="003E6C6E" w:rsidRPr="006F0E3A">
              <w:t>(</w:t>
            </w:r>
            <w:proofErr w:type="gramEnd"/>
            <w:r w:rsidR="003E6C6E" w:rsidRPr="006F0E3A">
              <w:t>ex VAT)</w:t>
            </w:r>
          </w:p>
          <w:p w14:paraId="503FE4C0" w14:textId="09DD9061" w:rsidR="00E4373D" w:rsidRPr="00ED1913" w:rsidRDefault="00E4373D" w:rsidP="00837780">
            <w:pPr>
              <w:spacing w:before="120" w:after="120"/>
            </w:pPr>
          </w:p>
        </w:tc>
      </w:tr>
      <w:tr w:rsidR="00E4373D" w:rsidRPr="00ED1913" w14:paraId="312C6567" w14:textId="77777777" w:rsidTr="00E4373D">
        <w:tc>
          <w:tcPr>
            <w:tcW w:w="4819" w:type="dxa"/>
          </w:tcPr>
          <w:p w14:paraId="6F7443DF" w14:textId="77777777" w:rsidR="00E4373D" w:rsidRPr="00ED1913" w:rsidRDefault="00E4373D" w:rsidP="00E4373D">
            <w:pPr>
              <w:spacing w:before="120" w:after="120"/>
              <w:rPr>
                <w:b/>
              </w:rPr>
            </w:pPr>
            <w:r w:rsidRPr="00ED1913">
              <w:rPr>
                <w:b/>
              </w:rPr>
              <w:t>Charging method:</w:t>
            </w:r>
          </w:p>
        </w:tc>
        <w:tc>
          <w:tcPr>
            <w:tcW w:w="4819" w:type="dxa"/>
          </w:tcPr>
          <w:p w14:paraId="5A5CB22E" w14:textId="382EE992" w:rsidR="00AF6EEE" w:rsidRPr="00ED1913" w:rsidRDefault="00D81B82" w:rsidP="00E47AEC">
            <w:pPr>
              <w:pStyle w:val="ListParagraph"/>
              <w:spacing w:before="120" w:after="120"/>
              <w:ind w:left="0"/>
            </w:pPr>
            <w:r w:rsidRPr="00D01C7D">
              <w:t>Annually in advance, as per Supplier Order Forms attached to this Order Form</w:t>
            </w:r>
          </w:p>
        </w:tc>
      </w:tr>
      <w:tr w:rsidR="00AF6EEE" w:rsidRPr="00ED1913" w14:paraId="732B2CF3" w14:textId="77777777" w:rsidTr="00E4373D">
        <w:tc>
          <w:tcPr>
            <w:tcW w:w="4819" w:type="dxa"/>
          </w:tcPr>
          <w:p w14:paraId="56452E6E" w14:textId="4EDACCF9" w:rsidR="00AF6EEE" w:rsidRPr="00ED1913" w:rsidRDefault="00AF6EEE" w:rsidP="00E4373D">
            <w:pPr>
              <w:spacing w:before="120" w:after="120"/>
              <w:rPr>
                <w:b/>
              </w:rPr>
            </w:pPr>
            <w:r>
              <w:rPr>
                <w:b/>
              </w:rPr>
              <w:t>Purchase Order Number</w:t>
            </w:r>
          </w:p>
        </w:tc>
        <w:tc>
          <w:tcPr>
            <w:tcW w:w="4819" w:type="dxa"/>
          </w:tcPr>
          <w:p w14:paraId="37131C23" w14:textId="1C365E7C" w:rsidR="00AF6EEE" w:rsidRDefault="00AF6EEE" w:rsidP="00E4373D">
            <w:pPr>
              <w:spacing w:before="120" w:after="120"/>
            </w:pPr>
            <w:r>
              <w:t>TBC</w:t>
            </w:r>
          </w:p>
        </w:tc>
      </w:tr>
    </w:tbl>
    <w:p w14:paraId="1D630F51" w14:textId="77777777" w:rsidR="00E4373D" w:rsidRPr="00ED1913" w:rsidRDefault="00E4373D" w:rsidP="00E4373D"/>
    <w:p w14:paraId="7C4F5177" w14:textId="77777777" w:rsidR="00E4373D" w:rsidRPr="00ED1913" w:rsidRDefault="00E4373D" w:rsidP="00E4373D">
      <w:r w:rsidRPr="00ED1913">
        <w:t>This Order Form is issued under the G-Cloud 10 Framework Agreement (RM1557.10).</w:t>
      </w:r>
    </w:p>
    <w:p w14:paraId="09F54788" w14:textId="77777777" w:rsidR="00E4373D" w:rsidRPr="00ED1913" w:rsidRDefault="00E4373D" w:rsidP="00E4373D"/>
    <w:p w14:paraId="21C5E547" w14:textId="77777777" w:rsidR="00E4373D" w:rsidRPr="00ED1913" w:rsidRDefault="00E4373D" w:rsidP="00E4373D">
      <w:r w:rsidRPr="00ED1913">
        <w:t>Buyers can use this order form to specify their G-Cloud service requirements when placing an Order.</w:t>
      </w:r>
    </w:p>
    <w:p w14:paraId="3FF9A976" w14:textId="77777777" w:rsidR="00E4373D" w:rsidRPr="00ED1913" w:rsidRDefault="00E4373D" w:rsidP="00E4373D"/>
    <w:p w14:paraId="67E6F772" w14:textId="77777777" w:rsidR="00E4373D" w:rsidRPr="00ED1913" w:rsidRDefault="00E4373D" w:rsidP="00E4373D">
      <w:r w:rsidRPr="00ED1913">
        <w:t>The Order Form cannot be used to alter existing terms or add any extra terms that materially change the Deliverables offered by the Supplier and defined in the Application.</w:t>
      </w:r>
    </w:p>
    <w:p w14:paraId="22AFB99E" w14:textId="77777777" w:rsidR="00E4373D" w:rsidRPr="00ED1913" w:rsidRDefault="00E4373D" w:rsidP="00E4373D"/>
    <w:p w14:paraId="4A7096C6" w14:textId="662CE9D8" w:rsidR="00E4373D" w:rsidRDefault="00E4373D" w:rsidP="00E4373D">
      <w:r w:rsidRPr="00ED1913">
        <w:t>There are terms in the Call-Off Contract that may be defined in the Order Form. These are identified in the contract with square brackets.</w:t>
      </w:r>
    </w:p>
    <w:p w14:paraId="6413EB8B" w14:textId="77777777" w:rsidR="00DA3DC4" w:rsidRPr="00ED1913" w:rsidRDefault="00DA3DC4" w:rsidP="00E4373D"/>
    <w:p w14:paraId="5C55027E" w14:textId="77777777" w:rsidR="00E4373D" w:rsidRPr="00ED1913" w:rsidRDefault="00E4373D" w:rsidP="00E4373D"/>
    <w:tbl>
      <w:tblPr>
        <w:tblStyle w:val="TableGrid"/>
        <w:tblW w:w="9638" w:type="dxa"/>
        <w:tblLook w:val="04A0" w:firstRow="1" w:lastRow="0" w:firstColumn="1" w:lastColumn="0" w:noHBand="0" w:noVBand="1"/>
      </w:tblPr>
      <w:tblGrid>
        <w:gridCol w:w="3969"/>
        <w:gridCol w:w="5669"/>
      </w:tblGrid>
      <w:tr w:rsidR="00345063" w:rsidRPr="00ED1913" w14:paraId="7EE2D2B0" w14:textId="77777777" w:rsidTr="00345063">
        <w:trPr>
          <w:cantSplit/>
        </w:trPr>
        <w:tc>
          <w:tcPr>
            <w:tcW w:w="3969" w:type="dxa"/>
          </w:tcPr>
          <w:p w14:paraId="444D9070" w14:textId="77777777" w:rsidR="00E4373D" w:rsidRPr="00ED1913" w:rsidRDefault="00E4373D" w:rsidP="00E4373D">
            <w:pPr>
              <w:spacing w:before="60" w:after="60"/>
              <w:rPr>
                <w:b/>
              </w:rPr>
            </w:pPr>
            <w:r w:rsidRPr="00ED1913">
              <w:rPr>
                <w:b/>
              </w:rPr>
              <w:t xml:space="preserve">From: </w:t>
            </w:r>
            <w:proofErr w:type="gramStart"/>
            <w:r w:rsidRPr="00ED1913">
              <w:rPr>
                <w:b/>
              </w:rPr>
              <w:t>the</w:t>
            </w:r>
            <w:proofErr w:type="gramEnd"/>
            <w:r w:rsidRPr="00ED1913">
              <w:rPr>
                <w:b/>
              </w:rPr>
              <w:t xml:space="preserve"> Buyer</w:t>
            </w:r>
          </w:p>
        </w:tc>
        <w:tc>
          <w:tcPr>
            <w:tcW w:w="5669" w:type="dxa"/>
          </w:tcPr>
          <w:p w14:paraId="55F1214E" w14:textId="07F26DB9" w:rsidR="00A9788F" w:rsidRDefault="00A9788F" w:rsidP="00E4373D">
            <w:pPr>
              <w:spacing w:before="60" w:after="60"/>
              <w:rPr>
                <w:color w:val="000000"/>
              </w:rPr>
            </w:pPr>
            <w:r w:rsidRPr="005A02E7">
              <w:rPr>
                <w:b/>
                <w:color w:val="000000"/>
              </w:rPr>
              <w:t xml:space="preserve">THE SECRETARY OF STATE FOR </w:t>
            </w:r>
            <w:r>
              <w:rPr>
                <w:b/>
              </w:rPr>
              <w:t xml:space="preserve">EDUCATION </w:t>
            </w:r>
            <w:r w:rsidRPr="005A02E7">
              <w:rPr>
                <w:color w:val="000000"/>
              </w:rPr>
              <w:t>whose Head Office is at Sanctuary Buildings, Great Smith Street, London, SW1P 3BT (the</w:t>
            </w:r>
            <w:r w:rsidRPr="005A02E7">
              <w:rPr>
                <w:b/>
                <w:color w:val="000000"/>
              </w:rPr>
              <w:t xml:space="preserve"> </w:t>
            </w:r>
            <w:r w:rsidRPr="005A02E7">
              <w:rPr>
                <w:color w:val="000000"/>
              </w:rPr>
              <w:t>"</w:t>
            </w:r>
            <w:r>
              <w:rPr>
                <w:b/>
                <w:color w:val="000000"/>
              </w:rPr>
              <w:t>Buyer</w:t>
            </w:r>
            <w:r w:rsidRPr="005A02E7">
              <w:rPr>
                <w:color w:val="000000"/>
              </w:rPr>
              <w:t xml:space="preserve">"); </w:t>
            </w:r>
          </w:p>
          <w:p w14:paraId="4DA2F020" w14:textId="63775500" w:rsidR="00E4373D" w:rsidRPr="00ED1913" w:rsidRDefault="00E4373D" w:rsidP="00710FC2">
            <w:pPr>
              <w:spacing w:before="60" w:after="60"/>
            </w:pPr>
          </w:p>
        </w:tc>
      </w:tr>
      <w:tr w:rsidR="00345063" w:rsidRPr="00ED1913" w14:paraId="32475731" w14:textId="77777777" w:rsidTr="00345063">
        <w:trPr>
          <w:cantSplit/>
        </w:trPr>
        <w:tc>
          <w:tcPr>
            <w:tcW w:w="3969" w:type="dxa"/>
          </w:tcPr>
          <w:p w14:paraId="5EB9ACB0" w14:textId="77777777" w:rsidR="00E4373D" w:rsidRPr="00ED1913" w:rsidRDefault="00E4373D" w:rsidP="00E4373D">
            <w:pPr>
              <w:spacing w:before="60" w:after="60"/>
              <w:rPr>
                <w:b/>
              </w:rPr>
            </w:pPr>
            <w:r w:rsidRPr="00ED1913">
              <w:rPr>
                <w:b/>
              </w:rPr>
              <w:lastRenderedPageBreak/>
              <w:t xml:space="preserve">To: </w:t>
            </w:r>
            <w:proofErr w:type="gramStart"/>
            <w:r w:rsidRPr="00ED1913">
              <w:rPr>
                <w:b/>
              </w:rPr>
              <w:t>the</w:t>
            </w:r>
            <w:proofErr w:type="gramEnd"/>
            <w:r w:rsidRPr="00ED1913">
              <w:rPr>
                <w:b/>
              </w:rPr>
              <w:t xml:space="preserve"> Supplier</w:t>
            </w:r>
          </w:p>
        </w:tc>
        <w:tc>
          <w:tcPr>
            <w:tcW w:w="5669" w:type="dxa"/>
          </w:tcPr>
          <w:p w14:paraId="7DA9F485" w14:textId="4CAD922D" w:rsidR="00443935" w:rsidRDefault="00443935" w:rsidP="00E4373D">
            <w:pPr>
              <w:spacing w:before="60" w:after="60"/>
            </w:pPr>
            <w:r>
              <w:t>Workday</w:t>
            </w:r>
            <w:r w:rsidR="0085528D">
              <w:t xml:space="preserve"> Limited</w:t>
            </w:r>
          </w:p>
          <w:p w14:paraId="4724F0FE" w14:textId="77777777" w:rsidR="00867609" w:rsidRDefault="00443935" w:rsidP="00867609">
            <w:pPr>
              <w:spacing w:before="60" w:after="60"/>
            </w:pPr>
            <w:r>
              <w:t>Phone Number</w:t>
            </w:r>
            <w:proofErr w:type="gramStart"/>
            <w:r>
              <w:t xml:space="preserve">: </w:t>
            </w:r>
            <w:r w:rsidR="00867609" w:rsidRPr="00ED1913">
              <w:t>:</w:t>
            </w:r>
            <w:proofErr w:type="gramEnd"/>
            <w:r w:rsidR="00867609" w:rsidRPr="00ED1913">
              <w:t xml:space="preserve"> </w:t>
            </w:r>
            <w:r w:rsidR="00867609" w:rsidRPr="009537A1">
              <w:rPr>
                <w:b/>
                <w:bCs/>
              </w:rPr>
              <w:t>&lt;REDACTED&gt;</w:t>
            </w:r>
          </w:p>
          <w:p w14:paraId="06CEBF18" w14:textId="53257A79" w:rsidR="00E4373D" w:rsidRPr="00ED1913" w:rsidRDefault="00867609" w:rsidP="00E4373D">
            <w:pPr>
              <w:spacing w:before="60" w:after="60"/>
            </w:pPr>
            <w:r>
              <w:t>S</w:t>
            </w:r>
            <w:r w:rsidR="00205F49">
              <w:t xml:space="preserve">upplier’s </w:t>
            </w:r>
            <w:r w:rsidR="00E4373D" w:rsidRPr="00ED1913">
              <w:t>address:</w:t>
            </w:r>
            <w:r w:rsidR="00837780">
              <w:t xml:space="preserve"> </w:t>
            </w:r>
            <w:r w:rsidR="00A32056">
              <w:t>The King’s Building, May Lane, Dublin 7, Ireland</w:t>
            </w:r>
          </w:p>
          <w:p w14:paraId="33D5F5E6" w14:textId="30739841" w:rsidR="00205F49" w:rsidRPr="00ED1913" w:rsidRDefault="00205F49" w:rsidP="00443935">
            <w:pPr>
              <w:spacing w:before="60" w:after="60"/>
              <w:rPr>
                <w:highlight w:val="yellow"/>
              </w:rPr>
            </w:pPr>
            <w:r w:rsidRPr="00205F49">
              <w:t xml:space="preserve">Company number: </w:t>
            </w:r>
            <w:r w:rsidR="00837780">
              <w:t>521013</w:t>
            </w:r>
          </w:p>
        </w:tc>
      </w:tr>
      <w:tr w:rsidR="00E4373D" w:rsidRPr="00ED1913" w14:paraId="7B9E482C" w14:textId="77777777" w:rsidTr="00E4373D">
        <w:trPr>
          <w:cantSplit/>
        </w:trPr>
        <w:tc>
          <w:tcPr>
            <w:tcW w:w="9638" w:type="dxa"/>
            <w:gridSpan w:val="2"/>
          </w:tcPr>
          <w:p w14:paraId="75E8B615" w14:textId="77777777" w:rsidR="00E4373D" w:rsidRPr="00ED1913" w:rsidRDefault="00E4373D" w:rsidP="00E4373D">
            <w:pPr>
              <w:spacing w:before="60" w:after="60"/>
              <w:rPr>
                <w:highlight w:val="yellow"/>
              </w:rPr>
            </w:pPr>
            <w:r w:rsidRPr="00ED1913">
              <w:rPr>
                <w:b/>
              </w:rPr>
              <w:t xml:space="preserve">Together: the </w:t>
            </w:r>
            <w:r w:rsidR="00C82E38" w:rsidRPr="00ED1913">
              <w:rPr>
                <w:b/>
              </w:rPr>
              <w:t>‘</w:t>
            </w:r>
            <w:r w:rsidRPr="00ED1913">
              <w:rPr>
                <w:b/>
              </w:rPr>
              <w:t>Parties</w:t>
            </w:r>
            <w:r w:rsidR="00C82E38" w:rsidRPr="00ED1913">
              <w:rPr>
                <w:b/>
              </w:rPr>
              <w:t>’</w:t>
            </w:r>
          </w:p>
        </w:tc>
      </w:tr>
    </w:tbl>
    <w:p w14:paraId="0243CCA1" w14:textId="77777777" w:rsidR="00E4373D" w:rsidRPr="00ED1913" w:rsidRDefault="00E4373D" w:rsidP="00E4373D"/>
    <w:p w14:paraId="7E0DEDB6" w14:textId="77777777" w:rsidR="00E4373D" w:rsidRPr="00ED1913" w:rsidRDefault="00E4373D" w:rsidP="00345063">
      <w:pPr>
        <w:spacing w:after="120"/>
        <w:rPr>
          <w:b/>
        </w:rPr>
      </w:pPr>
      <w:r w:rsidRPr="00ED1913">
        <w:rPr>
          <w:b/>
        </w:rPr>
        <w:t>Principle contact details</w:t>
      </w:r>
    </w:p>
    <w:tbl>
      <w:tblPr>
        <w:tblStyle w:val="TableGrid"/>
        <w:tblW w:w="9638" w:type="dxa"/>
        <w:tblLook w:val="04A0" w:firstRow="1" w:lastRow="0" w:firstColumn="1" w:lastColumn="0" w:noHBand="0" w:noVBand="1"/>
      </w:tblPr>
      <w:tblGrid>
        <w:gridCol w:w="3969"/>
        <w:gridCol w:w="5669"/>
      </w:tblGrid>
      <w:tr w:rsidR="00345063" w:rsidRPr="00ED1913" w14:paraId="5DDC1096" w14:textId="77777777" w:rsidTr="00345063">
        <w:tc>
          <w:tcPr>
            <w:tcW w:w="3969" w:type="dxa"/>
          </w:tcPr>
          <w:p w14:paraId="77656C48" w14:textId="77777777" w:rsidR="00E4373D" w:rsidRPr="00ED1913" w:rsidRDefault="00E4373D" w:rsidP="00345063">
            <w:pPr>
              <w:spacing w:before="60" w:after="60"/>
              <w:rPr>
                <w:b/>
              </w:rPr>
            </w:pPr>
            <w:r w:rsidRPr="00ED1913">
              <w:rPr>
                <w:b/>
              </w:rPr>
              <w:t>For the Buyer:</w:t>
            </w:r>
          </w:p>
        </w:tc>
        <w:tc>
          <w:tcPr>
            <w:tcW w:w="5669" w:type="dxa"/>
          </w:tcPr>
          <w:p w14:paraId="08F7FF2B" w14:textId="5E60387F" w:rsidR="00345063" w:rsidRPr="00ED1913" w:rsidRDefault="00345063" w:rsidP="00345063">
            <w:pPr>
              <w:spacing w:before="60" w:after="60"/>
            </w:pPr>
            <w:r w:rsidRPr="00ED1913">
              <w:t xml:space="preserve">Title: </w:t>
            </w:r>
            <w:r w:rsidR="00DA3DC4">
              <w:t xml:space="preserve"> Senior Contract Manager</w:t>
            </w:r>
          </w:p>
          <w:p w14:paraId="2D04D596" w14:textId="0EB23B23" w:rsidR="00345063" w:rsidRDefault="00345063" w:rsidP="00345063">
            <w:pPr>
              <w:spacing w:before="60" w:after="60"/>
            </w:pPr>
            <w:r w:rsidRPr="00ED1913">
              <w:t>Name</w:t>
            </w:r>
            <w:bookmarkStart w:id="1" w:name="_Hlk69482977"/>
            <w:r w:rsidRPr="00ED1913">
              <w:t xml:space="preserve">: </w:t>
            </w:r>
            <w:r w:rsidR="009537A1" w:rsidRPr="009537A1">
              <w:rPr>
                <w:b/>
                <w:bCs/>
              </w:rPr>
              <w:t>&lt;REDACTED&gt;</w:t>
            </w:r>
          </w:p>
          <w:bookmarkEnd w:id="1"/>
          <w:p w14:paraId="46156C44" w14:textId="335160D4" w:rsidR="00A9788F" w:rsidRPr="00ED1913" w:rsidRDefault="00A9788F" w:rsidP="00345063">
            <w:pPr>
              <w:spacing w:before="60" w:after="60"/>
            </w:pPr>
            <w:r>
              <w:t xml:space="preserve">Address: </w:t>
            </w:r>
            <w:r w:rsidR="00837780" w:rsidRPr="00837780">
              <w:t>Sanctuary Buildings, Great Smith Street, London   SW1P 3BT</w:t>
            </w:r>
          </w:p>
          <w:p w14:paraId="2CEE0CDC" w14:textId="44950BCE" w:rsidR="009537A1" w:rsidRDefault="00345063" w:rsidP="009537A1">
            <w:pPr>
              <w:spacing w:before="60" w:after="60"/>
            </w:pPr>
            <w:r w:rsidRPr="00ED1913">
              <w:t xml:space="preserve">Email: </w:t>
            </w:r>
            <w:r w:rsidR="00DA3DC4">
              <w:t xml:space="preserve"> </w:t>
            </w:r>
            <w:r w:rsidR="009537A1" w:rsidRPr="009537A1">
              <w:rPr>
                <w:b/>
                <w:bCs/>
              </w:rPr>
              <w:t>&lt;REDACTED&gt;</w:t>
            </w:r>
          </w:p>
          <w:p w14:paraId="077991D3" w14:textId="24F2BE92" w:rsidR="00E4373D" w:rsidRPr="00ED1913" w:rsidRDefault="00345063" w:rsidP="009537A1">
            <w:pPr>
              <w:spacing w:before="60" w:after="60"/>
            </w:pPr>
            <w:r w:rsidRPr="00ED1913">
              <w:t xml:space="preserve">Phone: </w:t>
            </w:r>
            <w:r w:rsidR="009537A1" w:rsidRPr="009537A1">
              <w:rPr>
                <w:b/>
                <w:bCs/>
              </w:rPr>
              <w:t>&lt;REDACTED&gt;</w:t>
            </w:r>
          </w:p>
        </w:tc>
      </w:tr>
      <w:tr w:rsidR="00345063" w:rsidRPr="00ED1913" w14:paraId="73A1A674" w14:textId="77777777" w:rsidTr="00345063">
        <w:tc>
          <w:tcPr>
            <w:tcW w:w="3969" w:type="dxa"/>
          </w:tcPr>
          <w:p w14:paraId="5E752887" w14:textId="77777777" w:rsidR="00E4373D" w:rsidRPr="00ED1913" w:rsidRDefault="00E4373D" w:rsidP="00345063">
            <w:pPr>
              <w:spacing w:before="60" w:after="60"/>
              <w:rPr>
                <w:b/>
              </w:rPr>
            </w:pPr>
            <w:r w:rsidRPr="00ED1913">
              <w:rPr>
                <w:b/>
              </w:rPr>
              <w:t>For the Supplier:</w:t>
            </w:r>
          </w:p>
        </w:tc>
        <w:tc>
          <w:tcPr>
            <w:tcW w:w="5669" w:type="dxa"/>
          </w:tcPr>
          <w:p w14:paraId="4FA09B4F" w14:textId="7BD8CBD3" w:rsidR="00345063" w:rsidRPr="00ED1913" w:rsidRDefault="00345063" w:rsidP="00345063">
            <w:pPr>
              <w:spacing w:before="60" w:after="60"/>
            </w:pPr>
            <w:r w:rsidRPr="00ED1913">
              <w:t xml:space="preserve">Title: </w:t>
            </w:r>
            <w:r w:rsidR="00837780">
              <w:t>Account Executive</w:t>
            </w:r>
          </w:p>
          <w:p w14:paraId="5F72FE7D" w14:textId="0F85ADA0" w:rsidR="00345063" w:rsidRPr="00ED1913" w:rsidRDefault="00345063" w:rsidP="00345063">
            <w:pPr>
              <w:spacing w:before="60" w:after="60"/>
            </w:pPr>
            <w:r w:rsidRPr="00ED1913">
              <w:t xml:space="preserve">Name: </w:t>
            </w:r>
            <w:r w:rsidR="009537A1" w:rsidRPr="009537A1">
              <w:rPr>
                <w:b/>
                <w:bCs/>
              </w:rPr>
              <w:t>&lt;REDACTED&gt;</w:t>
            </w:r>
          </w:p>
          <w:p w14:paraId="5999E49D" w14:textId="585043E2" w:rsidR="00345063" w:rsidRPr="00ED1913" w:rsidRDefault="00345063" w:rsidP="00345063">
            <w:pPr>
              <w:spacing w:before="60" w:after="60"/>
            </w:pPr>
            <w:r w:rsidRPr="00ED1913">
              <w:t xml:space="preserve">Email: </w:t>
            </w:r>
            <w:r w:rsidR="009537A1" w:rsidRPr="009537A1">
              <w:rPr>
                <w:b/>
                <w:bCs/>
              </w:rPr>
              <w:t>&lt;REDACTED&gt;</w:t>
            </w:r>
          </w:p>
          <w:p w14:paraId="7FE447C1" w14:textId="1A49178F" w:rsidR="00E4373D" w:rsidRPr="00ED1913" w:rsidRDefault="00345063" w:rsidP="0060270A">
            <w:pPr>
              <w:spacing w:before="60" w:after="60"/>
            </w:pPr>
            <w:r w:rsidRPr="00ED1913">
              <w:t xml:space="preserve">Phone: </w:t>
            </w:r>
            <w:r w:rsidR="009537A1" w:rsidRPr="009537A1">
              <w:rPr>
                <w:b/>
                <w:bCs/>
              </w:rPr>
              <w:t>&lt;REDACTED&gt;</w:t>
            </w:r>
          </w:p>
        </w:tc>
      </w:tr>
    </w:tbl>
    <w:p w14:paraId="1B7BAD59" w14:textId="77777777" w:rsidR="00E4373D" w:rsidRPr="00ED1913" w:rsidRDefault="00E4373D" w:rsidP="00E4373D"/>
    <w:p w14:paraId="72B5F6E3" w14:textId="77777777" w:rsidR="00345063" w:rsidRPr="00ED1913" w:rsidRDefault="00345063" w:rsidP="00345063">
      <w:pPr>
        <w:spacing w:after="120"/>
        <w:rPr>
          <w:b/>
        </w:rPr>
      </w:pPr>
      <w:r w:rsidRPr="00ED1913">
        <w:rPr>
          <w:b/>
        </w:rPr>
        <w:t>Call-Off Contract term</w:t>
      </w:r>
    </w:p>
    <w:tbl>
      <w:tblPr>
        <w:tblStyle w:val="TableGrid"/>
        <w:tblW w:w="9638" w:type="dxa"/>
        <w:tblLook w:val="04A0" w:firstRow="1" w:lastRow="0" w:firstColumn="1" w:lastColumn="0" w:noHBand="0" w:noVBand="1"/>
      </w:tblPr>
      <w:tblGrid>
        <w:gridCol w:w="3969"/>
        <w:gridCol w:w="5669"/>
      </w:tblGrid>
      <w:tr w:rsidR="00345063" w:rsidRPr="00ED1913" w14:paraId="457317BA" w14:textId="77777777" w:rsidTr="00345063">
        <w:tc>
          <w:tcPr>
            <w:tcW w:w="3969" w:type="dxa"/>
          </w:tcPr>
          <w:p w14:paraId="49CD4E36" w14:textId="77777777" w:rsidR="00345063" w:rsidRPr="00ED1913" w:rsidRDefault="00345063" w:rsidP="00345063">
            <w:pPr>
              <w:spacing w:before="60" w:after="60"/>
              <w:rPr>
                <w:b/>
              </w:rPr>
            </w:pPr>
            <w:r w:rsidRPr="00ED1913">
              <w:rPr>
                <w:b/>
              </w:rPr>
              <w:t>Start date:</w:t>
            </w:r>
          </w:p>
        </w:tc>
        <w:tc>
          <w:tcPr>
            <w:tcW w:w="5669" w:type="dxa"/>
          </w:tcPr>
          <w:p w14:paraId="643E4F3F" w14:textId="6DD9F595" w:rsidR="00345063" w:rsidRPr="00ED1913" w:rsidRDefault="00345063" w:rsidP="0060270A">
            <w:pPr>
              <w:spacing w:before="60" w:after="60"/>
            </w:pPr>
            <w:r w:rsidRPr="00ED1913">
              <w:t xml:space="preserve">This Call-Off Contract Starts on </w:t>
            </w:r>
            <w:r w:rsidR="00E80894">
              <w:t>February 21</w:t>
            </w:r>
            <w:r w:rsidR="00E80894" w:rsidRPr="00E47AEC">
              <w:rPr>
                <w:vertAlign w:val="superscript"/>
              </w:rPr>
              <w:t>st</w:t>
            </w:r>
            <w:r w:rsidR="00E80894">
              <w:t xml:space="preserve">, </w:t>
            </w:r>
            <w:proofErr w:type="gramStart"/>
            <w:r w:rsidR="00E80894">
              <w:t>2019</w:t>
            </w:r>
            <w:proofErr w:type="gramEnd"/>
            <w:r w:rsidR="0060270A">
              <w:t xml:space="preserve"> </w:t>
            </w:r>
            <w:r w:rsidRPr="00ED1913">
              <w:t xml:space="preserve">and is valid for </w:t>
            </w:r>
            <w:r w:rsidR="00205F49">
              <w:t>24 months</w:t>
            </w:r>
            <w:r w:rsidR="00A9788F">
              <w:t xml:space="preserve">, until </w:t>
            </w:r>
            <w:r w:rsidR="00E80894">
              <w:t>February 20, 2021</w:t>
            </w:r>
            <w:r w:rsidR="00205F49">
              <w:t>.</w:t>
            </w:r>
          </w:p>
        </w:tc>
      </w:tr>
      <w:tr w:rsidR="00345063" w:rsidRPr="00ED1913" w14:paraId="58643697" w14:textId="77777777" w:rsidTr="00345063">
        <w:tc>
          <w:tcPr>
            <w:tcW w:w="3969" w:type="dxa"/>
          </w:tcPr>
          <w:p w14:paraId="6B620D5D" w14:textId="77777777" w:rsidR="00345063" w:rsidRPr="00ED1913" w:rsidRDefault="00345063" w:rsidP="00345063">
            <w:pPr>
              <w:spacing w:before="60" w:after="60"/>
              <w:rPr>
                <w:b/>
              </w:rPr>
            </w:pPr>
            <w:r w:rsidRPr="00ED1913">
              <w:rPr>
                <w:b/>
              </w:rPr>
              <w:t>Ending (termination):</w:t>
            </w:r>
          </w:p>
        </w:tc>
        <w:tc>
          <w:tcPr>
            <w:tcW w:w="5669" w:type="dxa"/>
          </w:tcPr>
          <w:p w14:paraId="2BA79DF9" w14:textId="47D2C59E" w:rsidR="00345063" w:rsidRPr="00ED1913" w:rsidRDefault="00345063" w:rsidP="0060270A">
            <w:pPr>
              <w:spacing w:before="60" w:after="60"/>
            </w:pPr>
            <w:r w:rsidRPr="00ED1913">
              <w:t xml:space="preserve">The notice period needed for Ending the Call-Off Contract </w:t>
            </w:r>
            <w:r w:rsidRPr="00205F49">
              <w:t xml:space="preserve">is </w:t>
            </w:r>
            <w:r w:rsidR="00205F49" w:rsidRPr="00205F49">
              <w:t>at least 90</w:t>
            </w:r>
            <w:r w:rsidRPr="00205F49">
              <w:t xml:space="preserve"> Working Days from the date of written notice fo</w:t>
            </w:r>
            <w:r w:rsidR="00205F49" w:rsidRPr="00205F49">
              <w:t>r disputed sums or at least</w:t>
            </w:r>
            <w:r w:rsidR="00303DFE">
              <w:t xml:space="preserve"> 30</w:t>
            </w:r>
            <w:r w:rsidRPr="00205F49">
              <w:t xml:space="preserve"> days from the date of written notice for Ending without cause.</w:t>
            </w:r>
          </w:p>
        </w:tc>
      </w:tr>
      <w:tr w:rsidR="00345063" w:rsidRPr="00ED1913" w14:paraId="3EB44F00" w14:textId="77777777" w:rsidTr="00345063">
        <w:tc>
          <w:tcPr>
            <w:tcW w:w="3969" w:type="dxa"/>
          </w:tcPr>
          <w:p w14:paraId="178F3698" w14:textId="77777777" w:rsidR="00345063" w:rsidRPr="00ED1913" w:rsidRDefault="00345063" w:rsidP="00345063">
            <w:pPr>
              <w:spacing w:before="60" w:after="60"/>
              <w:rPr>
                <w:b/>
              </w:rPr>
            </w:pPr>
            <w:r w:rsidRPr="00ED1913">
              <w:rPr>
                <w:b/>
              </w:rPr>
              <w:t>Extension period:</w:t>
            </w:r>
          </w:p>
        </w:tc>
        <w:tc>
          <w:tcPr>
            <w:tcW w:w="5669" w:type="dxa"/>
          </w:tcPr>
          <w:p w14:paraId="6C2E22BC" w14:textId="6627D601" w:rsidR="00345063" w:rsidRPr="00ED1913" w:rsidRDefault="00345063" w:rsidP="00345063">
            <w:pPr>
              <w:spacing w:before="60" w:after="60"/>
            </w:pPr>
            <w:r w:rsidRPr="00ED1913">
              <w:t xml:space="preserve">This Call-Off Contract can be extended by the Buyer for </w:t>
            </w:r>
            <w:r w:rsidR="00205F49">
              <w:t>two</w:t>
            </w:r>
            <w:r w:rsidRPr="00ED1913">
              <w:t xml:space="preserve"> period(s) of </w:t>
            </w:r>
            <w:r w:rsidR="00205F49">
              <w:t>12</w:t>
            </w:r>
            <w:r w:rsidRPr="00ED1913">
              <w:t xml:space="preserve"> months each, by giving the Supplier </w:t>
            </w:r>
            <w:r w:rsidR="00205F49">
              <w:t>30 days</w:t>
            </w:r>
            <w:r w:rsidRPr="00ED1913">
              <w:t xml:space="preserve"> written notice before its expiry.</w:t>
            </w:r>
          </w:p>
          <w:p w14:paraId="1556D19E" w14:textId="7C6EB9ED" w:rsidR="00345063" w:rsidRPr="00ED1913" w:rsidRDefault="00345063" w:rsidP="00303DFE">
            <w:pPr>
              <w:spacing w:before="60" w:after="60"/>
            </w:pPr>
            <w:r w:rsidRPr="00ED1913">
              <w:t>Extensions which extend the Term beyond 24 months are only permitted</w:t>
            </w:r>
            <w:r w:rsidR="00303DFE">
              <w:t xml:space="preserve"> following Cabinet Office approval and </w:t>
            </w:r>
            <w:r w:rsidRPr="00ED1913">
              <w:t>if the Supplier complies with the additional exit plan requirements at clauses 21.3 to 21.8.</w:t>
            </w:r>
          </w:p>
        </w:tc>
      </w:tr>
    </w:tbl>
    <w:p w14:paraId="26477A1C" w14:textId="77777777" w:rsidR="00345063" w:rsidRPr="00ED1913" w:rsidRDefault="00345063" w:rsidP="00E4373D"/>
    <w:p w14:paraId="1F24461C" w14:textId="77777777" w:rsidR="00345063" w:rsidRPr="00ED1913" w:rsidRDefault="00345063" w:rsidP="00345063">
      <w:pPr>
        <w:spacing w:after="120"/>
        <w:rPr>
          <w:b/>
        </w:rPr>
      </w:pPr>
      <w:r w:rsidRPr="00ED1913">
        <w:rPr>
          <w:b/>
        </w:rPr>
        <w:t>Buyer contractual details</w:t>
      </w:r>
    </w:p>
    <w:p w14:paraId="4DA27404" w14:textId="77777777" w:rsidR="00345063" w:rsidRPr="00ED1913" w:rsidRDefault="00345063" w:rsidP="00345063">
      <w:r w:rsidRPr="00ED1913">
        <w:lastRenderedPageBreak/>
        <w:t>This Order is for the G-Cloud Services outlined below. It is acknowledged by the Parties that the volume of the G-Cloud Services used by the Buyer may vary during this Call-Off Contract.</w:t>
      </w:r>
    </w:p>
    <w:p w14:paraId="6C49A11B" w14:textId="77777777" w:rsidR="00581CC5" w:rsidRPr="00ED1913" w:rsidRDefault="00581CC5" w:rsidP="00345063"/>
    <w:tbl>
      <w:tblPr>
        <w:tblStyle w:val="TableGrid"/>
        <w:tblW w:w="9639" w:type="dxa"/>
        <w:tblLayout w:type="fixed"/>
        <w:tblLook w:val="04A0" w:firstRow="1" w:lastRow="0" w:firstColumn="1" w:lastColumn="0" w:noHBand="0" w:noVBand="1"/>
      </w:tblPr>
      <w:tblGrid>
        <w:gridCol w:w="3969"/>
        <w:gridCol w:w="5670"/>
      </w:tblGrid>
      <w:tr w:rsidR="00581CC5" w:rsidRPr="00ED1913" w14:paraId="6A25EA2C" w14:textId="77777777" w:rsidTr="004E1163">
        <w:tc>
          <w:tcPr>
            <w:tcW w:w="3969" w:type="dxa"/>
          </w:tcPr>
          <w:p w14:paraId="5FB678FA" w14:textId="77777777" w:rsidR="00581CC5" w:rsidRPr="00C25D26" w:rsidRDefault="00581CC5" w:rsidP="00581CC5">
            <w:pPr>
              <w:spacing w:before="60" w:after="60"/>
              <w:rPr>
                <w:b/>
              </w:rPr>
            </w:pPr>
            <w:r w:rsidRPr="00C25D26">
              <w:rPr>
                <w:b/>
              </w:rPr>
              <w:t>G-Cloud lot:</w:t>
            </w:r>
          </w:p>
        </w:tc>
        <w:tc>
          <w:tcPr>
            <w:tcW w:w="5670" w:type="dxa"/>
          </w:tcPr>
          <w:p w14:paraId="764BE582" w14:textId="77777777" w:rsidR="00581CC5" w:rsidRPr="00C25D26" w:rsidRDefault="00581CC5" w:rsidP="00581CC5">
            <w:pPr>
              <w:spacing w:before="60" w:after="60"/>
            </w:pPr>
            <w:r w:rsidRPr="00C25D26">
              <w:t>This Call-Off Contract is for the provision of Services under:</w:t>
            </w:r>
          </w:p>
          <w:p w14:paraId="0DBC9F29" w14:textId="3A964CCC" w:rsidR="00581CC5" w:rsidRPr="00C25D26" w:rsidRDefault="00581CC5" w:rsidP="00581CC5">
            <w:pPr>
              <w:spacing w:before="60" w:after="60"/>
            </w:pPr>
            <w:r w:rsidRPr="00C25D26">
              <w:t>Lot 2 - Cloud software</w:t>
            </w:r>
          </w:p>
          <w:p w14:paraId="1832A663" w14:textId="2FA1EC4E" w:rsidR="00581CC5" w:rsidRPr="00C25D26" w:rsidRDefault="00581CC5" w:rsidP="00581CC5">
            <w:pPr>
              <w:spacing w:before="60" w:after="60"/>
            </w:pPr>
          </w:p>
        </w:tc>
      </w:tr>
      <w:tr w:rsidR="00581CC5" w:rsidRPr="00ED1913" w14:paraId="7DA00418" w14:textId="77777777" w:rsidTr="004E1163">
        <w:tc>
          <w:tcPr>
            <w:tcW w:w="3969" w:type="dxa"/>
          </w:tcPr>
          <w:p w14:paraId="4B957B64" w14:textId="77777777" w:rsidR="00581CC5" w:rsidRPr="00ED1913" w:rsidRDefault="00581CC5" w:rsidP="00581CC5">
            <w:pPr>
              <w:spacing w:before="60" w:after="60"/>
              <w:rPr>
                <w:b/>
              </w:rPr>
            </w:pPr>
            <w:r w:rsidRPr="00ED1913">
              <w:rPr>
                <w:b/>
              </w:rPr>
              <w:t>G-Cloud services required:</w:t>
            </w:r>
          </w:p>
        </w:tc>
        <w:tc>
          <w:tcPr>
            <w:tcW w:w="5670" w:type="dxa"/>
          </w:tcPr>
          <w:p w14:paraId="40AB8A43" w14:textId="21525431" w:rsidR="00581CC5" w:rsidRPr="008220F5" w:rsidRDefault="00581CC5" w:rsidP="00581CC5">
            <w:pPr>
              <w:spacing w:before="60" w:after="60"/>
            </w:pPr>
            <w:r w:rsidRPr="00ED1913">
              <w:t xml:space="preserve">The Services to be provided by the Supplier under </w:t>
            </w:r>
            <w:r w:rsidR="00FF6852">
              <w:t xml:space="preserve">Lot 2 </w:t>
            </w:r>
            <w:r w:rsidR="00FF6852" w:rsidRPr="008220F5">
              <w:t>Cloud Software</w:t>
            </w:r>
            <w:r w:rsidR="00D66F72" w:rsidRPr="008220F5">
              <w:t xml:space="preserve"> for Service ID 524837239972037</w:t>
            </w:r>
            <w:r w:rsidRPr="008220F5">
              <w:t xml:space="preserve"> are listed in Framework Section 2 and outlined below:</w:t>
            </w:r>
          </w:p>
          <w:p w14:paraId="2827876B" w14:textId="0F82E0AD" w:rsidR="00C25D26" w:rsidRPr="008220F5" w:rsidRDefault="00C25D26" w:rsidP="00581CC5">
            <w:pPr>
              <w:spacing w:before="60" w:after="60"/>
            </w:pPr>
          </w:p>
          <w:p w14:paraId="3A99D67E" w14:textId="211DDC02" w:rsidR="00867609" w:rsidRDefault="00D54A14" w:rsidP="00867609">
            <w:pPr>
              <w:spacing w:before="60" w:after="60"/>
            </w:pPr>
            <w:bookmarkStart w:id="2" w:name="_Hlk530140610"/>
            <w:r w:rsidRPr="003D5132">
              <w:rPr>
                <w:b/>
              </w:rPr>
              <w:t>Subscription</w:t>
            </w:r>
            <w:r w:rsidR="00D66F72" w:rsidRPr="008220F5">
              <w:rPr>
                <w:b/>
              </w:rPr>
              <w:t xml:space="preserve"> costs</w:t>
            </w:r>
            <w:r w:rsidR="00D66F72" w:rsidRPr="008220F5">
              <w:t xml:space="preserve"> for t</w:t>
            </w:r>
            <w:r w:rsidR="001D7807" w:rsidRPr="008220F5">
              <w:t xml:space="preserve">he </w:t>
            </w:r>
            <w:r w:rsidR="0060270A" w:rsidRPr="008220F5">
              <w:t>HCM, Payroll, Expenses and Recruiting solution</w:t>
            </w:r>
            <w:r w:rsidR="00D66F72" w:rsidRPr="008220F5">
              <w:t>. This is f</w:t>
            </w:r>
            <w:r w:rsidR="00FF6852" w:rsidRPr="008220F5">
              <w:t xml:space="preserve">or </w:t>
            </w:r>
            <w:r w:rsidR="001D7807" w:rsidRPr="008220F5">
              <w:t>u</w:t>
            </w:r>
            <w:r w:rsidR="00C25D26" w:rsidRPr="008220F5">
              <w:t xml:space="preserve">p </w:t>
            </w:r>
            <w:proofErr w:type="gramStart"/>
            <w:r w:rsidR="00C25D26" w:rsidRPr="008220F5">
              <w:t xml:space="preserve">to </w:t>
            </w:r>
            <w:r w:rsidR="00867609" w:rsidRPr="00ED1913">
              <w:t>:</w:t>
            </w:r>
            <w:proofErr w:type="gramEnd"/>
            <w:r w:rsidR="00867609" w:rsidRPr="00ED1913">
              <w:t xml:space="preserve"> </w:t>
            </w:r>
            <w:r w:rsidR="00867609" w:rsidRPr="009537A1">
              <w:rPr>
                <w:b/>
                <w:bCs/>
              </w:rPr>
              <w:t>&lt;REDACTED&gt;</w:t>
            </w:r>
            <w:r w:rsidR="00867609">
              <w:rPr>
                <w:b/>
                <w:bCs/>
              </w:rPr>
              <w:t xml:space="preserve"> </w:t>
            </w:r>
            <w:r w:rsidR="0060270A" w:rsidRPr="008220F5">
              <w:t>staff of which</w:t>
            </w:r>
            <w:r w:rsidR="00867609" w:rsidRPr="00ED1913">
              <w:t xml:space="preserve">: </w:t>
            </w:r>
            <w:r w:rsidR="00867609" w:rsidRPr="009537A1">
              <w:rPr>
                <w:b/>
                <w:bCs/>
              </w:rPr>
              <w:t>&lt;REDACTED&gt;</w:t>
            </w:r>
          </w:p>
          <w:p w14:paraId="2AF2074B" w14:textId="3AC681EE" w:rsidR="00C25D26" w:rsidRDefault="0060270A" w:rsidP="00D66F72">
            <w:pPr>
              <w:spacing w:before="60" w:after="60"/>
            </w:pPr>
            <w:r w:rsidRPr="008220F5">
              <w:t xml:space="preserve">  are part time</w:t>
            </w:r>
            <w:r w:rsidR="00303DFE" w:rsidRPr="008220F5">
              <w:t>, although consumption may be increased up to 20%</w:t>
            </w:r>
            <w:r w:rsidR="00B651DC" w:rsidRPr="008220F5">
              <w:t xml:space="preserve"> following c</w:t>
            </w:r>
            <w:r w:rsidRPr="008220F5">
              <w:t>ommercial agreement with Workday</w:t>
            </w:r>
            <w:r w:rsidR="00303DFE" w:rsidRPr="008220F5">
              <w:t xml:space="preserve">. The </w:t>
            </w:r>
            <w:r w:rsidR="00E74121" w:rsidRPr="008220F5">
              <w:t xml:space="preserve">HR and Payroll </w:t>
            </w:r>
            <w:r w:rsidR="00303DFE" w:rsidRPr="008220F5">
              <w:t>Suite include</w:t>
            </w:r>
            <w:r w:rsidR="00E74121" w:rsidRPr="008220F5">
              <w:t>s</w:t>
            </w:r>
            <w:r w:rsidR="00303DFE" w:rsidRPr="008220F5">
              <w:t>:</w:t>
            </w:r>
            <w:r w:rsidR="00303DFE">
              <w:t xml:space="preserve">   </w:t>
            </w:r>
          </w:p>
          <w:p w14:paraId="31B20A63" w14:textId="77777777" w:rsidR="00C25D26" w:rsidRPr="00ED1913" w:rsidRDefault="00C25D26" w:rsidP="00581CC5">
            <w:pPr>
              <w:spacing w:before="60" w:after="60"/>
            </w:pPr>
          </w:p>
          <w:p w14:paraId="04FFDB4E" w14:textId="77777777" w:rsidR="00EE4A58" w:rsidRDefault="00EE4A58" w:rsidP="00EE4A58">
            <w:pPr>
              <w:pStyle w:val="ListParagraph"/>
              <w:numPr>
                <w:ilvl w:val="0"/>
                <w:numId w:val="20"/>
              </w:numPr>
              <w:spacing w:before="60" w:after="60"/>
            </w:pPr>
            <w:r>
              <w:t>Human Capital Management</w:t>
            </w:r>
          </w:p>
          <w:p w14:paraId="668CF79B" w14:textId="77777777" w:rsidR="00EE4A58" w:rsidRDefault="00EE4A58" w:rsidP="00EE4A58">
            <w:pPr>
              <w:pStyle w:val="ListParagraph"/>
              <w:numPr>
                <w:ilvl w:val="0"/>
                <w:numId w:val="20"/>
              </w:numPr>
              <w:spacing w:before="60" w:after="60"/>
            </w:pPr>
            <w:r>
              <w:t>Payroll for the United Kingdom</w:t>
            </w:r>
          </w:p>
          <w:p w14:paraId="4903DEF5" w14:textId="3DF56AAD" w:rsidR="00EE4A58" w:rsidRDefault="00EE4A58" w:rsidP="00EE4A58">
            <w:pPr>
              <w:pStyle w:val="ListParagraph"/>
              <w:numPr>
                <w:ilvl w:val="0"/>
                <w:numId w:val="20"/>
              </w:numPr>
              <w:spacing w:before="60" w:after="60"/>
            </w:pPr>
            <w:r>
              <w:t>Expenses</w:t>
            </w:r>
            <w:r w:rsidR="00C7153C">
              <w:t xml:space="preserve"> </w:t>
            </w:r>
          </w:p>
          <w:p w14:paraId="348D3B31" w14:textId="77777777" w:rsidR="00EE4A58" w:rsidRDefault="00EE4A58" w:rsidP="00EE4A58">
            <w:pPr>
              <w:pStyle w:val="ListParagraph"/>
              <w:numPr>
                <w:ilvl w:val="0"/>
                <w:numId w:val="20"/>
              </w:numPr>
              <w:spacing w:before="60" w:after="60"/>
            </w:pPr>
            <w:r>
              <w:t>Planning</w:t>
            </w:r>
          </w:p>
          <w:p w14:paraId="292486A4" w14:textId="77777777" w:rsidR="00EE4A58" w:rsidRDefault="00EE4A58" w:rsidP="00EE4A58">
            <w:pPr>
              <w:pStyle w:val="ListParagraph"/>
              <w:numPr>
                <w:ilvl w:val="0"/>
                <w:numId w:val="20"/>
              </w:numPr>
              <w:spacing w:before="60" w:after="60"/>
            </w:pPr>
            <w:r>
              <w:t>Learning</w:t>
            </w:r>
          </w:p>
          <w:p w14:paraId="794E121F" w14:textId="2C088759" w:rsidR="00EE4A58" w:rsidRDefault="00EE4A58" w:rsidP="00EE4A58">
            <w:pPr>
              <w:pStyle w:val="ListParagraph"/>
              <w:numPr>
                <w:ilvl w:val="0"/>
                <w:numId w:val="20"/>
              </w:numPr>
              <w:spacing w:before="60" w:after="60"/>
            </w:pPr>
            <w:r>
              <w:t xml:space="preserve">Media Cloud </w:t>
            </w:r>
          </w:p>
          <w:p w14:paraId="47BBFB15" w14:textId="5DA0CFB1" w:rsidR="00E74121" w:rsidRDefault="00EE4A58" w:rsidP="008D6F49">
            <w:pPr>
              <w:pStyle w:val="ListParagraph"/>
              <w:numPr>
                <w:ilvl w:val="0"/>
                <w:numId w:val="20"/>
              </w:numPr>
              <w:spacing w:before="60" w:after="60"/>
            </w:pPr>
            <w:r>
              <w:t>Recruiting</w:t>
            </w:r>
            <w:r w:rsidR="00E74121">
              <w:t xml:space="preserve"> </w:t>
            </w:r>
          </w:p>
          <w:p w14:paraId="788E668D" w14:textId="77777777" w:rsidR="00C25D26" w:rsidRDefault="00C25D26" w:rsidP="00C25D26">
            <w:pPr>
              <w:spacing w:before="60" w:after="60"/>
            </w:pPr>
          </w:p>
          <w:bookmarkEnd w:id="2"/>
          <w:p w14:paraId="5160CA69" w14:textId="35CF3A7A" w:rsidR="00C25D26" w:rsidRPr="00632C49" w:rsidRDefault="009537A1" w:rsidP="00C25D26">
            <w:pPr>
              <w:spacing w:before="60" w:after="60"/>
              <w:rPr>
                <w:b/>
                <w:bCs/>
              </w:rPr>
            </w:pPr>
            <w:r w:rsidRPr="00632C49">
              <w:rPr>
                <w:b/>
                <w:bCs/>
              </w:rPr>
              <w:t>&lt;REDACTED</w:t>
            </w:r>
            <w:r w:rsidR="00632C49" w:rsidRPr="00632C49">
              <w:rPr>
                <w:b/>
                <w:bCs/>
              </w:rPr>
              <w:t>&gt;</w:t>
            </w:r>
          </w:p>
          <w:p w14:paraId="24A43F2D" w14:textId="7BFB225C" w:rsidR="0060270A" w:rsidRDefault="00E74121" w:rsidP="00C25D26">
            <w:pPr>
              <w:spacing w:before="60" w:after="60"/>
            </w:pPr>
            <w:r>
              <w:t>The above cost includes Production, Development and Test environments</w:t>
            </w:r>
            <w:r w:rsidR="009D5ECD">
              <w:t xml:space="preserve"> </w:t>
            </w:r>
          </w:p>
          <w:p w14:paraId="58279016" w14:textId="77777777" w:rsidR="0060270A" w:rsidRDefault="0060270A" w:rsidP="00C25D26">
            <w:pPr>
              <w:spacing w:before="60" w:after="60"/>
            </w:pPr>
          </w:p>
          <w:p w14:paraId="0A89DE48" w14:textId="746142C2" w:rsidR="001D7807" w:rsidRDefault="001D7807" w:rsidP="001D7807">
            <w:pPr>
              <w:spacing w:before="60" w:after="60"/>
            </w:pPr>
            <w:r w:rsidRPr="008220F5">
              <w:t xml:space="preserve">A breakdown of the </w:t>
            </w:r>
            <w:r w:rsidR="00D54A14" w:rsidRPr="003D5132">
              <w:t>subscription</w:t>
            </w:r>
            <w:r w:rsidRPr="008220F5">
              <w:t xml:space="preserve"> costs are provided at </w:t>
            </w:r>
            <w:r w:rsidR="00D1531B" w:rsidRPr="008220F5">
              <w:t xml:space="preserve">Schedule 2 </w:t>
            </w:r>
            <w:r w:rsidR="00030AE6" w:rsidRPr="008220F5">
              <w:t>and further details of the functionality is provided at Schedule 1</w:t>
            </w:r>
          </w:p>
          <w:p w14:paraId="5B559773" w14:textId="24246748" w:rsidR="0010568A" w:rsidRPr="0010568A" w:rsidRDefault="0010568A" w:rsidP="00D66F72">
            <w:pPr>
              <w:spacing w:before="60" w:after="60"/>
              <w:rPr>
                <w:b/>
              </w:rPr>
            </w:pPr>
          </w:p>
        </w:tc>
      </w:tr>
      <w:tr w:rsidR="00581CC5" w:rsidRPr="00ED1913" w14:paraId="5461C148" w14:textId="77777777" w:rsidTr="004E1163">
        <w:tc>
          <w:tcPr>
            <w:tcW w:w="3969" w:type="dxa"/>
          </w:tcPr>
          <w:p w14:paraId="7ECA0D71" w14:textId="77777777" w:rsidR="00581CC5" w:rsidRPr="00ED1913" w:rsidRDefault="00581CC5" w:rsidP="00581CC5">
            <w:pPr>
              <w:spacing w:before="60" w:after="60"/>
              <w:rPr>
                <w:b/>
              </w:rPr>
            </w:pPr>
            <w:r w:rsidRPr="00ED1913">
              <w:rPr>
                <w:b/>
              </w:rPr>
              <w:t>Additional services:</w:t>
            </w:r>
          </w:p>
        </w:tc>
        <w:tc>
          <w:tcPr>
            <w:tcW w:w="5670" w:type="dxa"/>
          </w:tcPr>
          <w:p w14:paraId="52433E8C" w14:textId="524AF7FF" w:rsidR="00EA5735" w:rsidRPr="00512811" w:rsidRDefault="00EA5735" w:rsidP="00D66F72">
            <w:pPr>
              <w:spacing w:before="60" w:after="60"/>
            </w:pPr>
            <w:r w:rsidRPr="00EA5735">
              <w:t>During the implementation</w:t>
            </w:r>
            <w:r>
              <w:t xml:space="preserve"> of the </w:t>
            </w:r>
            <w:r w:rsidR="00E37E3E" w:rsidRPr="003D5132">
              <w:t>Workday Service</w:t>
            </w:r>
            <w:r w:rsidRPr="00512811">
              <w:t xml:space="preserve"> there will be some additional services called upon. These are as follows: </w:t>
            </w:r>
          </w:p>
          <w:p w14:paraId="71A51CEE" w14:textId="4B5D383C" w:rsidR="00D66F72" w:rsidRPr="00512811" w:rsidRDefault="00EA5735" w:rsidP="00D66F72">
            <w:pPr>
              <w:spacing w:before="60" w:after="60"/>
            </w:pPr>
            <w:r w:rsidRPr="00512811">
              <w:t xml:space="preserve"> </w:t>
            </w:r>
          </w:p>
          <w:p w14:paraId="6B36F7DE" w14:textId="0474C600" w:rsidR="00D66F72" w:rsidRPr="00512811" w:rsidRDefault="00D66F72" w:rsidP="008D6F49">
            <w:pPr>
              <w:pStyle w:val="ListParagraph"/>
              <w:numPr>
                <w:ilvl w:val="0"/>
                <w:numId w:val="31"/>
              </w:numPr>
              <w:spacing w:before="60" w:after="60"/>
              <w:ind w:left="32" w:firstLine="0"/>
            </w:pPr>
            <w:r w:rsidRPr="00512811">
              <w:rPr>
                <w:b/>
              </w:rPr>
              <w:t>Delivery Assurance activity</w:t>
            </w:r>
            <w:r w:rsidRPr="00512811">
              <w:t xml:space="preserve">. The appointment of a Delivery Assurance Manager </w:t>
            </w:r>
            <w:r w:rsidRPr="00512811">
              <w:lastRenderedPageBreak/>
              <w:t xml:space="preserve">who will be responsible for working with the Buyer to provide direction and best practice guidance on the implementation and to mitigate risk. </w:t>
            </w:r>
          </w:p>
          <w:p w14:paraId="36CFEB2C" w14:textId="77777777" w:rsidR="00D66F72" w:rsidRPr="00512811" w:rsidRDefault="00D66F72" w:rsidP="00D66F72">
            <w:pPr>
              <w:spacing w:before="60" w:after="60"/>
            </w:pPr>
          </w:p>
          <w:p w14:paraId="617DC3A2" w14:textId="6B292BF8" w:rsidR="00D66F72" w:rsidRDefault="00205241" w:rsidP="00D66F72">
            <w:pPr>
              <w:spacing w:before="60" w:after="60"/>
            </w:pPr>
            <w:r w:rsidRPr="00512811">
              <w:t>The c</w:t>
            </w:r>
            <w:r w:rsidR="00FC03AD" w:rsidRPr="003D5132">
              <w:t>ost of Delivery Assurance</w:t>
            </w:r>
            <w:r w:rsidRPr="00512811">
              <w:t xml:space="preserve"> is</w:t>
            </w:r>
            <w:r w:rsidR="00D66F72" w:rsidRPr="00512811">
              <w:t xml:space="preserve"> </w:t>
            </w:r>
            <w:r w:rsidR="00632C49" w:rsidRPr="009537A1">
              <w:rPr>
                <w:b/>
                <w:bCs/>
              </w:rPr>
              <w:t>&lt;REDACTED&gt;</w:t>
            </w:r>
            <w:r w:rsidRPr="00512811">
              <w:t>.</w:t>
            </w:r>
            <w:r w:rsidR="00D66F72">
              <w:t xml:space="preserve"> </w:t>
            </w:r>
          </w:p>
          <w:p w14:paraId="63F3D5B5" w14:textId="7BB4E32D" w:rsidR="00EA5735" w:rsidRDefault="00EA5735" w:rsidP="00D66F72">
            <w:pPr>
              <w:spacing w:before="60" w:after="60"/>
            </w:pPr>
          </w:p>
          <w:p w14:paraId="61A0AC99" w14:textId="77777777" w:rsidR="005B2660" w:rsidRDefault="00EA5735" w:rsidP="008D6F49">
            <w:pPr>
              <w:pStyle w:val="ListParagraph"/>
              <w:numPr>
                <w:ilvl w:val="0"/>
                <w:numId w:val="31"/>
              </w:numPr>
              <w:spacing w:before="60" w:after="60"/>
              <w:ind w:left="32" w:firstLine="0"/>
            </w:pPr>
            <w:r>
              <w:rPr>
                <w:b/>
              </w:rPr>
              <w:t>Training costs.</w:t>
            </w:r>
            <w:r>
              <w:t xml:space="preserve"> The Supplier offers a range of training courses to cover </w:t>
            </w:r>
            <w:r w:rsidR="005B2660" w:rsidRPr="00E47AEC">
              <w:t>most/</w:t>
            </w:r>
            <w:r w:rsidRPr="00E47AEC">
              <w:t xml:space="preserve">all </w:t>
            </w:r>
            <w:r w:rsidRPr="00E37E3E">
              <w:t xml:space="preserve">of </w:t>
            </w:r>
            <w:r>
              <w:t xml:space="preserve">the modules/functionality within the solution. These are payable per person but a </w:t>
            </w:r>
            <w:r w:rsidR="005B2660">
              <w:t xml:space="preserve">discounted </w:t>
            </w:r>
            <w:r>
              <w:t xml:space="preserve">bulk purchase </w:t>
            </w:r>
            <w:r w:rsidR="005B2660">
              <w:t xml:space="preserve">rates will apply to the cumulative number of Training Credits purchased during a rolling </w:t>
            </w:r>
            <w:proofErr w:type="gramStart"/>
            <w:r w:rsidR="005B2660">
              <w:t>12 month</w:t>
            </w:r>
            <w:proofErr w:type="gramEnd"/>
            <w:r w:rsidR="005B2660">
              <w:t xml:space="preserve"> period provided the Buyer prepays for the courses.</w:t>
            </w:r>
          </w:p>
          <w:p w14:paraId="3F20AE37" w14:textId="3BE0297E" w:rsidR="005B2660" w:rsidRDefault="005B2660" w:rsidP="005B2660">
            <w:pPr>
              <w:spacing w:before="60" w:after="60"/>
            </w:pPr>
          </w:p>
          <w:p w14:paraId="21A48D95" w14:textId="09DBEEBD" w:rsidR="00205241" w:rsidRDefault="00205241" w:rsidP="005B2660">
            <w:pPr>
              <w:spacing w:before="60" w:after="60"/>
            </w:pPr>
            <w:r>
              <w:t>The total pre-paid training credits is</w:t>
            </w:r>
            <w:r w:rsidR="00632C49" w:rsidRPr="009537A1">
              <w:rPr>
                <w:b/>
                <w:bCs/>
              </w:rPr>
              <w:t>&lt;REDACTED&gt;</w:t>
            </w:r>
            <w:r>
              <w:t xml:space="preserve"> as detailed in the training order form (a</w:t>
            </w:r>
            <w:r w:rsidR="00966BC3">
              <w:t>ppended below)</w:t>
            </w:r>
            <w:r>
              <w:t xml:space="preserve">.  </w:t>
            </w:r>
          </w:p>
          <w:p w14:paraId="7F752E42" w14:textId="77777777" w:rsidR="00205241" w:rsidRDefault="00205241" w:rsidP="005B2660">
            <w:pPr>
              <w:spacing w:before="60" w:after="60"/>
            </w:pPr>
          </w:p>
          <w:p w14:paraId="657C4249" w14:textId="1423385D" w:rsidR="00EA5735" w:rsidRDefault="005B2660" w:rsidP="005B2660">
            <w:pPr>
              <w:spacing w:before="60" w:after="60"/>
            </w:pPr>
            <w:r>
              <w:t xml:space="preserve">Details of the Training course price per person and training Credits/Rates are provided at Schedule 2.  </w:t>
            </w:r>
            <w:r w:rsidR="00EA5735">
              <w:t xml:space="preserve">   </w:t>
            </w:r>
          </w:p>
          <w:p w14:paraId="52099339" w14:textId="790F218D" w:rsidR="00971941" w:rsidRPr="00466BA3" w:rsidRDefault="00971941" w:rsidP="001D7807">
            <w:pPr>
              <w:spacing w:before="60" w:after="60"/>
              <w:rPr>
                <w:highlight w:val="yellow"/>
              </w:rPr>
            </w:pPr>
          </w:p>
        </w:tc>
      </w:tr>
      <w:tr w:rsidR="00581CC5" w:rsidRPr="00ED1913" w14:paraId="287D8E72" w14:textId="77777777" w:rsidTr="004E1163">
        <w:tc>
          <w:tcPr>
            <w:tcW w:w="3969" w:type="dxa"/>
          </w:tcPr>
          <w:p w14:paraId="4540BD40" w14:textId="77777777" w:rsidR="00581CC5" w:rsidRPr="00ED1913" w:rsidRDefault="00581CC5" w:rsidP="00581CC5">
            <w:pPr>
              <w:spacing w:before="60" w:after="60"/>
              <w:rPr>
                <w:b/>
              </w:rPr>
            </w:pPr>
            <w:r w:rsidRPr="00ED1913">
              <w:rPr>
                <w:b/>
              </w:rPr>
              <w:lastRenderedPageBreak/>
              <w:t>Location:</w:t>
            </w:r>
          </w:p>
        </w:tc>
        <w:tc>
          <w:tcPr>
            <w:tcW w:w="5670" w:type="dxa"/>
          </w:tcPr>
          <w:p w14:paraId="73A8A98D" w14:textId="336A2169" w:rsidR="00640E20" w:rsidRPr="00512811" w:rsidRDefault="00581CC5" w:rsidP="00823626">
            <w:pPr>
              <w:spacing w:before="60" w:after="60"/>
            </w:pPr>
            <w:r w:rsidRPr="00512811">
              <w:t xml:space="preserve">The Services will be delivered </w:t>
            </w:r>
            <w:r w:rsidR="00D21520" w:rsidRPr="00512811">
              <w:t xml:space="preserve">remotely </w:t>
            </w:r>
            <w:r w:rsidR="00685E7D" w:rsidRPr="003D5132">
              <w:t>from the Supplier’s data and operation centres, as described in the Supplier’s Data Processing Exhibit, forming part of the Supplier Terms</w:t>
            </w:r>
            <w:r w:rsidR="00D21520" w:rsidRPr="003D5132">
              <w:t>.  Delivery Assurance will</w:t>
            </w:r>
            <w:r w:rsidR="005D00A8" w:rsidRPr="003D5132">
              <w:t xml:space="preserve"> mostly be remote or provided at the Buyer’s location</w:t>
            </w:r>
            <w:r w:rsidR="00E37E3E" w:rsidRPr="003D5132">
              <w:t>(s</w:t>
            </w:r>
            <w:r w:rsidR="00E37E3E" w:rsidRPr="00BE3196">
              <w:t>)</w:t>
            </w:r>
            <w:r w:rsidR="00CF3162" w:rsidRPr="00BE3196">
              <w:t>.</w:t>
            </w:r>
            <w:r w:rsidR="00CF3162" w:rsidRPr="00512811">
              <w:t xml:space="preserve">  </w:t>
            </w:r>
            <w:r w:rsidR="00E37E3E" w:rsidRPr="003D5132">
              <w:t>Supplier’s</w:t>
            </w:r>
            <w:r w:rsidR="00205241" w:rsidRPr="00512811">
              <w:t xml:space="preserve"> training may be delivered in their offices in London and Amsterdam.</w:t>
            </w:r>
          </w:p>
        </w:tc>
      </w:tr>
      <w:tr w:rsidR="00581CC5" w:rsidRPr="00ED1913" w14:paraId="56EF5D5B" w14:textId="77777777" w:rsidTr="004E1163">
        <w:tc>
          <w:tcPr>
            <w:tcW w:w="3969" w:type="dxa"/>
          </w:tcPr>
          <w:p w14:paraId="73CE6794" w14:textId="77777777" w:rsidR="00581CC5" w:rsidRPr="00ED1913" w:rsidRDefault="00581CC5" w:rsidP="00581CC5">
            <w:pPr>
              <w:spacing w:before="60" w:after="60"/>
              <w:rPr>
                <w:b/>
              </w:rPr>
            </w:pPr>
            <w:r w:rsidRPr="00ED1913">
              <w:rPr>
                <w:b/>
              </w:rPr>
              <w:t>Quality standards:</w:t>
            </w:r>
          </w:p>
        </w:tc>
        <w:tc>
          <w:tcPr>
            <w:tcW w:w="5670" w:type="dxa"/>
          </w:tcPr>
          <w:p w14:paraId="5068937F" w14:textId="54D3170A" w:rsidR="00581CC5" w:rsidRPr="00512811" w:rsidRDefault="00820320" w:rsidP="00581CC5">
            <w:pPr>
              <w:spacing w:before="60" w:after="60"/>
            </w:pPr>
            <w:r w:rsidRPr="003D5132">
              <w:t>Supplier</w:t>
            </w:r>
            <w:r w:rsidR="00823626" w:rsidRPr="00512811">
              <w:t xml:space="preserve"> </w:t>
            </w:r>
            <w:r w:rsidR="00AA4DBB" w:rsidRPr="00512811">
              <w:t>will provide the services to the agreed quality standards within the G-Cloud framework</w:t>
            </w:r>
            <w:r w:rsidRPr="00512811">
              <w:t xml:space="preserve"> </w:t>
            </w:r>
            <w:r w:rsidRPr="003D5132">
              <w:t>and in accordance with the Supplier Terms</w:t>
            </w:r>
            <w:r w:rsidR="00AA4DBB" w:rsidRPr="00512811">
              <w:t>.</w:t>
            </w:r>
          </w:p>
        </w:tc>
      </w:tr>
      <w:tr w:rsidR="00581CC5" w:rsidRPr="00ED1913" w14:paraId="77304D2A" w14:textId="77777777" w:rsidTr="004E1163">
        <w:tc>
          <w:tcPr>
            <w:tcW w:w="3969" w:type="dxa"/>
          </w:tcPr>
          <w:p w14:paraId="37DD4D51" w14:textId="77777777" w:rsidR="00581CC5" w:rsidRPr="00D1531B" w:rsidRDefault="00581CC5" w:rsidP="00581CC5">
            <w:pPr>
              <w:spacing w:before="60" w:after="60"/>
              <w:rPr>
                <w:b/>
              </w:rPr>
            </w:pPr>
            <w:r w:rsidRPr="00D1531B">
              <w:rPr>
                <w:b/>
              </w:rPr>
              <w:t>Technical standards:</w:t>
            </w:r>
          </w:p>
        </w:tc>
        <w:tc>
          <w:tcPr>
            <w:tcW w:w="5670" w:type="dxa"/>
          </w:tcPr>
          <w:p w14:paraId="6C9F1CC1" w14:textId="77777777" w:rsidR="00CF3162" w:rsidRPr="00D366B5" w:rsidRDefault="00CF3162" w:rsidP="00581CC5">
            <w:pPr>
              <w:spacing w:before="60" w:after="60"/>
            </w:pPr>
            <w:r w:rsidRPr="00D366B5">
              <w:t>The technical standards required for this Call Off contract are:</w:t>
            </w:r>
          </w:p>
          <w:p w14:paraId="6B7918FB" w14:textId="300FE56E" w:rsidR="00CF3162" w:rsidRPr="00D366B5" w:rsidRDefault="00CF3162" w:rsidP="008D6F49">
            <w:pPr>
              <w:pStyle w:val="ListParagraph"/>
              <w:numPr>
                <w:ilvl w:val="0"/>
                <w:numId w:val="22"/>
              </w:numPr>
              <w:spacing w:before="60" w:after="60"/>
            </w:pPr>
            <w:r w:rsidRPr="00D366B5">
              <w:t>System security, availability and reliability maintained to ISO</w:t>
            </w:r>
            <w:r w:rsidR="00AF38D9" w:rsidRPr="00D366B5">
              <w:t>2700</w:t>
            </w:r>
            <w:r w:rsidR="00AF38D9" w:rsidRPr="003D5132">
              <w:t>1</w:t>
            </w:r>
            <w:r w:rsidR="003C1C66" w:rsidRPr="003D5132">
              <w:t xml:space="preserve"> and </w:t>
            </w:r>
            <w:r w:rsidR="00AF38D9" w:rsidRPr="00D366B5">
              <w:t>27018 standards</w:t>
            </w:r>
          </w:p>
          <w:p w14:paraId="10B55F2D" w14:textId="77518BFB" w:rsidR="00AF38D9" w:rsidRPr="00D366B5" w:rsidRDefault="00AF38D9" w:rsidP="008D6F49">
            <w:pPr>
              <w:pStyle w:val="ListParagraph"/>
              <w:numPr>
                <w:ilvl w:val="0"/>
                <w:numId w:val="22"/>
              </w:numPr>
              <w:spacing w:before="60" w:after="60"/>
            </w:pPr>
            <w:r w:rsidRPr="00D366B5">
              <w:t>Data to be hosted only within the European Economic Area</w:t>
            </w:r>
            <w:r w:rsidR="00E37E3E" w:rsidRPr="00D366B5">
              <w:t xml:space="preserve"> </w:t>
            </w:r>
            <w:r w:rsidR="00E37E3E" w:rsidRPr="003D5132">
              <w:t xml:space="preserve">(subject to the </w:t>
            </w:r>
            <w:r w:rsidR="00863F11" w:rsidRPr="003D5132">
              <w:t>Supplier’s Data Processing Exhibit forming part of the Supplier Terms)</w:t>
            </w:r>
          </w:p>
          <w:p w14:paraId="0B0CFFD7" w14:textId="1C7D7011" w:rsidR="00AF38D9" w:rsidRPr="00D366B5" w:rsidRDefault="00644240" w:rsidP="008D6F49">
            <w:pPr>
              <w:pStyle w:val="ListParagraph"/>
              <w:numPr>
                <w:ilvl w:val="0"/>
                <w:numId w:val="22"/>
              </w:numPr>
              <w:spacing w:before="60" w:after="60"/>
            </w:pPr>
            <w:bookmarkStart w:id="3" w:name="_Hlk536624844"/>
            <w:r w:rsidRPr="003D5132">
              <w:t>C</w:t>
            </w:r>
            <w:r w:rsidR="00AF38D9" w:rsidRPr="00D366B5">
              <w:t>ompatib</w:t>
            </w:r>
            <w:r w:rsidR="009F0DDB" w:rsidRPr="003D5132">
              <w:t>i</w:t>
            </w:r>
            <w:r w:rsidR="00AF38D9" w:rsidRPr="003D5132">
              <w:t>l</w:t>
            </w:r>
            <w:r w:rsidR="009F0DDB" w:rsidRPr="003D5132">
              <w:t>ity</w:t>
            </w:r>
            <w:r w:rsidR="00AF38D9" w:rsidRPr="00D366B5">
              <w:t xml:space="preserve"> with </w:t>
            </w:r>
            <w:r w:rsidR="009F0DDB" w:rsidRPr="003D5132">
              <w:t xml:space="preserve">Microsoft Internet Explorer 11+ and the latest supported </w:t>
            </w:r>
            <w:r w:rsidR="009F0DDB" w:rsidRPr="003D5132">
              <w:lastRenderedPageBreak/>
              <w:t>version that is automatically released by each of the following browser technologies: Mozilla Firefox, Google Chrome, Apple Safari (only supported on Mac OS X), Blackberry Browser, and Opera</w:t>
            </w:r>
            <w:r w:rsidR="003915B2" w:rsidRPr="003D5132">
              <w:t>; and the native apps for iOS and Android will have the same function parity</w:t>
            </w:r>
            <w:r w:rsidR="0029782F" w:rsidRPr="00D366B5">
              <w:t xml:space="preserve"> </w:t>
            </w:r>
          </w:p>
          <w:bookmarkEnd w:id="3"/>
          <w:p w14:paraId="12331A2C" w14:textId="1CC16414" w:rsidR="00AF38D9" w:rsidRPr="00D366B5" w:rsidRDefault="00AF38D9" w:rsidP="008D6F49">
            <w:pPr>
              <w:pStyle w:val="ListParagraph"/>
              <w:numPr>
                <w:ilvl w:val="0"/>
                <w:numId w:val="22"/>
              </w:numPr>
              <w:spacing w:before="60" w:after="60"/>
            </w:pPr>
            <w:r w:rsidRPr="00D366B5">
              <w:t>Cyber Essentials accreditation</w:t>
            </w:r>
          </w:p>
          <w:p w14:paraId="4A827561" w14:textId="3A20A2B6" w:rsidR="00823626" w:rsidRPr="00D366B5" w:rsidRDefault="00823626" w:rsidP="008D6F49">
            <w:pPr>
              <w:pStyle w:val="ListParagraph"/>
              <w:numPr>
                <w:ilvl w:val="0"/>
                <w:numId w:val="22"/>
              </w:numPr>
              <w:spacing w:before="60" w:after="60"/>
            </w:pPr>
            <w:r w:rsidRPr="00D366B5">
              <w:t>Compliance with accessibility standards W3C WA1: WCAG 2.0 AA level</w:t>
            </w:r>
            <w:r w:rsidR="0056286D" w:rsidRPr="00D366B5">
              <w:t xml:space="preserve"> </w:t>
            </w:r>
            <w:r w:rsidR="0056286D" w:rsidRPr="003D5132">
              <w:t>(as more defined in the ‘Using the service’ section of the Supplier’s G-Cloud entry</w:t>
            </w:r>
            <w:r w:rsidR="00C60ED5" w:rsidRPr="003D5132">
              <w:t xml:space="preserve"> for Service ID 524837239972037.</w:t>
            </w:r>
          </w:p>
          <w:p w14:paraId="0B02266A" w14:textId="40A1B7BE" w:rsidR="009A1A36" w:rsidRPr="003D5132" w:rsidRDefault="009A1A36" w:rsidP="008D6F49">
            <w:pPr>
              <w:pStyle w:val="ListParagraph"/>
              <w:numPr>
                <w:ilvl w:val="0"/>
                <w:numId w:val="22"/>
              </w:numPr>
              <w:spacing w:before="60" w:after="60"/>
            </w:pPr>
            <w:r w:rsidRPr="003D5132">
              <w:t>Those standards set out or referred to in the Supplier Terms.</w:t>
            </w:r>
          </w:p>
          <w:p w14:paraId="59002FA2" w14:textId="640E4327" w:rsidR="00AF38D9" w:rsidRPr="00D366B5" w:rsidRDefault="00AF38D9" w:rsidP="00AF38D9">
            <w:pPr>
              <w:spacing w:before="60" w:after="60"/>
            </w:pPr>
          </w:p>
        </w:tc>
      </w:tr>
      <w:tr w:rsidR="00581CC5" w:rsidRPr="00ED1913" w14:paraId="7A8ED9FF" w14:textId="77777777" w:rsidTr="004E1163">
        <w:tc>
          <w:tcPr>
            <w:tcW w:w="3969" w:type="dxa"/>
          </w:tcPr>
          <w:p w14:paraId="130D3301" w14:textId="77777777" w:rsidR="00581CC5" w:rsidRPr="00ED1913" w:rsidRDefault="00581CC5" w:rsidP="00581CC5">
            <w:pPr>
              <w:spacing w:before="60" w:after="60"/>
              <w:rPr>
                <w:b/>
              </w:rPr>
            </w:pPr>
            <w:r w:rsidRPr="00ED1913">
              <w:rPr>
                <w:b/>
              </w:rPr>
              <w:lastRenderedPageBreak/>
              <w:t>Service level agreement:</w:t>
            </w:r>
          </w:p>
        </w:tc>
        <w:tc>
          <w:tcPr>
            <w:tcW w:w="5670" w:type="dxa"/>
          </w:tcPr>
          <w:p w14:paraId="2A8A00FE" w14:textId="3EE19C4E" w:rsidR="00AA4DBB" w:rsidRDefault="00581CC5" w:rsidP="00AA4DBB">
            <w:pPr>
              <w:spacing w:before="60" w:after="60"/>
            </w:pPr>
            <w:r w:rsidRPr="00FD02E7">
              <w:t xml:space="preserve">The service level and availability criteria required for this Call-Off Contract are </w:t>
            </w:r>
            <w:r w:rsidR="00AA4DBB" w:rsidRPr="00FD02E7">
              <w:t xml:space="preserve">as defined in the </w:t>
            </w:r>
            <w:r w:rsidR="00FC0391" w:rsidRPr="003D5132">
              <w:t>SLA</w:t>
            </w:r>
            <w:r w:rsidR="00BC07F2" w:rsidRPr="003D5132">
              <w:t xml:space="preserve"> Policy within the </w:t>
            </w:r>
            <w:r w:rsidR="006A1BE1" w:rsidRPr="00FD02E7">
              <w:t xml:space="preserve">Master </w:t>
            </w:r>
            <w:r w:rsidR="00FC0391" w:rsidRPr="003D5132">
              <w:t>Subscription</w:t>
            </w:r>
            <w:r w:rsidR="006A1BE1" w:rsidRPr="00FD02E7">
              <w:t xml:space="preserve"> </w:t>
            </w:r>
            <w:r w:rsidR="00AA4DBB" w:rsidRPr="00FD02E7">
              <w:t xml:space="preserve">Agreement </w:t>
            </w:r>
            <w:r w:rsidR="006A1BE1" w:rsidRPr="00FD02E7">
              <w:t>(</w:t>
            </w:r>
            <w:r w:rsidR="00FC0391" w:rsidRPr="003D5132">
              <w:t>forming part of the Supplier Terms</w:t>
            </w:r>
            <w:r w:rsidR="006A1BE1" w:rsidRPr="00FD02E7">
              <w:t xml:space="preserve">).  </w:t>
            </w:r>
            <w:r w:rsidR="00FC0391" w:rsidRPr="003D5132">
              <w:t>Amongst other things, t</w:t>
            </w:r>
            <w:r w:rsidR="006A1BE1" w:rsidRPr="00FD02E7">
              <w:t xml:space="preserve">his contains the </w:t>
            </w:r>
            <w:r w:rsidR="001D2E0A" w:rsidRPr="003D5132">
              <w:t>availability and response times</w:t>
            </w:r>
            <w:r w:rsidR="006A1BE1" w:rsidRPr="00FD02E7">
              <w:t xml:space="preserve"> for th</w:t>
            </w:r>
            <w:r w:rsidR="00FC0391" w:rsidRPr="003D5132">
              <w:t>e</w:t>
            </w:r>
            <w:r w:rsidR="006A1BE1" w:rsidRPr="003D5132">
              <w:t xml:space="preserve"> </w:t>
            </w:r>
            <w:r w:rsidR="00FC0391" w:rsidRPr="003D5132">
              <w:t>Workday</w:t>
            </w:r>
            <w:r w:rsidR="00FC0391" w:rsidRPr="00FD02E7">
              <w:t xml:space="preserve"> </w:t>
            </w:r>
            <w:r w:rsidR="006A1BE1" w:rsidRPr="00FD02E7">
              <w:t>Service and details of service credits.</w:t>
            </w:r>
          </w:p>
          <w:p w14:paraId="00057649" w14:textId="77777777" w:rsidR="00385A27" w:rsidRDefault="00385A27" w:rsidP="00AA4DBB">
            <w:pPr>
              <w:spacing w:before="60" w:after="60"/>
              <w:rPr>
                <w:rStyle w:val="Hyperlink"/>
                <w:color w:val="000000" w:themeColor="text1"/>
                <w:u w:val="none"/>
              </w:rPr>
            </w:pPr>
          </w:p>
          <w:p w14:paraId="17A995CF" w14:textId="5F092976" w:rsidR="004F3AAB" w:rsidRPr="00B802E1" w:rsidRDefault="00403B45" w:rsidP="00AA4DBB">
            <w:pPr>
              <w:spacing w:before="60" w:after="60"/>
              <w:rPr>
                <w:rStyle w:val="Hyperlink"/>
                <w:color w:val="000000" w:themeColor="text1"/>
                <w:u w:val="none"/>
              </w:rPr>
            </w:pPr>
            <w:r>
              <w:rPr>
                <w:rStyle w:val="Hyperlink"/>
                <w:color w:val="000000" w:themeColor="text1"/>
                <w:u w:val="none"/>
              </w:rPr>
              <w:t>A summary of t</w:t>
            </w:r>
            <w:r w:rsidR="004F3AAB" w:rsidRPr="00B802E1">
              <w:rPr>
                <w:rStyle w:val="Hyperlink"/>
                <w:color w:val="000000" w:themeColor="text1"/>
                <w:u w:val="none"/>
              </w:rPr>
              <w:t xml:space="preserve">he </w:t>
            </w:r>
            <w:r>
              <w:rPr>
                <w:rStyle w:val="Hyperlink"/>
                <w:color w:val="000000" w:themeColor="text1"/>
                <w:u w:val="none"/>
              </w:rPr>
              <w:t xml:space="preserve">Buyer’s </w:t>
            </w:r>
            <w:r w:rsidR="004F3AAB" w:rsidRPr="00B802E1">
              <w:rPr>
                <w:rStyle w:val="Hyperlink"/>
                <w:color w:val="000000" w:themeColor="text1"/>
                <w:u w:val="none"/>
              </w:rPr>
              <w:t>KPIs agreed for this Service are as follows:</w:t>
            </w:r>
          </w:p>
          <w:p w14:paraId="3FCDD90E" w14:textId="54A4C1C5" w:rsidR="004F3AAB" w:rsidRDefault="004F3AAB" w:rsidP="00AA4DBB">
            <w:pPr>
              <w:spacing w:before="60" w:after="60"/>
              <w:rPr>
                <w:rStyle w:val="Hyperlink"/>
              </w:rPr>
            </w:pPr>
          </w:p>
          <w:p w14:paraId="275AAD27" w14:textId="0E109A42" w:rsidR="00125025" w:rsidRDefault="004F3AAB" w:rsidP="008D6F49">
            <w:pPr>
              <w:pStyle w:val="ListParagraph"/>
              <w:numPr>
                <w:ilvl w:val="0"/>
                <w:numId w:val="20"/>
              </w:numPr>
              <w:spacing w:before="60" w:after="60"/>
            </w:pPr>
            <w:r>
              <w:t>Service Availability</w:t>
            </w:r>
            <w:r w:rsidR="00403B45">
              <w:t>:</w:t>
            </w:r>
            <w:r>
              <w:t xml:space="preserve"> @ </w:t>
            </w:r>
            <w:r w:rsidR="00051A75" w:rsidRPr="00B85329">
              <w:rPr>
                <w:b/>
              </w:rPr>
              <w:t>99.</w:t>
            </w:r>
            <w:r w:rsidR="00125025">
              <w:rPr>
                <w:b/>
              </w:rPr>
              <w:t>7</w:t>
            </w:r>
            <w:r w:rsidR="00051A75" w:rsidRPr="00B85329">
              <w:rPr>
                <w:b/>
              </w:rPr>
              <w:t>%</w:t>
            </w:r>
            <w:r w:rsidR="00051A75">
              <w:t xml:space="preserve"> per calendar month. Details </w:t>
            </w:r>
            <w:r w:rsidR="00B85329">
              <w:t xml:space="preserve">on </w:t>
            </w:r>
            <w:r w:rsidR="00051A75">
              <w:t>how this is calculated</w:t>
            </w:r>
            <w:r w:rsidR="00B85329">
              <w:t>,</w:t>
            </w:r>
            <w:r w:rsidR="00051A75">
              <w:t xml:space="preserve"> and </w:t>
            </w:r>
            <w:r w:rsidR="00B85329">
              <w:t xml:space="preserve">the </w:t>
            </w:r>
            <w:r w:rsidR="00051A75">
              <w:t xml:space="preserve">Service </w:t>
            </w:r>
            <w:r>
              <w:t>credits</w:t>
            </w:r>
            <w:r w:rsidR="00051A75">
              <w:t xml:space="preserve"> that </w:t>
            </w:r>
            <w:r>
              <w:t xml:space="preserve">apply </w:t>
            </w:r>
            <w:r w:rsidR="00051A75">
              <w:t xml:space="preserve">are provided </w:t>
            </w:r>
            <w:r w:rsidR="00403B45">
              <w:t xml:space="preserve">in </w:t>
            </w:r>
            <w:r w:rsidR="00125025">
              <w:t>the Supplier’s SLA and Master Subscription Agreement forming part of the Supplier Terms</w:t>
            </w:r>
            <w:r w:rsidR="00051A75">
              <w:t>.</w:t>
            </w:r>
          </w:p>
          <w:p w14:paraId="1FDE780B" w14:textId="77777777" w:rsidR="00125025" w:rsidRDefault="00125025" w:rsidP="00107233">
            <w:pPr>
              <w:pStyle w:val="ListParagraph"/>
              <w:spacing w:before="60" w:after="60"/>
            </w:pPr>
          </w:p>
          <w:p w14:paraId="34954926" w14:textId="3BFC398B" w:rsidR="004F3AAB" w:rsidRDefault="00051A75" w:rsidP="008D6F49">
            <w:pPr>
              <w:pStyle w:val="ListParagraph"/>
              <w:numPr>
                <w:ilvl w:val="0"/>
                <w:numId w:val="20"/>
              </w:numPr>
              <w:spacing w:before="60" w:after="60"/>
            </w:pPr>
            <w:r>
              <w:t xml:space="preserve"> </w:t>
            </w:r>
            <w:r w:rsidR="00125025">
              <w:t xml:space="preserve">Service Response: </w:t>
            </w:r>
            <w:r w:rsidR="00125025" w:rsidRPr="00125025">
              <w:t>(</w:t>
            </w:r>
            <w:proofErr w:type="spellStart"/>
            <w:r w:rsidR="00125025" w:rsidRPr="00125025">
              <w:t>i</w:t>
            </w:r>
            <w:proofErr w:type="spellEnd"/>
            <w:r w:rsidR="00125025" w:rsidRPr="00125025">
              <w:t xml:space="preserve">) not less than 50% of (online) transactions in one (1) second or less and (ii) not more than 10% in two and a half (2.5) seconds or more.  </w:t>
            </w:r>
          </w:p>
          <w:p w14:paraId="26418AFD" w14:textId="6FF31891" w:rsidR="00F53AF6" w:rsidRDefault="00F53AF6" w:rsidP="00F53AF6">
            <w:pPr>
              <w:pStyle w:val="ListParagraph"/>
              <w:spacing w:before="60" w:after="60"/>
            </w:pPr>
          </w:p>
          <w:p w14:paraId="47A380E8" w14:textId="5C025342" w:rsidR="004F3AAB" w:rsidRDefault="004F3AAB" w:rsidP="008D6F49">
            <w:pPr>
              <w:pStyle w:val="ListParagraph"/>
              <w:numPr>
                <w:ilvl w:val="0"/>
                <w:numId w:val="20"/>
              </w:numPr>
              <w:spacing w:before="60" w:after="60"/>
            </w:pPr>
            <w:r>
              <w:t>Response to Severity Levels</w:t>
            </w:r>
          </w:p>
          <w:p w14:paraId="630A7191" w14:textId="6040EA0F" w:rsidR="004F3AAB" w:rsidRDefault="004F3AAB" w:rsidP="00F53AF6">
            <w:pPr>
              <w:pStyle w:val="ListParagraph"/>
              <w:spacing w:before="60" w:after="60"/>
            </w:pPr>
          </w:p>
          <w:tbl>
            <w:tblPr>
              <w:tblStyle w:val="TableGrid"/>
              <w:tblW w:w="4693" w:type="dxa"/>
              <w:tblInd w:w="720" w:type="dxa"/>
              <w:tblLayout w:type="fixed"/>
              <w:tblLook w:val="04A0" w:firstRow="1" w:lastRow="0" w:firstColumn="1" w:lastColumn="0" w:noHBand="0" w:noVBand="1"/>
            </w:tblPr>
            <w:tblGrid>
              <w:gridCol w:w="2004"/>
              <w:gridCol w:w="2689"/>
            </w:tblGrid>
            <w:tr w:rsidR="00125025" w14:paraId="3EA98A8B" w14:textId="3BFA1828" w:rsidTr="00107233">
              <w:tc>
                <w:tcPr>
                  <w:tcW w:w="2004" w:type="dxa"/>
                </w:tcPr>
                <w:p w14:paraId="271210DE" w14:textId="742C0BAB" w:rsidR="00125025" w:rsidRPr="00107233" w:rsidRDefault="003D5132" w:rsidP="004F3AAB">
                  <w:pPr>
                    <w:pStyle w:val="ListParagraph"/>
                    <w:spacing w:before="60" w:after="60"/>
                    <w:ind w:left="0"/>
                    <w:rPr>
                      <w:b/>
                    </w:rPr>
                  </w:pPr>
                  <w:r>
                    <w:rPr>
                      <w:b/>
                    </w:rPr>
                    <w:t>Severity Le</w:t>
                  </w:r>
                  <w:r w:rsidR="00125025">
                    <w:rPr>
                      <w:b/>
                    </w:rPr>
                    <w:t>vel (as defined in Supplier’s SLA)</w:t>
                  </w:r>
                </w:p>
              </w:tc>
              <w:tc>
                <w:tcPr>
                  <w:tcW w:w="2689" w:type="dxa"/>
                </w:tcPr>
                <w:p w14:paraId="7B1DEB7D" w14:textId="45E67651" w:rsidR="00125025" w:rsidRPr="00107233" w:rsidRDefault="00125025" w:rsidP="00107233">
                  <w:pPr>
                    <w:pStyle w:val="ListParagraph"/>
                    <w:spacing w:before="60" w:after="60"/>
                    <w:ind w:left="0"/>
                    <w:jc w:val="center"/>
                    <w:rPr>
                      <w:b/>
                    </w:rPr>
                  </w:pPr>
                  <w:r w:rsidRPr="00107233">
                    <w:rPr>
                      <w:b/>
                    </w:rPr>
                    <w:t>Initial response</w:t>
                  </w:r>
                </w:p>
              </w:tc>
            </w:tr>
            <w:tr w:rsidR="00125025" w14:paraId="58798B03" w14:textId="7E7F1000" w:rsidTr="00107233">
              <w:tc>
                <w:tcPr>
                  <w:tcW w:w="2004" w:type="dxa"/>
                </w:tcPr>
                <w:p w14:paraId="0934C3AD" w14:textId="7D80EF71" w:rsidR="00125025" w:rsidRDefault="00125025" w:rsidP="004F3AAB">
                  <w:pPr>
                    <w:pStyle w:val="ListParagraph"/>
                    <w:spacing w:before="60" w:after="60"/>
                    <w:ind w:left="0"/>
                  </w:pPr>
                  <w:r>
                    <w:t>Level 1</w:t>
                  </w:r>
                </w:p>
              </w:tc>
              <w:tc>
                <w:tcPr>
                  <w:tcW w:w="2689" w:type="dxa"/>
                </w:tcPr>
                <w:p w14:paraId="48437AC5" w14:textId="62A46B34" w:rsidR="00125025" w:rsidRDefault="00125025" w:rsidP="004F3AAB">
                  <w:pPr>
                    <w:pStyle w:val="ListParagraph"/>
                    <w:spacing w:before="60" w:after="60"/>
                    <w:ind w:left="0"/>
                    <w:jc w:val="center"/>
                  </w:pPr>
                  <w:proofErr w:type="spellStart"/>
                  <w:r>
                    <w:t>Suppier</w:t>
                  </w:r>
                  <w:proofErr w:type="spellEnd"/>
                  <w:r w:rsidRPr="00125025">
                    <w:t xml:space="preserve"> will respond within thirty (30) </w:t>
                  </w:r>
                  <w:r w:rsidRPr="00125025">
                    <w:lastRenderedPageBreak/>
                    <w:t xml:space="preserve">minutes of receipt of case and </w:t>
                  </w:r>
                  <w:r>
                    <w:t>Supplier</w:t>
                  </w:r>
                  <w:r w:rsidRPr="00125025">
                    <w:t xml:space="preserve"> shall remain accessible for troubleshooting from the time a Severity 1 issue is logged until such time as it is resolved.</w:t>
                  </w:r>
                </w:p>
              </w:tc>
            </w:tr>
            <w:tr w:rsidR="00125025" w14:paraId="4B36A675" w14:textId="52C1DBC3" w:rsidTr="00107233">
              <w:tc>
                <w:tcPr>
                  <w:tcW w:w="2004" w:type="dxa"/>
                </w:tcPr>
                <w:p w14:paraId="49D6D18C" w14:textId="566EBA16" w:rsidR="00125025" w:rsidRDefault="00125025" w:rsidP="004F3AAB">
                  <w:pPr>
                    <w:pStyle w:val="ListParagraph"/>
                    <w:spacing w:before="60" w:after="60"/>
                    <w:ind w:left="0"/>
                  </w:pPr>
                  <w:r>
                    <w:lastRenderedPageBreak/>
                    <w:t>Level 2</w:t>
                  </w:r>
                </w:p>
              </w:tc>
              <w:tc>
                <w:tcPr>
                  <w:tcW w:w="2689" w:type="dxa"/>
                </w:tcPr>
                <w:p w14:paraId="5131D16F" w14:textId="2ECEB656" w:rsidR="00125025" w:rsidRDefault="00125025" w:rsidP="004F3AAB">
                  <w:pPr>
                    <w:pStyle w:val="ListParagraph"/>
                    <w:spacing w:before="60" w:after="60"/>
                    <w:ind w:left="0"/>
                    <w:jc w:val="center"/>
                  </w:pPr>
                  <w:r>
                    <w:t>Supplier</w:t>
                  </w:r>
                  <w:r w:rsidRPr="00125025">
                    <w:t xml:space="preserve"> will respond within one (1) hour of receipt of case and </w:t>
                  </w:r>
                  <w:r>
                    <w:t>Supplier</w:t>
                  </w:r>
                  <w:r w:rsidRPr="00125025">
                    <w:t xml:space="preserve"> shall remain accessible for troubleshooting from the time a Severity 2 issue is logged until such time as it is resolved.</w:t>
                  </w:r>
                </w:p>
              </w:tc>
            </w:tr>
            <w:tr w:rsidR="00125025" w14:paraId="4761535D" w14:textId="13DD51D3" w:rsidTr="00107233">
              <w:tc>
                <w:tcPr>
                  <w:tcW w:w="2004" w:type="dxa"/>
                </w:tcPr>
                <w:p w14:paraId="0A9CA6C1" w14:textId="70E5B787" w:rsidR="00125025" w:rsidRDefault="00125025" w:rsidP="004F3AAB">
                  <w:pPr>
                    <w:pStyle w:val="ListParagraph"/>
                    <w:spacing w:before="60" w:after="60"/>
                    <w:ind w:left="0"/>
                  </w:pPr>
                  <w:r>
                    <w:t>Level 3</w:t>
                  </w:r>
                </w:p>
              </w:tc>
              <w:tc>
                <w:tcPr>
                  <w:tcW w:w="2689" w:type="dxa"/>
                </w:tcPr>
                <w:p w14:paraId="36B60232" w14:textId="5F9EDFF8" w:rsidR="00125025" w:rsidRDefault="00125025" w:rsidP="004F3AAB">
                  <w:pPr>
                    <w:pStyle w:val="ListParagraph"/>
                    <w:spacing w:before="60" w:after="60"/>
                    <w:ind w:left="0"/>
                    <w:jc w:val="center"/>
                  </w:pPr>
                  <w:r>
                    <w:t>Supplier</w:t>
                  </w:r>
                  <w:r w:rsidRPr="00125025">
                    <w:t xml:space="preserve"> will respond within four (4) hours of receipt of case.</w:t>
                  </w:r>
                </w:p>
              </w:tc>
            </w:tr>
            <w:tr w:rsidR="00125025" w14:paraId="4F651635" w14:textId="423CFEDF" w:rsidTr="00107233">
              <w:tc>
                <w:tcPr>
                  <w:tcW w:w="2004" w:type="dxa"/>
                </w:tcPr>
                <w:p w14:paraId="7BC7FF4F" w14:textId="37BEB892" w:rsidR="00125025" w:rsidRDefault="00125025" w:rsidP="004F3AAB">
                  <w:pPr>
                    <w:pStyle w:val="ListParagraph"/>
                    <w:spacing w:before="60" w:after="60"/>
                    <w:ind w:left="0"/>
                  </w:pPr>
                  <w:r>
                    <w:t xml:space="preserve">Level 4 </w:t>
                  </w:r>
                </w:p>
              </w:tc>
              <w:tc>
                <w:tcPr>
                  <w:tcW w:w="2689" w:type="dxa"/>
                </w:tcPr>
                <w:p w14:paraId="429A6273" w14:textId="0D49D12E" w:rsidR="00125025" w:rsidRDefault="00125025" w:rsidP="004F3AAB">
                  <w:pPr>
                    <w:pStyle w:val="ListParagraph"/>
                    <w:spacing w:before="60" w:after="60"/>
                    <w:ind w:left="0"/>
                    <w:jc w:val="center"/>
                  </w:pPr>
                  <w:r>
                    <w:t xml:space="preserve"> Supplier</w:t>
                  </w:r>
                  <w:r w:rsidRPr="00125025">
                    <w:t xml:space="preserve"> will respond within twenty-four (24) hours of receipt of case.</w:t>
                  </w:r>
                </w:p>
              </w:tc>
            </w:tr>
            <w:tr w:rsidR="0080734B" w14:paraId="5DDAEE15" w14:textId="77777777" w:rsidTr="00125025">
              <w:tc>
                <w:tcPr>
                  <w:tcW w:w="2004" w:type="dxa"/>
                </w:tcPr>
                <w:p w14:paraId="1673CAE8" w14:textId="44CAF222" w:rsidR="0080734B" w:rsidRDefault="0080734B" w:rsidP="004F3AAB">
                  <w:pPr>
                    <w:pStyle w:val="ListParagraph"/>
                    <w:spacing w:before="60" w:after="60"/>
                    <w:ind w:left="0"/>
                  </w:pPr>
                  <w:r>
                    <w:t>Level 5</w:t>
                  </w:r>
                </w:p>
              </w:tc>
              <w:tc>
                <w:tcPr>
                  <w:tcW w:w="2689" w:type="dxa"/>
                </w:tcPr>
                <w:p w14:paraId="733BF2B5" w14:textId="461483F5" w:rsidR="0080734B" w:rsidRPr="00107233" w:rsidRDefault="0080734B" w:rsidP="004F3AAB">
                  <w:pPr>
                    <w:pStyle w:val="ListParagraph"/>
                    <w:spacing w:before="60" w:after="60"/>
                    <w:ind w:left="0"/>
                    <w:jc w:val="center"/>
                    <w:rPr>
                      <w:rStyle w:val="CommentReference"/>
                      <w:rFonts w:eastAsia="MS Mincho" w:cs="Arial"/>
                      <w:sz w:val="24"/>
                      <w:szCs w:val="24"/>
                    </w:rPr>
                  </w:pPr>
                  <w:r w:rsidRPr="00107233">
                    <w:rPr>
                      <w:rStyle w:val="CommentReference"/>
                      <w:rFonts w:eastAsia="MS Mincho" w:cs="Arial"/>
                      <w:sz w:val="24"/>
                      <w:szCs w:val="24"/>
                    </w:rPr>
                    <w:t>Workday will respond within twenty-four (24) hours of receipt of case.</w:t>
                  </w:r>
                </w:p>
              </w:tc>
            </w:tr>
          </w:tbl>
          <w:p w14:paraId="41DA9B91" w14:textId="202D473E" w:rsidR="008C128E" w:rsidRPr="00ED1913" w:rsidRDefault="008C128E" w:rsidP="003D5132"/>
        </w:tc>
      </w:tr>
      <w:tr w:rsidR="00581CC5" w:rsidRPr="00C54827" w14:paraId="6381BB7D" w14:textId="77777777" w:rsidTr="004E1163">
        <w:tc>
          <w:tcPr>
            <w:tcW w:w="3969" w:type="dxa"/>
          </w:tcPr>
          <w:p w14:paraId="554E010C" w14:textId="77777777" w:rsidR="00581CC5" w:rsidRPr="00C54827" w:rsidRDefault="00581CC5" w:rsidP="00581CC5">
            <w:pPr>
              <w:spacing w:before="60" w:after="60"/>
              <w:rPr>
                <w:b/>
              </w:rPr>
            </w:pPr>
            <w:r w:rsidRPr="00C54827">
              <w:rPr>
                <w:b/>
              </w:rPr>
              <w:lastRenderedPageBreak/>
              <w:t>Onboarding:</w:t>
            </w:r>
          </w:p>
        </w:tc>
        <w:tc>
          <w:tcPr>
            <w:tcW w:w="5670" w:type="dxa"/>
          </w:tcPr>
          <w:p w14:paraId="51059D97" w14:textId="35497516" w:rsidR="00A15287" w:rsidRPr="003D5132" w:rsidRDefault="00C60ED5" w:rsidP="00A15287">
            <w:r w:rsidRPr="003D5132">
              <w:t>The onboarding plan for this Call-Off Contract is in accordance with the ‘Getting Started’ provisions set out in the Supplier’s G-Cloud entry for Service ID 524837239972037.</w:t>
            </w:r>
            <w:r w:rsidR="00BC07F2" w:rsidRPr="003D5132">
              <w:t xml:space="preserve"> All onboarding activities provided will be agreed by both Parties prior to any activities started.  </w:t>
            </w:r>
          </w:p>
          <w:p w14:paraId="6FA9E34C" w14:textId="03EE4F93" w:rsidR="00581CC5" w:rsidRPr="003D5132" w:rsidRDefault="00581CC5" w:rsidP="00D01C7D">
            <w:pPr>
              <w:jc w:val="both"/>
            </w:pPr>
          </w:p>
        </w:tc>
      </w:tr>
      <w:tr w:rsidR="00581CC5" w:rsidRPr="00C54827" w14:paraId="0F0E617B" w14:textId="77777777" w:rsidTr="004E1163">
        <w:tc>
          <w:tcPr>
            <w:tcW w:w="3969" w:type="dxa"/>
          </w:tcPr>
          <w:p w14:paraId="0302A55F" w14:textId="77777777" w:rsidR="00581CC5" w:rsidRPr="00C54827" w:rsidRDefault="00581CC5" w:rsidP="00581CC5">
            <w:pPr>
              <w:spacing w:before="60" w:after="60"/>
              <w:rPr>
                <w:b/>
              </w:rPr>
            </w:pPr>
            <w:r w:rsidRPr="00C54827">
              <w:rPr>
                <w:b/>
              </w:rPr>
              <w:t>Offboarding:</w:t>
            </w:r>
          </w:p>
        </w:tc>
        <w:tc>
          <w:tcPr>
            <w:tcW w:w="5670" w:type="dxa"/>
          </w:tcPr>
          <w:p w14:paraId="5FC476CC" w14:textId="34586087" w:rsidR="006A5434" w:rsidRPr="003D5132" w:rsidRDefault="00C60ED5" w:rsidP="00AA4DBB">
            <w:pPr>
              <w:spacing w:before="60" w:after="60"/>
            </w:pPr>
            <w:r w:rsidRPr="003D5132">
              <w:t>The offboarding plan for this Call-Off Contract is in accordance with the ‘Getting Started’ provisions set out in the Supplier’s G-Cloud entry for Service ID 524837239972037.</w:t>
            </w:r>
            <w:r w:rsidR="00BC07F2" w:rsidRPr="003D5132">
              <w:t xml:space="preserve"> All offboarding activities provided will be agreed by both Parties prior to any activities started.</w:t>
            </w:r>
            <w:r w:rsidR="003E0761" w:rsidRPr="003D5132">
              <w:t xml:space="preserve"> </w:t>
            </w:r>
          </w:p>
        </w:tc>
      </w:tr>
      <w:tr w:rsidR="00581CC5" w:rsidRPr="00ED1913" w14:paraId="4BE79CF3" w14:textId="77777777" w:rsidTr="004E1163">
        <w:tc>
          <w:tcPr>
            <w:tcW w:w="3969" w:type="dxa"/>
          </w:tcPr>
          <w:p w14:paraId="35BE5858" w14:textId="77777777" w:rsidR="00581CC5" w:rsidRPr="00ED1913" w:rsidRDefault="00581CC5" w:rsidP="00581CC5">
            <w:pPr>
              <w:spacing w:before="60" w:after="60"/>
              <w:rPr>
                <w:b/>
              </w:rPr>
            </w:pPr>
            <w:r w:rsidRPr="00ED1913">
              <w:rPr>
                <w:b/>
              </w:rPr>
              <w:t>Collaboration agreement:</w:t>
            </w:r>
          </w:p>
        </w:tc>
        <w:tc>
          <w:tcPr>
            <w:tcW w:w="5670" w:type="dxa"/>
          </w:tcPr>
          <w:p w14:paraId="2E1DE504" w14:textId="717B76A9" w:rsidR="00581CC5" w:rsidRPr="00ED1913" w:rsidRDefault="00AA4DBB" w:rsidP="00D4477B">
            <w:pPr>
              <w:spacing w:before="60" w:after="60"/>
            </w:pPr>
            <w:r w:rsidRPr="00F7297C">
              <w:t>The Buyer does not require the Supplier to enter into a Collaboration Agreement</w:t>
            </w:r>
            <w:r w:rsidR="00C54827">
              <w:t>.</w:t>
            </w:r>
            <w:r w:rsidR="00D4477B">
              <w:t xml:space="preserve"> </w:t>
            </w:r>
          </w:p>
        </w:tc>
      </w:tr>
      <w:tr w:rsidR="00581CC5" w:rsidRPr="00ED1913" w14:paraId="6A6CE3DA" w14:textId="77777777" w:rsidTr="004E1163">
        <w:tc>
          <w:tcPr>
            <w:tcW w:w="3969" w:type="dxa"/>
          </w:tcPr>
          <w:p w14:paraId="0F7CEF98" w14:textId="77777777" w:rsidR="00581CC5" w:rsidRPr="00482F1B" w:rsidRDefault="00581CC5" w:rsidP="00581CC5">
            <w:pPr>
              <w:spacing w:before="60" w:after="60"/>
              <w:rPr>
                <w:b/>
              </w:rPr>
            </w:pPr>
            <w:r w:rsidRPr="0029782F">
              <w:rPr>
                <w:b/>
              </w:rPr>
              <w:lastRenderedPageBreak/>
              <w:t>Limit on Parties</w:t>
            </w:r>
            <w:r w:rsidR="00C82E38" w:rsidRPr="0029782F">
              <w:rPr>
                <w:b/>
              </w:rPr>
              <w:t>’</w:t>
            </w:r>
            <w:r w:rsidRPr="0029782F">
              <w:rPr>
                <w:b/>
              </w:rPr>
              <w:t xml:space="preserve"> liability:</w:t>
            </w:r>
          </w:p>
        </w:tc>
        <w:tc>
          <w:tcPr>
            <w:tcW w:w="5670" w:type="dxa"/>
          </w:tcPr>
          <w:p w14:paraId="74A85531" w14:textId="35090675" w:rsidR="004E1163" w:rsidRPr="00E2106B" w:rsidRDefault="00581CC5" w:rsidP="000B142E">
            <w:pPr>
              <w:spacing w:before="60" w:after="60"/>
            </w:pPr>
            <w:r w:rsidRPr="00E2106B">
              <w:t xml:space="preserve">The annual total liability of either Party for all Property defaults will not exceed </w:t>
            </w:r>
            <w:r w:rsidR="00815DE3" w:rsidRPr="003D5132">
              <w:t>1</w:t>
            </w:r>
            <w:r w:rsidR="00456890" w:rsidRPr="003D5132">
              <w:t>2</w:t>
            </w:r>
            <w:r w:rsidR="00815DE3" w:rsidRPr="003D5132">
              <w:t>5% of the Charges payable by the Buyer to the Supplier during the Call-Off Contract Term (whichever is the greater).</w:t>
            </w:r>
          </w:p>
          <w:p w14:paraId="78D92AC3" w14:textId="5504C6CA" w:rsidR="00581CC5" w:rsidRPr="00E2106B" w:rsidRDefault="00581CC5" w:rsidP="00581CC5">
            <w:pPr>
              <w:spacing w:before="60" w:after="60"/>
            </w:pPr>
            <w:r w:rsidRPr="00E2106B">
              <w:t xml:space="preserve">The annual total liability for Buyer Data defaults will not exceed </w:t>
            </w:r>
            <w:r w:rsidR="00632C49" w:rsidRPr="009537A1">
              <w:rPr>
                <w:b/>
                <w:bCs/>
              </w:rPr>
              <w:t>&lt;REDACTED&gt;</w:t>
            </w:r>
            <w:r w:rsidRPr="003D5132">
              <w:t xml:space="preserve">or </w:t>
            </w:r>
            <w:r w:rsidR="000C33D4" w:rsidRPr="003D5132">
              <w:t>1</w:t>
            </w:r>
            <w:r w:rsidR="00416312" w:rsidRPr="003D5132">
              <w:t>25</w:t>
            </w:r>
            <w:r w:rsidR="000B142E" w:rsidRPr="00E2106B">
              <w:t>%</w:t>
            </w:r>
            <w:r w:rsidRPr="00E2106B">
              <w:t xml:space="preserve"> of the Charges payable by the Buyer to the Supplier during the Call-Off Contract Term (whichever is the greater).</w:t>
            </w:r>
          </w:p>
          <w:p w14:paraId="4BF75461" w14:textId="779F23BD" w:rsidR="00581CC5" w:rsidRPr="0029782F" w:rsidRDefault="00581CC5" w:rsidP="00385A27">
            <w:pPr>
              <w:spacing w:before="60" w:after="60"/>
            </w:pPr>
            <w:r w:rsidRPr="00E2106B">
              <w:t xml:space="preserve">The annual total liability for all other defaults will not exceed the greater of </w:t>
            </w:r>
            <w:r w:rsidR="00632C49" w:rsidRPr="009537A1">
              <w:rPr>
                <w:b/>
                <w:bCs/>
              </w:rPr>
              <w:t>&lt;REDACTED&gt;</w:t>
            </w:r>
            <w:r w:rsidRPr="003D5132">
              <w:t xml:space="preserve">or </w:t>
            </w:r>
            <w:r w:rsidR="00416312" w:rsidRPr="003D5132">
              <w:t>100</w:t>
            </w:r>
            <w:r w:rsidR="000B142E" w:rsidRPr="00E2106B">
              <w:t>%</w:t>
            </w:r>
            <w:r w:rsidRPr="00E2106B">
              <w:t xml:space="preserve"> of the Charges payable by the Buyer to the Supplier during the Call-Off Contract Term (whichever is the greater).</w:t>
            </w:r>
          </w:p>
        </w:tc>
      </w:tr>
      <w:tr w:rsidR="00581CC5" w:rsidRPr="00ED1913" w14:paraId="5FCDF117" w14:textId="77777777" w:rsidTr="004E1163">
        <w:tc>
          <w:tcPr>
            <w:tcW w:w="3969" w:type="dxa"/>
          </w:tcPr>
          <w:p w14:paraId="6E6E217F" w14:textId="77777777" w:rsidR="00581CC5" w:rsidRPr="00F73E20" w:rsidRDefault="00581CC5" w:rsidP="00581CC5">
            <w:pPr>
              <w:spacing w:before="60" w:after="60"/>
              <w:rPr>
                <w:b/>
              </w:rPr>
            </w:pPr>
            <w:r w:rsidRPr="00FA3C61">
              <w:rPr>
                <w:b/>
              </w:rPr>
              <w:t>Insurance:</w:t>
            </w:r>
          </w:p>
        </w:tc>
        <w:tc>
          <w:tcPr>
            <w:tcW w:w="5670" w:type="dxa"/>
          </w:tcPr>
          <w:p w14:paraId="1207F648" w14:textId="77777777" w:rsidR="004E1163" w:rsidRPr="00FA3C61" w:rsidRDefault="00581CC5" w:rsidP="00581CC5">
            <w:pPr>
              <w:spacing w:before="60" w:after="60"/>
            </w:pPr>
            <w:r w:rsidRPr="00FA3C61">
              <w:t>The</w:t>
            </w:r>
            <w:r w:rsidR="004E1163" w:rsidRPr="00FA3C61">
              <w:t xml:space="preserve"> insurance(s) required will be:</w:t>
            </w:r>
          </w:p>
          <w:p w14:paraId="567FE66C" w14:textId="619DA170" w:rsidR="004E1163" w:rsidRPr="00D01C7D" w:rsidRDefault="00FF7C28" w:rsidP="008D6F49">
            <w:pPr>
              <w:pStyle w:val="ListParagraph"/>
              <w:numPr>
                <w:ilvl w:val="0"/>
                <w:numId w:val="1"/>
              </w:numPr>
              <w:spacing w:before="60" w:after="60"/>
              <w:ind w:left="568" w:hanging="284"/>
              <w:contextualSpacing w:val="0"/>
            </w:pPr>
            <w:r w:rsidRPr="00FA3C61">
              <w:t>A minimum insurance period of 6 years</w:t>
            </w:r>
            <w:r w:rsidR="00581CC5" w:rsidRPr="00FA3C61">
              <w:t xml:space="preserve"> following the expiration or Endi</w:t>
            </w:r>
            <w:r w:rsidR="004E1163" w:rsidRPr="00FA3C61">
              <w:t xml:space="preserve">ng of this Call-Off </w:t>
            </w:r>
            <w:r w:rsidR="004E1163" w:rsidRPr="00D01C7D">
              <w:t>Contract</w:t>
            </w:r>
          </w:p>
          <w:p w14:paraId="03B794E8" w14:textId="1FF862B0" w:rsidR="004E1163" w:rsidRPr="00FA3C61" w:rsidRDefault="00FF7C28">
            <w:pPr>
              <w:pStyle w:val="ListParagraph"/>
              <w:numPr>
                <w:ilvl w:val="0"/>
                <w:numId w:val="1"/>
              </w:numPr>
              <w:spacing w:before="60" w:after="60"/>
              <w:ind w:left="568" w:hanging="284"/>
              <w:contextualSpacing w:val="0"/>
            </w:pPr>
            <w:r w:rsidRPr="00FA3C61">
              <w:t>P</w:t>
            </w:r>
            <w:r w:rsidR="00581CC5" w:rsidRPr="00FA3C61">
              <w:t xml:space="preserve">rofessional indemnity insurance cover to be held by the Supplier and by any agent, Subcontractor or consultant involved in the supply of the G-Cloud Services. This professional indemnity insurance cover will have a minimum limit of indemnity of </w:t>
            </w:r>
            <w:r w:rsidR="00632C49" w:rsidRPr="009537A1">
              <w:rPr>
                <w:b/>
                <w:bCs/>
              </w:rPr>
              <w:t>&lt;REDACTED&gt;</w:t>
            </w:r>
            <w:r w:rsidR="00581CC5" w:rsidRPr="00FA3C61">
              <w:t xml:space="preserve"> for each individual claim or any higher limit the Buyer requi</w:t>
            </w:r>
            <w:r w:rsidRPr="00FA3C61">
              <w:t>res (and as required by Law)</w:t>
            </w:r>
          </w:p>
          <w:p w14:paraId="63B632F6" w14:textId="4FF8A02A" w:rsidR="00581CC5" w:rsidRPr="00FA3C61" w:rsidRDefault="00FF7C28" w:rsidP="008D6F49">
            <w:pPr>
              <w:pStyle w:val="ListParagraph"/>
              <w:numPr>
                <w:ilvl w:val="0"/>
                <w:numId w:val="1"/>
              </w:numPr>
              <w:spacing w:before="60" w:after="60"/>
              <w:ind w:left="568" w:hanging="284"/>
              <w:contextualSpacing w:val="0"/>
            </w:pPr>
            <w:r w:rsidRPr="00FA3C61">
              <w:t xml:space="preserve">Employers’ liability insurance with a minimum limit of </w:t>
            </w:r>
            <w:r w:rsidR="00632C49" w:rsidRPr="009537A1">
              <w:rPr>
                <w:b/>
                <w:bCs/>
              </w:rPr>
              <w:t>&lt;REDACTED&gt;</w:t>
            </w:r>
            <w:r w:rsidRPr="00FA3C61">
              <w:t xml:space="preserve"> or any higher minimum limit required by Law</w:t>
            </w:r>
          </w:p>
        </w:tc>
      </w:tr>
      <w:tr w:rsidR="00581CC5" w:rsidRPr="00ED1913" w14:paraId="630574B2" w14:textId="77777777" w:rsidTr="004E1163">
        <w:tc>
          <w:tcPr>
            <w:tcW w:w="3969" w:type="dxa"/>
          </w:tcPr>
          <w:p w14:paraId="7AA6E481" w14:textId="77777777" w:rsidR="00581CC5" w:rsidRPr="00ED1913" w:rsidRDefault="00581CC5" w:rsidP="00581CC5">
            <w:pPr>
              <w:spacing w:before="60" w:after="60"/>
              <w:rPr>
                <w:b/>
              </w:rPr>
            </w:pPr>
            <w:r w:rsidRPr="00ED1913">
              <w:rPr>
                <w:b/>
              </w:rPr>
              <w:t>Force majeure:</w:t>
            </w:r>
          </w:p>
        </w:tc>
        <w:tc>
          <w:tcPr>
            <w:tcW w:w="5670" w:type="dxa"/>
          </w:tcPr>
          <w:p w14:paraId="6F99314E" w14:textId="0D5D5157" w:rsidR="00581CC5" w:rsidRPr="00ED1913" w:rsidRDefault="00581CC5" w:rsidP="00385A27">
            <w:pPr>
              <w:spacing w:before="60" w:after="60"/>
            </w:pPr>
            <w:r w:rsidRPr="00ED1913">
              <w:t>A Party may End this Call-Off Contract if the Other Party is affected by a Force Majeure Event that lasts for more than</w:t>
            </w:r>
            <w:r w:rsidR="00FA3C61">
              <w:t xml:space="preserve"> </w:t>
            </w:r>
            <w:r w:rsidR="00385A27">
              <w:t>3</w:t>
            </w:r>
            <w:r w:rsidR="00FA3C61">
              <w:t xml:space="preserve">0 </w:t>
            </w:r>
            <w:r w:rsidRPr="00ED1913">
              <w:t>consecutive days.</w:t>
            </w:r>
          </w:p>
        </w:tc>
      </w:tr>
      <w:tr w:rsidR="00581CC5" w:rsidRPr="00ED1913" w14:paraId="08BB5D07" w14:textId="77777777" w:rsidTr="004E1163">
        <w:tc>
          <w:tcPr>
            <w:tcW w:w="3969" w:type="dxa"/>
          </w:tcPr>
          <w:p w14:paraId="635AB823" w14:textId="77777777" w:rsidR="00581CC5" w:rsidRPr="00ED1913" w:rsidRDefault="00581CC5" w:rsidP="00581CC5">
            <w:pPr>
              <w:spacing w:before="60" w:after="60"/>
              <w:rPr>
                <w:b/>
              </w:rPr>
            </w:pPr>
            <w:r w:rsidRPr="00ED1913">
              <w:rPr>
                <w:b/>
              </w:rPr>
              <w:t>Audit:</w:t>
            </w:r>
          </w:p>
        </w:tc>
        <w:tc>
          <w:tcPr>
            <w:tcW w:w="5670" w:type="dxa"/>
          </w:tcPr>
          <w:p w14:paraId="6933F142" w14:textId="3625FA9A" w:rsidR="00581CC5" w:rsidRPr="00E2106B" w:rsidRDefault="00581CC5" w:rsidP="00581CC5">
            <w:pPr>
              <w:spacing w:before="60" w:after="60"/>
            </w:pPr>
            <w:r w:rsidRPr="00E2106B">
              <w:t>The following Framework Agreement audit provisions will be incorporated under clause 2.1 of this Call-Off Contract to enable the Buyer to carry out audits</w:t>
            </w:r>
            <w:r w:rsidR="00B530CA" w:rsidRPr="003D5132">
              <w:t>: Clauses 7.3 to 7.12 of the Framework Agreement</w:t>
            </w:r>
            <w:r w:rsidRPr="003D5132">
              <w:t xml:space="preserve">. </w:t>
            </w:r>
            <w:r w:rsidR="00B530CA" w:rsidRPr="003D5132">
              <w:t>However, Buyer acknowledges that any technical audit of Supplier’s security or operations environments shall be subject to the terms of Section 10 (Audit) of the Data Processing Exhibit, forming part of the Supplier Terms</w:t>
            </w:r>
          </w:p>
        </w:tc>
      </w:tr>
      <w:tr w:rsidR="00581CC5" w:rsidRPr="00ED1913" w14:paraId="41A2E8FE" w14:textId="77777777" w:rsidTr="004E1163">
        <w:tc>
          <w:tcPr>
            <w:tcW w:w="3969" w:type="dxa"/>
          </w:tcPr>
          <w:p w14:paraId="16EC862D" w14:textId="77777777" w:rsidR="00581CC5" w:rsidRPr="00ED1913" w:rsidRDefault="004E1163" w:rsidP="00581CC5">
            <w:pPr>
              <w:spacing w:before="60" w:after="60"/>
              <w:rPr>
                <w:b/>
              </w:rPr>
            </w:pPr>
            <w:r w:rsidRPr="00ED1913">
              <w:rPr>
                <w:b/>
              </w:rPr>
              <w:t>Buyer</w:t>
            </w:r>
            <w:r w:rsidR="00C82E38" w:rsidRPr="00ED1913">
              <w:rPr>
                <w:b/>
              </w:rPr>
              <w:t>’</w:t>
            </w:r>
            <w:r w:rsidRPr="00ED1913">
              <w:rPr>
                <w:b/>
              </w:rPr>
              <w:t>s responsibilities:</w:t>
            </w:r>
          </w:p>
        </w:tc>
        <w:tc>
          <w:tcPr>
            <w:tcW w:w="5670" w:type="dxa"/>
          </w:tcPr>
          <w:p w14:paraId="6BFC1AF4" w14:textId="4080A408" w:rsidR="00581CC5" w:rsidRPr="00E2106B" w:rsidRDefault="004E1163" w:rsidP="00070FC9">
            <w:pPr>
              <w:spacing w:before="60" w:after="60"/>
            </w:pPr>
            <w:r w:rsidRPr="00E2106B">
              <w:t xml:space="preserve">The Buyer is responsible for </w:t>
            </w:r>
            <w:r w:rsidR="00070FC9" w:rsidRPr="00E2106B">
              <w:t xml:space="preserve">providing prompt access to relevant stakeholders for kick-off </w:t>
            </w:r>
            <w:r w:rsidR="00070FC9" w:rsidRPr="00E2106B">
              <w:lastRenderedPageBreak/>
              <w:t>workshop / implementation consultation sessions, timely provision of templates for import, suitable provision of training facilities including PCs with internet connect, projector, whiteboard, etc.</w:t>
            </w:r>
            <w:r w:rsidR="00FB59CC" w:rsidRPr="00E2106B">
              <w:t xml:space="preserve">  </w:t>
            </w:r>
            <w:r w:rsidR="00FB59CC" w:rsidRPr="003D5132">
              <w:t>The Buyer is responsible for meeting those obligations set out in the Supplier Terms, including the Master Subscription Agreement and Data Processing Exhibit.</w:t>
            </w:r>
          </w:p>
        </w:tc>
      </w:tr>
      <w:tr w:rsidR="00581CC5" w:rsidRPr="00ED1913" w14:paraId="19A09ADD" w14:textId="77777777" w:rsidTr="004E1163">
        <w:tc>
          <w:tcPr>
            <w:tcW w:w="3969" w:type="dxa"/>
          </w:tcPr>
          <w:p w14:paraId="21D136E9" w14:textId="77777777" w:rsidR="00581CC5" w:rsidRPr="00ED1913" w:rsidRDefault="004E1163" w:rsidP="00581CC5">
            <w:pPr>
              <w:spacing w:before="60" w:after="60"/>
              <w:rPr>
                <w:b/>
              </w:rPr>
            </w:pPr>
            <w:r w:rsidRPr="00ED1913">
              <w:rPr>
                <w:b/>
              </w:rPr>
              <w:lastRenderedPageBreak/>
              <w:t>Buyer</w:t>
            </w:r>
            <w:r w:rsidR="00C82E38" w:rsidRPr="00ED1913">
              <w:rPr>
                <w:b/>
              </w:rPr>
              <w:t>’</w:t>
            </w:r>
            <w:r w:rsidRPr="00ED1913">
              <w:rPr>
                <w:b/>
              </w:rPr>
              <w:t>s equipment:</w:t>
            </w:r>
          </w:p>
        </w:tc>
        <w:tc>
          <w:tcPr>
            <w:tcW w:w="5670" w:type="dxa"/>
          </w:tcPr>
          <w:p w14:paraId="6B64EB37" w14:textId="2A80941F" w:rsidR="00581CC5" w:rsidRPr="00ED1913" w:rsidRDefault="00070FC9" w:rsidP="004E1163">
            <w:pPr>
              <w:spacing w:before="60" w:after="60"/>
            </w:pPr>
            <w:r w:rsidRPr="005576AA">
              <w:t>In order to access the service, the Buyer must be equipped with computer with internet connection and internet browser (</w:t>
            </w:r>
            <w:proofErr w:type="gramStart"/>
            <w:r w:rsidRPr="005576AA">
              <w:t>e.g.</w:t>
            </w:r>
            <w:proofErr w:type="gramEnd"/>
            <w:r w:rsidRPr="005576AA">
              <w:t xml:space="preserve"> Internet Explorer, Firefox, Chrome).</w:t>
            </w:r>
          </w:p>
        </w:tc>
      </w:tr>
    </w:tbl>
    <w:p w14:paraId="4161C9C1" w14:textId="77777777" w:rsidR="004E1163" w:rsidRPr="00ED1913" w:rsidRDefault="004E1163"/>
    <w:p w14:paraId="5F85D72A" w14:textId="77777777" w:rsidR="004E1163" w:rsidRPr="00ED1913" w:rsidRDefault="004E1163" w:rsidP="004E1163">
      <w:pPr>
        <w:spacing w:after="120"/>
        <w:rPr>
          <w:b/>
        </w:rPr>
      </w:pPr>
      <w:r w:rsidRPr="00ED1913">
        <w:rPr>
          <w:b/>
        </w:rPr>
        <w:t>Supplier</w:t>
      </w:r>
      <w:r w:rsidR="00C82E38" w:rsidRPr="00ED1913">
        <w:rPr>
          <w:b/>
        </w:rPr>
        <w:t>’</w:t>
      </w:r>
      <w:r w:rsidRPr="00ED1913">
        <w:rPr>
          <w:b/>
        </w:rPr>
        <w:t>s information</w:t>
      </w:r>
    </w:p>
    <w:tbl>
      <w:tblPr>
        <w:tblStyle w:val="TableGrid"/>
        <w:tblW w:w="9639" w:type="dxa"/>
        <w:tblLayout w:type="fixed"/>
        <w:tblLook w:val="04A0" w:firstRow="1" w:lastRow="0" w:firstColumn="1" w:lastColumn="0" w:noHBand="0" w:noVBand="1"/>
      </w:tblPr>
      <w:tblGrid>
        <w:gridCol w:w="3969"/>
        <w:gridCol w:w="5670"/>
      </w:tblGrid>
      <w:tr w:rsidR="00581CC5" w:rsidRPr="00ED1913" w14:paraId="62204D0C" w14:textId="77777777" w:rsidTr="004E1163">
        <w:tc>
          <w:tcPr>
            <w:tcW w:w="3969" w:type="dxa"/>
          </w:tcPr>
          <w:p w14:paraId="2C9C4F3C" w14:textId="77777777" w:rsidR="00581CC5" w:rsidRPr="00ED1913" w:rsidRDefault="004E1163" w:rsidP="00581CC5">
            <w:pPr>
              <w:spacing w:before="60" w:after="60"/>
              <w:rPr>
                <w:b/>
              </w:rPr>
            </w:pPr>
            <w:r w:rsidRPr="00ED1913">
              <w:rPr>
                <w:b/>
              </w:rPr>
              <w:t>Subcontractors or partners:</w:t>
            </w:r>
          </w:p>
        </w:tc>
        <w:tc>
          <w:tcPr>
            <w:tcW w:w="5670" w:type="dxa"/>
          </w:tcPr>
          <w:p w14:paraId="0B0BE36C" w14:textId="28842682" w:rsidR="00581CC5" w:rsidRPr="00ED1913" w:rsidRDefault="00863F11" w:rsidP="00581CC5">
            <w:pPr>
              <w:spacing w:before="60" w:after="60"/>
            </w:pPr>
            <w:r w:rsidRPr="003D5132">
              <w:t>Supplier</w:t>
            </w:r>
            <w:r w:rsidR="00E26D58" w:rsidRPr="003D5132">
              <w:t xml:space="preserve"> may use </w:t>
            </w:r>
            <w:proofErr w:type="spellStart"/>
            <w:r w:rsidR="00E26D58" w:rsidRPr="003D5132">
              <w:t>Subprocessors</w:t>
            </w:r>
            <w:proofErr w:type="spellEnd"/>
            <w:r w:rsidR="00E26D58" w:rsidRPr="003D5132">
              <w:t xml:space="preserve"> to provide certain elements of the Services pursuant to its Supplier Terms and any additional terms contained within the relevant Workday Order Form attached to this Order Form.  By signing this Order Form, Buyer acknowledges that the terms of this G-Cloud Call-Off Contract (including the relevant terms of the Framework Agreement) may not be passed on to Supplier’s third-party </w:t>
            </w:r>
            <w:proofErr w:type="spellStart"/>
            <w:r w:rsidR="00E26D58" w:rsidRPr="003D5132">
              <w:t>Subprocessors</w:t>
            </w:r>
            <w:proofErr w:type="spellEnd"/>
            <w:r w:rsidR="00E26D58" w:rsidRPr="003D5132">
              <w:t xml:space="preserve">, notwithstanding that the Supplier shall remain responsible for all acts or omissions of its </w:t>
            </w:r>
            <w:proofErr w:type="spellStart"/>
            <w:r w:rsidR="00E26D58" w:rsidRPr="003D5132">
              <w:t>Subprocessors</w:t>
            </w:r>
            <w:proofErr w:type="spellEnd"/>
            <w:r w:rsidR="00E26D58" w:rsidRPr="003D5132">
              <w:t xml:space="preserve">.  </w:t>
            </w:r>
            <w:r w:rsidRPr="003D5132">
              <w:t xml:space="preserve">BUYER’S ATTENTION IS PARTICULARLY DRAWN TO THOSE TERMS RELATED TO WORKDAY LEARNING AND MEDIA CLOUD, OR ANY </w:t>
            </w:r>
            <w:r w:rsidRPr="00BE3196">
              <w:t>INNOVATION</w:t>
            </w:r>
            <w:r w:rsidRPr="003D5132">
              <w:t xml:space="preserve"> SERVICES</w:t>
            </w:r>
            <w:r w:rsidR="00E26D58" w:rsidRPr="003D5132">
              <w:t>.</w:t>
            </w:r>
          </w:p>
        </w:tc>
      </w:tr>
    </w:tbl>
    <w:p w14:paraId="0C38A2A6" w14:textId="77777777" w:rsidR="004E1163" w:rsidRPr="00ED1913" w:rsidRDefault="004E1163"/>
    <w:p w14:paraId="73C4733F" w14:textId="77777777" w:rsidR="004E1163" w:rsidRPr="00ED1913" w:rsidRDefault="004E1163" w:rsidP="004E1163">
      <w:pPr>
        <w:spacing w:after="120"/>
        <w:rPr>
          <w:b/>
        </w:rPr>
      </w:pPr>
      <w:r w:rsidRPr="00ED1913">
        <w:rPr>
          <w:b/>
        </w:rPr>
        <w:t>Call-Off Contract charges and payment</w:t>
      </w:r>
    </w:p>
    <w:p w14:paraId="528639E3" w14:textId="77E67E4A" w:rsidR="004E1163" w:rsidRDefault="004E1163" w:rsidP="004E1163">
      <w:r w:rsidRPr="00ED1913">
        <w:t>The Call-Off Contract charges and payment details are in the table below. See Schedule 2 for a full breakdown.</w:t>
      </w:r>
    </w:p>
    <w:p w14:paraId="6087CC4D" w14:textId="77777777" w:rsidR="00070FC9" w:rsidRPr="00ED1913" w:rsidRDefault="00070FC9" w:rsidP="004E1163"/>
    <w:tbl>
      <w:tblPr>
        <w:tblStyle w:val="TableGrid"/>
        <w:tblW w:w="9639" w:type="dxa"/>
        <w:tblLayout w:type="fixed"/>
        <w:tblLook w:val="04A0" w:firstRow="1" w:lastRow="0" w:firstColumn="1" w:lastColumn="0" w:noHBand="0" w:noVBand="1"/>
      </w:tblPr>
      <w:tblGrid>
        <w:gridCol w:w="3969"/>
        <w:gridCol w:w="5670"/>
      </w:tblGrid>
      <w:tr w:rsidR="00581CC5" w:rsidRPr="00ED1913" w14:paraId="5B013ACF" w14:textId="77777777" w:rsidTr="004E1163">
        <w:tc>
          <w:tcPr>
            <w:tcW w:w="3969" w:type="dxa"/>
          </w:tcPr>
          <w:p w14:paraId="02679901" w14:textId="77777777" w:rsidR="00581CC5" w:rsidRPr="00ED1913" w:rsidRDefault="004E1163" w:rsidP="00581CC5">
            <w:pPr>
              <w:spacing w:before="60" w:after="60"/>
              <w:rPr>
                <w:b/>
              </w:rPr>
            </w:pPr>
            <w:r w:rsidRPr="00ED1913">
              <w:rPr>
                <w:b/>
              </w:rPr>
              <w:t>Payment method:</w:t>
            </w:r>
          </w:p>
        </w:tc>
        <w:tc>
          <w:tcPr>
            <w:tcW w:w="5670" w:type="dxa"/>
          </w:tcPr>
          <w:p w14:paraId="5B655F2D" w14:textId="4673F98B" w:rsidR="00581CC5" w:rsidRPr="00ED1913" w:rsidRDefault="004E1163" w:rsidP="004E1163">
            <w:pPr>
              <w:spacing w:before="60" w:after="60"/>
            </w:pPr>
            <w:r w:rsidRPr="00ED1913">
              <w:t xml:space="preserve">The payment method for this Call-Off Contract is </w:t>
            </w:r>
            <w:r w:rsidR="00070FC9" w:rsidRPr="00070FC9">
              <w:t>BACS.</w:t>
            </w:r>
          </w:p>
        </w:tc>
      </w:tr>
      <w:tr w:rsidR="00581CC5" w:rsidRPr="00ED1913" w14:paraId="3DD304DA" w14:textId="77777777" w:rsidTr="004E1163">
        <w:tc>
          <w:tcPr>
            <w:tcW w:w="3969" w:type="dxa"/>
          </w:tcPr>
          <w:p w14:paraId="5939F289" w14:textId="77777777" w:rsidR="00581CC5" w:rsidRPr="00ED1913" w:rsidRDefault="004E1163" w:rsidP="00581CC5">
            <w:pPr>
              <w:spacing w:before="60" w:after="60"/>
              <w:rPr>
                <w:b/>
              </w:rPr>
            </w:pPr>
            <w:r w:rsidRPr="00ED1913">
              <w:rPr>
                <w:b/>
              </w:rPr>
              <w:t>Payment profile:</w:t>
            </w:r>
          </w:p>
        </w:tc>
        <w:tc>
          <w:tcPr>
            <w:tcW w:w="5670" w:type="dxa"/>
          </w:tcPr>
          <w:p w14:paraId="513D758A" w14:textId="3D908808" w:rsidR="00A15287" w:rsidRPr="002B68FD" w:rsidRDefault="004E1163">
            <w:pPr>
              <w:spacing w:before="60" w:after="60"/>
            </w:pPr>
            <w:r w:rsidRPr="002B68FD">
              <w:t>The payment profile for this Call-Off Contract is</w:t>
            </w:r>
            <w:r w:rsidR="000E495D" w:rsidRPr="002B68FD">
              <w:t xml:space="preserve"> </w:t>
            </w:r>
            <w:r w:rsidR="000E495D" w:rsidRPr="003D5132">
              <w:t>annually in advance</w:t>
            </w:r>
          </w:p>
        </w:tc>
      </w:tr>
      <w:tr w:rsidR="00581CC5" w:rsidRPr="00ED1913" w14:paraId="094C8BB1" w14:textId="77777777" w:rsidTr="004E1163">
        <w:tc>
          <w:tcPr>
            <w:tcW w:w="3969" w:type="dxa"/>
          </w:tcPr>
          <w:p w14:paraId="636DF13D" w14:textId="77777777" w:rsidR="00581CC5" w:rsidRPr="00ED1913" w:rsidRDefault="004E1163" w:rsidP="00581CC5">
            <w:pPr>
              <w:spacing w:before="60" w:after="60"/>
              <w:rPr>
                <w:b/>
              </w:rPr>
            </w:pPr>
            <w:r w:rsidRPr="00ED1913">
              <w:rPr>
                <w:b/>
              </w:rPr>
              <w:t>Invoice details:</w:t>
            </w:r>
          </w:p>
        </w:tc>
        <w:tc>
          <w:tcPr>
            <w:tcW w:w="5670" w:type="dxa"/>
          </w:tcPr>
          <w:p w14:paraId="4624B550" w14:textId="6CBF5D84" w:rsidR="00581CC5" w:rsidRPr="002B68FD" w:rsidRDefault="00070FC9" w:rsidP="004E1163">
            <w:pPr>
              <w:spacing w:before="60" w:after="60"/>
            </w:pPr>
            <w:r w:rsidRPr="002B68FD">
              <w:t>The Supplier will issue electronic invoices as per the payment profile above. The Buyer will pay the Supplier within 30 days of receipt of a valid invoice.</w:t>
            </w:r>
          </w:p>
        </w:tc>
      </w:tr>
      <w:tr w:rsidR="00581CC5" w:rsidRPr="00ED1913" w14:paraId="49269A10" w14:textId="77777777" w:rsidTr="004E1163">
        <w:tc>
          <w:tcPr>
            <w:tcW w:w="3969" w:type="dxa"/>
          </w:tcPr>
          <w:p w14:paraId="5897BFAB" w14:textId="77777777" w:rsidR="00581CC5" w:rsidRPr="00ED1913" w:rsidRDefault="004E1163" w:rsidP="00581CC5">
            <w:pPr>
              <w:spacing w:before="60" w:after="60"/>
              <w:rPr>
                <w:b/>
              </w:rPr>
            </w:pPr>
            <w:r w:rsidRPr="00ED1913">
              <w:rPr>
                <w:b/>
              </w:rPr>
              <w:t>Who and where to send invoices to:</w:t>
            </w:r>
          </w:p>
        </w:tc>
        <w:tc>
          <w:tcPr>
            <w:tcW w:w="5670" w:type="dxa"/>
          </w:tcPr>
          <w:p w14:paraId="3F7FEF6B" w14:textId="33960581" w:rsidR="00710FC2" w:rsidRDefault="00710FC2" w:rsidP="00710FC2">
            <w:pPr>
              <w:spacing w:before="60" w:after="60"/>
              <w:rPr>
                <w:sz w:val="20"/>
                <w:szCs w:val="20"/>
              </w:rPr>
            </w:pPr>
            <w:r>
              <w:t>Electronic i</w:t>
            </w:r>
            <w:r w:rsidR="004E1163" w:rsidRPr="00ED1913">
              <w:t>nvoices will be sent to</w:t>
            </w:r>
            <w:r>
              <w:t>:</w:t>
            </w:r>
            <w:r>
              <w:rPr>
                <w:rStyle w:val="ms-rtefontsize-2"/>
                <w:sz w:val="20"/>
                <w:szCs w:val="20"/>
              </w:rPr>
              <w:t xml:space="preserve"> </w:t>
            </w:r>
          </w:p>
          <w:p w14:paraId="50A0F011" w14:textId="46CF4B44" w:rsidR="00581CC5" w:rsidRPr="00ED1913" w:rsidRDefault="00632C49" w:rsidP="00710FC2">
            <w:pPr>
              <w:spacing w:before="60" w:after="60"/>
            </w:pPr>
            <w:r w:rsidRPr="009537A1">
              <w:rPr>
                <w:b/>
                <w:bCs/>
              </w:rPr>
              <w:lastRenderedPageBreak/>
              <w:t>&lt;REDACTED&gt;</w:t>
            </w:r>
          </w:p>
        </w:tc>
      </w:tr>
      <w:tr w:rsidR="00581CC5" w:rsidRPr="00ED1913" w14:paraId="708634A0" w14:textId="77777777" w:rsidTr="004E1163">
        <w:tc>
          <w:tcPr>
            <w:tcW w:w="3969" w:type="dxa"/>
          </w:tcPr>
          <w:p w14:paraId="68F12224" w14:textId="77777777" w:rsidR="00581CC5" w:rsidRPr="00ED1913" w:rsidRDefault="004E1163" w:rsidP="00581CC5">
            <w:pPr>
              <w:spacing w:before="60" w:after="60"/>
              <w:rPr>
                <w:b/>
              </w:rPr>
            </w:pPr>
            <w:r w:rsidRPr="00ED1913">
              <w:rPr>
                <w:b/>
              </w:rPr>
              <w:lastRenderedPageBreak/>
              <w:t>Invoice information required</w:t>
            </w:r>
            <w:r w:rsidRPr="00ED1913">
              <w:t xml:space="preserve"> </w:t>
            </w:r>
            <w:r w:rsidR="00C82E38" w:rsidRPr="00ED1913">
              <w:t>-</w:t>
            </w:r>
            <w:r w:rsidRPr="00ED1913">
              <w:t xml:space="preserve"> for example purchase order, project reference:</w:t>
            </w:r>
          </w:p>
        </w:tc>
        <w:tc>
          <w:tcPr>
            <w:tcW w:w="5670" w:type="dxa"/>
          </w:tcPr>
          <w:p w14:paraId="547D8C73" w14:textId="77777777" w:rsidR="00A15287" w:rsidRPr="009507CE" w:rsidRDefault="00A15287" w:rsidP="00A15287">
            <w:pPr>
              <w:rPr>
                <w:rFonts w:ascii="Helvetica Neue" w:eastAsia="MS Mincho" w:hAnsi="Helvetica Neue" w:cs="Times New Roman"/>
              </w:rPr>
            </w:pPr>
            <w:r w:rsidRPr="009507CE">
              <w:rPr>
                <w:rFonts w:eastAsia="MS Mincho"/>
              </w:rPr>
              <w:t>A valid invoice is one that is:</w:t>
            </w:r>
          </w:p>
          <w:p w14:paraId="5CBF9796" w14:textId="780AB770" w:rsidR="00710FC2" w:rsidRPr="00D01C7D" w:rsidRDefault="00710FC2" w:rsidP="008D6F49">
            <w:pPr>
              <w:numPr>
                <w:ilvl w:val="0"/>
                <w:numId w:val="23"/>
              </w:numPr>
              <w:contextualSpacing/>
              <w:rPr>
                <w:rFonts w:eastAsiaTheme="minorEastAsia"/>
              </w:rPr>
            </w:pPr>
            <w:r w:rsidRPr="00D01C7D">
              <w:rPr>
                <w:rFonts w:eastAsiaTheme="minorEastAsia"/>
              </w:rPr>
              <w:t>Is in an un-editable format such as pdf or jpeg</w:t>
            </w:r>
          </w:p>
          <w:p w14:paraId="074A1866" w14:textId="706E0220" w:rsidR="00710FC2" w:rsidRPr="00D01C7D" w:rsidRDefault="00A15287" w:rsidP="008D6F49">
            <w:pPr>
              <w:numPr>
                <w:ilvl w:val="0"/>
                <w:numId w:val="23"/>
              </w:numPr>
              <w:contextualSpacing/>
              <w:rPr>
                <w:rFonts w:eastAsiaTheme="minorEastAsia"/>
              </w:rPr>
            </w:pPr>
            <w:r w:rsidRPr="009507CE">
              <w:rPr>
                <w:rFonts w:eastAsiaTheme="minorEastAsia"/>
              </w:rPr>
              <w:t xml:space="preserve">Delivered in timing in accordance </w:t>
            </w:r>
            <w:proofErr w:type="gramStart"/>
            <w:r w:rsidRPr="009507CE">
              <w:rPr>
                <w:rFonts w:eastAsiaTheme="minorEastAsia"/>
              </w:rPr>
              <w:t>of</w:t>
            </w:r>
            <w:proofErr w:type="gramEnd"/>
            <w:r w:rsidRPr="009507CE">
              <w:rPr>
                <w:rFonts w:eastAsiaTheme="minorEastAsia"/>
              </w:rPr>
              <w:t xml:space="preserve"> the contract</w:t>
            </w:r>
            <w:r w:rsidR="00710FC2">
              <w:rPr>
                <w:rFonts w:eastAsiaTheme="minorEastAsia"/>
              </w:rPr>
              <w:t xml:space="preserve"> and is not future dated</w:t>
            </w:r>
          </w:p>
          <w:p w14:paraId="68DF77E5" w14:textId="77777777" w:rsidR="00A15287" w:rsidRPr="00D01C7D" w:rsidRDefault="00A15287" w:rsidP="008D6F49">
            <w:pPr>
              <w:numPr>
                <w:ilvl w:val="0"/>
                <w:numId w:val="23"/>
              </w:numPr>
              <w:contextualSpacing/>
              <w:rPr>
                <w:rFonts w:eastAsiaTheme="minorEastAsia"/>
              </w:rPr>
            </w:pPr>
            <w:r w:rsidRPr="009507CE">
              <w:rPr>
                <w:rFonts w:eastAsiaTheme="minorEastAsia"/>
              </w:rPr>
              <w:t>Is for the correct sum</w:t>
            </w:r>
          </w:p>
          <w:p w14:paraId="60076F05" w14:textId="77777777" w:rsidR="00A15287" w:rsidRPr="00D01C7D" w:rsidRDefault="00A15287" w:rsidP="008D6F49">
            <w:pPr>
              <w:numPr>
                <w:ilvl w:val="0"/>
                <w:numId w:val="23"/>
              </w:numPr>
              <w:contextualSpacing/>
              <w:rPr>
                <w:rFonts w:eastAsiaTheme="minorEastAsia"/>
              </w:rPr>
            </w:pPr>
            <w:r w:rsidRPr="009507CE">
              <w:rPr>
                <w:rFonts w:eastAsiaTheme="minorEastAsia"/>
              </w:rPr>
              <w:t>Is correct in terms of services/goods supplied</w:t>
            </w:r>
          </w:p>
          <w:p w14:paraId="183B0310" w14:textId="77777777" w:rsidR="00A15287" w:rsidRPr="009507CE" w:rsidRDefault="00A15287" w:rsidP="008D6F49">
            <w:pPr>
              <w:numPr>
                <w:ilvl w:val="0"/>
                <w:numId w:val="23"/>
              </w:numPr>
              <w:contextualSpacing/>
              <w:rPr>
                <w:rFonts w:ascii="Helvetica Neue" w:eastAsiaTheme="minorEastAsia" w:hAnsi="Helvetica Neue"/>
              </w:rPr>
            </w:pPr>
            <w:r w:rsidRPr="009507CE">
              <w:rPr>
                <w:rFonts w:eastAsiaTheme="minorEastAsia"/>
              </w:rPr>
              <w:t>Has a unique invoice number</w:t>
            </w:r>
          </w:p>
          <w:p w14:paraId="2AF13409" w14:textId="77777777" w:rsidR="00A15287" w:rsidRPr="009507CE" w:rsidRDefault="00A15287" w:rsidP="008D6F49">
            <w:pPr>
              <w:numPr>
                <w:ilvl w:val="0"/>
                <w:numId w:val="23"/>
              </w:numPr>
              <w:contextualSpacing/>
              <w:rPr>
                <w:rFonts w:ascii="Helvetica Neue" w:eastAsiaTheme="minorEastAsia" w:hAnsi="Helvetica Neue"/>
              </w:rPr>
            </w:pPr>
            <w:r w:rsidRPr="009507CE">
              <w:rPr>
                <w:rFonts w:eastAsiaTheme="minorEastAsia"/>
              </w:rPr>
              <w:t>Quotes a valid Purchase Order number</w:t>
            </w:r>
          </w:p>
          <w:p w14:paraId="02661218" w14:textId="239EA518" w:rsidR="00A15287" w:rsidRPr="00B802E1" w:rsidRDefault="00A15287" w:rsidP="008D6F49">
            <w:pPr>
              <w:numPr>
                <w:ilvl w:val="0"/>
                <w:numId w:val="23"/>
              </w:numPr>
              <w:contextualSpacing/>
              <w:rPr>
                <w:rFonts w:ascii="Helvetica Neue" w:eastAsiaTheme="minorEastAsia" w:hAnsi="Helvetica Neue"/>
              </w:rPr>
            </w:pPr>
            <w:r w:rsidRPr="009507CE">
              <w:rPr>
                <w:rFonts w:eastAsiaTheme="minorEastAsia"/>
              </w:rPr>
              <w:t>Includes correct supplier details, date, contact details</w:t>
            </w:r>
          </w:p>
          <w:p w14:paraId="18303C73" w14:textId="21DAF10E" w:rsidR="00B802E1" w:rsidRPr="009507CE" w:rsidRDefault="00B802E1" w:rsidP="008D6F49">
            <w:pPr>
              <w:numPr>
                <w:ilvl w:val="0"/>
                <w:numId w:val="23"/>
              </w:numPr>
              <w:contextualSpacing/>
              <w:rPr>
                <w:rFonts w:ascii="Helvetica Neue" w:eastAsiaTheme="minorEastAsia" w:hAnsi="Helvetica Neue"/>
              </w:rPr>
            </w:pPr>
            <w:r>
              <w:rPr>
                <w:rFonts w:eastAsiaTheme="minorEastAsia"/>
              </w:rPr>
              <w:t xml:space="preserve">Valid Contract Number </w:t>
            </w:r>
          </w:p>
          <w:p w14:paraId="3A3674F9" w14:textId="77777777" w:rsidR="00710FC2" w:rsidRDefault="00710FC2" w:rsidP="00A15287">
            <w:pPr>
              <w:widowControl w:val="0"/>
              <w:rPr>
                <w:rFonts w:eastAsia="MS Mincho"/>
              </w:rPr>
            </w:pPr>
          </w:p>
          <w:p w14:paraId="2354A891" w14:textId="5DB66B12" w:rsidR="00A15287" w:rsidRDefault="00A15287" w:rsidP="00A15287">
            <w:pPr>
              <w:widowControl w:val="0"/>
              <w:rPr>
                <w:rFonts w:eastAsia="MS Mincho"/>
              </w:rPr>
            </w:pPr>
            <w:r w:rsidRPr="009507CE">
              <w:rPr>
                <w:rFonts w:eastAsia="MS Mincho"/>
              </w:rPr>
              <w:t>Invoicing will be in £ Sterling</w:t>
            </w:r>
          </w:p>
          <w:p w14:paraId="0849E1B1" w14:textId="4B74AE0C" w:rsidR="00A15287" w:rsidRDefault="00A15287" w:rsidP="00A15287">
            <w:pPr>
              <w:widowControl w:val="0"/>
              <w:rPr>
                <w:rFonts w:eastAsia="MS Mincho"/>
              </w:rPr>
            </w:pPr>
          </w:p>
          <w:p w14:paraId="5645EE08" w14:textId="0D9F02ED" w:rsidR="00A15287" w:rsidRDefault="00A15287" w:rsidP="00A15287">
            <w:pPr>
              <w:widowControl w:val="0"/>
              <w:rPr>
                <w:rFonts w:eastAsia="MS Mincho"/>
              </w:rPr>
            </w:pPr>
            <w:r w:rsidRPr="009507CE">
              <w:rPr>
                <w:rFonts w:eastAsia="MS Mincho"/>
              </w:rPr>
              <w:t xml:space="preserve">A copy invoice shall simultaneously be emailed to the DfE </w:t>
            </w:r>
            <w:r>
              <w:rPr>
                <w:rFonts w:eastAsia="MS Mincho"/>
              </w:rPr>
              <w:t>Buyer</w:t>
            </w:r>
            <w:r w:rsidR="00C2183B">
              <w:rPr>
                <w:rFonts w:eastAsia="MS Mincho"/>
              </w:rPr>
              <w:t xml:space="preserve"> and the central mailbox </w:t>
            </w:r>
            <w:r w:rsidR="00632C49" w:rsidRPr="009537A1">
              <w:rPr>
                <w:b/>
                <w:bCs/>
              </w:rPr>
              <w:t>&lt;REDACTED&gt;</w:t>
            </w:r>
            <w:r w:rsidRPr="009507CE">
              <w:rPr>
                <w:rFonts w:eastAsia="MS Mincho"/>
              </w:rPr>
              <w:t xml:space="preserve">to enable the </w:t>
            </w:r>
            <w:r>
              <w:rPr>
                <w:rFonts w:eastAsia="MS Mincho"/>
              </w:rPr>
              <w:t xml:space="preserve">Buyer </w:t>
            </w:r>
            <w:r w:rsidRPr="009507CE">
              <w:rPr>
                <w:rFonts w:eastAsia="MS Mincho"/>
              </w:rPr>
              <w:t>to take receipting action</w:t>
            </w:r>
          </w:p>
          <w:p w14:paraId="4B68D5B8" w14:textId="3D3F24B4" w:rsidR="00A15287" w:rsidRPr="009507CE" w:rsidRDefault="00A15287" w:rsidP="00A15287">
            <w:pPr>
              <w:widowControl w:val="0"/>
              <w:rPr>
                <w:rFonts w:eastAsia="MS Mincho"/>
              </w:rPr>
            </w:pPr>
          </w:p>
          <w:p w14:paraId="05B7A01D" w14:textId="452FBEAD" w:rsidR="00A15287" w:rsidRPr="00ED1913" w:rsidRDefault="00A15287" w:rsidP="004E1163">
            <w:pPr>
              <w:spacing w:before="60" w:after="60"/>
            </w:pPr>
          </w:p>
        </w:tc>
      </w:tr>
      <w:tr w:rsidR="00581CC5" w:rsidRPr="00ED1913" w14:paraId="40F256D9" w14:textId="77777777" w:rsidTr="004E1163">
        <w:tc>
          <w:tcPr>
            <w:tcW w:w="3969" w:type="dxa"/>
          </w:tcPr>
          <w:p w14:paraId="679DD1E3" w14:textId="77777777" w:rsidR="00581CC5" w:rsidRPr="00ED1913" w:rsidRDefault="004E1163" w:rsidP="00581CC5">
            <w:pPr>
              <w:spacing w:before="60" w:after="60"/>
              <w:rPr>
                <w:b/>
              </w:rPr>
            </w:pPr>
            <w:r w:rsidRPr="00ED1913">
              <w:rPr>
                <w:b/>
              </w:rPr>
              <w:t>Invoice frequency:</w:t>
            </w:r>
          </w:p>
        </w:tc>
        <w:tc>
          <w:tcPr>
            <w:tcW w:w="5670" w:type="dxa"/>
          </w:tcPr>
          <w:p w14:paraId="2C89E3BB" w14:textId="21141881" w:rsidR="00581CC5" w:rsidRPr="00ED1913" w:rsidRDefault="00070FC9" w:rsidP="00710FC2">
            <w:pPr>
              <w:spacing w:before="60" w:after="60"/>
            </w:pPr>
            <w:r w:rsidRPr="00931501">
              <w:t>Invoice will be sent to the Buyer</w:t>
            </w:r>
            <w:r w:rsidR="00710FC2">
              <w:t xml:space="preserve"> in accordance with the above payment schedule</w:t>
            </w:r>
            <w:r w:rsidR="006F1591">
              <w:t>.</w:t>
            </w:r>
          </w:p>
        </w:tc>
      </w:tr>
      <w:tr w:rsidR="00581CC5" w:rsidRPr="00ED1913" w14:paraId="3F31EDAC" w14:textId="77777777" w:rsidTr="004E1163">
        <w:tc>
          <w:tcPr>
            <w:tcW w:w="3969" w:type="dxa"/>
          </w:tcPr>
          <w:p w14:paraId="2BFA9B79" w14:textId="77777777" w:rsidR="00581CC5" w:rsidRPr="00ED1913" w:rsidRDefault="004E1163" w:rsidP="00581CC5">
            <w:pPr>
              <w:spacing w:before="60" w:after="60"/>
              <w:rPr>
                <w:b/>
              </w:rPr>
            </w:pPr>
            <w:r w:rsidRPr="00ED1913">
              <w:rPr>
                <w:b/>
              </w:rPr>
              <w:t>Call-Off Contract value:</w:t>
            </w:r>
          </w:p>
        </w:tc>
        <w:tc>
          <w:tcPr>
            <w:tcW w:w="5670" w:type="dxa"/>
          </w:tcPr>
          <w:p w14:paraId="6A70F572" w14:textId="70C61F77" w:rsidR="009549CC" w:rsidRDefault="009549CC" w:rsidP="009549CC">
            <w:pPr>
              <w:spacing w:before="120" w:after="120"/>
            </w:pPr>
            <w:r>
              <w:t xml:space="preserve">Fixed Costs of </w:t>
            </w:r>
            <w:r w:rsidRPr="006F0E3A">
              <w:t>£</w:t>
            </w:r>
            <w:r w:rsidR="00E80894" w:rsidRPr="00E80894">
              <w:rPr>
                <w:b/>
              </w:rPr>
              <w:t>1,</w:t>
            </w:r>
            <w:r w:rsidR="00A4407A">
              <w:rPr>
                <w:b/>
              </w:rPr>
              <w:t>683</w:t>
            </w:r>
            <w:r w:rsidR="00107233">
              <w:rPr>
                <w:b/>
              </w:rPr>
              <w:t>,934</w:t>
            </w:r>
            <w:r w:rsidR="00E80894" w:rsidRPr="00E80894">
              <w:rPr>
                <w:b/>
              </w:rPr>
              <w:t xml:space="preserve"> </w:t>
            </w:r>
            <w:r w:rsidRPr="006F0E3A">
              <w:t>(ex VAT)</w:t>
            </w:r>
          </w:p>
          <w:p w14:paraId="482B463A" w14:textId="4ECE4666" w:rsidR="00581CC5" w:rsidRPr="00ED1913" w:rsidRDefault="00581CC5" w:rsidP="00B85329">
            <w:pPr>
              <w:spacing w:before="60" w:after="60"/>
            </w:pPr>
          </w:p>
        </w:tc>
      </w:tr>
      <w:tr w:rsidR="00581CC5" w:rsidRPr="00ED1913" w14:paraId="5AAAF284" w14:textId="77777777" w:rsidTr="004E1163">
        <w:tc>
          <w:tcPr>
            <w:tcW w:w="3969" w:type="dxa"/>
          </w:tcPr>
          <w:p w14:paraId="7977A7B6" w14:textId="77777777" w:rsidR="00581CC5" w:rsidRPr="00ED1913" w:rsidRDefault="004E1163" w:rsidP="00581CC5">
            <w:pPr>
              <w:spacing w:before="60" w:after="60"/>
              <w:rPr>
                <w:b/>
              </w:rPr>
            </w:pPr>
            <w:r w:rsidRPr="00ED1913">
              <w:rPr>
                <w:b/>
              </w:rPr>
              <w:t>Call-Off Contract charges:</w:t>
            </w:r>
          </w:p>
        </w:tc>
        <w:tc>
          <w:tcPr>
            <w:tcW w:w="5670" w:type="dxa"/>
          </w:tcPr>
          <w:p w14:paraId="3A94DB87" w14:textId="3F9327FC" w:rsidR="006F1591" w:rsidRDefault="00070FC9" w:rsidP="00581CC5">
            <w:pPr>
              <w:spacing w:before="60" w:after="60"/>
            </w:pPr>
            <w:r w:rsidRPr="00931501">
              <w:t>The breakdown of the Charges is</w:t>
            </w:r>
            <w:r w:rsidR="006F1591">
              <w:t>;</w:t>
            </w:r>
          </w:p>
          <w:p w14:paraId="6F39A9C3" w14:textId="67C7802A" w:rsidR="00581CC5" w:rsidRDefault="00CB763A" w:rsidP="008D6F49">
            <w:pPr>
              <w:pStyle w:val="ListParagraph"/>
              <w:numPr>
                <w:ilvl w:val="0"/>
                <w:numId w:val="25"/>
              </w:numPr>
              <w:spacing w:before="60" w:after="60"/>
            </w:pPr>
            <w:r>
              <w:t xml:space="preserve">Cloud Software: </w:t>
            </w:r>
            <w:r w:rsidR="006F1591" w:rsidRPr="006F1591">
              <w:t>A</w:t>
            </w:r>
            <w:r w:rsidR="00070FC9" w:rsidRPr="006F1591">
              <w:t xml:space="preserve">nnual </w:t>
            </w:r>
            <w:r w:rsidR="00456964">
              <w:t>Subscription</w:t>
            </w:r>
            <w:r w:rsidR="00070FC9" w:rsidRPr="006F1591">
              <w:t xml:space="preserve"> </w:t>
            </w:r>
            <w:r>
              <w:t xml:space="preserve">for </w:t>
            </w:r>
            <w:r w:rsidR="00B85329">
              <w:t xml:space="preserve">HCM, Payroll, </w:t>
            </w:r>
            <w:r w:rsidR="009549CC">
              <w:t>Learning</w:t>
            </w:r>
            <w:r w:rsidR="00456964">
              <w:t xml:space="preserve"> (includes Media Cloud at no additional fee)</w:t>
            </w:r>
            <w:r w:rsidR="009549CC">
              <w:t xml:space="preserve">, </w:t>
            </w:r>
            <w:r w:rsidR="00B85329">
              <w:t>Expenses</w:t>
            </w:r>
            <w:r w:rsidR="00456964">
              <w:t xml:space="preserve">, Planning </w:t>
            </w:r>
            <w:r w:rsidR="00B85329">
              <w:t xml:space="preserve">and Recruiting </w:t>
            </w:r>
            <w:r w:rsidR="009549CC">
              <w:t>modules</w:t>
            </w:r>
          </w:p>
          <w:p w14:paraId="06DE798F" w14:textId="23EA51B3" w:rsidR="006F1591" w:rsidRDefault="009549CC" w:rsidP="008D6F49">
            <w:pPr>
              <w:pStyle w:val="ListParagraph"/>
              <w:numPr>
                <w:ilvl w:val="0"/>
                <w:numId w:val="25"/>
              </w:numPr>
              <w:spacing w:before="60" w:after="60"/>
            </w:pPr>
            <w:r>
              <w:t xml:space="preserve">Delivery </w:t>
            </w:r>
            <w:r w:rsidR="00B85329">
              <w:t xml:space="preserve">Assurance </w:t>
            </w:r>
          </w:p>
          <w:p w14:paraId="4ABD3311" w14:textId="72602FCB" w:rsidR="006F1591" w:rsidRDefault="006F1591" w:rsidP="008D6F49">
            <w:pPr>
              <w:pStyle w:val="ListParagraph"/>
              <w:numPr>
                <w:ilvl w:val="0"/>
                <w:numId w:val="25"/>
              </w:numPr>
              <w:spacing w:before="60" w:after="60"/>
            </w:pPr>
            <w:r>
              <w:t xml:space="preserve">User training </w:t>
            </w:r>
          </w:p>
          <w:p w14:paraId="2BC55E02" w14:textId="0416464B" w:rsidR="006F1591" w:rsidRDefault="006F1591" w:rsidP="00B85329">
            <w:pPr>
              <w:pStyle w:val="ListParagraph"/>
              <w:spacing w:before="60" w:after="60"/>
              <w:ind w:left="1080"/>
            </w:pPr>
          </w:p>
          <w:p w14:paraId="6A047C19" w14:textId="14837138" w:rsidR="00A15287" w:rsidRDefault="00A763EF" w:rsidP="00581CC5">
            <w:pPr>
              <w:spacing w:before="60" w:after="60"/>
            </w:pPr>
            <w:r>
              <w:t xml:space="preserve">Further details are provided at Schedule 2 Call Off Charges.   </w:t>
            </w:r>
          </w:p>
          <w:p w14:paraId="15509211" w14:textId="50D40FEA" w:rsidR="00CB763A" w:rsidRDefault="00CB763A" w:rsidP="00581CC5">
            <w:pPr>
              <w:spacing w:before="60" w:after="60"/>
            </w:pPr>
          </w:p>
          <w:p w14:paraId="16FD8A34" w14:textId="10106806" w:rsidR="00A15287" w:rsidRPr="009507CE" w:rsidRDefault="00CB763A" w:rsidP="00A15287">
            <w:pPr>
              <w:jc w:val="both"/>
              <w:rPr>
                <w:rFonts w:eastAsia="MS Mincho"/>
              </w:rPr>
            </w:pPr>
            <w:r>
              <w:rPr>
                <w:rFonts w:eastAsia="MS Mincho"/>
              </w:rPr>
              <w:t>In addition to the above t</w:t>
            </w:r>
            <w:r w:rsidR="00A15287" w:rsidRPr="009507CE">
              <w:rPr>
                <w:rFonts w:eastAsia="MS Mincho"/>
              </w:rPr>
              <w:t xml:space="preserve">he </w:t>
            </w:r>
            <w:r>
              <w:rPr>
                <w:rFonts w:eastAsia="MS Mincho"/>
              </w:rPr>
              <w:t xml:space="preserve">Supplier shall work with the Buyer </w:t>
            </w:r>
            <w:r w:rsidR="00A15287" w:rsidRPr="009507CE">
              <w:rPr>
                <w:rFonts w:eastAsia="MS Mincho"/>
              </w:rPr>
              <w:t xml:space="preserve">to minimise the impact on the public purse of T&amp;S associated with the operation of this contract. Unless otherwise provided for under the Supplier’s G-Cloud </w:t>
            </w:r>
            <w:r>
              <w:rPr>
                <w:rFonts w:eastAsia="MS Mincho"/>
              </w:rPr>
              <w:t>10</w:t>
            </w:r>
            <w:r w:rsidR="00A15287" w:rsidRPr="009507CE">
              <w:rPr>
                <w:rFonts w:eastAsia="MS Mincho"/>
              </w:rPr>
              <w:t xml:space="preserve"> framework offering and/or the Supplier has an office in close proximity of the </w:t>
            </w:r>
            <w:r>
              <w:rPr>
                <w:rFonts w:eastAsia="MS Mincho"/>
              </w:rPr>
              <w:lastRenderedPageBreak/>
              <w:t xml:space="preserve">Buyers </w:t>
            </w:r>
            <w:r w:rsidR="00A15287" w:rsidRPr="009507CE">
              <w:rPr>
                <w:rFonts w:eastAsia="MS Mincho"/>
              </w:rPr>
              <w:t xml:space="preserve">office where a meeting is to be held (approx. 25 miles radius), where expenditure on T&amp;S is identified as being necessary for the effective operation of the contract, T&amp;S will be paid at the level commensurate with the </w:t>
            </w:r>
            <w:r>
              <w:rPr>
                <w:rFonts w:eastAsia="MS Mincho"/>
              </w:rPr>
              <w:t xml:space="preserve">Buyer </w:t>
            </w:r>
            <w:r w:rsidR="00A15287" w:rsidRPr="009507CE">
              <w:rPr>
                <w:rFonts w:eastAsia="MS Mincho"/>
              </w:rPr>
              <w:t xml:space="preserve">rate in place at the time the expenditure is incurred. DfE rates in place as at </w:t>
            </w:r>
            <w:r>
              <w:rPr>
                <w:rFonts w:eastAsia="MS Mincho"/>
              </w:rPr>
              <w:t>1</w:t>
            </w:r>
            <w:r w:rsidRPr="0062112C">
              <w:rPr>
                <w:rFonts w:eastAsia="MS Mincho"/>
                <w:vertAlign w:val="superscript"/>
              </w:rPr>
              <w:t>st</w:t>
            </w:r>
            <w:r>
              <w:rPr>
                <w:rFonts w:eastAsia="MS Mincho"/>
              </w:rPr>
              <w:t xml:space="preserve"> Jan 2019 </w:t>
            </w:r>
            <w:r w:rsidR="00A15287" w:rsidRPr="009507CE">
              <w:rPr>
                <w:rFonts w:eastAsia="MS Mincho"/>
              </w:rPr>
              <w:t xml:space="preserve">are listed below: </w:t>
            </w:r>
          </w:p>
          <w:p w14:paraId="17ABA83D" w14:textId="38F088CF" w:rsidR="00A15287" w:rsidRPr="009507CE" w:rsidRDefault="00A15287" w:rsidP="008D6F49">
            <w:pPr>
              <w:numPr>
                <w:ilvl w:val="0"/>
                <w:numId w:val="24"/>
              </w:numPr>
              <w:spacing w:after="200" w:line="276" w:lineRule="auto"/>
              <w:contextualSpacing/>
              <w:jc w:val="both"/>
              <w:rPr>
                <w:rFonts w:ascii="Helvetica Neue" w:eastAsia="MS Mincho" w:hAnsi="Helvetica Neue" w:cs="Times New Roman"/>
              </w:rPr>
            </w:pPr>
            <w:r w:rsidRPr="009507CE">
              <w:rPr>
                <w:rFonts w:eastAsia="MS Mincho"/>
              </w:rPr>
              <w:t xml:space="preserve">Hotel accommodation bed and breakfast – London </w:t>
            </w:r>
            <w:r w:rsidR="00632C49" w:rsidRPr="009537A1">
              <w:rPr>
                <w:b/>
                <w:bCs/>
              </w:rPr>
              <w:t>&lt;REDACTED&gt;</w:t>
            </w:r>
            <w:r w:rsidRPr="009507CE">
              <w:rPr>
                <w:rFonts w:eastAsia="MS Mincho"/>
              </w:rPr>
              <w:t xml:space="preserve"> including VAT and elsewhere </w:t>
            </w:r>
            <w:r w:rsidR="00632C49" w:rsidRPr="009537A1">
              <w:rPr>
                <w:b/>
                <w:bCs/>
              </w:rPr>
              <w:t>&lt;REDACTED&gt;</w:t>
            </w:r>
            <w:r w:rsidRPr="009507CE">
              <w:rPr>
                <w:rFonts w:eastAsia="MS Mincho"/>
              </w:rPr>
              <w:t xml:space="preserve"> including VAT</w:t>
            </w:r>
          </w:p>
          <w:p w14:paraId="2F61DA3E" w14:textId="77777777" w:rsidR="00A15287" w:rsidRPr="009507CE" w:rsidRDefault="00A15287" w:rsidP="008D6F49">
            <w:pPr>
              <w:numPr>
                <w:ilvl w:val="0"/>
                <w:numId w:val="24"/>
              </w:numPr>
              <w:contextualSpacing/>
              <w:rPr>
                <w:rFonts w:ascii="Helvetica Neue" w:eastAsiaTheme="minorEastAsia" w:hAnsi="Helvetica Neue"/>
              </w:rPr>
            </w:pPr>
            <w:r w:rsidRPr="009507CE">
              <w:rPr>
                <w:rFonts w:eastAsiaTheme="minorEastAsia"/>
              </w:rPr>
              <w:t xml:space="preserve">Rail travel shall be restricted to standard class </w:t>
            </w:r>
          </w:p>
          <w:p w14:paraId="57FE4B32" w14:textId="77777777" w:rsidR="00A15287" w:rsidRPr="009507CE" w:rsidRDefault="00A15287" w:rsidP="008D6F49">
            <w:pPr>
              <w:numPr>
                <w:ilvl w:val="0"/>
                <w:numId w:val="24"/>
              </w:numPr>
              <w:contextualSpacing/>
              <w:rPr>
                <w:rFonts w:ascii="Helvetica Neue" w:eastAsiaTheme="minorEastAsia" w:hAnsi="Helvetica Neue"/>
              </w:rPr>
            </w:pPr>
            <w:r w:rsidRPr="009507CE">
              <w:rPr>
                <w:rFonts w:eastAsiaTheme="minorEastAsia"/>
              </w:rPr>
              <w:t xml:space="preserve">Car mileage at the ‘Public Transport Rate’ of 0.25p per mile </w:t>
            </w:r>
          </w:p>
          <w:p w14:paraId="5197B2BA" w14:textId="77777777" w:rsidR="00A15287" w:rsidRPr="009507CE" w:rsidRDefault="00A15287" w:rsidP="008D6F49">
            <w:pPr>
              <w:numPr>
                <w:ilvl w:val="0"/>
                <w:numId w:val="24"/>
              </w:numPr>
              <w:contextualSpacing/>
              <w:rPr>
                <w:rFonts w:ascii="Helvetica Neue" w:eastAsiaTheme="minorEastAsia" w:hAnsi="Helvetica Neue"/>
              </w:rPr>
            </w:pPr>
            <w:r w:rsidRPr="009507CE">
              <w:rPr>
                <w:rFonts w:eastAsiaTheme="minorEastAsia"/>
              </w:rPr>
              <w:t>Taxis only payable where their use can be justified against using public transport</w:t>
            </w:r>
          </w:p>
          <w:p w14:paraId="43B0632F" w14:textId="77777777" w:rsidR="00A15287" w:rsidRPr="009507CE" w:rsidRDefault="00A15287" w:rsidP="00A15287"/>
          <w:p w14:paraId="60D9E534" w14:textId="77777777" w:rsidR="00A15287" w:rsidRPr="009507CE" w:rsidRDefault="00A15287" w:rsidP="00A15287">
            <w:pPr>
              <w:rPr>
                <w:rFonts w:eastAsia="MS Mincho"/>
              </w:rPr>
            </w:pPr>
            <w:r w:rsidRPr="009507CE">
              <w:t>No other out of pocket expenses shall be allowable</w:t>
            </w:r>
            <w:r w:rsidRPr="009507CE">
              <w:rPr>
                <w:sz w:val="22"/>
              </w:rPr>
              <w:t>.</w:t>
            </w:r>
          </w:p>
          <w:p w14:paraId="41F121D0" w14:textId="0A729D2D" w:rsidR="00A15287" w:rsidRPr="00ED1913" w:rsidRDefault="00A15287" w:rsidP="00581CC5">
            <w:pPr>
              <w:spacing w:before="60" w:after="60"/>
            </w:pPr>
          </w:p>
        </w:tc>
      </w:tr>
    </w:tbl>
    <w:p w14:paraId="6B269681" w14:textId="77777777" w:rsidR="004E1163" w:rsidRPr="00ED1913" w:rsidRDefault="004E1163"/>
    <w:p w14:paraId="4268C9ED" w14:textId="77777777" w:rsidR="007238D6" w:rsidRPr="00ED1913" w:rsidRDefault="007238D6" w:rsidP="007238D6">
      <w:pPr>
        <w:spacing w:after="120"/>
        <w:rPr>
          <w:b/>
        </w:rPr>
      </w:pPr>
      <w:r w:rsidRPr="00ED1913">
        <w:rPr>
          <w:b/>
        </w:rPr>
        <w:t>Additional buyer terms</w:t>
      </w:r>
    </w:p>
    <w:tbl>
      <w:tblPr>
        <w:tblStyle w:val="TableGrid"/>
        <w:tblW w:w="9639" w:type="dxa"/>
        <w:tblLayout w:type="fixed"/>
        <w:tblLook w:val="04A0" w:firstRow="1" w:lastRow="0" w:firstColumn="1" w:lastColumn="0" w:noHBand="0" w:noVBand="1"/>
      </w:tblPr>
      <w:tblGrid>
        <w:gridCol w:w="3969"/>
        <w:gridCol w:w="5670"/>
      </w:tblGrid>
      <w:tr w:rsidR="00070FC9" w:rsidRPr="00ED1913" w14:paraId="27E524F8" w14:textId="77777777" w:rsidTr="004E1163">
        <w:tc>
          <w:tcPr>
            <w:tcW w:w="3969" w:type="dxa"/>
          </w:tcPr>
          <w:p w14:paraId="491754B3" w14:textId="77777777" w:rsidR="00070FC9" w:rsidRPr="00ED1913" w:rsidRDefault="00070FC9" w:rsidP="00070FC9">
            <w:pPr>
              <w:spacing w:before="60" w:after="60"/>
              <w:rPr>
                <w:b/>
              </w:rPr>
            </w:pPr>
            <w:r w:rsidRPr="00ED1913">
              <w:rPr>
                <w:b/>
              </w:rPr>
              <w:t>Performance of the service and deliverables:</w:t>
            </w:r>
          </w:p>
        </w:tc>
        <w:tc>
          <w:tcPr>
            <w:tcW w:w="5670" w:type="dxa"/>
          </w:tcPr>
          <w:p w14:paraId="1FDACC87" w14:textId="6F7072A5" w:rsidR="00070FC9" w:rsidRPr="00221A0D" w:rsidRDefault="00070FC9" w:rsidP="009549CC">
            <w:pPr>
              <w:spacing w:before="60" w:after="60"/>
            </w:pPr>
            <w:r w:rsidRPr="00221A0D">
              <w:t>This Call-Off Contract will include the following exit and off-boarding plans and milestones</w:t>
            </w:r>
            <w:r w:rsidR="008B73FF" w:rsidRPr="003D5132">
              <w:t>: The Performance and Service deliverables and availability criteria required for this Call-Off Contract are in the Service ID 5248 3723 9972 037 and supporting documents and Supplier Terms</w:t>
            </w:r>
            <w:r w:rsidRPr="00221A0D">
              <w:t xml:space="preserve">. </w:t>
            </w:r>
          </w:p>
        </w:tc>
      </w:tr>
      <w:tr w:rsidR="00070FC9" w:rsidRPr="00ED1913" w14:paraId="0876618A" w14:textId="77777777" w:rsidTr="004E1163">
        <w:tc>
          <w:tcPr>
            <w:tcW w:w="3969" w:type="dxa"/>
          </w:tcPr>
          <w:p w14:paraId="1CC81457" w14:textId="77777777" w:rsidR="00070FC9" w:rsidRPr="00ED1913" w:rsidRDefault="00070FC9" w:rsidP="00070FC9">
            <w:pPr>
              <w:spacing w:before="60" w:after="60"/>
              <w:rPr>
                <w:b/>
              </w:rPr>
            </w:pPr>
            <w:r w:rsidRPr="00ED1913">
              <w:rPr>
                <w:b/>
              </w:rPr>
              <w:t>Guarantee:</w:t>
            </w:r>
          </w:p>
        </w:tc>
        <w:tc>
          <w:tcPr>
            <w:tcW w:w="5670" w:type="dxa"/>
          </w:tcPr>
          <w:p w14:paraId="01B7EFC7" w14:textId="63501BFD" w:rsidR="00070FC9" w:rsidRPr="00221A0D" w:rsidRDefault="00070FC9" w:rsidP="00070FC9">
            <w:pPr>
              <w:spacing w:before="60" w:after="60"/>
            </w:pPr>
            <w:r w:rsidRPr="00221A0D">
              <w:t>The Buyer does not require a Guarantee from the Supplier.</w:t>
            </w:r>
          </w:p>
        </w:tc>
      </w:tr>
      <w:tr w:rsidR="00070FC9" w:rsidRPr="00ED1913" w14:paraId="51F393F3" w14:textId="77777777" w:rsidTr="004E1163">
        <w:tc>
          <w:tcPr>
            <w:tcW w:w="3969" w:type="dxa"/>
          </w:tcPr>
          <w:p w14:paraId="4088A01C" w14:textId="77777777" w:rsidR="00070FC9" w:rsidRPr="00ED1913" w:rsidRDefault="00070FC9" w:rsidP="00070FC9">
            <w:pPr>
              <w:spacing w:before="60" w:after="60"/>
              <w:rPr>
                <w:b/>
              </w:rPr>
            </w:pPr>
            <w:r w:rsidRPr="00ED1913">
              <w:rPr>
                <w:b/>
              </w:rPr>
              <w:t>Warranties, representations:</w:t>
            </w:r>
          </w:p>
        </w:tc>
        <w:tc>
          <w:tcPr>
            <w:tcW w:w="5670" w:type="dxa"/>
          </w:tcPr>
          <w:p w14:paraId="6188A374" w14:textId="241C965E" w:rsidR="00070FC9" w:rsidRPr="00221A0D" w:rsidRDefault="00070FC9" w:rsidP="00B85329">
            <w:pPr>
              <w:spacing w:before="60" w:after="60"/>
            </w:pPr>
            <w:r w:rsidRPr="00221A0D">
              <w:t xml:space="preserve">In addition to the incorporated Framework Agreement clause 4.1, the Supplier warrants and represents to the Buyer that </w:t>
            </w:r>
            <w:r w:rsidR="00627093" w:rsidRPr="003D5132">
              <w:t>it shall provide the Services in accordance with the warranty provisions in its Supplier Terms.</w:t>
            </w:r>
          </w:p>
        </w:tc>
      </w:tr>
      <w:tr w:rsidR="00070FC9" w:rsidRPr="00ED1913" w14:paraId="44AA54F9" w14:textId="77777777" w:rsidTr="004E1163">
        <w:tc>
          <w:tcPr>
            <w:tcW w:w="3969" w:type="dxa"/>
          </w:tcPr>
          <w:p w14:paraId="087F9FF5" w14:textId="77777777" w:rsidR="00070FC9" w:rsidRPr="00ED1913" w:rsidRDefault="00070FC9" w:rsidP="00070FC9">
            <w:pPr>
              <w:spacing w:before="60" w:after="60"/>
              <w:rPr>
                <w:b/>
              </w:rPr>
            </w:pPr>
            <w:r w:rsidRPr="00ED1913">
              <w:rPr>
                <w:b/>
              </w:rPr>
              <w:t>Supplemental requirements in addition to the Call-Off terms:</w:t>
            </w:r>
          </w:p>
        </w:tc>
        <w:tc>
          <w:tcPr>
            <w:tcW w:w="5670" w:type="dxa"/>
          </w:tcPr>
          <w:p w14:paraId="55CD6BB8" w14:textId="75E118DD" w:rsidR="00070FC9" w:rsidRPr="00ED1913" w:rsidRDefault="00070FC9" w:rsidP="00070FC9">
            <w:pPr>
              <w:spacing w:before="60" w:after="60"/>
            </w:pPr>
            <w:r>
              <w:t>Not applicable.</w:t>
            </w:r>
          </w:p>
        </w:tc>
      </w:tr>
      <w:tr w:rsidR="00070FC9" w:rsidRPr="00ED1913" w14:paraId="1F17D354" w14:textId="77777777" w:rsidTr="004E1163">
        <w:tc>
          <w:tcPr>
            <w:tcW w:w="3969" w:type="dxa"/>
          </w:tcPr>
          <w:p w14:paraId="558ABA35" w14:textId="77777777" w:rsidR="00070FC9" w:rsidRPr="00ED1913" w:rsidRDefault="00070FC9" w:rsidP="00070FC9">
            <w:pPr>
              <w:spacing w:before="60" w:after="60"/>
              <w:rPr>
                <w:b/>
              </w:rPr>
            </w:pPr>
            <w:r w:rsidRPr="00ED1913">
              <w:rPr>
                <w:b/>
              </w:rPr>
              <w:t>Alternative clauses:</w:t>
            </w:r>
          </w:p>
        </w:tc>
        <w:tc>
          <w:tcPr>
            <w:tcW w:w="5670" w:type="dxa"/>
          </w:tcPr>
          <w:p w14:paraId="66D54729" w14:textId="5B904954" w:rsidR="00070FC9" w:rsidRPr="00ED1913" w:rsidRDefault="00070FC9" w:rsidP="00070FC9">
            <w:pPr>
              <w:spacing w:before="60" w:after="60"/>
            </w:pPr>
            <w:r>
              <w:t>Not applicable.</w:t>
            </w:r>
          </w:p>
        </w:tc>
      </w:tr>
      <w:tr w:rsidR="00070FC9" w:rsidRPr="00ED1913" w14:paraId="1AD93449" w14:textId="77777777" w:rsidTr="004E1163">
        <w:tc>
          <w:tcPr>
            <w:tcW w:w="3969" w:type="dxa"/>
          </w:tcPr>
          <w:p w14:paraId="7012F26A" w14:textId="77777777" w:rsidR="00070FC9" w:rsidRPr="00ED1913" w:rsidRDefault="00070FC9" w:rsidP="00070FC9">
            <w:pPr>
              <w:spacing w:before="60" w:after="60"/>
              <w:rPr>
                <w:b/>
              </w:rPr>
            </w:pPr>
            <w:r w:rsidRPr="00ED1913">
              <w:rPr>
                <w:b/>
              </w:rPr>
              <w:t>Buyer specific amendments to/refinements of the Call-Off Contract terms:</w:t>
            </w:r>
          </w:p>
        </w:tc>
        <w:tc>
          <w:tcPr>
            <w:tcW w:w="5670" w:type="dxa"/>
          </w:tcPr>
          <w:p w14:paraId="435B264D" w14:textId="2397089A" w:rsidR="00070FC9" w:rsidRPr="00DA321E" w:rsidRDefault="004762BD" w:rsidP="00B85329">
            <w:pPr>
              <w:rPr>
                <w:rFonts w:cs="Arial"/>
              </w:rPr>
            </w:pPr>
            <w:r w:rsidRPr="003D5132">
              <w:t>Not applicable.</w:t>
            </w:r>
            <w:r w:rsidR="0088027A" w:rsidRPr="00DA321E">
              <w:rPr>
                <w:rFonts w:eastAsia="Helvetica Neue" w:cs="Arial"/>
                <w:szCs w:val="24"/>
              </w:rPr>
              <w:t xml:space="preserve"> </w:t>
            </w:r>
          </w:p>
        </w:tc>
      </w:tr>
      <w:tr w:rsidR="00070FC9" w:rsidRPr="00ED1913" w14:paraId="3992727B" w14:textId="77777777" w:rsidTr="004E1163">
        <w:tc>
          <w:tcPr>
            <w:tcW w:w="3969" w:type="dxa"/>
          </w:tcPr>
          <w:p w14:paraId="19B7A5F8" w14:textId="77777777" w:rsidR="00070FC9" w:rsidRPr="00ED1913" w:rsidRDefault="00070FC9" w:rsidP="00070FC9">
            <w:pPr>
              <w:spacing w:before="60" w:after="60"/>
              <w:rPr>
                <w:b/>
              </w:rPr>
            </w:pPr>
            <w:r w:rsidRPr="00ED1913">
              <w:rPr>
                <w:b/>
              </w:rPr>
              <w:t>Public Services Network (PSN):</w:t>
            </w:r>
          </w:p>
        </w:tc>
        <w:tc>
          <w:tcPr>
            <w:tcW w:w="5670" w:type="dxa"/>
          </w:tcPr>
          <w:p w14:paraId="6B6C6CAF" w14:textId="49483BFE" w:rsidR="00070FC9" w:rsidRPr="00ED1913" w:rsidRDefault="00070FC9" w:rsidP="00070FC9">
            <w:pPr>
              <w:spacing w:before="60" w:after="60"/>
            </w:pPr>
            <w:r>
              <w:t>Not applicable</w:t>
            </w:r>
          </w:p>
        </w:tc>
      </w:tr>
      <w:tr w:rsidR="00070FC9" w:rsidRPr="00ED1913" w14:paraId="3250D335" w14:textId="77777777" w:rsidTr="004E1163">
        <w:tc>
          <w:tcPr>
            <w:tcW w:w="3969" w:type="dxa"/>
          </w:tcPr>
          <w:p w14:paraId="423EAABB" w14:textId="77777777" w:rsidR="00070FC9" w:rsidRPr="00ED1913" w:rsidRDefault="00070FC9" w:rsidP="00070FC9">
            <w:pPr>
              <w:spacing w:before="60" w:after="60"/>
              <w:rPr>
                <w:b/>
              </w:rPr>
            </w:pPr>
            <w:r w:rsidRPr="00DA321E">
              <w:rPr>
                <w:b/>
              </w:rPr>
              <w:lastRenderedPageBreak/>
              <w:t>Personal Data and Data Subjects:</w:t>
            </w:r>
          </w:p>
        </w:tc>
        <w:tc>
          <w:tcPr>
            <w:tcW w:w="5670" w:type="dxa"/>
          </w:tcPr>
          <w:p w14:paraId="263AA175" w14:textId="1B9F7388" w:rsidR="00070FC9" w:rsidRPr="00ED1913" w:rsidRDefault="00070FC9" w:rsidP="0088027A">
            <w:pPr>
              <w:spacing w:before="60" w:after="60"/>
            </w:pPr>
            <w:r w:rsidRPr="00ED1913">
              <w:t xml:space="preserve">Schedule 7 - Processing, Personal Data and Data Subjects </w:t>
            </w:r>
            <w:r w:rsidR="0088027A">
              <w:t xml:space="preserve">does apply </w:t>
            </w:r>
          </w:p>
        </w:tc>
      </w:tr>
    </w:tbl>
    <w:p w14:paraId="61C35997" w14:textId="77777777" w:rsidR="00581CC5" w:rsidRPr="00ED1913" w:rsidRDefault="00581CC5" w:rsidP="00345063"/>
    <w:p w14:paraId="1E50DEAF" w14:textId="77777777" w:rsidR="007238D6" w:rsidRPr="00ED1913" w:rsidRDefault="007238D6" w:rsidP="00704FFC">
      <w:pPr>
        <w:pStyle w:val="Heading1"/>
      </w:pPr>
      <w:r w:rsidRPr="00ED1913">
        <w:t>Formation of contract</w:t>
      </w:r>
    </w:p>
    <w:p w14:paraId="1F7B9779" w14:textId="0FD2F228" w:rsidR="007238D6" w:rsidRPr="00ED1913" w:rsidRDefault="007238D6" w:rsidP="001C706E">
      <w:pPr>
        <w:pStyle w:val="Heading2"/>
      </w:pPr>
      <w:r w:rsidRPr="00ED1913">
        <w:t>By signing and returning this Order Form (Part A)</w:t>
      </w:r>
      <w:r w:rsidR="001B4EF7">
        <w:t xml:space="preserve"> and Supplier Order Form</w:t>
      </w:r>
      <w:r w:rsidR="005C5B1B">
        <w:t>s</w:t>
      </w:r>
      <w:r w:rsidR="001B4EF7">
        <w:t xml:space="preserve"> </w:t>
      </w:r>
      <w:r w:rsidR="001B4EF7" w:rsidRPr="001B4EF7">
        <w:rPr>
          <w:b/>
          <w:lang w:val="en-US"/>
        </w:rPr>
        <w:t># 00177041.0</w:t>
      </w:r>
      <w:r w:rsidR="00456964">
        <w:rPr>
          <w:b/>
          <w:lang w:val="en-US"/>
        </w:rPr>
        <w:t xml:space="preserve">, </w:t>
      </w:r>
      <w:r w:rsidR="005C5B1B" w:rsidRPr="005C5B1B">
        <w:rPr>
          <w:b/>
          <w:lang w:val="en-US"/>
        </w:rPr>
        <w:t xml:space="preserve"># 00176347.0 </w:t>
      </w:r>
      <w:r w:rsidR="00456964">
        <w:rPr>
          <w:b/>
          <w:lang w:val="en-US"/>
        </w:rPr>
        <w:t xml:space="preserve">and </w:t>
      </w:r>
      <w:r w:rsidR="00456964" w:rsidRPr="00456964">
        <w:rPr>
          <w:b/>
          <w:lang w:val="en-US"/>
        </w:rPr>
        <w:t># 00176351.0</w:t>
      </w:r>
      <w:r w:rsidR="00456964">
        <w:rPr>
          <w:b/>
          <w:lang w:val="en-US"/>
        </w:rPr>
        <w:t xml:space="preserve"> </w:t>
      </w:r>
      <w:r w:rsidR="001B4EF7" w:rsidRPr="00D03C62">
        <w:rPr>
          <w:lang w:val="en-US"/>
        </w:rPr>
        <w:t>appended below</w:t>
      </w:r>
      <w:r w:rsidRPr="00ED1913">
        <w:t>, the Supplier agrees to enter into a Call-Off Contract with the Buyer.</w:t>
      </w:r>
    </w:p>
    <w:p w14:paraId="636EC3C3" w14:textId="3B83B130" w:rsidR="007238D6" w:rsidRPr="00ED1913" w:rsidRDefault="007238D6" w:rsidP="001C706E">
      <w:pPr>
        <w:pStyle w:val="Heading2"/>
      </w:pPr>
      <w:r w:rsidRPr="00ED1913">
        <w:t>The Parties agree that they have read the Order Form (Part A)</w:t>
      </w:r>
      <w:r w:rsidR="001B4EF7">
        <w:t xml:space="preserve">, </w:t>
      </w:r>
      <w:r w:rsidRPr="00ED1913">
        <w:t>the Call-Off Contract terms</w:t>
      </w:r>
      <w:r w:rsidR="001B4EF7">
        <w:t xml:space="preserve">, and </w:t>
      </w:r>
      <w:r w:rsidR="001B4EF7" w:rsidRPr="001B4EF7">
        <w:t>Supplier Order Form</w:t>
      </w:r>
      <w:r w:rsidR="005C5B1B">
        <w:t>s</w:t>
      </w:r>
      <w:r w:rsidR="001B4EF7" w:rsidRPr="001B4EF7">
        <w:t xml:space="preserve"> </w:t>
      </w:r>
      <w:r w:rsidR="001B4EF7" w:rsidRPr="001B4EF7">
        <w:rPr>
          <w:b/>
          <w:lang w:val="en-US"/>
        </w:rPr>
        <w:t># 00177041.0</w:t>
      </w:r>
      <w:r w:rsidR="001B4EF7">
        <w:rPr>
          <w:b/>
          <w:lang w:val="en-US"/>
        </w:rPr>
        <w:t xml:space="preserve">, </w:t>
      </w:r>
      <w:r w:rsidR="005C5B1B" w:rsidRPr="005C5B1B">
        <w:rPr>
          <w:b/>
          <w:lang w:val="en-US"/>
        </w:rPr>
        <w:t xml:space="preserve"># 00176347.0 </w:t>
      </w:r>
      <w:r w:rsidR="00456964">
        <w:rPr>
          <w:b/>
          <w:lang w:val="en-US"/>
        </w:rPr>
        <w:t xml:space="preserve">and </w:t>
      </w:r>
      <w:r w:rsidR="00456964" w:rsidRPr="00456964">
        <w:rPr>
          <w:b/>
          <w:lang w:val="en-US"/>
        </w:rPr>
        <w:t># 00176351.0</w:t>
      </w:r>
      <w:r w:rsidRPr="00ED1913">
        <w:t xml:space="preserve">and by signing </w:t>
      </w:r>
      <w:r w:rsidR="001B4EF7">
        <w:t xml:space="preserve">both </w:t>
      </w:r>
      <w:r w:rsidRPr="00ED1913">
        <w:t>below agree to be bound by this Call-Off Contract.</w:t>
      </w:r>
    </w:p>
    <w:p w14:paraId="2B5902A2" w14:textId="70B9A092" w:rsidR="007238D6" w:rsidRPr="00ED1913" w:rsidRDefault="007238D6" w:rsidP="001C706E">
      <w:pPr>
        <w:pStyle w:val="Heading2"/>
      </w:pPr>
      <w:r w:rsidRPr="00ED1913">
        <w:t>This Call-Off Contract will be formed when the Buyer acknowledges receipt of the signed copy of the Order Form</w:t>
      </w:r>
      <w:r w:rsidR="005C5B1B">
        <w:t>s</w:t>
      </w:r>
      <w:r w:rsidRPr="00ED1913">
        <w:t xml:space="preserve"> </w:t>
      </w:r>
      <w:r w:rsidR="001B4EF7" w:rsidRPr="001B4EF7">
        <w:rPr>
          <w:b/>
          <w:lang w:val="en-US"/>
        </w:rPr>
        <w:t># 00177041.0</w:t>
      </w:r>
      <w:r w:rsidR="00456964">
        <w:rPr>
          <w:b/>
          <w:lang w:val="en-US"/>
        </w:rPr>
        <w:t xml:space="preserve">, </w:t>
      </w:r>
      <w:r w:rsidR="005C5B1B" w:rsidRPr="005C5B1B">
        <w:rPr>
          <w:b/>
          <w:lang w:val="en-US"/>
        </w:rPr>
        <w:t xml:space="preserve"># 00176347.0 </w:t>
      </w:r>
      <w:r w:rsidR="00456964">
        <w:rPr>
          <w:b/>
          <w:lang w:val="en-US"/>
        </w:rPr>
        <w:t xml:space="preserve">and </w:t>
      </w:r>
      <w:r w:rsidR="00456964" w:rsidRPr="00456964">
        <w:rPr>
          <w:b/>
          <w:lang w:val="en-US"/>
        </w:rPr>
        <w:t># 00176351.0</w:t>
      </w:r>
      <w:r w:rsidR="00456964">
        <w:rPr>
          <w:b/>
          <w:lang w:val="en-US"/>
        </w:rPr>
        <w:t xml:space="preserve"> </w:t>
      </w:r>
      <w:r w:rsidRPr="00ED1913">
        <w:t>from the Supplier.</w:t>
      </w:r>
    </w:p>
    <w:p w14:paraId="10C6BED2" w14:textId="77777777" w:rsidR="007238D6" w:rsidRPr="00ED1913" w:rsidRDefault="007238D6" w:rsidP="001C706E">
      <w:pPr>
        <w:pStyle w:val="Heading2"/>
      </w:pPr>
      <w:r w:rsidRPr="00ED1913">
        <w:t>In cases of any ambiguity or conflict the terms and conditions of the Call-Off Contract and Order Form will supersede those of the Supplier Terms and Conditions.</w:t>
      </w:r>
    </w:p>
    <w:p w14:paraId="32280F85" w14:textId="4FBF74F0" w:rsidR="00704FFC" w:rsidRPr="00ED1913" w:rsidRDefault="00704FFC" w:rsidP="00704FFC"/>
    <w:p w14:paraId="45E83DA1" w14:textId="77777777" w:rsidR="007238D6" w:rsidRPr="00ED1913" w:rsidRDefault="007238D6" w:rsidP="00704FFC">
      <w:pPr>
        <w:pStyle w:val="Heading1"/>
      </w:pPr>
      <w:r w:rsidRPr="00ED1913">
        <w:t>Background to the agreement</w:t>
      </w:r>
    </w:p>
    <w:p w14:paraId="79911AEF" w14:textId="77777777" w:rsidR="007238D6" w:rsidRPr="00ED1913" w:rsidRDefault="007238D6" w:rsidP="008D6F49">
      <w:pPr>
        <w:pStyle w:val="ListParagraph"/>
        <w:numPr>
          <w:ilvl w:val="0"/>
          <w:numId w:val="3"/>
        </w:numPr>
        <w:spacing w:before="120"/>
        <w:ind w:left="567" w:hanging="567"/>
        <w:contextualSpacing w:val="0"/>
      </w:pPr>
      <w:r w:rsidRPr="00ED1913">
        <w:t>The Supplier is a provider of G-Cloud Services and agreed to provide the Services under the terms of Framework Agreement number RM1557.10.</w:t>
      </w:r>
    </w:p>
    <w:p w14:paraId="4EC32DAC" w14:textId="77777777" w:rsidR="007238D6" w:rsidRPr="00ED1913" w:rsidRDefault="007238D6" w:rsidP="008D6F49">
      <w:pPr>
        <w:pStyle w:val="ListParagraph"/>
        <w:numPr>
          <w:ilvl w:val="0"/>
          <w:numId w:val="3"/>
        </w:numPr>
        <w:spacing w:before="120"/>
        <w:ind w:left="567" w:hanging="567"/>
        <w:contextualSpacing w:val="0"/>
      </w:pPr>
      <w:r w:rsidRPr="00ED1913">
        <w:t>The Buyer provided an Order Form for Services to the Supplier.</w:t>
      </w:r>
    </w:p>
    <w:p w14:paraId="30BBFA39" w14:textId="77777777" w:rsidR="00704FFC" w:rsidRPr="00ED1913" w:rsidRDefault="00704FFC" w:rsidP="00704FFC"/>
    <w:tbl>
      <w:tblPr>
        <w:tblStyle w:val="TableGrid"/>
        <w:tblW w:w="9715" w:type="dxa"/>
        <w:tblLook w:val="04A0" w:firstRow="1" w:lastRow="0" w:firstColumn="1" w:lastColumn="0" w:noHBand="0" w:noVBand="1"/>
      </w:tblPr>
      <w:tblGrid>
        <w:gridCol w:w="1555"/>
        <w:gridCol w:w="3969"/>
        <w:gridCol w:w="4191"/>
      </w:tblGrid>
      <w:tr w:rsidR="00704FFC" w:rsidRPr="00ED1913" w14:paraId="768558E2" w14:textId="77777777" w:rsidTr="00173F42">
        <w:trPr>
          <w:trHeight w:val="776"/>
        </w:trPr>
        <w:tc>
          <w:tcPr>
            <w:tcW w:w="1555" w:type="dxa"/>
          </w:tcPr>
          <w:p w14:paraId="367B3546" w14:textId="77777777" w:rsidR="00704FFC" w:rsidRPr="00B802E1" w:rsidRDefault="00704FFC" w:rsidP="00704FFC">
            <w:pPr>
              <w:spacing w:before="60" w:after="60"/>
              <w:rPr>
                <w:b/>
              </w:rPr>
            </w:pPr>
            <w:r w:rsidRPr="00B802E1">
              <w:rPr>
                <w:b/>
              </w:rPr>
              <w:t>Signed:</w:t>
            </w:r>
          </w:p>
        </w:tc>
        <w:tc>
          <w:tcPr>
            <w:tcW w:w="3969" w:type="dxa"/>
          </w:tcPr>
          <w:p w14:paraId="2FB78CBB" w14:textId="77777777" w:rsidR="00704FFC" w:rsidRPr="00B802E1" w:rsidRDefault="00704FFC" w:rsidP="00704FFC">
            <w:pPr>
              <w:spacing w:before="60" w:after="60"/>
              <w:rPr>
                <w:b/>
              </w:rPr>
            </w:pPr>
            <w:r w:rsidRPr="00B802E1">
              <w:rPr>
                <w:b/>
              </w:rPr>
              <w:t>Supplier</w:t>
            </w:r>
          </w:p>
        </w:tc>
        <w:tc>
          <w:tcPr>
            <w:tcW w:w="4191" w:type="dxa"/>
          </w:tcPr>
          <w:p w14:paraId="2F9EB4A8" w14:textId="77777777" w:rsidR="00704FFC" w:rsidRPr="00B802E1" w:rsidRDefault="00704FFC" w:rsidP="00704FFC">
            <w:pPr>
              <w:spacing w:before="60" w:after="60"/>
              <w:rPr>
                <w:b/>
              </w:rPr>
            </w:pPr>
            <w:r w:rsidRPr="00B802E1">
              <w:rPr>
                <w:b/>
              </w:rPr>
              <w:t>Buyer</w:t>
            </w:r>
          </w:p>
        </w:tc>
      </w:tr>
      <w:tr w:rsidR="00704FFC" w:rsidRPr="00ED1913" w14:paraId="6A6612D9" w14:textId="77777777" w:rsidTr="00173F42">
        <w:trPr>
          <w:trHeight w:val="776"/>
        </w:trPr>
        <w:tc>
          <w:tcPr>
            <w:tcW w:w="1555" w:type="dxa"/>
          </w:tcPr>
          <w:p w14:paraId="74AFDDB8" w14:textId="77777777" w:rsidR="00704FFC" w:rsidRPr="00ED1913" w:rsidRDefault="00704FFC" w:rsidP="00704FFC">
            <w:pPr>
              <w:spacing w:before="60" w:after="60"/>
            </w:pPr>
            <w:r w:rsidRPr="00ED1913">
              <w:t>Name:</w:t>
            </w:r>
          </w:p>
        </w:tc>
        <w:tc>
          <w:tcPr>
            <w:tcW w:w="3969" w:type="dxa"/>
          </w:tcPr>
          <w:p w14:paraId="19D9D35B" w14:textId="7EBD308E" w:rsidR="00704FFC" w:rsidRPr="00ED1913" w:rsidRDefault="00632C49" w:rsidP="00704FFC">
            <w:pPr>
              <w:spacing w:before="60" w:after="60"/>
            </w:pPr>
            <w:r w:rsidRPr="009537A1">
              <w:rPr>
                <w:b/>
                <w:bCs/>
              </w:rPr>
              <w:t>&lt;REDACTED&gt;</w:t>
            </w:r>
          </w:p>
        </w:tc>
        <w:tc>
          <w:tcPr>
            <w:tcW w:w="4191" w:type="dxa"/>
          </w:tcPr>
          <w:p w14:paraId="548E191B" w14:textId="3AFCC31A" w:rsidR="00704FFC" w:rsidRPr="00ED1913" w:rsidRDefault="00632C49" w:rsidP="00704FFC">
            <w:pPr>
              <w:spacing w:before="60" w:after="60"/>
            </w:pPr>
            <w:r w:rsidRPr="009537A1">
              <w:rPr>
                <w:b/>
                <w:bCs/>
              </w:rPr>
              <w:t>&lt;REDACTED&gt;</w:t>
            </w:r>
          </w:p>
        </w:tc>
      </w:tr>
      <w:tr w:rsidR="00704FFC" w:rsidRPr="00ED1913" w14:paraId="1A1E7669" w14:textId="77777777" w:rsidTr="00173F42">
        <w:trPr>
          <w:trHeight w:val="615"/>
        </w:trPr>
        <w:tc>
          <w:tcPr>
            <w:tcW w:w="1555" w:type="dxa"/>
          </w:tcPr>
          <w:p w14:paraId="68EDFA34" w14:textId="77777777" w:rsidR="00704FFC" w:rsidRPr="00ED1913" w:rsidRDefault="00704FFC" w:rsidP="00704FFC">
            <w:pPr>
              <w:spacing w:before="60" w:after="60"/>
            </w:pPr>
            <w:r w:rsidRPr="00ED1913">
              <w:t>Title:</w:t>
            </w:r>
          </w:p>
        </w:tc>
        <w:tc>
          <w:tcPr>
            <w:tcW w:w="3969" w:type="dxa"/>
          </w:tcPr>
          <w:p w14:paraId="0CA481E6" w14:textId="0DD59EAE" w:rsidR="00704FFC" w:rsidRPr="00ED1913" w:rsidRDefault="00632C49" w:rsidP="00704FFC">
            <w:pPr>
              <w:spacing w:before="60" w:after="60"/>
            </w:pPr>
            <w:r w:rsidRPr="009537A1">
              <w:rPr>
                <w:b/>
                <w:bCs/>
              </w:rPr>
              <w:t>&lt;REDACTED&gt;</w:t>
            </w:r>
          </w:p>
        </w:tc>
        <w:tc>
          <w:tcPr>
            <w:tcW w:w="4191" w:type="dxa"/>
          </w:tcPr>
          <w:p w14:paraId="1E180257" w14:textId="573531B5" w:rsidR="00704FFC" w:rsidRPr="00ED1913" w:rsidRDefault="00632C49" w:rsidP="00704FFC">
            <w:pPr>
              <w:spacing w:before="60" w:after="60"/>
            </w:pPr>
            <w:r w:rsidRPr="009537A1">
              <w:rPr>
                <w:b/>
                <w:bCs/>
              </w:rPr>
              <w:t>&lt;REDACTED&gt;</w:t>
            </w:r>
          </w:p>
        </w:tc>
      </w:tr>
      <w:tr w:rsidR="00704FFC" w:rsidRPr="00ED1913" w14:paraId="3FBBF7E8" w14:textId="77777777" w:rsidTr="00173F42">
        <w:trPr>
          <w:trHeight w:val="1435"/>
        </w:trPr>
        <w:tc>
          <w:tcPr>
            <w:tcW w:w="1555" w:type="dxa"/>
          </w:tcPr>
          <w:p w14:paraId="36DBD459" w14:textId="77777777" w:rsidR="00704FFC" w:rsidRPr="00ED1913" w:rsidRDefault="00704FFC" w:rsidP="00704FFC">
            <w:pPr>
              <w:spacing w:before="60" w:after="60"/>
            </w:pPr>
            <w:r w:rsidRPr="00ED1913">
              <w:t>Signature:</w:t>
            </w:r>
          </w:p>
        </w:tc>
        <w:tc>
          <w:tcPr>
            <w:tcW w:w="3969" w:type="dxa"/>
          </w:tcPr>
          <w:p w14:paraId="2A6E2530" w14:textId="77777777" w:rsidR="00704FFC" w:rsidRPr="00ED1913" w:rsidRDefault="00704FFC" w:rsidP="00704FFC">
            <w:pPr>
              <w:spacing w:before="60" w:after="60"/>
            </w:pPr>
          </w:p>
          <w:p w14:paraId="5E956785" w14:textId="2EC0C4F2" w:rsidR="00704FFC" w:rsidRPr="00ED1913" w:rsidRDefault="00632C49" w:rsidP="00704FFC">
            <w:pPr>
              <w:spacing w:before="60" w:after="60"/>
              <w:rPr>
                <w:u w:val="single"/>
              </w:rPr>
            </w:pPr>
            <w:r w:rsidRPr="009537A1">
              <w:rPr>
                <w:b/>
                <w:bCs/>
              </w:rPr>
              <w:t>&lt;REDACTED&gt;</w:t>
            </w:r>
          </w:p>
        </w:tc>
        <w:tc>
          <w:tcPr>
            <w:tcW w:w="4191" w:type="dxa"/>
          </w:tcPr>
          <w:p w14:paraId="24B1454A" w14:textId="345049BD" w:rsidR="00704FFC" w:rsidRPr="00ED1913" w:rsidRDefault="00632C49" w:rsidP="00704FFC">
            <w:pPr>
              <w:spacing w:before="60" w:after="60"/>
            </w:pPr>
            <w:r w:rsidRPr="009537A1">
              <w:rPr>
                <w:b/>
                <w:bCs/>
              </w:rPr>
              <w:t>&lt;REDACTED&gt;</w:t>
            </w:r>
          </w:p>
        </w:tc>
      </w:tr>
      <w:tr w:rsidR="00704FFC" w:rsidRPr="00ED1913" w14:paraId="54D4F065" w14:textId="77777777" w:rsidTr="00173F42">
        <w:trPr>
          <w:trHeight w:val="776"/>
        </w:trPr>
        <w:tc>
          <w:tcPr>
            <w:tcW w:w="1555" w:type="dxa"/>
          </w:tcPr>
          <w:p w14:paraId="292258D3" w14:textId="77777777" w:rsidR="00704FFC" w:rsidRPr="00ED1913" w:rsidRDefault="00704FFC" w:rsidP="00704FFC">
            <w:pPr>
              <w:spacing w:before="60" w:after="60"/>
            </w:pPr>
            <w:r w:rsidRPr="00ED1913">
              <w:t>Date:</w:t>
            </w:r>
          </w:p>
        </w:tc>
        <w:tc>
          <w:tcPr>
            <w:tcW w:w="3969" w:type="dxa"/>
          </w:tcPr>
          <w:p w14:paraId="25B64C74" w14:textId="6B79562F" w:rsidR="00704FFC" w:rsidRPr="00ED1913" w:rsidRDefault="00704FFC" w:rsidP="00704FFC">
            <w:pPr>
              <w:spacing w:before="60" w:after="60"/>
            </w:pPr>
          </w:p>
        </w:tc>
        <w:tc>
          <w:tcPr>
            <w:tcW w:w="4191" w:type="dxa"/>
          </w:tcPr>
          <w:p w14:paraId="5D9FC1A6" w14:textId="4A470B2C" w:rsidR="00704FFC" w:rsidRPr="00ED1913" w:rsidRDefault="00704FFC" w:rsidP="00704FFC">
            <w:pPr>
              <w:spacing w:before="60" w:after="60"/>
            </w:pPr>
          </w:p>
        </w:tc>
      </w:tr>
    </w:tbl>
    <w:p w14:paraId="08172C89" w14:textId="77777777" w:rsidR="00704FFC" w:rsidRPr="00ED1913" w:rsidRDefault="00704FFC" w:rsidP="00704FFC"/>
    <w:p w14:paraId="7C142F13" w14:textId="77777777" w:rsidR="00704FFC" w:rsidRPr="00ED1913" w:rsidRDefault="00704FFC" w:rsidP="00704FFC">
      <w:pPr>
        <w:pStyle w:val="Title"/>
      </w:pPr>
      <w:bookmarkStart w:id="4" w:name="_Toc534903706"/>
      <w:r w:rsidRPr="00ED1913">
        <w:lastRenderedPageBreak/>
        <w:t xml:space="preserve">Schedule 1 </w:t>
      </w:r>
      <w:r w:rsidR="00C82E38" w:rsidRPr="00ED1913">
        <w:t>-</w:t>
      </w:r>
      <w:r w:rsidRPr="00ED1913">
        <w:t xml:space="preserve"> Services</w:t>
      </w:r>
      <w:bookmarkEnd w:id="4"/>
    </w:p>
    <w:p w14:paraId="3B2520BA" w14:textId="7709A603" w:rsidR="00326B37" w:rsidRDefault="00326B37" w:rsidP="00173F42">
      <w:pPr>
        <w:pStyle w:val="Standard"/>
        <w:rPr>
          <w:rFonts w:ascii="Arial" w:eastAsiaTheme="minorHAnsi" w:hAnsi="Arial" w:cstheme="minorBidi"/>
          <w:color w:val="auto"/>
          <w:kern w:val="0"/>
          <w:sz w:val="24"/>
          <w:szCs w:val="22"/>
          <w:lang w:eastAsia="en-US" w:bidi="ar-SA"/>
        </w:rPr>
      </w:pPr>
    </w:p>
    <w:p w14:paraId="6DB1519A" w14:textId="32A12498" w:rsidR="00326B37" w:rsidRPr="00A4407A" w:rsidRDefault="00326B37" w:rsidP="008D6F49">
      <w:pPr>
        <w:pStyle w:val="Standard"/>
        <w:numPr>
          <w:ilvl w:val="0"/>
          <w:numId w:val="27"/>
        </w:numPr>
        <w:ind w:hanging="720"/>
        <w:rPr>
          <w:rFonts w:ascii="Arial" w:eastAsiaTheme="minorHAnsi" w:hAnsi="Arial" w:cs="Arial"/>
          <w:color w:val="auto"/>
          <w:kern w:val="0"/>
          <w:sz w:val="24"/>
          <w:szCs w:val="24"/>
          <w:lang w:eastAsia="en-US" w:bidi="ar-SA"/>
        </w:rPr>
      </w:pPr>
      <w:r w:rsidRPr="00A4407A">
        <w:rPr>
          <w:rFonts w:ascii="Arial" w:eastAsiaTheme="minorHAnsi" w:hAnsi="Arial" w:cs="Arial"/>
          <w:b/>
          <w:color w:val="auto"/>
          <w:kern w:val="0"/>
          <w:sz w:val="24"/>
          <w:szCs w:val="24"/>
          <w:lang w:eastAsia="en-US" w:bidi="ar-SA"/>
        </w:rPr>
        <w:t xml:space="preserve">Lot </w:t>
      </w:r>
      <w:r w:rsidR="00D71A4E" w:rsidRPr="003D5132">
        <w:rPr>
          <w:rFonts w:ascii="Arial" w:hAnsi="Arial"/>
          <w:b/>
          <w:color w:val="auto"/>
          <w:kern w:val="0"/>
          <w:sz w:val="24"/>
        </w:rPr>
        <w:t>2</w:t>
      </w:r>
      <w:r w:rsidRPr="00A4407A">
        <w:rPr>
          <w:rFonts w:ascii="Arial" w:eastAsiaTheme="minorHAnsi" w:hAnsi="Arial" w:cs="Arial"/>
          <w:b/>
          <w:color w:val="auto"/>
          <w:kern w:val="0"/>
          <w:sz w:val="24"/>
          <w:szCs w:val="24"/>
          <w:lang w:eastAsia="en-US" w:bidi="ar-SA"/>
        </w:rPr>
        <w:t xml:space="preserve"> Cloud Software –</w:t>
      </w:r>
    </w:p>
    <w:p w14:paraId="05D7EF9A" w14:textId="77777777" w:rsidR="00B73DF8" w:rsidRPr="00107233" w:rsidRDefault="00B73DF8" w:rsidP="00B73DF8">
      <w:pPr>
        <w:pStyle w:val="Standard"/>
        <w:ind w:left="720"/>
        <w:rPr>
          <w:rFonts w:ascii="Arial" w:eastAsiaTheme="minorHAnsi" w:hAnsi="Arial" w:cs="Arial"/>
          <w:color w:val="auto"/>
          <w:kern w:val="0"/>
          <w:sz w:val="24"/>
          <w:szCs w:val="24"/>
          <w:lang w:eastAsia="en-US" w:bidi="ar-SA"/>
        </w:rPr>
      </w:pPr>
    </w:p>
    <w:p w14:paraId="600C1B84" w14:textId="4B888AF1" w:rsidR="00D00F99" w:rsidRPr="00107233" w:rsidRDefault="00D00F99" w:rsidP="00173F42">
      <w:pPr>
        <w:pStyle w:val="Standard"/>
        <w:rPr>
          <w:rFonts w:ascii="Arial" w:eastAsiaTheme="minorHAnsi" w:hAnsi="Arial" w:cs="Arial"/>
          <w:color w:val="auto"/>
          <w:kern w:val="0"/>
          <w:sz w:val="24"/>
          <w:szCs w:val="24"/>
          <w:highlight w:val="cyan"/>
          <w:lang w:eastAsia="en-US" w:bidi="ar-SA"/>
        </w:rPr>
      </w:pPr>
    </w:p>
    <w:p w14:paraId="26A68680" w14:textId="77777777" w:rsidR="00867609" w:rsidRDefault="00D00F99" w:rsidP="00867609">
      <w:pPr>
        <w:spacing w:before="60" w:after="60"/>
      </w:pPr>
      <w:r w:rsidRPr="003D5132">
        <w:t>The Services to be provided by the Supplier under the Lot are listed in Framework Section 2 and outlined below and in Supplier Order Forms # 00177041.0 appended</w:t>
      </w:r>
      <w:proofErr w:type="gramStart"/>
      <w:r w:rsidRPr="003D5132">
        <w:t xml:space="preserve">: </w:t>
      </w:r>
      <w:r w:rsidR="00867609" w:rsidRPr="00ED1913">
        <w:t>:</w:t>
      </w:r>
      <w:proofErr w:type="gramEnd"/>
      <w:r w:rsidR="00867609" w:rsidRPr="00ED1913">
        <w:t xml:space="preserve"> </w:t>
      </w:r>
      <w:r w:rsidR="00867609" w:rsidRPr="009537A1">
        <w:rPr>
          <w:b/>
          <w:bCs/>
        </w:rPr>
        <w:t>&lt;REDACTED&gt;</w:t>
      </w:r>
    </w:p>
    <w:p w14:paraId="59C6A41E" w14:textId="5D82973E" w:rsidR="00D00F99" w:rsidRPr="003D5132" w:rsidRDefault="00D00F99" w:rsidP="00173F42">
      <w:pPr>
        <w:pStyle w:val="Standard"/>
        <w:rPr>
          <w:rFonts w:ascii="Arial" w:hAnsi="Arial"/>
          <w:color w:val="auto"/>
          <w:kern w:val="0"/>
          <w:sz w:val="24"/>
        </w:rPr>
      </w:pPr>
    </w:p>
    <w:p w14:paraId="68B520D2" w14:textId="77777777" w:rsidR="00D00F99" w:rsidRPr="003D5132" w:rsidRDefault="00D00F99" w:rsidP="00173F42">
      <w:pPr>
        <w:pStyle w:val="Standard"/>
        <w:rPr>
          <w:rFonts w:ascii="Arial" w:hAnsi="Arial"/>
          <w:color w:val="auto"/>
          <w:kern w:val="0"/>
          <w:sz w:val="24"/>
        </w:rPr>
      </w:pPr>
    </w:p>
    <w:p w14:paraId="71742572" w14:textId="75236828"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 xml:space="preserve">Payroll for the United Kingdom </w:t>
      </w:r>
    </w:p>
    <w:p w14:paraId="0FCD7071" w14:textId="48407B17"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 xml:space="preserve">Expenses  </w:t>
      </w:r>
    </w:p>
    <w:p w14:paraId="575F536D" w14:textId="232A168E"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 xml:space="preserve">Planning </w:t>
      </w:r>
    </w:p>
    <w:p w14:paraId="7F105529" w14:textId="4C645C00"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 xml:space="preserve">Learning </w:t>
      </w:r>
    </w:p>
    <w:p w14:paraId="309FFA8F" w14:textId="47872516"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 xml:space="preserve">Media Cloud </w:t>
      </w:r>
    </w:p>
    <w:p w14:paraId="618AABC1" w14:textId="79772F52" w:rsidR="00D00F99" w:rsidRPr="003D5132" w:rsidRDefault="00D00F99" w:rsidP="003D5132">
      <w:pPr>
        <w:pStyle w:val="Standard"/>
        <w:numPr>
          <w:ilvl w:val="0"/>
          <w:numId w:val="53"/>
        </w:numPr>
        <w:rPr>
          <w:rFonts w:ascii="Arial" w:hAnsi="Arial"/>
          <w:color w:val="auto"/>
          <w:kern w:val="0"/>
          <w:sz w:val="24"/>
        </w:rPr>
      </w:pPr>
      <w:r w:rsidRPr="003D5132">
        <w:rPr>
          <w:rFonts w:ascii="Arial" w:hAnsi="Arial"/>
          <w:color w:val="auto"/>
          <w:kern w:val="0"/>
          <w:sz w:val="24"/>
        </w:rPr>
        <w:t>Recruiting</w:t>
      </w:r>
    </w:p>
    <w:p w14:paraId="4DAF7699" w14:textId="77777777" w:rsidR="0080734B" w:rsidRPr="00A4407A" w:rsidRDefault="0080734B" w:rsidP="00173F42">
      <w:pPr>
        <w:pStyle w:val="Standard"/>
        <w:rPr>
          <w:rFonts w:ascii="Arial" w:eastAsiaTheme="minorHAnsi" w:hAnsi="Arial" w:cs="Arial"/>
          <w:color w:val="auto"/>
          <w:kern w:val="0"/>
          <w:sz w:val="24"/>
          <w:szCs w:val="24"/>
          <w:lang w:eastAsia="en-US" w:bidi="ar-SA"/>
        </w:rPr>
      </w:pPr>
    </w:p>
    <w:p w14:paraId="50472048" w14:textId="61D0F81B" w:rsidR="00D00F99" w:rsidRPr="003D5132" w:rsidRDefault="00D00F99" w:rsidP="00173F42">
      <w:pPr>
        <w:pStyle w:val="Standard"/>
        <w:rPr>
          <w:rFonts w:ascii="Arial" w:hAnsi="Arial"/>
          <w:color w:val="auto"/>
          <w:kern w:val="0"/>
          <w:sz w:val="24"/>
        </w:rPr>
      </w:pPr>
      <w:r w:rsidRPr="003D5132">
        <w:rPr>
          <w:rFonts w:ascii="Arial" w:hAnsi="Arial"/>
          <w:color w:val="auto"/>
          <w:kern w:val="0"/>
          <w:sz w:val="24"/>
        </w:rPr>
        <w:t xml:space="preserve">Quantity: </w:t>
      </w:r>
      <w:r w:rsidR="00632C49" w:rsidRPr="009537A1">
        <w:rPr>
          <w:b/>
          <w:bCs/>
        </w:rPr>
        <w:t>&lt;REDACTED&gt;</w:t>
      </w:r>
    </w:p>
    <w:p w14:paraId="1AD1D1BF" w14:textId="56002001" w:rsidR="00BF6C08" w:rsidRPr="003D5132" w:rsidRDefault="00BF6C08" w:rsidP="00BF6C08">
      <w:pPr>
        <w:pStyle w:val="Standard"/>
        <w:rPr>
          <w:rFonts w:ascii="Arial" w:hAnsi="Arial"/>
          <w:color w:val="auto"/>
          <w:kern w:val="0"/>
          <w:sz w:val="24"/>
        </w:rPr>
      </w:pPr>
    </w:p>
    <w:p w14:paraId="398A47DF" w14:textId="3206A9B1" w:rsidR="00F91695" w:rsidRPr="00107233" w:rsidRDefault="007A2869" w:rsidP="00F91695">
      <w:pPr>
        <w:pStyle w:val="Standard"/>
        <w:ind w:firstLine="567"/>
        <w:rPr>
          <w:rFonts w:ascii="Arial" w:eastAsiaTheme="minorHAnsi" w:hAnsi="Arial" w:cs="Arial"/>
          <w:color w:val="auto"/>
          <w:kern w:val="0"/>
          <w:sz w:val="24"/>
          <w:szCs w:val="24"/>
          <w:lang w:eastAsia="en-US" w:bidi="ar-SA"/>
        </w:rPr>
      </w:pPr>
      <w:r w:rsidRPr="00107233">
        <w:rPr>
          <w:rFonts w:ascii="Arial" w:hAnsi="Arial" w:cs="Arial"/>
          <w:sz w:val="24"/>
          <w:szCs w:val="24"/>
        </w:rPr>
        <w:t xml:space="preserve">                              </w:t>
      </w:r>
    </w:p>
    <w:p w14:paraId="2DAC0E91" w14:textId="2671B4C6" w:rsidR="00326B37" w:rsidRPr="00107233" w:rsidRDefault="00016790" w:rsidP="008D6F49">
      <w:pPr>
        <w:pStyle w:val="Standard"/>
        <w:numPr>
          <w:ilvl w:val="0"/>
          <w:numId w:val="27"/>
        </w:numPr>
        <w:ind w:hanging="720"/>
        <w:rPr>
          <w:rFonts w:ascii="Arial" w:eastAsiaTheme="minorHAnsi" w:hAnsi="Arial" w:cs="Arial"/>
          <w:color w:val="auto"/>
          <w:kern w:val="0"/>
          <w:sz w:val="24"/>
          <w:szCs w:val="24"/>
          <w:lang w:eastAsia="en-US" w:bidi="ar-SA"/>
        </w:rPr>
      </w:pPr>
      <w:r w:rsidRPr="00107233">
        <w:rPr>
          <w:rFonts w:ascii="Arial" w:hAnsi="Arial" w:cs="Arial"/>
          <w:b/>
          <w:sz w:val="24"/>
          <w:szCs w:val="24"/>
        </w:rPr>
        <w:t xml:space="preserve">Delivery Assurance </w:t>
      </w:r>
    </w:p>
    <w:p w14:paraId="6E64B77F" w14:textId="28E064D8" w:rsidR="00733C5D" w:rsidRPr="00A4407A" w:rsidRDefault="00733C5D" w:rsidP="00733C5D">
      <w:pPr>
        <w:pStyle w:val="Standard"/>
        <w:rPr>
          <w:rFonts w:ascii="Arial" w:eastAsiaTheme="minorHAnsi" w:hAnsi="Arial" w:cs="Arial"/>
          <w:color w:val="auto"/>
          <w:kern w:val="0"/>
          <w:sz w:val="24"/>
          <w:szCs w:val="24"/>
          <w:lang w:eastAsia="en-US" w:bidi="ar-SA"/>
        </w:rPr>
      </w:pPr>
    </w:p>
    <w:p w14:paraId="65001C13" w14:textId="7B1BBCCA" w:rsidR="00733C5D" w:rsidRPr="00107233" w:rsidRDefault="00733C5D" w:rsidP="00733C5D">
      <w:pPr>
        <w:pStyle w:val="Standard"/>
        <w:rPr>
          <w:rFonts w:ascii="Arial" w:eastAsiaTheme="minorHAnsi" w:hAnsi="Arial" w:cs="Arial"/>
          <w:color w:val="auto"/>
          <w:kern w:val="0"/>
          <w:sz w:val="24"/>
          <w:szCs w:val="24"/>
          <w:lang w:eastAsia="en-US" w:bidi="ar-SA"/>
        </w:rPr>
      </w:pPr>
      <w:r w:rsidRPr="00107233">
        <w:rPr>
          <w:rFonts w:ascii="Arial" w:eastAsiaTheme="minorHAnsi" w:hAnsi="Arial" w:cs="Arial"/>
          <w:color w:val="auto"/>
          <w:kern w:val="0"/>
          <w:sz w:val="24"/>
          <w:szCs w:val="24"/>
          <w:lang w:eastAsia="en-US" w:bidi="ar-SA"/>
        </w:rPr>
        <w:t xml:space="preserve">Delivery Assurance verifies that Supplier deployments use best practices, based on Buyer’s business needs. </w:t>
      </w:r>
    </w:p>
    <w:p w14:paraId="0A418E3E" w14:textId="77777777" w:rsidR="00733C5D" w:rsidRPr="00107233" w:rsidRDefault="00733C5D" w:rsidP="00733C5D">
      <w:pPr>
        <w:pStyle w:val="Standard"/>
        <w:rPr>
          <w:rFonts w:ascii="Arial" w:eastAsiaTheme="minorHAnsi" w:hAnsi="Arial" w:cs="Arial"/>
          <w:color w:val="auto"/>
          <w:kern w:val="0"/>
          <w:sz w:val="24"/>
          <w:szCs w:val="24"/>
          <w:lang w:eastAsia="en-US" w:bidi="ar-SA"/>
        </w:rPr>
      </w:pPr>
    </w:p>
    <w:p w14:paraId="438986EA" w14:textId="5041E02A" w:rsidR="00733C5D" w:rsidRPr="00107233" w:rsidRDefault="00733C5D" w:rsidP="00107233">
      <w:pPr>
        <w:pStyle w:val="Standard"/>
        <w:rPr>
          <w:rFonts w:ascii="Arial" w:eastAsiaTheme="minorHAnsi" w:hAnsi="Arial" w:cs="Arial"/>
          <w:color w:val="auto"/>
          <w:kern w:val="0"/>
          <w:sz w:val="24"/>
          <w:szCs w:val="24"/>
          <w:lang w:eastAsia="en-US" w:bidi="ar-SA"/>
        </w:rPr>
      </w:pPr>
      <w:r w:rsidRPr="00107233">
        <w:rPr>
          <w:rFonts w:ascii="Arial" w:eastAsiaTheme="minorHAnsi" w:hAnsi="Arial" w:cs="Arial"/>
          <w:color w:val="auto"/>
          <w:kern w:val="0"/>
          <w:sz w:val="24"/>
          <w:szCs w:val="24"/>
          <w:lang w:eastAsia="en-US" w:bidi="ar-SA"/>
        </w:rPr>
        <w:t>The Delivery Assurance process involves a series of checkpoints at key project milestones to uncover potential issues early and to help mitigate future risks. Milestones are; Plan, Architect, Configure and Prototype, Test and Deploy.</w:t>
      </w:r>
    </w:p>
    <w:p w14:paraId="66656D6F" w14:textId="7045A805" w:rsidR="00F91695" w:rsidRPr="00107233" w:rsidRDefault="00F91695" w:rsidP="00173F42">
      <w:pPr>
        <w:pStyle w:val="Standard"/>
        <w:rPr>
          <w:rFonts w:ascii="Arial" w:eastAsiaTheme="minorHAnsi" w:hAnsi="Arial" w:cs="Arial"/>
          <w:color w:val="auto"/>
          <w:kern w:val="0"/>
          <w:sz w:val="24"/>
          <w:szCs w:val="24"/>
          <w:lang w:eastAsia="en-US" w:bidi="ar-SA"/>
        </w:rPr>
      </w:pPr>
    </w:p>
    <w:p w14:paraId="4C934A93" w14:textId="3B4BC52C" w:rsidR="00B802E1" w:rsidRPr="00107233" w:rsidRDefault="00B802E1" w:rsidP="00173F42">
      <w:pPr>
        <w:pStyle w:val="Standard"/>
        <w:rPr>
          <w:rFonts w:ascii="Arial" w:eastAsiaTheme="minorHAnsi" w:hAnsi="Arial" w:cs="Arial"/>
          <w:color w:val="auto"/>
          <w:kern w:val="0"/>
          <w:sz w:val="24"/>
          <w:szCs w:val="24"/>
          <w:lang w:eastAsia="en-US" w:bidi="ar-SA"/>
        </w:rPr>
      </w:pPr>
    </w:p>
    <w:p w14:paraId="2D14CC78" w14:textId="37E1D9E9" w:rsidR="00C8678F" w:rsidRPr="003D5132" w:rsidRDefault="00C8678F" w:rsidP="008D6F49">
      <w:pPr>
        <w:pStyle w:val="Standard"/>
        <w:numPr>
          <w:ilvl w:val="0"/>
          <w:numId w:val="27"/>
        </w:numPr>
        <w:ind w:hanging="720"/>
        <w:rPr>
          <w:rFonts w:ascii="Arial" w:hAnsi="Arial"/>
          <w:b/>
          <w:color w:val="auto"/>
          <w:kern w:val="0"/>
          <w:sz w:val="24"/>
        </w:rPr>
      </w:pPr>
      <w:r w:rsidRPr="00107233">
        <w:rPr>
          <w:rFonts w:ascii="Arial" w:hAnsi="Arial" w:cs="Arial"/>
          <w:b/>
          <w:sz w:val="24"/>
          <w:szCs w:val="24"/>
        </w:rPr>
        <w:t xml:space="preserve">Training </w:t>
      </w:r>
    </w:p>
    <w:p w14:paraId="3F7AA42F" w14:textId="77777777" w:rsidR="00D00F99" w:rsidRPr="00A4407A" w:rsidRDefault="00D00F99" w:rsidP="00D00F99">
      <w:pPr>
        <w:pStyle w:val="Standard"/>
        <w:rPr>
          <w:rFonts w:ascii="Arial" w:eastAsiaTheme="minorHAnsi" w:hAnsi="Arial" w:cs="Arial"/>
          <w:color w:val="auto"/>
          <w:kern w:val="0"/>
          <w:sz w:val="24"/>
          <w:szCs w:val="24"/>
          <w:highlight w:val="cyan"/>
          <w:lang w:eastAsia="en-US" w:bidi="ar-SA"/>
        </w:rPr>
      </w:pPr>
    </w:p>
    <w:p w14:paraId="70F7CE81" w14:textId="013EA3A2" w:rsidR="00D00F99" w:rsidRPr="003D5132" w:rsidRDefault="00D00F99" w:rsidP="00D00F99">
      <w:pPr>
        <w:pStyle w:val="Standard"/>
        <w:rPr>
          <w:rFonts w:ascii="Arial" w:hAnsi="Arial"/>
          <w:color w:val="auto"/>
          <w:kern w:val="0"/>
          <w:sz w:val="24"/>
        </w:rPr>
      </w:pPr>
      <w:r w:rsidRPr="003D5132">
        <w:rPr>
          <w:rFonts w:ascii="Arial" w:hAnsi="Arial"/>
          <w:color w:val="auto"/>
          <w:kern w:val="0"/>
          <w:sz w:val="24"/>
        </w:rPr>
        <w:t xml:space="preserve">The Services to be provided by the Supplier under the Lot are listed in Framework Section 2 and outlined below and in Supplier Order Forms # 00176347.0 appended: </w:t>
      </w:r>
    </w:p>
    <w:p w14:paraId="6DBA2B5D" w14:textId="77777777" w:rsidR="00D00F99" w:rsidRPr="003D5132" w:rsidRDefault="00D00F99" w:rsidP="00D00F99">
      <w:pPr>
        <w:pStyle w:val="Standard"/>
        <w:ind w:left="720"/>
        <w:rPr>
          <w:rFonts w:ascii="Arial" w:hAnsi="Arial"/>
          <w:color w:val="auto"/>
          <w:kern w:val="0"/>
          <w:sz w:val="24"/>
        </w:rPr>
      </w:pPr>
    </w:p>
    <w:p w14:paraId="4D2E27CC" w14:textId="7FF1A333" w:rsidR="00D00F99" w:rsidRPr="003D5132" w:rsidRDefault="00D00F99" w:rsidP="00D00F99">
      <w:pPr>
        <w:pStyle w:val="Standard"/>
        <w:ind w:left="720"/>
        <w:rPr>
          <w:rFonts w:ascii="Arial" w:hAnsi="Arial"/>
          <w:color w:val="auto"/>
          <w:kern w:val="0"/>
          <w:sz w:val="24"/>
        </w:rPr>
      </w:pPr>
      <w:r w:rsidRPr="003D5132">
        <w:rPr>
          <w:rFonts w:ascii="Arial" w:hAnsi="Arial"/>
          <w:color w:val="auto"/>
          <w:kern w:val="0"/>
          <w:sz w:val="24"/>
        </w:rPr>
        <w:t xml:space="preserve">Training Credits </w:t>
      </w:r>
    </w:p>
    <w:p w14:paraId="7EB9ABA0" w14:textId="6C4E01BB" w:rsidR="00D00F99" w:rsidRPr="003D5132" w:rsidRDefault="00D00F99" w:rsidP="00D00F99">
      <w:pPr>
        <w:pStyle w:val="Standard"/>
        <w:ind w:left="720"/>
        <w:rPr>
          <w:rFonts w:ascii="Arial" w:hAnsi="Arial"/>
          <w:color w:val="auto"/>
          <w:kern w:val="0"/>
          <w:sz w:val="24"/>
        </w:rPr>
      </w:pPr>
      <w:r w:rsidRPr="003D5132">
        <w:rPr>
          <w:rFonts w:ascii="Arial" w:hAnsi="Arial"/>
          <w:color w:val="auto"/>
          <w:kern w:val="0"/>
          <w:sz w:val="24"/>
        </w:rPr>
        <w:t xml:space="preserve">Quantity: </w:t>
      </w:r>
      <w:r w:rsidR="00632C49" w:rsidRPr="009537A1">
        <w:rPr>
          <w:b/>
          <w:bCs/>
        </w:rPr>
        <w:t>&lt;REDACTED&gt;</w:t>
      </w:r>
    </w:p>
    <w:p w14:paraId="4355CA40" w14:textId="0B4DECC1" w:rsidR="00F84249" w:rsidRPr="003D5132" w:rsidRDefault="00F84249" w:rsidP="00D00F99">
      <w:pPr>
        <w:pStyle w:val="Standard"/>
        <w:ind w:left="720"/>
        <w:rPr>
          <w:rFonts w:ascii="Arial" w:hAnsi="Arial"/>
          <w:color w:val="auto"/>
          <w:kern w:val="0"/>
          <w:sz w:val="24"/>
        </w:rPr>
      </w:pPr>
    </w:p>
    <w:p w14:paraId="478068DA" w14:textId="2448176C" w:rsidR="00F84249" w:rsidRPr="003D5132" w:rsidRDefault="00F84249" w:rsidP="00D00F99">
      <w:pPr>
        <w:pStyle w:val="Standard"/>
        <w:ind w:left="720"/>
        <w:rPr>
          <w:rFonts w:ascii="Arial" w:hAnsi="Arial"/>
          <w:color w:val="auto"/>
          <w:kern w:val="0"/>
          <w:sz w:val="24"/>
        </w:rPr>
      </w:pPr>
      <w:r w:rsidRPr="003D5132">
        <w:rPr>
          <w:rFonts w:ascii="Arial" w:hAnsi="Arial"/>
          <w:color w:val="auto"/>
          <w:kern w:val="0"/>
          <w:sz w:val="24"/>
          <w:lang w:val="en-US"/>
        </w:rPr>
        <w:t xml:space="preserve">Learn On-Demand – HCM Library </w:t>
      </w:r>
      <w:r w:rsidR="00632C49" w:rsidRPr="009537A1">
        <w:rPr>
          <w:b/>
          <w:bCs/>
        </w:rPr>
        <w:t>&lt;REDACTED&gt;</w:t>
      </w:r>
      <w:r w:rsidRPr="003D5132">
        <w:rPr>
          <w:rFonts w:ascii="Arial" w:hAnsi="Arial"/>
          <w:color w:val="auto"/>
          <w:kern w:val="0"/>
          <w:sz w:val="24"/>
          <w:lang w:val="en-US"/>
        </w:rPr>
        <w:t xml:space="preserve"> Initial Users</w:t>
      </w:r>
    </w:p>
    <w:p w14:paraId="33FA1642" w14:textId="1129710F" w:rsidR="00D00F99" w:rsidRPr="003D5132" w:rsidRDefault="00F84249" w:rsidP="00D00F99">
      <w:pPr>
        <w:pStyle w:val="Standard"/>
        <w:ind w:left="720"/>
        <w:rPr>
          <w:rFonts w:ascii="Arial" w:hAnsi="Arial"/>
          <w:color w:val="auto"/>
          <w:kern w:val="0"/>
          <w:sz w:val="24"/>
          <w:lang w:val="en-US"/>
        </w:rPr>
      </w:pPr>
      <w:r w:rsidRPr="003D5132">
        <w:rPr>
          <w:rFonts w:ascii="Arial" w:hAnsi="Arial"/>
          <w:color w:val="auto"/>
          <w:kern w:val="0"/>
          <w:sz w:val="24"/>
          <w:lang w:val="en-US"/>
        </w:rPr>
        <w:t xml:space="preserve">Learn On-Demand – Cross-Application Technology Library </w:t>
      </w:r>
      <w:r w:rsidR="00632C49" w:rsidRPr="009537A1">
        <w:rPr>
          <w:b/>
          <w:bCs/>
        </w:rPr>
        <w:t>&lt;REDACTED&gt;</w:t>
      </w:r>
      <w:r w:rsidRPr="003D5132">
        <w:rPr>
          <w:rFonts w:ascii="Arial" w:hAnsi="Arial"/>
          <w:color w:val="auto"/>
          <w:kern w:val="0"/>
          <w:sz w:val="24"/>
          <w:lang w:val="en-US"/>
        </w:rPr>
        <w:t xml:space="preserve"> Initial Users</w:t>
      </w:r>
    </w:p>
    <w:p w14:paraId="1FCDD86E" w14:textId="5D98067D" w:rsidR="00F84249" w:rsidRPr="003D5132" w:rsidRDefault="00F84249" w:rsidP="00D00F99">
      <w:pPr>
        <w:pStyle w:val="Standard"/>
        <w:ind w:left="720"/>
        <w:rPr>
          <w:rFonts w:ascii="Arial" w:hAnsi="Arial"/>
          <w:color w:val="auto"/>
          <w:kern w:val="0"/>
          <w:sz w:val="24"/>
          <w:lang w:val="en-US"/>
        </w:rPr>
      </w:pPr>
      <w:r w:rsidRPr="003D5132">
        <w:rPr>
          <w:rFonts w:ascii="Arial" w:hAnsi="Arial"/>
          <w:color w:val="auto"/>
          <w:kern w:val="0"/>
          <w:sz w:val="24"/>
          <w:lang w:val="en-US"/>
        </w:rPr>
        <w:t xml:space="preserve">LOD Order Term: February 21, </w:t>
      </w:r>
      <w:proofErr w:type="gramStart"/>
      <w:r w:rsidRPr="003D5132">
        <w:rPr>
          <w:rFonts w:ascii="Arial" w:hAnsi="Arial"/>
          <w:color w:val="auto"/>
          <w:kern w:val="0"/>
          <w:sz w:val="24"/>
          <w:lang w:val="en-US"/>
        </w:rPr>
        <w:t>2019</w:t>
      </w:r>
      <w:proofErr w:type="gramEnd"/>
      <w:r w:rsidRPr="003D5132">
        <w:rPr>
          <w:rFonts w:ascii="Arial" w:hAnsi="Arial"/>
          <w:color w:val="auto"/>
          <w:kern w:val="0"/>
          <w:sz w:val="24"/>
          <w:lang w:val="en-US"/>
        </w:rPr>
        <w:t xml:space="preserve"> through February 20, 2021</w:t>
      </w:r>
    </w:p>
    <w:p w14:paraId="2C3DDA41" w14:textId="288F9554" w:rsidR="00F84249" w:rsidRPr="003D5132" w:rsidRDefault="00F84249" w:rsidP="00D00F99">
      <w:pPr>
        <w:pStyle w:val="Standard"/>
        <w:ind w:left="720"/>
        <w:rPr>
          <w:rFonts w:ascii="Arial" w:hAnsi="Arial"/>
          <w:color w:val="auto"/>
          <w:kern w:val="0"/>
          <w:sz w:val="24"/>
          <w:lang w:val="en-US"/>
        </w:rPr>
      </w:pPr>
    </w:p>
    <w:p w14:paraId="1F78C267" w14:textId="7890538B" w:rsidR="00016790" w:rsidRPr="003D5132" w:rsidRDefault="00F84249" w:rsidP="00107233">
      <w:pPr>
        <w:pStyle w:val="Standard"/>
        <w:ind w:left="720"/>
        <w:rPr>
          <w:rFonts w:ascii="Arial" w:hAnsi="Arial"/>
          <w:color w:val="auto"/>
          <w:kern w:val="0"/>
          <w:sz w:val="24"/>
        </w:rPr>
      </w:pPr>
      <w:r w:rsidRPr="003D5132">
        <w:rPr>
          <w:rFonts w:ascii="Arial" w:hAnsi="Arial"/>
          <w:color w:val="auto"/>
          <w:kern w:val="0"/>
          <w:sz w:val="24"/>
          <w:lang w:val="en-US"/>
        </w:rPr>
        <w:t xml:space="preserve">Adoption Kit for </w:t>
      </w:r>
      <w:r w:rsidR="00632C49" w:rsidRPr="009537A1">
        <w:rPr>
          <w:b/>
          <w:bCs/>
        </w:rPr>
        <w:t>&lt;REDACTED&gt;</w:t>
      </w:r>
      <w:proofErr w:type="spellStart"/>
      <w:r w:rsidRPr="003D5132">
        <w:rPr>
          <w:rFonts w:ascii="Arial" w:hAnsi="Arial"/>
          <w:color w:val="auto"/>
          <w:kern w:val="0"/>
          <w:sz w:val="24"/>
          <w:lang w:val="en-US"/>
        </w:rPr>
        <w:t>FSe</w:t>
      </w:r>
      <w:proofErr w:type="spellEnd"/>
      <w:r w:rsidRPr="003D5132">
        <w:rPr>
          <w:rFonts w:ascii="Arial" w:hAnsi="Arial"/>
          <w:color w:val="auto"/>
          <w:kern w:val="0"/>
          <w:sz w:val="24"/>
          <w:lang w:val="en-US"/>
        </w:rPr>
        <w:t xml:space="preserve"> Workers</w:t>
      </w:r>
      <w:r w:rsidR="00820C7F">
        <w:rPr>
          <w:rFonts w:ascii="Arial" w:eastAsiaTheme="minorHAnsi" w:hAnsi="Arial" w:cs="Arial"/>
          <w:color w:val="auto"/>
          <w:kern w:val="0"/>
          <w:sz w:val="24"/>
          <w:szCs w:val="24"/>
          <w:lang w:val="en-US" w:eastAsia="en-US" w:bidi="ar-SA"/>
        </w:rPr>
        <w:t xml:space="preserve">.  </w:t>
      </w:r>
      <w:r w:rsidRPr="003D5132">
        <w:rPr>
          <w:rFonts w:ascii="Arial" w:hAnsi="Arial"/>
          <w:color w:val="auto"/>
          <w:kern w:val="0"/>
          <w:sz w:val="24"/>
          <w:lang w:val="en-US"/>
        </w:rPr>
        <w:t xml:space="preserve">AK Order Term: February 21, </w:t>
      </w:r>
      <w:proofErr w:type="gramStart"/>
      <w:r w:rsidRPr="003D5132">
        <w:rPr>
          <w:rFonts w:ascii="Arial" w:hAnsi="Arial"/>
          <w:color w:val="auto"/>
          <w:kern w:val="0"/>
          <w:sz w:val="24"/>
          <w:lang w:val="en-US"/>
        </w:rPr>
        <w:t>2019</w:t>
      </w:r>
      <w:proofErr w:type="gramEnd"/>
      <w:r w:rsidRPr="003D5132">
        <w:rPr>
          <w:rFonts w:ascii="Arial" w:hAnsi="Arial"/>
          <w:color w:val="auto"/>
          <w:kern w:val="0"/>
          <w:sz w:val="24"/>
          <w:lang w:val="en-US"/>
        </w:rPr>
        <w:t xml:space="preserve"> through February 20, 2021</w:t>
      </w:r>
    </w:p>
    <w:p w14:paraId="3D53E09F" w14:textId="0E90BAB9" w:rsidR="00F93B65" w:rsidRPr="00107233" w:rsidRDefault="00F93B65" w:rsidP="00F93B65">
      <w:pPr>
        <w:pStyle w:val="Standard"/>
        <w:rPr>
          <w:rFonts w:ascii="Arial" w:eastAsiaTheme="minorHAnsi" w:hAnsi="Arial" w:cs="Arial"/>
          <w:b/>
          <w:color w:val="auto"/>
          <w:kern w:val="0"/>
          <w:sz w:val="24"/>
          <w:szCs w:val="24"/>
          <w:lang w:eastAsia="en-US" w:bidi="ar-SA"/>
        </w:rPr>
      </w:pPr>
    </w:p>
    <w:p w14:paraId="33498A4E" w14:textId="7CCE0F86" w:rsidR="00F93B65" w:rsidRPr="00107233" w:rsidRDefault="00733C5D" w:rsidP="008D6F49">
      <w:pPr>
        <w:pStyle w:val="Standard"/>
        <w:numPr>
          <w:ilvl w:val="0"/>
          <w:numId w:val="27"/>
        </w:numPr>
        <w:ind w:hanging="720"/>
        <w:rPr>
          <w:rFonts w:ascii="Arial" w:eastAsiaTheme="minorHAnsi" w:hAnsi="Arial" w:cs="Arial"/>
          <w:b/>
          <w:color w:val="auto"/>
          <w:kern w:val="0"/>
          <w:sz w:val="24"/>
          <w:szCs w:val="24"/>
          <w:lang w:eastAsia="en-US" w:bidi="ar-SA"/>
        </w:rPr>
      </w:pPr>
      <w:r w:rsidRPr="00107233">
        <w:rPr>
          <w:rFonts w:ascii="Arial" w:hAnsi="Arial" w:cs="Arial"/>
          <w:b/>
          <w:sz w:val="24"/>
          <w:szCs w:val="24"/>
        </w:rPr>
        <w:lastRenderedPageBreak/>
        <w:t>Supplier</w:t>
      </w:r>
      <w:r w:rsidR="00F93B65" w:rsidRPr="00107233">
        <w:rPr>
          <w:rFonts w:ascii="Arial" w:hAnsi="Arial" w:cs="Arial"/>
          <w:b/>
          <w:sz w:val="24"/>
          <w:szCs w:val="24"/>
        </w:rPr>
        <w:t xml:space="preserve"> Support</w:t>
      </w:r>
    </w:p>
    <w:p w14:paraId="68329BFE" w14:textId="08BB26C6" w:rsidR="00F93B65" w:rsidRPr="00107233" w:rsidRDefault="00F93B65" w:rsidP="00F93B65">
      <w:pPr>
        <w:pStyle w:val="Standard"/>
        <w:rPr>
          <w:rFonts w:ascii="Arial" w:eastAsiaTheme="minorHAnsi" w:hAnsi="Arial" w:cs="Arial"/>
          <w:b/>
          <w:color w:val="auto"/>
          <w:kern w:val="0"/>
          <w:sz w:val="24"/>
          <w:szCs w:val="24"/>
          <w:lang w:eastAsia="en-US" w:bidi="ar-SA"/>
        </w:rPr>
      </w:pPr>
    </w:p>
    <w:p w14:paraId="4478A9B7" w14:textId="5756CC4D" w:rsidR="00F534F0" w:rsidRPr="00107233" w:rsidRDefault="00733C5D" w:rsidP="00733C5D">
      <w:pPr>
        <w:pStyle w:val="Standard"/>
        <w:rPr>
          <w:rFonts w:ascii="Arial" w:eastAsiaTheme="minorHAnsi" w:hAnsi="Arial" w:cs="Arial"/>
          <w:color w:val="auto"/>
          <w:kern w:val="0"/>
          <w:sz w:val="24"/>
          <w:szCs w:val="24"/>
          <w:lang w:eastAsia="en-US" w:bidi="ar-SA"/>
        </w:rPr>
      </w:pPr>
      <w:r w:rsidRPr="00A4407A">
        <w:rPr>
          <w:rFonts w:ascii="Arial" w:eastAsiaTheme="minorHAnsi" w:hAnsi="Arial" w:cs="Arial"/>
          <w:color w:val="auto"/>
          <w:kern w:val="0"/>
          <w:sz w:val="24"/>
          <w:szCs w:val="24"/>
          <w:lang w:eastAsia="en-US" w:bidi="ar-SA"/>
        </w:rPr>
        <w:t>Supplier provides its customer with 24x7 technical assistance in accordance with the Support and Service Availability Policy stated in the S</w:t>
      </w:r>
      <w:r w:rsidRPr="00107233">
        <w:rPr>
          <w:rFonts w:ascii="Arial" w:eastAsiaTheme="minorHAnsi" w:hAnsi="Arial" w:cs="Arial"/>
          <w:color w:val="auto"/>
          <w:kern w:val="0"/>
          <w:sz w:val="24"/>
          <w:szCs w:val="24"/>
          <w:lang w:eastAsia="en-US" w:bidi="ar-SA"/>
        </w:rPr>
        <w:t xml:space="preserve">upplier SLA. Issues affecting clients will be broadcast via the Community Portal, along with information regarding new releases and upgrade cycles, plus the community will allow Buyer to collaborate with other customers and </w:t>
      </w:r>
      <w:r w:rsidR="00820C7F" w:rsidRPr="00107233">
        <w:rPr>
          <w:rFonts w:ascii="Arial" w:eastAsiaTheme="minorHAnsi" w:hAnsi="Arial" w:cs="Arial"/>
          <w:color w:val="auto"/>
          <w:kern w:val="0"/>
          <w:sz w:val="24"/>
          <w:szCs w:val="24"/>
          <w:lang w:eastAsia="en-US" w:bidi="ar-SA"/>
        </w:rPr>
        <w:t>b</w:t>
      </w:r>
      <w:r w:rsidRPr="00107233">
        <w:rPr>
          <w:rFonts w:ascii="Arial" w:eastAsiaTheme="minorHAnsi" w:hAnsi="Arial" w:cs="Arial"/>
          <w:color w:val="auto"/>
          <w:kern w:val="0"/>
          <w:sz w:val="24"/>
          <w:szCs w:val="24"/>
          <w:lang w:eastAsia="en-US" w:bidi="ar-SA"/>
        </w:rPr>
        <w:t>rainstorm new ideas for possible inclusion in future releases.</w:t>
      </w:r>
    </w:p>
    <w:p w14:paraId="5D4E385F" w14:textId="5A6FA652" w:rsidR="004731B3" w:rsidRDefault="004731B3" w:rsidP="004731B3">
      <w:pPr>
        <w:pStyle w:val="Standard"/>
        <w:rPr>
          <w:rFonts w:ascii="Arial" w:eastAsiaTheme="minorHAnsi" w:hAnsi="Arial" w:cstheme="minorBidi"/>
          <w:color w:val="auto"/>
          <w:kern w:val="0"/>
          <w:sz w:val="24"/>
          <w:szCs w:val="22"/>
          <w:lang w:eastAsia="en-US" w:bidi="ar-SA"/>
        </w:rPr>
      </w:pPr>
    </w:p>
    <w:p w14:paraId="25F346B1" w14:textId="20828ECE" w:rsidR="004731B3" w:rsidRPr="00F534F0" w:rsidRDefault="00F534F0" w:rsidP="00F534F0">
      <w:pPr>
        <w:pStyle w:val="CommentText"/>
        <w:rPr>
          <w:rFonts w:ascii="Arial" w:eastAsiaTheme="minorHAnsi" w:hAnsi="Arial" w:cstheme="minorBidi"/>
          <w:sz w:val="24"/>
          <w:szCs w:val="22"/>
        </w:rPr>
      </w:pPr>
      <w:r w:rsidRPr="00F534F0">
        <w:rPr>
          <w:rFonts w:ascii="Arial" w:eastAsiaTheme="minorHAnsi" w:hAnsi="Arial" w:cstheme="minorBidi"/>
          <w:sz w:val="24"/>
          <w:szCs w:val="22"/>
        </w:rPr>
        <w:t xml:space="preserve"> </w:t>
      </w:r>
    </w:p>
    <w:p w14:paraId="0A26CC1A" w14:textId="1A7F0B68" w:rsidR="00980D88" w:rsidRDefault="00980D88" w:rsidP="00173F42">
      <w:pPr>
        <w:pStyle w:val="Standard"/>
        <w:rPr>
          <w:rFonts w:ascii="Arial" w:eastAsiaTheme="minorHAnsi" w:hAnsi="Arial" w:cstheme="minorBidi"/>
          <w:color w:val="auto"/>
          <w:kern w:val="0"/>
          <w:sz w:val="24"/>
          <w:szCs w:val="22"/>
          <w:lang w:eastAsia="en-US" w:bidi="ar-SA"/>
        </w:rPr>
      </w:pPr>
    </w:p>
    <w:p w14:paraId="16E549AF" w14:textId="77777777" w:rsidR="00980D88" w:rsidRDefault="00980D88" w:rsidP="00173F42">
      <w:pPr>
        <w:pStyle w:val="Standard"/>
        <w:rPr>
          <w:rFonts w:ascii="Arial" w:eastAsiaTheme="minorHAnsi" w:hAnsi="Arial" w:cstheme="minorBidi"/>
          <w:color w:val="auto"/>
          <w:kern w:val="0"/>
          <w:sz w:val="24"/>
          <w:szCs w:val="22"/>
          <w:lang w:eastAsia="en-US" w:bidi="ar-SA"/>
        </w:rPr>
      </w:pPr>
    </w:p>
    <w:p w14:paraId="1A3A78CE" w14:textId="5AA149F1" w:rsidR="00704FFC" w:rsidRPr="00ED1913" w:rsidRDefault="00704FFC" w:rsidP="00704FFC"/>
    <w:p w14:paraId="503931BB" w14:textId="77777777" w:rsidR="00704FFC" w:rsidRPr="00ED1913" w:rsidRDefault="00704FFC" w:rsidP="00704FFC">
      <w:pPr>
        <w:pStyle w:val="Title"/>
      </w:pPr>
      <w:bookmarkStart w:id="5" w:name="_Toc534903707"/>
      <w:r w:rsidRPr="00ED1913">
        <w:lastRenderedPageBreak/>
        <w:t>Schedule 2 - Call-Off Contract charges</w:t>
      </w:r>
      <w:bookmarkEnd w:id="5"/>
    </w:p>
    <w:p w14:paraId="3D35A3EE" w14:textId="58E9A498" w:rsidR="00704FFC" w:rsidRDefault="00704FFC" w:rsidP="00704FFC">
      <w:r w:rsidRPr="00ED1913">
        <w:t>For each individual Service, the applicable Call-Off Contract Charges (in accordance with the Supplier</w:t>
      </w:r>
      <w:r w:rsidR="00C82E38" w:rsidRPr="00ED1913">
        <w:t>’</w:t>
      </w:r>
      <w:r w:rsidRPr="00ED1913">
        <w:t>s Digital Marketplace pricing document) can</w:t>
      </w:r>
      <w:r w:rsidR="00C82E38" w:rsidRPr="00ED1913">
        <w:t>’</w:t>
      </w:r>
      <w:r w:rsidRPr="00ED1913">
        <w:t>t be amended during the term of the Call-Off Contract. The detailed Charges breakdown for the provision of Services during the Term will include:</w:t>
      </w:r>
    </w:p>
    <w:p w14:paraId="165C4C4A" w14:textId="1B6D7394" w:rsidR="00173F42" w:rsidRDefault="00173F42" w:rsidP="00704FFC"/>
    <w:p w14:paraId="0DFDD3EE" w14:textId="4E5C30C5" w:rsidR="00A763EF" w:rsidRPr="00107233" w:rsidRDefault="00A763EF" w:rsidP="003D5132">
      <w:pPr>
        <w:pStyle w:val="ListParagraph"/>
        <w:numPr>
          <w:ilvl w:val="0"/>
          <w:numId w:val="54"/>
        </w:numPr>
        <w:spacing w:before="60" w:after="60"/>
        <w:rPr>
          <w:b/>
        </w:rPr>
      </w:pPr>
      <w:r w:rsidRPr="00107233">
        <w:rPr>
          <w:b/>
        </w:rPr>
        <w:t xml:space="preserve">Cloud Software – </w:t>
      </w:r>
    </w:p>
    <w:p w14:paraId="5DB80D7A" w14:textId="2FCD45FD" w:rsidR="00A763EF" w:rsidRDefault="00A763EF" w:rsidP="00A763EF">
      <w:pPr>
        <w:spacing w:before="60" w:after="60"/>
      </w:pPr>
      <w:r>
        <w:t xml:space="preserve">The charges for usage of the </w:t>
      </w:r>
      <w:r w:rsidR="00E80894">
        <w:t xml:space="preserve">Workday </w:t>
      </w:r>
      <w:r w:rsidR="00D03C62">
        <w:t>modules</w:t>
      </w:r>
      <w:r>
        <w:t xml:space="preserve"> </w:t>
      </w:r>
      <w:r w:rsidRPr="00B92F68">
        <w:t xml:space="preserve">is </w:t>
      </w:r>
      <w:r w:rsidR="00632C49" w:rsidRPr="009537A1">
        <w:rPr>
          <w:b/>
          <w:bCs/>
        </w:rPr>
        <w:t>&lt;REDACTED&gt;</w:t>
      </w:r>
      <w:r w:rsidR="00016790">
        <w:t xml:space="preserve"> </w:t>
      </w:r>
      <w:r>
        <w:t>per annum</w:t>
      </w:r>
      <w:r w:rsidR="00B459E4">
        <w:t xml:space="preserve"> (exc VAT). This </w:t>
      </w:r>
      <w:r>
        <w:t>include</w:t>
      </w:r>
      <w:r w:rsidR="00B459E4">
        <w:t>s</w:t>
      </w:r>
      <w:r>
        <w:t>:</w:t>
      </w:r>
    </w:p>
    <w:p w14:paraId="46A22444" w14:textId="2C4C6C03" w:rsidR="00B459E4" w:rsidRDefault="00482F70" w:rsidP="008D6F49">
      <w:pPr>
        <w:pStyle w:val="ListParagraph"/>
        <w:numPr>
          <w:ilvl w:val="0"/>
          <w:numId w:val="26"/>
        </w:numPr>
        <w:spacing w:before="60" w:after="60"/>
      </w:pPr>
      <w:r>
        <w:t xml:space="preserve">Up to </w:t>
      </w:r>
      <w:r w:rsidR="00632C49" w:rsidRPr="009537A1">
        <w:rPr>
          <w:b/>
          <w:bCs/>
        </w:rPr>
        <w:t>&lt;REDACTED&gt;</w:t>
      </w:r>
      <w:r w:rsidR="00016790">
        <w:t xml:space="preserve"> staff of which</w:t>
      </w:r>
      <w:r w:rsidR="00632C49" w:rsidRPr="009537A1">
        <w:rPr>
          <w:b/>
          <w:bCs/>
        </w:rPr>
        <w:t>&lt;REDACTED</w:t>
      </w:r>
      <w:proofErr w:type="gramStart"/>
      <w:r w:rsidR="00632C49" w:rsidRPr="009537A1">
        <w:rPr>
          <w:b/>
          <w:bCs/>
        </w:rPr>
        <w:t>&gt;</w:t>
      </w:r>
      <w:r w:rsidR="00016790">
        <w:t xml:space="preserve">  are</w:t>
      </w:r>
      <w:proofErr w:type="gramEnd"/>
      <w:r w:rsidR="00016790">
        <w:t xml:space="preserve"> part time </w:t>
      </w:r>
      <w:r w:rsidR="00B459E4">
        <w:t xml:space="preserve"> </w:t>
      </w:r>
    </w:p>
    <w:p w14:paraId="34B777F9" w14:textId="4070EB2C" w:rsidR="00482F70" w:rsidRDefault="00482F70" w:rsidP="008D6F49">
      <w:pPr>
        <w:pStyle w:val="ListParagraph"/>
        <w:numPr>
          <w:ilvl w:val="0"/>
          <w:numId w:val="26"/>
        </w:numPr>
      </w:pPr>
      <w:r>
        <w:t>Modules:</w:t>
      </w:r>
      <w:r>
        <w:tab/>
      </w:r>
      <w:r w:rsidR="00016790">
        <w:tab/>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Look w:val="04A0" w:firstRow="1" w:lastRow="0" w:firstColumn="1" w:lastColumn="0" w:noHBand="0" w:noVBand="1"/>
      </w:tblPr>
      <w:tblGrid>
        <w:gridCol w:w="9350"/>
      </w:tblGrid>
      <w:tr w:rsidR="00D01C7D" w:rsidRPr="00D01C7D" w14:paraId="274D063B" w14:textId="77777777" w:rsidTr="00D01C7D">
        <w:tc>
          <w:tcPr>
            <w:tcW w:w="1554" w:type="pct"/>
            <w:shd w:val="clear" w:color="auto" w:fill="FFFFFF"/>
          </w:tcPr>
          <w:p w14:paraId="0A1D7638" w14:textId="37E88A4D" w:rsidR="00D01C7D" w:rsidRPr="00D01C7D" w:rsidRDefault="00D01C7D" w:rsidP="00D01C7D">
            <w:pPr>
              <w:ind w:left="360"/>
            </w:pPr>
            <w:r w:rsidRPr="00D01C7D">
              <w:t xml:space="preserve">Human Capital Management   </w:t>
            </w:r>
          </w:p>
        </w:tc>
      </w:tr>
      <w:tr w:rsidR="00D01C7D" w:rsidRPr="00D01C7D" w14:paraId="5AA82ED0" w14:textId="77777777" w:rsidTr="00D01C7D">
        <w:tc>
          <w:tcPr>
            <w:tcW w:w="1554" w:type="pct"/>
            <w:shd w:val="clear" w:color="auto" w:fill="FFFFFF"/>
          </w:tcPr>
          <w:p w14:paraId="50F4CEA3" w14:textId="1C6F5FE2" w:rsidR="00D01C7D" w:rsidRPr="00D01C7D" w:rsidRDefault="00D01C7D" w:rsidP="00D01C7D">
            <w:pPr>
              <w:ind w:left="360"/>
            </w:pPr>
            <w:r w:rsidRPr="00D01C7D">
              <w:t xml:space="preserve">Payroll for the United Kingdom </w:t>
            </w:r>
          </w:p>
        </w:tc>
      </w:tr>
      <w:tr w:rsidR="00D01C7D" w:rsidRPr="00D01C7D" w14:paraId="2BE8BAF4" w14:textId="77777777" w:rsidTr="00D01C7D">
        <w:tc>
          <w:tcPr>
            <w:tcW w:w="1554" w:type="pct"/>
            <w:shd w:val="clear" w:color="auto" w:fill="FFFFFF"/>
          </w:tcPr>
          <w:p w14:paraId="0118B51D" w14:textId="77BE171F" w:rsidR="00D01C7D" w:rsidRPr="00D01C7D" w:rsidRDefault="00D01C7D" w:rsidP="00D01C7D">
            <w:pPr>
              <w:ind w:left="360"/>
            </w:pPr>
            <w:r w:rsidRPr="00D01C7D">
              <w:t xml:space="preserve">Expenses </w:t>
            </w:r>
          </w:p>
        </w:tc>
      </w:tr>
      <w:tr w:rsidR="00D01C7D" w:rsidRPr="00D01C7D" w14:paraId="62EC1714" w14:textId="77777777" w:rsidTr="00D01C7D">
        <w:tc>
          <w:tcPr>
            <w:tcW w:w="1554" w:type="pct"/>
            <w:shd w:val="clear" w:color="auto" w:fill="FFFFFF"/>
          </w:tcPr>
          <w:p w14:paraId="1A58FCEF" w14:textId="130A095D" w:rsidR="00D01C7D" w:rsidRPr="00D01C7D" w:rsidRDefault="00D01C7D" w:rsidP="00D01C7D">
            <w:pPr>
              <w:ind w:left="360"/>
            </w:pPr>
            <w:r w:rsidRPr="00D01C7D">
              <w:t xml:space="preserve">Planning </w:t>
            </w:r>
          </w:p>
        </w:tc>
      </w:tr>
      <w:tr w:rsidR="00D01C7D" w:rsidRPr="00D01C7D" w14:paraId="6F8DA179" w14:textId="77777777" w:rsidTr="00D01C7D">
        <w:tc>
          <w:tcPr>
            <w:tcW w:w="1554" w:type="pct"/>
            <w:shd w:val="clear" w:color="auto" w:fill="FFFFFF"/>
          </w:tcPr>
          <w:p w14:paraId="163E4FF2" w14:textId="0315E964" w:rsidR="00D01C7D" w:rsidRPr="00D01C7D" w:rsidRDefault="00D01C7D" w:rsidP="00D01C7D">
            <w:pPr>
              <w:ind w:left="360"/>
            </w:pPr>
            <w:r w:rsidRPr="00D01C7D">
              <w:t xml:space="preserve">Learning </w:t>
            </w:r>
          </w:p>
        </w:tc>
      </w:tr>
      <w:tr w:rsidR="00D01C7D" w:rsidRPr="00D01C7D" w14:paraId="54BBF079" w14:textId="77777777" w:rsidTr="00D01C7D">
        <w:tc>
          <w:tcPr>
            <w:tcW w:w="1554" w:type="pct"/>
            <w:shd w:val="clear" w:color="auto" w:fill="FFFFFF"/>
          </w:tcPr>
          <w:p w14:paraId="27787F64" w14:textId="77777777" w:rsidR="00D01C7D" w:rsidRPr="00D01C7D" w:rsidRDefault="00D01C7D" w:rsidP="00D01C7D">
            <w:pPr>
              <w:ind w:left="360"/>
            </w:pPr>
            <w:r w:rsidRPr="00D01C7D">
              <w:t>Media Cloud - No Fee</w:t>
            </w:r>
          </w:p>
        </w:tc>
      </w:tr>
      <w:tr w:rsidR="00D01C7D" w:rsidRPr="00D01C7D" w14:paraId="6A8CF351" w14:textId="77777777" w:rsidTr="00D01C7D">
        <w:tc>
          <w:tcPr>
            <w:tcW w:w="1554" w:type="pct"/>
            <w:shd w:val="clear" w:color="auto" w:fill="FFFFFF"/>
          </w:tcPr>
          <w:p w14:paraId="4905474B" w14:textId="7AA74212" w:rsidR="00D01C7D" w:rsidRPr="00D01C7D" w:rsidRDefault="00D01C7D" w:rsidP="00D01C7D">
            <w:pPr>
              <w:ind w:left="360"/>
            </w:pPr>
            <w:r w:rsidRPr="00D01C7D">
              <w:t>Recruiting</w:t>
            </w:r>
          </w:p>
        </w:tc>
      </w:tr>
    </w:tbl>
    <w:p w14:paraId="3292731C" w14:textId="153E9253" w:rsidR="00456964" w:rsidRDefault="00456964" w:rsidP="00D03C62">
      <w:pPr>
        <w:ind w:left="360"/>
      </w:pPr>
    </w:p>
    <w:p w14:paraId="6B1EBD4E" w14:textId="77777777" w:rsidR="00D00F99" w:rsidRDefault="00D00F99" w:rsidP="00D03C62">
      <w:pPr>
        <w:ind w:left="360"/>
      </w:pPr>
    </w:p>
    <w:p w14:paraId="77A8BE01" w14:textId="77777777" w:rsidR="00D00F99" w:rsidRDefault="00D00F99" w:rsidP="00D00F99">
      <w:r w:rsidRPr="00D00F99">
        <w:t xml:space="preserve">Additional growth during the Order Term will be charged on an annual basis, these FSE Worker per SKU values will not change during the contract term. </w:t>
      </w:r>
    </w:p>
    <w:p w14:paraId="59E23534" w14:textId="25EF34E2" w:rsidR="00D00F99" w:rsidRDefault="00D00F99" w:rsidP="00D00F99">
      <w:r>
        <w:t xml:space="preserve">Human Capital Management - </w:t>
      </w:r>
      <w:r w:rsidR="00632C49" w:rsidRPr="009537A1">
        <w:rPr>
          <w:b/>
          <w:bCs/>
        </w:rPr>
        <w:t>&lt;REDACTED&gt;</w:t>
      </w:r>
    </w:p>
    <w:p w14:paraId="2B5D237B" w14:textId="32E6CF3E" w:rsidR="00632C49" w:rsidRDefault="00D00F99" w:rsidP="00D00F99">
      <w:r>
        <w:t xml:space="preserve">Payroll for the United Kingdom </w:t>
      </w:r>
      <w:r w:rsidR="00632C49">
        <w:t>–</w:t>
      </w:r>
      <w:r>
        <w:t xml:space="preserve"> </w:t>
      </w:r>
      <w:r w:rsidR="00A109D4" w:rsidRPr="009537A1">
        <w:rPr>
          <w:b/>
          <w:bCs/>
        </w:rPr>
        <w:t>&lt;REDACTED&gt;</w:t>
      </w:r>
    </w:p>
    <w:p w14:paraId="239FC75F" w14:textId="52ACCDE4" w:rsidR="00D00F99" w:rsidRDefault="00D00F99" w:rsidP="00D00F99">
      <w:proofErr w:type="gramStart"/>
      <w:r>
        <w:t>Expenses  -</w:t>
      </w:r>
      <w:proofErr w:type="gramEnd"/>
      <w:r>
        <w:t xml:space="preserve"> </w:t>
      </w:r>
      <w:r w:rsidR="00A109D4" w:rsidRPr="009537A1">
        <w:rPr>
          <w:b/>
          <w:bCs/>
        </w:rPr>
        <w:t>&lt;REDACTED&gt;</w:t>
      </w:r>
    </w:p>
    <w:p w14:paraId="43B04999" w14:textId="4A63986B" w:rsidR="00D00F99" w:rsidRDefault="00D00F99" w:rsidP="00D00F99">
      <w:r>
        <w:t xml:space="preserve">Planning - </w:t>
      </w:r>
      <w:r w:rsidR="00A109D4" w:rsidRPr="009537A1">
        <w:rPr>
          <w:b/>
          <w:bCs/>
        </w:rPr>
        <w:t>&lt;REDACTED&gt;</w:t>
      </w:r>
    </w:p>
    <w:p w14:paraId="5D04545D" w14:textId="69DB0C9F" w:rsidR="00D00F99" w:rsidRDefault="00D00F99" w:rsidP="00D00F99">
      <w:r>
        <w:t xml:space="preserve">Learning - </w:t>
      </w:r>
      <w:r w:rsidR="00A109D4" w:rsidRPr="009537A1">
        <w:rPr>
          <w:b/>
          <w:bCs/>
        </w:rPr>
        <w:t>&lt;REDACTED&gt;</w:t>
      </w:r>
    </w:p>
    <w:p w14:paraId="0A254F34" w14:textId="344A0B09" w:rsidR="00D00F99" w:rsidRDefault="00D00F99" w:rsidP="00D00F99">
      <w:r>
        <w:t xml:space="preserve">Media Cloud - </w:t>
      </w:r>
      <w:r>
        <w:tab/>
      </w:r>
      <w:r w:rsidR="00A109D4" w:rsidRPr="009537A1">
        <w:rPr>
          <w:b/>
          <w:bCs/>
        </w:rPr>
        <w:t>&lt;REDACTED&gt;</w:t>
      </w:r>
    </w:p>
    <w:p w14:paraId="74EAA90A" w14:textId="17962DEA" w:rsidR="00B459E4" w:rsidRPr="00833A06" w:rsidRDefault="00D00F99" w:rsidP="00D00F99">
      <w:pPr>
        <w:rPr>
          <w:b/>
        </w:rPr>
      </w:pPr>
      <w:r>
        <w:t xml:space="preserve">Recruiting- </w:t>
      </w:r>
      <w:r w:rsidR="00A109D4" w:rsidRPr="009537A1">
        <w:rPr>
          <w:b/>
          <w:bCs/>
        </w:rPr>
        <w:t>&lt;REDACTED&gt;</w:t>
      </w:r>
    </w:p>
    <w:p w14:paraId="715908CA" w14:textId="77777777" w:rsidR="00595DEB" w:rsidRDefault="00595DEB" w:rsidP="00A763EF">
      <w:pPr>
        <w:spacing w:before="60" w:after="60"/>
      </w:pPr>
    </w:p>
    <w:p w14:paraId="0C24F74D" w14:textId="7D9E94D7" w:rsidR="00A763EF" w:rsidRDefault="00A763EF" w:rsidP="00A763EF">
      <w:pPr>
        <w:spacing w:before="60" w:after="60"/>
        <w:rPr>
          <w:b/>
        </w:rPr>
      </w:pPr>
    </w:p>
    <w:p w14:paraId="64EFF4EE" w14:textId="1AE338E6" w:rsidR="00107233" w:rsidRPr="003D5132" w:rsidRDefault="00631D5A" w:rsidP="003D5132">
      <w:pPr>
        <w:pStyle w:val="ListParagraph"/>
        <w:numPr>
          <w:ilvl w:val="0"/>
          <w:numId w:val="54"/>
        </w:numPr>
        <w:spacing w:before="60" w:after="60"/>
        <w:rPr>
          <w:b/>
        </w:rPr>
      </w:pPr>
      <w:r w:rsidRPr="003D5132">
        <w:rPr>
          <w:b/>
        </w:rPr>
        <w:t>Delivery Assurance Service</w:t>
      </w:r>
    </w:p>
    <w:p w14:paraId="324BA574" w14:textId="77777777" w:rsidR="00107233" w:rsidRPr="003D5132" w:rsidRDefault="00107233" w:rsidP="00107233">
      <w:pPr>
        <w:spacing w:before="60" w:after="60"/>
        <w:rPr>
          <w:rFonts w:cs="Arial"/>
          <w:b/>
          <w:szCs w:val="24"/>
        </w:rPr>
      </w:pPr>
    </w:p>
    <w:tbl>
      <w:tblPr>
        <w:tblStyle w:val="TableGrid1"/>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39"/>
        <w:gridCol w:w="5807"/>
      </w:tblGrid>
      <w:tr w:rsidR="00107233" w:rsidRPr="00BE3196" w14:paraId="02343644" w14:textId="77777777" w:rsidTr="00107233">
        <w:trPr>
          <w:trHeight w:val="216"/>
        </w:trPr>
        <w:tc>
          <w:tcPr>
            <w:tcW w:w="3539" w:type="dxa"/>
            <w:shd w:val="clear" w:color="auto" w:fill="D9D9D9"/>
          </w:tcPr>
          <w:p w14:paraId="1B172C15" w14:textId="77777777" w:rsidR="00107233" w:rsidRPr="003D5132" w:rsidRDefault="00107233" w:rsidP="00107233">
            <w:pPr>
              <w:rPr>
                <w:rFonts w:eastAsia="Calibri" w:cs="Arial"/>
                <w:b/>
                <w:szCs w:val="24"/>
              </w:rPr>
            </w:pPr>
            <w:r w:rsidRPr="003D5132">
              <w:rPr>
                <w:rFonts w:eastAsia="Calibri" w:cs="Arial"/>
                <w:b/>
                <w:szCs w:val="24"/>
              </w:rPr>
              <w:t>SKU</w:t>
            </w:r>
          </w:p>
        </w:tc>
        <w:tc>
          <w:tcPr>
            <w:tcW w:w="5807" w:type="dxa"/>
            <w:shd w:val="clear" w:color="auto" w:fill="D9D9D9"/>
          </w:tcPr>
          <w:p w14:paraId="6302EC68" w14:textId="77777777" w:rsidR="00107233" w:rsidRPr="003D5132" w:rsidRDefault="00107233" w:rsidP="00107233">
            <w:pPr>
              <w:rPr>
                <w:rFonts w:eastAsia="Calibri" w:cs="Arial"/>
                <w:b/>
                <w:szCs w:val="24"/>
              </w:rPr>
            </w:pPr>
            <w:r w:rsidRPr="003D5132">
              <w:rPr>
                <w:rFonts w:eastAsia="Calibri" w:cs="Arial"/>
                <w:b/>
                <w:szCs w:val="24"/>
              </w:rPr>
              <w:t>Consulting Engagement Type</w:t>
            </w:r>
          </w:p>
        </w:tc>
      </w:tr>
      <w:tr w:rsidR="00107233" w:rsidRPr="00BE3196" w14:paraId="5FA7E180" w14:textId="77777777" w:rsidTr="00107233">
        <w:trPr>
          <w:trHeight w:val="216"/>
        </w:trPr>
        <w:tc>
          <w:tcPr>
            <w:tcW w:w="3539" w:type="dxa"/>
            <w:shd w:val="clear" w:color="auto" w:fill="auto"/>
          </w:tcPr>
          <w:p w14:paraId="28127212" w14:textId="77777777" w:rsidR="00107233" w:rsidRPr="003D5132" w:rsidRDefault="00107233" w:rsidP="00107233">
            <w:pPr>
              <w:rPr>
                <w:rFonts w:eastAsia="Calibri" w:cs="Arial"/>
                <w:szCs w:val="24"/>
              </w:rPr>
            </w:pPr>
            <w:r w:rsidRPr="003D5132">
              <w:rPr>
                <w:rFonts w:eastAsia="Calibri" w:cs="Arial"/>
                <w:szCs w:val="24"/>
              </w:rPr>
              <w:t xml:space="preserve">DA </w:t>
            </w:r>
          </w:p>
        </w:tc>
        <w:tc>
          <w:tcPr>
            <w:tcW w:w="5807" w:type="dxa"/>
            <w:shd w:val="clear" w:color="auto" w:fill="auto"/>
          </w:tcPr>
          <w:p w14:paraId="66AEEC30" w14:textId="77777777" w:rsidR="00107233" w:rsidRPr="003D5132" w:rsidRDefault="00107233" w:rsidP="00107233">
            <w:pPr>
              <w:rPr>
                <w:rFonts w:eastAsia="Calibri" w:cs="Arial"/>
                <w:szCs w:val="24"/>
              </w:rPr>
            </w:pPr>
            <w:r w:rsidRPr="003D5132">
              <w:rPr>
                <w:rFonts w:eastAsia="Calibri" w:cs="Arial"/>
                <w:szCs w:val="24"/>
              </w:rPr>
              <w:t xml:space="preserve">Delivery Assurance Checkpoint Reviews </w:t>
            </w:r>
          </w:p>
        </w:tc>
      </w:tr>
      <w:tr w:rsidR="00107233" w:rsidRPr="00BE3196" w14:paraId="5DFE3EF4" w14:textId="77777777" w:rsidTr="00107233">
        <w:trPr>
          <w:trHeight w:val="216"/>
        </w:trPr>
        <w:tc>
          <w:tcPr>
            <w:tcW w:w="3539" w:type="dxa"/>
            <w:shd w:val="clear" w:color="auto" w:fill="auto"/>
          </w:tcPr>
          <w:p w14:paraId="4682D333" w14:textId="77777777" w:rsidR="00107233" w:rsidRPr="003D5132" w:rsidRDefault="00107233" w:rsidP="00107233">
            <w:pPr>
              <w:rPr>
                <w:rFonts w:eastAsia="Calibri" w:cs="Arial"/>
                <w:szCs w:val="24"/>
              </w:rPr>
            </w:pPr>
            <w:r w:rsidRPr="003D5132">
              <w:rPr>
                <w:rFonts w:eastAsia="Calibri" w:cs="Arial"/>
                <w:szCs w:val="24"/>
              </w:rPr>
              <w:t xml:space="preserve">DAPM </w:t>
            </w:r>
          </w:p>
        </w:tc>
        <w:tc>
          <w:tcPr>
            <w:tcW w:w="5807" w:type="dxa"/>
            <w:shd w:val="clear" w:color="auto" w:fill="auto"/>
          </w:tcPr>
          <w:p w14:paraId="23ED345B" w14:textId="77777777" w:rsidR="00107233" w:rsidRPr="003D5132" w:rsidRDefault="00107233" w:rsidP="00107233">
            <w:pPr>
              <w:rPr>
                <w:rFonts w:eastAsia="Calibri" w:cs="Arial"/>
                <w:szCs w:val="24"/>
              </w:rPr>
            </w:pPr>
            <w:r w:rsidRPr="003D5132">
              <w:rPr>
                <w:rFonts w:eastAsia="Calibri" w:cs="Arial"/>
                <w:szCs w:val="24"/>
              </w:rPr>
              <w:t xml:space="preserve">Delivery Assurance Project Management Reviews </w:t>
            </w:r>
          </w:p>
        </w:tc>
      </w:tr>
    </w:tbl>
    <w:p w14:paraId="75EE821B" w14:textId="1B20DA52" w:rsidR="00107233" w:rsidRPr="002C0CE1" w:rsidRDefault="00107233" w:rsidP="00107233">
      <w:pPr>
        <w:spacing w:before="60" w:after="60"/>
        <w:rPr>
          <w:rFonts w:cs="Arial"/>
          <w:b/>
          <w:szCs w:val="24"/>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04"/>
        <w:gridCol w:w="5846"/>
      </w:tblGrid>
      <w:tr w:rsidR="00107233" w:rsidRPr="00BE3196" w14:paraId="7C24D050" w14:textId="77777777" w:rsidTr="00107233">
        <w:trPr>
          <w:cantSplit/>
          <w:trHeight w:val="620"/>
        </w:trPr>
        <w:tc>
          <w:tcPr>
            <w:tcW w:w="1874" w:type="pct"/>
            <w:shd w:val="clear" w:color="auto" w:fill="D9D9D9"/>
            <w:vAlign w:val="center"/>
          </w:tcPr>
          <w:p w14:paraId="2895160E" w14:textId="77777777" w:rsidR="00107233" w:rsidRPr="003D5132" w:rsidRDefault="00107233" w:rsidP="00107233">
            <w:pPr>
              <w:spacing w:line="259" w:lineRule="auto"/>
              <w:rPr>
                <w:rFonts w:eastAsia="Calibri" w:cs="Arial"/>
                <w:b/>
                <w:szCs w:val="24"/>
                <w:lang w:val="en-US"/>
              </w:rPr>
            </w:pPr>
            <w:r w:rsidRPr="003D5132">
              <w:rPr>
                <w:rFonts w:eastAsia="Calibri" w:cs="Arial"/>
                <w:b/>
                <w:szCs w:val="24"/>
                <w:lang w:val="en-US"/>
              </w:rPr>
              <w:t>Product Components in Scope for Delivery Assurance</w:t>
            </w:r>
          </w:p>
        </w:tc>
        <w:tc>
          <w:tcPr>
            <w:tcW w:w="3126" w:type="pct"/>
            <w:vAlign w:val="center"/>
          </w:tcPr>
          <w:p w14:paraId="7A7BD845" w14:textId="77777777" w:rsidR="00107233" w:rsidRPr="003D5132" w:rsidRDefault="00107233" w:rsidP="00107233">
            <w:pPr>
              <w:spacing w:line="259" w:lineRule="auto"/>
              <w:rPr>
                <w:rFonts w:eastAsia="Calibri" w:cs="Arial"/>
                <w:szCs w:val="24"/>
                <w:lang w:val="en-US"/>
              </w:rPr>
            </w:pPr>
            <w:proofErr w:type="gramStart"/>
            <w:r w:rsidRPr="003D5132">
              <w:rPr>
                <w:rFonts w:eastAsia="Calibri" w:cs="Arial"/>
                <w:szCs w:val="24"/>
                <w:lang w:val="en-US"/>
              </w:rPr>
              <w:t>HCM;EXP</w:t>
            </w:r>
            <w:proofErr w:type="gramEnd"/>
            <w:r w:rsidRPr="003D5132">
              <w:rPr>
                <w:rFonts w:eastAsia="Calibri" w:cs="Arial"/>
                <w:szCs w:val="24"/>
                <w:lang w:val="en-US"/>
              </w:rPr>
              <w:t>;REC;UKP</w:t>
            </w:r>
          </w:p>
        </w:tc>
      </w:tr>
    </w:tbl>
    <w:p w14:paraId="56642D51" w14:textId="77777777" w:rsidR="00107233" w:rsidRPr="002C0CE1" w:rsidRDefault="00107233" w:rsidP="00107233">
      <w:pPr>
        <w:spacing w:before="60" w:after="60"/>
        <w:rPr>
          <w:rFonts w:cs="Arial"/>
          <w:b/>
          <w:szCs w:val="24"/>
        </w:rPr>
      </w:pPr>
    </w:p>
    <w:p w14:paraId="2C67890B" w14:textId="1B01455D" w:rsidR="00C15940" w:rsidRPr="002C0CE1" w:rsidRDefault="00C15940" w:rsidP="00C15940">
      <w:pPr>
        <w:pStyle w:val="ListParagraph"/>
        <w:spacing w:before="60" w:after="60"/>
        <w:rPr>
          <w:rFonts w:cs="Arial"/>
          <w:b/>
          <w:szCs w:val="24"/>
        </w:rPr>
      </w:pPr>
    </w:p>
    <w:p w14:paraId="1ACEB683" w14:textId="5DBD1B1A" w:rsidR="00C15940" w:rsidRPr="003D5132" w:rsidRDefault="00C15940">
      <w:pPr>
        <w:spacing w:before="60" w:after="60"/>
        <w:rPr>
          <w:rFonts w:cs="Arial"/>
          <w:szCs w:val="24"/>
        </w:rPr>
      </w:pPr>
    </w:p>
    <w:p w14:paraId="09EB95B4" w14:textId="15713680" w:rsidR="00631D5A" w:rsidRPr="002C0CE1" w:rsidRDefault="00631D5A" w:rsidP="00A763EF">
      <w:pPr>
        <w:spacing w:before="60" w:after="60"/>
        <w:rPr>
          <w:rFonts w:cs="Arial"/>
          <w:szCs w:val="24"/>
        </w:rPr>
      </w:pPr>
    </w:p>
    <w:p w14:paraId="33449AF3" w14:textId="3BAE4AC5" w:rsidR="00631D5A" w:rsidRPr="003D5132" w:rsidRDefault="00631D5A" w:rsidP="003D5132">
      <w:pPr>
        <w:pStyle w:val="ListParagraph"/>
        <w:numPr>
          <w:ilvl w:val="0"/>
          <w:numId w:val="54"/>
        </w:numPr>
        <w:spacing w:before="60" w:after="60"/>
        <w:rPr>
          <w:rFonts w:cs="Arial"/>
          <w:b/>
          <w:szCs w:val="24"/>
        </w:rPr>
      </w:pPr>
      <w:r w:rsidRPr="002C0CE1">
        <w:rPr>
          <w:rFonts w:cs="Arial"/>
          <w:b/>
          <w:szCs w:val="24"/>
        </w:rPr>
        <w:t xml:space="preserve">Training </w:t>
      </w:r>
    </w:p>
    <w:p w14:paraId="7423D6AC" w14:textId="3D290154" w:rsidR="00016790" w:rsidRPr="003D5132" w:rsidRDefault="00016790" w:rsidP="003D5132">
      <w:pPr>
        <w:spacing w:line="259" w:lineRule="auto"/>
        <w:rPr>
          <w:rFonts w:cs="Arial"/>
          <w:szCs w:val="24"/>
          <w:lang w:val="en-US"/>
        </w:rPr>
      </w:pPr>
    </w:p>
    <w:tbl>
      <w:tblPr>
        <w:tblW w:w="5000" w:type="pct"/>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66"/>
        <w:gridCol w:w="3094"/>
        <w:gridCol w:w="1830"/>
        <w:gridCol w:w="1830"/>
        <w:gridCol w:w="1830"/>
      </w:tblGrid>
      <w:tr w:rsidR="0007290D" w:rsidRPr="00BE3196" w14:paraId="4DA9419C" w14:textId="77777777" w:rsidTr="00BB106F">
        <w:trPr>
          <w:jc w:val="right"/>
        </w:trPr>
        <w:tc>
          <w:tcPr>
            <w:tcW w:w="665" w:type="pct"/>
            <w:shd w:val="clear" w:color="auto" w:fill="D9D9D9"/>
            <w:vAlign w:val="center"/>
          </w:tcPr>
          <w:p w14:paraId="6BFC4A9B" w14:textId="77777777" w:rsidR="006F6117" w:rsidRPr="003D5132" w:rsidRDefault="006F6117" w:rsidP="003D5132">
            <w:pPr>
              <w:spacing w:line="259" w:lineRule="auto"/>
              <w:rPr>
                <w:rFonts w:cs="Arial"/>
                <w:szCs w:val="24"/>
                <w:lang w:val="en-US"/>
              </w:rPr>
            </w:pPr>
            <w:r w:rsidRPr="003D5132">
              <w:rPr>
                <w:rFonts w:cs="Arial"/>
                <w:szCs w:val="24"/>
                <w:lang w:val="en-US"/>
              </w:rPr>
              <w:t>SKU</w:t>
            </w:r>
          </w:p>
        </w:tc>
        <w:tc>
          <w:tcPr>
            <w:tcW w:w="1910" w:type="pct"/>
            <w:shd w:val="clear" w:color="auto" w:fill="D9D9D9"/>
            <w:vAlign w:val="center"/>
          </w:tcPr>
          <w:p w14:paraId="48C71F82" w14:textId="77777777" w:rsidR="006F6117" w:rsidRPr="003D5132" w:rsidRDefault="006F6117" w:rsidP="003D5132">
            <w:pPr>
              <w:spacing w:line="259" w:lineRule="auto"/>
              <w:rPr>
                <w:rFonts w:cs="Arial"/>
                <w:szCs w:val="24"/>
                <w:lang w:val="en-US"/>
              </w:rPr>
            </w:pPr>
            <w:r w:rsidRPr="003D5132">
              <w:rPr>
                <w:rFonts w:cs="Arial"/>
                <w:szCs w:val="24"/>
                <w:lang w:val="en-US"/>
              </w:rPr>
              <w:t>Training Offering</w:t>
            </w:r>
          </w:p>
        </w:tc>
        <w:tc>
          <w:tcPr>
            <w:tcW w:w="1114" w:type="pct"/>
            <w:shd w:val="clear" w:color="auto" w:fill="D9D9D9"/>
            <w:vAlign w:val="center"/>
          </w:tcPr>
          <w:p w14:paraId="1A109A2B" w14:textId="77777777" w:rsidR="006F6117" w:rsidRPr="003D5132" w:rsidRDefault="006F6117" w:rsidP="003D5132">
            <w:pPr>
              <w:spacing w:line="259" w:lineRule="auto"/>
              <w:jc w:val="center"/>
              <w:rPr>
                <w:rFonts w:cs="Arial"/>
                <w:szCs w:val="24"/>
                <w:lang w:val="en-US"/>
              </w:rPr>
            </w:pPr>
            <w:r w:rsidRPr="003D5132">
              <w:rPr>
                <w:rFonts w:cs="Arial"/>
                <w:szCs w:val="24"/>
                <w:lang w:val="en-US"/>
              </w:rPr>
              <w:t>Price Per TC</w:t>
            </w:r>
          </w:p>
        </w:tc>
        <w:tc>
          <w:tcPr>
            <w:tcW w:w="636" w:type="pct"/>
            <w:shd w:val="clear" w:color="auto" w:fill="D9D9D9"/>
            <w:vAlign w:val="center"/>
          </w:tcPr>
          <w:p w14:paraId="09F7123B" w14:textId="77777777" w:rsidR="006F6117" w:rsidRPr="003D5132" w:rsidRDefault="006F6117" w:rsidP="003D5132">
            <w:pPr>
              <w:spacing w:line="259" w:lineRule="auto"/>
              <w:jc w:val="center"/>
              <w:rPr>
                <w:rFonts w:cs="Arial"/>
                <w:szCs w:val="24"/>
                <w:lang w:val="en-US"/>
              </w:rPr>
            </w:pPr>
            <w:r w:rsidRPr="003D5132">
              <w:rPr>
                <w:rFonts w:cs="Arial"/>
                <w:szCs w:val="24"/>
                <w:lang w:val="en-US"/>
              </w:rPr>
              <w:t>Quantity</w:t>
            </w:r>
          </w:p>
        </w:tc>
        <w:tc>
          <w:tcPr>
            <w:tcW w:w="674" w:type="pct"/>
            <w:shd w:val="clear" w:color="auto" w:fill="D9D9D9"/>
            <w:vAlign w:val="center"/>
          </w:tcPr>
          <w:p w14:paraId="66831428" w14:textId="77777777" w:rsidR="006F6117" w:rsidRPr="003D5132" w:rsidRDefault="006F6117" w:rsidP="003D5132">
            <w:pPr>
              <w:spacing w:line="259" w:lineRule="auto"/>
              <w:jc w:val="center"/>
              <w:rPr>
                <w:rFonts w:cs="Arial"/>
                <w:szCs w:val="24"/>
                <w:lang w:val="en-US"/>
              </w:rPr>
            </w:pPr>
            <w:r w:rsidRPr="003D5132">
              <w:rPr>
                <w:rFonts w:cs="Arial"/>
                <w:szCs w:val="24"/>
                <w:lang w:val="en-US"/>
              </w:rPr>
              <w:t>Training Fees</w:t>
            </w:r>
          </w:p>
        </w:tc>
      </w:tr>
      <w:tr w:rsidR="00BB106F" w:rsidRPr="00BE3196" w14:paraId="13A0AAB2" w14:textId="77777777" w:rsidTr="003D5132">
        <w:trPr>
          <w:jc w:val="right"/>
        </w:trPr>
        <w:tc>
          <w:tcPr>
            <w:tcW w:w="665" w:type="pct"/>
            <w:shd w:val="clear" w:color="auto" w:fill="auto"/>
          </w:tcPr>
          <w:p w14:paraId="7146D9E8" w14:textId="77777777" w:rsidR="006F6117" w:rsidRPr="003D5132" w:rsidRDefault="006F6117" w:rsidP="003D5132">
            <w:pPr>
              <w:spacing w:line="259" w:lineRule="auto"/>
              <w:rPr>
                <w:rFonts w:cs="Arial"/>
                <w:szCs w:val="24"/>
                <w:lang w:val="en-US"/>
              </w:rPr>
            </w:pPr>
            <w:r w:rsidRPr="003D5132">
              <w:rPr>
                <w:rFonts w:cs="Arial"/>
                <w:szCs w:val="24"/>
                <w:lang w:val="en-US"/>
              </w:rPr>
              <w:t>TC</w:t>
            </w:r>
          </w:p>
        </w:tc>
        <w:tc>
          <w:tcPr>
            <w:tcW w:w="1910" w:type="pct"/>
            <w:shd w:val="clear" w:color="auto" w:fill="auto"/>
          </w:tcPr>
          <w:p w14:paraId="46228A20" w14:textId="77777777" w:rsidR="006F6117" w:rsidRPr="003D5132" w:rsidRDefault="006F6117" w:rsidP="003D5132">
            <w:pPr>
              <w:spacing w:line="259" w:lineRule="auto"/>
              <w:rPr>
                <w:rFonts w:cs="Arial"/>
                <w:szCs w:val="24"/>
                <w:lang w:val="en-US"/>
              </w:rPr>
            </w:pPr>
            <w:r w:rsidRPr="003D5132">
              <w:rPr>
                <w:rFonts w:cs="Arial"/>
                <w:szCs w:val="24"/>
                <w:lang w:val="en-US"/>
              </w:rPr>
              <w:t>Training Credits (prepaid)</w:t>
            </w:r>
          </w:p>
        </w:tc>
        <w:tc>
          <w:tcPr>
            <w:tcW w:w="1114" w:type="pct"/>
            <w:shd w:val="clear" w:color="auto" w:fill="auto"/>
          </w:tcPr>
          <w:p w14:paraId="3619B662" w14:textId="4E703EC3" w:rsidR="006F6117" w:rsidRPr="003D5132" w:rsidRDefault="00A109D4" w:rsidP="003D5132">
            <w:pPr>
              <w:spacing w:line="259" w:lineRule="auto"/>
              <w:jc w:val="center"/>
              <w:rPr>
                <w:rFonts w:cs="Arial"/>
                <w:szCs w:val="24"/>
                <w:lang w:val="en-US"/>
              </w:rPr>
            </w:pPr>
            <w:r w:rsidRPr="009537A1">
              <w:rPr>
                <w:b/>
                <w:bCs/>
              </w:rPr>
              <w:t>&lt;REDACTED&gt;</w:t>
            </w:r>
          </w:p>
        </w:tc>
        <w:tc>
          <w:tcPr>
            <w:tcW w:w="636" w:type="pct"/>
            <w:shd w:val="clear" w:color="auto" w:fill="auto"/>
          </w:tcPr>
          <w:p w14:paraId="13768F64" w14:textId="05890ACB" w:rsidR="006F6117" w:rsidRPr="003D5132" w:rsidRDefault="00A109D4" w:rsidP="003D5132">
            <w:pPr>
              <w:spacing w:line="259" w:lineRule="auto"/>
              <w:jc w:val="center"/>
              <w:rPr>
                <w:rFonts w:cs="Arial"/>
                <w:szCs w:val="24"/>
                <w:lang w:val="en-US"/>
              </w:rPr>
            </w:pPr>
            <w:r w:rsidRPr="009537A1">
              <w:rPr>
                <w:b/>
                <w:bCs/>
              </w:rPr>
              <w:t>&lt;REDACTED&gt;</w:t>
            </w:r>
          </w:p>
        </w:tc>
        <w:tc>
          <w:tcPr>
            <w:tcW w:w="674" w:type="pct"/>
            <w:shd w:val="clear" w:color="auto" w:fill="auto"/>
          </w:tcPr>
          <w:p w14:paraId="4667B53C" w14:textId="4880BEFA" w:rsidR="006F6117" w:rsidRPr="003D5132" w:rsidRDefault="00A109D4" w:rsidP="003D5132">
            <w:pPr>
              <w:spacing w:line="259" w:lineRule="auto"/>
              <w:jc w:val="center"/>
              <w:rPr>
                <w:rFonts w:cs="Arial"/>
                <w:szCs w:val="24"/>
                <w:lang w:val="en-US"/>
              </w:rPr>
            </w:pPr>
            <w:r w:rsidRPr="009537A1">
              <w:rPr>
                <w:b/>
                <w:bCs/>
              </w:rPr>
              <w:t>&lt;REDACTED&gt;</w:t>
            </w:r>
          </w:p>
        </w:tc>
      </w:tr>
    </w:tbl>
    <w:p w14:paraId="15C137B9" w14:textId="77777777" w:rsidR="006F6117" w:rsidRPr="003D5132" w:rsidRDefault="006F6117" w:rsidP="003D5132">
      <w:pPr>
        <w:spacing w:line="259" w:lineRule="auto"/>
        <w:rPr>
          <w:rFonts w:cs="Arial"/>
          <w:szCs w:val="24"/>
          <w:lang w:val="en-US"/>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257"/>
        <w:gridCol w:w="3559"/>
        <w:gridCol w:w="1133"/>
        <w:gridCol w:w="991"/>
        <w:gridCol w:w="1277"/>
        <w:gridCol w:w="1133"/>
      </w:tblGrid>
      <w:tr w:rsidR="00BB106F" w:rsidRPr="00BE3196" w14:paraId="345622D7" w14:textId="77777777" w:rsidTr="00BB106F">
        <w:trPr>
          <w:jc w:val="center"/>
        </w:trPr>
        <w:tc>
          <w:tcPr>
            <w:tcW w:w="672" w:type="pct"/>
            <w:shd w:val="clear" w:color="auto" w:fill="D9D9D9"/>
            <w:vAlign w:val="center"/>
          </w:tcPr>
          <w:p w14:paraId="30836B81" w14:textId="77777777" w:rsidR="006F6117" w:rsidRPr="003D5132" w:rsidRDefault="006F6117" w:rsidP="003D5132">
            <w:pPr>
              <w:spacing w:line="259" w:lineRule="auto"/>
              <w:rPr>
                <w:rFonts w:cs="Arial"/>
                <w:szCs w:val="24"/>
                <w:lang w:val="en-US"/>
              </w:rPr>
            </w:pPr>
            <w:r w:rsidRPr="003D5132">
              <w:rPr>
                <w:rFonts w:cs="Arial"/>
                <w:szCs w:val="24"/>
                <w:lang w:val="en-US"/>
              </w:rPr>
              <w:t>SKU</w:t>
            </w:r>
          </w:p>
        </w:tc>
        <w:tc>
          <w:tcPr>
            <w:tcW w:w="1903" w:type="pct"/>
            <w:shd w:val="clear" w:color="auto" w:fill="D9D9D9"/>
            <w:vAlign w:val="center"/>
          </w:tcPr>
          <w:p w14:paraId="3CC00FA7" w14:textId="77777777" w:rsidR="006F6117" w:rsidRPr="003D5132" w:rsidRDefault="006F6117" w:rsidP="003D5132">
            <w:pPr>
              <w:spacing w:line="259" w:lineRule="auto"/>
              <w:rPr>
                <w:rFonts w:cs="Arial"/>
                <w:szCs w:val="24"/>
                <w:lang w:val="en-US"/>
              </w:rPr>
            </w:pPr>
            <w:r w:rsidRPr="003D5132">
              <w:rPr>
                <w:rFonts w:cs="Arial"/>
                <w:szCs w:val="24"/>
                <w:lang w:val="en-US"/>
              </w:rPr>
              <w:t>Training Offering</w:t>
            </w:r>
          </w:p>
        </w:tc>
        <w:tc>
          <w:tcPr>
            <w:tcW w:w="606" w:type="pct"/>
            <w:shd w:val="clear" w:color="auto" w:fill="D9D9D9"/>
            <w:vAlign w:val="center"/>
          </w:tcPr>
          <w:p w14:paraId="6C504824" w14:textId="4726BE91" w:rsidR="00BB106F" w:rsidRPr="003D5132" w:rsidRDefault="006F6117" w:rsidP="003D5132">
            <w:pPr>
              <w:spacing w:line="259" w:lineRule="auto"/>
              <w:jc w:val="center"/>
              <w:rPr>
                <w:rFonts w:cs="Arial"/>
                <w:szCs w:val="24"/>
                <w:lang w:val="en-US"/>
              </w:rPr>
            </w:pPr>
            <w:r w:rsidRPr="003D5132">
              <w:rPr>
                <w:rFonts w:cs="Arial"/>
                <w:szCs w:val="24"/>
                <w:lang w:val="en-US"/>
              </w:rPr>
              <w:t>Annual</w:t>
            </w:r>
          </w:p>
          <w:p w14:paraId="2F2540B4" w14:textId="2A7BD969" w:rsidR="006F6117" w:rsidRPr="003D5132" w:rsidRDefault="006F6117" w:rsidP="003D5132">
            <w:pPr>
              <w:spacing w:line="259" w:lineRule="auto"/>
              <w:jc w:val="center"/>
              <w:rPr>
                <w:rFonts w:cs="Arial"/>
                <w:szCs w:val="24"/>
                <w:lang w:val="en-US"/>
              </w:rPr>
            </w:pPr>
            <w:r w:rsidRPr="003D5132">
              <w:rPr>
                <w:rFonts w:cs="Arial"/>
                <w:szCs w:val="24"/>
                <w:lang w:val="en-US"/>
              </w:rPr>
              <w:t>Rate</w:t>
            </w:r>
          </w:p>
        </w:tc>
        <w:tc>
          <w:tcPr>
            <w:tcW w:w="530" w:type="pct"/>
            <w:shd w:val="clear" w:color="auto" w:fill="D9D9D9"/>
            <w:vAlign w:val="center"/>
          </w:tcPr>
          <w:p w14:paraId="432FF45C" w14:textId="77777777" w:rsidR="006F6117" w:rsidRPr="003D5132" w:rsidRDefault="006F6117" w:rsidP="003D5132">
            <w:pPr>
              <w:spacing w:line="259" w:lineRule="auto"/>
              <w:jc w:val="center"/>
              <w:rPr>
                <w:rFonts w:cs="Arial"/>
                <w:szCs w:val="24"/>
                <w:lang w:val="en-US"/>
              </w:rPr>
            </w:pPr>
            <w:r w:rsidRPr="003D5132">
              <w:rPr>
                <w:rFonts w:cs="Arial"/>
                <w:szCs w:val="24"/>
                <w:lang w:val="en-US"/>
              </w:rPr>
              <w:t>Years</w:t>
            </w:r>
          </w:p>
        </w:tc>
        <w:tc>
          <w:tcPr>
            <w:tcW w:w="682" w:type="pct"/>
            <w:shd w:val="clear" w:color="auto" w:fill="D9D9D9"/>
            <w:vAlign w:val="center"/>
          </w:tcPr>
          <w:p w14:paraId="21BE4564" w14:textId="77777777" w:rsidR="006F6117" w:rsidRPr="003D5132" w:rsidRDefault="006F6117" w:rsidP="003D5132">
            <w:pPr>
              <w:spacing w:line="259" w:lineRule="auto"/>
              <w:jc w:val="center"/>
              <w:rPr>
                <w:rFonts w:cs="Arial"/>
                <w:szCs w:val="24"/>
                <w:lang w:val="en-US"/>
              </w:rPr>
            </w:pPr>
            <w:r w:rsidRPr="003D5132">
              <w:rPr>
                <w:rFonts w:cs="Arial"/>
                <w:szCs w:val="24"/>
                <w:lang w:val="en-US"/>
              </w:rPr>
              <w:t>Quantity</w:t>
            </w:r>
          </w:p>
        </w:tc>
        <w:tc>
          <w:tcPr>
            <w:tcW w:w="606" w:type="pct"/>
            <w:shd w:val="clear" w:color="auto" w:fill="D9D9D9"/>
            <w:vAlign w:val="center"/>
          </w:tcPr>
          <w:p w14:paraId="1B78CA3F" w14:textId="77777777" w:rsidR="006F6117" w:rsidRPr="003D5132" w:rsidRDefault="006F6117" w:rsidP="003D5132">
            <w:pPr>
              <w:spacing w:line="259" w:lineRule="auto"/>
              <w:jc w:val="center"/>
              <w:rPr>
                <w:rFonts w:cs="Arial"/>
                <w:szCs w:val="24"/>
                <w:lang w:val="en-US"/>
              </w:rPr>
            </w:pPr>
            <w:r w:rsidRPr="003D5132">
              <w:rPr>
                <w:rFonts w:cs="Arial"/>
                <w:szCs w:val="24"/>
                <w:lang w:val="en-US"/>
              </w:rPr>
              <w:t>LOD Fees for</w:t>
            </w:r>
          </w:p>
          <w:p w14:paraId="03F3A037" w14:textId="77777777" w:rsidR="006F6117" w:rsidRPr="003D5132" w:rsidRDefault="006F6117" w:rsidP="003D5132">
            <w:pPr>
              <w:spacing w:line="259" w:lineRule="auto"/>
              <w:jc w:val="center"/>
              <w:rPr>
                <w:rFonts w:cs="Arial"/>
                <w:szCs w:val="24"/>
                <w:lang w:val="en-US"/>
              </w:rPr>
            </w:pPr>
            <w:r w:rsidRPr="003D5132">
              <w:rPr>
                <w:rFonts w:cs="Arial"/>
                <w:szCs w:val="24"/>
                <w:lang w:val="en-US"/>
              </w:rPr>
              <w:t>Order Term</w:t>
            </w:r>
          </w:p>
        </w:tc>
      </w:tr>
      <w:tr w:rsidR="00BB106F" w:rsidRPr="00BE3196" w14:paraId="4B10084E" w14:textId="77777777" w:rsidTr="00BB106F">
        <w:tblPrEx>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8"/>
          <w:jc w:val="right"/>
        </w:trPr>
        <w:tc>
          <w:tcPr>
            <w:tcW w:w="672" w:type="pct"/>
            <w:shd w:val="clear" w:color="auto" w:fill="auto"/>
          </w:tcPr>
          <w:p w14:paraId="6783692C" w14:textId="77777777" w:rsidR="006F6117" w:rsidRPr="003D5132" w:rsidRDefault="006F6117" w:rsidP="003D5132">
            <w:pPr>
              <w:spacing w:line="259" w:lineRule="auto"/>
              <w:rPr>
                <w:rFonts w:cs="Arial"/>
                <w:szCs w:val="24"/>
                <w:lang w:val="en-US"/>
              </w:rPr>
            </w:pPr>
            <w:r w:rsidRPr="003D5132">
              <w:rPr>
                <w:rFonts w:cs="Arial"/>
                <w:szCs w:val="24"/>
                <w:lang w:val="en-US"/>
              </w:rPr>
              <w:t>LODHCM10</w:t>
            </w:r>
          </w:p>
        </w:tc>
        <w:tc>
          <w:tcPr>
            <w:tcW w:w="1903" w:type="pct"/>
            <w:shd w:val="clear" w:color="auto" w:fill="auto"/>
          </w:tcPr>
          <w:p w14:paraId="3766995F" w14:textId="5D3C678D" w:rsidR="006F6117" w:rsidRPr="003D5132" w:rsidRDefault="006F6117" w:rsidP="003D5132">
            <w:pPr>
              <w:spacing w:line="259" w:lineRule="auto"/>
              <w:rPr>
                <w:rFonts w:cs="Arial"/>
                <w:szCs w:val="24"/>
                <w:lang w:val="en-US"/>
              </w:rPr>
            </w:pPr>
            <w:r w:rsidRPr="003D5132">
              <w:rPr>
                <w:rFonts w:cs="Arial"/>
                <w:szCs w:val="24"/>
                <w:lang w:val="en-US"/>
              </w:rPr>
              <w:t xml:space="preserve">Learn On-Demand – HCM Library </w:t>
            </w:r>
            <w:r w:rsidR="00A109D4" w:rsidRPr="009537A1">
              <w:rPr>
                <w:b/>
                <w:bCs/>
              </w:rPr>
              <w:t>&lt;REDACTED&gt;</w:t>
            </w:r>
            <w:r w:rsidRPr="003D5132">
              <w:rPr>
                <w:rFonts w:cs="Arial"/>
                <w:szCs w:val="24"/>
                <w:lang w:val="en-US"/>
              </w:rPr>
              <w:t xml:space="preserve"> Initial Users</w:t>
            </w:r>
          </w:p>
        </w:tc>
        <w:tc>
          <w:tcPr>
            <w:tcW w:w="606" w:type="pct"/>
            <w:shd w:val="clear" w:color="auto" w:fill="auto"/>
          </w:tcPr>
          <w:p w14:paraId="7616A9ED" w14:textId="21F6A2F3" w:rsidR="006F6117" w:rsidRPr="003D5132" w:rsidRDefault="00A109D4" w:rsidP="003D5132">
            <w:pPr>
              <w:spacing w:line="259" w:lineRule="auto"/>
              <w:jc w:val="center"/>
              <w:rPr>
                <w:rFonts w:cs="Arial"/>
                <w:szCs w:val="24"/>
                <w:lang w:val="en-US"/>
              </w:rPr>
            </w:pPr>
            <w:r w:rsidRPr="009537A1">
              <w:rPr>
                <w:b/>
                <w:bCs/>
              </w:rPr>
              <w:t>&lt;REDACTED&gt;</w:t>
            </w:r>
          </w:p>
        </w:tc>
        <w:tc>
          <w:tcPr>
            <w:tcW w:w="530" w:type="pct"/>
          </w:tcPr>
          <w:p w14:paraId="5E81CFD3" w14:textId="77777777" w:rsidR="006F6117" w:rsidRPr="003D5132" w:rsidRDefault="006F6117" w:rsidP="003D5132">
            <w:pPr>
              <w:spacing w:line="259" w:lineRule="auto"/>
              <w:jc w:val="center"/>
              <w:rPr>
                <w:rFonts w:cs="Arial"/>
                <w:szCs w:val="24"/>
                <w:lang w:val="en-US"/>
              </w:rPr>
            </w:pPr>
            <w:r w:rsidRPr="003D5132">
              <w:rPr>
                <w:rFonts w:cs="Arial"/>
                <w:szCs w:val="24"/>
                <w:lang w:val="en-US"/>
              </w:rPr>
              <w:t>2</w:t>
            </w:r>
          </w:p>
        </w:tc>
        <w:tc>
          <w:tcPr>
            <w:tcW w:w="682" w:type="pct"/>
            <w:shd w:val="clear" w:color="auto" w:fill="auto"/>
          </w:tcPr>
          <w:p w14:paraId="350EACB1" w14:textId="77777777" w:rsidR="006F6117" w:rsidRPr="003D5132" w:rsidRDefault="006F6117" w:rsidP="003D5132">
            <w:pPr>
              <w:spacing w:line="259" w:lineRule="auto"/>
              <w:jc w:val="center"/>
              <w:rPr>
                <w:rFonts w:cs="Arial"/>
                <w:szCs w:val="24"/>
                <w:lang w:val="en-US"/>
              </w:rPr>
            </w:pPr>
            <w:r w:rsidRPr="003D5132">
              <w:rPr>
                <w:rFonts w:cs="Arial"/>
                <w:szCs w:val="24"/>
                <w:lang w:val="en-US"/>
              </w:rPr>
              <w:t>1</w:t>
            </w:r>
          </w:p>
        </w:tc>
        <w:tc>
          <w:tcPr>
            <w:tcW w:w="606" w:type="pct"/>
            <w:shd w:val="clear" w:color="auto" w:fill="auto"/>
          </w:tcPr>
          <w:p w14:paraId="205DD70E" w14:textId="67A745DB" w:rsidR="006F6117" w:rsidRPr="003D5132" w:rsidRDefault="00A109D4" w:rsidP="003D5132">
            <w:pPr>
              <w:spacing w:line="259" w:lineRule="auto"/>
              <w:jc w:val="center"/>
              <w:rPr>
                <w:rFonts w:cs="Arial"/>
                <w:szCs w:val="24"/>
                <w:lang w:val="en-US"/>
              </w:rPr>
            </w:pPr>
            <w:r w:rsidRPr="009537A1">
              <w:rPr>
                <w:b/>
                <w:bCs/>
              </w:rPr>
              <w:t>&lt;REDACTED&gt;</w:t>
            </w:r>
          </w:p>
        </w:tc>
      </w:tr>
      <w:tr w:rsidR="00BB106F" w:rsidRPr="00BE3196" w14:paraId="16112BA4" w14:textId="77777777" w:rsidTr="00BB106F">
        <w:tblPrEx>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8"/>
          <w:jc w:val="right"/>
        </w:trPr>
        <w:tc>
          <w:tcPr>
            <w:tcW w:w="672" w:type="pct"/>
            <w:shd w:val="clear" w:color="auto" w:fill="auto"/>
          </w:tcPr>
          <w:p w14:paraId="411B7878" w14:textId="77777777" w:rsidR="006F6117" w:rsidRPr="003D5132" w:rsidRDefault="006F6117" w:rsidP="003D5132">
            <w:pPr>
              <w:spacing w:line="259" w:lineRule="auto"/>
              <w:rPr>
                <w:rFonts w:cs="Arial"/>
                <w:szCs w:val="24"/>
                <w:lang w:val="en-US"/>
              </w:rPr>
            </w:pPr>
            <w:r w:rsidRPr="003D5132">
              <w:rPr>
                <w:rFonts w:cs="Arial"/>
                <w:szCs w:val="24"/>
                <w:lang w:val="en-US"/>
              </w:rPr>
              <w:t>LODTECH10</w:t>
            </w:r>
          </w:p>
        </w:tc>
        <w:tc>
          <w:tcPr>
            <w:tcW w:w="1903" w:type="pct"/>
            <w:shd w:val="clear" w:color="auto" w:fill="auto"/>
          </w:tcPr>
          <w:p w14:paraId="55E96F28" w14:textId="2D8FDF32" w:rsidR="006F6117" w:rsidRPr="003D5132" w:rsidRDefault="006F6117" w:rsidP="003D5132">
            <w:pPr>
              <w:spacing w:line="259" w:lineRule="auto"/>
              <w:rPr>
                <w:rFonts w:cs="Arial"/>
                <w:szCs w:val="24"/>
                <w:lang w:val="en-US"/>
              </w:rPr>
            </w:pPr>
            <w:r w:rsidRPr="003D5132">
              <w:rPr>
                <w:rFonts w:cs="Arial"/>
                <w:szCs w:val="24"/>
                <w:lang w:val="en-US"/>
              </w:rPr>
              <w:t>Learn On-Demand – Cross-Application Technology Library</w:t>
            </w:r>
            <w:r w:rsidR="00A109D4" w:rsidRPr="009537A1">
              <w:rPr>
                <w:b/>
                <w:bCs/>
              </w:rPr>
              <w:t>&lt;REDACTED</w:t>
            </w:r>
            <w:proofErr w:type="gramStart"/>
            <w:r w:rsidR="00A109D4" w:rsidRPr="009537A1">
              <w:rPr>
                <w:b/>
                <w:bCs/>
              </w:rPr>
              <w:t>&gt;</w:t>
            </w:r>
            <w:r w:rsidRPr="003D5132">
              <w:rPr>
                <w:rFonts w:cs="Arial"/>
                <w:szCs w:val="24"/>
                <w:lang w:val="en-US"/>
              </w:rPr>
              <w:t xml:space="preserve">  Initial</w:t>
            </w:r>
            <w:proofErr w:type="gramEnd"/>
            <w:r w:rsidRPr="003D5132">
              <w:rPr>
                <w:rFonts w:cs="Arial"/>
                <w:szCs w:val="24"/>
                <w:lang w:val="en-US"/>
              </w:rPr>
              <w:t xml:space="preserve"> Users</w:t>
            </w:r>
          </w:p>
        </w:tc>
        <w:tc>
          <w:tcPr>
            <w:tcW w:w="606" w:type="pct"/>
            <w:shd w:val="clear" w:color="auto" w:fill="auto"/>
          </w:tcPr>
          <w:p w14:paraId="775A2A05" w14:textId="0DD60F6F" w:rsidR="006F6117" w:rsidRPr="003D5132" w:rsidRDefault="00A109D4" w:rsidP="003D5132">
            <w:pPr>
              <w:spacing w:line="259" w:lineRule="auto"/>
              <w:jc w:val="center"/>
              <w:rPr>
                <w:rFonts w:cs="Arial"/>
                <w:szCs w:val="24"/>
                <w:lang w:val="en-US"/>
              </w:rPr>
            </w:pPr>
            <w:r w:rsidRPr="009537A1">
              <w:rPr>
                <w:b/>
                <w:bCs/>
              </w:rPr>
              <w:t>&lt;REDACTED&gt;</w:t>
            </w:r>
          </w:p>
        </w:tc>
        <w:tc>
          <w:tcPr>
            <w:tcW w:w="530" w:type="pct"/>
          </w:tcPr>
          <w:p w14:paraId="590AEF83" w14:textId="77777777" w:rsidR="006F6117" w:rsidRPr="003D5132" w:rsidRDefault="006F6117" w:rsidP="003D5132">
            <w:pPr>
              <w:spacing w:line="259" w:lineRule="auto"/>
              <w:jc w:val="center"/>
              <w:rPr>
                <w:rFonts w:cs="Arial"/>
                <w:szCs w:val="24"/>
                <w:lang w:val="en-US"/>
              </w:rPr>
            </w:pPr>
            <w:r w:rsidRPr="003D5132">
              <w:rPr>
                <w:rFonts w:cs="Arial"/>
                <w:szCs w:val="24"/>
                <w:lang w:val="en-US"/>
              </w:rPr>
              <w:t>2</w:t>
            </w:r>
          </w:p>
        </w:tc>
        <w:tc>
          <w:tcPr>
            <w:tcW w:w="682" w:type="pct"/>
            <w:shd w:val="clear" w:color="auto" w:fill="auto"/>
          </w:tcPr>
          <w:p w14:paraId="13934B6F" w14:textId="77777777" w:rsidR="006F6117" w:rsidRPr="003D5132" w:rsidRDefault="006F6117" w:rsidP="003D5132">
            <w:pPr>
              <w:spacing w:line="259" w:lineRule="auto"/>
              <w:jc w:val="center"/>
              <w:rPr>
                <w:rFonts w:cs="Arial"/>
                <w:szCs w:val="24"/>
                <w:lang w:val="en-US"/>
              </w:rPr>
            </w:pPr>
            <w:r w:rsidRPr="003D5132">
              <w:rPr>
                <w:rFonts w:cs="Arial"/>
                <w:szCs w:val="24"/>
                <w:lang w:val="en-US"/>
              </w:rPr>
              <w:t>1</w:t>
            </w:r>
          </w:p>
        </w:tc>
        <w:tc>
          <w:tcPr>
            <w:tcW w:w="606" w:type="pct"/>
            <w:shd w:val="clear" w:color="auto" w:fill="auto"/>
          </w:tcPr>
          <w:p w14:paraId="6475CB9D" w14:textId="12CCA51E" w:rsidR="006F6117" w:rsidRPr="003D5132" w:rsidRDefault="00A109D4" w:rsidP="003D5132">
            <w:pPr>
              <w:spacing w:line="259" w:lineRule="auto"/>
              <w:jc w:val="center"/>
              <w:rPr>
                <w:rFonts w:cs="Arial"/>
                <w:szCs w:val="24"/>
                <w:lang w:val="en-US"/>
              </w:rPr>
            </w:pPr>
            <w:r w:rsidRPr="009537A1">
              <w:rPr>
                <w:b/>
                <w:bCs/>
              </w:rPr>
              <w:t>&lt;REDACTED&gt;</w:t>
            </w:r>
          </w:p>
        </w:tc>
      </w:tr>
      <w:tr w:rsidR="006F6117" w:rsidRPr="00BE3196" w14:paraId="70D70ACF" w14:textId="77777777" w:rsidTr="00BB106F">
        <w:tblPrEx>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8"/>
          <w:jc w:val="right"/>
        </w:trPr>
        <w:tc>
          <w:tcPr>
            <w:tcW w:w="4394" w:type="pct"/>
            <w:gridSpan w:val="5"/>
            <w:shd w:val="clear" w:color="auto" w:fill="auto"/>
          </w:tcPr>
          <w:p w14:paraId="2BC3F1BF" w14:textId="77777777" w:rsidR="006F6117" w:rsidRPr="003D5132" w:rsidRDefault="006F6117" w:rsidP="003D5132">
            <w:pPr>
              <w:spacing w:line="259" w:lineRule="auto"/>
              <w:rPr>
                <w:rFonts w:cs="Arial"/>
                <w:szCs w:val="24"/>
                <w:lang w:val="en-US"/>
              </w:rPr>
            </w:pPr>
            <w:r w:rsidRPr="003D5132">
              <w:rPr>
                <w:rFonts w:cs="Arial"/>
                <w:szCs w:val="24"/>
                <w:lang w:val="en-US"/>
              </w:rPr>
              <w:t>Total LOD Fees for Order Term</w:t>
            </w:r>
          </w:p>
        </w:tc>
        <w:tc>
          <w:tcPr>
            <w:tcW w:w="606" w:type="pct"/>
            <w:shd w:val="clear" w:color="auto" w:fill="auto"/>
          </w:tcPr>
          <w:p w14:paraId="171DE496" w14:textId="4FE73AE7" w:rsidR="006F6117" w:rsidRPr="003D5132" w:rsidRDefault="00A109D4" w:rsidP="003D5132">
            <w:pPr>
              <w:spacing w:line="259" w:lineRule="auto"/>
              <w:jc w:val="center"/>
              <w:rPr>
                <w:rFonts w:cs="Arial"/>
                <w:szCs w:val="24"/>
                <w:lang w:val="en-US"/>
              </w:rPr>
            </w:pPr>
            <w:r w:rsidRPr="009537A1">
              <w:rPr>
                <w:b/>
                <w:bCs/>
              </w:rPr>
              <w:t>&lt;REDACTED&gt;</w:t>
            </w:r>
          </w:p>
        </w:tc>
      </w:tr>
    </w:tbl>
    <w:p w14:paraId="487EFD5F" w14:textId="77777777" w:rsidR="006F6117" w:rsidRPr="003D5132" w:rsidRDefault="006F6117" w:rsidP="003D5132">
      <w:pPr>
        <w:spacing w:line="259" w:lineRule="auto"/>
        <w:rPr>
          <w:rFonts w:cs="Arial"/>
          <w:szCs w:val="24"/>
          <w:lang w:val="en-US"/>
        </w:rPr>
      </w:pPr>
    </w:p>
    <w:p w14:paraId="4ACAF7B5" w14:textId="77777777" w:rsidR="006F6117" w:rsidRPr="003D5132" w:rsidRDefault="006F6117" w:rsidP="003D5132">
      <w:pPr>
        <w:spacing w:line="259" w:lineRule="auto"/>
        <w:rPr>
          <w:rFonts w:cs="Arial"/>
          <w:szCs w:val="24"/>
          <w:lang w:val="en-US"/>
        </w:rPr>
      </w:pPr>
    </w:p>
    <w:tbl>
      <w:tblPr>
        <w:tblW w:w="4991" w:type="pct"/>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Look w:val="04A0" w:firstRow="1" w:lastRow="0" w:firstColumn="1" w:lastColumn="0" w:noHBand="0" w:noVBand="1"/>
      </w:tblPr>
      <w:tblGrid>
        <w:gridCol w:w="1497"/>
        <w:gridCol w:w="2960"/>
        <w:gridCol w:w="2705"/>
        <w:gridCol w:w="2171"/>
      </w:tblGrid>
      <w:tr w:rsidR="006F6117" w:rsidRPr="00BE3196" w14:paraId="3F3DCADE" w14:textId="77777777" w:rsidTr="00184977">
        <w:trPr>
          <w:trHeight w:val="75"/>
          <w:jc w:val="right"/>
        </w:trPr>
        <w:tc>
          <w:tcPr>
            <w:tcW w:w="802" w:type="pct"/>
            <w:shd w:val="clear" w:color="auto" w:fill="D9D9D9"/>
            <w:vAlign w:val="center"/>
          </w:tcPr>
          <w:p w14:paraId="678DBE8E" w14:textId="77777777" w:rsidR="006F6117" w:rsidRPr="003D5132" w:rsidRDefault="006F6117" w:rsidP="003D5132">
            <w:pPr>
              <w:spacing w:line="259" w:lineRule="auto"/>
              <w:rPr>
                <w:rFonts w:cs="Arial"/>
                <w:szCs w:val="24"/>
                <w:lang w:val="en-US"/>
              </w:rPr>
            </w:pPr>
            <w:r w:rsidRPr="003D5132">
              <w:rPr>
                <w:rFonts w:cs="Arial"/>
                <w:szCs w:val="24"/>
                <w:lang w:val="en-US"/>
              </w:rPr>
              <w:t>SKU</w:t>
            </w:r>
          </w:p>
        </w:tc>
        <w:tc>
          <w:tcPr>
            <w:tcW w:w="1586" w:type="pct"/>
            <w:shd w:val="clear" w:color="auto" w:fill="D9D9D9"/>
            <w:vAlign w:val="center"/>
          </w:tcPr>
          <w:p w14:paraId="43D44BB1" w14:textId="77777777" w:rsidR="006F6117" w:rsidRPr="003D5132" w:rsidRDefault="006F6117" w:rsidP="003D5132">
            <w:pPr>
              <w:spacing w:line="259" w:lineRule="auto"/>
              <w:rPr>
                <w:rFonts w:cs="Arial"/>
                <w:szCs w:val="24"/>
                <w:lang w:val="en-US"/>
              </w:rPr>
            </w:pPr>
            <w:r w:rsidRPr="003D5132">
              <w:rPr>
                <w:rFonts w:cs="Arial"/>
                <w:szCs w:val="24"/>
                <w:lang w:val="en-US"/>
              </w:rPr>
              <w:t>Training Offering</w:t>
            </w:r>
          </w:p>
        </w:tc>
        <w:tc>
          <w:tcPr>
            <w:tcW w:w="1449" w:type="pct"/>
            <w:shd w:val="clear" w:color="auto" w:fill="D9D9D9"/>
            <w:vAlign w:val="center"/>
          </w:tcPr>
          <w:p w14:paraId="426893AD" w14:textId="77777777" w:rsidR="006F6117" w:rsidRPr="003D5132" w:rsidRDefault="006F6117" w:rsidP="003D5132">
            <w:pPr>
              <w:spacing w:line="259" w:lineRule="auto"/>
              <w:jc w:val="center"/>
              <w:rPr>
                <w:rFonts w:cs="Arial"/>
                <w:szCs w:val="24"/>
                <w:lang w:val="en-US"/>
              </w:rPr>
            </w:pPr>
            <w:r w:rsidRPr="003D5132">
              <w:rPr>
                <w:rFonts w:cs="Arial"/>
                <w:szCs w:val="24"/>
                <w:lang w:val="en-US"/>
              </w:rPr>
              <w:t>Total Number of FSE Workers</w:t>
            </w:r>
          </w:p>
        </w:tc>
        <w:tc>
          <w:tcPr>
            <w:tcW w:w="1163" w:type="pct"/>
            <w:shd w:val="clear" w:color="auto" w:fill="D9D9D9"/>
            <w:vAlign w:val="center"/>
          </w:tcPr>
          <w:p w14:paraId="40F62D89" w14:textId="77777777" w:rsidR="006F6117" w:rsidRPr="003D5132" w:rsidRDefault="006F6117" w:rsidP="003D5132">
            <w:pPr>
              <w:spacing w:line="259" w:lineRule="auto"/>
              <w:jc w:val="center"/>
              <w:rPr>
                <w:rFonts w:cs="Arial"/>
                <w:szCs w:val="24"/>
                <w:lang w:val="en-US"/>
              </w:rPr>
            </w:pPr>
            <w:r w:rsidRPr="003D5132">
              <w:rPr>
                <w:rFonts w:cs="Arial"/>
                <w:szCs w:val="24"/>
                <w:lang w:val="en-US"/>
              </w:rPr>
              <w:t>AK Fees for Order Term</w:t>
            </w:r>
          </w:p>
        </w:tc>
      </w:tr>
      <w:tr w:rsidR="006F6117" w:rsidRPr="00BE3196" w14:paraId="0F42FE21" w14:textId="77777777" w:rsidTr="001849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auto"/>
        </w:tblPrEx>
        <w:trPr>
          <w:jc w:val="right"/>
        </w:trPr>
        <w:tc>
          <w:tcPr>
            <w:tcW w:w="802" w:type="pct"/>
          </w:tcPr>
          <w:p w14:paraId="409C8848" w14:textId="77777777" w:rsidR="006F6117" w:rsidRPr="003D5132" w:rsidRDefault="006F6117" w:rsidP="003D5132">
            <w:pPr>
              <w:spacing w:line="259" w:lineRule="auto"/>
              <w:rPr>
                <w:rFonts w:cs="Arial"/>
                <w:szCs w:val="24"/>
                <w:lang w:val="en-US"/>
              </w:rPr>
            </w:pPr>
            <w:r w:rsidRPr="003D5132">
              <w:rPr>
                <w:rFonts w:cs="Arial"/>
                <w:szCs w:val="24"/>
                <w:lang w:val="en-US"/>
              </w:rPr>
              <w:t>AK</w:t>
            </w:r>
          </w:p>
        </w:tc>
        <w:tc>
          <w:tcPr>
            <w:tcW w:w="1586" w:type="pct"/>
          </w:tcPr>
          <w:p w14:paraId="5024FFA2" w14:textId="77777777" w:rsidR="006F6117" w:rsidRPr="003D5132" w:rsidRDefault="006F6117" w:rsidP="003D5132">
            <w:pPr>
              <w:spacing w:line="259" w:lineRule="auto"/>
              <w:rPr>
                <w:rFonts w:cs="Arial"/>
                <w:szCs w:val="24"/>
                <w:lang w:val="en-US"/>
              </w:rPr>
            </w:pPr>
            <w:r w:rsidRPr="003D5132">
              <w:rPr>
                <w:rFonts w:cs="Arial"/>
                <w:szCs w:val="24"/>
                <w:lang w:val="en-US"/>
              </w:rPr>
              <w:t>Adoption Kit</w:t>
            </w:r>
          </w:p>
        </w:tc>
        <w:tc>
          <w:tcPr>
            <w:tcW w:w="1449" w:type="pct"/>
          </w:tcPr>
          <w:p w14:paraId="366FBCA6" w14:textId="6D3E472A" w:rsidR="006F6117" w:rsidRPr="003D5132" w:rsidRDefault="001E620A" w:rsidP="003D5132">
            <w:pPr>
              <w:spacing w:line="259" w:lineRule="auto"/>
              <w:jc w:val="center"/>
              <w:rPr>
                <w:rFonts w:cs="Arial"/>
                <w:szCs w:val="24"/>
                <w:lang w:val="en-US"/>
              </w:rPr>
            </w:pPr>
            <w:r w:rsidRPr="009537A1">
              <w:rPr>
                <w:b/>
                <w:bCs/>
              </w:rPr>
              <w:t>&lt;REDACTED&gt;</w:t>
            </w:r>
          </w:p>
        </w:tc>
        <w:tc>
          <w:tcPr>
            <w:tcW w:w="1163" w:type="pct"/>
          </w:tcPr>
          <w:p w14:paraId="77A4FB20" w14:textId="6868D061" w:rsidR="006F6117" w:rsidRPr="003D5132" w:rsidRDefault="001E620A" w:rsidP="003D5132">
            <w:pPr>
              <w:spacing w:line="259" w:lineRule="auto"/>
              <w:jc w:val="center"/>
              <w:rPr>
                <w:rFonts w:cs="Arial"/>
                <w:szCs w:val="24"/>
                <w:lang w:val="en-US"/>
              </w:rPr>
            </w:pPr>
            <w:r w:rsidRPr="009537A1">
              <w:rPr>
                <w:b/>
                <w:bCs/>
              </w:rPr>
              <w:t>&lt;REDACTED&gt;</w:t>
            </w:r>
          </w:p>
        </w:tc>
      </w:tr>
    </w:tbl>
    <w:p w14:paraId="439B1174" w14:textId="77777777" w:rsidR="006F6117" w:rsidRDefault="006F6117" w:rsidP="008E314A"/>
    <w:p w14:paraId="48653917" w14:textId="77777777" w:rsidR="00704FFC" w:rsidRPr="00ED1913" w:rsidRDefault="00704FFC" w:rsidP="00704FFC">
      <w:pPr>
        <w:pStyle w:val="Title"/>
      </w:pPr>
      <w:bookmarkStart w:id="6" w:name="_Toc534903708"/>
      <w:r w:rsidRPr="00ED1913">
        <w:lastRenderedPageBreak/>
        <w:t xml:space="preserve">Part B </w:t>
      </w:r>
      <w:r w:rsidR="00C82E38" w:rsidRPr="00ED1913">
        <w:t>-</w:t>
      </w:r>
      <w:r w:rsidRPr="00ED1913">
        <w:t xml:space="preserve"> Terms and Conditions</w:t>
      </w:r>
      <w:bookmarkEnd w:id="6"/>
    </w:p>
    <w:p w14:paraId="6E4C0922" w14:textId="77777777" w:rsidR="00704FFC" w:rsidRPr="00ED1913" w:rsidRDefault="00704FFC" w:rsidP="008D6F49">
      <w:pPr>
        <w:pStyle w:val="Heading1"/>
        <w:numPr>
          <w:ilvl w:val="0"/>
          <w:numId w:val="4"/>
        </w:numPr>
      </w:pPr>
      <w:r w:rsidRPr="00ED1913">
        <w:t>Call-Off Contract start date and length</w:t>
      </w:r>
    </w:p>
    <w:p w14:paraId="76075F20" w14:textId="77777777" w:rsidR="00704FFC" w:rsidRPr="00ED1913" w:rsidRDefault="00704FFC" w:rsidP="001C706E">
      <w:pPr>
        <w:pStyle w:val="Heading2"/>
      </w:pPr>
      <w:r w:rsidRPr="00ED1913">
        <w:t>The Supplier must start providing the Services on the date specified in the Order Form.</w:t>
      </w:r>
    </w:p>
    <w:p w14:paraId="13D93F8C" w14:textId="77777777" w:rsidR="00704FFC" w:rsidRPr="00ED1913" w:rsidRDefault="00704FFC" w:rsidP="001C706E">
      <w:pPr>
        <w:pStyle w:val="Heading2"/>
      </w:pPr>
      <w:r w:rsidRPr="00ED1913">
        <w:t>This Call-Off Contract will expire on the Expiry Date in the Order Form. It will be for up to 24 months from the Start Date unless Ended earlier under clause 18 or extended by the Buyer under clause 1.3.</w:t>
      </w:r>
    </w:p>
    <w:p w14:paraId="10678726" w14:textId="77777777" w:rsidR="00704FFC" w:rsidRPr="00ED1913" w:rsidRDefault="00704FFC" w:rsidP="001C706E">
      <w:pPr>
        <w:pStyle w:val="Heading2"/>
      </w:pPr>
      <w:r w:rsidRPr="00ED1913">
        <w:t>The Buyer can extend this Call-Off Contract, with written notice to the Supplier, by the period in the Order Form, as long as this is within the maximum permitted under the Framework Agreement of 2 periods of up to 12 months each.</w:t>
      </w:r>
    </w:p>
    <w:p w14:paraId="6EB87380" w14:textId="77777777" w:rsidR="00704FFC" w:rsidRPr="00ED1913" w:rsidRDefault="00704FFC" w:rsidP="001C706E">
      <w:pPr>
        <w:pStyle w:val="Heading2"/>
      </w:pPr>
      <w:r w:rsidRPr="00ED1913">
        <w:t>The Parties must comply with the requirements under clauses 21.3 to 21.8 if the Buyer reserves the right in the Order Form to extend the contract beyond 24 months.</w:t>
      </w:r>
    </w:p>
    <w:p w14:paraId="3533E645" w14:textId="77777777" w:rsidR="00704FFC" w:rsidRPr="00ED1913" w:rsidRDefault="00704FFC" w:rsidP="00704FFC"/>
    <w:p w14:paraId="2315A6C8" w14:textId="77777777" w:rsidR="00704FFC" w:rsidRPr="00ED1913" w:rsidRDefault="00704FFC" w:rsidP="00704FFC">
      <w:pPr>
        <w:pStyle w:val="Heading1"/>
      </w:pPr>
      <w:r w:rsidRPr="00ED1913">
        <w:t>Incorporation of terms</w:t>
      </w:r>
    </w:p>
    <w:p w14:paraId="10AC0599" w14:textId="77777777" w:rsidR="00704FFC" w:rsidRPr="00ED1913" w:rsidRDefault="00704FFC" w:rsidP="001C706E">
      <w:pPr>
        <w:pStyle w:val="Heading2"/>
      </w:pPr>
      <w:r w:rsidRPr="00ED1913">
        <w:t>The following Framework Agreement clauses (including clauses and defined terms referenced by them) as modified under clause 2.2 are incorporated as separate Call-Off Contract obligations and apply between the Supplier and the Buyer:</w:t>
      </w:r>
    </w:p>
    <w:p w14:paraId="325F883D" w14:textId="77777777" w:rsidR="00704FFC" w:rsidRPr="00ED1913" w:rsidRDefault="00704FFC" w:rsidP="008D6F49">
      <w:pPr>
        <w:pStyle w:val="ListParagraph"/>
        <w:numPr>
          <w:ilvl w:val="0"/>
          <w:numId w:val="5"/>
        </w:numPr>
        <w:ind w:left="1135" w:hanging="284"/>
        <w:contextualSpacing w:val="0"/>
      </w:pPr>
      <w:r w:rsidRPr="00ED1913">
        <w:t>4.1 (Warranties and representations)</w:t>
      </w:r>
    </w:p>
    <w:p w14:paraId="15FA54D8" w14:textId="77777777" w:rsidR="00704FFC" w:rsidRPr="00ED1913" w:rsidRDefault="00704FFC" w:rsidP="008D6F49">
      <w:pPr>
        <w:pStyle w:val="ListParagraph"/>
        <w:numPr>
          <w:ilvl w:val="0"/>
          <w:numId w:val="5"/>
        </w:numPr>
        <w:ind w:left="1135" w:hanging="284"/>
        <w:contextualSpacing w:val="0"/>
      </w:pPr>
      <w:r w:rsidRPr="00ED1913">
        <w:t>4.2 to 4.7 (Liability)</w:t>
      </w:r>
    </w:p>
    <w:p w14:paraId="3F959D4A" w14:textId="77777777" w:rsidR="00704FFC" w:rsidRPr="00ED1913" w:rsidRDefault="00704FFC" w:rsidP="008D6F49">
      <w:pPr>
        <w:pStyle w:val="ListParagraph"/>
        <w:numPr>
          <w:ilvl w:val="0"/>
          <w:numId w:val="5"/>
        </w:numPr>
        <w:ind w:left="1135" w:hanging="284"/>
        <w:contextualSpacing w:val="0"/>
      </w:pPr>
      <w:r w:rsidRPr="00ED1913">
        <w:t>4.11 to 4.12 (IR35)</w:t>
      </w:r>
    </w:p>
    <w:p w14:paraId="69BFE9E9" w14:textId="77777777" w:rsidR="00704FFC" w:rsidRPr="00ED1913" w:rsidRDefault="00704FFC" w:rsidP="008D6F49">
      <w:pPr>
        <w:pStyle w:val="ListParagraph"/>
        <w:numPr>
          <w:ilvl w:val="0"/>
          <w:numId w:val="5"/>
        </w:numPr>
        <w:ind w:left="1135" w:hanging="284"/>
        <w:contextualSpacing w:val="0"/>
      </w:pPr>
      <w:r w:rsidRPr="00ED1913">
        <w:t>5.2 to 5.3 (Force majeure)</w:t>
      </w:r>
    </w:p>
    <w:p w14:paraId="027D7B2C" w14:textId="77777777" w:rsidR="00704FFC" w:rsidRPr="00ED1913" w:rsidRDefault="00704FFC" w:rsidP="008D6F49">
      <w:pPr>
        <w:pStyle w:val="ListParagraph"/>
        <w:numPr>
          <w:ilvl w:val="0"/>
          <w:numId w:val="5"/>
        </w:numPr>
        <w:ind w:left="1135" w:hanging="284"/>
        <w:contextualSpacing w:val="0"/>
      </w:pPr>
      <w:r w:rsidRPr="00ED1913">
        <w:t>5.6 (Continuing rights)</w:t>
      </w:r>
    </w:p>
    <w:p w14:paraId="22EAED33" w14:textId="77777777" w:rsidR="00704FFC" w:rsidRPr="00ED1913" w:rsidRDefault="00704FFC" w:rsidP="008D6F49">
      <w:pPr>
        <w:pStyle w:val="ListParagraph"/>
        <w:numPr>
          <w:ilvl w:val="0"/>
          <w:numId w:val="5"/>
        </w:numPr>
        <w:ind w:left="1135" w:hanging="284"/>
        <w:contextualSpacing w:val="0"/>
      </w:pPr>
      <w:r w:rsidRPr="00ED1913">
        <w:t>5.7 to 5.9 (Change of control)</w:t>
      </w:r>
    </w:p>
    <w:p w14:paraId="299A896F" w14:textId="77777777" w:rsidR="00704FFC" w:rsidRPr="00ED1913" w:rsidRDefault="00704FFC" w:rsidP="008D6F49">
      <w:pPr>
        <w:pStyle w:val="ListParagraph"/>
        <w:numPr>
          <w:ilvl w:val="0"/>
          <w:numId w:val="5"/>
        </w:numPr>
        <w:ind w:left="1135" w:hanging="284"/>
        <w:contextualSpacing w:val="0"/>
      </w:pPr>
      <w:r w:rsidRPr="00ED1913">
        <w:t>5.10 (Fraud)</w:t>
      </w:r>
    </w:p>
    <w:p w14:paraId="289731E1" w14:textId="77777777" w:rsidR="00704FFC" w:rsidRPr="00ED1913" w:rsidRDefault="00704FFC" w:rsidP="008D6F49">
      <w:pPr>
        <w:pStyle w:val="ListParagraph"/>
        <w:numPr>
          <w:ilvl w:val="0"/>
          <w:numId w:val="5"/>
        </w:numPr>
        <w:ind w:left="1135" w:hanging="284"/>
        <w:contextualSpacing w:val="0"/>
      </w:pPr>
      <w:r w:rsidRPr="00ED1913">
        <w:t>5.11 (Notice of fraud)</w:t>
      </w:r>
    </w:p>
    <w:p w14:paraId="4B615450" w14:textId="77777777" w:rsidR="00704FFC" w:rsidRPr="00ED1913" w:rsidRDefault="00704FFC" w:rsidP="008D6F49">
      <w:pPr>
        <w:pStyle w:val="ListParagraph"/>
        <w:numPr>
          <w:ilvl w:val="0"/>
          <w:numId w:val="5"/>
        </w:numPr>
        <w:ind w:left="1135" w:hanging="284"/>
        <w:contextualSpacing w:val="0"/>
      </w:pPr>
      <w:r w:rsidRPr="00ED1913">
        <w:t>7.1 to 7.2 (Transparency)</w:t>
      </w:r>
    </w:p>
    <w:p w14:paraId="6FEC5727" w14:textId="77777777" w:rsidR="00704FFC" w:rsidRPr="00ED1913" w:rsidRDefault="00704FFC" w:rsidP="008D6F49">
      <w:pPr>
        <w:pStyle w:val="ListParagraph"/>
        <w:numPr>
          <w:ilvl w:val="0"/>
          <w:numId w:val="5"/>
        </w:numPr>
        <w:ind w:left="1135" w:hanging="284"/>
        <w:contextualSpacing w:val="0"/>
      </w:pPr>
      <w:r w:rsidRPr="00ED1913">
        <w:t>8.3 (Order of precedence)</w:t>
      </w:r>
    </w:p>
    <w:p w14:paraId="58D8680E" w14:textId="77777777" w:rsidR="00704FFC" w:rsidRPr="00ED1913" w:rsidRDefault="00704FFC" w:rsidP="008D6F49">
      <w:pPr>
        <w:pStyle w:val="ListParagraph"/>
        <w:numPr>
          <w:ilvl w:val="0"/>
          <w:numId w:val="5"/>
        </w:numPr>
        <w:ind w:left="1135" w:hanging="284"/>
        <w:contextualSpacing w:val="0"/>
      </w:pPr>
      <w:r w:rsidRPr="00ED1913">
        <w:t>8.4 (Relationship)</w:t>
      </w:r>
    </w:p>
    <w:p w14:paraId="011CC8B7" w14:textId="77777777" w:rsidR="00704FFC" w:rsidRPr="00ED1913" w:rsidRDefault="00704FFC" w:rsidP="008D6F49">
      <w:pPr>
        <w:pStyle w:val="ListParagraph"/>
        <w:numPr>
          <w:ilvl w:val="0"/>
          <w:numId w:val="5"/>
        </w:numPr>
        <w:ind w:left="1135" w:hanging="284"/>
        <w:contextualSpacing w:val="0"/>
      </w:pPr>
      <w:r w:rsidRPr="00ED1913">
        <w:t>8.7 to 8.9 (Entire agreement)</w:t>
      </w:r>
    </w:p>
    <w:p w14:paraId="484CCFF9" w14:textId="77777777" w:rsidR="00704FFC" w:rsidRPr="00ED1913" w:rsidRDefault="00704FFC" w:rsidP="008D6F49">
      <w:pPr>
        <w:pStyle w:val="ListParagraph"/>
        <w:numPr>
          <w:ilvl w:val="0"/>
          <w:numId w:val="5"/>
        </w:numPr>
        <w:ind w:left="1135" w:hanging="284"/>
        <w:contextualSpacing w:val="0"/>
      </w:pPr>
      <w:r w:rsidRPr="00ED1913">
        <w:t>8.10 (Law and jurisdiction)</w:t>
      </w:r>
    </w:p>
    <w:p w14:paraId="45D365D7" w14:textId="77777777" w:rsidR="00704FFC" w:rsidRPr="00ED1913" w:rsidRDefault="00704FFC" w:rsidP="008D6F49">
      <w:pPr>
        <w:pStyle w:val="ListParagraph"/>
        <w:numPr>
          <w:ilvl w:val="0"/>
          <w:numId w:val="5"/>
        </w:numPr>
        <w:ind w:left="1135" w:hanging="284"/>
        <w:contextualSpacing w:val="0"/>
      </w:pPr>
      <w:r w:rsidRPr="00ED1913">
        <w:t>8.11 to 8.12 (Legislative change)</w:t>
      </w:r>
    </w:p>
    <w:p w14:paraId="59F6BB00" w14:textId="77777777" w:rsidR="00704FFC" w:rsidRPr="00ED1913" w:rsidRDefault="00704FFC" w:rsidP="008D6F49">
      <w:pPr>
        <w:pStyle w:val="ListParagraph"/>
        <w:numPr>
          <w:ilvl w:val="0"/>
          <w:numId w:val="5"/>
        </w:numPr>
        <w:ind w:left="1135" w:hanging="284"/>
        <w:contextualSpacing w:val="0"/>
      </w:pPr>
      <w:r w:rsidRPr="00ED1913">
        <w:t>8.13 to 8.17 (Bribery and corruption)</w:t>
      </w:r>
    </w:p>
    <w:p w14:paraId="6970DD4B" w14:textId="77777777" w:rsidR="00704FFC" w:rsidRPr="00ED1913" w:rsidRDefault="00704FFC" w:rsidP="008D6F49">
      <w:pPr>
        <w:pStyle w:val="ListParagraph"/>
        <w:numPr>
          <w:ilvl w:val="0"/>
          <w:numId w:val="5"/>
        </w:numPr>
        <w:ind w:left="1135" w:hanging="284"/>
        <w:contextualSpacing w:val="0"/>
      </w:pPr>
      <w:r w:rsidRPr="00ED1913">
        <w:t>8.18 to 8.27 (Freedom of Information Act)</w:t>
      </w:r>
    </w:p>
    <w:p w14:paraId="29E66E79" w14:textId="77777777" w:rsidR="00704FFC" w:rsidRPr="00ED1913" w:rsidRDefault="00704FFC" w:rsidP="008D6F49">
      <w:pPr>
        <w:pStyle w:val="ListParagraph"/>
        <w:numPr>
          <w:ilvl w:val="0"/>
          <w:numId w:val="5"/>
        </w:numPr>
        <w:ind w:left="1135" w:hanging="284"/>
        <w:contextualSpacing w:val="0"/>
      </w:pPr>
      <w:r w:rsidRPr="00ED1913">
        <w:t>8.28 to 8.29 (Promoting tax compliance)</w:t>
      </w:r>
    </w:p>
    <w:p w14:paraId="0828E4D6" w14:textId="77777777" w:rsidR="00704FFC" w:rsidRPr="00ED1913" w:rsidRDefault="00704FFC" w:rsidP="008D6F49">
      <w:pPr>
        <w:pStyle w:val="ListParagraph"/>
        <w:numPr>
          <w:ilvl w:val="0"/>
          <w:numId w:val="5"/>
        </w:numPr>
        <w:ind w:left="1135" w:hanging="284"/>
        <w:contextualSpacing w:val="0"/>
      </w:pPr>
      <w:r w:rsidRPr="00ED1913">
        <w:t>8.30 to 8.31 (Official Secrets Act)</w:t>
      </w:r>
    </w:p>
    <w:p w14:paraId="23DFA728" w14:textId="77777777" w:rsidR="00704FFC" w:rsidRPr="00ED1913" w:rsidRDefault="00704FFC" w:rsidP="008D6F49">
      <w:pPr>
        <w:pStyle w:val="ListParagraph"/>
        <w:numPr>
          <w:ilvl w:val="0"/>
          <w:numId w:val="5"/>
        </w:numPr>
        <w:ind w:left="1135" w:hanging="284"/>
        <w:contextualSpacing w:val="0"/>
      </w:pPr>
      <w:r w:rsidRPr="00ED1913">
        <w:t>8.32 to 8.35 (Transfer and subcontracting)</w:t>
      </w:r>
    </w:p>
    <w:p w14:paraId="561C72F6" w14:textId="77777777" w:rsidR="00704FFC" w:rsidRPr="00ED1913" w:rsidRDefault="00704FFC" w:rsidP="008D6F49">
      <w:pPr>
        <w:pStyle w:val="ListParagraph"/>
        <w:numPr>
          <w:ilvl w:val="0"/>
          <w:numId w:val="5"/>
        </w:numPr>
        <w:ind w:left="1135" w:hanging="284"/>
        <w:contextualSpacing w:val="0"/>
      </w:pPr>
      <w:r w:rsidRPr="00ED1913">
        <w:t>8.38 to 8.41 (Complaints handling and resolution)</w:t>
      </w:r>
    </w:p>
    <w:p w14:paraId="1C732182" w14:textId="77777777" w:rsidR="00704FFC" w:rsidRPr="00ED1913" w:rsidRDefault="00704FFC" w:rsidP="008D6F49">
      <w:pPr>
        <w:pStyle w:val="ListParagraph"/>
        <w:numPr>
          <w:ilvl w:val="0"/>
          <w:numId w:val="5"/>
        </w:numPr>
        <w:ind w:left="1135" w:hanging="284"/>
        <w:contextualSpacing w:val="0"/>
      </w:pPr>
      <w:r w:rsidRPr="00ED1913">
        <w:t>8.49 to 8.51 (Publicity and branding)</w:t>
      </w:r>
    </w:p>
    <w:p w14:paraId="07D93F6A" w14:textId="77777777" w:rsidR="00704FFC" w:rsidRPr="00ED1913" w:rsidRDefault="00704FFC" w:rsidP="008D6F49">
      <w:pPr>
        <w:pStyle w:val="ListParagraph"/>
        <w:numPr>
          <w:ilvl w:val="0"/>
          <w:numId w:val="5"/>
        </w:numPr>
        <w:ind w:left="1135" w:hanging="284"/>
        <w:contextualSpacing w:val="0"/>
      </w:pPr>
      <w:r w:rsidRPr="00ED1913">
        <w:t>8.42 to 8.48 (Conflicts of interest and ethical walls)</w:t>
      </w:r>
    </w:p>
    <w:p w14:paraId="3462680D" w14:textId="77777777" w:rsidR="00704FFC" w:rsidRPr="00ED1913" w:rsidRDefault="00704FFC" w:rsidP="008D6F49">
      <w:pPr>
        <w:pStyle w:val="ListParagraph"/>
        <w:numPr>
          <w:ilvl w:val="0"/>
          <w:numId w:val="5"/>
        </w:numPr>
        <w:ind w:left="1135" w:hanging="284"/>
        <w:contextualSpacing w:val="0"/>
      </w:pPr>
      <w:r w:rsidRPr="00ED1913">
        <w:t>8.52 to 8.54 (Equality and diversity)</w:t>
      </w:r>
    </w:p>
    <w:p w14:paraId="3E3E8A72" w14:textId="77777777" w:rsidR="00704FFC" w:rsidRPr="00ED1913" w:rsidRDefault="00704FFC" w:rsidP="008D6F49">
      <w:pPr>
        <w:pStyle w:val="ListParagraph"/>
        <w:numPr>
          <w:ilvl w:val="0"/>
          <w:numId w:val="5"/>
        </w:numPr>
        <w:ind w:left="1135" w:hanging="284"/>
        <w:contextualSpacing w:val="0"/>
      </w:pPr>
      <w:r w:rsidRPr="00ED1913">
        <w:lastRenderedPageBreak/>
        <w:t>8.66 to 8.67 (Severability)</w:t>
      </w:r>
    </w:p>
    <w:p w14:paraId="00521B73" w14:textId="77777777" w:rsidR="00704FFC" w:rsidRPr="00ED1913" w:rsidRDefault="00704FFC" w:rsidP="008D6F49">
      <w:pPr>
        <w:pStyle w:val="ListParagraph"/>
        <w:numPr>
          <w:ilvl w:val="0"/>
          <w:numId w:val="5"/>
        </w:numPr>
        <w:ind w:left="1135" w:hanging="284"/>
        <w:contextualSpacing w:val="0"/>
      </w:pPr>
      <w:r w:rsidRPr="00ED1913">
        <w:t>8.68 to 8.82 (Managing disputes)</w:t>
      </w:r>
    </w:p>
    <w:p w14:paraId="68F3AAB2" w14:textId="77777777" w:rsidR="00704FFC" w:rsidRPr="00ED1913" w:rsidRDefault="00704FFC" w:rsidP="008D6F49">
      <w:pPr>
        <w:pStyle w:val="ListParagraph"/>
        <w:numPr>
          <w:ilvl w:val="0"/>
          <w:numId w:val="5"/>
        </w:numPr>
        <w:ind w:left="1135" w:hanging="284"/>
        <w:contextualSpacing w:val="0"/>
      </w:pPr>
      <w:r w:rsidRPr="00ED1913">
        <w:t>8.83 to 8.91 (Confidentiality)</w:t>
      </w:r>
    </w:p>
    <w:p w14:paraId="66E8570A" w14:textId="77777777" w:rsidR="00704FFC" w:rsidRPr="00ED1913" w:rsidRDefault="00704FFC" w:rsidP="008D6F49">
      <w:pPr>
        <w:pStyle w:val="ListParagraph"/>
        <w:numPr>
          <w:ilvl w:val="0"/>
          <w:numId w:val="5"/>
        </w:numPr>
        <w:ind w:left="1135" w:hanging="284"/>
        <w:contextualSpacing w:val="0"/>
      </w:pPr>
      <w:r w:rsidRPr="00ED1913">
        <w:t>8.92 to 8.93 (Waiver and cumulative remedies)</w:t>
      </w:r>
    </w:p>
    <w:p w14:paraId="7A6003D4" w14:textId="77777777" w:rsidR="00704FFC" w:rsidRPr="00ED1913" w:rsidRDefault="00704FFC" w:rsidP="008D6F49">
      <w:pPr>
        <w:pStyle w:val="ListParagraph"/>
        <w:numPr>
          <w:ilvl w:val="0"/>
          <w:numId w:val="5"/>
        </w:numPr>
        <w:ind w:left="1135" w:hanging="284"/>
        <w:contextualSpacing w:val="0"/>
      </w:pPr>
      <w:r w:rsidRPr="00ED1913">
        <w:t>paragraphs 1 to 10 of the Framework Agreement glossary and interpretations</w:t>
      </w:r>
    </w:p>
    <w:p w14:paraId="507FDD1E" w14:textId="77777777" w:rsidR="00704FFC" w:rsidRPr="00ED1913" w:rsidRDefault="00704FFC" w:rsidP="008D6F49">
      <w:pPr>
        <w:pStyle w:val="ListParagraph"/>
        <w:numPr>
          <w:ilvl w:val="0"/>
          <w:numId w:val="5"/>
        </w:numPr>
        <w:ind w:left="1135" w:hanging="284"/>
        <w:contextualSpacing w:val="0"/>
      </w:pPr>
      <w:r w:rsidRPr="00ED1913">
        <w:t>any audit provisions from the Framework Agreement set out by the Buyer in the Order Form</w:t>
      </w:r>
    </w:p>
    <w:p w14:paraId="5452A08A" w14:textId="77777777" w:rsidR="00704FFC" w:rsidRPr="00ED1913" w:rsidRDefault="00704FFC" w:rsidP="001C706E">
      <w:pPr>
        <w:pStyle w:val="Heading2"/>
      </w:pPr>
      <w:r w:rsidRPr="00ED1913">
        <w:t>The Framework Agreement provisions in clause 2.1 will be modified as follows:</w:t>
      </w:r>
    </w:p>
    <w:p w14:paraId="00E5A368" w14:textId="77777777" w:rsidR="00704FFC" w:rsidRPr="00ED1913" w:rsidRDefault="00704FFC" w:rsidP="008D6F49">
      <w:pPr>
        <w:pStyle w:val="ListParagraph"/>
        <w:numPr>
          <w:ilvl w:val="0"/>
          <w:numId w:val="5"/>
        </w:numPr>
        <w:ind w:left="1135" w:hanging="284"/>
        <w:contextualSpacing w:val="0"/>
      </w:pPr>
      <w:r w:rsidRPr="00ED1913">
        <w:t xml:space="preserve">a reference to the </w:t>
      </w:r>
      <w:r w:rsidR="00C82E38" w:rsidRPr="00ED1913">
        <w:t>‘</w:t>
      </w:r>
      <w:r w:rsidRPr="00ED1913">
        <w:t>Framework Agreement</w:t>
      </w:r>
      <w:r w:rsidR="00C82E38" w:rsidRPr="00ED1913">
        <w:t>’</w:t>
      </w:r>
      <w:r w:rsidRPr="00ED1913">
        <w:t xml:space="preserve"> will be a reference to the </w:t>
      </w:r>
      <w:r w:rsidR="00C82E38" w:rsidRPr="00ED1913">
        <w:t>‘</w:t>
      </w:r>
      <w:r w:rsidRPr="00ED1913">
        <w:t>Call-Off Contract</w:t>
      </w:r>
      <w:r w:rsidR="00C82E38" w:rsidRPr="00ED1913">
        <w:t>’</w:t>
      </w:r>
    </w:p>
    <w:p w14:paraId="04BA7506" w14:textId="77777777" w:rsidR="00704FFC" w:rsidRPr="00ED1913" w:rsidRDefault="00704FFC" w:rsidP="008D6F49">
      <w:pPr>
        <w:pStyle w:val="ListParagraph"/>
        <w:numPr>
          <w:ilvl w:val="0"/>
          <w:numId w:val="5"/>
        </w:numPr>
        <w:ind w:left="1135" w:hanging="284"/>
        <w:contextualSpacing w:val="0"/>
      </w:pPr>
      <w:r w:rsidRPr="00ED1913">
        <w:t xml:space="preserve">a reference to </w:t>
      </w:r>
      <w:r w:rsidR="00C82E38" w:rsidRPr="00ED1913">
        <w:t>‘</w:t>
      </w:r>
      <w:r w:rsidRPr="00ED1913">
        <w:t>CCS</w:t>
      </w:r>
      <w:r w:rsidR="00C82E38" w:rsidRPr="00ED1913">
        <w:t>’</w:t>
      </w:r>
      <w:r w:rsidRPr="00ED1913">
        <w:t xml:space="preserve"> will be a reference to </w:t>
      </w:r>
      <w:r w:rsidR="00C82E38" w:rsidRPr="00ED1913">
        <w:t>‘</w:t>
      </w:r>
      <w:r w:rsidRPr="00ED1913">
        <w:t>the Buyer</w:t>
      </w:r>
      <w:r w:rsidR="00C82E38" w:rsidRPr="00ED1913">
        <w:t>’</w:t>
      </w:r>
    </w:p>
    <w:p w14:paraId="0028090D" w14:textId="77777777" w:rsidR="00704FFC" w:rsidRPr="00ED1913" w:rsidRDefault="00704FFC" w:rsidP="008D6F49">
      <w:pPr>
        <w:pStyle w:val="ListParagraph"/>
        <w:numPr>
          <w:ilvl w:val="0"/>
          <w:numId w:val="5"/>
        </w:numPr>
        <w:ind w:left="1135" w:hanging="284"/>
        <w:contextualSpacing w:val="0"/>
      </w:pPr>
      <w:r w:rsidRPr="00ED1913">
        <w:t xml:space="preserve">a reference to the </w:t>
      </w:r>
      <w:r w:rsidR="00C82E38" w:rsidRPr="00ED1913">
        <w:t>‘</w:t>
      </w:r>
      <w:r w:rsidRPr="00ED1913">
        <w:t>Parties</w:t>
      </w:r>
      <w:r w:rsidR="00C82E38" w:rsidRPr="00ED1913">
        <w:t>’</w:t>
      </w:r>
      <w:r w:rsidRPr="00ED1913">
        <w:t xml:space="preserve"> and a </w:t>
      </w:r>
      <w:r w:rsidR="00C82E38" w:rsidRPr="00ED1913">
        <w:t>‘</w:t>
      </w:r>
      <w:r w:rsidRPr="00ED1913">
        <w:t>Party</w:t>
      </w:r>
      <w:r w:rsidR="00C82E38" w:rsidRPr="00ED1913">
        <w:t>’</w:t>
      </w:r>
      <w:r w:rsidRPr="00ED1913">
        <w:t xml:space="preserve"> will be a reference to the Buyer and Supplier as Parties under this Call-Off Contract</w:t>
      </w:r>
    </w:p>
    <w:p w14:paraId="1AEFFA98" w14:textId="77777777" w:rsidR="00704FFC" w:rsidRPr="00ED1913" w:rsidRDefault="00704FFC" w:rsidP="001C706E">
      <w:pPr>
        <w:pStyle w:val="Heading2"/>
      </w:pPr>
      <w:r w:rsidRPr="00ED1913">
        <w:t xml:space="preserve">The Framework Agreement incorporated clauses will be referred to as </w:t>
      </w:r>
      <w:r w:rsidR="00C82E38" w:rsidRPr="00ED1913">
        <w:t>‘</w:t>
      </w:r>
      <w:r w:rsidRPr="00ED1913">
        <w:t>incorporated Framework clause XX</w:t>
      </w:r>
      <w:r w:rsidR="00C82E38" w:rsidRPr="00ED1913">
        <w:t>’</w:t>
      </w:r>
      <w:r w:rsidRPr="00ED1913">
        <w:t xml:space="preserve">, where </w:t>
      </w:r>
      <w:r w:rsidR="00C82E38" w:rsidRPr="00ED1913">
        <w:t>‘</w:t>
      </w:r>
      <w:r w:rsidRPr="00ED1913">
        <w:t>XX</w:t>
      </w:r>
      <w:r w:rsidR="00C82E38" w:rsidRPr="00ED1913">
        <w:t>’</w:t>
      </w:r>
      <w:r w:rsidRPr="00ED1913">
        <w:t xml:space="preserve"> is the Framework Agreement clause number.</w:t>
      </w:r>
    </w:p>
    <w:p w14:paraId="036D5CA3" w14:textId="77777777" w:rsidR="00704FFC" w:rsidRPr="00ED1913" w:rsidRDefault="00704FFC" w:rsidP="001C706E">
      <w:pPr>
        <w:pStyle w:val="Heading2"/>
      </w:pPr>
      <w:r w:rsidRPr="00ED1913">
        <w:t>When an Order Form is signed, the terms and conditions agreed in it will be incorporated into this Call-Off Contract.</w:t>
      </w:r>
    </w:p>
    <w:p w14:paraId="15878739" w14:textId="77777777" w:rsidR="00704FFC" w:rsidRPr="00ED1913" w:rsidRDefault="00704FFC" w:rsidP="00704FFC"/>
    <w:p w14:paraId="0B5B5D6B" w14:textId="77777777" w:rsidR="00704FFC" w:rsidRPr="00ED1913" w:rsidRDefault="00704FFC" w:rsidP="00704FFC">
      <w:pPr>
        <w:pStyle w:val="Heading1"/>
      </w:pPr>
      <w:r w:rsidRPr="00ED1913">
        <w:t>Supply of services</w:t>
      </w:r>
    </w:p>
    <w:p w14:paraId="4B1B7ED4" w14:textId="77777777" w:rsidR="00704FFC" w:rsidRPr="00ED1913" w:rsidRDefault="00704FFC" w:rsidP="001C706E">
      <w:pPr>
        <w:pStyle w:val="Heading2"/>
      </w:pPr>
      <w:r w:rsidRPr="00ED1913">
        <w:t>The Supplier agrees to supply the G-Cloud Services and any Additional Services under the terms of the Call-Off Contract and the Supplier</w:t>
      </w:r>
      <w:r w:rsidR="00C82E38" w:rsidRPr="00ED1913">
        <w:t>’</w:t>
      </w:r>
      <w:r w:rsidRPr="00ED1913">
        <w:t>s Application.</w:t>
      </w:r>
    </w:p>
    <w:p w14:paraId="78DD6441" w14:textId="77777777" w:rsidR="00704FFC" w:rsidRPr="00ED1913" w:rsidRDefault="00704FFC" w:rsidP="001C706E">
      <w:pPr>
        <w:pStyle w:val="Heading2"/>
      </w:pPr>
      <w:r w:rsidRPr="00ED1913">
        <w:t>The Supplier undertakes that each G-Cloud Service will meet the Buyer</w:t>
      </w:r>
      <w:r w:rsidR="00C82E38" w:rsidRPr="00ED1913">
        <w:t>’</w:t>
      </w:r>
      <w:r w:rsidRPr="00ED1913">
        <w:t>s acceptance criteria, as defined in the Order Form.</w:t>
      </w:r>
    </w:p>
    <w:p w14:paraId="605BF843" w14:textId="77777777" w:rsidR="00704FFC" w:rsidRPr="00ED1913" w:rsidRDefault="00704FFC" w:rsidP="00704FFC"/>
    <w:p w14:paraId="43501CD9" w14:textId="77777777" w:rsidR="00704FFC" w:rsidRPr="00ED1913" w:rsidRDefault="00704FFC" w:rsidP="00704FFC">
      <w:pPr>
        <w:pStyle w:val="Heading1"/>
      </w:pPr>
      <w:r w:rsidRPr="00ED1913">
        <w:t>Supplier staff</w:t>
      </w:r>
    </w:p>
    <w:p w14:paraId="736F89FE" w14:textId="77777777" w:rsidR="00704FFC" w:rsidRPr="00ED1913" w:rsidRDefault="00704FFC" w:rsidP="001C706E">
      <w:pPr>
        <w:pStyle w:val="Heading2"/>
      </w:pPr>
      <w:r w:rsidRPr="00ED1913">
        <w:t>The Supplier Staff must:</w:t>
      </w:r>
    </w:p>
    <w:p w14:paraId="190DDB53" w14:textId="77777777" w:rsidR="00704FFC" w:rsidRPr="00ED1913" w:rsidRDefault="00704FFC" w:rsidP="008D6F49">
      <w:pPr>
        <w:pStyle w:val="ListParagraph"/>
        <w:numPr>
          <w:ilvl w:val="0"/>
          <w:numId w:val="5"/>
        </w:numPr>
        <w:ind w:left="1135" w:hanging="284"/>
        <w:contextualSpacing w:val="0"/>
      </w:pPr>
      <w:r w:rsidRPr="00ED1913">
        <w:t>be appropriately experienced, qualified and trained to supply the Services</w:t>
      </w:r>
    </w:p>
    <w:p w14:paraId="43A3B0FB" w14:textId="77777777" w:rsidR="00704FFC" w:rsidRPr="00ED1913" w:rsidRDefault="00704FFC" w:rsidP="008D6F49">
      <w:pPr>
        <w:pStyle w:val="ListParagraph"/>
        <w:numPr>
          <w:ilvl w:val="0"/>
          <w:numId w:val="5"/>
        </w:numPr>
        <w:ind w:left="1135" w:hanging="284"/>
        <w:contextualSpacing w:val="0"/>
      </w:pPr>
      <w:r w:rsidRPr="00ED1913">
        <w:t>apply all due skill, care and diligence in faithfully performing those duties</w:t>
      </w:r>
    </w:p>
    <w:p w14:paraId="79C95F01" w14:textId="77777777" w:rsidR="00704FFC" w:rsidRPr="00ED1913" w:rsidRDefault="00704FFC" w:rsidP="008D6F49">
      <w:pPr>
        <w:pStyle w:val="ListParagraph"/>
        <w:numPr>
          <w:ilvl w:val="0"/>
          <w:numId w:val="5"/>
        </w:numPr>
        <w:ind w:left="1135" w:hanging="284"/>
        <w:contextualSpacing w:val="0"/>
      </w:pPr>
      <w:r w:rsidRPr="00ED1913">
        <w:t>obey all lawful instructions and reasonable directions of the Buyer and provide the Services to the reasonable satisfaction of the Buyer</w:t>
      </w:r>
    </w:p>
    <w:p w14:paraId="3D4E90B1" w14:textId="77777777" w:rsidR="00704FFC" w:rsidRPr="00ED1913" w:rsidRDefault="00704FFC" w:rsidP="008D6F49">
      <w:pPr>
        <w:pStyle w:val="ListParagraph"/>
        <w:numPr>
          <w:ilvl w:val="0"/>
          <w:numId w:val="5"/>
        </w:numPr>
        <w:ind w:left="1135" w:hanging="284"/>
        <w:contextualSpacing w:val="0"/>
      </w:pPr>
      <w:r w:rsidRPr="00ED1913">
        <w:t>respond to any enquiries about the Services as soon as reasonably possible</w:t>
      </w:r>
    </w:p>
    <w:p w14:paraId="0A119C5D" w14:textId="77777777" w:rsidR="00704FFC" w:rsidRPr="00ED1913" w:rsidRDefault="00704FFC" w:rsidP="008D6F49">
      <w:pPr>
        <w:pStyle w:val="ListParagraph"/>
        <w:numPr>
          <w:ilvl w:val="0"/>
          <w:numId w:val="5"/>
        </w:numPr>
        <w:ind w:left="1135" w:hanging="284"/>
        <w:contextualSpacing w:val="0"/>
      </w:pPr>
      <w:r w:rsidRPr="00ED1913">
        <w:t>complete any necessary Supplier Staff vetting as specified by the Buyer</w:t>
      </w:r>
    </w:p>
    <w:p w14:paraId="60A848E4" w14:textId="77777777" w:rsidR="00704FFC" w:rsidRPr="00ED1913" w:rsidRDefault="00704FFC" w:rsidP="001C706E">
      <w:pPr>
        <w:pStyle w:val="Heading2"/>
      </w:pPr>
      <w:r w:rsidRPr="00ED1913">
        <w:t>The Supplier must retain overall control of the Supplier Staff so that they are not considered to be employees, workers, agents or contractors of the Buyer.</w:t>
      </w:r>
    </w:p>
    <w:p w14:paraId="33013A01" w14:textId="77777777" w:rsidR="00704FFC" w:rsidRPr="00ED1913" w:rsidRDefault="00704FFC" w:rsidP="001C706E">
      <w:pPr>
        <w:pStyle w:val="Heading2"/>
      </w:pPr>
      <w:r w:rsidRPr="00ED1913">
        <w:t>The Supplier may substitute any Supplier Staff as long as they have the equivalent experience and qualifications to the substituted staff member.</w:t>
      </w:r>
    </w:p>
    <w:p w14:paraId="511B16C6" w14:textId="77777777" w:rsidR="00704FFC" w:rsidRPr="00ED1913" w:rsidRDefault="00704FFC" w:rsidP="001C706E">
      <w:pPr>
        <w:pStyle w:val="Heading2"/>
      </w:pPr>
      <w:r w:rsidRPr="00ED1913">
        <w:t>The Buyer may conduct IR35 Assessments using the ESI tool to assess whether the Supplier</w:t>
      </w:r>
      <w:r w:rsidR="00C82E38" w:rsidRPr="00ED1913">
        <w:t>’</w:t>
      </w:r>
      <w:r w:rsidRPr="00ED1913">
        <w:t>s engagement under the Call-Off Contract is Inside or Outside IR35.</w:t>
      </w:r>
    </w:p>
    <w:p w14:paraId="17457EAD" w14:textId="77777777" w:rsidR="00704FFC" w:rsidRPr="00ED1913" w:rsidRDefault="00704FFC" w:rsidP="001C706E">
      <w:pPr>
        <w:pStyle w:val="Heading2"/>
      </w:pPr>
      <w:r w:rsidRPr="00ED1913">
        <w:t>The Buyer may End this Call-Off Contract for Material Breach if the Supplier is delivering the Services Inside IR35.</w:t>
      </w:r>
    </w:p>
    <w:p w14:paraId="60197708" w14:textId="77777777" w:rsidR="00704FFC" w:rsidRPr="00ED1913" w:rsidRDefault="00704FFC" w:rsidP="001C706E">
      <w:pPr>
        <w:pStyle w:val="Heading2"/>
      </w:pPr>
      <w:r w:rsidRPr="00ED1913">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BF852FC" w14:textId="77777777" w:rsidR="00704FFC" w:rsidRPr="00ED1913" w:rsidRDefault="00704FFC" w:rsidP="001C706E">
      <w:pPr>
        <w:pStyle w:val="Heading2"/>
      </w:pPr>
      <w:r w:rsidRPr="00ED1913">
        <w:t>If the Indicative Test indicates the delivery of the Services could potentially be Inside IR35, the Supplier must provide the Buyer with all relevant information needed to enable the Buyer to conduct its own IR35 Assessment.</w:t>
      </w:r>
    </w:p>
    <w:p w14:paraId="109468AA" w14:textId="77777777" w:rsidR="00704FFC" w:rsidRPr="00ED1913" w:rsidRDefault="00704FFC" w:rsidP="001C706E">
      <w:pPr>
        <w:pStyle w:val="Heading2"/>
      </w:pPr>
      <w:r w:rsidRPr="00ED1913">
        <w:t>If it is determined by the Buyer that the Supplier is Outside IR35, the Buyer will provide the ESI reference number and a copy of the PDF to the Supplier.</w:t>
      </w:r>
    </w:p>
    <w:p w14:paraId="287FF071" w14:textId="77777777" w:rsidR="00704FFC" w:rsidRPr="00ED1913" w:rsidRDefault="00704FFC" w:rsidP="00704FFC"/>
    <w:p w14:paraId="4F37D8BF" w14:textId="77777777" w:rsidR="00704FFC" w:rsidRPr="00ED1913" w:rsidRDefault="00704FFC" w:rsidP="00704FFC">
      <w:pPr>
        <w:pStyle w:val="Heading1"/>
      </w:pPr>
      <w:r w:rsidRPr="00ED1913">
        <w:t>Due diligence</w:t>
      </w:r>
    </w:p>
    <w:p w14:paraId="2C82EBFB" w14:textId="77777777" w:rsidR="00704FFC" w:rsidRPr="00ED1913" w:rsidRDefault="00704FFC" w:rsidP="001C706E">
      <w:pPr>
        <w:pStyle w:val="Heading2"/>
      </w:pPr>
      <w:r w:rsidRPr="00ED1913">
        <w:t>Both Parties agree that when entering into a Call-Off Contract they:</w:t>
      </w:r>
    </w:p>
    <w:p w14:paraId="35A3D8CC" w14:textId="77777777" w:rsidR="00704FFC" w:rsidRPr="00ED1913" w:rsidRDefault="00704FFC" w:rsidP="008D6F49">
      <w:pPr>
        <w:pStyle w:val="ListParagraph"/>
        <w:numPr>
          <w:ilvl w:val="0"/>
          <w:numId w:val="5"/>
        </w:numPr>
        <w:ind w:left="1135" w:hanging="284"/>
        <w:contextualSpacing w:val="0"/>
      </w:pPr>
      <w:r w:rsidRPr="00ED1913">
        <w:t>have made their own enquiries and are satisfied by the accuracy of any information supplied by the other Party</w:t>
      </w:r>
    </w:p>
    <w:p w14:paraId="69C0D110" w14:textId="77777777" w:rsidR="00704FFC" w:rsidRPr="00ED1913" w:rsidRDefault="00704FFC" w:rsidP="008D6F49">
      <w:pPr>
        <w:pStyle w:val="ListParagraph"/>
        <w:numPr>
          <w:ilvl w:val="0"/>
          <w:numId w:val="5"/>
        </w:numPr>
        <w:ind w:left="1135" w:hanging="284"/>
        <w:contextualSpacing w:val="0"/>
      </w:pPr>
      <w:r w:rsidRPr="00ED1913">
        <w:t>are confident that they can fulfil their obligations according to the Call-Off Contract terms</w:t>
      </w:r>
    </w:p>
    <w:p w14:paraId="2521538B" w14:textId="77777777" w:rsidR="00704FFC" w:rsidRPr="00ED1913" w:rsidRDefault="00704FFC" w:rsidP="008D6F49">
      <w:pPr>
        <w:pStyle w:val="ListParagraph"/>
        <w:numPr>
          <w:ilvl w:val="0"/>
          <w:numId w:val="5"/>
        </w:numPr>
        <w:ind w:left="1135" w:hanging="284"/>
        <w:contextualSpacing w:val="0"/>
      </w:pPr>
      <w:r w:rsidRPr="00ED1913">
        <w:t>have raised all due diligence questions before signing the Call-Off Contract</w:t>
      </w:r>
    </w:p>
    <w:p w14:paraId="0A8EB139" w14:textId="77777777" w:rsidR="00704FFC" w:rsidRPr="00ED1913" w:rsidRDefault="00704FFC" w:rsidP="008D6F49">
      <w:pPr>
        <w:pStyle w:val="ListParagraph"/>
        <w:numPr>
          <w:ilvl w:val="0"/>
          <w:numId w:val="5"/>
        </w:numPr>
        <w:ind w:left="1135" w:hanging="284"/>
        <w:contextualSpacing w:val="0"/>
      </w:pPr>
      <w:r w:rsidRPr="00ED1913">
        <w:t>have entered into the Call-Off Contract relying on its own due diligence</w:t>
      </w:r>
    </w:p>
    <w:p w14:paraId="1F319440" w14:textId="77777777" w:rsidR="001C706E" w:rsidRPr="00ED1913" w:rsidRDefault="001C706E" w:rsidP="00704FFC"/>
    <w:p w14:paraId="4C112C19" w14:textId="77777777" w:rsidR="00704FFC" w:rsidRPr="00ED1913" w:rsidRDefault="00704FFC" w:rsidP="001C706E">
      <w:pPr>
        <w:pStyle w:val="Heading1"/>
      </w:pPr>
      <w:r w:rsidRPr="00ED1913">
        <w:t>Business continuity and disaster recovery</w:t>
      </w:r>
    </w:p>
    <w:p w14:paraId="49D5948C" w14:textId="77777777" w:rsidR="00704FFC" w:rsidRPr="00ED1913" w:rsidRDefault="00704FFC" w:rsidP="001C706E">
      <w:pPr>
        <w:pStyle w:val="Heading2"/>
      </w:pPr>
      <w:r w:rsidRPr="00ED1913">
        <w:t>The Supplier will have a clear business continuity and disaster recovery plan in their service descriptions.</w:t>
      </w:r>
    </w:p>
    <w:p w14:paraId="21B0940E" w14:textId="77777777" w:rsidR="00704FFC" w:rsidRPr="00ED1913" w:rsidRDefault="00704FFC" w:rsidP="001C706E">
      <w:pPr>
        <w:pStyle w:val="Heading2"/>
      </w:pPr>
      <w:r w:rsidRPr="00ED1913">
        <w:t>The Supplier</w:t>
      </w:r>
      <w:r w:rsidR="00C82E38" w:rsidRPr="00ED1913">
        <w:t>’</w:t>
      </w:r>
      <w:r w:rsidRPr="00ED1913">
        <w:t>s business continuity and disaster recovery services are part of the Services and will be performed by the Supplier when required.</w:t>
      </w:r>
    </w:p>
    <w:p w14:paraId="0E2CA4B9" w14:textId="77777777" w:rsidR="00704FFC" w:rsidRPr="00ED1913" w:rsidRDefault="00704FFC" w:rsidP="001C706E">
      <w:pPr>
        <w:pStyle w:val="Heading2"/>
      </w:pPr>
      <w:r w:rsidRPr="00ED1913">
        <w:t>If requested by the Buyer prior to entering into this Call-Off Contract, the Supplier must ensure that its business continuity and disaster recovery plan is consistent with the Buyer</w:t>
      </w:r>
      <w:r w:rsidR="00C82E38" w:rsidRPr="00ED1913">
        <w:t>’</w:t>
      </w:r>
      <w:r w:rsidRPr="00ED1913">
        <w:t>s own plans.</w:t>
      </w:r>
    </w:p>
    <w:p w14:paraId="61B7F332" w14:textId="77777777" w:rsidR="001C706E" w:rsidRPr="00ED1913" w:rsidRDefault="001C706E" w:rsidP="001C706E"/>
    <w:p w14:paraId="68F9A286" w14:textId="77777777" w:rsidR="00704FFC" w:rsidRPr="00ED1913" w:rsidRDefault="00704FFC" w:rsidP="001C706E">
      <w:pPr>
        <w:pStyle w:val="Heading1"/>
      </w:pPr>
      <w:r w:rsidRPr="00ED1913">
        <w:t>Payment, VAT and Call-Off Contract charges</w:t>
      </w:r>
    </w:p>
    <w:p w14:paraId="4BDCD4F5" w14:textId="77777777" w:rsidR="001C706E" w:rsidRPr="00ED1913" w:rsidRDefault="001C706E" w:rsidP="001C706E">
      <w:pPr>
        <w:pStyle w:val="Heading2"/>
      </w:pPr>
      <w:r w:rsidRPr="00ED1913">
        <w:t>The Buyer must pay the Charges following clauses 7.2 to 7.11 for the Supplier</w:t>
      </w:r>
      <w:r w:rsidR="00C82E38" w:rsidRPr="00ED1913">
        <w:t>’</w:t>
      </w:r>
      <w:r w:rsidRPr="00ED1913">
        <w:t>s delivery of the Services.</w:t>
      </w:r>
    </w:p>
    <w:p w14:paraId="71E29284" w14:textId="77777777" w:rsidR="001C706E" w:rsidRPr="00ED1913" w:rsidRDefault="001C706E" w:rsidP="001C706E">
      <w:pPr>
        <w:pStyle w:val="Heading2"/>
      </w:pPr>
      <w:r w:rsidRPr="00ED1913">
        <w:t>The Buyer will pay the Supplier within the number of days specified in the Order Form on receipt of a valid invoice.</w:t>
      </w:r>
    </w:p>
    <w:p w14:paraId="1C1BD827" w14:textId="77777777" w:rsidR="001C706E" w:rsidRPr="00ED1913" w:rsidRDefault="001C706E" w:rsidP="001C706E">
      <w:pPr>
        <w:pStyle w:val="Heading2"/>
      </w:pPr>
      <w:r w:rsidRPr="00ED1913">
        <w:t>The Call-Off Contract Charges include all Charges for payment processing. All invoices submitted to the Buyer for the Services will be exclusive of any Management Charge.</w:t>
      </w:r>
    </w:p>
    <w:p w14:paraId="73400FEE" w14:textId="77777777" w:rsidR="001C706E" w:rsidRPr="00ED1913" w:rsidRDefault="001C706E" w:rsidP="001C706E">
      <w:pPr>
        <w:pStyle w:val="Heading2"/>
      </w:pPr>
      <w:r w:rsidRPr="00ED1913">
        <w:t>If specified in the Order Form, the Supplier will accept payment for G-Cloud Services by the Government Procurement Card (GPC). The Supplier will be liable to pay any merchant fee levied for using the GPC and must not recover this charge from the Buyer.</w:t>
      </w:r>
    </w:p>
    <w:p w14:paraId="7BB00D67" w14:textId="77777777" w:rsidR="001C706E" w:rsidRPr="00ED1913" w:rsidRDefault="001C706E" w:rsidP="001C706E">
      <w:pPr>
        <w:pStyle w:val="Heading2"/>
      </w:pPr>
      <w:r w:rsidRPr="00ED1913">
        <w:lastRenderedPageBreak/>
        <w:t>The Supplier must ensure that each invoice contains a detailed breakdown of the G-Cloud Services supplied. The Buyer may request the Supplier provides further documentation to substantiate the invoice.</w:t>
      </w:r>
    </w:p>
    <w:p w14:paraId="2BFF10A5" w14:textId="77777777" w:rsidR="001C706E" w:rsidRPr="00ED1913" w:rsidRDefault="001C706E" w:rsidP="001C706E">
      <w:pPr>
        <w:pStyle w:val="Heading2"/>
      </w:pPr>
      <w:r w:rsidRPr="00ED1913">
        <w:t>If the Supplier enters into a Subcontract it must ensure that a provision is included in each Subcontract which specifies that payment must be made to the Subcontractor within 30 days of receipt of a valid invoice.</w:t>
      </w:r>
    </w:p>
    <w:p w14:paraId="732E56E4" w14:textId="77777777" w:rsidR="001C706E" w:rsidRPr="00ED1913" w:rsidRDefault="001C706E" w:rsidP="001C706E">
      <w:pPr>
        <w:pStyle w:val="Heading2"/>
      </w:pPr>
      <w:r w:rsidRPr="00ED1913">
        <w:t>All Charges payable by the Buyer to the Supplier will include VAT at the appropriate rate.</w:t>
      </w:r>
    </w:p>
    <w:p w14:paraId="53C85792" w14:textId="77777777" w:rsidR="001C706E" w:rsidRPr="00ED1913" w:rsidRDefault="001C706E" w:rsidP="001C706E">
      <w:pPr>
        <w:pStyle w:val="Heading2"/>
      </w:pPr>
      <w:r w:rsidRPr="00ED1913">
        <w:t>The Supplier must add VAT to the Charges at the appropriate rate with visibility of the amount as a separate line item.</w:t>
      </w:r>
    </w:p>
    <w:p w14:paraId="47D467DC" w14:textId="77777777" w:rsidR="001C706E" w:rsidRPr="00ED1913" w:rsidRDefault="001C706E" w:rsidP="001C706E">
      <w:pPr>
        <w:pStyle w:val="Heading2"/>
      </w:pPr>
      <w:r w:rsidRPr="00ED1913">
        <w:t>The Supplier will indemnify the Buyer on demand against any liability arising from the Supplier</w:t>
      </w:r>
      <w:r w:rsidR="00C82E38" w:rsidRPr="00ED1913">
        <w:t>’</w:t>
      </w:r>
      <w:r w:rsidRPr="00ED1913">
        <w:t>s failure to account for or to pay any VAT on payments made to the Supplier under this Call-Off Contract. The Supplier must pay all sums to the Buyer at least 5 Working Days before the date on which the tax or other liability is payable by the Buyer.</w:t>
      </w:r>
    </w:p>
    <w:p w14:paraId="3AA14B5F" w14:textId="77777777" w:rsidR="001C706E" w:rsidRPr="00ED1913" w:rsidRDefault="001C706E" w:rsidP="001C706E">
      <w:pPr>
        <w:pStyle w:val="Heading2"/>
      </w:pPr>
      <w:r w:rsidRPr="00ED1913">
        <w:t>The Supplier must not suspend the supply of the G-Cloud Services unless the Supplier is entitled to End this Call-Off Contract under clause 18.6 for Buyer</w:t>
      </w:r>
      <w:r w:rsidR="00C82E38" w:rsidRPr="00ED1913">
        <w:t>’</w:t>
      </w:r>
      <w:r w:rsidRPr="00ED1913">
        <w:t>s failure to pay undisputed sums of money. Interest will be payable by the Buyer on the late payment of any undisputed sums of money properly invoiced under the Late Payment of Commercial Debts (Interest) Act 1998.</w:t>
      </w:r>
    </w:p>
    <w:p w14:paraId="58D55D4B" w14:textId="77777777" w:rsidR="001C706E" w:rsidRPr="00ED1913" w:rsidRDefault="001C706E" w:rsidP="001C706E">
      <w:pPr>
        <w:pStyle w:val="Heading2"/>
      </w:pPr>
      <w:r w:rsidRPr="00ED1913">
        <w:t>If there</w:t>
      </w:r>
      <w:r w:rsidR="00C82E38" w:rsidRPr="00ED1913">
        <w:t>’</w:t>
      </w:r>
      <w:r w:rsidRPr="00ED1913">
        <w:t>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68E1A9" w14:textId="77777777" w:rsidR="001C706E" w:rsidRPr="00ED1913" w:rsidRDefault="001C706E" w:rsidP="001C706E">
      <w:pPr>
        <w:pStyle w:val="Heading2"/>
      </w:pPr>
      <w:r w:rsidRPr="00ED1913">
        <w:t>Due to the nature of G-Cloud Services it isn</w:t>
      </w:r>
      <w:r w:rsidR="00C82E38" w:rsidRPr="00ED1913">
        <w:t>’</w:t>
      </w:r>
      <w:r w:rsidRPr="00ED1913">
        <w:t>t possible in a static Order Form to exactly define the consumption of services over the duration of the Call-Off Contract. The Supplier agrees that the Buyer</w:t>
      </w:r>
      <w:r w:rsidR="00C82E38" w:rsidRPr="00ED1913">
        <w:t>’</w:t>
      </w:r>
      <w:r w:rsidRPr="00ED1913">
        <w:t>s volumes indicated in the Order Form are indicative only.</w:t>
      </w:r>
    </w:p>
    <w:p w14:paraId="2EA5DAF3" w14:textId="77777777" w:rsidR="001C706E" w:rsidRPr="00ED1913" w:rsidRDefault="001C706E" w:rsidP="001C706E"/>
    <w:p w14:paraId="2BCD6BDA" w14:textId="77777777" w:rsidR="001C706E" w:rsidRPr="00ED1913" w:rsidRDefault="001C706E" w:rsidP="001C706E">
      <w:pPr>
        <w:pStyle w:val="Heading1"/>
      </w:pPr>
      <w:r w:rsidRPr="00ED1913">
        <w:t>Recovery of sums due and right of set-off</w:t>
      </w:r>
    </w:p>
    <w:p w14:paraId="02AF604B" w14:textId="77777777" w:rsidR="001C706E" w:rsidRPr="00ED1913" w:rsidRDefault="001C706E" w:rsidP="001C706E">
      <w:pPr>
        <w:pStyle w:val="Heading2"/>
      </w:pPr>
      <w:r w:rsidRPr="00ED1913">
        <w:t>If a Supplier owes money to the Buyer, the Buyer may deduct that sum from the Call-Off Contract Charges.</w:t>
      </w:r>
    </w:p>
    <w:p w14:paraId="1D0DC569" w14:textId="77777777" w:rsidR="001C706E" w:rsidRPr="00ED1913" w:rsidRDefault="001C706E" w:rsidP="001C706E"/>
    <w:p w14:paraId="345B0E69" w14:textId="77777777" w:rsidR="001C706E" w:rsidRPr="00ED1913" w:rsidRDefault="001C706E" w:rsidP="001C706E">
      <w:pPr>
        <w:pStyle w:val="Heading1"/>
      </w:pPr>
      <w:r w:rsidRPr="00ED1913">
        <w:t>Insurance</w:t>
      </w:r>
    </w:p>
    <w:p w14:paraId="2444A4A5" w14:textId="77777777" w:rsidR="001C706E" w:rsidRPr="00ED1913" w:rsidRDefault="001C706E" w:rsidP="001C706E">
      <w:pPr>
        <w:pStyle w:val="Heading2"/>
      </w:pPr>
      <w:r w:rsidRPr="00ED1913">
        <w:t>The Supplier will maintain the insurances required by the Buyer including those in this clause.</w:t>
      </w:r>
    </w:p>
    <w:p w14:paraId="786D00E4" w14:textId="77777777" w:rsidR="001C706E" w:rsidRPr="00ED1913" w:rsidRDefault="001C706E" w:rsidP="001C706E">
      <w:pPr>
        <w:pStyle w:val="Heading2"/>
      </w:pPr>
      <w:r w:rsidRPr="00ED1913">
        <w:t>The Supplier will ensure that:</w:t>
      </w:r>
    </w:p>
    <w:p w14:paraId="08C81874" w14:textId="133C3929" w:rsidR="001C706E" w:rsidRPr="00ED1913" w:rsidRDefault="001C706E" w:rsidP="008D6F49">
      <w:pPr>
        <w:pStyle w:val="ListParagraph"/>
        <w:numPr>
          <w:ilvl w:val="0"/>
          <w:numId w:val="6"/>
        </w:numPr>
        <w:ind w:left="1135" w:hanging="284"/>
        <w:contextualSpacing w:val="0"/>
      </w:pPr>
      <w:r w:rsidRPr="00ED1913">
        <w:t>during this Call-Off Contract, Subcontractors hold third-party public and products liability insurance of the same amounts that the Supplier would be legally liable to pay as damages, including the claimant</w:t>
      </w:r>
      <w:r w:rsidR="00C82E38" w:rsidRPr="00ED1913">
        <w:t>’</w:t>
      </w:r>
      <w:r w:rsidRPr="00ED1913">
        <w:t xml:space="preserve">s costs and </w:t>
      </w:r>
      <w:r w:rsidRPr="00ED1913">
        <w:lastRenderedPageBreak/>
        <w:t xml:space="preserve">expenses, for accidental death or bodily injury and loss of or damage to Property, to a minimum of </w:t>
      </w:r>
      <w:r w:rsidR="001E620A" w:rsidRPr="009537A1">
        <w:rPr>
          <w:b/>
          <w:bCs/>
        </w:rPr>
        <w:t>&lt;REDACTED&gt;</w:t>
      </w:r>
    </w:p>
    <w:p w14:paraId="7F5EC3B9" w14:textId="77777777" w:rsidR="001C706E" w:rsidRPr="00ED1913" w:rsidRDefault="001C706E" w:rsidP="008D6F49">
      <w:pPr>
        <w:pStyle w:val="ListParagraph"/>
        <w:numPr>
          <w:ilvl w:val="0"/>
          <w:numId w:val="6"/>
        </w:numPr>
        <w:ind w:left="1135" w:hanging="284"/>
        <w:contextualSpacing w:val="0"/>
      </w:pPr>
      <w:r w:rsidRPr="00ED1913">
        <w:t xml:space="preserve">the third-party public and products liability insurance contains an </w:t>
      </w:r>
      <w:r w:rsidR="00C82E38" w:rsidRPr="00ED1913">
        <w:t>‘</w:t>
      </w:r>
      <w:r w:rsidRPr="00ED1913">
        <w:t>indemnity to principals</w:t>
      </w:r>
      <w:r w:rsidR="00C82E38" w:rsidRPr="00ED1913">
        <w:t>’</w:t>
      </w:r>
      <w:r w:rsidRPr="00ED1913">
        <w:t xml:space="preserve"> clause for the Buyer</w:t>
      </w:r>
      <w:r w:rsidR="00C82E38" w:rsidRPr="00ED1913">
        <w:t>’</w:t>
      </w:r>
      <w:r w:rsidRPr="00ED1913">
        <w:t>s benefit</w:t>
      </w:r>
    </w:p>
    <w:p w14:paraId="71878923" w14:textId="56CE2B40" w:rsidR="001C706E" w:rsidRPr="00ED1913" w:rsidRDefault="001C706E" w:rsidP="008D6F49">
      <w:pPr>
        <w:pStyle w:val="ListParagraph"/>
        <w:numPr>
          <w:ilvl w:val="0"/>
          <w:numId w:val="6"/>
        </w:numPr>
        <w:ind w:left="1135" w:hanging="284"/>
        <w:contextualSpacing w:val="0"/>
      </w:pPr>
      <w:r w:rsidRPr="00ED1913">
        <w:t xml:space="preserve">all agents and professional consultants involved in the Services hold professional indemnity insurance to a minimum indemnity of </w:t>
      </w:r>
      <w:r w:rsidR="001E620A" w:rsidRPr="009537A1">
        <w:rPr>
          <w:b/>
          <w:bCs/>
        </w:rPr>
        <w:t>&lt;REDACTED&gt;</w:t>
      </w:r>
      <w:r w:rsidRPr="00ED1913">
        <w:t xml:space="preserve"> for each individual claim during the Call-Off Contract, and for 6 years after the End or Expiry Date</w:t>
      </w:r>
    </w:p>
    <w:p w14:paraId="77A50A82" w14:textId="385FE241" w:rsidR="001C706E" w:rsidRPr="00ED1913" w:rsidRDefault="001C706E" w:rsidP="008D6F49">
      <w:pPr>
        <w:pStyle w:val="ListParagraph"/>
        <w:numPr>
          <w:ilvl w:val="0"/>
          <w:numId w:val="6"/>
        </w:numPr>
        <w:ind w:left="1135" w:hanging="284"/>
        <w:contextualSpacing w:val="0"/>
      </w:pPr>
      <w:r w:rsidRPr="00ED1913">
        <w:t xml:space="preserve">all agents and professional consultants involved in the Services hold </w:t>
      </w:r>
      <w:proofErr w:type="gramStart"/>
      <w:r w:rsidRPr="00ED1913">
        <w:t>employers</w:t>
      </w:r>
      <w:proofErr w:type="gramEnd"/>
      <w:r w:rsidRPr="00ED1913">
        <w:t xml:space="preserve"> liability insurance (except where exempt under Law) to a minimum indemnity of £</w:t>
      </w:r>
      <w:r w:rsidR="001E620A" w:rsidRPr="009537A1">
        <w:rPr>
          <w:b/>
          <w:bCs/>
        </w:rPr>
        <w:t>&lt;REDACTED&gt;</w:t>
      </w:r>
      <w:r w:rsidRPr="00ED1913">
        <w:t xml:space="preserve"> for each individual claim during the Call-Off Contract, and for 6 years after the End or Expiry Date</w:t>
      </w:r>
    </w:p>
    <w:p w14:paraId="119114BE" w14:textId="77777777" w:rsidR="001C706E" w:rsidRPr="00ED1913" w:rsidRDefault="001C706E" w:rsidP="001C706E">
      <w:pPr>
        <w:pStyle w:val="Heading2"/>
      </w:pPr>
      <w:r w:rsidRPr="00ED1913">
        <w:t>If requested by the Buyer, the Supplier will obtain additional insurance policies, or extend existing policies bought under the Framework Agreement.</w:t>
      </w:r>
    </w:p>
    <w:p w14:paraId="05D565B7" w14:textId="77777777" w:rsidR="001C706E" w:rsidRPr="00ED1913" w:rsidRDefault="001C706E" w:rsidP="001C706E">
      <w:pPr>
        <w:pStyle w:val="Heading2"/>
      </w:pPr>
      <w:r w:rsidRPr="00ED1913">
        <w:t>If requested by the Buyer, the Supplier will provide the following to show compliance with this clause:</w:t>
      </w:r>
    </w:p>
    <w:p w14:paraId="66ABC2CB" w14:textId="77777777" w:rsidR="001C706E" w:rsidRPr="00ED1913" w:rsidRDefault="001C706E" w:rsidP="008D6F49">
      <w:pPr>
        <w:pStyle w:val="ListParagraph"/>
        <w:numPr>
          <w:ilvl w:val="0"/>
          <w:numId w:val="6"/>
        </w:numPr>
        <w:ind w:left="1135" w:hanging="284"/>
        <w:contextualSpacing w:val="0"/>
      </w:pPr>
      <w:r w:rsidRPr="00ED1913">
        <w:t>a broker</w:t>
      </w:r>
      <w:r w:rsidR="00C82E38" w:rsidRPr="00ED1913">
        <w:t>’</w:t>
      </w:r>
      <w:r w:rsidRPr="00ED1913">
        <w:t>s verification of insurance</w:t>
      </w:r>
    </w:p>
    <w:p w14:paraId="665CD11E" w14:textId="77777777" w:rsidR="001C706E" w:rsidRPr="00ED1913" w:rsidRDefault="001C706E" w:rsidP="008D6F49">
      <w:pPr>
        <w:pStyle w:val="ListParagraph"/>
        <w:numPr>
          <w:ilvl w:val="0"/>
          <w:numId w:val="6"/>
        </w:numPr>
        <w:ind w:left="1135" w:hanging="284"/>
        <w:contextualSpacing w:val="0"/>
      </w:pPr>
      <w:r w:rsidRPr="00ED1913">
        <w:t>receipts for the insurance premium</w:t>
      </w:r>
    </w:p>
    <w:p w14:paraId="11CF50E8" w14:textId="77777777" w:rsidR="001C706E" w:rsidRPr="00ED1913" w:rsidRDefault="001C706E" w:rsidP="008D6F49">
      <w:pPr>
        <w:pStyle w:val="ListParagraph"/>
        <w:numPr>
          <w:ilvl w:val="0"/>
          <w:numId w:val="6"/>
        </w:numPr>
        <w:ind w:left="1135" w:hanging="284"/>
        <w:contextualSpacing w:val="0"/>
      </w:pPr>
      <w:r w:rsidRPr="00ED1913">
        <w:t>evidence of payment of the latest premiums due</w:t>
      </w:r>
    </w:p>
    <w:p w14:paraId="595F8210" w14:textId="77777777" w:rsidR="001C706E" w:rsidRPr="00ED1913" w:rsidRDefault="001C706E" w:rsidP="001C706E">
      <w:pPr>
        <w:pStyle w:val="Heading2"/>
      </w:pPr>
      <w:r w:rsidRPr="00ED1913">
        <w:t xml:space="preserve">Insurance will not relieve the Supplier of any liabilities under the Framework </w:t>
      </w:r>
      <w:proofErr w:type="gramStart"/>
      <w:r w:rsidRPr="00ED1913">
        <w:t>Agreement</w:t>
      </w:r>
      <w:proofErr w:type="gramEnd"/>
      <w:r w:rsidRPr="00ED1913">
        <w:t xml:space="preserve"> or this Call-Off Contract and the Supplier will:</w:t>
      </w:r>
    </w:p>
    <w:p w14:paraId="400D78FA" w14:textId="77777777" w:rsidR="001C706E" w:rsidRPr="00ED1913" w:rsidRDefault="001C706E" w:rsidP="008D6F49">
      <w:pPr>
        <w:pStyle w:val="ListParagraph"/>
        <w:numPr>
          <w:ilvl w:val="0"/>
          <w:numId w:val="6"/>
        </w:numPr>
        <w:ind w:left="1135" w:hanging="284"/>
        <w:contextualSpacing w:val="0"/>
      </w:pPr>
      <w:r w:rsidRPr="00ED1913">
        <w:t>take all risk control measures using Good Industry Practice, including the investigation and reports of claims to insurers</w:t>
      </w:r>
    </w:p>
    <w:p w14:paraId="5FE6EE81" w14:textId="77777777" w:rsidR="001C706E" w:rsidRPr="00ED1913" w:rsidRDefault="001C706E" w:rsidP="008D6F49">
      <w:pPr>
        <w:pStyle w:val="ListParagraph"/>
        <w:numPr>
          <w:ilvl w:val="0"/>
          <w:numId w:val="6"/>
        </w:numPr>
        <w:ind w:left="1135" w:hanging="284"/>
        <w:contextualSpacing w:val="0"/>
      </w:pPr>
      <w:r w:rsidRPr="00ED1913">
        <w:t>promptly notify the insurers in writing of any relevant material fact under any insurances</w:t>
      </w:r>
    </w:p>
    <w:p w14:paraId="3958A2FB" w14:textId="77777777" w:rsidR="001C706E" w:rsidRPr="00ED1913" w:rsidRDefault="001C706E" w:rsidP="008D6F49">
      <w:pPr>
        <w:pStyle w:val="ListParagraph"/>
        <w:numPr>
          <w:ilvl w:val="0"/>
          <w:numId w:val="6"/>
        </w:numPr>
        <w:ind w:left="1135" w:hanging="284"/>
        <w:contextualSpacing w:val="0"/>
      </w:pPr>
      <w:r w:rsidRPr="00ED1913">
        <w:t>hold all insurance policies and require any broker arranging the insurance to hold any insurance slips and other evidence of insurance</w:t>
      </w:r>
    </w:p>
    <w:p w14:paraId="1871420A" w14:textId="77777777" w:rsidR="001C706E" w:rsidRPr="00ED1913" w:rsidRDefault="001C706E" w:rsidP="001C706E">
      <w:pPr>
        <w:pStyle w:val="Heading2"/>
      </w:pPr>
      <w:r w:rsidRPr="00ED1913">
        <w:t>The Supplier will not do or omit to do anything, which would destroy or impair the legal validity of the insurance.</w:t>
      </w:r>
    </w:p>
    <w:p w14:paraId="4BFF3EB7" w14:textId="77777777" w:rsidR="001C706E" w:rsidRPr="00ED1913" w:rsidRDefault="001C706E" w:rsidP="001C706E">
      <w:pPr>
        <w:pStyle w:val="Heading2"/>
      </w:pPr>
      <w:r w:rsidRPr="00ED1913">
        <w:t>The Supplier will notify CCS and the Buyer as soon as possible if any insurance policies have been, or are due to be, cancelled, suspended, Ended or not renewed.</w:t>
      </w:r>
    </w:p>
    <w:p w14:paraId="1A15DE74" w14:textId="77777777" w:rsidR="001C706E" w:rsidRPr="00ED1913" w:rsidRDefault="001C706E" w:rsidP="001C706E">
      <w:pPr>
        <w:pStyle w:val="Heading2"/>
      </w:pPr>
      <w:r w:rsidRPr="00ED1913">
        <w:t>The Supplier will be liable for the payment of any:</w:t>
      </w:r>
    </w:p>
    <w:p w14:paraId="5403D82A" w14:textId="77777777" w:rsidR="001C706E" w:rsidRPr="00ED1913" w:rsidRDefault="001C706E" w:rsidP="008D6F49">
      <w:pPr>
        <w:pStyle w:val="ListParagraph"/>
        <w:numPr>
          <w:ilvl w:val="0"/>
          <w:numId w:val="6"/>
        </w:numPr>
        <w:ind w:left="1135" w:hanging="284"/>
        <w:contextualSpacing w:val="0"/>
      </w:pPr>
      <w:r w:rsidRPr="00ED1913">
        <w:t>premiums, which it will pay promptly</w:t>
      </w:r>
    </w:p>
    <w:p w14:paraId="32889CCC" w14:textId="77777777" w:rsidR="001C706E" w:rsidRPr="00ED1913" w:rsidRDefault="001C706E" w:rsidP="008D6F49">
      <w:pPr>
        <w:pStyle w:val="ListParagraph"/>
        <w:numPr>
          <w:ilvl w:val="0"/>
          <w:numId w:val="6"/>
        </w:numPr>
        <w:ind w:left="1135" w:hanging="284"/>
        <w:contextualSpacing w:val="0"/>
      </w:pPr>
      <w:r w:rsidRPr="00ED1913">
        <w:t>excess or deductibles and will not be entitled to recover this from the Buyer</w:t>
      </w:r>
    </w:p>
    <w:p w14:paraId="3DF41A46" w14:textId="77777777" w:rsidR="001C706E" w:rsidRPr="00ED1913" w:rsidRDefault="001C706E" w:rsidP="001C706E"/>
    <w:p w14:paraId="58A0B2F0" w14:textId="77777777" w:rsidR="001C706E" w:rsidRPr="00ED1913" w:rsidRDefault="001C706E" w:rsidP="001C706E">
      <w:pPr>
        <w:pStyle w:val="Heading1"/>
      </w:pPr>
      <w:r w:rsidRPr="00ED1913">
        <w:t>Confidentiality</w:t>
      </w:r>
    </w:p>
    <w:p w14:paraId="27FD9447" w14:textId="77777777" w:rsidR="001C706E" w:rsidRPr="00ED1913" w:rsidRDefault="001C706E" w:rsidP="001C706E">
      <w:pPr>
        <w:pStyle w:val="Heading2"/>
      </w:pPr>
      <w:r w:rsidRPr="00ED1913">
        <w:t>Subject to clause 24.1 the Supplier must during and after the Term keep the Buyer fully indemnified against all Losses, damages, costs or expenses and other liabilities (including legal fees) arising from any breach of the Supplier</w:t>
      </w:r>
      <w:r w:rsidR="00C82E38" w:rsidRPr="00ED1913">
        <w:t>’</w:t>
      </w:r>
      <w:r w:rsidRPr="00ED1913">
        <w:t>s obligations under the Data Protection Legislation or under incorporated Framework Agreement clauses 8.83 to 8.91. The indemnity doesn</w:t>
      </w:r>
      <w:r w:rsidR="00C82E38" w:rsidRPr="00ED1913">
        <w:t>’</w:t>
      </w:r>
      <w:r w:rsidRPr="00ED1913">
        <w:t>t apply to the extent that the Supplier breach is due to a Buyer</w:t>
      </w:r>
      <w:r w:rsidR="00C82E38" w:rsidRPr="00ED1913">
        <w:t>’</w:t>
      </w:r>
      <w:r w:rsidRPr="00ED1913">
        <w:t>s instruction.</w:t>
      </w:r>
    </w:p>
    <w:p w14:paraId="462E41A2" w14:textId="77777777" w:rsidR="001C706E" w:rsidRPr="00ED1913" w:rsidRDefault="001C706E" w:rsidP="001C706E"/>
    <w:p w14:paraId="7798B585" w14:textId="77777777" w:rsidR="001C706E" w:rsidRPr="00ED1913" w:rsidRDefault="001C706E" w:rsidP="001C706E">
      <w:pPr>
        <w:pStyle w:val="Heading1"/>
      </w:pPr>
      <w:r w:rsidRPr="00ED1913">
        <w:lastRenderedPageBreak/>
        <w:t>Intellectual Property Rights</w:t>
      </w:r>
    </w:p>
    <w:p w14:paraId="3878AF12" w14:textId="77777777" w:rsidR="001C706E" w:rsidRPr="00ED1913" w:rsidRDefault="001C706E" w:rsidP="001C706E">
      <w:pPr>
        <w:pStyle w:val="Heading2"/>
      </w:pPr>
      <w:r w:rsidRPr="00ED1913">
        <w:t>Unless otherwise specified in this Call-Off Contract, a Party will not acquire any right, title or interest in or to the Intellectual Property Rights (IPRs) of the other Party or its licensors.</w:t>
      </w:r>
    </w:p>
    <w:p w14:paraId="08E113D8" w14:textId="77777777" w:rsidR="001C706E" w:rsidRPr="00ED1913" w:rsidRDefault="001C706E" w:rsidP="001C706E">
      <w:pPr>
        <w:pStyle w:val="Heading2"/>
      </w:pPr>
      <w:r w:rsidRPr="00ED1913">
        <w:t>The Supplier grants the Buyer a non-exclusive, transferable, perpetual, irrevocable, royalty-free licence to use the Project Specific IPRs and any Background IPRs embedded within the Project Specific IPRs for the Buyer</w:t>
      </w:r>
      <w:r w:rsidR="00C82E38" w:rsidRPr="00ED1913">
        <w:t>’</w:t>
      </w:r>
      <w:r w:rsidRPr="00ED1913">
        <w:t>s ordinary business activities.</w:t>
      </w:r>
    </w:p>
    <w:p w14:paraId="3DC2F1D4" w14:textId="77777777" w:rsidR="001C706E" w:rsidRPr="00ED1913" w:rsidRDefault="001C706E" w:rsidP="001C706E">
      <w:pPr>
        <w:pStyle w:val="Heading2"/>
      </w:pPr>
      <w:r w:rsidRPr="00ED1913">
        <w:t>The Supplier must obtain the grant of any third-party IPRs and Background IPRs so the Buyer can enjoy full use of the Project Specific IPRs, including the Buyer</w:t>
      </w:r>
      <w:r w:rsidR="00C82E38" w:rsidRPr="00ED1913">
        <w:t>’</w:t>
      </w:r>
      <w:r w:rsidRPr="00ED1913">
        <w:t>s right to publish the IPR as open source.</w:t>
      </w:r>
    </w:p>
    <w:p w14:paraId="7AC419DE" w14:textId="77777777" w:rsidR="001C706E" w:rsidRPr="00ED1913" w:rsidRDefault="001C706E" w:rsidP="001C706E">
      <w:pPr>
        <w:pStyle w:val="Heading2"/>
      </w:pPr>
      <w:r w:rsidRPr="00ED1913">
        <w:t>The Supplier must promptly inform the Buyer if it can</w:t>
      </w:r>
      <w:r w:rsidR="00C82E38" w:rsidRPr="00ED1913">
        <w:t>’</w:t>
      </w:r>
      <w:r w:rsidRPr="00ED1913">
        <w:t>t comply with the clause above and the Supplier must not use third-party IPRs or Background IPRs in relation to the Project Specific IPRs if it can</w:t>
      </w:r>
      <w:r w:rsidR="00C82E38" w:rsidRPr="00ED1913">
        <w:t>’</w:t>
      </w:r>
      <w:r w:rsidRPr="00ED1913">
        <w:t>t obtain the grant of a licence acceptable to the Buyer.</w:t>
      </w:r>
    </w:p>
    <w:p w14:paraId="50216145" w14:textId="77777777" w:rsidR="001C706E" w:rsidRPr="00ED1913" w:rsidRDefault="001C706E" w:rsidP="001C706E">
      <w:pPr>
        <w:pStyle w:val="Heading2"/>
      </w:pPr>
      <w:r w:rsidRPr="00ED1913">
        <w:t>The Supplier will, on written demand, fully indemnify the Buyer and the Crown for all Losses which it may incur at any time from any claim of infringement or alleged infringement of a third party</w:t>
      </w:r>
      <w:r w:rsidR="00C82E38" w:rsidRPr="00ED1913">
        <w:t>’</w:t>
      </w:r>
      <w:r w:rsidRPr="00ED1913">
        <w:t>s IPRs because of the:</w:t>
      </w:r>
    </w:p>
    <w:p w14:paraId="2B9D6537" w14:textId="77777777" w:rsidR="001C706E" w:rsidRPr="00ED1913" w:rsidRDefault="001C706E" w:rsidP="008D6F49">
      <w:pPr>
        <w:pStyle w:val="ListParagraph"/>
        <w:numPr>
          <w:ilvl w:val="0"/>
          <w:numId w:val="6"/>
        </w:numPr>
        <w:ind w:left="1135" w:hanging="284"/>
        <w:contextualSpacing w:val="0"/>
      </w:pPr>
      <w:r w:rsidRPr="00ED1913">
        <w:t>rights granted to the Buyer under this Call-Off Contract</w:t>
      </w:r>
    </w:p>
    <w:p w14:paraId="5040BDF4" w14:textId="77777777" w:rsidR="001C706E" w:rsidRPr="00ED1913" w:rsidRDefault="001C706E" w:rsidP="008D6F49">
      <w:pPr>
        <w:pStyle w:val="ListParagraph"/>
        <w:numPr>
          <w:ilvl w:val="0"/>
          <w:numId w:val="6"/>
        </w:numPr>
        <w:ind w:left="1135" w:hanging="284"/>
        <w:contextualSpacing w:val="0"/>
      </w:pPr>
      <w:r w:rsidRPr="00ED1913">
        <w:t>Supplier</w:t>
      </w:r>
      <w:r w:rsidR="00C82E38" w:rsidRPr="00ED1913">
        <w:t>’</w:t>
      </w:r>
      <w:r w:rsidRPr="00ED1913">
        <w:t>s performance of the Services</w:t>
      </w:r>
    </w:p>
    <w:p w14:paraId="5EC424B6" w14:textId="77777777" w:rsidR="001C706E" w:rsidRPr="00ED1913" w:rsidRDefault="001C706E" w:rsidP="008D6F49">
      <w:pPr>
        <w:pStyle w:val="ListParagraph"/>
        <w:numPr>
          <w:ilvl w:val="0"/>
          <w:numId w:val="6"/>
        </w:numPr>
        <w:ind w:left="1135" w:hanging="284"/>
        <w:contextualSpacing w:val="0"/>
      </w:pPr>
      <w:r w:rsidRPr="00ED1913">
        <w:t>use by the Buyer of the Services</w:t>
      </w:r>
    </w:p>
    <w:p w14:paraId="25C1499D" w14:textId="77777777" w:rsidR="001C706E" w:rsidRPr="00ED1913" w:rsidRDefault="001C706E" w:rsidP="001C706E">
      <w:pPr>
        <w:pStyle w:val="Heading2"/>
      </w:pPr>
      <w:r w:rsidRPr="00ED1913">
        <w:t>If an IPR Claim is made, or is likely to be made, the Supplier will immediately notify the Buyer in writing and must at its own expense after written approval from the Buyer, either:</w:t>
      </w:r>
    </w:p>
    <w:p w14:paraId="0331CA4E" w14:textId="77777777" w:rsidR="001C706E" w:rsidRPr="00ED1913" w:rsidRDefault="001C706E" w:rsidP="008D6F49">
      <w:pPr>
        <w:pStyle w:val="ListParagraph"/>
        <w:numPr>
          <w:ilvl w:val="0"/>
          <w:numId w:val="6"/>
        </w:numPr>
        <w:ind w:left="1135" w:hanging="284"/>
        <w:contextualSpacing w:val="0"/>
      </w:pPr>
      <w:r w:rsidRPr="00ED1913">
        <w:t>modify the relevant part of the Services without reducing its functionality or performance</w:t>
      </w:r>
    </w:p>
    <w:p w14:paraId="282AC3A4" w14:textId="77777777" w:rsidR="001C706E" w:rsidRPr="00ED1913" w:rsidRDefault="001C706E" w:rsidP="008D6F49">
      <w:pPr>
        <w:pStyle w:val="ListParagraph"/>
        <w:numPr>
          <w:ilvl w:val="0"/>
          <w:numId w:val="6"/>
        </w:numPr>
        <w:ind w:left="1135" w:hanging="284"/>
        <w:contextualSpacing w:val="0"/>
      </w:pPr>
      <w:r w:rsidRPr="00ED1913">
        <w:t>substitute Services of equivalent functionality and performance, to avoid the infringement or the alleged infringement, as long as there is no additional cost or burden to the Buyer</w:t>
      </w:r>
    </w:p>
    <w:p w14:paraId="0BA031FE" w14:textId="77777777" w:rsidR="001C706E" w:rsidRPr="00ED1913" w:rsidRDefault="001C706E" w:rsidP="008D6F49">
      <w:pPr>
        <w:pStyle w:val="ListParagraph"/>
        <w:numPr>
          <w:ilvl w:val="0"/>
          <w:numId w:val="6"/>
        </w:numPr>
        <w:ind w:left="1135" w:hanging="284"/>
        <w:contextualSpacing w:val="0"/>
      </w:pPr>
      <w:r w:rsidRPr="00ED1913">
        <w:t>buy a licence to use and supply the Services which are the subject of the alleged infringement, on terms acceptable to the Buyer</w:t>
      </w:r>
    </w:p>
    <w:p w14:paraId="1BAA855D" w14:textId="77777777" w:rsidR="001C706E" w:rsidRPr="00ED1913" w:rsidRDefault="001C706E" w:rsidP="001C706E">
      <w:pPr>
        <w:pStyle w:val="Heading2"/>
      </w:pPr>
      <w:r w:rsidRPr="00ED1913">
        <w:t>Clause 11.5 will not apply if the IPR Claim is from:</w:t>
      </w:r>
    </w:p>
    <w:p w14:paraId="77CAFB14" w14:textId="77777777" w:rsidR="001C706E" w:rsidRPr="00ED1913" w:rsidRDefault="001C706E" w:rsidP="008D6F49">
      <w:pPr>
        <w:pStyle w:val="ListParagraph"/>
        <w:numPr>
          <w:ilvl w:val="0"/>
          <w:numId w:val="6"/>
        </w:numPr>
        <w:ind w:left="1135" w:hanging="284"/>
        <w:contextualSpacing w:val="0"/>
      </w:pPr>
      <w:r w:rsidRPr="00ED1913">
        <w:t>the use of data supplied by the Buyer which the Supplier isn</w:t>
      </w:r>
      <w:r w:rsidR="00C82E38" w:rsidRPr="00ED1913">
        <w:t>’</w:t>
      </w:r>
      <w:r w:rsidRPr="00ED1913">
        <w:t>t required to verify under this Call-Off Contract</w:t>
      </w:r>
    </w:p>
    <w:p w14:paraId="410F143E" w14:textId="77777777" w:rsidR="001C706E" w:rsidRPr="00ED1913" w:rsidRDefault="001C706E" w:rsidP="008D6F49">
      <w:pPr>
        <w:pStyle w:val="ListParagraph"/>
        <w:numPr>
          <w:ilvl w:val="0"/>
          <w:numId w:val="6"/>
        </w:numPr>
        <w:ind w:left="1135" w:hanging="284"/>
        <w:contextualSpacing w:val="0"/>
      </w:pPr>
      <w:r w:rsidRPr="00ED1913">
        <w:t>other material provided by the Buyer necessary for the Services</w:t>
      </w:r>
    </w:p>
    <w:p w14:paraId="7A88709A" w14:textId="77777777" w:rsidR="001C706E" w:rsidRPr="00ED1913" w:rsidRDefault="001C706E" w:rsidP="001C706E">
      <w:pPr>
        <w:pStyle w:val="Heading2"/>
      </w:pPr>
      <w:r w:rsidRPr="00ED1913">
        <w:t>If the Supplier does not comply with clauses 11.2 to 11.6, the Buyer may End this Call-Off Contract for Material Breach. The Supplier will, on demand, refund the Buyer all the money paid for the affected Services.</w:t>
      </w:r>
    </w:p>
    <w:p w14:paraId="5F54BB3B" w14:textId="77777777" w:rsidR="001C706E" w:rsidRPr="00ED1913" w:rsidRDefault="001C706E" w:rsidP="001C706E"/>
    <w:p w14:paraId="509FA6DE" w14:textId="77777777" w:rsidR="001C706E" w:rsidRPr="00ED1913" w:rsidRDefault="001C706E" w:rsidP="001C706E">
      <w:pPr>
        <w:pStyle w:val="Heading1"/>
      </w:pPr>
      <w:r w:rsidRPr="00ED1913">
        <w:t>Protection of information</w:t>
      </w:r>
    </w:p>
    <w:p w14:paraId="17D163B9" w14:textId="77777777" w:rsidR="001C706E" w:rsidRPr="00ED1913" w:rsidRDefault="001C706E" w:rsidP="001C706E">
      <w:pPr>
        <w:pStyle w:val="Heading2"/>
      </w:pPr>
      <w:r w:rsidRPr="00ED1913">
        <w:t>The Supplier must:</w:t>
      </w:r>
    </w:p>
    <w:p w14:paraId="56EB7836" w14:textId="77777777" w:rsidR="001C706E" w:rsidRPr="00ED1913" w:rsidRDefault="001C706E" w:rsidP="008D6F49">
      <w:pPr>
        <w:pStyle w:val="ListParagraph"/>
        <w:numPr>
          <w:ilvl w:val="0"/>
          <w:numId w:val="6"/>
        </w:numPr>
        <w:ind w:left="1135" w:hanging="284"/>
        <w:contextualSpacing w:val="0"/>
      </w:pPr>
      <w:r w:rsidRPr="00ED1913">
        <w:t>comply with the Buyer</w:t>
      </w:r>
      <w:r w:rsidR="00C82E38" w:rsidRPr="00ED1913">
        <w:t>’</w:t>
      </w:r>
      <w:r w:rsidRPr="00ED1913">
        <w:t>s written instructions and this Call-Off Contract when Processing Buyer Personal Data</w:t>
      </w:r>
    </w:p>
    <w:p w14:paraId="226F9ED0" w14:textId="77777777" w:rsidR="001C706E" w:rsidRPr="00ED1913" w:rsidRDefault="001C706E" w:rsidP="008D6F49">
      <w:pPr>
        <w:pStyle w:val="ListParagraph"/>
        <w:numPr>
          <w:ilvl w:val="0"/>
          <w:numId w:val="6"/>
        </w:numPr>
        <w:ind w:left="1135" w:hanging="284"/>
        <w:contextualSpacing w:val="0"/>
      </w:pPr>
      <w:r w:rsidRPr="00ED1913">
        <w:lastRenderedPageBreak/>
        <w:t>only Process the Buyer Personal Data as necessary for the provision of the G-Cloud Services or as required by Law or any Regulatory Body</w:t>
      </w:r>
    </w:p>
    <w:p w14:paraId="2F2C5A52" w14:textId="77777777" w:rsidR="001C706E" w:rsidRPr="00ED1913" w:rsidRDefault="001C706E" w:rsidP="008D6F49">
      <w:pPr>
        <w:pStyle w:val="ListParagraph"/>
        <w:numPr>
          <w:ilvl w:val="0"/>
          <w:numId w:val="6"/>
        </w:numPr>
        <w:ind w:left="1135" w:hanging="284"/>
        <w:contextualSpacing w:val="0"/>
      </w:pPr>
      <w:r w:rsidRPr="00ED1913">
        <w:t>take reasonable steps to ensure that any Supplier Staff who have access to Buyer Personal Data act in compliance with Supplier</w:t>
      </w:r>
      <w:r w:rsidR="00C82E38" w:rsidRPr="00ED1913">
        <w:t>’</w:t>
      </w:r>
      <w:r w:rsidRPr="00ED1913">
        <w:t>s security processes</w:t>
      </w:r>
    </w:p>
    <w:p w14:paraId="5391BD93" w14:textId="77777777" w:rsidR="001C706E" w:rsidRPr="00ED1913" w:rsidRDefault="001C706E" w:rsidP="001C706E">
      <w:pPr>
        <w:pStyle w:val="Heading2"/>
      </w:pPr>
      <w:r w:rsidRPr="00ED1913">
        <w:t>The Supplier must fully assist with any complaint or request for Buyer Personal Data including by:</w:t>
      </w:r>
    </w:p>
    <w:p w14:paraId="19229CAD" w14:textId="77777777" w:rsidR="001C706E" w:rsidRPr="00ED1913" w:rsidRDefault="001C706E" w:rsidP="008D6F49">
      <w:pPr>
        <w:pStyle w:val="ListParagraph"/>
        <w:numPr>
          <w:ilvl w:val="0"/>
          <w:numId w:val="6"/>
        </w:numPr>
        <w:ind w:left="1135" w:hanging="284"/>
        <w:contextualSpacing w:val="0"/>
      </w:pPr>
      <w:r w:rsidRPr="00ED1913">
        <w:t>providing the Buyer with full details of the complaint or request</w:t>
      </w:r>
    </w:p>
    <w:p w14:paraId="5FE15E61" w14:textId="77777777" w:rsidR="001C706E" w:rsidRPr="00ED1913" w:rsidRDefault="001C706E" w:rsidP="008D6F49">
      <w:pPr>
        <w:pStyle w:val="ListParagraph"/>
        <w:numPr>
          <w:ilvl w:val="0"/>
          <w:numId w:val="6"/>
        </w:numPr>
        <w:ind w:left="1135" w:hanging="284"/>
        <w:contextualSpacing w:val="0"/>
      </w:pPr>
      <w:r w:rsidRPr="00ED1913">
        <w:t>complying with a data access request within the timescales in the Data Protection Legislation and following the Buyer</w:t>
      </w:r>
      <w:r w:rsidR="00C82E38" w:rsidRPr="00ED1913">
        <w:t>’</w:t>
      </w:r>
      <w:r w:rsidRPr="00ED1913">
        <w:t>s instructions</w:t>
      </w:r>
    </w:p>
    <w:p w14:paraId="63EE9EA8" w14:textId="77777777" w:rsidR="001C706E" w:rsidRPr="00ED1913" w:rsidRDefault="001C706E" w:rsidP="008D6F49">
      <w:pPr>
        <w:pStyle w:val="ListParagraph"/>
        <w:numPr>
          <w:ilvl w:val="0"/>
          <w:numId w:val="6"/>
        </w:numPr>
        <w:ind w:left="1135" w:hanging="284"/>
        <w:contextualSpacing w:val="0"/>
      </w:pPr>
      <w:r w:rsidRPr="00ED1913">
        <w:t>providing the Buyer with any Buyer Personal Data it holds about a Data Subject (within the timescales required by the Buyer)</w:t>
      </w:r>
    </w:p>
    <w:p w14:paraId="544970B1" w14:textId="77777777" w:rsidR="001C706E" w:rsidRPr="00ED1913" w:rsidRDefault="001C706E" w:rsidP="008D6F49">
      <w:pPr>
        <w:pStyle w:val="ListParagraph"/>
        <w:numPr>
          <w:ilvl w:val="0"/>
          <w:numId w:val="6"/>
        </w:numPr>
        <w:ind w:left="1135" w:hanging="284"/>
        <w:contextualSpacing w:val="0"/>
      </w:pPr>
      <w:r w:rsidRPr="00ED1913">
        <w:t>providing the Buyer with any information requested by the Data Subject</w:t>
      </w:r>
    </w:p>
    <w:p w14:paraId="20751217" w14:textId="77777777" w:rsidR="001C706E" w:rsidRPr="00ED1913" w:rsidRDefault="001C706E" w:rsidP="001C706E">
      <w:pPr>
        <w:pStyle w:val="Heading2"/>
      </w:pPr>
      <w:r w:rsidRPr="00ED1913">
        <w:t>The Supplier must get prior written consent from the Buyer to transfer Buyer Personal Data to any other person (including any Subcontractors) for the provision of the G-Cloud Services.</w:t>
      </w:r>
    </w:p>
    <w:p w14:paraId="4643C363" w14:textId="77777777" w:rsidR="001C706E" w:rsidRPr="00ED1913" w:rsidRDefault="001C706E" w:rsidP="001C706E"/>
    <w:p w14:paraId="30AB8E4C" w14:textId="77777777" w:rsidR="001C706E" w:rsidRPr="00ED1913" w:rsidRDefault="001C706E" w:rsidP="001C706E">
      <w:pPr>
        <w:pStyle w:val="Heading1"/>
      </w:pPr>
      <w:r w:rsidRPr="00ED1913">
        <w:t>Buyer data</w:t>
      </w:r>
    </w:p>
    <w:p w14:paraId="407ED193" w14:textId="77777777" w:rsidR="001C706E" w:rsidRPr="00ED1913" w:rsidRDefault="001C706E" w:rsidP="001C706E">
      <w:r w:rsidRPr="00ED1913">
        <w:t>The Supplier must not remove any proprietary notices in the Buyer Data.</w:t>
      </w:r>
    </w:p>
    <w:p w14:paraId="5C3AD7AE" w14:textId="77777777" w:rsidR="001C706E" w:rsidRPr="00ED1913" w:rsidRDefault="001C706E" w:rsidP="001C706E">
      <w:pPr>
        <w:pStyle w:val="Heading2"/>
      </w:pPr>
      <w:r w:rsidRPr="00ED1913">
        <w:t>The Supplier will not store or use Buyer Data except if necessary to fulfil its obligations.</w:t>
      </w:r>
    </w:p>
    <w:p w14:paraId="587121E6" w14:textId="77777777" w:rsidR="001C706E" w:rsidRPr="00ED1913" w:rsidRDefault="001C706E" w:rsidP="001C706E">
      <w:pPr>
        <w:pStyle w:val="Heading2"/>
      </w:pPr>
      <w:r w:rsidRPr="00ED1913">
        <w:t>If Buyer Data is processed by the Supplier, the Supplier will supply the data to the Buyer as requested.</w:t>
      </w:r>
    </w:p>
    <w:p w14:paraId="072E5FC8" w14:textId="77777777" w:rsidR="001C706E" w:rsidRPr="00ED1913" w:rsidRDefault="001C706E" w:rsidP="001C706E">
      <w:pPr>
        <w:pStyle w:val="Heading2"/>
      </w:pPr>
      <w:r w:rsidRPr="00ED1913">
        <w:t>The Supplier must ensure that any Supplier system that holds any Buyer Data is a secure system that complies with the Supplier</w:t>
      </w:r>
      <w:r w:rsidR="00C82E38" w:rsidRPr="00ED1913">
        <w:t>’</w:t>
      </w:r>
      <w:r w:rsidRPr="00ED1913">
        <w:t>s and Buyer</w:t>
      </w:r>
      <w:r w:rsidR="00C82E38" w:rsidRPr="00ED1913">
        <w:t>’</w:t>
      </w:r>
      <w:r w:rsidRPr="00ED1913">
        <w:t>s security policy and all Buyer requirements in the Order Form.</w:t>
      </w:r>
    </w:p>
    <w:p w14:paraId="191D2C5D" w14:textId="77777777" w:rsidR="001C706E" w:rsidRPr="00ED1913" w:rsidRDefault="001C706E" w:rsidP="001C706E">
      <w:pPr>
        <w:pStyle w:val="Heading2"/>
      </w:pPr>
      <w:r w:rsidRPr="00ED1913">
        <w:t>The Supplier will preserve the integrity of Buyer Data processed by the Supplier and prevent its corruption and loss.</w:t>
      </w:r>
    </w:p>
    <w:p w14:paraId="0F3BA1D0" w14:textId="77777777" w:rsidR="001C706E" w:rsidRPr="00ED1913" w:rsidRDefault="001C706E" w:rsidP="001C706E">
      <w:pPr>
        <w:pStyle w:val="Heading2"/>
      </w:pPr>
      <w:r w:rsidRPr="00ED1913">
        <w:t>The Supplier will ensure that any Supplier system which holds any protectively marked Buyer Data or other government data will comply with:</w:t>
      </w:r>
    </w:p>
    <w:p w14:paraId="7DBB5A9C" w14:textId="77777777" w:rsidR="001C706E" w:rsidRPr="00ED1913" w:rsidRDefault="001C706E" w:rsidP="008D6F49">
      <w:pPr>
        <w:pStyle w:val="ListParagraph"/>
        <w:numPr>
          <w:ilvl w:val="0"/>
          <w:numId w:val="6"/>
        </w:numPr>
        <w:ind w:left="1135" w:hanging="284"/>
        <w:contextualSpacing w:val="0"/>
      </w:pPr>
      <w:r w:rsidRPr="00ED1913">
        <w:t xml:space="preserve">the principles in the Security Policy Framework at </w:t>
      </w:r>
      <w:hyperlink r:id="rId13" w:history="1">
        <w:r w:rsidRPr="00ED1913">
          <w:rPr>
            <w:rStyle w:val="Hyperlink"/>
          </w:rPr>
          <w:t>https://www.gov.uk/government/publications/security-policy-framework</w:t>
        </w:r>
      </w:hyperlink>
      <w:r w:rsidRPr="00ED1913">
        <w:t xml:space="preserve"> and the Government Security Classification policy at </w:t>
      </w:r>
      <w:hyperlink r:id="rId14" w:history="1">
        <w:r w:rsidRPr="00ED1913">
          <w:rPr>
            <w:rStyle w:val="Hyperlink"/>
          </w:rPr>
          <w:t>https://www.gov.uk/government/publications/government-security-classifications</w:t>
        </w:r>
      </w:hyperlink>
    </w:p>
    <w:p w14:paraId="17901FC4" w14:textId="77777777" w:rsidR="001C706E" w:rsidRPr="00ED1913" w:rsidRDefault="001C706E" w:rsidP="008D6F49">
      <w:pPr>
        <w:pStyle w:val="ListParagraph"/>
        <w:numPr>
          <w:ilvl w:val="0"/>
          <w:numId w:val="6"/>
        </w:numPr>
        <w:ind w:left="1135" w:hanging="284"/>
        <w:contextualSpacing w:val="0"/>
      </w:pPr>
      <w:r w:rsidRPr="00ED1913">
        <w:t xml:space="preserve">guidance issued by the Centre for Protection of National Infrastructure on Risk Management at </w:t>
      </w:r>
      <w:hyperlink r:id="rId15" w:history="1">
        <w:r w:rsidRPr="00ED1913">
          <w:rPr>
            <w:rStyle w:val="Hyperlink"/>
          </w:rPr>
          <w:t>https://www.cpni.gov.uk/content/adopt-risk-management-approach</w:t>
        </w:r>
      </w:hyperlink>
      <w:r w:rsidRPr="00ED1913">
        <w:t xml:space="preserve"> and Accreditation of Information Systems at </w:t>
      </w:r>
      <w:hyperlink r:id="rId16" w:history="1">
        <w:r w:rsidRPr="00ED1913">
          <w:rPr>
            <w:rStyle w:val="Hyperlink"/>
          </w:rPr>
          <w:t>https://www.cpni.gov.uk/protection-sensitive-information-and-assets</w:t>
        </w:r>
      </w:hyperlink>
    </w:p>
    <w:p w14:paraId="0F1F56E2" w14:textId="77777777" w:rsidR="001C706E" w:rsidRPr="00ED1913" w:rsidRDefault="001C706E" w:rsidP="008D6F49">
      <w:pPr>
        <w:pStyle w:val="ListParagraph"/>
        <w:numPr>
          <w:ilvl w:val="0"/>
          <w:numId w:val="6"/>
        </w:numPr>
        <w:ind w:left="1135" w:hanging="284"/>
        <w:contextualSpacing w:val="0"/>
      </w:pPr>
      <w:r w:rsidRPr="00ED1913">
        <w:t>the National Cyber Security Centre</w:t>
      </w:r>
      <w:r w:rsidR="00C82E38" w:rsidRPr="00ED1913">
        <w:t>’</w:t>
      </w:r>
      <w:r w:rsidRPr="00ED1913">
        <w:t xml:space="preserve">s (NCSC) information risk management guidance, available at </w:t>
      </w:r>
      <w:hyperlink r:id="rId17" w:history="1">
        <w:r w:rsidRPr="00ED1913">
          <w:rPr>
            <w:rStyle w:val="Hyperlink"/>
          </w:rPr>
          <w:t>https://www.ncsc.gov.uk/guidance/risk-management-collection</w:t>
        </w:r>
      </w:hyperlink>
    </w:p>
    <w:p w14:paraId="4054C3D0" w14:textId="77777777" w:rsidR="001C706E" w:rsidRPr="00ED1913" w:rsidRDefault="001C706E" w:rsidP="008D6F49">
      <w:pPr>
        <w:pStyle w:val="ListParagraph"/>
        <w:numPr>
          <w:ilvl w:val="0"/>
          <w:numId w:val="6"/>
        </w:numPr>
        <w:ind w:left="1135" w:hanging="284"/>
        <w:contextualSpacing w:val="0"/>
      </w:pPr>
      <w:r w:rsidRPr="00ED1913">
        <w:t xml:space="preserve">government best practice in the design and implementation of system components, including network principles, security design principles for </w:t>
      </w:r>
      <w:r w:rsidRPr="00ED1913">
        <w:lastRenderedPageBreak/>
        <w:t xml:space="preserve">digital services and the secure email blueprint, available at </w:t>
      </w:r>
      <w:hyperlink r:id="rId18" w:history="1">
        <w:r w:rsidRPr="00ED1913">
          <w:rPr>
            <w:rStyle w:val="Hyperlink"/>
          </w:rPr>
          <w:t>https://www.gov.uk/government/publications/technology-code-of-practice/technology-code-of-practice</w:t>
        </w:r>
      </w:hyperlink>
    </w:p>
    <w:p w14:paraId="0EE8E6BF" w14:textId="77777777" w:rsidR="001C706E" w:rsidRPr="00ED1913" w:rsidRDefault="001C706E" w:rsidP="008D6F49">
      <w:pPr>
        <w:pStyle w:val="ListParagraph"/>
        <w:numPr>
          <w:ilvl w:val="0"/>
          <w:numId w:val="6"/>
        </w:numPr>
        <w:ind w:left="1135" w:hanging="284"/>
        <w:contextualSpacing w:val="0"/>
      </w:pPr>
      <w:r w:rsidRPr="00ED1913">
        <w:t xml:space="preserve">the security requirements of cloud services using the NCSC Cloud Security Principles and accompanying guidance at </w:t>
      </w:r>
      <w:hyperlink r:id="rId19" w:history="1">
        <w:r w:rsidRPr="00ED1913">
          <w:rPr>
            <w:rStyle w:val="Hyperlink"/>
          </w:rPr>
          <w:t>https://www.ncsc.gov.uk/guidance/implementing-cloud-security-principles</w:t>
        </w:r>
      </w:hyperlink>
    </w:p>
    <w:p w14:paraId="17E8DB3F" w14:textId="77777777" w:rsidR="001C706E" w:rsidRPr="00ED1913" w:rsidRDefault="001C706E" w:rsidP="001C706E">
      <w:pPr>
        <w:pStyle w:val="Heading2"/>
      </w:pPr>
      <w:r w:rsidRPr="00ED1913">
        <w:t>The Buyer will specify any security requirements for this project in the Order Form.</w:t>
      </w:r>
    </w:p>
    <w:p w14:paraId="5B2FB9A8" w14:textId="77777777" w:rsidR="001C706E" w:rsidRPr="00ED1913" w:rsidRDefault="001C706E" w:rsidP="001C706E">
      <w:pPr>
        <w:pStyle w:val="Heading2"/>
      </w:pPr>
      <w:r w:rsidRPr="00ED1913">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0F23D98" w14:textId="77777777" w:rsidR="001C706E" w:rsidRPr="00ED1913" w:rsidRDefault="001C706E" w:rsidP="001C706E">
      <w:pPr>
        <w:pStyle w:val="Heading2"/>
      </w:pPr>
      <w:r w:rsidRPr="00ED1913">
        <w:t>The Supplier agrees to use the appropriate organisational, operational and technological processes to keep the Buyer Data safe from unauthorised use or access, loss, destruction, theft or disclosure.</w:t>
      </w:r>
    </w:p>
    <w:p w14:paraId="7831C8B5" w14:textId="77777777" w:rsidR="001C706E" w:rsidRPr="00ED1913" w:rsidRDefault="001C706E" w:rsidP="001C706E">
      <w:pPr>
        <w:pStyle w:val="Heading2"/>
      </w:pPr>
      <w:r w:rsidRPr="00ED1913">
        <w:t>The provisions of this clause 13 will apply during the term of this Call-Off Contract and for as long as the Supplier holds the Buyer</w:t>
      </w:r>
      <w:r w:rsidR="00C82E38" w:rsidRPr="00ED1913">
        <w:t>’</w:t>
      </w:r>
      <w:r w:rsidRPr="00ED1913">
        <w:t>s Data.</w:t>
      </w:r>
    </w:p>
    <w:p w14:paraId="28EDB573" w14:textId="77777777" w:rsidR="001C706E" w:rsidRPr="00ED1913" w:rsidRDefault="001C706E" w:rsidP="001C706E"/>
    <w:p w14:paraId="4256D39F" w14:textId="77777777" w:rsidR="001C706E" w:rsidRPr="00ED1913" w:rsidRDefault="001C706E" w:rsidP="001C706E">
      <w:pPr>
        <w:pStyle w:val="Heading1"/>
      </w:pPr>
      <w:r w:rsidRPr="00ED1913">
        <w:t>Standards and quality</w:t>
      </w:r>
    </w:p>
    <w:p w14:paraId="1801423F" w14:textId="77777777" w:rsidR="001C706E" w:rsidRPr="00ED1913" w:rsidRDefault="001C706E" w:rsidP="001C706E">
      <w:pPr>
        <w:pStyle w:val="Heading2"/>
      </w:pPr>
      <w:r w:rsidRPr="00ED1913">
        <w:t>The Supplier will comply with any standards in this Call-Off Contract, the Order Form and the Framework Agreement.</w:t>
      </w:r>
    </w:p>
    <w:p w14:paraId="0357294E" w14:textId="77777777" w:rsidR="001C706E" w:rsidRPr="00ED1913" w:rsidRDefault="001C706E" w:rsidP="001C706E">
      <w:pPr>
        <w:pStyle w:val="Heading2"/>
      </w:pPr>
      <w:r w:rsidRPr="00ED1913">
        <w:t xml:space="preserve">The Supplier will deliver the Services in a way that enables the Buyer to comply with its obligations under the Technology Code of Practice, which is available at </w:t>
      </w:r>
      <w:hyperlink r:id="rId20" w:history="1">
        <w:r w:rsidRPr="00ED1913">
          <w:rPr>
            <w:rStyle w:val="Hyperlink"/>
          </w:rPr>
          <w:t>https://www.gov.uk/government/publications/technology-code-of-practice/technology-code-of-practice</w:t>
        </w:r>
      </w:hyperlink>
    </w:p>
    <w:p w14:paraId="41D85493" w14:textId="77777777" w:rsidR="001C706E" w:rsidRPr="00ED1913" w:rsidRDefault="001C706E" w:rsidP="001C706E">
      <w:pPr>
        <w:pStyle w:val="Heading2"/>
      </w:pPr>
      <w:r w:rsidRPr="00ED1913">
        <w:t>If requested by the Buyer, the Supplier must, at its own cost, ensure that the G-Cloud Services comply with the requirements in the PSN Code of Practice.</w:t>
      </w:r>
    </w:p>
    <w:p w14:paraId="233170EF" w14:textId="77777777" w:rsidR="001C706E" w:rsidRPr="00ED1913" w:rsidRDefault="001C706E" w:rsidP="001C706E">
      <w:pPr>
        <w:pStyle w:val="Heading2"/>
      </w:pPr>
      <w:r w:rsidRPr="00ED1913">
        <w:t>If any PSN Services are Subcontracted by the Supplier, the Supplier must ensure that the services have the relevant PSN compliance certification.</w:t>
      </w:r>
    </w:p>
    <w:p w14:paraId="3AC63905" w14:textId="77777777" w:rsidR="001C706E" w:rsidRPr="00ED1913" w:rsidRDefault="001C706E" w:rsidP="001C706E">
      <w:pPr>
        <w:pStyle w:val="Heading2"/>
      </w:pPr>
      <w:r w:rsidRPr="00ED1913">
        <w:t>The Supplier must immediately disconnect its G-Cloud Services from the PSN if the PSN Authority considers there is a risk to the PSN</w:t>
      </w:r>
      <w:r w:rsidR="00C82E38" w:rsidRPr="00ED1913">
        <w:t>’</w:t>
      </w:r>
      <w:r w:rsidRPr="00ED1913">
        <w:t xml:space="preserve">s </w:t>
      </w:r>
      <w:proofErr w:type="gramStart"/>
      <w:r w:rsidRPr="00ED1913">
        <w:t>security</w:t>
      </w:r>
      <w:proofErr w:type="gramEnd"/>
      <w:r w:rsidRPr="00ED1913">
        <w:t xml:space="preserve"> and the Supplier agrees that the Buyer and the PSN Authority will not be liable for any actions, damages, costs, and any other Supplier liabilities which may arise.</w:t>
      </w:r>
    </w:p>
    <w:p w14:paraId="6186577F" w14:textId="77777777" w:rsidR="001C706E" w:rsidRPr="00ED1913" w:rsidRDefault="001C706E" w:rsidP="001C706E"/>
    <w:p w14:paraId="79D78570" w14:textId="77777777" w:rsidR="001C706E" w:rsidRPr="00ED1913" w:rsidRDefault="001C706E" w:rsidP="001C706E">
      <w:pPr>
        <w:pStyle w:val="Heading1"/>
      </w:pPr>
      <w:r w:rsidRPr="00ED1913">
        <w:t>Open source</w:t>
      </w:r>
    </w:p>
    <w:p w14:paraId="5C2725E0" w14:textId="77777777" w:rsidR="001C706E" w:rsidRPr="00ED1913" w:rsidRDefault="001C706E" w:rsidP="001C706E">
      <w:pPr>
        <w:pStyle w:val="Heading2"/>
      </w:pPr>
      <w:r w:rsidRPr="00ED1913">
        <w:t>All software created for the Buyer must be suitable for publication as open source, unless otherwise agreed by the Buyer.</w:t>
      </w:r>
    </w:p>
    <w:p w14:paraId="64E4FCE1" w14:textId="77777777" w:rsidR="001C706E" w:rsidRPr="00ED1913" w:rsidRDefault="001C706E" w:rsidP="001C706E">
      <w:pPr>
        <w:pStyle w:val="Heading2"/>
      </w:pPr>
      <w:r w:rsidRPr="00ED1913">
        <w:t>If software needs to be converted before publication as open source, the Supplier must also provide the converted format unless otherwise agreed by the Buyer.</w:t>
      </w:r>
    </w:p>
    <w:p w14:paraId="3FC64344" w14:textId="77777777" w:rsidR="001C706E" w:rsidRPr="00ED1913" w:rsidRDefault="001C706E" w:rsidP="001C706E"/>
    <w:p w14:paraId="340F6763" w14:textId="77777777" w:rsidR="001C706E" w:rsidRPr="00ED1913" w:rsidRDefault="001C706E" w:rsidP="001C706E">
      <w:pPr>
        <w:pStyle w:val="Heading1"/>
      </w:pPr>
      <w:r w:rsidRPr="00ED1913">
        <w:t>Security</w:t>
      </w:r>
    </w:p>
    <w:p w14:paraId="4DFE1914" w14:textId="77777777" w:rsidR="001C706E" w:rsidRPr="00ED1913" w:rsidRDefault="001C706E" w:rsidP="001C706E">
      <w:pPr>
        <w:pStyle w:val="Heading2"/>
      </w:pPr>
      <w:r w:rsidRPr="00ED1913">
        <w:t>If requested to do so by the Buyer, before entering into this Call-Off Contract the Supplier will, within 15 Working Days of the date of this Call-Off Contract, develop (and obtain the Buyer</w:t>
      </w:r>
      <w:r w:rsidR="00C82E38" w:rsidRPr="00ED1913">
        <w:t>’</w:t>
      </w:r>
      <w:r w:rsidRPr="00ED1913">
        <w:t>s written approval of) a Security Management Plan and an Information Security Management System. After Buyer approval the Security Management Plan and Information Security Management System will apply during the Term of this Call-Off Contract. Both plans will comply with the Buyer</w:t>
      </w:r>
      <w:r w:rsidR="00C82E38" w:rsidRPr="00ED1913">
        <w:t>’</w:t>
      </w:r>
      <w:r w:rsidRPr="00ED1913">
        <w:t>s security policy and protect all aspects and processes associated with the delivery of the Services.</w:t>
      </w:r>
    </w:p>
    <w:p w14:paraId="2815057C" w14:textId="77777777" w:rsidR="001C706E" w:rsidRPr="00ED1913" w:rsidRDefault="001C706E" w:rsidP="001C706E">
      <w:pPr>
        <w:pStyle w:val="Heading2"/>
      </w:pPr>
      <w:r w:rsidRPr="00ED1913">
        <w:t>The Supplier will use software and the most up-to-date antivirus definitions available from an industry-accepted antivirus software seller to minimise the impact of Malicious Software.</w:t>
      </w:r>
    </w:p>
    <w:p w14:paraId="49802B21" w14:textId="77777777" w:rsidR="001C706E" w:rsidRPr="00ED1913" w:rsidRDefault="001C706E" w:rsidP="001C706E">
      <w:pPr>
        <w:pStyle w:val="Heading2"/>
      </w:pPr>
      <w:r w:rsidRPr="00ED1913">
        <w:t>If Malicious Software causes loss of operational efficiency or loss or corruption of Service Data, the Supplier will help the Buyer to mitigate any losses and restore the Services to operating efficiency as soon as possible.</w:t>
      </w:r>
    </w:p>
    <w:p w14:paraId="55037CF6" w14:textId="77777777" w:rsidR="001C706E" w:rsidRPr="00ED1913" w:rsidRDefault="001C706E" w:rsidP="001C706E">
      <w:pPr>
        <w:pStyle w:val="Heading2"/>
      </w:pPr>
      <w:r w:rsidRPr="00ED1913">
        <w:t>Responsibility for costs will be at the:</w:t>
      </w:r>
    </w:p>
    <w:p w14:paraId="01DDB965" w14:textId="77777777" w:rsidR="001C706E" w:rsidRPr="00ED1913" w:rsidRDefault="001C706E" w:rsidP="008D6F49">
      <w:pPr>
        <w:pStyle w:val="ListParagraph"/>
        <w:numPr>
          <w:ilvl w:val="0"/>
          <w:numId w:val="6"/>
        </w:numPr>
        <w:ind w:left="1135" w:hanging="284"/>
        <w:contextualSpacing w:val="0"/>
      </w:pPr>
      <w:r w:rsidRPr="00ED1913">
        <w:t>Supplier</w:t>
      </w:r>
      <w:r w:rsidR="00C82E38" w:rsidRPr="00ED1913">
        <w:t>’</w:t>
      </w:r>
      <w:r w:rsidRPr="00ED1913">
        <w:t>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21E0ADE" w14:textId="77777777" w:rsidR="001C706E" w:rsidRPr="00ED1913" w:rsidRDefault="001C706E" w:rsidP="008D6F49">
      <w:pPr>
        <w:pStyle w:val="ListParagraph"/>
        <w:numPr>
          <w:ilvl w:val="0"/>
          <w:numId w:val="6"/>
        </w:numPr>
        <w:ind w:left="1135" w:hanging="284"/>
        <w:contextualSpacing w:val="0"/>
      </w:pPr>
      <w:r w:rsidRPr="00ED1913">
        <w:t>Buyer</w:t>
      </w:r>
      <w:r w:rsidR="00C82E38" w:rsidRPr="00ED1913">
        <w:t>’</w:t>
      </w:r>
      <w:r w:rsidRPr="00ED1913">
        <w:t>s expense if the Malicious Software originates from the Buyer software or the Service Data, while the Service Data was under the Buyer</w:t>
      </w:r>
      <w:r w:rsidR="00C82E38" w:rsidRPr="00ED1913">
        <w:t>’</w:t>
      </w:r>
      <w:r w:rsidRPr="00ED1913">
        <w:t>s control</w:t>
      </w:r>
    </w:p>
    <w:p w14:paraId="4593C2D0" w14:textId="77777777" w:rsidR="001C706E" w:rsidRPr="00ED1913" w:rsidRDefault="001C706E" w:rsidP="001C706E">
      <w:pPr>
        <w:pStyle w:val="Heading2"/>
      </w:pPr>
      <w:r w:rsidRPr="00ED1913">
        <w:t>The Supplier will immediately notify CCS of any breach of security of CCS</w:t>
      </w:r>
      <w:r w:rsidR="00C82E38" w:rsidRPr="00ED1913">
        <w:t>’</w:t>
      </w:r>
      <w:r w:rsidRPr="00ED1913">
        <w:t>s Confidential Information (and the Buyer of any Buyer Confidential Information breach). Where the breach occurred because of a Supplier Default, the Supplier will recover the CCS and Buyer Confidential Information however it may be recorded.</w:t>
      </w:r>
    </w:p>
    <w:p w14:paraId="50A58013" w14:textId="77777777" w:rsidR="001C706E" w:rsidRPr="00ED1913" w:rsidRDefault="001C706E" w:rsidP="001C706E">
      <w:pPr>
        <w:pStyle w:val="Heading2"/>
      </w:pPr>
      <w:r w:rsidRPr="00ED1913">
        <w:t>Any system development by the Supplier should also comply with the government</w:t>
      </w:r>
      <w:r w:rsidR="00C82E38" w:rsidRPr="00ED1913">
        <w:t>’</w:t>
      </w:r>
      <w:r w:rsidRPr="00ED1913">
        <w:t xml:space="preserve">s </w:t>
      </w:r>
      <w:r w:rsidR="00C82E38" w:rsidRPr="00ED1913">
        <w:t>‘</w:t>
      </w:r>
      <w:r w:rsidRPr="00ED1913">
        <w:t>10 Steps to Cyber Security</w:t>
      </w:r>
      <w:r w:rsidR="00C82E38" w:rsidRPr="00ED1913">
        <w:t>’</w:t>
      </w:r>
      <w:r w:rsidRPr="00ED1913">
        <w:t xml:space="preserve"> guidance, available at </w:t>
      </w:r>
      <w:hyperlink r:id="rId21" w:history="1">
        <w:r w:rsidRPr="00ED1913">
          <w:rPr>
            <w:rStyle w:val="Hyperlink"/>
          </w:rPr>
          <w:t>https://www.ncsc.gov.uk/guidance/10-steps-cyber-security</w:t>
        </w:r>
      </w:hyperlink>
    </w:p>
    <w:p w14:paraId="782F42EC" w14:textId="77777777" w:rsidR="001C706E" w:rsidRPr="00ED1913" w:rsidRDefault="001C706E" w:rsidP="001C706E">
      <w:pPr>
        <w:pStyle w:val="Heading2"/>
      </w:pPr>
      <w:r w:rsidRPr="00ED1913">
        <w:t>If a Buyer has requested in the Order Form that the Supplier has a Cyber Essentials certificate, the Supplier must provide the Buyer with a valid Cyber Essentials certificate (or equivalent) required for the Services before the Start Date.</w:t>
      </w:r>
    </w:p>
    <w:p w14:paraId="482758C3" w14:textId="77777777" w:rsidR="001C706E" w:rsidRPr="00ED1913" w:rsidRDefault="001C706E" w:rsidP="001C706E"/>
    <w:p w14:paraId="28850297" w14:textId="77777777" w:rsidR="001C706E" w:rsidRPr="00ED1913" w:rsidRDefault="001C706E" w:rsidP="001C706E">
      <w:pPr>
        <w:pStyle w:val="Heading1"/>
      </w:pPr>
      <w:r w:rsidRPr="00ED1913">
        <w:t>Guarantee</w:t>
      </w:r>
    </w:p>
    <w:p w14:paraId="11C114DA" w14:textId="77777777" w:rsidR="001C706E" w:rsidRPr="00ED1913" w:rsidRDefault="001C706E" w:rsidP="001C706E">
      <w:pPr>
        <w:pStyle w:val="Heading2"/>
      </w:pPr>
      <w:r w:rsidRPr="00ED1913">
        <w:t xml:space="preserve"> If this Call-Off Contract is conditional on receipt of a Guarantee that is acceptable to the Buyer, the Supplier must give the Buyer on or before the Start Date:</w:t>
      </w:r>
    </w:p>
    <w:p w14:paraId="3749B94D" w14:textId="77777777" w:rsidR="001C706E" w:rsidRPr="00ED1913" w:rsidRDefault="001C706E" w:rsidP="008D6F49">
      <w:pPr>
        <w:pStyle w:val="ListParagraph"/>
        <w:numPr>
          <w:ilvl w:val="0"/>
          <w:numId w:val="6"/>
        </w:numPr>
        <w:ind w:left="1135" w:hanging="284"/>
        <w:contextualSpacing w:val="0"/>
      </w:pPr>
      <w:r w:rsidRPr="00ED1913">
        <w:t>an executed Guarantee in the form at Schedule 5</w:t>
      </w:r>
    </w:p>
    <w:p w14:paraId="22568B1A" w14:textId="77777777" w:rsidR="001C706E" w:rsidRPr="00ED1913" w:rsidRDefault="001C706E" w:rsidP="008D6F49">
      <w:pPr>
        <w:pStyle w:val="ListParagraph"/>
        <w:numPr>
          <w:ilvl w:val="0"/>
          <w:numId w:val="6"/>
        </w:numPr>
        <w:ind w:left="1135" w:hanging="284"/>
        <w:contextualSpacing w:val="0"/>
      </w:pPr>
      <w:r w:rsidRPr="00ED1913">
        <w:t>a certified copy of the passed resolution or board minutes of the guarantor approving the execution of the Guarantee</w:t>
      </w:r>
    </w:p>
    <w:p w14:paraId="6D232CE6" w14:textId="77777777" w:rsidR="001C706E" w:rsidRPr="00ED1913" w:rsidRDefault="001C706E" w:rsidP="001C706E"/>
    <w:p w14:paraId="797E6631" w14:textId="77777777" w:rsidR="001C706E" w:rsidRPr="00ED1913" w:rsidRDefault="001C706E" w:rsidP="001C706E">
      <w:pPr>
        <w:pStyle w:val="Heading1"/>
      </w:pPr>
      <w:r w:rsidRPr="00ED1913">
        <w:t>18. Ending the Call-Off Contract</w:t>
      </w:r>
    </w:p>
    <w:p w14:paraId="012362B6" w14:textId="77777777" w:rsidR="001C706E" w:rsidRPr="00ED1913" w:rsidRDefault="001C706E" w:rsidP="001C706E">
      <w:pPr>
        <w:pStyle w:val="Heading2"/>
      </w:pPr>
      <w:r w:rsidRPr="00ED1913">
        <w:t>The Buyer can End this Call-Off Contract at any time by giving 30 days</w:t>
      </w:r>
      <w:r w:rsidR="00C82E38" w:rsidRPr="00ED1913">
        <w:t>’</w:t>
      </w:r>
      <w:r w:rsidRPr="00ED1913">
        <w:t xml:space="preserve"> written notice to the </w:t>
      </w:r>
      <w:proofErr w:type="gramStart"/>
      <w:r w:rsidRPr="00ED1913">
        <w:t>Supplier, unless</w:t>
      </w:r>
      <w:proofErr w:type="gramEnd"/>
      <w:r w:rsidRPr="00ED1913">
        <w:t xml:space="preserve"> a shorter period is specified in the Order Form. The Supplier</w:t>
      </w:r>
      <w:r w:rsidR="00C82E38" w:rsidRPr="00ED1913">
        <w:t>’</w:t>
      </w:r>
      <w:r w:rsidRPr="00ED1913">
        <w:t>s obligation to provide the Services will end on the date in the notice.</w:t>
      </w:r>
    </w:p>
    <w:p w14:paraId="458E8BCD" w14:textId="77777777" w:rsidR="001C706E" w:rsidRPr="00ED1913" w:rsidRDefault="001C706E" w:rsidP="001C706E">
      <w:pPr>
        <w:pStyle w:val="Heading2"/>
      </w:pPr>
      <w:r w:rsidRPr="00ED1913">
        <w:t>The Parties agree that the:</w:t>
      </w:r>
    </w:p>
    <w:p w14:paraId="08960D58" w14:textId="77777777" w:rsidR="001C706E" w:rsidRPr="00ED1913" w:rsidRDefault="001C706E" w:rsidP="008D6F49">
      <w:pPr>
        <w:pStyle w:val="ListParagraph"/>
        <w:numPr>
          <w:ilvl w:val="0"/>
          <w:numId w:val="6"/>
        </w:numPr>
        <w:ind w:left="1135" w:hanging="284"/>
        <w:contextualSpacing w:val="0"/>
      </w:pPr>
      <w:r w:rsidRPr="00ED1913">
        <w:t>Buyer</w:t>
      </w:r>
      <w:r w:rsidR="00C82E38" w:rsidRPr="00ED1913">
        <w:t>’</w:t>
      </w:r>
      <w:r w:rsidRPr="00ED1913">
        <w:t>s right to End the Call-Off Contract under clause 18.1 is reasonable considering the type of cloud Service being provided</w:t>
      </w:r>
    </w:p>
    <w:p w14:paraId="7F8AAE0D" w14:textId="77777777" w:rsidR="001C706E" w:rsidRPr="00ED1913" w:rsidRDefault="001C706E" w:rsidP="008D6F49">
      <w:pPr>
        <w:pStyle w:val="ListParagraph"/>
        <w:numPr>
          <w:ilvl w:val="0"/>
          <w:numId w:val="6"/>
        </w:numPr>
        <w:ind w:left="1135" w:hanging="284"/>
        <w:contextualSpacing w:val="0"/>
      </w:pPr>
      <w:r w:rsidRPr="00ED1913">
        <w:t>Call-Off Contract Charges paid during the notice period is reasonable compensation and covers all the Supplier</w:t>
      </w:r>
      <w:r w:rsidR="00C82E38" w:rsidRPr="00ED1913">
        <w:t>’</w:t>
      </w:r>
      <w:r w:rsidRPr="00ED1913">
        <w:t>s avoidable costs or Losses</w:t>
      </w:r>
    </w:p>
    <w:p w14:paraId="064414B3" w14:textId="77777777" w:rsidR="001C706E" w:rsidRPr="00ED1913" w:rsidRDefault="001C706E" w:rsidP="001C706E">
      <w:pPr>
        <w:pStyle w:val="Heading2"/>
      </w:pPr>
      <w:r w:rsidRPr="00ED1913">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CDAC0C2" w14:textId="77777777" w:rsidR="001C706E" w:rsidRPr="00ED1913" w:rsidRDefault="001C706E" w:rsidP="001C706E">
      <w:pPr>
        <w:pStyle w:val="Heading2"/>
      </w:pPr>
      <w:r w:rsidRPr="00ED1913">
        <w:t>The Buyer will have the right to End this Call-Off Contract at any time with immediate effect by written notice to the Supplier if either the Supplier commits:</w:t>
      </w:r>
    </w:p>
    <w:p w14:paraId="6F21D958" w14:textId="77777777" w:rsidR="001C706E" w:rsidRPr="00ED1913" w:rsidRDefault="001C706E" w:rsidP="008D6F49">
      <w:pPr>
        <w:pStyle w:val="ListParagraph"/>
        <w:numPr>
          <w:ilvl w:val="0"/>
          <w:numId w:val="6"/>
        </w:numPr>
        <w:ind w:left="1135" w:hanging="284"/>
        <w:contextualSpacing w:val="0"/>
      </w:pPr>
      <w:r w:rsidRPr="00ED1913">
        <w:t>a Supplier Default and if the Supplier Default cannot, in the reasonable opinion of the Buyer, be remedied</w:t>
      </w:r>
    </w:p>
    <w:p w14:paraId="009C0361" w14:textId="77777777" w:rsidR="001C706E" w:rsidRPr="00ED1913" w:rsidRDefault="001C706E" w:rsidP="008D6F49">
      <w:pPr>
        <w:pStyle w:val="ListParagraph"/>
        <w:numPr>
          <w:ilvl w:val="0"/>
          <w:numId w:val="6"/>
        </w:numPr>
        <w:ind w:left="1135" w:hanging="284"/>
        <w:contextualSpacing w:val="0"/>
      </w:pPr>
      <w:r w:rsidRPr="00ED1913">
        <w:t>any fraud</w:t>
      </w:r>
    </w:p>
    <w:p w14:paraId="7C3A3DD5" w14:textId="77777777" w:rsidR="001C706E" w:rsidRPr="00ED1913" w:rsidRDefault="001C706E" w:rsidP="001C706E">
      <w:pPr>
        <w:pStyle w:val="Heading2"/>
      </w:pPr>
      <w:r w:rsidRPr="00ED1913">
        <w:t>A Party can End this Call-Off Contract at any time with immediate effect by written notice if:</w:t>
      </w:r>
    </w:p>
    <w:p w14:paraId="61630AEA" w14:textId="77777777" w:rsidR="001C706E" w:rsidRPr="00ED1913" w:rsidRDefault="001C706E" w:rsidP="008D6F49">
      <w:pPr>
        <w:pStyle w:val="ListParagraph"/>
        <w:numPr>
          <w:ilvl w:val="0"/>
          <w:numId w:val="6"/>
        </w:numPr>
        <w:ind w:left="1135" w:hanging="284"/>
        <w:contextualSpacing w:val="0"/>
      </w:pPr>
      <w:r w:rsidRPr="00ED1913">
        <w:t>the other Party commits a Material Breach of any term of this Call-Off Contract (other than failure to pay any amounts due) and, if that breach is remediable, fails to remedy it within 15 Working Days of being notified in writing to do so</w:t>
      </w:r>
    </w:p>
    <w:p w14:paraId="2FA6A606" w14:textId="77777777" w:rsidR="001C706E" w:rsidRPr="00ED1913" w:rsidRDefault="001C706E" w:rsidP="008D6F49">
      <w:pPr>
        <w:pStyle w:val="ListParagraph"/>
        <w:numPr>
          <w:ilvl w:val="0"/>
          <w:numId w:val="6"/>
        </w:numPr>
        <w:ind w:left="1135" w:hanging="284"/>
        <w:contextualSpacing w:val="0"/>
      </w:pPr>
      <w:r w:rsidRPr="00ED1913">
        <w:t>an Insolvency Event of the other Party happens</w:t>
      </w:r>
    </w:p>
    <w:p w14:paraId="273C070D" w14:textId="77777777" w:rsidR="001C706E" w:rsidRPr="00ED1913" w:rsidRDefault="001C706E" w:rsidP="008D6F49">
      <w:pPr>
        <w:pStyle w:val="ListParagraph"/>
        <w:numPr>
          <w:ilvl w:val="0"/>
          <w:numId w:val="6"/>
        </w:numPr>
        <w:ind w:left="1135" w:hanging="284"/>
        <w:contextualSpacing w:val="0"/>
      </w:pPr>
      <w:r w:rsidRPr="00ED1913">
        <w:t>the other Party ceases or threatens to cease to carry on the whole or any material part of its business</w:t>
      </w:r>
    </w:p>
    <w:p w14:paraId="44E75384" w14:textId="77777777" w:rsidR="001C706E" w:rsidRPr="00ED1913" w:rsidRDefault="001C706E" w:rsidP="001C706E">
      <w:pPr>
        <w:pStyle w:val="Heading2"/>
      </w:pPr>
      <w:r w:rsidRPr="00ED1913">
        <w:t>If the Buyer fails to pay the Supplier undisputed sums of money when due, the Supplier must notify the Buyer and allow the Buyer 5 Working Days to pay. If the Buyer doesn</w:t>
      </w:r>
      <w:r w:rsidR="00C82E38" w:rsidRPr="00ED1913">
        <w:t>’</w:t>
      </w:r>
      <w:r w:rsidRPr="00ED1913">
        <w:t>t pay within 5 Working Days, the Supplier may End this Call-Off Contract by giving the length of notice in the Order Form.</w:t>
      </w:r>
    </w:p>
    <w:p w14:paraId="797BC7F7" w14:textId="77777777" w:rsidR="001C706E" w:rsidRPr="00ED1913" w:rsidRDefault="001C706E" w:rsidP="001C706E">
      <w:pPr>
        <w:pStyle w:val="Heading2"/>
      </w:pPr>
      <w:r w:rsidRPr="00ED1913">
        <w:t>A Party who isn</w:t>
      </w:r>
      <w:r w:rsidR="00C82E38" w:rsidRPr="00ED1913">
        <w:t>’</w:t>
      </w:r>
      <w:r w:rsidRPr="00ED1913">
        <w:t>t relying on a Force Majeure event will have the right to End this Call-Off Contract if clause 23.1 applies.</w:t>
      </w:r>
    </w:p>
    <w:p w14:paraId="1CB346D8" w14:textId="77777777" w:rsidR="001C706E" w:rsidRPr="00ED1913" w:rsidRDefault="001C706E" w:rsidP="001C706E"/>
    <w:p w14:paraId="24B1868A" w14:textId="77777777" w:rsidR="001C706E" w:rsidRPr="00ED1913" w:rsidRDefault="001C706E" w:rsidP="001C706E">
      <w:pPr>
        <w:pStyle w:val="Heading1"/>
      </w:pPr>
      <w:r w:rsidRPr="00ED1913">
        <w:t>Consequences of suspension, ending and expiry</w:t>
      </w:r>
    </w:p>
    <w:p w14:paraId="49832D34" w14:textId="77777777" w:rsidR="001C706E" w:rsidRPr="00ED1913" w:rsidRDefault="001C706E" w:rsidP="001C706E">
      <w:pPr>
        <w:pStyle w:val="Heading2"/>
      </w:pPr>
      <w:r w:rsidRPr="00ED1913">
        <w:t>If a Buyer has the right to End a Call-Off Contract, it may elect to suspend this Call-Off Contract or any part of it.</w:t>
      </w:r>
    </w:p>
    <w:p w14:paraId="486A1243" w14:textId="77777777" w:rsidR="001C706E" w:rsidRPr="00ED1913" w:rsidRDefault="001C706E" w:rsidP="001C706E">
      <w:pPr>
        <w:pStyle w:val="Heading2"/>
      </w:pPr>
      <w:r w:rsidRPr="00ED1913">
        <w:lastRenderedPageBreak/>
        <w:t>Even if a notice has been served to End this Call-Off Contract or any part of it, the Supplier must continue to provide the Ordered G-Cloud Services until the dates set out in the notice.</w:t>
      </w:r>
    </w:p>
    <w:p w14:paraId="284B5D2C" w14:textId="77777777" w:rsidR="001C706E" w:rsidRPr="00ED1913" w:rsidRDefault="001C706E" w:rsidP="001C706E">
      <w:pPr>
        <w:pStyle w:val="Heading2"/>
      </w:pPr>
      <w:r w:rsidRPr="00ED1913">
        <w:t>The rights and obligations of the Parties will cease on the Expiry Date or End Date (whichever applies) of this Call-Off Contract, except those continuing provisions described in clause 19.4.</w:t>
      </w:r>
    </w:p>
    <w:p w14:paraId="6E4229BD" w14:textId="77777777" w:rsidR="001C706E" w:rsidRPr="00ED1913" w:rsidRDefault="001C706E" w:rsidP="001C706E">
      <w:pPr>
        <w:pStyle w:val="Heading2"/>
      </w:pPr>
      <w:r w:rsidRPr="00ED1913">
        <w:t>Ending or expiry of this Call-Off Contract will not affect:</w:t>
      </w:r>
    </w:p>
    <w:p w14:paraId="7B481FCF" w14:textId="77777777" w:rsidR="001C706E" w:rsidRPr="00ED1913" w:rsidRDefault="001C706E" w:rsidP="008D6F49">
      <w:pPr>
        <w:pStyle w:val="ListParagraph"/>
        <w:numPr>
          <w:ilvl w:val="0"/>
          <w:numId w:val="6"/>
        </w:numPr>
        <w:ind w:left="1135" w:hanging="284"/>
        <w:contextualSpacing w:val="0"/>
      </w:pPr>
      <w:r w:rsidRPr="00ED1913">
        <w:t>any rights, remedies or obligations accrued before its Ending or expiration</w:t>
      </w:r>
    </w:p>
    <w:p w14:paraId="18F934A0" w14:textId="77777777" w:rsidR="001C706E" w:rsidRPr="00ED1913" w:rsidRDefault="001C706E" w:rsidP="008D6F49">
      <w:pPr>
        <w:pStyle w:val="ListParagraph"/>
        <w:numPr>
          <w:ilvl w:val="0"/>
          <w:numId w:val="6"/>
        </w:numPr>
        <w:ind w:left="1135" w:hanging="284"/>
        <w:contextualSpacing w:val="0"/>
      </w:pPr>
      <w:r w:rsidRPr="00ED1913">
        <w:t>the right of either Party to recover any amount outstanding at the time of Ending or expiry</w:t>
      </w:r>
    </w:p>
    <w:p w14:paraId="2B648B4F" w14:textId="77777777" w:rsidR="001C706E" w:rsidRPr="00ED1913" w:rsidRDefault="001C706E" w:rsidP="008D6F49">
      <w:pPr>
        <w:pStyle w:val="ListParagraph"/>
        <w:numPr>
          <w:ilvl w:val="0"/>
          <w:numId w:val="6"/>
        </w:numPr>
        <w:ind w:left="1135" w:hanging="284"/>
        <w:contextualSpacing w:val="0"/>
      </w:pPr>
      <w:r w:rsidRPr="00ED1913">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4B411D7B" w14:textId="77777777" w:rsidR="001C706E" w:rsidRPr="00ED1913" w:rsidRDefault="001C706E" w:rsidP="008D6F49">
      <w:pPr>
        <w:pStyle w:val="ListParagraph"/>
        <w:numPr>
          <w:ilvl w:val="0"/>
          <w:numId w:val="6"/>
        </w:numPr>
        <w:ind w:left="1135" w:hanging="284"/>
        <w:contextualSpacing w:val="0"/>
      </w:pPr>
      <w:r w:rsidRPr="00ED1913">
        <w:t>any other provision of the Framework Agreement or this Call-Off Contract which expressly or by implication is in force even if it Ends or expires</w:t>
      </w:r>
    </w:p>
    <w:p w14:paraId="1C14D1FA" w14:textId="77777777" w:rsidR="001C706E" w:rsidRPr="00ED1913" w:rsidRDefault="001C706E" w:rsidP="001C706E">
      <w:pPr>
        <w:pStyle w:val="Heading2"/>
      </w:pPr>
      <w:r w:rsidRPr="00ED1913">
        <w:t>At the end of the Call-Off Contract Term, the Supplier must promptly:</w:t>
      </w:r>
    </w:p>
    <w:p w14:paraId="65C81293" w14:textId="77777777" w:rsidR="001C706E" w:rsidRPr="00ED1913" w:rsidRDefault="001C706E" w:rsidP="008D6F49">
      <w:pPr>
        <w:pStyle w:val="ListParagraph"/>
        <w:numPr>
          <w:ilvl w:val="0"/>
          <w:numId w:val="6"/>
        </w:numPr>
        <w:ind w:left="1135" w:hanging="284"/>
        <w:contextualSpacing w:val="0"/>
      </w:pPr>
      <w:r w:rsidRPr="00ED1913">
        <w:t>return all Buyer Data including all copies of Buyer software, code and any other software licensed by the Buyer to the Supplier under it</w:t>
      </w:r>
    </w:p>
    <w:p w14:paraId="477D786E" w14:textId="77777777" w:rsidR="001C706E" w:rsidRPr="00ED1913" w:rsidRDefault="001C706E" w:rsidP="008D6F49">
      <w:pPr>
        <w:pStyle w:val="ListParagraph"/>
        <w:numPr>
          <w:ilvl w:val="0"/>
          <w:numId w:val="6"/>
        </w:numPr>
        <w:ind w:left="1135" w:hanging="284"/>
        <w:contextualSpacing w:val="0"/>
      </w:pPr>
      <w:r w:rsidRPr="00ED1913">
        <w:t>return any materials created by the Supplier under this Call-Off Contract if the IPRs are owned by the Buyer</w:t>
      </w:r>
    </w:p>
    <w:p w14:paraId="3381E46F" w14:textId="77777777" w:rsidR="001C706E" w:rsidRPr="00ED1913" w:rsidRDefault="001C706E" w:rsidP="008D6F49">
      <w:pPr>
        <w:pStyle w:val="ListParagraph"/>
        <w:numPr>
          <w:ilvl w:val="0"/>
          <w:numId w:val="6"/>
        </w:numPr>
        <w:ind w:left="1135" w:hanging="284"/>
        <w:contextualSpacing w:val="0"/>
      </w:pPr>
      <w:r w:rsidRPr="00ED1913">
        <w:t>stop using the Buyer Data and, at the direction of the Buyer, provide the Buyer with a complete and uncorrupted version in electronic form in the formats and on media agreed with the Buyer</w:t>
      </w:r>
    </w:p>
    <w:p w14:paraId="19255350" w14:textId="77777777" w:rsidR="001C706E" w:rsidRPr="00ED1913" w:rsidRDefault="001C706E" w:rsidP="008D6F49">
      <w:pPr>
        <w:pStyle w:val="ListParagraph"/>
        <w:numPr>
          <w:ilvl w:val="0"/>
          <w:numId w:val="6"/>
        </w:numPr>
        <w:ind w:left="1135" w:hanging="284"/>
        <w:contextualSpacing w:val="0"/>
      </w:pPr>
      <w:r w:rsidRPr="00ED1913">
        <w:t>destroy all copies of the Buyer Data when they receive the Buyer</w:t>
      </w:r>
      <w:r w:rsidR="00C82E38" w:rsidRPr="00ED1913">
        <w:t>’</w:t>
      </w:r>
      <w:r w:rsidRPr="00ED1913">
        <w:t>s written instructions to do so or 12 calendar months after the End or Expiry Date, and provide written confirmation to the Buyer that the data has been securely destroyed, except if the retention of Buyer Data is required by Law</w:t>
      </w:r>
    </w:p>
    <w:p w14:paraId="47F9E77F" w14:textId="77777777" w:rsidR="001C706E" w:rsidRPr="00ED1913" w:rsidRDefault="001C706E" w:rsidP="008D6F49">
      <w:pPr>
        <w:pStyle w:val="ListParagraph"/>
        <w:numPr>
          <w:ilvl w:val="0"/>
          <w:numId w:val="6"/>
        </w:numPr>
        <w:ind w:left="1135" w:hanging="284"/>
        <w:contextualSpacing w:val="0"/>
      </w:pPr>
      <w:r w:rsidRPr="00ED1913">
        <w:t>work with the Buyer on any ongoing work</w:t>
      </w:r>
    </w:p>
    <w:p w14:paraId="5932DF42" w14:textId="77777777" w:rsidR="001C706E" w:rsidRPr="00ED1913" w:rsidRDefault="001C706E" w:rsidP="008D6F49">
      <w:pPr>
        <w:pStyle w:val="ListParagraph"/>
        <w:numPr>
          <w:ilvl w:val="0"/>
          <w:numId w:val="6"/>
        </w:numPr>
        <w:ind w:left="1135" w:hanging="284"/>
        <w:contextualSpacing w:val="0"/>
      </w:pPr>
      <w:r w:rsidRPr="00ED1913">
        <w:t>return any sums prepaid for Services which have not been delivered to the Buyer, within 10 Working Days of the End or Expiry Date</w:t>
      </w:r>
    </w:p>
    <w:p w14:paraId="0FABC4F1" w14:textId="77777777" w:rsidR="001C706E" w:rsidRPr="00ED1913" w:rsidRDefault="001C706E" w:rsidP="001C706E">
      <w:pPr>
        <w:pStyle w:val="Heading2"/>
      </w:pPr>
      <w:r w:rsidRPr="00ED1913">
        <w:t>Each Party will return all of the other Party</w:t>
      </w:r>
      <w:r w:rsidR="00C82E38" w:rsidRPr="00ED1913">
        <w:t>’</w:t>
      </w:r>
      <w:r w:rsidRPr="00ED1913">
        <w:t xml:space="preserve">s Confidential Information and confirm this has been </w:t>
      </w:r>
      <w:proofErr w:type="gramStart"/>
      <w:r w:rsidRPr="00ED1913">
        <w:t>done, unless</w:t>
      </w:r>
      <w:proofErr w:type="gramEnd"/>
      <w:r w:rsidRPr="00ED1913">
        <w:t xml:space="preserve"> there is a legal requirement to keep it or this Call-Off Contract states otherwise.</w:t>
      </w:r>
    </w:p>
    <w:p w14:paraId="4BAEFC7C" w14:textId="77777777" w:rsidR="001C706E" w:rsidRPr="00ED1913" w:rsidRDefault="001C706E" w:rsidP="001C706E">
      <w:pPr>
        <w:pStyle w:val="Heading2"/>
      </w:pPr>
      <w:r w:rsidRPr="00ED1913">
        <w:t>All licences, leases and authorisations granted by the Buyer to the Supplier will cease at the end of the Call-Off Contract Term without the need for the Buyer to serve notice except if this Call-Off Contract states otherwise.</w:t>
      </w:r>
    </w:p>
    <w:p w14:paraId="1318FDF6" w14:textId="77777777" w:rsidR="001C706E" w:rsidRPr="00ED1913" w:rsidRDefault="001C706E" w:rsidP="001C706E"/>
    <w:p w14:paraId="40D382D6" w14:textId="77777777" w:rsidR="001C706E" w:rsidRPr="00ED1913" w:rsidRDefault="001C706E" w:rsidP="001C706E">
      <w:pPr>
        <w:pStyle w:val="Heading1"/>
      </w:pPr>
      <w:r w:rsidRPr="00ED1913">
        <w:t>Notices</w:t>
      </w:r>
    </w:p>
    <w:p w14:paraId="0D4F15A0" w14:textId="77777777" w:rsidR="001C706E" w:rsidRPr="00ED1913" w:rsidRDefault="001C706E" w:rsidP="0048469D">
      <w:pPr>
        <w:pStyle w:val="Heading2"/>
      </w:pPr>
      <w:r w:rsidRPr="00ED1913">
        <w:lastRenderedPageBreak/>
        <w:t xml:space="preserve">Any notices sent must be in writing. For the purpose of this clause, an email is accepted as being </w:t>
      </w:r>
      <w:r w:rsidR="00C82E38" w:rsidRPr="00ED1913">
        <w:t>‘</w:t>
      </w:r>
      <w:r w:rsidRPr="00ED1913">
        <w:t>in writing</w:t>
      </w:r>
      <w:r w:rsidR="00C82E38" w:rsidRPr="00ED1913">
        <w:t>’</w:t>
      </w:r>
      <w:r w:rsidRPr="00ED1913">
        <w:t>.</w:t>
      </w:r>
    </w:p>
    <w:p w14:paraId="2DFD5259" w14:textId="77777777" w:rsidR="001C706E" w:rsidRPr="00ED1913" w:rsidRDefault="001C706E" w:rsidP="001C706E"/>
    <w:tbl>
      <w:tblPr>
        <w:tblStyle w:val="TableGrid"/>
        <w:tblW w:w="0" w:type="auto"/>
        <w:tblInd w:w="567" w:type="dxa"/>
        <w:tblLook w:val="04A0" w:firstRow="1" w:lastRow="0" w:firstColumn="1" w:lastColumn="0" w:noHBand="0" w:noVBand="1"/>
      </w:tblPr>
      <w:tblGrid>
        <w:gridCol w:w="2835"/>
        <w:gridCol w:w="2835"/>
        <w:gridCol w:w="2835"/>
      </w:tblGrid>
      <w:tr w:rsidR="001C706E" w:rsidRPr="00ED1913" w14:paraId="726B80DF" w14:textId="77777777" w:rsidTr="0048469D">
        <w:tc>
          <w:tcPr>
            <w:tcW w:w="2835" w:type="dxa"/>
            <w:vAlign w:val="bottom"/>
          </w:tcPr>
          <w:p w14:paraId="6A4CF526" w14:textId="77777777" w:rsidR="001C706E" w:rsidRPr="00ED1913" w:rsidRDefault="001C706E" w:rsidP="0048469D">
            <w:pPr>
              <w:spacing w:before="60" w:after="60"/>
              <w:rPr>
                <w:b/>
              </w:rPr>
            </w:pPr>
            <w:r w:rsidRPr="00ED1913">
              <w:rPr>
                <w:b/>
              </w:rPr>
              <w:t>Manner of delivery</w:t>
            </w:r>
          </w:p>
        </w:tc>
        <w:tc>
          <w:tcPr>
            <w:tcW w:w="2835" w:type="dxa"/>
            <w:vAlign w:val="bottom"/>
          </w:tcPr>
          <w:p w14:paraId="2565A453" w14:textId="77777777" w:rsidR="001C706E" w:rsidRPr="00ED1913" w:rsidRDefault="001C706E" w:rsidP="0048469D">
            <w:pPr>
              <w:spacing w:before="60" w:after="60"/>
              <w:rPr>
                <w:b/>
              </w:rPr>
            </w:pPr>
            <w:r w:rsidRPr="00ED1913">
              <w:rPr>
                <w:b/>
              </w:rPr>
              <w:t>Deemed time of delivery</w:t>
            </w:r>
          </w:p>
        </w:tc>
        <w:tc>
          <w:tcPr>
            <w:tcW w:w="2835" w:type="dxa"/>
            <w:vAlign w:val="bottom"/>
          </w:tcPr>
          <w:p w14:paraId="475DBEBF" w14:textId="77777777" w:rsidR="001C706E" w:rsidRPr="00ED1913" w:rsidRDefault="001C706E" w:rsidP="0048469D">
            <w:pPr>
              <w:spacing w:before="60" w:after="60"/>
              <w:rPr>
                <w:b/>
              </w:rPr>
            </w:pPr>
            <w:r w:rsidRPr="00ED1913">
              <w:rPr>
                <w:b/>
              </w:rPr>
              <w:t>Proof of service</w:t>
            </w:r>
          </w:p>
        </w:tc>
      </w:tr>
      <w:tr w:rsidR="001C706E" w:rsidRPr="00ED1913" w14:paraId="505A052B" w14:textId="77777777" w:rsidTr="0048469D">
        <w:tc>
          <w:tcPr>
            <w:tcW w:w="2835" w:type="dxa"/>
          </w:tcPr>
          <w:p w14:paraId="213BE2E6" w14:textId="77777777" w:rsidR="001C706E" w:rsidRPr="00ED1913" w:rsidRDefault="001C706E" w:rsidP="0048469D">
            <w:pPr>
              <w:spacing w:before="60" w:after="60"/>
            </w:pPr>
            <w:r w:rsidRPr="00ED1913">
              <w:t>Email</w:t>
            </w:r>
          </w:p>
        </w:tc>
        <w:tc>
          <w:tcPr>
            <w:tcW w:w="2835" w:type="dxa"/>
          </w:tcPr>
          <w:p w14:paraId="117C5D03" w14:textId="77777777" w:rsidR="001C706E" w:rsidRPr="00ED1913" w:rsidRDefault="001C706E" w:rsidP="0048469D">
            <w:pPr>
              <w:spacing w:before="60" w:after="60"/>
            </w:pPr>
            <w:r w:rsidRPr="00ED1913">
              <w:t>9am on the first Working Day after sending</w:t>
            </w:r>
          </w:p>
        </w:tc>
        <w:tc>
          <w:tcPr>
            <w:tcW w:w="2835" w:type="dxa"/>
          </w:tcPr>
          <w:p w14:paraId="6B08EC31" w14:textId="77777777" w:rsidR="001C706E" w:rsidRPr="00ED1913" w:rsidRDefault="001C706E" w:rsidP="0048469D">
            <w:pPr>
              <w:spacing w:before="60" w:after="60"/>
            </w:pPr>
            <w:r w:rsidRPr="00ED1913">
              <w:t>Sent by pdf to the correct email address without getting an error message</w:t>
            </w:r>
          </w:p>
        </w:tc>
      </w:tr>
    </w:tbl>
    <w:p w14:paraId="288515B8" w14:textId="77777777" w:rsidR="001C706E" w:rsidRPr="00ED1913" w:rsidRDefault="001C706E" w:rsidP="001C706E"/>
    <w:p w14:paraId="149EF82E" w14:textId="77777777" w:rsidR="001C706E" w:rsidRPr="00ED1913" w:rsidRDefault="0048469D" w:rsidP="0048469D">
      <w:pPr>
        <w:pStyle w:val="Heading2"/>
      </w:pPr>
      <w:r w:rsidRPr="00ED1913">
        <w:t>T</w:t>
      </w:r>
      <w:r w:rsidR="001C706E" w:rsidRPr="00ED1913">
        <w:t>his clause does not apply to any legal action or other method of dispute resolution which should be sent to the addresses in the Order Form (other than a dispute notice under this Call-Off Contract).</w:t>
      </w:r>
    </w:p>
    <w:p w14:paraId="31A3C95D" w14:textId="77777777" w:rsidR="0048469D" w:rsidRPr="00ED1913" w:rsidRDefault="0048469D" w:rsidP="001C706E"/>
    <w:p w14:paraId="7370C7A7" w14:textId="77777777" w:rsidR="001C706E" w:rsidRPr="00ED1913" w:rsidRDefault="001C706E" w:rsidP="0048469D">
      <w:pPr>
        <w:pStyle w:val="Heading1"/>
      </w:pPr>
      <w:r w:rsidRPr="00ED1913">
        <w:t>Exit plan</w:t>
      </w:r>
    </w:p>
    <w:p w14:paraId="48A84DD3" w14:textId="77777777" w:rsidR="001C706E" w:rsidRPr="00ED1913" w:rsidRDefault="001C706E" w:rsidP="0048469D">
      <w:pPr>
        <w:pStyle w:val="Heading2"/>
      </w:pPr>
      <w:r w:rsidRPr="00ED1913">
        <w:t xml:space="preserve">The Supplier must provide an exit plan in its </w:t>
      </w:r>
      <w:proofErr w:type="gramStart"/>
      <w:r w:rsidRPr="00ED1913">
        <w:t>Application</w:t>
      </w:r>
      <w:proofErr w:type="gramEnd"/>
      <w:r w:rsidRPr="00ED1913">
        <w:t xml:space="preserve"> which ensures continuity of service and the Supplier will follow it.</w:t>
      </w:r>
    </w:p>
    <w:p w14:paraId="7BBE70BD" w14:textId="77777777" w:rsidR="001C706E" w:rsidRPr="00ED1913" w:rsidRDefault="001C706E" w:rsidP="0048469D">
      <w:pPr>
        <w:pStyle w:val="Heading2"/>
      </w:pPr>
      <w:r w:rsidRPr="00ED1913">
        <w:t>When requested, the Supplier will help the Buyer to migrate the Services to a replacement supplier in line with the exit plan. This will be at the Supplier</w:t>
      </w:r>
      <w:r w:rsidR="00C82E38" w:rsidRPr="00ED1913">
        <w:t>’</w:t>
      </w:r>
      <w:r w:rsidRPr="00ED1913">
        <w:t>s own expense if the Call-Off Contract Ended before the Expiry Date due to Supplier cause.</w:t>
      </w:r>
    </w:p>
    <w:p w14:paraId="53F801BD" w14:textId="77777777" w:rsidR="001C706E" w:rsidRPr="00ED1913" w:rsidRDefault="001C706E" w:rsidP="0048469D">
      <w:pPr>
        <w:pStyle w:val="Heading2"/>
      </w:pPr>
      <w:r w:rsidRPr="00ED1913">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ED1913">
        <w:t>18 month</w:t>
      </w:r>
      <w:proofErr w:type="gramEnd"/>
      <w:r w:rsidRPr="00ED1913">
        <w:t xml:space="preserve"> anniversary of the Start Date.</w:t>
      </w:r>
    </w:p>
    <w:p w14:paraId="6C678BE5" w14:textId="77777777" w:rsidR="001C706E" w:rsidRPr="00ED1913" w:rsidRDefault="001C706E" w:rsidP="0048469D">
      <w:pPr>
        <w:pStyle w:val="Heading2"/>
      </w:pPr>
      <w:r w:rsidRPr="00ED1913">
        <w:t>The Supplier must ensure that the additional exit plan clearly sets out the Supplier</w:t>
      </w:r>
      <w:r w:rsidR="00C82E38" w:rsidRPr="00ED1913">
        <w:t>’</w:t>
      </w:r>
      <w:r w:rsidRPr="00ED1913">
        <w:t>s methodology for achieving an orderly transition of the Services from the Supplier to the Buyer or its replacement Supplier at the expiry of the proposed extension period or if the contract Ends during that period.</w:t>
      </w:r>
    </w:p>
    <w:p w14:paraId="5B6EC108" w14:textId="77777777" w:rsidR="001C706E" w:rsidRPr="00ED1913" w:rsidRDefault="001C706E" w:rsidP="0048469D">
      <w:pPr>
        <w:pStyle w:val="Heading2"/>
      </w:pPr>
      <w:r w:rsidRPr="00ED1913">
        <w:t>Before submitting the additional exit plan to the Buyer for approval, the Supplier will work with the Buyer to ensure that the additional exit plan is aligned with the Buyer</w:t>
      </w:r>
      <w:r w:rsidR="00C82E38" w:rsidRPr="00ED1913">
        <w:t>’</w:t>
      </w:r>
      <w:r w:rsidRPr="00ED1913">
        <w:t>s own exit plan and strategy.</w:t>
      </w:r>
    </w:p>
    <w:p w14:paraId="42F03F06" w14:textId="77777777" w:rsidR="0048469D" w:rsidRPr="00ED1913" w:rsidRDefault="0048469D" w:rsidP="0048469D">
      <w:pPr>
        <w:pStyle w:val="Heading2"/>
      </w:pPr>
      <w:r w:rsidRPr="00ED1913">
        <w:t>The Supplier acknowledges that the Buyer</w:t>
      </w:r>
      <w:r w:rsidR="00C82E38" w:rsidRPr="00ED1913">
        <w:t>’</w:t>
      </w:r>
      <w:r w:rsidRPr="00ED1913">
        <w:t>s right to extend the Term beyond 24 months is subject to the Buyer</w:t>
      </w:r>
      <w:r w:rsidR="00C82E38" w:rsidRPr="00ED1913">
        <w:t>’</w:t>
      </w:r>
      <w:r w:rsidRPr="00ED1913">
        <w:t>s own governance process. Where the Buyer is a central government department, this includes the need to obtain approval from GDS under the Spend Controls process. The approval to extend will only be given if the Buyer can clearly demonstrate that the Supplier</w:t>
      </w:r>
      <w:r w:rsidR="00C82E38" w:rsidRPr="00ED1913">
        <w:t>’</w:t>
      </w:r>
      <w:r w:rsidRPr="00ED1913">
        <w:t>s additional exit plan ensures that:</w:t>
      </w:r>
    </w:p>
    <w:p w14:paraId="15AEB155" w14:textId="77777777" w:rsidR="0048469D" w:rsidRPr="00ED1913" w:rsidRDefault="0048469D" w:rsidP="008D6F49">
      <w:pPr>
        <w:pStyle w:val="ListParagraph"/>
        <w:numPr>
          <w:ilvl w:val="0"/>
          <w:numId w:val="7"/>
        </w:numPr>
        <w:ind w:left="1135" w:hanging="284"/>
        <w:contextualSpacing w:val="0"/>
      </w:pPr>
      <w:r w:rsidRPr="00ED1913">
        <w:t>the Buyer will be able to transfer the Services to a replacement supplier before the expiry or Ending of the extension period on terms that are commercially reasonable and acceptable to the Buyer</w:t>
      </w:r>
    </w:p>
    <w:p w14:paraId="69D5CFC9" w14:textId="77777777" w:rsidR="0048469D" w:rsidRPr="00ED1913" w:rsidRDefault="0048469D" w:rsidP="008D6F49">
      <w:pPr>
        <w:pStyle w:val="ListParagraph"/>
        <w:numPr>
          <w:ilvl w:val="0"/>
          <w:numId w:val="7"/>
        </w:numPr>
        <w:ind w:left="1135" w:hanging="284"/>
        <w:contextualSpacing w:val="0"/>
      </w:pPr>
      <w:r w:rsidRPr="00ED1913">
        <w:t>there will be no adverse impact on service continuity</w:t>
      </w:r>
    </w:p>
    <w:p w14:paraId="4A913DEA" w14:textId="77777777" w:rsidR="0048469D" w:rsidRPr="00ED1913" w:rsidRDefault="0048469D" w:rsidP="008D6F49">
      <w:pPr>
        <w:pStyle w:val="ListParagraph"/>
        <w:numPr>
          <w:ilvl w:val="0"/>
          <w:numId w:val="7"/>
        </w:numPr>
        <w:ind w:left="1135" w:hanging="284"/>
        <w:contextualSpacing w:val="0"/>
      </w:pPr>
      <w:r w:rsidRPr="00ED1913">
        <w:t>there is no vendor lock-in to the Supplier</w:t>
      </w:r>
      <w:r w:rsidR="00C82E38" w:rsidRPr="00ED1913">
        <w:t>’</w:t>
      </w:r>
      <w:r w:rsidRPr="00ED1913">
        <w:t>s Service at exit</w:t>
      </w:r>
    </w:p>
    <w:p w14:paraId="4101296D" w14:textId="77777777" w:rsidR="0048469D" w:rsidRPr="00ED1913" w:rsidRDefault="0048469D" w:rsidP="008D6F49">
      <w:pPr>
        <w:pStyle w:val="ListParagraph"/>
        <w:numPr>
          <w:ilvl w:val="0"/>
          <w:numId w:val="7"/>
        </w:numPr>
        <w:ind w:left="1135" w:hanging="284"/>
        <w:contextualSpacing w:val="0"/>
      </w:pPr>
      <w:r w:rsidRPr="00ED1913">
        <w:lastRenderedPageBreak/>
        <w:t xml:space="preserve">it enables the Buyer to meet its obligations under the Technology Code </w:t>
      </w:r>
      <w:proofErr w:type="gramStart"/>
      <w:r w:rsidRPr="00ED1913">
        <w:t>Of</w:t>
      </w:r>
      <w:proofErr w:type="gramEnd"/>
      <w:r w:rsidRPr="00ED1913">
        <w:t xml:space="preserve"> Practice</w:t>
      </w:r>
    </w:p>
    <w:p w14:paraId="649F1842" w14:textId="77777777" w:rsidR="0048469D" w:rsidRPr="00ED1913" w:rsidRDefault="0048469D" w:rsidP="0048469D">
      <w:pPr>
        <w:pStyle w:val="Heading2"/>
      </w:pPr>
      <w:r w:rsidRPr="00ED1913">
        <w:t>If approval is obtained by the Buyer to extend the Term, then the Supplier will comply with its obligations in the additional exit plan.</w:t>
      </w:r>
    </w:p>
    <w:p w14:paraId="467277C3" w14:textId="77777777" w:rsidR="0048469D" w:rsidRPr="00ED1913" w:rsidRDefault="0048469D" w:rsidP="0048469D">
      <w:pPr>
        <w:pStyle w:val="Heading2"/>
      </w:pPr>
      <w:r w:rsidRPr="00ED1913">
        <w:t>The additional exit plan must set out full details of timescales, activities and roles and responsibilities of the Parties for:</w:t>
      </w:r>
    </w:p>
    <w:p w14:paraId="3069613D" w14:textId="77777777" w:rsidR="0048469D" w:rsidRPr="00ED1913" w:rsidRDefault="0048469D" w:rsidP="008D6F49">
      <w:pPr>
        <w:pStyle w:val="ListParagraph"/>
        <w:numPr>
          <w:ilvl w:val="0"/>
          <w:numId w:val="7"/>
        </w:numPr>
        <w:ind w:left="1135" w:hanging="284"/>
        <w:contextualSpacing w:val="0"/>
      </w:pPr>
      <w:r w:rsidRPr="00ED1913">
        <w:t>the transfer to the Buyer of any technical information, instructions, manuals and code reasonably required by the Buyer to enable a smooth migration from the Supplier</w:t>
      </w:r>
    </w:p>
    <w:p w14:paraId="55C41C21" w14:textId="77777777" w:rsidR="0048469D" w:rsidRPr="00ED1913" w:rsidRDefault="0048469D" w:rsidP="008D6F49">
      <w:pPr>
        <w:pStyle w:val="ListParagraph"/>
        <w:numPr>
          <w:ilvl w:val="0"/>
          <w:numId w:val="7"/>
        </w:numPr>
        <w:ind w:left="1135" w:hanging="284"/>
        <w:contextualSpacing w:val="0"/>
      </w:pPr>
      <w:r w:rsidRPr="00ED1913">
        <w:t>the strategy for exportation and migration of Buyer Data from the Supplier system to the Buyer or a replacement supplier, including conversion to open standards or other standards required by the Buyer</w:t>
      </w:r>
    </w:p>
    <w:p w14:paraId="5F77F5F4" w14:textId="77777777" w:rsidR="0048469D" w:rsidRPr="00ED1913" w:rsidRDefault="0048469D" w:rsidP="008D6F49">
      <w:pPr>
        <w:pStyle w:val="ListParagraph"/>
        <w:numPr>
          <w:ilvl w:val="0"/>
          <w:numId w:val="7"/>
        </w:numPr>
        <w:ind w:left="1135" w:hanging="284"/>
        <w:contextualSpacing w:val="0"/>
      </w:pPr>
      <w:r w:rsidRPr="00ED1913">
        <w:t>the transfer of Project Specific IPR items and other Buyer customisations, configurations and databases to the Buyer or a replacement supplier</w:t>
      </w:r>
    </w:p>
    <w:p w14:paraId="182374EC" w14:textId="77777777" w:rsidR="0048469D" w:rsidRPr="00ED1913" w:rsidRDefault="0048469D" w:rsidP="008D6F49">
      <w:pPr>
        <w:pStyle w:val="ListParagraph"/>
        <w:numPr>
          <w:ilvl w:val="0"/>
          <w:numId w:val="7"/>
        </w:numPr>
        <w:ind w:left="1135" w:hanging="284"/>
        <w:contextualSpacing w:val="0"/>
      </w:pPr>
      <w:r w:rsidRPr="00ED1913">
        <w:t>the testing and assurance strategy for exported Buyer Data</w:t>
      </w:r>
    </w:p>
    <w:p w14:paraId="23494F10" w14:textId="77777777" w:rsidR="0048469D" w:rsidRPr="00ED1913" w:rsidRDefault="0048469D" w:rsidP="008D6F49">
      <w:pPr>
        <w:pStyle w:val="ListParagraph"/>
        <w:numPr>
          <w:ilvl w:val="0"/>
          <w:numId w:val="7"/>
        </w:numPr>
        <w:ind w:left="1135" w:hanging="284"/>
        <w:contextualSpacing w:val="0"/>
      </w:pPr>
      <w:r w:rsidRPr="00ED1913">
        <w:t>if relevant, TUPE-related activity to comply with the TUPE regulations</w:t>
      </w:r>
    </w:p>
    <w:p w14:paraId="4E6ADDAC" w14:textId="77777777" w:rsidR="0048469D" w:rsidRPr="00ED1913" w:rsidRDefault="0048469D" w:rsidP="008D6F49">
      <w:pPr>
        <w:pStyle w:val="ListParagraph"/>
        <w:numPr>
          <w:ilvl w:val="0"/>
          <w:numId w:val="7"/>
        </w:numPr>
        <w:ind w:left="1135" w:hanging="284"/>
        <w:contextualSpacing w:val="0"/>
      </w:pPr>
      <w:r w:rsidRPr="00ED1913">
        <w:t>any other activities and information which is reasonably required to ensure continuity of Service during the exit period and an orderly transition</w:t>
      </w:r>
    </w:p>
    <w:p w14:paraId="74C6E68C" w14:textId="77777777" w:rsidR="0048469D" w:rsidRPr="00ED1913" w:rsidRDefault="0048469D" w:rsidP="0048469D"/>
    <w:p w14:paraId="0D878B9D" w14:textId="77777777" w:rsidR="0048469D" w:rsidRPr="00ED1913" w:rsidRDefault="0048469D" w:rsidP="0048469D">
      <w:pPr>
        <w:pStyle w:val="Heading1"/>
      </w:pPr>
      <w:r w:rsidRPr="00ED1913">
        <w:t>Handover to replacement supplier</w:t>
      </w:r>
    </w:p>
    <w:p w14:paraId="2403B82A" w14:textId="77777777" w:rsidR="0048469D" w:rsidRPr="00ED1913" w:rsidRDefault="0048469D" w:rsidP="0048469D">
      <w:pPr>
        <w:pStyle w:val="Heading2"/>
      </w:pPr>
      <w:r w:rsidRPr="00ED1913">
        <w:t>At least 10 Working Days before the Expiry Date or End Date, the Supplier must provide any:</w:t>
      </w:r>
    </w:p>
    <w:p w14:paraId="3DBCEA97" w14:textId="77777777" w:rsidR="0048469D" w:rsidRPr="00ED1913" w:rsidRDefault="0048469D" w:rsidP="008D6F49">
      <w:pPr>
        <w:pStyle w:val="ListParagraph"/>
        <w:numPr>
          <w:ilvl w:val="0"/>
          <w:numId w:val="7"/>
        </w:numPr>
        <w:ind w:left="1135" w:hanging="284"/>
        <w:contextualSpacing w:val="0"/>
      </w:pPr>
      <w:r w:rsidRPr="00ED1913">
        <w:t>data (including Buyer Data), Buyer Personal Data and Buyer Confidential Information in the Supplier</w:t>
      </w:r>
      <w:r w:rsidR="00C82E38" w:rsidRPr="00ED1913">
        <w:t>’</w:t>
      </w:r>
      <w:r w:rsidRPr="00ED1913">
        <w:t>s possession, power or control</w:t>
      </w:r>
    </w:p>
    <w:p w14:paraId="138079B3" w14:textId="77777777" w:rsidR="0048469D" w:rsidRPr="00ED1913" w:rsidRDefault="0048469D" w:rsidP="008D6F49">
      <w:pPr>
        <w:pStyle w:val="ListParagraph"/>
        <w:numPr>
          <w:ilvl w:val="0"/>
          <w:numId w:val="7"/>
        </w:numPr>
        <w:ind w:left="1135" w:hanging="284"/>
        <w:contextualSpacing w:val="0"/>
      </w:pPr>
      <w:r w:rsidRPr="00ED1913">
        <w:t>other information reasonably requested by the Buyer</w:t>
      </w:r>
    </w:p>
    <w:p w14:paraId="42C98F82" w14:textId="77777777" w:rsidR="0048469D" w:rsidRPr="00ED1913" w:rsidRDefault="0048469D" w:rsidP="0048469D">
      <w:pPr>
        <w:pStyle w:val="Heading2"/>
      </w:pPr>
      <w:r w:rsidRPr="00ED1913">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9935301" w14:textId="77777777" w:rsidR="0048469D" w:rsidRPr="00ED1913" w:rsidRDefault="0048469D" w:rsidP="0048469D">
      <w:pPr>
        <w:pStyle w:val="Heading2"/>
      </w:pPr>
      <w:r w:rsidRPr="00ED1913">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3E432F8" w14:textId="77777777" w:rsidR="0048469D" w:rsidRPr="00ED1913" w:rsidRDefault="0048469D" w:rsidP="0048469D"/>
    <w:p w14:paraId="54841342" w14:textId="77777777" w:rsidR="0048469D" w:rsidRPr="00ED1913" w:rsidRDefault="0048469D" w:rsidP="0048469D">
      <w:pPr>
        <w:pStyle w:val="Heading1"/>
      </w:pPr>
      <w:r w:rsidRPr="00ED1913">
        <w:t>Force majeure</w:t>
      </w:r>
    </w:p>
    <w:p w14:paraId="69E3A989" w14:textId="77777777" w:rsidR="0048469D" w:rsidRPr="00ED1913" w:rsidRDefault="0048469D" w:rsidP="0048469D">
      <w:pPr>
        <w:pStyle w:val="Heading2"/>
      </w:pPr>
      <w:r w:rsidRPr="00ED1913">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DEBCF73" w14:textId="77777777" w:rsidR="0048469D" w:rsidRPr="00ED1913" w:rsidRDefault="0048469D" w:rsidP="0048469D"/>
    <w:p w14:paraId="3A825115" w14:textId="77777777" w:rsidR="0048469D" w:rsidRPr="00ED1913" w:rsidRDefault="0048469D" w:rsidP="0048469D">
      <w:pPr>
        <w:pStyle w:val="Heading1"/>
      </w:pPr>
      <w:r w:rsidRPr="00ED1913">
        <w:t>Liability</w:t>
      </w:r>
    </w:p>
    <w:p w14:paraId="346D7875" w14:textId="77777777" w:rsidR="0048469D" w:rsidRPr="00ED1913" w:rsidRDefault="0048469D" w:rsidP="0048469D">
      <w:pPr>
        <w:pStyle w:val="Heading2"/>
      </w:pPr>
      <w:r w:rsidRPr="00ED1913">
        <w:lastRenderedPageBreak/>
        <w:t>Subject to incorporated Framework Agreement clauses 4.2 to 4.7, each Party</w:t>
      </w:r>
      <w:r w:rsidR="00C82E38" w:rsidRPr="00ED1913">
        <w:t>’</w:t>
      </w:r>
      <w:r w:rsidRPr="00ED1913">
        <w:t>s Yearly total liability for defaults under or in connection with this Call-Off Contract (whether expressed as an indemnity or otherwise) will be set as follows:</w:t>
      </w:r>
    </w:p>
    <w:p w14:paraId="66B2F492" w14:textId="77777777" w:rsidR="0048469D" w:rsidRPr="00ED1913" w:rsidRDefault="0048469D" w:rsidP="008D6F49">
      <w:pPr>
        <w:pStyle w:val="ListParagraph"/>
        <w:numPr>
          <w:ilvl w:val="0"/>
          <w:numId w:val="7"/>
        </w:numPr>
        <w:ind w:left="1135" w:hanging="284"/>
        <w:contextualSpacing w:val="0"/>
      </w:pPr>
      <w:r w:rsidRPr="00ED1913">
        <w:t>Property: for all defaults resulting in direct loss to the property (including technical infrastructure, assets, IPR or equipment but excluding any loss or damage to Buyer Data) of the other Party, will not exceed the amount in the Order Form</w:t>
      </w:r>
    </w:p>
    <w:p w14:paraId="7A5D7D98" w14:textId="77777777" w:rsidR="0048469D" w:rsidRPr="00ED1913" w:rsidRDefault="0048469D" w:rsidP="008D6F49">
      <w:pPr>
        <w:pStyle w:val="ListParagraph"/>
        <w:numPr>
          <w:ilvl w:val="0"/>
          <w:numId w:val="7"/>
        </w:numPr>
        <w:ind w:left="1135" w:hanging="284"/>
        <w:contextualSpacing w:val="0"/>
      </w:pPr>
      <w:r w:rsidRPr="00ED1913">
        <w:t>Buyer Data: for all defaults resulting in direct loss, destruction, corruption, degradation or damage to any Buyer Data caused by the Supplier</w:t>
      </w:r>
      <w:r w:rsidR="00C82E38" w:rsidRPr="00ED1913">
        <w:t>’</w:t>
      </w:r>
      <w:r w:rsidRPr="00ED1913">
        <w:t>s default will not exceed the amount in the Order Form</w:t>
      </w:r>
    </w:p>
    <w:p w14:paraId="6FA83A62" w14:textId="77777777" w:rsidR="0048469D" w:rsidRPr="00ED1913" w:rsidRDefault="0048469D" w:rsidP="008D6F49">
      <w:pPr>
        <w:pStyle w:val="ListParagraph"/>
        <w:numPr>
          <w:ilvl w:val="0"/>
          <w:numId w:val="7"/>
        </w:numPr>
        <w:ind w:left="1135" w:hanging="284"/>
        <w:contextualSpacing w:val="0"/>
      </w:pPr>
      <w:r w:rsidRPr="00ED1913">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3D4BFB5" w14:textId="77777777" w:rsidR="0048469D" w:rsidRPr="00ED1913" w:rsidRDefault="0048469D" w:rsidP="0048469D"/>
    <w:p w14:paraId="33CB5134" w14:textId="77777777" w:rsidR="0048469D" w:rsidRPr="00ED1913" w:rsidRDefault="0048469D" w:rsidP="0048469D">
      <w:pPr>
        <w:pStyle w:val="Heading1"/>
      </w:pPr>
      <w:r w:rsidRPr="00ED1913">
        <w:t>Premises</w:t>
      </w:r>
    </w:p>
    <w:p w14:paraId="19F7188D" w14:textId="77777777" w:rsidR="0048469D" w:rsidRPr="00ED1913" w:rsidRDefault="0048469D" w:rsidP="0048469D">
      <w:pPr>
        <w:pStyle w:val="Heading2"/>
      </w:pPr>
      <w:r w:rsidRPr="00ED1913">
        <w:t>If either Party uses the other Party</w:t>
      </w:r>
      <w:r w:rsidR="00C82E38" w:rsidRPr="00ED1913">
        <w:t>’</w:t>
      </w:r>
      <w:r w:rsidRPr="00ED1913">
        <w:t>s premises, that Party is liable for all loss or damage it causes to the premises. It is responsible for repairing any damage to the premises or any objects on the premises, other than fair wear and tear.</w:t>
      </w:r>
    </w:p>
    <w:p w14:paraId="377598D6" w14:textId="77777777" w:rsidR="0048469D" w:rsidRPr="00ED1913" w:rsidRDefault="0048469D" w:rsidP="0048469D">
      <w:pPr>
        <w:pStyle w:val="Heading2"/>
      </w:pPr>
      <w:r w:rsidRPr="00ED1913">
        <w:t>The Supplier will use the Buyer</w:t>
      </w:r>
      <w:r w:rsidR="00C82E38" w:rsidRPr="00ED1913">
        <w:t>’</w:t>
      </w:r>
      <w:r w:rsidRPr="00ED1913">
        <w:t>s premises solely for the performance of its obligations under this Call-Off Contract.</w:t>
      </w:r>
    </w:p>
    <w:p w14:paraId="35752BC0" w14:textId="77777777" w:rsidR="0048469D" w:rsidRPr="00ED1913" w:rsidRDefault="0048469D" w:rsidP="0048469D">
      <w:pPr>
        <w:pStyle w:val="Heading2"/>
      </w:pPr>
      <w:r w:rsidRPr="00ED1913">
        <w:t>The Supplier will vacate the Buyer</w:t>
      </w:r>
      <w:r w:rsidR="00C82E38" w:rsidRPr="00ED1913">
        <w:t>’</w:t>
      </w:r>
      <w:r w:rsidRPr="00ED1913">
        <w:t>s premises when the Call-Off Contract Ends or expires.</w:t>
      </w:r>
    </w:p>
    <w:p w14:paraId="6B1C2EB4" w14:textId="77777777" w:rsidR="0048469D" w:rsidRPr="00ED1913" w:rsidRDefault="0048469D" w:rsidP="0048469D">
      <w:pPr>
        <w:pStyle w:val="Heading2"/>
      </w:pPr>
      <w:r w:rsidRPr="00ED1913">
        <w:t>This clause does not create a tenancy or exclusive right of occupation</w:t>
      </w:r>
    </w:p>
    <w:p w14:paraId="333893F2" w14:textId="77777777" w:rsidR="0048469D" w:rsidRPr="00ED1913" w:rsidRDefault="0048469D" w:rsidP="0048469D">
      <w:pPr>
        <w:pStyle w:val="Heading2"/>
      </w:pPr>
      <w:r w:rsidRPr="00ED1913">
        <w:t>While on the Buyer</w:t>
      </w:r>
      <w:r w:rsidR="00C82E38" w:rsidRPr="00ED1913">
        <w:t>’</w:t>
      </w:r>
      <w:r w:rsidRPr="00ED1913">
        <w:t>s premises, the Supplier will:</w:t>
      </w:r>
    </w:p>
    <w:p w14:paraId="1C907BC4" w14:textId="77777777" w:rsidR="0048469D" w:rsidRPr="00ED1913" w:rsidRDefault="0048469D" w:rsidP="008D6F49">
      <w:pPr>
        <w:pStyle w:val="ListParagraph"/>
        <w:numPr>
          <w:ilvl w:val="0"/>
          <w:numId w:val="8"/>
        </w:numPr>
        <w:ind w:left="1135" w:hanging="284"/>
        <w:contextualSpacing w:val="0"/>
      </w:pPr>
      <w:r w:rsidRPr="00ED1913">
        <w:t>comply with any security requirements at the premises and not do anything to weaken the security of the premises</w:t>
      </w:r>
    </w:p>
    <w:p w14:paraId="6DE8C14D" w14:textId="77777777" w:rsidR="0048469D" w:rsidRPr="00ED1913" w:rsidRDefault="0048469D" w:rsidP="008D6F49">
      <w:pPr>
        <w:pStyle w:val="ListParagraph"/>
        <w:numPr>
          <w:ilvl w:val="0"/>
          <w:numId w:val="8"/>
        </w:numPr>
        <w:ind w:left="1135" w:hanging="284"/>
        <w:contextualSpacing w:val="0"/>
      </w:pPr>
      <w:r w:rsidRPr="00ED1913">
        <w:t>comply with Buyer requirements for the conduct of personnel</w:t>
      </w:r>
    </w:p>
    <w:p w14:paraId="154CA288" w14:textId="77777777" w:rsidR="0048469D" w:rsidRPr="00ED1913" w:rsidRDefault="0048469D" w:rsidP="008D6F49">
      <w:pPr>
        <w:pStyle w:val="ListParagraph"/>
        <w:numPr>
          <w:ilvl w:val="0"/>
          <w:numId w:val="8"/>
        </w:numPr>
        <w:ind w:left="1135" w:hanging="284"/>
        <w:contextualSpacing w:val="0"/>
      </w:pPr>
      <w:r w:rsidRPr="00ED1913">
        <w:t>comply with any health and safety measures implemented by the Buyer</w:t>
      </w:r>
    </w:p>
    <w:p w14:paraId="3804031D" w14:textId="77777777" w:rsidR="0048469D" w:rsidRPr="00ED1913" w:rsidRDefault="0048469D" w:rsidP="008D6F49">
      <w:pPr>
        <w:pStyle w:val="ListParagraph"/>
        <w:numPr>
          <w:ilvl w:val="0"/>
          <w:numId w:val="8"/>
        </w:numPr>
        <w:ind w:left="1135" w:hanging="284"/>
        <w:contextualSpacing w:val="0"/>
      </w:pPr>
      <w:r w:rsidRPr="00ED1913">
        <w:t>immediately notify the Buyer of any incident on the premises that causes any damage to Property which could cause personal injury</w:t>
      </w:r>
    </w:p>
    <w:p w14:paraId="0CF842DC" w14:textId="77777777" w:rsidR="0048469D" w:rsidRPr="00ED1913" w:rsidRDefault="0048469D" w:rsidP="0048469D">
      <w:pPr>
        <w:pStyle w:val="Heading2"/>
      </w:pPr>
      <w:r w:rsidRPr="00ED1913">
        <w:rPr>
          <w:rStyle w:val="Heading2Char"/>
        </w:rPr>
        <w:t>The Supplier will ensure that its health and safety policy statement (as required by the Health a</w:t>
      </w:r>
      <w:r w:rsidRPr="00ED1913">
        <w:t>nd Safety at Work etc Act 1974) is made available to the Buyer on request.</w:t>
      </w:r>
    </w:p>
    <w:p w14:paraId="2B29A4CD" w14:textId="77777777" w:rsidR="0048469D" w:rsidRPr="00ED1913" w:rsidRDefault="0048469D" w:rsidP="0048469D"/>
    <w:p w14:paraId="77A40CC2" w14:textId="77777777" w:rsidR="0048469D" w:rsidRPr="00ED1913" w:rsidRDefault="0048469D" w:rsidP="0048469D">
      <w:pPr>
        <w:pStyle w:val="Heading1"/>
      </w:pPr>
      <w:r w:rsidRPr="00ED1913">
        <w:t>Equipment</w:t>
      </w:r>
    </w:p>
    <w:p w14:paraId="6B8A68D5" w14:textId="77777777" w:rsidR="0048469D" w:rsidRPr="00ED1913" w:rsidRDefault="0048469D" w:rsidP="0048469D">
      <w:pPr>
        <w:pStyle w:val="Heading2"/>
      </w:pPr>
      <w:r w:rsidRPr="00ED1913">
        <w:t>The Supplier is responsible for providing any Equipment which the Supplier requires to provide the Services.</w:t>
      </w:r>
    </w:p>
    <w:p w14:paraId="37E4A50C" w14:textId="77777777" w:rsidR="0048469D" w:rsidRPr="00ED1913" w:rsidRDefault="0048469D" w:rsidP="0048469D">
      <w:pPr>
        <w:pStyle w:val="Heading2"/>
      </w:pPr>
      <w:r w:rsidRPr="00ED1913">
        <w:t>Any Equipment brought onto the premises will be at the Supplier</w:t>
      </w:r>
      <w:r w:rsidR="00C82E38" w:rsidRPr="00ED1913">
        <w:t>’</w:t>
      </w:r>
      <w:r w:rsidRPr="00ED1913">
        <w:t>s own risk and the Buyer will have no liability for any loss of, or damage to, any Equipment.</w:t>
      </w:r>
    </w:p>
    <w:p w14:paraId="599C85F7" w14:textId="77777777" w:rsidR="0048469D" w:rsidRPr="00ED1913" w:rsidRDefault="0048469D" w:rsidP="0048469D">
      <w:pPr>
        <w:pStyle w:val="Heading2"/>
      </w:pPr>
      <w:r w:rsidRPr="00ED1913">
        <w:t>When the Call-Off Contract Ends or expires, the Supplier will remove the Equipment and any other materials leaving the premises in a safe and clean condition.</w:t>
      </w:r>
    </w:p>
    <w:p w14:paraId="64CC2EF1" w14:textId="77777777" w:rsidR="0048469D" w:rsidRPr="00ED1913" w:rsidRDefault="0048469D" w:rsidP="0048469D"/>
    <w:p w14:paraId="0831C811" w14:textId="77777777" w:rsidR="0048469D" w:rsidRPr="00ED1913" w:rsidRDefault="0048469D" w:rsidP="0048469D">
      <w:pPr>
        <w:pStyle w:val="Heading1"/>
      </w:pPr>
      <w:r w:rsidRPr="00ED1913">
        <w:t>The Contracts (Rights of Third Parties) Act 1999</w:t>
      </w:r>
    </w:p>
    <w:p w14:paraId="78D4F8F5" w14:textId="77777777" w:rsidR="0048469D" w:rsidRPr="00ED1913" w:rsidRDefault="0048469D" w:rsidP="0048469D">
      <w:pPr>
        <w:pStyle w:val="Heading2"/>
      </w:pPr>
      <w:r w:rsidRPr="00ED1913">
        <w:t>Except as specified in clause 29.8, a person who isn</w:t>
      </w:r>
      <w:r w:rsidR="00C82E38" w:rsidRPr="00ED1913">
        <w:t>’</w:t>
      </w:r>
      <w:r w:rsidRPr="00ED1913">
        <w:t>t Party to this Call-Off Contract has no right under the Contracts (Rights of Third Parties) Act 1999 to enforce any of its terms. This does not affect any right or remedy of any person which exists or is available otherwise.</w:t>
      </w:r>
    </w:p>
    <w:p w14:paraId="1D5FC578" w14:textId="77777777" w:rsidR="0048469D" w:rsidRPr="00ED1913" w:rsidRDefault="0048469D" w:rsidP="0048469D"/>
    <w:p w14:paraId="7E2746CF" w14:textId="77777777" w:rsidR="0048469D" w:rsidRPr="00ED1913" w:rsidRDefault="0048469D" w:rsidP="0048469D">
      <w:pPr>
        <w:pStyle w:val="Heading1"/>
      </w:pPr>
      <w:r w:rsidRPr="00ED1913">
        <w:t>Environmental requirements</w:t>
      </w:r>
    </w:p>
    <w:p w14:paraId="43D47892" w14:textId="77777777" w:rsidR="0048469D" w:rsidRPr="00ED1913" w:rsidRDefault="0048469D" w:rsidP="0048469D">
      <w:pPr>
        <w:pStyle w:val="Heading2"/>
      </w:pPr>
      <w:r w:rsidRPr="00ED1913">
        <w:t>The Buyer will provide a copy of its environmental policy to the Supplier on request, which the Supplier will comply with.</w:t>
      </w:r>
    </w:p>
    <w:p w14:paraId="49225F2B" w14:textId="77777777" w:rsidR="0048469D" w:rsidRPr="00ED1913" w:rsidRDefault="0048469D" w:rsidP="0048469D">
      <w:pPr>
        <w:pStyle w:val="Heading2"/>
      </w:pPr>
      <w:r w:rsidRPr="00ED1913">
        <w:t>The Supplier must provide reasonable support to enable Buyers to work in an environmentally friendly way, for example by helping them recycle or lower their carbon footprint.</w:t>
      </w:r>
    </w:p>
    <w:p w14:paraId="46A9BE33" w14:textId="77777777" w:rsidR="0048469D" w:rsidRPr="00ED1913" w:rsidRDefault="0048469D" w:rsidP="0048469D"/>
    <w:p w14:paraId="78F29299" w14:textId="77777777" w:rsidR="0048469D" w:rsidRPr="00ED1913" w:rsidRDefault="0048469D" w:rsidP="0048469D">
      <w:pPr>
        <w:pStyle w:val="Heading1"/>
      </w:pPr>
      <w:r w:rsidRPr="00ED1913">
        <w:t>The Employment Regulations (TUPE)</w:t>
      </w:r>
    </w:p>
    <w:p w14:paraId="0CEF0340" w14:textId="77777777" w:rsidR="0048469D" w:rsidRPr="00ED1913" w:rsidRDefault="0048469D" w:rsidP="0048469D">
      <w:pPr>
        <w:pStyle w:val="Heading2"/>
      </w:pPr>
      <w:r w:rsidRPr="00ED1913">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85C77E8" w14:textId="77777777" w:rsidR="0048469D" w:rsidRPr="00ED1913" w:rsidRDefault="0048469D" w:rsidP="0048469D">
      <w:pPr>
        <w:pStyle w:val="Heading2"/>
      </w:pPr>
      <w:r w:rsidRPr="00ED1913">
        <w:t>Twelve months before this Call-Off Contract expires, or after the Buyer has given notice to End it, and within 28 days of the Buyer</w:t>
      </w:r>
      <w:r w:rsidR="00C82E38" w:rsidRPr="00ED1913">
        <w:t>’</w:t>
      </w:r>
      <w:r w:rsidRPr="00ED1913">
        <w:t>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E70C7F7" w14:textId="77777777" w:rsidR="0048469D" w:rsidRPr="00ED1913" w:rsidRDefault="0048469D" w:rsidP="008D6F49">
      <w:pPr>
        <w:pStyle w:val="ListParagraph"/>
        <w:numPr>
          <w:ilvl w:val="0"/>
          <w:numId w:val="8"/>
        </w:numPr>
        <w:ind w:left="1135" w:hanging="284"/>
        <w:contextualSpacing w:val="0"/>
      </w:pPr>
      <w:r w:rsidRPr="00ED1913">
        <w:t>the activities they perform</w:t>
      </w:r>
    </w:p>
    <w:p w14:paraId="67B4098C" w14:textId="77777777" w:rsidR="0048469D" w:rsidRPr="00ED1913" w:rsidRDefault="0048469D" w:rsidP="008D6F49">
      <w:pPr>
        <w:pStyle w:val="ListParagraph"/>
        <w:numPr>
          <w:ilvl w:val="0"/>
          <w:numId w:val="8"/>
        </w:numPr>
        <w:ind w:left="1135" w:hanging="284"/>
        <w:contextualSpacing w:val="0"/>
      </w:pPr>
      <w:r w:rsidRPr="00ED1913">
        <w:t>age</w:t>
      </w:r>
    </w:p>
    <w:p w14:paraId="00DF3042" w14:textId="77777777" w:rsidR="0048469D" w:rsidRPr="00ED1913" w:rsidRDefault="0048469D" w:rsidP="008D6F49">
      <w:pPr>
        <w:pStyle w:val="ListParagraph"/>
        <w:numPr>
          <w:ilvl w:val="0"/>
          <w:numId w:val="8"/>
        </w:numPr>
        <w:ind w:left="1135" w:hanging="284"/>
        <w:contextualSpacing w:val="0"/>
      </w:pPr>
      <w:r w:rsidRPr="00ED1913">
        <w:t>start date</w:t>
      </w:r>
    </w:p>
    <w:p w14:paraId="0D4AF2C7" w14:textId="77777777" w:rsidR="0048469D" w:rsidRPr="00ED1913" w:rsidRDefault="0048469D" w:rsidP="008D6F49">
      <w:pPr>
        <w:pStyle w:val="ListParagraph"/>
        <w:numPr>
          <w:ilvl w:val="0"/>
          <w:numId w:val="8"/>
        </w:numPr>
        <w:ind w:left="1135" w:hanging="284"/>
        <w:contextualSpacing w:val="0"/>
      </w:pPr>
      <w:r w:rsidRPr="00ED1913">
        <w:t>place of work</w:t>
      </w:r>
    </w:p>
    <w:p w14:paraId="0F506283" w14:textId="77777777" w:rsidR="0048469D" w:rsidRPr="00ED1913" w:rsidRDefault="0048469D" w:rsidP="008D6F49">
      <w:pPr>
        <w:pStyle w:val="ListParagraph"/>
        <w:numPr>
          <w:ilvl w:val="0"/>
          <w:numId w:val="8"/>
        </w:numPr>
        <w:ind w:left="1135" w:hanging="284"/>
        <w:contextualSpacing w:val="0"/>
      </w:pPr>
      <w:r w:rsidRPr="00ED1913">
        <w:t>notice period</w:t>
      </w:r>
    </w:p>
    <w:p w14:paraId="19DFECA2" w14:textId="77777777" w:rsidR="0048469D" w:rsidRPr="00ED1913" w:rsidRDefault="0048469D" w:rsidP="008D6F49">
      <w:pPr>
        <w:pStyle w:val="ListParagraph"/>
        <w:numPr>
          <w:ilvl w:val="0"/>
          <w:numId w:val="8"/>
        </w:numPr>
        <w:ind w:left="1135" w:hanging="284"/>
        <w:contextualSpacing w:val="0"/>
      </w:pPr>
      <w:r w:rsidRPr="00ED1913">
        <w:t>redundancy payment entitlement</w:t>
      </w:r>
    </w:p>
    <w:p w14:paraId="3E85C50D" w14:textId="77777777" w:rsidR="0048469D" w:rsidRPr="00ED1913" w:rsidRDefault="0048469D" w:rsidP="008D6F49">
      <w:pPr>
        <w:pStyle w:val="ListParagraph"/>
        <w:numPr>
          <w:ilvl w:val="0"/>
          <w:numId w:val="8"/>
        </w:numPr>
        <w:ind w:left="1135" w:hanging="284"/>
        <w:contextualSpacing w:val="0"/>
      </w:pPr>
      <w:r w:rsidRPr="00ED1913">
        <w:t>salary, benefits and pension entitlements</w:t>
      </w:r>
    </w:p>
    <w:p w14:paraId="2CE55CC7" w14:textId="77777777" w:rsidR="0048469D" w:rsidRPr="00ED1913" w:rsidRDefault="0048469D" w:rsidP="008D6F49">
      <w:pPr>
        <w:pStyle w:val="ListParagraph"/>
        <w:numPr>
          <w:ilvl w:val="0"/>
          <w:numId w:val="8"/>
        </w:numPr>
        <w:ind w:left="1135" w:hanging="284"/>
        <w:contextualSpacing w:val="0"/>
      </w:pPr>
      <w:r w:rsidRPr="00ED1913">
        <w:t>employment status</w:t>
      </w:r>
    </w:p>
    <w:p w14:paraId="76250060" w14:textId="77777777" w:rsidR="0048469D" w:rsidRPr="00ED1913" w:rsidRDefault="0048469D" w:rsidP="008D6F49">
      <w:pPr>
        <w:pStyle w:val="ListParagraph"/>
        <w:numPr>
          <w:ilvl w:val="0"/>
          <w:numId w:val="8"/>
        </w:numPr>
        <w:ind w:left="1135" w:hanging="284"/>
        <w:contextualSpacing w:val="0"/>
      </w:pPr>
      <w:r w:rsidRPr="00ED1913">
        <w:t>identity of employer</w:t>
      </w:r>
    </w:p>
    <w:p w14:paraId="048C6B06" w14:textId="77777777" w:rsidR="0048469D" w:rsidRPr="00ED1913" w:rsidRDefault="0048469D" w:rsidP="008D6F49">
      <w:pPr>
        <w:pStyle w:val="ListParagraph"/>
        <w:numPr>
          <w:ilvl w:val="0"/>
          <w:numId w:val="8"/>
        </w:numPr>
        <w:ind w:left="1135" w:hanging="284"/>
        <w:contextualSpacing w:val="0"/>
      </w:pPr>
      <w:r w:rsidRPr="00ED1913">
        <w:t>working arrangements</w:t>
      </w:r>
    </w:p>
    <w:p w14:paraId="19F27A4E" w14:textId="77777777" w:rsidR="0048469D" w:rsidRPr="00ED1913" w:rsidRDefault="0048469D" w:rsidP="008D6F49">
      <w:pPr>
        <w:pStyle w:val="ListParagraph"/>
        <w:numPr>
          <w:ilvl w:val="0"/>
          <w:numId w:val="8"/>
        </w:numPr>
        <w:ind w:left="1135" w:hanging="284"/>
        <w:contextualSpacing w:val="0"/>
      </w:pPr>
      <w:r w:rsidRPr="00ED1913">
        <w:t>outstanding liabilities</w:t>
      </w:r>
    </w:p>
    <w:p w14:paraId="064AD3DD" w14:textId="77777777" w:rsidR="0048469D" w:rsidRPr="00ED1913" w:rsidRDefault="0048469D" w:rsidP="008D6F49">
      <w:pPr>
        <w:pStyle w:val="ListParagraph"/>
        <w:numPr>
          <w:ilvl w:val="0"/>
          <w:numId w:val="8"/>
        </w:numPr>
        <w:ind w:left="1135" w:hanging="284"/>
        <w:contextualSpacing w:val="0"/>
      </w:pPr>
      <w:r w:rsidRPr="00ED1913">
        <w:t>sickness absence</w:t>
      </w:r>
    </w:p>
    <w:p w14:paraId="7FAE6A5F" w14:textId="77777777" w:rsidR="0048469D" w:rsidRPr="00ED1913" w:rsidRDefault="0048469D" w:rsidP="008D6F49">
      <w:pPr>
        <w:pStyle w:val="ListParagraph"/>
        <w:numPr>
          <w:ilvl w:val="0"/>
          <w:numId w:val="8"/>
        </w:numPr>
        <w:ind w:left="1135" w:hanging="284"/>
        <w:contextualSpacing w:val="0"/>
      </w:pPr>
      <w:r w:rsidRPr="00ED1913">
        <w:t>copies of all relevant employment contracts and related documents</w:t>
      </w:r>
    </w:p>
    <w:p w14:paraId="6133BB57" w14:textId="77777777" w:rsidR="0048469D" w:rsidRPr="00ED1913" w:rsidRDefault="0048469D" w:rsidP="008D6F49">
      <w:pPr>
        <w:pStyle w:val="ListParagraph"/>
        <w:numPr>
          <w:ilvl w:val="0"/>
          <w:numId w:val="8"/>
        </w:numPr>
        <w:ind w:left="1135" w:hanging="284"/>
        <w:contextualSpacing w:val="0"/>
      </w:pPr>
      <w:r w:rsidRPr="00ED1913">
        <w:t>all information required under regulation 11 of TUPE or as reasonably requested by the Buyer</w:t>
      </w:r>
    </w:p>
    <w:p w14:paraId="18A6EA20" w14:textId="77777777" w:rsidR="0048469D" w:rsidRPr="00ED1913" w:rsidRDefault="0048469D" w:rsidP="0048469D">
      <w:pPr>
        <w:pStyle w:val="Heading2"/>
      </w:pPr>
      <w:r w:rsidRPr="00ED1913">
        <w:t xml:space="preserve">The Supplier warrants the accuracy of the information provided under this TUPE clause and will notify the Buyer of any changes to the amended </w:t>
      </w:r>
      <w:r w:rsidRPr="00ED1913">
        <w:lastRenderedPageBreak/>
        <w:t>information as soon as reasonably possible. The Supplier will permit the Buyer to use and disclose the information to any prospective Replacement Supplier.</w:t>
      </w:r>
    </w:p>
    <w:p w14:paraId="56708838" w14:textId="77777777" w:rsidR="0048469D" w:rsidRPr="00ED1913" w:rsidRDefault="0048469D" w:rsidP="0048469D">
      <w:pPr>
        <w:pStyle w:val="Heading2"/>
      </w:pPr>
      <w:r w:rsidRPr="00ED1913">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626A7D5" w14:textId="77777777" w:rsidR="0048469D" w:rsidRPr="00ED1913" w:rsidRDefault="0048469D" w:rsidP="0048469D">
      <w:pPr>
        <w:pStyle w:val="Heading2"/>
      </w:pPr>
      <w:r w:rsidRPr="00ED1913">
        <w:t>The Supplier will co-operate with the re-tendering of this Call-Off Contract by allowing the Replacement Supplier to communicate with and meet the affected employees or their representatives.</w:t>
      </w:r>
    </w:p>
    <w:p w14:paraId="040167E8" w14:textId="77777777" w:rsidR="0048469D" w:rsidRPr="00ED1913" w:rsidRDefault="0048469D" w:rsidP="0048469D">
      <w:pPr>
        <w:pStyle w:val="Heading2"/>
      </w:pPr>
      <w:r w:rsidRPr="00ED1913">
        <w:t>The Supplier will indemnify the Buyer or any Replacement Supplier for all Loss arising from both:</w:t>
      </w:r>
    </w:p>
    <w:p w14:paraId="44FBD45F" w14:textId="77777777" w:rsidR="0048469D" w:rsidRPr="00ED1913" w:rsidRDefault="0048469D" w:rsidP="008D6F49">
      <w:pPr>
        <w:pStyle w:val="ListParagraph"/>
        <w:numPr>
          <w:ilvl w:val="0"/>
          <w:numId w:val="8"/>
        </w:numPr>
        <w:ind w:left="1135" w:hanging="284"/>
        <w:contextualSpacing w:val="0"/>
      </w:pPr>
      <w:r w:rsidRPr="00ED1913">
        <w:t>its failure to comply with the provisions of this clause</w:t>
      </w:r>
    </w:p>
    <w:p w14:paraId="0C0F16FC" w14:textId="77777777" w:rsidR="0048469D" w:rsidRPr="00ED1913" w:rsidRDefault="0048469D" w:rsidP="008D6F49">
      <w:pPr>
        <w:pStyle w:val="ListParagraph"/>
        <w:numPr>
          <w:ilvl w:val="0"/>
          <w:numId w:val="8"/>
        </w:numPr>
        <w:ind w:left="1135" w:hanging="284"/>
        <w:contextualSpacing w:val="0"/>
      </w:pPr>
      <w:r w:rsidRPr="00ED1913">
        <w:t>any claim by any employee or person claiming to be an employee (or their employee representative) of the Supplier which arises or is alleged to arise from any act or omission by the Supplier on or before the date of the Relevant Transfer</w:t>
      </w:r>
    </w:p>
    <w:p w14:paraId="39F16630" w14:textId="77777777" w:rsidR="0048469D" w:rsidRPr="00ED1913" w:rsidRDefault="0048469D" w:rsidP="0048469D">
      <w:pPr>
        <w:pStyle w:val="Heading2"/>
      </w:pPr>
      <w:r w:rsidRPr="00ED1913">
        <w:t>The provisions of this clause apply during the Term of this Call-Off Contract and indefinitely after it Ends or expires.</w:t>
      </w:r>
    </w:p>
    <w:p w14:paraId="7CEA1274" w14:textId="77777777" w:rsidR="0048469D" w:rsidRPr="00ED1913" w:rsidRDefault="0048469D" w:rsidP="0048469D">
      <w:pPr>
        <w:pStyle w:val="Heading2"/>
      </w:pPr>
      <w:r w:rsidRPr="00ED1913">
        <w:t xml:space="preserve">For these TUPE clauses, the relevant third party will be able to enforce its rights under this </w:t>
      </w:r>
      <w:proofErr w:type="gramStart"/>
      <w:r w:rsidRPr="00ED1913">
        <w:t>clause</w:t>
      </w:r>
      <w:proofErr w:type="gramEnd"/>
      <w:r w:rsidRPr="00ED1913">
        <w:t xml:space="preserve"> but their consent will not be required to vary these clauses as the Buyer and Supplier may agree.</w:t>
      </w:r>
    </w:p>
    <w:p w14:paraId="3AD2F63C" w14:textId="77777777" w:rsidR="0048469D" w:rsidRPr="00ED1913" w:rsidRDefault="0048469D" w:rsidP="0048469D"/>
    <w:p w14:paraId="4A3D2CA5" w14:textId="77777777" w:rsidR="0048469D" w:rsidRPr="00ED1913" w:rsidRDefault="0048469D" w:rsidP="0048469D">
      <w:pPr>
        <w:pStyle w:val="Heading1"/>
      </w:pPr>
      <w:r w:rsidRPr="00ED1913">
        <w:t>Additional G-Cloud services</w:t>
      </w:r>
    </w:p>
    <w:p w14:paraId="27E68F68" w14:textId="77777777" w:rsidR="0048469D" w:rsidRPr="00ED1913" w:rsidRDefault="0048469D" w:rsidP="0048469D">
      <w:pPr>
        <w:pStyle w:val="Heading2"/>
      </w:pPr>
      <w:r w:rsidRPr="00ED1913">
        <w:t>The Buyer may require the Supplier to provide Additional Services. The Buyer doesn</w:t>
      </w:r>
      <w:r w:rsidR="00C82E38" w:rsidRPr="00ED1913">
        <w:t>’</w:t>
      </w:r>
      <w:r w:rsidRPr="00ED1913">
        <w:t>t have to buy any Additional Services from the Supplier and can buy services that are the same as or similar to the Additional Services from any third party.</w:t>
      </w:r>
    </w:p>
    <w:p w14:paraId="53185DF9" w14:textId="77777777" w:rsidR="0048469D" w:rsidRPr="00ED1913" w:rsidRDefault="0048469D" w:rsidP="0048469D">
      <w:pPr>
        <w:pStyle w:val="Heading2"/>
      </w:pPr>
      <w:r w:rsidRPr="00ED1913">
        <w:t>If reasonably requested to do so by the Buyer in the Order Form, the Supplier must provide and monitor performance of the Additional Services using an Implementation Plan.</w:t>
      </w:r>
    </w:p>
    <w:p w14:paraId="68DA0773" w14:textId="77777777" w:rsidR="0048469D" w:rsidRPr="00ED1913" w:rsidRDefault="0048469D" w:rsidP="0048469D"/>
    <w:p w14:paraId="0F5CB97F" w14:textId="77777777" w:rsidR="0048469D" w:rsidRPr="00ED1913" w:rsidRDefault="0048469D" w:rsidP="0048469D">
      <w:pPr>
        <w:pStyle w:val="Heading1"/>
      </w:pPr>
      <w:r w:rsidRPr="00ED1913">
        <w:t>Collaboration</w:t>
      </w:r>
    </w:p>
    <w:p w14:paraId="7344F422" w14:textId="77777777" w:rsidR="0048469D" w:rsidRPr="00ED1913" w:rsidRDefault="0048469D" w:rsidP="0048469D">
      <w:pPr>
        <w:pStyle w:val="Heading2"/>
      </w:pPr>
      <w:r w:rsidRPr="00ED1913">
        <w:t>If the Buyer has specified in the Order Form that it requires the Supplier to enter into a Collaboration Agreement, the Supplier must give the Buyer an executed Collaboration Agreement before the Start Date in the form set out in Schedule 3.</w:t>
      </w:r>
    </w:p>
    <w:p w14:paraId="3756A2A1" w14:textId="77777777" w:rsidR="0048469D" w:rsidRPr="00ED1913" w:rsidRDefault="0048469D" w:rsidP="0048469D">
      <w:pPr>
        <w:pStyle w:val="Heading2"/>
      </w:pPr>
      <w:r w:rsidRPr="00ED1913">
        <w:t>In addition to any obligations under the Collaboration Agreement, the Supplier must:</w:t>
      </w:r>
    </w:p>
    <w:p w14:paraId="11A9D215" w14:textId="77777777" w:rsidR="0048469D" w:rsidRPr="00ED1913" w:rsidRDefault="0048469D" w:rsidP="008D6F49">
      <w:pPr>
        <w:pStyle w:val="ListParagraph"/>
        <w:numPr>
          <w:ilvl w:val="0"/>
          <w:numId w:val="8"/>
        </w:numPr>
        <w:ind w:left="1135" w:hanging="284"/>
        <w:contextualSpacing w:val="0"/>
      </w:pPr>
      <w:r w:rsidRPr="00ED1913">
        <w:t>work proactively and in good faith with each of the Buyer</w:t>
      </w:r>
      <w:r w:rsidR="00C82E38" w:rsidRPr="00ED1913">
        <w:t>’</w:t>
      </w:r>
      <w:r w:rsidRPr="00ED1913">
        <w:t>s contractors</w:t>
      </w:r>
    </w:p>
    <w:p w14:paraId="3AED3011" w14:textId="77777777" w:rsidR="0048469D" w:rsidRPr="00ED1913" w:rsidRDefault="0048469D" w:rsidP="008D6F49">
      <w:pPr>
        <w:pStyle w:val="ListParagraph"/>
        <w:numPr>
          <w:ilvl w:val="0"/>
          <w:numId w:val="8"/>
        </w:numPr>
        <w:ind w:left="1135" w:hanging="284"/>
        <w:contextualSpacing w:val="0"/>
      </w:pPr>
      <w:r w:rsidRPr="00ED1913">
        <w:t>co-operate and share information with the Buyer</w:t>
      </w:r>
      <w:r w:rsidR="00C82E38" w:rsidRPr="00ED1913">
        <w:t>’</w:t>
      </w:r>
      <w:r w:rsidRPr="00ED1913">
        <w:t>s contractors to enable the efficient operation of the Buyer</w:t>
      </w:r>
      <w:r w:rsidR="00C82E38" w:rsidRPr="00ED1913">
        <w:t>’</w:t>
      </w:r>
      <w:r w:rsidRPr="00ED1913">
        <w:t>s ICT services and G-Cloud Services</w:t>
      </w:r>
    </w:p>
    <w:p w14:paraId="3859DE1C" w14:textId="77777777" w:rsidR="0048469D" w:rsidRPr="00ED1913" w:rsidRDefault="0048469D" w:rsidP="0048469D"/>
    <w:p w14:paraId="6AAA9B28" w14:textId="77777777" w:rsidR="0048469D" w:rsidRPr="00ED1913" w:rsidRDefault="0048469D" w:rsidP="0048469D">
      <w:pPr>
        <w:pStyle w:val="Heading1"/>
      </w:pPr>
      <w:r w:rsidRPr="00ED1913">
        <w:lastRenderedPageBreak/>
        <w:t>Variation process</w:t>
      </w:r>
    </w:p>
    <w:p w14:paraId="2E0F3635" w14:textId="77777777" w:rsidR="0048469D" w:rsidRPr="00ED1913" w:rsidRDefault="0048469D" w:rsidP="0048469D">
      <w:pPr>
        <w:pStyle w:val="Heading2"/>
      </w:pPr>
      <w:r w:rsidRPr="00ED1913">
        <w:t>The Buyer can request in writing a change to this Call-Off Contract if it isn</w:t>
      </w:r>
      <w:r w:rsidR="00C82E38" w:rsidRPr="00ED1913">
        <w:t>’</w:t>
      </w:r>
      <w:r w:rsidRPr="00ED1913">
        <w:t>t a material change to the Framework Agreement/or this Call-Off Contract. Once implemented, it is called a Variation.</w:t>
      </w:r>
    </w:p>
    <w:p w14:paraId="189F5F94" w14:textId="77777777" w:rsidR="0048469D" w:rsidRPr="00ED1913" w:rsidRDefault="0048469D" w:rsidP="0048469D">
      <w:pPr>
        <w:pStyle w:val="Heading2"/>
      </w:pPr>
      <w:r w:rsidRPr="00ED1913">
        <w:t>The Supplier must notify the Buyer immediately in writing of any proposed changes to their G-Cloud Services or their delivery by submitting a Variation request. This includes any changes in the Supplier</w:t>
      </w:r>
      <w:r w:rsidR="00C82E38" w:rsidRPr="00ED1913">
        <w:t>’</w:t>
      </w:r>
      <w:r w:rsidRPr="00ED1913">
        <w:t>s supply chain.</w:t>
      </w:r>
    </w:p>
    <w:p w14:paraId="35227FD1" w14:textId="77777777" w:rsidR="0048469D" w:rsidRPr="00ED1913" w:rsidRDefault="0048469D" w:rsidP="0048469D">
      <w:pPr>
        <w:pStyle w:val="Heading2"/>
      </w:pPr>
      <w:r w:rsidRPr="00ED1913">
        <w:t>If Either Party can</w:t>
      </w:r>
      <w:r w:rsidR="00C82E38" w:rsidRPr="00ED1913">
        <w:t>’</w:t>
      </w:r>
      <w:r w:rsidRPr="00ED1913">
        <w:t xml:space="preserve">t agree to or provide the Variation, the Buyer may agree to continue performing its obligations under this Call-Off Contract without the </w:t>
      </w:r>
      <w:proofErr w:type="gramStart"/>
      <w:r w:rsidRPr="00ED1913">
        <w:t>Variation, or</w:t>
      </w:r>
      <w:proofErr w:type="gramEnd"/>
      <w:r w:rsidRPr="00ED1913">
        <w:t xml:space="preserve"> End this Call-Off Contract by giving 30 </w:t>
      </w:r>
      <w:proofErr w:type="spellStart"/>
      <w:r w:rsidRPr="00ED1913">
        <w:t>days notice</w:t>
      </w:r>
      <w:proofErr w:type="spellEnd"/>
      <w:r w:rsidRPr="00ED1913">
        <w:t xml:space="preserve"> to the Supplier.</w:t>
      </w:r>
    </w:p>
    <w:p w14:paraId="078E409B" w14:textId="77777777" w:rsidR="0048469D" w:rsidRPr="00ED1913" w:rsidRDefault="0048469D" w:rsidP="0048469D"/>
    <w:p w14:paraId="77513F51" w14:textId="77777777" w:rsidR="0048469D" w:rsidRPr="00ED1913" w:rsidRDefault="0048469D" w:rsidP="0048469D">
      <w:pPr>
        <w:pStyle w:val="Heading1"/>
      </w:pPr>
      <w:r w:rsidRPr="00ED1913">
        <w:t>Data Protection Legislation (GDPR)</w:t>
      </w:r>
    </w:p>
    <w:p w14:paraId="02F6EB6F" w14:textId="77777777" w:rsidR="0048469D" w:rsidRPr="00ED1913" w:rsidRDefault="0048469D" w:rsidP="0048469D">
      <w:pPr>
        <w:pStyle w:val="Heading2"/>
      </w:pPr>
      <w:r w:rsidRPr="00ED1913">
        <w:t xml:space="preserve">The Parties will comply with the Data Protection Legislation and agree that the Buyer is the </w:t>
      </w:r>
      <w:proofErr w:type="gramStart"/>
      <w:r w:rsidRPr="00ED1913">
        <w:t>Controller</w:t>
      </w:r>
      <w:proofErr w:type="gramEnd"/>
      <w:r w:rsidRPr="00ED1913">
        <w:t xml:space="preserve"> and the Supplier is the Processor. The only Processing the Supplier is authorised to do is listed at Schedule 7 unless Law requires otherwise (in which case the Supplier will promptly notify the Buyer of any additional Processing if permitted by Law).</w:t>
      </w:r>
    </w:p>
    <w:p w14:paraId="55B2AF1B" w14:textId="77777777" w:rsidR="0048469D" w:rsidRPr="00ED1913" w:rsidRDefault="0048469D" w:rsidP="0048469D">
      <w:pPr>
        <w:pStyle w:val="Heading2"/>
      </w:pPr>
      <w:r w:rsidRPr="00ED1913">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w:t>
      </w:r>
      <w:r w:rsidR="00C82E38" w:rsidRPr="00ED1913">
        <w:t>’</w:t>
      </w:r>
      <w:r w:rsidRPr="00ED1913">
        <w:t>s instructions infringe the Data Protection Legislation.</w:t>
      </w:r>
    </w:p>
    <w:p w14:paraId="42F477FA" w14:textId="77777777" w:rsidR="0048469D" w:rsidRPr="00ED1913" w:rsidRDefault="0048469D" w:rsidP="0048469D">
      <w:pPr>
        <w:pStyle w:val="Heading2"/>
      </w:pPr>
      <w:r w:rsidRPr="00ED1913">
        <w:t xml:space="preserve">The Supplier must have in place Protective Measures, details of which shall be provided to the Buyer on request, to guard against a Data Loss Event, which </w:t>
      </w:r>
      <w:proofErr w:type="gramStart"/>
      <w:r w:rsidRPr="00ED1913">
        <w:t>take into account</w:t>
      </w:r>
      <w:proofErr w:type="gramEnd"/>
      <w:r w:rsidRPr="00ED1913">
        <w:t xml:space="preserve"> the nature of the data, the harm that might result, the state of technology and the cost of implementing the measures.</w:t>
      </w:r>
    </w:p>
    <w:p w14:paraId="37AB8225" w14:textId="77777777" w:rsidR="0048469D" w:rsidRPr="00ED1913" w:rsidRDefault="0048469D" w:rsidP="0048469D">
      <w:pPr>
        <w:pStyle w:val="Heading2"/>
      </w:pPr>
      <w:r w:rsidRPr="00ED1913">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9AC947E" w14:textId="77777777" w:rsidR="0048469D" w:rsidRPr="00ED1913" w:rsidRDefault="0048469D" w:rsidP="008D6F49">
      <w:pPr>
        <w:pStyle w:val="ListParagraph"/>
        <w:numPr>
          <w:ilvl w:val="0"/>
          <w:numId w:val="9"/>
        </w:numPr>
        <w:ind w:left="1418" w:hanging="284"/>
        <w:contextualSpacing w:val="0"/>
      </w:pPr>
      <w:r w:rsidRPr="00ED1913">
        <w:t>are aware of and comply with the Supplier</w:t>
      </w:r>
      <w:r w:rsidR="00C82E38" w:rsidRPr="00ED1913">
        <w:t>’</w:t>
      </w:r>
      <w:r w:rsidRPr="00ED1913">
        <w:t>s obligations under this Clause;</w:t>
      </w:r>
    </w:p>
    <w:p w14:paraId="7CC97173" w14:textId="77777777" w:rsidR="0048469D" w:rsidRPr="00ED1913" w:rsidRDefault="0048469D" w:rsidP="008D6F49">
      <w:pPr>
        <w:pStyle w:val="ListParagraph"/>
        <w:numPr>
          <w:ilvl w:val="0"/>
          <w:numId w:val="9"/>
        </w:numPr>
        <w:ind w:left="1418" w:hanging="284"/>
        <w:contextualSpacing w:val="0"/>
      </w:pPr>
      <w:r w:rsidRPr="00ED1913">
        <w:t>are subject to appropriate confidentiality undertakings with the Supplier</w:t>
      </w:r>
    </w:p>
    <w:p w14:paraId="57123426" w14:textId="77777777" w:rsidR="0048469D" w:rsidRPr="00ED1913" w:rsidRDefault="0048469D" w:rsidP="008D6F49">
      <w:pPr>
        <w:pStyle w:val="ListParagraph"/>
        <w:numPr>
          <w:ilvl w:val="0"/>
          <w:numId w:val="9"/>
        </w:numPr>
        <w:ind w:left="1418" w:hanging="284"/>
        <w:contextualSpacing w:val="0"/>
      </w:pPr>
      <w:r w:rsidRPr="00ED1913">
        <w:t>are informed of the confidential nature of the Personal Data and don</w:t>
      </w:r>
      <w:r w:rsidR="00C82E38" w:rsidRPr="00ED1913">
        <w:t>’</w:t>
      </w:r>
      <w:r w:rsidRPr="00ED1913">
        <w:t>t publish, disclose or divulge it to any third party unless directed by the Buyer or in accordance with this Call-Off Contract</w:t>
      </w:r>
    </w:p>
    <w:p w14:paraId="70677AE1" w14:textId="77777777" w:rsidR="0048469D" w:rsidRPr="00ED1913" w:rsidRDefault="0048469D" w:rsidP="008D6F49">
      <w:pPr>
        <w:pStyle w:val="ListParagraph"/>
        <w:numPr>
          <w:ilvl w:val="0"/>
          <w:numId w:val="9"/>
        </w:numPr>
        <w:ind w:left="1418" w:hanging="284"/>
        <w:contextualSpacing w:val="0"/>
      </w:pPr>
      <w:r w:rsidRPr="00ED1913">
        <w:t>are given training in the use, protection and handling of Personal Data.</w:t>
      </w:r>
    </w:p>
    <w:p w14:paraId="4CE20B37" w14:textId="77777777" w:rsidR="0048469D" w:rsidRPr="00ED1913" w:rsidRDefault="0048469D" w:rsidP="0048469D">
      <w:pPr>
        <w:pStyle w:val="Heading2"/>
      </w:pPr>
      <w:r w:rsidRPr="00ED1913">
        <w:t>The Supplier will not transfer Personal Data outside of the European Union unless the prior written consent of the Buyer has been obtained, which shall be dependent on such a transfer satisfying relevant Data Protection Legislation requirements.</w:t>
      </w:r>
    </w:p>
    <w:p w14:paraId="16D51207" w14:textId="77777777" w:rsidR="0048469D" w:rsidRPr="00ED1913" w:rsidRDefault="0048469D" w:rsidP="0048469D">
      <w:pPr>
        <w:pStyle w:val="Heading2"/>
      </w:pPr>
      <w:r w:rsidRPr="00ED1913">
        <w:lastRenderedPageBreak/>
        <w:t>The Supplier will delete or return Buyer</w:t>
      </w:r>
      <w:r w:rsidR="00C82E38" w:rsidRPr="00ED1913">
        <w:t>’</w:t>
      </w:r>
      <w:r w:rsidRPr="00ED1913">
        <w:t>s Personal Data (including copies) if requested in writing by the Buyer at the End or Expiry of this Call-Off Contract, unless required to retain the Personal Data by Law.</w:t>
      </w:r>
    </w:p>
    <w:p w14:paraId="0721503E" w14:textId="77777777" w:rsidR="0048469D" w:rsidRPr="00ED1913" w:rsidRDefault="0048469D" w:rsidP="0048469D">
      <w:pPr>
        <w:pStyle w:val="Heading2"/>
      </w:pPr>
      <w:r w:rsidRPr="00ED1913">
        <w:t>The Supplier will notify the Buyer without undue delay if it receives any communication from a third party relating to the Parties</w:t>
      </w:r>
      <w:r w:rsidR="00C82E38" w:rsidRPr="00ED1913">
        <w:t>’</w:t>
      </w:r>
      <w:r w:rsidRPr="00ED1913">
        <w:t xml:space="preserve"> obligations under the Data Protection Legislation, or it becomes aware of a Data Loss Event, and will provide the Buyer with full and ongoing assistance in relation to each Party</w:t>
      </w:r>
      <w:r w:rsidR="00C82E38" w:rsidRPr="00ED1913">
        <w:t>’</w:t>
      </w:r>
      <w:r w:rsidRPr="00ED1913">
        <w:t>s obligations under the Data Protection Legislation, and insofar as this is possible, in accordance with any timescales reasonably required by the Buyer</w:t>
      </w:r>
    </w:p>
    <w:p w14:paraId="241008C2" w14:textId="77777777" w:rsidR="0048469D" w:rsidRPr="00ED1913" w:rsidRDefault="0048469D" w:rsidP="0048469D">
      <w:pPr>
        <w:pStyle w:val="Heading2"/>
      </w:pPr>
      <w:r w:rsidRPr="00ED1913">
        <w:t>The Supplier will maintain complete and accurate records and information to demonstrate its compliance with this clause. This requirement does not apply where the Supplier employs fewer than 250 staff, unless:</w:t>
      </w:r>
    </w:p>
    <w:p w14:paraId="162CB0BA" w14:textId="77777777" w:rsidR="0048469D" w:rsidRPr="00ED1913" w:rsidRDefault="0048469D" w:rsidP="008D6F49">
      <w:pPr>
        <w:pStyle w:val="ListParagraph"/>
        <w:numPr>
          <w:ilvl w:val="0"/>
          <w:numId w:val="10"/>
        </w:numPr>
        <w:ind w:left="1418" w:hanging="284"/>
        <w:contextualSpacing w:val="0"/>
      </w:pPr>
      <w:r w:rsidRPr="00ED1913">
        <w:t>the Buyer determines that the Processing is not occasional;</w:t>
      </w:r>
    </w:p>
    <w:p w14:paraId="4B849687" w14:textId="77777777" w:rsidR="0048469D" w:rsidRPr="00ED1913" w:rsidRDefault="0048469D" w:rsidP="008D6F49">
      <w:pPr>
        <w:pStyle w:val="ListParagraph"/>
        <w:numPr>
          <w:ilvl w:val="0"/>
          <w:numId w:val="10"/>
        </w:numPr>
        <w:ind w:left="1418" w:hanging="284"/>
        <w:contextualSpacing w:val="0"/>
      </w:pPr>
      <w:r w:rsidRPr="00ED1913">
        <w:t>the Buyer determines the Processing includes special categories of data as referred to in Article 9(1) of the GDPR or Personal Data relating to criminal convictions and offences referred to in Article 10 of the GDPR; and</w:t>
      </w:r>
    </w:p>
    <w:p w14:paraId="388F9368" w14:textId="77777777" w:rsidR="0048469D" w:rsidRPr="00ED1913" w:rsidRDefault="0048469D" w:rsidP="008D6F49">
      <w:pPr>
        <w:pStyle w:val="ListParagraph"/>
        <w:numPr>
          <w:ilvl w:val="0"/>
          <w:numId w:val="10"/>
        </w:numPr>
        <w:ind w:left="1418" w:hanging="284"/>
        <w:contextualSpacing w:val="0"/>
      </w:pPr>
      <w:r w:rsidRPr="00ED1913">
        <w:t>the Buyer determines that the Processing is likely to result in a risk to the rights and freedoms of Data Subjects.</w:t>
      </w:r>
    </w:p>
    <w:p w14:paraId="7716D8DD" w14:textId="77777777" w:rsidR="0048469D" w:rsidRPr="00ED1913" w:rsidRDefault="0048469D" w:rsidP="00CE21CE">
      <w:pPr>
        <w:pStyle w:val="Heading2"/>
      </w:pPr>
      <w:r w:rsidRPr="00ED1913">
        <w:t>Before allowing any Sub-processor to Process any Personal Data related to this Framework Agreement, the Supplier must:</w:t>
      </w:r>
    </w:p>
    <w:p w14:paraId="428A9F8E" w14:textId="77777777" w:rsidR="0048469D" w:rsidRPr="00ED1913" w:rsidRDefault="0048469D" w:rsidP="008D6F49">
      <w:pPr>
        <w:pStyle w:val="ListParagraph"/>
        <w:numPr>
          <w:ilvl w:val="0"/>
          <w:numId w:val="11"/>
        </w:numPr>
        <w:ind w:left="1418" w:hanging="284"/>
        <w:contextualSpacing w:val="0"/>
      </w:pPr>
      <w:r w:rsidRPr="00ED1913">
        <w:t>notify the Buyer in writing of the proposed Sub-processor(s) and obtain its written consent;</w:t>
      </w:r>
    </w:p>
    <w:p w14:paraId="5B17DB6F" w14:textId="77777777" w:rsidR="0048469D" w:rsidRPr="00ED1913" w:rsidRDefault="0048469D" w:rsidP="008D6F49">
      <w:pPr>
        <w:pStyle w:val="ListParagraph"/>
        <w:numPr>
          <w:ilvl w:val="0"/>
          <w:numId w:val="11"/>
        </w:numPr>
        <w:ind w:left="1418" w:hanging="284"/>
        <w:contextualSpacing w:val="0"/>
      </w:pPr>
      <w:r w:rsidRPr="00ED1913">
        <w:t>ensure that it has entered into a written agreement with the Sub-processor(s) which gives effect to obligations set out in this Clause 33 such that they apply to the Sub-processor(s); and</w:t>
      </w:r>
    </w:p>
    <w:p w14:paraId="3D4A0ACA" w14:textId="77777777" w:rsidR="0048469D" w:rsidRPr="00ED1913" w:rsidRDefault="0048469D" w:rsidP="008D6F49">
      <w:pPr>
        <w:pStyle w:val="ListParagraph"/>
        <w:numPr>
          <w:ilvl w:val="0"/>
          <w:numId w:val="11"/>
        </w:numPr>
        <w:ind w:left="1418" w:hanging="284"/>
        <w:contextualSpacing w:val="0"/>
      </w:pPr>
      <w:r w:rsidRPr="00ED1913">
        <w:t xml:space="preserve">inform the Buyer of any additions to, or replacements of the notified Sub-processors and the Buyer shall either </w:t>
      </w:r>
      <w:proofErr w:type="spellStart"/>
      <w:r w:rsidRPr="00ED1913">
        <w:t>i</w:t>
      </w:r>
      <w:proofErr w:type="spellEnd"/>
      <w:r w:rsidRPr="00ED1913">
        <w:t>) provide its written consent or ii) object.</w:t>
      </w:r>
    </w:p>
    <w:p w14:paraId="5C8CBC93" w14:textId="77777777" w:rsidR="0048469D" w:rsidRPr="00ED1913" w:rsidRDefault="0048469D" w:rsidP="00CE21CE">
      <w:pPr>
        <w:pStyle w:val="Heading2"/>
      </w:pPr>
      <w:r w:rsidRPr="00ED1913">
        <w:t>The Buyer may at any time put forward a Variation request amend this Call-Off Contract Supplier to ensure that it complies with any guidance issued by the Information Commissioner</w:t>
      </w:r>
      <w:r w:rsidR="00C82E38" w:rsidRPr="00ED1913">
        <w:t>’</w:t>
      </w:r>
      <w:r w:rsidRPr="00ED1913">
        <w:t>s Office.</w:t>
      </w:r>
    </w:p>
    <w:p w14:paraId="1E2B4166" w14:textId="77777777" w:rsidR="00CE21CE" w:rsidRPr="00ED1913" w:rsidRDefault="00CE21CE" w:rsidP="0048469D"/>
    <w:p w14:paraId="7C78B267" w14:textId="77777777" w:rsidR="0048469D" w:rsidRPr="00ED1913" w:rsidRDefault="0048469D" w:rsidP="00CE21CE">
      <w:pPr>
        <w:pStyle w:val="Title"/>
      </w:pPr>
      <w:bookmarkStart w:id="7" w:name="_Toc534903709"/>
      <w:r w:rsidRPr="00ED1913">
        <w:lastRenderedPageBreak/>
        <w:t>Schedule 3 - Collaboration agreement</w:t>
      </w:r>
      <w:bookmarkEnd w:id="7"/>
    </w:p>
    <w:p w14:paraId="3D611D24" w14:textId="77777777" w:rsidR="0048469D" w:rsidRPr="00ED1913" w:rsidRDefault="0048469D" w:rsidP="0048469D">
      <w:r w:rsidRPr="00ED1913">
        <w:t xml:space="preserve">The Collaboration agreement is available at </w:t>
      </w:r>
      <w:hyperlink r:id="rId22" w:history="1">
        <w:r w:rsidR="00CE21CE" w:rsidRPr="00ED1913">
          <w:rPr>
            <w:rStyle w:val="Hyperlink"/>
          </w:rPr>
          <w:t>https://www.gov.uk/guidance/g-cloud-templates-and-legal-documents</w:t>
        </w:r>
      </w:hyperlink>
    </w:p>
    <w:p w14:paraId="51A7D481" w14:textId="397165BD" w:rsidR="00CE21CE" w:rsidRDefault="00CE21CE" w:rsidP="0048469D"/>
    <w:p w14:paraId="4E58D6C1" w14:textId="288DC8F1" w:rsidR="002F3E52" w:rsidRPr="00ED1913" w:rsidRDefault="002F3E52" w:rsidP="0048469D">
      <w:r>
        <w:t>Not used</w:t>
      </w:r>
    </w:p>
    <w:p w14:paraId="2E903E51" w14:textId="77777777" w:rsidR="0048469D" w:rsidRPr="00ED1913" w:rsidRDefault="0048469D" w:rsidP="00CE21CE">
      <w:pPr>
        <w:pStyle w:val="Title"/>
      </w:pPr>
      <w:bookmarkStart w:id="8" w:name="_Toc534903710"/>
      <w:r w:rsidRPr="00ED1913">
        <w:lastRenderedPageBreak/>
        <w:t>Schedule 4 - Alternative clauses</w:t>
      </w:r>
      <w:bookmarkEnd w:id="8"/>
    </w:p>
    <w:p w14:paraId="6EB38104" w14:textId="77777777" w:rsidR="0048469D" w:rsidRPr="00ED1913" w:rsidRDefault="00CE21CE" w:rsidP="0048469D">
      <w:r w:rsidRPr="00ED1913">
        <w:t xml:space="preserve">The Alternative clauses are available at </w:t>
      </w:r>
      <w:hyperlink r:id="rId23" w:history="1">
        <w:r w:rsidRPr="00ED1913">
          <w:rPr>
            <w:rStyle w:val="Hyperlink"/>
          </w:rPr>
          <w:t>https://www.gov.uk/guidance/g-cloud-templates-and-legal-documents</w:t>
        </w:r>
      </w:hyperlink>
    </w:p>
    <w:p w14:paraId="77695D40" w14:textId="2394C42C" w:rsidR="00CE21CE" w:rsidRDefault="00CE21CE" w:rsidP="0048469D"/>
    <w:p w14:paraId="1D36A36E" w14:textId="68D4D3F8" w:rsidR="002F3E52" w:rsidRPr="00ED1913" w:rsidRDefault="002F3E52" w:rsidP="0048469D">
      <w:r>
        <w:t>Not used</w:t>
      </w:r>
    </w:p>
    <w:p w14:paraId="202B688C" w14:textId="77777777" w:rsidR="00CE21CE" w:rsidRPr="00ED1913" w:rsidRDefault="00CE21CE" w:rsidP="00CE21CE">
      <w:pPr>
        <w:pStyle w:val="Title"/>
      </w:pPr>
      <w:bookmarkStart w:id="9" w:name="_Toc534903711"/>
      <w:r w:rsidRPr="00ED1913">
        <w:lastRenderedPageBreak/>
        <w:t>Schedule 5 - Guarantee</w:t>
      </w:r>
      <w:bookmarkEnd w:id="9"/>
    </w:p>
    <w:p w14:paraId="3C5685EC" w14:textId="77777777" w:rsidR="00CE21CE" w:rsidRPr="00ED1913" w:rsidRDefault="00CE21CE" w:rsidP="00CE21CE">
      <w:r w:rsidRPr="00ED1913">
        <w:t xml:space="preserve">The Guarantee is available at </w:t>
      </w:r>
      <w:hyperlink r:id="rId24" w:history="1">
        <w:r w:rsidRPr="00ED1913">
          <w:rPr>
            <w:rStyle w:val="Hyperlink"/>
          </w:rPr>
          <w:t>https://www.gov.uk/guidance/g-cloud-templates-and-legal-documents</w:t>
        </w:r>
      </w:hyperlink>
    </w:p>
    <w:p w14:paraId="5E5C7803" w14:textId="65EDA979" w:rsidR="00CE21CE" w:rsidRDefault="00CE21CE" w:rsidP="00CE21CE"/>
    <w:p w14:paraId="698B794C" w14:textId="555AAF1E" w:rsidR="002F3E52" w:rsidRPr="00ED1913" w:rsidRDefault="002F3E52" w:rsidP="00CE21CE">
      <w:r>
        <w:t>Not used</w:t>
      </w:r>
    </w:p>
    <w:p w14:paraId="1C74FDA8" w14:textId="77777777" w:rsidR="00CE21CE" w:rsidRPr="00ED1913" w:rsidRDefault="00CE21CE" w:rsidP="00CE21CE">
      <w:pPr>
        <w:pStyle w:val="Title"/>
      </w:pPr>
      <w:bookmarkStart w:id="10" w:name="_Toc534903712"/>
      <w:r w:rsidRPr="00ED1913">
        <w:lastRenderedPageBreak/>
        <w:t>Schedule 6 - Glossary and interpretations</w:t>
      </w:r>
      <w:bookmarkEnd w:id="10"/>
    </w:p>
    <w:p w14:paraId="4F33E574" w14:textId="77777777" w:rsidR="00CE21CE" w:rsidRPr="00ED1913" w:rsidRDefault="00CE21CE" w:rsidP="00C82E38">
      <w:pPr>
        <w:spacing w:after="120"/>
      </w:pPr>
      <w:r w:rsidRPr="00ED1913">
        <w:t>In this Call-Off Contract the following expressions mean:</w:t>
      </w:r>
    </w:p>
    <w:tbl>
      <w:tblPr>
        <w:tblStyle w:val="TableGrid"/>
        <w:tblW w:w="0" w:type="auto"/>
        <w:tblLayout w:type="fixed"/>
        <w:tblLook w:val="04A0" w:firstRow="1" w:lastRow="0" w:firstColumn="1" w:lastColumn="0" w:noHBand="0" w:noVBand="1"/>
      </w:tblPr>
      <w:tblGrid>
        <w:gridCol w:w="3969"/>
        <w:gridCol w:w="5670"/>
      </w:tblGrid>
      <w:tr w:rsidR="00CE21CE" w:rsidRPr="00ED1913" w14:paraId="53F496C5" w14:textId="77777777" w:rsidTr="00CE21CE">
        <w:tc>
          <w:tcPr>
            <w:tcW w:w="3969" w:type="dxa"/>
          </w:tcPr>
          <w:p w14:paraId="14F681AA" w14:textId="77777777" w:rsidR="00CE21CE" w:rsidRPr="00ED1913" w:rsidRDefault="00CE21CE" w:rsidP="00CE21CE">
            <w:pPr>
              <w:spacing w:before="60" w:after="60"/>
              <w:rPr>
                <w:b/>
              </w:rPr>
            </w:pPr>
            <w:r w:rsidRPr="00ED1913">
              <w:rPr>
                <w:b/>
              </w:rPr>
              <w:t>Additional Services</w:t>
            </w:r>
          </w:p>
        </w:tc>
        <w:tc>
          <w:tcPr>
            <w:tcW w:w="5670" w:type="dxa"/>
          </w:tcPr>
          <w:p w14:paraId="4FD90729" w14:textId="77777777" w:rsidR="00CE21CE" w:rsidRPr="00ED1913" w:rsidRDefault="00CE21CE" w:rsidP="00CE21CE">
            <w:pPr>
              <w:spacing w:before="60" w:after="60"/>
            </w:pPr>
            <w:r w:rsidRPr="00ED1913">
              <w:t>Any services ancillary to the G-Cloud Services that are in the scope of Framework Agreement Section 2 (Services Offered) which a Buyer may request.</w:t>
            </w:r>
          </w:p>
        </w:tc>
      </w:tr>
      <w:tr w:rsidR="00CE21CE" w:rsidRPr="00ED1913" w14:paraId="19614F8E" w14:textId="77777777" w:rsidTr="00CE21CE">
        <w:tc>
          <w:tcPr>
            <w:tcW w:w="3969" w:type="dxa"/>
          </w:tcPr>
          <w:p w14:paraId="6948EC77" w14:textId="77777777" w:rsidR="00CE21CE" w:rsidRPr="00ED1913" w:rsidRDefault="00CE21CE" w:rsidP="00CE21CE">
            <w:pPr>
              <w:spacing w:before="60" w:after="60"/>
              <w:rPr>
                <w:b/>
              </w:rPr>
            </w:pPr>
            <w:r w:rsidRPr="00ED1913">
              <w:rPr>
                <w:b/>
              </w:rPr>
              <w:t>Admission Agreement</w:t>
            </w:r>
          </w:p>
        </w:tc>
        <w:tc>
          <w:tcPr>
            <w:tcW w:w="5670" w:type="dxa"/>
          </w:tcPr>
          <w:p w14:paraId="2DA47676" w14:textId="77777777" w:rsidR="00CE21CE" w:rsidRPr="00ED1913" w:rsidRDefault="00CE21CE" w:rsidP="00CE21CE">
            <w:pPr>
              <w:spacing w:before="60" w:after="60"/>
            </w:pPr>
            <w:r w:rsidRPr="00ED1913">
              <w:t>The agreement to be entered into to enable the Supplier to participate in the relevant Civil Service pension scheme(s).</w:t>
            </w:r>
          </w:p>
        </w:tc>
      </w:tr>
      <w:tr w:rsidR="00CE21CE" w:rsidRPr="00ED1913" w14:paraId="1563D67C" w14:textId="77777777" w:rsidTr="00CE21CE">
        <w:tc>
          <w:tcPr>
            <w:tcW w:w="3969" w:type="dxa"/>
          </w:tcPr>
          <w:p w14:paraId="4535C763" w14:textId="77777777" w:rsidR="00CE21CE" w:rsidRPr="00ED1913" w:rsidRDefault="00CE21CE" w:rsidP="00CE21CE">
            <w:pPr>
              <w:spacing w:before="60" w:after="60"/>
              <w:rPr>
                <w:b/>
              </w:rPr>
            </w:pPr>
            <w:r w:rsidRPr="00ED1913">
              <w:rPr>
                <w:b/>
              </w:rPr>
              <w:t>Application</w:t>
            </w:r>
          </w:p>
        </w:tc>
        <w:tc>
          <w:tcPr>
            <w:tcW w:w="5670" w:type="dxa"/>
          </w:tcPr>
          <w:p w14:paraId="3B2F01C6" w14:textId="77777777" w:rsidR="00CE21CE" w:rsidRPr="00ED1913" w:rsidRDefault="00CE21CE" w:rsidP="00CE21CE">
            <w:pPr>
              <w:spacing w:before="60" w:after="60"/>
            </w:pPr>
            <w:r w:rsidRPr="00ED1913">
              <w:t>The response submitted by the Supplier to the Invitation to Tender (known as the Invitation to Apply on the Digital Marketplace).</w:t>
            </w:r>
          </w:p>
        </w:tc>
      </w:tr>
      <w:tr w:rsidR="00CE21CE" w:rsidRPr="00ED1913" w14:paraId="51C63031" w14:textId="77777777" w:rsidTr="00CE21CE">
        <w:tc>
          <w:tcPr>
            <w:tcW w:w="3969" w:type="dxa"/>
          </w:tcPr>
          <w:p w14:paraId="32280673" w14:textId="77777777" w:rsidR="00CE21CE" w:rsidRPr="00ED1913" w:rsidRDefault="00CE21CE" w:rsidP="00CE21CE">
            <w:pPr>
              <w:spacing w:before="60" w:after="60"/>
              <w:rPr>
                <w:b/>
              </w:rPr>
            </w:pPr>
            <w:r w:rsidRPr="00ED1913">
              <w:rPr>
                <w:b/>
              </w:rPr>
              <w:t>Audit</w:t>
            </w:r>
          </w:p>
        </w:tc>
        <w:tc>
          <w:tcPr>
            <w:tcW w:w="5670" w:type="dxa"/>
          </w:tcPr>
          <w:p w14:paraId="448C347B" w14:textId="77777777" w:rsidR="00CE21CE" w:rsidRPr="00ED1913" w:rsidRDefault="00CE21CE" w:rsidP="00CE21CE">
            <w:pPr>
              <w:spacing w:before="60" w:after="60"/>
            </w:pPr>
            <w:r w:rsidRPr="00ED1913">
              <w:t>An audit carried out under the incorporated Framework Agreement clauses specified by the Buyer in the Order (if any).</w:t>
            </w:r>
          </w:p>
        </w:tc>
      </w:tr>
      <w:tr w:rsidR="00CE21CE" w:rsidRPr="00ED1913" w14:paraId="24F108E7" w14:textId="77777777" w:rsidTr="00CE21CE">
        <w:tc>
          <w:tcPr>
            <w:tcW w:w="3969" w:type="dxa"/>
          </w:tcPr>
          <w:p w14:paraId="3B33BC04" w14:textId="77777777" w:rsidR="00CE21CE" w:rsidRPr="00ED1913" w:rsidRDefault="00CE21CE" w:rsidP="00CE21CE">
            <w:pPr>
              <w:spacing w:before="60" w:after="60"/>
              <w:rPr>
                <w:b/>
              </w:rPr>
            </w:pPr>
            <w:r w:rsidRPr="00ED1913">
              <w:rPr>
                <w:b/>
              </w:rPr>
              <w:t>Background IPRs</w:t>
            </w:r>
          </w:p>
        </w:tc>
        <w:tc>
          <w:tcPr>
            <w:tcW w:w="5670" w:type="dxa"/>
          </w:tcPr>
          <w:p w14:paraId="4AC0B4BA" w14:textId="77777777" w:rsidR="00CE21CE" w:rsidRPr="00ED1913" w:rsidRDefault="00CE21CE" w:rsidP="00CE21CE">
            <w:pPr>
              <w:spacing w:before="60" w:after="60"/>
            </w:pPr>
            <w:r w:rsidRPr="00ED1913">
              <w:t>For each Party, IPRs:</w:t>
            </w:r>
          </w:p>
          <w:p w14:paraId="5DE22427" w14:textId="77777777" w:rsidR="00CE21CE" w:rsidRPr="00ED1913" w:rsidRDefault="00CE21CE" w:rsidP="008D6F49">
            <w:pPr>
              <w:pStyle w:val="ListParagraph"/>
              <w:numPr>
                <w:ilvl w:val="0"/>
                <w:numId w:val="12"/>
              </w:numPr>
              <w:spacing w:before="60" w:after="60"/>
              <w:ind w:left="568" w:hanging="284"/>
              <w:contextualSpacing w:val="0"/>
            </w:pPr>
            <w:r w:rsidRPr="00ED1913">
              <w:t>owned by that Party before the date of this Call-Off Contract (as may be enhanced and/or modified but not as a consequence of the Services) including IPRs contained in any of the Party</w:t>
            </w:r>
            <w:r w:rsidR="00C82E38" w:rsidRPr="00ED1913">
              <w:t>’</w:t>
            </w:r>
            <w:r w:rsidRPr="00ED1913">
              <w:t>s Know-How, documentation and processes</w:t>
            </w:r>
          </w:p>
          <w:p w14:paraId="4791CB2D" w14:textId="77777777" w:rsidR="00CE21CE" w:rsidRPr="00ED1913" w:rsidRDefault="00CE21CE" w:rsidP="008D6F49">
            <w:pPr>
              <w:pStyle w:val="ListParagraph"/>
              <w:numPr>
                <w:ilvl w:val="0"/>
                <w:numId w:val="12"/>
              </w:numPr>
              <w:spacing w:before="60" w:after="60"/>
              <w:ind w:left="568" w:hanging="284"/>
              <w:contextualSpacing w:val="0"/>
            </w:pPr>
            <w:r w:rsidRPr="00ED1913">
              <w:t>created by the Party independently of this Call-Off Contract, or</w:t>
            </w:r>
          </w:p>
          <w:p w14:paraId="3F2C637A" w14:textId="77777777" w:rsidR="00CE21CE" w:rsidRPr="00ED1913" w:rsidRDefault="00CE21CE" w:rsidP="00CE21CE">
            <w:pPr>
              <w:spacing w:before="60" w:after="60"/>
            </w:pPr>
            <w:r w:rsidRPr="00ED1913">
              <w:t>For the Buyer, Crown Copyright which isn</w:t>
            </w:r>
            <w:r w:rsidR="00C82E38" w:rsidRPr="00ED1913">
              <w:t>’</w:t>
            </w:r>
            <w:r w:rsidRPr="00ED1913">
              <w:t xml:space="preserve">t available to the Supplier otherwise than under this Call-Off </w:t>
            </w:r>
            <w:proofErr w:type="gramStart"/>
            <w:r w:rsidRPr="00ED1913">
              <w:t>Contract, but</w:t>
            </w:r>
            <w:proofErr w:type="gramEnd"/>
            <w:r w:rsidRPr="00ED1913">
              <w:t xml:space="preserve"> excluding IPRs owned by that Party in Buyer software or Supplier software.</w:t>
            </w:r>
          </w:p>
        </w:tc>
      </w:tr>
      <w:tr w:rsidR="00CE21CE" w:rsidRPr="00ED1913" w14:paraId="47A5C567" w14:textId="77777777" w:rsidTr="00CE21CE">
        <w:tc>
          <w:tcPr>
            <w:tcW w:w="3969" w:type="dxa"/>
          </w:tcPr>
          <w:p w14:paraId="4DEF47A1" w14:textId="77777777" w:rsidR="00CE21CE" w:rsidRPr="00ED1913" w:rsidRDefault="00CE21CE" w:rsidP="00CE21CE">
            <w:pPr>
              <w:spacing w:before="60" w:after="60"/>
              <w:rPr>
                <w:b/>
              </w:rPr>
            </w:pPr>
            <w:r w:rsidRPr="00ED1913">
              <w:rPr>
                <w:b/>
              </w:rPr>
              <w:t>Buyer</w:t>
            </w:r>
          </w:p>
        </w:tc>
        <w:tc>
          <w:tcPr>
            <w:tcW w:w="5670" w:type="dxa"/>
          </w:tcPr>
          <w:p w14:paraId="6F9BD0CA" w14:textId="77777777" w:rsidR="00CE21CE" w:rsidRPr="00ED1913" w:rsidRDefault="00CE21CE" w:rsidP="00CE21CE">
            <w:pPr>
              <w:spacing w:before="60" w:after="60"/>
            </w:pPr>
            <w:r w:rsidRPr="00ED1913">
              <w:t>The contracting authority ordering services as set out in the Order Form.</w:t>
            </w:r>
          </w:p>
        </w:tc>
      </w:tr>
      <w:tr w:rsidR="00CE21CE" w:rsidRPr="00ED1913" w14:paraId="03CC55A0" w14:textId="77777777" w:rsidTr="00CE21CE">
        <w:tc>
          <w:tcPr>
            <w:tcW w:w="3969" w:type="dxa"/>
          </w:tcPr>
          <w:p w14:paraId="3D92C92C" w14:textId="77777777" w:rsidR="00CE21CE" w:rsidRPr="00ED1913" w:rsidRDefault="00CE21CE" w:rsidP="00CE21CE">
            <w:pPr>
              <w:spacing w:before="60" w:after="60"/>
              <w:rPr>
                <w:b/>
              </w:rPr>
            </w:pPr>
            <w:r w:rsidRPr="00ED1913">
              <w:rPr>
                <w:b/>
              </w:rPr>
              <w:t>Buyer Data</w:t>
            </w:r>
          </w:p>
        </w:tc>
        <w:tc>
          <w:tcPr>
            <w:tcW w:w="5670" w:type="dxa"/>
          </w:tcPr>
          <w:p w14:paraId="433C8523" w14:textId="77777777" w:rsidR="00CE21CE" w:rsidRPr="00ED1913" w:rsidRDefault="00CE21CE" w:rsidP="00CE21CE">
            <w:pPr>
              <w:spacing w:before="60" w:after="60"/>
            </w:pPr>
            <w:r w:rsidRPr="00ED1913">
              <w:t>All data supplied by the Buyer to the Supplier including Personal Data and Service Data that is owned and managed by the Buyer.</w:t>
            </w:r>
          </w:p>
        </w:tc>
      </w:tr>
      <w:tr w:rsidR="00CE21CE" w:rsidRPr="00ED1913" w14:paraId="5660E570" w14:textId="77777777" w:rsidTr="00CE21CE">
        <w:tc>
          <w:tcPr>
            <w:tcW w:w="3969" w:type="dxa"/>
          </w:tcPr>
          <w:p w14:paraId="50FDA0A8" w14:textId="77777777" w:rsidR="00CE21CE" w:rsidRPr="00ED1913" w:rsidRDefault="00CE21CE" w:rsidP="00CE21CE">
            <w:pPr>
              <w:spacing w:before="60" w:after="60"/>
              <w:rPr>
                <w:b/>
              </w:rPr>
            </w:pPr>
            <w:r w:rsidRPr="00ED1913">
              <w:rPr>
                <w:b/>
              </w:rPr>
              <w:t>Buyer Personal Data</w:t>
            </w:r>
          </w:p>
        </w:tc>
        <w:tc>
          <w:tcPr>
            <w:tcW w:w="5670" w:type="dxa"/>
          </w:tcPr>
          <w:p w14:paraId="2D093C73" w14:textId="77777777" w:rsidR="00CE21CE" w:rsidRPr="00ED1913" w:rsidRDefault="00CE21CE" w:rsidP="00CE21CE">
            <w:pPr>
              <w:spacing w:before="60" w:after="60"/>
            </w:pPr>
            <w:r w:rsidRPr="00ED1913">
              <w:t>The personal data supplied by the Buyer to the Supplier for purposes of, or in connection with, this Call-Off Contract.</w:t>
            </w:r>
          </w:p>
        </w:tc>
      </w:tr>
      <w:tr w:rsidR="00CE21CE" w:rsidRPr="00ED1913" w14:paraId="3BC30E07" w14:textId="77777777" w:rsidTr="00CE21CE">
        <w:tc>
          <w:tcPr>
            <w:tcW w:w="3969" w:type="dxa"/>
          </w:tcPr>
          <w:p w14:paraId="5E4ED579" w14:textId="77777777" w:rsidR="00CE21CE" w:rsidRPr="00ED1913" w:rsidRDefault="00CE21CE" w:rsidP="00CE21CE">
            <w:pPr>
              <w:spacing w:before="60" w:after="60"/>
              <w:rPr>
                <w:b/>
              </w:rPr>
            </w:pPr>
            <w:r w:rsidRPr="00ED1913">
              <w:rPr>
                <w:b/>
              </w:rPr>
              <w:t>Buyer Representative</w:t>
            </w:r>
          </w:p>
        </w:tc>
        <w:tc>
          <w:tcPr>
            <w:tcW w:w="5670" w:type="dxa"/>
          </w:tcPr>
          <w:p w14:paraId="1160705B" w14:textId="77777777" w:rsidR="00CE21CE" w:rsidRPr="00ED1913" w:rsidRDefault="00CE21CE" w:rsidP="00CE21CE">
            <w:pPr>
              <w:spacing w:before="60" w:after="60"/>
            </w:pPr>
            <w:r w:rsidRPr="00ED1913">
              <w:t>The representative appointed by the Buyer under this Call-Off Contract.</w:t>
            </w:r>
          </w:p>
        </w:tc>
      </w:tr>
      <w:tr w:rsidR="00CE21CE" w:rsidRPr="00ED1913" w14:paraId="76D1B88D" w14:textId="77777777" w:rsidTr="00CE21CE">
        <w:tc>
          <w:tcPr>
            <w:tcW w:w="3969" w:type="dxa"/>
          </w:tcPr>
          <w:p w14:paraId="44FDFA82" w14:textId="77777777" w:rsidR="00CE21CE" w:rsidRPr="00ED1913" w:rsidRDefault="00FB504C" w:rsidP="00CE21CE">
            <w:pPr>
              <w:spacing w:before="60" w:after="60"/>
              <w:rPr>
                <w:b/>
              </w:rPr>
            </w:pPr>
            <w:r w:rsidRPr="00ED1913">
              <w:rPr>
                <w:b/>
              </w:rPr>
              <w:t>Buyer Software</w:t>
            </w:r>
          </w:p>
        </w:tc>
        <w:tc>
          <w:tcPr>
            <w:tcW w:w="5670" w:type="dxa"/>
          </w:tcPr>
          <w:p w14:paraId="5E803081" w14:textId="77777777" w:rsidR="00CE21CE" w:rsidRPr="00ED1913" w:rsidRDefault="00CE21CE" w:rsidP="00CE21CE">
            <w:pPr>
              <w:spacing w:before="60" w:after="60"/>
            </w:pPr>
            <w:r w:rsidRPr="00ED1913">
              <w:t>Software owned by or licensed to the Buyer (other than under this Agreement), which is or will be used by the Supplier to provide the Services.</w:t>
            </w:r>
          </w:p>
        </w:tc>
      </w:tr>
      <w:tr w:rsidR="00CE21CE" w:rsidRPr="00ED1913" w14:paraId="1C78EAF2" w14:textId="77777777" w:rsidTr="00CE21CE">
        <w:tc>
          <w:tcPr>
            <w:tcW w:w="3969" w:type="dxa"/>
          </w:tcPr>
          <w:p w14:paraId="66A1E471" w14:textId="77777777" w:rsidR="00CE21CE" w:rsidRPr="00ED1913" w:rsidRDefault="00FB504C" w:rsidP="00CE21CE">
            <w:pPr>
              <w:spacing w:before="60" w:after="60"/>
              <w:rPr>
                <w:b/>
              </w:rPr>
            </w:pPr>
            <w:r w:rsidRPr="00ED1913">
              <w:rPr>
                <w:b/>
              </w:rPr>
              <w:lastRenderedPageBreak/>
              <w:t>Call-Off Contract</w:t>
            </w:r>
          </w:p>
        </w:tc>
        <w:tc>
          <w:tcPr>
            <w:tcW w:w="5670" w:type="dxa"/>
          </w:tcPr>
          <w:p w14:paraId="6BC5C08E" w14:textId="77777777" w:rsidR="00CE21CE" w:rsidRPr="00ED1913" w:rsidRDefault="00CE21CE" w:rsidP="00CE21CE">
            <w:pPr>
              <w:spacing w:before="60" w:after="60"/>
            </w:pPr>
            <w:r w:rsidRPr="00ED1913">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E21CE" w:rsidRPr="00ED1913" w14:paraId="3CE66843" w14:textId="77777777" w:rsidTr="00CE21CE">
        <w:tc>
          <w:tcPr>
            <w:tcW w:w="3969" w:type="dxa"/>
          </w:tcPr>
          <w:p w14:paraId="65D9F3FE" w14:textId="77777777" w:rsidR="00CE21CE" w:rsidRPr="00ED1913" w:rsidRDefault="00FB504C" w:rsidP="00CE21CE">
            <w:pPr>
              <w:spacing w:before="60" w:after="60"/>
              <w:rPr>
                <w:b/>
              </w:rPr>
            </w:pPr>
            <w:r w:rsidRPr="00ED1913">
              <w:rPr>
                <w:b/>
              </w:rPr>
              <w:t>Charges</w:t>
            </w:r>
          </w:p>
        </w:tc>
        <w:tc>
          <w:tcPr>
            <w:tcW w:w="5670" w:type="dxa"/>
          </w:tcPr>
          <w:p w14:paraId="75724C4F" w14:textId="77777777" w:rsidR="00CE21CE" w:rsidRPr="00ED1913" w:rsidRDefault="00CE21CE" w:rsidP="00CE21CE">
            <w:pPr>
              <w:spacing w:before="60" w:after="60"/>
            </w:pPr>
            <w:r w:rsidRPr="00ED1913">
              <w:t>The prices (excluding any applicable VAT), payable to the Supplier by the Buyer under this Call-Off Contract.</w:t>
            </w:r>
          </w:p>
        </w:tc>
      </w:tr>
      <w:tr w:rsidR="00CE21CE" w:rsidRPr="00ED1913" w14:paraId="32C8DF36" w14:textId="77777777" w:rsidTr="00CE21CE">
        <w:tc>
          <w:tcPr>
            <w:tcW w:w="3969" w:type="dxa"/>
          </w:tcPr>
          <w:p w14:paraId="6E3AAC07" w14:textId="77777777" w:rsidR="00CE21CE" w:rsidRPr="00ED1913" w:rsidRDefault="00FB504C" w:rsidP="00CE21CE">
            <w:pPr>
              <w:spacing w:before="60" w:after="60"/>
              <w:rPr>
                <w:b/>
              </w:rPr>
            </w:pPr>
            <w:r w:rsidRPr="00ED1913">
              <w:rPr>
                <w:b/>
              </w:rPr>
              <w:t>Collaboration Agreement</w:t>
            </w:r>
          </w:p>
        </w:tc>
        <w:tc>
          <w:tcPr>
            <w:tcW w:w="5670" w:type="dxa"/>
          </w:tcPr>
          <w:p w14:paraId="5BE672A4" w14:textId="77777777" w:rsidR="00CE21CE" w:rsidRPr="00ED1913" w:rsidRDefault="00CE21CE" w:rsidP="00CE21CE">
            <w:pPr>
              <w:spacing w:before="60" w:after="60"/>
            </w:pPr>
            <w:r w:rsidRPr="00ED1913">
              <w:t>An agreement, substantially in the form set out at Schedule 3, between the Buyer and any combination of the Supplier and contractors, to ensure collaborative working in their delivery of the Buyer</w:t>
            </w:r>
            <w:r w:rsidR="00C82E38" w:rsidRPr="00ED1913">
              <w:t>’</w:t>
            </w:r>
            <w:r w:rsidRPr="00ED1913">
              <w:t>s Services and to ensure that the Buyer receives end-to-end services across its IT estate.</w:t>
            </w:r>
          </w:p>
        </w:tc>
      </w:tr>
      <w:tr w:rsidR="00CE21CE" w:rsidRPr="00ED1913" w14:paraId="24969DC8" w14:textId="77777777" w:rsidTr="00CE21CE">
        <w:tc>
          <w:tcPr>
            <w:tcW w:w="3969" w:type="dxa"/>
          </w:tcPr>
          <w:p w14:paraId="5F27E817" w14:textId="77777777" w:rsidR="00CE21CE" w:rsidRPr="00ED1913" w:rsidRDefault="00FB504C" w:rsidP="00CE21CE">
            <w:pPr>
              <w:spacing w:before="60" w:after="60"/>
              <w:rPr>
                <w:b/>
              </w:rPr>
            </w:pPr>
            <w:r w:rsidRPr="00ED1913">
              <w:rPr>
                <w:b/>
              </w:rPr>
              <w:t>Commercially Sensitive Information</w:t>
            </w:r>
          </w:p>
        </w:tc>
        <w:tc>
          <w:tcPr>
            <w:tcW w:w="5670" w:type="dxa"/>
          </w:tcPr>
          <w:p w14:paraId="18FFB384" w14:textId="77777777" w:rsidR="00CE21CE" w:rsidRPr="00ED1913" w:rsidRDefault="00CE21CE" w:rsidP="00CE21CE">
            <w:pPr>
              <w:spacing w:before="60" w:after="60"/>
            </w:pPr>
            <w:r w:rsidRPr="00ED1913">
              <w:t>Information, which the Buyer has been notified about by the Supplier in writing before the Start Date with full details of why the Information is deemed to be commercially sensitive.</w:t>
            </w:r>
          </w:p>
        </w:tc>
      </w:tr>
      <w:tr w:rsidR="00CE21CE" w:rsidRPr="00ED1913" w14:paraId="130CE1B2" w14:textId="77777777" w:rsidTr="00CE21CE">
        <w:tc>
          <w:tcPr>
            <w:tcW w:w="3969" w:type="dxa"/>
          </w:tcPr>
          <w:p w14:paraId="412FB86E" w14:textId="77777777" w:rsidR="00CE21CE" w:rsidRPr="00ED1913" w:rsidRDefault="00FB504C" w:rsidP="00CE21CE">
            <w:pPr>
              <w:spacing w:before="60" w:after="60"/>
              <w:rPr>
                <w:b/>
              </w:rPr>
            </w:pPr>
            <w:r w:rsidRPr="00ED1913">
              <w:rPr>
                <w:b/>
              </w:rPr>
              <w:t>Confidential Information</w:t>
            </w:r>
          </w:p>
        </w:tc>
        <w:tc>
          <w:tcPr>
            <w:tcW w:w="5670" w:type="dxa"/>
          </w:tcPr>
          <w:p w14:paraId="5EC32555" w14:textId="77777777" w:rsidR="00CE21CE" w:rsidRPr="00ED1913" w:rsidRDefault="00CE21CE" w:rsidP="00CE21CE">
            <w:pPr>
              <w:spacing w:before="60" w:after="60"/>
            </w:pPr>
            <w:r w:rsidRPr="00ED1913">
              <w:t>Data, personal data and any information, which may include (but isn</w:t>
            </w:r>
            <w:r w:rsidR="00C82E38" w:rsidRPr="00ED1913">
              <w:t>’</w:t>
            </w:r>
            <w:r w:rsidRPr="00ED1913">
              <w:t>t limited to) any:</w:t>
            </w:r>
          </w:p>
          <w:p w14:paraId="7F7C11C1" w14:textId="77777777" w:rsidR="00CE21CE" w:rsidRPr="00ED1913" w:rsidRDefault="00CE21CE" w:rsidP="008D6F49">
            <w:pPr>
              <w:pStyle w:val="ListParagraph"/>
              <w:numPr>
                <w:ilvl w:val="0"/>
                <w:numId w:val="13"/>
              </w:numPr>
              <w:spacing w:before="60" w:after="60"/>
              <w:ind w:left="568" w:hanging="284"/>
              <w:contextualSpacing w:val="0"/>
            </w:pPr>
            <w:r w:rsidRPr="00ED1913">
              <w:t>information about business, affairs, developments, trade secrets, know-how, personnel, and third parties, including all Intellectual Property Rights (IPRs), together with all information derived from any of the above</w:t>
            </w:r>
          </w:p>
          <w:p w14:paraId="55C21E2F" w14:textId="77777777" w:rsidR="00CE21CE" w:rsidRPr="00ED1913" w:rsidRDefault="00CE21CE" w:rsidP="008D6F49">
            <w:pPr>
              <w:pStyle w:val="ListParagraph"/>
              <w:numPr>
                <w:ilvl w:val="0"/>
                <w:numId w:val="13"/>
              </w:numPr>
              <w:spacing w:before="60" w:after="60"/>
              <w:ind w:left="568" w:hanging="284"/>
              <w:contextualSpacing w:val="0"/>
            </w:pPr>
            <w:r w:rsidRPr="00ED1913">
              <w:t xml:space="preserve">other information clearly designated as being confidential or which ought reasonably </w:t>
            </w:r>
            <w:proofErr w:type="gramStart"/>
            <w:r w:rsidRPr="00ED1913">
              <w:t>be</w:t>
            </w:r>
            <w:proofErr w:type="gramEnd"/>
            <w:r w:rsidRPr="00ED1913">
              <w:t xml:space="preserve"> considered to be confidential (whether or not it is marked </w:t>
            </w:r>
            <w:r w:rsidR="00C82E38" w:rsidRPr="00ED1913">
              <w:t>‘</w:t>
            </w:r>
            <w:r w:rsidRPr="00ED1913">
              <w:t>confidential</w:t>
            </w:r>
            <w:r w:rsidR="00C82E38" w:rsidRPr="00ED1913">
              <w:t>’</w:t>
            </w:r>
            <w:r w:rsidRPr="00ED1913">
              <w:t>).</w:t>
            </w:r>
          </w:p>
        </w:tc>
      </w:tr>
      <w:tr w:rsidR="00CE21CE" w:rsidRPr="00ED1913" w14:paraId="55713FE3" w14:textId="77777777" w:rsidTr="00CE21CE">
        <w:tc>
          <w:tcPr>
            <w:tcW w:w="3969" w:type="dxa"/>
          </w:tcPr>
          <w:p w14:paraId="703B1D5D" w14:textId="77777777" w:rsidR="00CE21CE" w:rsidRPr="00ED1913" w:rsidRDefault="00FB504C" w:rsidP="00CE21CE">
            <w:pPr>
              <w:spacing w:before="60" w:after="60"/>
              <w:rPr>
                <w:b/>
              </w:rPr>
            </w:pPr>
            <w:r w:rsidRPr="00ED1913">
              <w:rPr>
                <w:b/>
              </w:rPr>
              <w:t>Control</w:t>
            </w:r>
          </w:p>
        </w:tc>
        <w:tc>
          <w:tcPr>
            <w:tcW w:w="5670" w:type="dxa"/>
          </w:tcPr>
          <w:p w14:paraId="26E25F5D" w14:textId="77777777" w:rsidR="00CE21CE" w:rsidRPr="00ED1913" w:rsidRDefault="00C82E38" w:rsidP="00CE21CE">
            <w:pPr>
              <w:spacing w:before="60" w:after="60"/>
            </w:pPr>
            <w:r w:rsidRPr="00ED1913">
              <w:t>‘</w:t>
            </w:r>
            <w:r w:rsidR="00CE21CE" w:rsidRPr="00ED1913">
              <w:t>Control</w:t>
            </w:r>
            <w:r w:rsidRPr="00ED1913">
              <w:t>’</w:t>
            </w:r>
            <w:r w:rsidR="00CE21CE" w:rsidRPr="00ED1913">
              <w:t xml:space="preserve"> as defined in section 1124 and 450 of the Corporation Tax Act 2010. </w:t>
            </w:r>
            <w:r w:rsidRPr="00ED1913">
              <w:t>‘</w:t>
            </w:r>
            <w:r w:rsidR="00CE21CE" w:rsidRPr="00ED1913">
              <w:t>Controls</w:t>
            </w:r>
            <w:r w:rsidRPr="00ED1913">
              <w:t>’</w:t>
            </w:r>
            <w:r w:rsidR="00CE21CE" w:rsidRPr="00ED1913">
              <w:t xml:space="preserve"> and </w:t>
            </w:r>
            <w:r w:rsidRPr="00ED1913">
              <w:t>‘</w:t>
            </w:r>
            <w:r w:rsidR="00CE21CE" w:rsidRPr="00ED1913">
              <w:t>Controlled</w:t>
            </w:r>
            <w:r w:rsidRPr="00ED1913">
              <w:t>’</w:t>
            </w:r>
            <w:r w:rsidR="00CE21CE" w:rsidRPr="00ED1913">
              <w:t xml:space="preserve"> will be interpreted accordingly.</w:t>
            </w:r>
          </w:p>
        </w:tc>
      </w:tr>
      <w:tr w:rsidR="00CE21CE" w:rsidRPr="00ED1913" w14:paraId="7C737854" w14:textId="77777777" w:rsidTr="00CE21CE">
        <w:tc>
          <w:tcPr>
            <w:tcW w:w="3969" w:type="dxa"/>
          </w:tcPr>
          <w:p w14:paraId="74ACBDC8" w14:textId="77777777" w:rsidR="00CE21CE" w:rsidRPr="00ED1913" w:rsidRDefault="00FB504C" w:rsidP="00CE21CE">
            <w:pPr>
              <w:spacing w:before="60" w:after="60"/>
              <w:rPr>
                <w:b/>
              </w:rPr>
            </w:pPr>
            <w:r w:rsidRPr="00ED1913">
              <w:rPr>
                <w:b/>
              </w:rPr>
              <w:t>Controller</w:t>
            </w:r>
          </w:p>
        </w:tc>
        <w:tc>
          <w:tcPr>
            <w:tcW w:w="5670" w:type="dxa"/>
          </w:tcPr>
          <w:p w14:paraId="21F98517" w14:textId="77777777" w:rsidR="00CE21CE" w:rsidRPr="00ED1913" w:rsidRDefault="00CE21CE" w:rsidP="00CE21CE">
            <w:pPr>
              <w:spacing w:before="60" w:after="60"/>
            </w:pPr>
            <w:r w:rsidRPr="00ED1913">
              <w:t>Takes the meaning given in the Data Protection Legislation.</w:t>
            </w:r>
          </w:p>
        </w:tc>
      </w:tr>
      <w:tr w:rsidR="00CE21CE" w:rsidRPr="00ED1913" w14:paraId="28CFF9A2" w14:textId="77777777" w:rsidTr="00CE21CE">
        <w:tc>
          <w:tcPr>
            <w:tcW w:w="3969" w:type="dxa"/>
          </w:tcPr>
          <w:p w14:paraId="74DC1876" w14:textId="77777777" w:rsidR="00CE21CE" w:rsidRPr="00ED1913" w:rsidRDefault="00FB504C" w:rsidP="00CE21CE">
            <w:pPr>
              <w:spacing w:before="60" w:after="60"/>
              <w:rPr>
                <w:b/>
              </w:rPr>
            </w:pPr>
            <w:r w:rsidRPr="00ED1913">
              <w:rPr>
                <w:b/>
              </w:rPr>
              <w:t>Crown</w:t>
            </w:r>
          </w:p>
        </w:tc>
        <w:tc>
          <w:tcPr>
            <w:tcW w:w="5670" w:type="dxa"/>
          </w:tcPr>
          <w:p w14:paraId="3AA36113" w14:textId="77777777" w:rsidR="00CE21CE" w:rsidRPr="00ED1913" w:rsidRDefault="00CE21CE" w:rsidP="00CE21CE">
            <w:pPr>
              <w:spacing w:before="60" w:after="60"/>
            </w:pPr>
            <w:r w:rsidRPr="00ED1913">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w:t>
            </w:r>
            <w:r w:rsidRPr="00ED1913">
              <w:lastRenderedPageBreak/>
              <w:t>commissions or agencies carrying out functions on its behalf.</w:t>
            </w:r>
          </w:p>
        </w:tc>
      </w:tr>
      <w:tr w:rsidR="00CE21CE" w:rsidRPr="00ED1913" w14:paraId="4A7CB513" w14:textId="77777777" w:rsidTr="00CE21CE">
        <w:tc>
          <w:tcPr>
            <w:tcW w:w="3969" w:type="dxa"/>
          </w:tcPr>
          <w:p w14:paraId="4DA88CA0" w14:textId="77777777" w:rsidR="00CE21CE" w:rsidRPr="00ED1913" w:rsidRDefault="00FB504C" w:rsidP="00CE21CE">
            <w:pPr>
              <w:spacing w:before="60" w:after="60"/>
              <w:rPr>
                <w:b/>
              </w:rPr>
            </w:pPr>
            <w:r w:rsidRPr="00ED1913">
              <w:rPr>
                <w:b/>
              </w:rPr>
              <w:lastRenderedPageBreak/>
              <w:t>Data Loss Event</w:t>
            </w:r>
          </w:p>
        </w:tc>
        <w:tc>
          <w:tcPr>
            <w:tcW w:w="5670" w:type="dxa"/>
          </w:tcPr>
          <w:p w14:paraId="5627A89F" w14:textId="77777777" w:rsidR="00CE21CE" w:rsidRPr="00ED1913" w:rsidRDefault="00CE21CE" w:rsidP="00FB504C">
            <w:pPr>
              <w:spacing w:before="60" w:after="60"/>
            </w:pPr>
            <w:r w:rsidRPr="00ED1913">
              <w:t>Means a breach of security leading to the accidental or</w:t>
            </w:r>
            <w:r w:rsidR="00FB504C" w:rsidRPr="00ED1913">
              <w:t xml:space="preserve"> </w:t>
            </w:r>
            <w:r w:rsidRPr="00ED1913">
              <w:t>unlawful destruction, loss, alteration, unauthorised disclosure of, or access to, Personal Data transmitted, stored or otherwise processed.</w:t>
            </w:r>
          </w:p>
        </w:tc>
      </w:tr>
      <w:tr w:rsidR="00CE21CE" w:rsidRPr="00ED1913" w14:paraId="0754E631" w14:textId="77777777" w:rsidTr="00CE21CE">
        <w:tc>
          <w:tcPr>
            <w:tcW w:w="3969" w:type="dxa"/>
          </w:tcPr>
          <w:p w14:paraId="2D3B8786" w14:textId="77777777" w:rsidR="00CE21CE" w:rsidRPr="00ED1913" w:rsidRDefault="00FB504C" w:rsidP="00CE21CE">
            <w:pPr>
              <w:spacing w:before="60" w:after="60"/>
              <w:rPr>
                <w:b/>
              </w:rPr>
            </w:pPr>
            <w:r w:rsidRPr="00ED1913">
              <w:rPr>
                <w:b/>
              </w:rPr>
              <w:t>Data Protection Impact Assessment</w:t>
            </w:r>
          </w:p>
        </w:tc>
        <w:tc>
          <w:tcPr>
            <w:tcW w:w="5670" w:type="dxa"/>
          </w:tcPr>
          <w:p w14:paraId="5FCAEF8D" w14:textId="77777777" w:rsidR="00CE21CE" w:rsidRPr="00ED1913" w:rsidRDefault="00CE21CE" w:rsidP="00CE21CE">
            <w:pPr>
              <w:spacing w:before="60" w:after="60"/>
            </w:pPr>
            <w:r w:rsidRPr="00ED1913">
              <w:t>An assessment by the Controller of the impact of the envisaged Processing on the protection of Personal Data.</w:t>
            </w:r>
          </w:p>
        </w:tc>
      </w:tr>
      <w:tr w:rsidR="00CE21CE" w:rsidRPr="00ED1913" w14:paraId="45818D32" w14:textId="77777777" w:rsidTr="00CE21CE">
        <w:tc>
          <w:tcPr>
            <w:tcW w:w="3969" w:type="dxa"/>
          </w:tcPr>
          <w:p w14:paraId="5F0FA3D7" w14:textId="77777777" w:rsidR="00CE21CE" w:rsidRPr="00ED1913" w:rsidRDefault="00FB504C" w:rsidP="00CE21CE">
            <w:pPr>
              <w:spacing w:before="60" w:after="60"/>
              <w:rPr>
                <w:b/>
              </w:rPr>
            </w:pPr>
            <w:r w:rsidRPr="00ED1913">
              <w:rPr>
                <w:b/>
              </w:rPr>
              <w:t>Data Protection Legislation</w:t>
            </w:r>
          </w:p>
        </w:tc>
        <w:tc>
          <w:tcPr>
            <w:tcW w:w="5670" w:type="dxa"/>
          </w:tcPr>
          <w:p w14:paraId="760D583A" w14:textId="77777777" w:rsidR="00CE21CE" w:rsidRPr="00ED1913" w:rsidRDefault="00CE21CE" w:rsidP="00CE21CE">
            <w:pPr>
              <w:spacing w:before="60" w:after="60"/>
            </w:pPr>
            <w:r w:rsidRPr="00ED1913">
              <w:t>Data Protection Legislation means:</w:t>
            </w:r>
          </w:p>
          <w:p w14:paraId="78FEA333" w14:textId="77777777" w:rsidR="00CE21CE" w:rsidRPr="00ED1913" w:rsidRDefault="00CE21CE" w:rsidP="008D6F49">
            <w:pPr>
              <w:pStyle w:val="ListParagraph"/>
              <w:numPr>
                <w:ilvl w:val="0"/>
                <w:numId w:val="14"/>
              </w:numPr>
              <w:spacing w:before="60" w:after="60"/>
              <w:ind w:left="568" w:hanging="284"/>
              <w:contextualSpacing w:val="0"/>
            </w:pPr>
            <w:r w:rsidRPr="00ED1913">
              <w:t>the GDPR, the LED and any applicable national implementing Laws as amended from time to time</w:t>
            </w:r>
          </w:p>
          <w:p w14:paraId="5BC7DEBA" w14:textId="77777777" w:rsidR="00CE21CE" w:rsidRPr="00ED1913" w:rsidRDefault="00CE21CE" w:rsidP="008D6F49">
            <w:pPr>
              <w:pStyle w:val="ListParagraph"/>
              <w:numPr>
                <w:ilvl w:val="0"/>
                <w:numId w:val="14"/>
              </w:numPr>
              <w:spacing w:before="60" w:after="60"/>
              <w:ind w:left="568" w:hanging="284"/>
              <w:contextualSpacing w:val="0"/>
            </w:pPr>
            <w:r w:rsidRPr="00ED1913">
              <w:t>the DPA 2018 [subject to Royal Assent] to the extent that it relates to processing of personal data and privacy;</w:t>
            </w:r>
          </w:p>
          <w:p w14:paraId="1DB86182" w14:textId="77777777" w:rsidR="00CE21CE" w:rsidRPr="00ED1913" w:rsidRDefault="00CE21CE" w:rsidP="008D6F49">
            <w:pPr>
              <w:pStyle w:val="ListParagraph"/>
              <w:numPr>
                <w:ilvl w:val="0"/>
                <w:numId w:val="14"/>
              </w:numPr>
              <w:spacing w:before="60" w:after="60"/>
              <w:ind w:left="568" w:hanging="284"/>
              <w:contextualSpacing w:val="0"/>
            </w:pPr>
            <w:r w:rsidRPr="00ED1913">
              <w:t>all applicable Law about the processing of personal data and privacy.</w:t>
            </w:r>
          </w:p>
        </w:tc>
      </w:tr>
      <w:tr w:rsidR="00CE21CE" w:rsidRPr="00ED1913" w14:paraId="457500C1" w14:textId="77777777" w:rsidTr="00CE21CE">
        <w:tc>
          <w:tcPr>
            <w:tcW w:w="3969" w:type="dxa"/>
          </w:tcPr>
          <w:p w14:paraId="16129042" w14:textId="77777777" w:rsidR="00CE21CE" w:rsidRPr="00ED1913" w:rsidRDefault="00FB504C" w:rsidP="00CE21CE">
            <w:pPr>
              <w:spacing w:before="60" w:after="60"/>
              <w:rPr>
                <w:b/>
              </w:rPr>
            </w:pPr>
            <w:r w:rsidRPr="00ED1913">
              <w:rPr>
                <w:b/>
              </w:rPr>
              <w:t>Data Subject</w:t>
            </w:r>
          </w:p>
        </w:tc>
        <w:tc>
          <w:tcPr>
            <w:tcW w:w="5670" w:type="dxa"/>
          </w:tcPr>
          <w:p w14:paraId="6134E654" w14:textId="77777777" w:rsidR="00CE21CE" w:rsidRPr="00ED1913" w:rsidRDefault="00CE21CE" w:rsidP="00CE21CE">
            <w:pPr>
              <w:spacing w:before="60" w:after="60"/>
            </w:pPr>
            <w:r w:rsidRPr="00ED1913">
              <w:t>Takes the meaning given in the Data Protection Legislation.</w:t>
            </w:r>
          </w:p>
        </w:tc>
      </w:tr>
      <w:tr w:rsidR="00CE21CE" w:rsidRPr="00ED1913" w14:paraId="0EC8D414" w14:textId="77777777" w:rsidTr="00CE21CE">
        <w:tc>
          <w:tcPr>
            <w:tcW w:w="3969" w:type="dxa"/>
          </w:tcPr>
          <w:p w14:paraId="34AAB698" w14:textId="77777777" w:rsidR="00CE21CE" w:rsidRPr="00ED1913" w:rsidRDefault="00FB504C" w:rsidP="00CE21CE">
            <w:pPr>
              <w:spacing w:before="60" w:after="60"/>
              <w:rPr>
                <w:b/>
              </w:rPr>
            </w:pPr>
            <w:r w:rsidRPr="00ED1913">
              <w:rPr>
                <w:b/>
              </w:rPr>
              <w:t>Default</w:t>
            </w:r>
          </w:p>
        </w:tc>
        <w:tc>
          <w:tcPr>
            <w:tcW w:w="5670" w:type="dxa"/>
          </w:tcPr>
          <w:p w14:paraId="142BADD4" w14:textId="77777777" w:rsidR="00CE21CE" w:rsidRPr="00ED1913" w:rsidRDefault="00CE21CE" w:rsidP="00CE21CE">
            <w:pPr>
              <w:spacing w:before="60" w:after="60"/>
            </w:pPr>
            <w:r w:rsidRPr="00ED1913">
              <w:t>Default is any:</w:t>
            </w:r>
          </w:p>
          <w:p w14:paraId="6AB851DD" w14:textId="77777777" w:rsidR="00CE21CE" w:rsidRPr="00ED1913" w:rsidRDefault="00CE21CE" w:rsidP="008D6F49">
            <w:pPr>
              <w:pStyle w:val="ListParagraph"/>
              <w:numPr>
                <w:ilvl w:val="0"/>
                <w:numId w:val="15"/>
              </w:numPr>
              <w:spacing w:before="60" w:after="60"/>
              <w:ind w:left="568" w:hanging="284"/>
              <w:contextualSpacing w:val="0"/>
            </w:pPr>
            <w:r w:rsidRPr="00ED1913">
              <w:t>breach of the obligations of the Supplier (including any fundamental breach or breach of a fundamental term)</w:t>
            </w:r>
          </w:p>
          <w:p w14:paraId="3C297FCD" w14:textId="77777777" w:rsidR="00CE21CE" w:rsidRPr="00ED1913" w:rsidRDefault="00CE21CE" w:rsidP="008D6F49">
            <w:pPr>
              <w:pStyle w:val="ListParagraph"/>
              <w:numPr>
                <w:ilvl w:val="0"/>
                <w:numId w:val="15"/>
              </w:numPr>
              <w:spacing w:before="60" w:after="60"/>
              <w:ind w:left="568" w:hanging="284"/>
              <w:contextualSpacing w:val="0"/>
            </w:pPr>
            <w:r w:rsidRPr="00ED1913">
              <w:t>other default, negligence or negligent statement of the Supplier, of its Subcontractors or any Supplier Staff (whether by act or omission), in connection with or in relation to this Call-Off Contract</w:t>
            </w:r>
          </w:p>
          <w:p w14:paraId="50C2D7D2" w14:textId="77777777" w:rsidR="008560DC" w:rsidRDefault="008560DC" w:rsidP="00CE21CE">
            <w:pPr>
              <w:spacing w:before="60" w:after="60"/>
            </w:pPr>
          </w:p>
          <w:p w14:paraId="1F18A042" w14:textId="686DA0E8" w:rsidR="00CE21CE" w:rsidRPr="00ED1913" w:rsidRDefault="00CE21CE" w:rsidP="00CE21CE">
            <w:pPr>
              <w:spacing w:before="60" w:after="60"/>
            </w:pPr>
            <w:r w:rsidRPr="00ED1913">
              <w:t>Unless otherwise specified in the Framework Agreement the Supplier is liable to CCS for a Default of the Framework Agreement and in relation to a Default of the Call-Off Contract, the Supplier is liable to the Buyer.</w:t>
            </w:r>
          </w:p>
        </w:tc>
      </w:tr>
      <w:tr w:rsidR="00CE21CE" w:rsidRPr="00ED1913" w14:paraId="7FE71E52" w14:textId="77777777" w:rsidTr="00CE21CE">
        <w:tc>
          <w:tcPr>
            <w:tcW w:w="3969" w:type="dxa"/>
          </w:tcPr>
          <w:p w14:paraId="497CBD69" w14:textId="77777777" w:rsidR="00CE21CE" w:rsidRPr="00ED1913" w:rsidRDefault="00FB504C" w:rsidP="00CE21CE">
            <w:pPr>
              <w:spacing w:before="60" w:after="60"/>
              <w:rPr>
                <w:b/>
              </w:rPr>
            </w:pPr>
            <w:r w:rsidRPr="00ED1913">
              <w:rPr>
                <w:b/>
              </w:rPr>
              <w:t>Deliverable</w:t>
            </w:r>
          </w:p>
        </w:tc>
        <w:tc>
          <w:tcPr>
            <w:tcW w:w="5670" w:type="dxa"/>
          </w:tcPr>
          <w:p w14:paraId="517B3D2F" w14:textId="77777777" w:rsidR="00CE21CE" w:rsidRPr="00ED1913" w:rsidRDefault="00CE21CE" w:rsidP="00CE21CE">
            <w:pPr>
              <w:spacing w:before="60" w:after="60"/>
            </w:pPr>
            <w:r w:rsidRPr="00ED1913">
              <w:t>The G-Cloud Services the Buyer contracts the Supplier to provid</w:t>
            </w:r>
            <w:r w:rsidR="004B006A" w:rsidRPr="00ED1913">
              <w:t>e under this Call-Off Contract.</w:t>
            </w:r>
          </w:p>
        </w:tc>
      </w:tr>
      <w:tr w:rsidR="00CE21CE" w:rsidRPr="00ED1913" w14:paraId="1AB8CD73" w14:textId="77777777" w:rsidTr="00CE21CE">
        <w:tc>
          <w:tcPr>
            <w:tcW w:w="3969" w:type="dxa"/>
          </w:tcPr>
          <w:p w14:paraId="60831F5B" w14:textId="77777777" w:rsidR="00CE21CE" w:rsidRPr="00ED1913" w:rsidRDefault="00FB504C" w:rsidP="00CE21CE">
            <w:pPr>
              <w:spacing w:before="60" w:after="60"/>
              <w:rPr>
                <w:b/>
              </w:rPr>
            </w:pPr>
            <w:r w:rsidRPr="00ED1913">
              <w:rPr>
                <w:b/>
              </w:rPr>
              <w:t>Digital Marketplace</w:t>
            </w:r>
          </w:p>
        </w:tc>
        <w:tc>
          <w:tcPr>
            <w:tcW w:w="5670" w:type="dxa"/>
          </w:tcPr>
          <w:p w14:paraId="2156D1BC" w14:textId="77777777" w:rsidR="00CE21CE" w:rsidRPr="00ED1913" w:rsidRDefault="004B006A" w:rsidP="004B006A">
            <w:pPr>
              <w:spacing w:before="60" w:after="60"/>
            </w:pPr>
            <w:r w:rsidRPr="00ED1913">
              <w:t>The government marketplace where Services are available for Buyers to buy. (</w:t>
            </w:r>
            <w:hyperlink r:id="rId25" w:history="1">
              <w:r w:rsidRPr="00ED1913">
                <w:rPr>
                  <w:rStyle w:val="Hyperlink"/>
                </w:rPr>
                <w:t>https://www.digitalmarketplace.service.gov.uk</w:t>
              </w:r>
            </w:hyperlink>
            <w:r w:rsidRPr="00ED1913">
              <w:t>)</w:t>
            </w:r>
          </w:p>
        </w:tc>
      </w:tr>
      <w:tr w:rsidR="00CE21CE" w:rsidRPr="00ED1913" w14:paraId="68A4BD4A" w14:textId="77777777" w:rsidTr="00CE21CE">
        <w:tc>
          <w:tcPr>
            <w:tcW w:w="3969" w:type="dxa"/>
          </w:tcPr>
          <w:p w14:paraId="3EAE7870" w14:textId="77777777" w:rsidR="00CE21CE" w:rsidRPr="00ED1913" w:rsidRDefault="00FB504C" w:rsidP="00CE21CE">
            <w:pPr>
              <w:spacing w:before="60" w:after="60"/>
              <w:rPr>
                <w:b/>
              </w:rPr>
            </w:pPr>
            <w:r w:rsidRPr="00ED1913">
              <w:rPr>
                <w:b/>
              </w:rPr>
              <w:t>DPA 2018</w:t>
            </w:r>
          </w:p>
        </w:tc>
        <w:tc>
          <w:tcPr>
            <w:tcW w:w="5670" w:type="dxa"/>
          </w:tcPr>
          <w:p w14:paraId="464F3B5A" w14:textId="77777777" w:rsidR="00CE21CE" w:rsidRPr="00ED1913" w:rsidRDefault="004B006A" w:rsidP="004B006A">
            <w:pPr>
              <w:spacing w:before="60" w:after="60"/>
            </w:pPr>
            <w:r w:rsidRPr="00ED1913">
              <w:t>Data Protection Act 2018.</w:t>
            </w:r>
          </w:p>
        </w:tc>
      </w:tr>
      <w:tr w:rsidR="00CE21CE" w:rsidRPr="00ED1913" w14:paraId="6CD8A8F8" w14:textId="77777777" w:rsidTr="00CE21CE">
        <w:tc>
          <w:tcPr>
            <w:tcW w:w="3969" w:type="dxa"/>
          </w:tcPr>
          <w:p w14:paraId="12FEB8AC" w14:textId="77777777" w:rsidR="00CE21CE" w:rsidRPr="00ED1913" w:rsidRDefault="00FB504C" w:rsidP="00CE21CE">
            <w:pPr>
              <w:spacing w:before="60" w:after="60"/>
              <w:rPr>
                <w:b/>
              </w:rPr>
            </w:pPr>
            <w:r w:rsidRPr="00ED1913">
              <w:rPr>
                <w:b/>
              </w:rPr>
              <w:lastRenderedPageBreak/>
              <w:t>Employment Regulations</w:t>
            </w:r>
          </w:p>
        </w:tc>
        <w:tc>
          <w:tcPr>
            <w:tcW w:w="5670" w:type="dxa"/>
          </w:tcPr>
          <w:p w14:paraId="50FF4A77" w14:textId="77777777" w:rsidR="00CE21CE" w:rsidRPr="00ED1913" w:rsidRDefault="004B006A" w:rsidP="004B006A">
            <w:pPr>
              <w:spacing w:before="60" w:after="60"/>
            </w:pPr>
            <w:r w:rsidRPr="00ED1913">
              <w:t>The Transfer of Undertakings (Protection of Employment) Regulations 2006 (SI 2006/246) (</w:t>
            </w:r>
            <w:r w:rsidR="00C82E38" w:rsidRPr="00ED1913">
              <w:t>‘</w:t>
            </w:r>
            <w:r w:rsidRPr="00ED1913">
              <w:t>TUPE</w:t>
            </w:r>
            <w:r w:rsidR="00C82E38" w:rsidRPr="00ED1913">
              <w:t>’</w:t>
            </w:r>
            <w:r w:rsidRPr="00ED1913">
              <w:t>) which implements the Acquired Rights Directive.</w:t>
            </w:r>
          </w:p>
        </w:tc>
      </w:tr>
      <w:tr w:rsidR="00CE21CE" w:rsidRPr="00ED1913" w14:paraId="2DAEF182" w14:textId="77777777" w:rsidTr="00CE21CE">
        <w:tc>
          <w:tcPr>
            <w:tcW w:w="3969" w:type="dxa"/>
          </w:tcPr>
          <w:p w14:paraId="4ED727F5" w14:textId="77777777" w:rsidR="00CE21CE" w:rsidRPr="00ED1913" w:rsidRDefault="00FB504C" w:rsidP="00CE21CE">
            <w:pPr>
              <w:spacing w:before="60" w:after="60"/>
              <w:rPr>
                <w:b/>
              </w:rPr>
            </w:pPr>
            <w:r w:rsidRPr="00ED1913">
              <w:rPr>
                <w:b/>
              </w:rPr>
              <w:t>End</w:t>
            </w:r>
          </w:p>
        </w:tc>
        <w:tc>
          <w:tcPr>
            <w:tcW w:w="5670" w:type="dxa"/>
          </w:tcPr>
          <w:p w14:paraId="2F24B134" w14:textId="77777777" w:rsidR="00CE21CE" w:rsidRPr="00ED1913" w:rsidRDefault="004B006A" w:rsidP="004B006A">
            <w:pPr>
              <w:spacing w:before="60" w:after="60"/>
            </w:pPr>
            <w:r w:rsidRPr="00ED1913">
              <w:t>Means to terminate; and Ended and Ending are construed accordingly.</w:t>
            </w:r>
          </w:p>
        </w:tc>
      </w:tr>
      <w:tr w:rsidR="00CE21CE" w:rsidRPr="00ED1913" w14:paraId="5EAE1BA5" w14:textId="77777777" w:rsidTr="00CE21CE">
        <w:tc>
          <w:tcPr>
            <w:tcW w:w="3969" w:type="dxa"/>
          </w:tcPr>
          <w:p w14:paraId="2B73C4FF" w14:textId="77777777" w:rsidR="00CE21CE" w:rsidRPr="00ED1913" w:rsidRDefault="00FB504C" w:rsidP="00CE21CE">
            <w:pPr>
              <w:spacing w:before="60" w:after="60"/>
              <w:rPr>
                <w:b/>
              </w:rPr>
            </w:pPr>
            <w:r w:rsidRPr="00ED1913">
              <w:rPr>
                <w:b/>
              </w:rPr>
              <w:t>Environmental Information Regulations or EIR</w:t>
            </w:r>
          </w:p>
        </w:tc>
        <w:tc>
          <w:tcPr>
            <w:tcW w:w="5670" w:type="dxa"/>
          </w:tcPr>
          <w:p w14:paraId="13592A07" w14:textId="77777777" w:rsidR="00CE21CE" w:rsidRPr="00ED1913" w:rsidRDefault="004B006A" w:rsidP="004B006A">
            <w:pPr>
              <w:spacing w:before="60" w:after="60"/>
            </w:pPr>
            <w:r w:rsidRPr="00ED1913">
              <w:t>The Environmental Information Regulations 2004 together with any guidance or codes of practice issued by the Information Commissioner or relevant Government department about the regulations.</w:t>
            </w:r>
          </w:p>
        </w:tc>
      </w:tr>
      <w:tr w:rsidR="00CE21CE" w:rsidRPr="00ED1913" w14:paraId="6F39530B" w14:textId="77777777" w:rsidTr="00CE21CE">
        <w:tc>
          <w:tcPr>
            <w:tcW w:w="3969" w:type="dxa"/>
          </w:tcPr>
          <w:p w14:paraId="58675F42" w14:textId="77777777" w:rsidR="00CE21CE" w:rsidRPr="00ED1913" w:rsidRDefault="00FB504C" w:rsidP="00CE21CE">
            <w:pPr>
              <w:spacing w:before="60" w:after="60"/>
              <w:rPr>
                <w:b/>
              </w:rPr>
            </w:pPr>
            <w:r w:rsidRPr="00ED1913">
              <w:rPr>
                <w:b/>
              </w:rPr>
              <w:t>Equipment</w:t>
            </w:r>
          </w:p>
        </w:tc>
        <w:tc>
          <w:tcPr>
            <w:tcW w:w="5670" w:type="dxa"/>
          </w:tcPr>
          <w:p w14:paraId="10BE4A69" w14:textId="77777777" w:rsidR="00CE21CE" w:rsidRPr="00ED1913" w:rsidRDefault="004B006A" w:rsidP="004B006A">
            <w:pPr>
              <w:spacing w:before="60" w:after="60"/>
            </w:pPr>
            <w:r w:rsidRPr="00ED1913">
              <w:t>The Supplier</w:t>
            </w:r>
            <w:r w:rsidR="00C82E38" w:rsidRPr="00ED1913">
              <w:t>’</w:t>
            </w:r>
            <w:r w:rsidRPr="00ED1913">
              <w:t>s hardware, computer and telecoms devices, plant, materials and such other items supplied and used by the Supplier (but not hired, leased or loaned from CCS or the Buyer) in the performance of its obligations under this Call-Off Contract.</w:t>
            </w:r>
          </w:p>
        </w:tc>
      </w:tr>
      <w:tr w:rsidR="00CE21CE" w:rsidRPr="00ED1913" w14:paraId="42C9DF6E" w14:textId="77777777" w:rsidTr="00CE21CE">
        <w:tc>
          <w:tcPr>
            <w:tcW w:w="3969" w:type="dxa"/>
          </w:tcPr>
          <w:p w14:paraId="0533AFFB" w14:textId="77777777" w:rsidR="00CE21CE" w:rsidRPr="00ED1913" w:rsidRDefault="00FB504C" w:rsidP="00CE21CE">
            <w:pPr>
              <w:spacing w:before="60" w:after="60"/>
              <w:rPr>
                <w:b/>
              </w:rPr>
            </w:pPr>
            <w:r w:rsidRPr="00ED1913">
              <w:rPr>
                <w:b/>
              </w:rPr>
              <w:t>ESI Reference Number</w:t>
            </w:r>
          </w:p>
        </w:tc>
        <w:tc>
          <w:tcPr>
            <w:tcW w:w="5670" w:type="dxa"/>
          </w:tcPr>
          <w:p w14:paraId="2AF2E1B6" w14:textId="77777777" w:rsidR="00CE21CE" w:rsidRPr="00ED1913" w:rsidRDefault="004B006A" w:rsidP="004B006A">
            <w:pPr>
              <w:spacing w:before="60" w:after="60"/>
            </w:pPr>
            <w:r w:rsidRPr="00ED1913">
              <w:t xml:space="preserve">The </w:t>
            </w:r>
            <w:proofErr w:type="gramStart"/>
            <w:r w:rsidRPr="00ED1913">
              <w:t>14 digit</w:t>
            </w:r>
            <w:proofErr w:type="gramEnd"/>
            <w:r w:rsidRPr="00ED1913">
              <w:t xml:space="preserve"> ESI reference number from the summary of outcome screen of the ESI tool.</w:t>
            </w:r>
          </w:p>
        </w:tc>
      </w:tr>
      <w:tr w:rsidR="00CE21CE" w:rsidRPr="00ED1913" w14:paraId="4AE408E5" w14:textId="77777777" w:rsidTr="00CE21CE">
        <w:tc>
          <w:tcPr>
            <w:tcW w:w="3969" w:type="dxa"/>
          </w:tcPr>
          <w:p w14:paraId="558D5068" w14:textId="77777777" w:rsidR="00CE21CE" w:rsidRPr="00ED1913" w:rsidRDefault="00FB504C" w:rsidP="00CE21CE">
            <w:pPr>
              <w:spacing w:before="60" w:after="60"/>
              <w:rPr>
                <w:b/>
              </w:rPr>
            </w:pPr>
            <w:r w:rsidRPr="00ED1913">
              <w:rPr>
                <w:b/>
              </w:rPr>
              <w:t>Employment Status Indicator test tool or ESI tool</w:t>
            </w:r>
          </w:p>
        </w:tc>
        <w:tc>
          <w:tcPr>
            <w:tcW w:w="5670" w:type="dxa"/>
          </w:tcPr>
          <w:p w14:paraId="295290A1" w14:textId="77777777" w:rsidR="004B006A" w:rsidRPr="00ED1913" w:rsidRDefault="004B006A" w:rsidP="004B006A">
            <w:pPr>
              <w:spacing w:before="60" w:after="60"/>
            </w:pPr>
            <w:r w:rsidRPr="00ED1913">
              <w:t>The HMRC Employment Status Indicator test tool. The most up-to-date version must be used. At the time of drafting the tool may be found here:</w:t>
            </w:r>
          </w:p>
          <w:p w14:paraId="5F834B13" w14:textId="77777777" w:rsidR="00CE21CE" w:rsidRPr="00ED1913" w:rsidRDefault="009537A1" w:rsidP="004B006A">
            <w:pPr>
              <w:spacing w:before="60" w:after="60"/>
            </w:pPr>
            <w:hyperlink r:id="rId26" w:history="1">
              <w:r w:rsidR="004B006A" w:rsidRPr="00ED1913">
                <w:rPr>
                  <w:rStyle w:val="Hyperlink"/>
                </w:rPr>
                <w:t>http://tools.hmrc.gov.uk/esi</w:t>
              </w:r>
            </w:hyperlink>
          </w:p>
        </w:tc>
      </w:tr>
      <w:tr w:rsidR="00CE21CE" w:rsidRPr="00ED1913" w14:paraId="043432F8" w14:textId="77777777" w:rsidTr="00CE21CE">
        <w:tc>
          <w:tcPr>
            <w:tcW w:w="3969" w:type="dxa"/>
          </w:tcPr>
          <w:p w14:paraId="29360FBC" w14:textId="77777777" w:rsidR="00CE21CE" w:rsidRPr="00ED1913" w:rsidRDefault="00FB504C" w:rsidP="00CE21CE">
            <w:pPr>
              <w:spacing w:before="60" w:after="60"/>
              <w:rPr>
                <w:b/>
              </w:rPr>
            </w:pPr>
            <w:r w:rsidRPr="00ED1913">
              <w:rPr>
                <w:b/>
              </w:rPr>
              <w:t>Expiry Date</w:t>
            </w:r>
          </w:p>
        </w:tc>
        <w:tc>
          <w:tcPr>
            <w:tcW w:w="5670" w:type="dxa"/>
          </w:tcPr>
          <w:p w14:paraId="1A067145" w14:textId="77777777" w:rsidR="00CE21CE" w:rsidRPr="00ED1913" w:rsidRDefault="004B006A" w:rsidP="004B006A">
            <w:pPr>
              <w:spacing w:before="60" w:after="60"/>
            </w:pPr>
            <w:r w:rsidRPr="00ED1913">
              <w:t>The expiry date of this Call-Off Contract in the Order Form.</w:t>
            </w:r>
          </w:p>
        </w:tc>
      </w:tr>
      <w:tr w:rsidR="00CE21CE" w:rsidRPr="00ED1913" w14:paraId="35118254" w14:textId="77777777" w:rsidTr="00CE21CE">
        <w:tc>
          <w:tcPr>
            <w:tcW w:w="3969" w:type="dxa"/>
          </w:tcPr>
          <w:p w14:paraId="619411D5" w14:textId="77777777" w:rsidR="00CE21CE" w:rsidRPr="00ED1913" w:rsidRDefault="00FB504C" w:rsidP="00CE21CE">
            <w:pPr>
              <w:spacing w:before="60" w:after="60"/>
              <w:rPr>
                <w:b/>
              </w:rPr>
            </w:pPr>
            <w:r w:rsidRPr="00ED1913">
              <w:rPr>
                <w:b/>
              </w:rPr>
              <w:t>Force Majeure</w:t>
            </w:r>
          </w:p>
        </w:tc>
        <w:tc>
          <w:tcPr>
            <w:tcW w:w="5670" w:type="dxa"/>
          </w:tcPr>
          <w:p w14:paraId="087D0BFF" w14:textId="77777777" w:rsidR="004B006A" w:rsidRPr="00ED1913" w:rsidRDefault="004B006A" w:rsidP="00FB504C">
            <w:pPr>
              <w:spacing w:before="60" w:after="60"/>
            </w:pPr>
            <w:r w:rsidRPr="00ED1913">
              <w:t>A Force Majeure event means anything affecting either Party</w:t>
            </w:r>
            <w:r w:rsidR="00C82E38" w:rsidRPr="00ED1913">
              <w:t>’</w:t>
            </w:r>
            <w:r w:rsidRPr="00ED1913">
              <w:t>s performance of their obligations arising from any:</w:t>
            </w:r>
          </w:p>
          <w:p w14:paraId="4041F387" w14:textId="77777777" w:rsidR="004B006A" w:rsidRPr="00ED1913" w:rsidRDefault="004B006A" w:rsidP="008D6F49">
            <w:pPr>
              <w:pStyle w:val="ListParagraph"/>
              <w:numPr>
                <w:ilvl w:val="0"/>
                <w:numId w:val="16"/>
              </w:numPr>
              <w:spacing w:before="60" w:after="60"/>
              <w:ind w:left="568" w:hanging="284"/>
              <w:contextualSpacing w:val="0"/>
            </w:pPr>
            <w:r w:rsidRPr="00ED1913">
              <w:t>acts, events or omissions beyond the reasonable control of the affected Party</w:t>
            </w:r>
          </w:p>
          <w:p w14:paraId="3D285D3B" w14:textId="77777777" w:rsidR="004B006A" w:rsidRPr="00ED1913" w:rsidRDefault="004B006A" w:rsidP="008D6F49">
            <w:pPr>
              <w:pStyle w:val="ListParagraph"/>
              <w:numPr>
                <w:ilvl w:val="0"/>
                <w:numId w:val="16"/>
              </w:numPr>
              <w:spacing w:before="60" w:after="60"/>
              <w:ind w:left="568" w:hanging="284"/>
              <w:contextualSpacing w:val="0"/>
            </w:pPr>
            <w:r w:rsidRPr="00ED1913">
              <w:t>riots, war or armed conflict, acts of terrorism, nuclear, biological or chemical warfare</w:t>
            </w:r>
          </w:p>
          <w:p w14:paraId="508D7C72" w14:textId="77777777" w:rsidR="004B006A" w:rsidRPr="00ED1913" w:rsidRDefault="004B006A" w:rsidP="008D6F49">
            <w:pPr>
              <w:pStyle w:val="ListParagraph"/>
              <w:numPr>
                <w:ilvl w:val="0"/>
                <w:numId w:val="16"/>
              </w:numPr>
              <w:spacing w:before="60" w:after="60"/>
              <w:ind w:left="568" w:hanging="284"/>
              <w:contextualSpacing w:val="0"/>
            </w:pPr>
            <w:r w:rsidRPr="00ED1913">
              <w:t>acts of government, local government or Regulatory Bodies</w:t>
            </w:r>
          </w:p>
          <w:p w14:paraId="5EEBFD59" w14:textId="77777777" w:rsidR="004B006A" w:rsidRPr="00ED1913" w:rsidRDefault="004B006A" w:rsidP="008D6F49">
            <w:pPr>
              <w:pStyle w:val="ListParagraph"/>
              <w:numPr>
                <w:ilvl w:val="0"/>
                <w:numId w:val="16"/>
              </w:numPr>
              <w:spacing w:before="60" w:after="60"/>
              <w:ind w:left="568" w:hanging="284"/>
              <w:contextualSpacing w:val="0"/>
            </w:pPr>
            <w:r w:rsidRPr="00ED1913">
              <w:t>fire, flood or disaster and any failure or shortage of power or fuel</w:t>
            </w:r>
          </w:p>
          <w:p w14:paraId="1E633AAB" w14:textId="77777777" w:rsidR="004B006A" w:rsidRPr="00ED1913" w:rsidRDefault="004B006A" w:rsidP="008D6F49">
            <w:pPr>
              <w:pStyle w:val="ListParagraph"/>
              <w:numPr>
                <w:ilvl w:val="0"/>
                <w:numId w:val="16"/>
              </w:numPr>
              <w:spacing w:before="60" w:after="60"/>
              <w:ind w:left="568" w:hanging="284"/>
              <w:contextualSpacing w:val="0"/>
            </w:pPr>
            <w:r w:rsidRPr="00ED1913">
              <w:t>industrial dispute affecting a third party for which a substitute third party isn</w:t>
            </w:r>
            <w:r w:rsidR="00C82E38" w:rsidRPr="00ED1913">
              <w:t>’</w:t>
            </w:r>
            <w:r w:rsidRPr="00ED1913">
              <w:t>t reasonably available</w:t>
            </w:r>
          </w:p>
          <w:p w14:paraId="399196B6" w14:textId="77777777" w:rsidR="008560DC" w:rsidRDefault="008560DC" w:rsidP="00FB504C">
            <w:pPr>
              <w:spacing w:before="60" w:after="60"/>
            </w:pPr>
          </w:p>
          <w:p w14:paraId="5FCE64D9" w14:textId="5DDE7093" w:rsidR="004B006A" w:rsidRPr="00ED1913" w:rsidRDefault="004B006A" w:rsidP="00FB504C">
            <w:pPr>
              <w:spacing w:before="60" w:after="60"/>
            </w:pPr>
            <w:r w:rsidRPr="00ED1913">
              <w:t>The following do not constitute a Force Majeure event:</w:t>
            </w:r>
          </w:p>
          <w:p w14:paraId="0BFFB18D" w14:textId="77777777" w:rsidR="004B006A" w:rsidRPr="00ED1913" w:rsidRDefault="004B006A" w:rsidP="008D6F49">
            <w:pPr>
              <w:pStyle w:val="ListParagraph"/>
              <w:numPr>
                <w:ilvl w:val="0"/>
                <w:numId w:val="16"/>
              </w:numPr>
              <w:spacing w:before="60" w:after="60"/>
              <w:ind w:left="568" w:hanging="284"/>
              <w:contextualSpacing w:val="0"/>
            </w:pPr>
            <w:r w:rsidRPr="00ED1913">
              <w:lastRenderedPageBreak/>
              <w:t>any industrial dispute about the Supplier, its staff, or failure in the Supplier</w:t>
            </w:r>
            <w:r w:rsidR="00C82E38" w:rsidRPr="00ED1913">
              <w:t>’</w:t>
            </w:r>
            <w:r w:rsidRPr="00ED1913">
              <w:t>s (or a Subcontractor</w:t>
            </w:r>
            <w:r w:rsidR="00C82E38" w:rsidRPr="00ED1913">
              <w:t>’</w:t>
            </w:r>
            <w:r w:rsidRPr="00ED1913">
              <w:t>s) supply chain</w:t>
            </w:r>
          </w:p>
          <w:p w14:paraId="6B4B2418" w14:textId="77777777" w:rsidR="004B006A" w:rsidRPr="00ED1913" w:rsidRDefault="004B006A" w:rsidP="008D6F49">
            <w:pPr>
              <w:pStyle w:val="ListParagraph"/>
              <w:numPr>
                <w:ilvl w:val="0"/>
                <w:numId w:val="16"/>
              </w:numPr>
              <w:spacing w:before="60" w:after="60"/>
              <w:ind w:left="568" w:hanging="284"/>
              <w:contextualSpacing w:val="0"/>
            </w:pPr>
            <w:r w:rsidRPr="00ED1913">
              <w:t>any event which is attributable to the wilful act, neglect or failure to take reasonable precautions by the Party seeking to rely on Force Majeure</w:t>
            </w:r>
          </w:p>
          <w:p w14:paraId="3CB49D90" w14:textId="77777777" w:rsidR="004B006A" w:rsidRPr="00ED1913" w:rsidRDefault="004B006A" w:rsidP="008D6F49">
            <w:pPr>
              <w:pStyle w:val="ListParagraph"/>
              <w:numPr>
                <w:ilvl w:val="0"/>
                <w:numId w:val="16"/>
              </w:numPr>
              <w:spacing w:before="60" w:after="60"/>
              <w:ind w:left="568" w:hanging="284"/>
              <w:contextualSpacing w:val="0"/>
            </w:pPr>
            <w:r w:rsidRPr="00ED1913">
              <w:t>the event was foreseeable by the Party seeking to rely on Force Majeure at the time this Call-Off Contract was entered into</w:t>
            </w:r>
          </w:p>
          <w:p w14:paraId="780D6611" w14:textId="77777777" w:rsidR="00CE21CE" w:rsidRPr="00ED1913" w:rsidRDefault="004B006A" w:rsidP="008D6F49">
            <w:pPr>
              <w:pStyle w:val="ListParagraph"/>
              <w:numPr>
                <w:ilvl w:val="0"/>
                <w:numId w:val="16"/>
              </w:numPr>
              <w:spacing w:before="60" w:after="60"/>
              <w:ind w:left="568" w:hanging="284"/>
              <w:contextualSpacing w:val="0"/>
            </w:pPr>
            <w:r w:rsidRPr="00ED1913">
              <w:t>any event which is attributable to the Party seeking to rely on Force Majeure and its failure to comply with its own business continuity and disaster recovery plans</w:t>
            </w:r>
          </w:p>
        </w:tc>
      </w:tr>
      <w:tr w:rsidR="00CE21CE" w:rsidRPr="00ED1913" w14:paraId="23F04A57" w14:textId="77777777" w:rsidTr="00CE21CE">
        <w:tc>
          <w:tcPr>
            <w:tcW w:w="3969" w:type="dxa"/>
          </w:tcPr>
          <w:p w14:paraId="7BC19692" w14:textId="77777777" w:rsidR="00CE21CE" w:rsidRPr="00ED1913" w:rsidRDefault="00FB504C" w:rsidP="00CE21CE">
            <w:pPr>
              <w:spacing w:before="60" w:after="60"/>
              <w:rPr>
                <w:b/>
              </w:rPr>
            </w:pPr>
            <w:r w:rsidRPr="00ED1913">
              <w:rPr>
                <w:b/>
              </w:rPr>
              <w:lastRenderedPageBreak/>
              <w:t>Former Supplier</w:t>
            </w:r>
          </w:p>
        </w:tc>
        <w:tc>
          <w:tcPr>
            <w:tcW w:w="5670" w:type="dxa"/>
          </w:tcPr>
          <w:p w14:paraId="4CBA58DF" w14:textId="77777777" w:rsidR="00CE21CE" w:rsidRPr="00ED1913" w:rsidRDefault="004B006A" w:rsidP="004B006A">
            <w:pPr>
              <w:spacing w:before="60" w:after="60"/>
            </w:pPr>
            <w:r w:rsidRPr="00ED1913">
              <w:t>A supplier supplying services to the Buyer before the Start Date that are the same as or substantially similar to the Services. This also includes any Subcontractor or the Supplier (or any subcontractor of the Subcontractor).</w:t>
            </w:r>
          </w:p>
        </w:tc>
      </w:tr>
      <w:tr w:rsidR="004B006A" w:rsidRPr="00ED1913" w14:paraId="6ABF205B" w14:textId="77777777" w:rsidTr="00CE21CE">
        <w:tc>
          <w:tcPr>
            <w:tcW w:w="3969" w:type="dxa"/>
          </w:tcPr>
          <w:p w14:paraId="5460B196" w14:textId="77777777" w:rsidR="004B006A" w:rsidRPr="00ED1913" w:rsidRDefault="00FB504C" w:rsidP="00CE21CE">
            <w:pPr>
              <w:spacing w:before="60" w:after="60"/>
              <w:rPr>
                <w:b/>
              </w:rPr>
            </w:pPr>
            <w:r w:rsidRPr="00ED1913">
              <w:rPr>
                <w:b/>
              </w:rPr>
              <w:t>Framework Agreement</w:t>
            </w:r>
          </w:p>
        </w:tc>
        <w:tc>
          <w:tcPr>
            <w:tcW w:w="5670" w:type="dxa"/>
          </w:tcPr>
          <w:p w14:paraId="1C89BA5C" w14:textId="77777777" w:rsidR="004B006A" w:rsidRPr="00ED1913" w:rsidRDefault="004B006A" w:rsidP="004B006A">
            <w:pPr>
              <w:spacing w:before="60" w:after="60"/>
            </w:pPr>
            <w:r w:rsidRPr="00ED1913">
              <w:t>The clauses of framework agreement RM1557.10 together with the Framework Schedules.</w:t>
            </w:r>
          </w:p>
        </w:tc>
      </w:tr>
      <w:tr w:rsidR="004B006A" w:rsidRPr="00ED1913" w14:paraId="3F933556" w14:textId="77777777" w:rsidTr="00CE21CE">
        <w:tc>
          <w:tcPr>
            <w:tcW w:w="3969" w:type="dxa"/>
          </w:tcPr>
          <w:p w14:paraId="41492118" w14:textId="77777777" w:rsidR="004B006A" w:rsidRPr="00ED1913" w:rsidRDefault="00FB504C" w:rsidP="00CE21CE">
            <w:pPr>
              <w:spacing w:before="60" w:after="60"/>
              <w:rPr>
                <w:b/>
              </w:rPr>
            </w:pPr>
            <w:r w:rsidRPr="00ED1913">
              <w:rPr>
                <w:b/>
              </w:rPr>
              <w:t>Fraud</w:t>
            </w:r>
          </w:p>
        </w:tc>
        <w:tc>
          <w:tcPr>
            <w:tcW w:w="5670" w:type="dxa"/>
          </w:tcPr>
          <w:p w14:paraId="2D876DFC" w14:textId="77777777" w:rsidR="004B006A" w:rsidRPr="00ED1913" w:rsidRDefault="004B006A" w:rsidP="004B006A">
            <w:pPr>
              <w:spacing w:before="60" w:after="60"/>
            </w:pPr>
            <w:r w:rsidRPr="00ED1913">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4B006A" w:rsidRPr="00ED1913" w14:paraId="5FF740B2" w14:textId="77777777" w:rsidTr="00CE21CE">
        <w:tc>
          <w:tcPr>
            <w:tcW w:w="3969" w:type="dxa"/>
          </w:tcPr>
          <w:p w14:paraId="0D720773" w14:textId="77777777" w:rsidR="004B006A" w:rsidRPr="00ED1913" w:rsidRDefault="00FB504C" w:rsidP="00FB504C">
            <w:pPr>
              <w:spacing w:before="60" w:after="60"/>
              <w:rPr>
                <w:b/>
              </w:rPr>
            </w:pPr>
            <w:r w:rsidRPr="00ED1913">
              <w:rPr>
                <w:b/>
              </w:rPr>
              <w:t xml:space="preserve">Freedom of Information Act or </w:t>
            </w:r>
            <w:proofErr w:type="spellStart"/>
            <w:r w:rsidRPr="00ED1913">
              <w:rPr>
                <w:b/>
              </w:rPr>
              <w:t>FoIA</w:t>
            </w:r>
            <w:proofErr w:type="spellEnd"/>
          </w:p>
        </w:tc>
        <w:tc>
          <w:tcPr>
            <w:tcW w:w="5670" w:type="dxa"/>
          </w:tcPr>
          <w:p w14:paraId="6A948D22" w14:textId="77777777" w:rsidR="004B006A" w:rsidRPr="00ED1913" w:rsidRDefault="00FB504C" w:rsidP="004B006A">
            <w:pPr>
              <w:spacing w:before="60" w:after="60"/>
            </w:pPr>
            <w:r w:rsidRPr="00ED1913">
              <w:t>The Freedom of Information Act 2000 and any subordinate legislation made under the Act together with any guidance or codes of practice issued by the Information Commissioner or relevant Government department in relation to the legislation.</w:t>
            </w:r>
          </w:p>
        </w:tc>
      </w:tr>
      <w:tr w:rsidR="004B006A" w:rsidRPr="00ED1913" w14:paraId="67B045C0" w14:textId="77777777" w:rsidTr="00CE21CE">
        <w:tc>
          <w:tcPr>
            <w:tcW w:w="3969" w:type="dxa"/>
          </w:tcPr>
          <w:p w14:paraId="2B79C35C" w14:textId="77777777" w:rsidR="004B006A" w:rsidRPr="00ED1913" w:rsidRDefault="00FB504C" w:rsidP="00CE21CE">
            <w:pPr>
              <w:spacing w:before="60" w:after="60"/>
              <w:rPr>
                <w:b/>
              </w:rPr>
            </w:pPr>
            <w:r w:rsidRPr="00ED1913">
              <w:rPr>
                <w:b/>
              </w:rPr>
              <w:t>G-Cloud Services</w:t>
            </w:r>
          </w:p>
        </w:tc>
        <w:tc>
          <w:tcPr>
            <w:tcW w:w="5670" w:type="dxa"/>
          </w:tcPr>
          <w:p w14:paraId="794859F7" w14:textId="77777777" w:rsidR="004B006A" w:rsidRPr="00ED1913" w:rsidRDefault="004B006A" w:rsidP="004B006A">
            <w:pPr>
              <w:spacing w:before="60" w:after="60"/>
            </w:pPr>
            <w:r w:rsidRPr="00ED1913">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4B006A" w:rsidRPr="00ED1913" w14:paraId="450CE667" w14:textId="77777777" w:rsidTr="00CE21CE">
        <w:tc>
          <w:tcPr>
            <w:tcW w:w="3969" w:type="dxa"/>
          </w:tcPr>
          <w:p w14:paraId="7070BBAD" w14:textId="77777777" w:rsidR="004B006A" w:rsidRPr="00ED1913" w:rsidRDefault="00FB504C" w:rsidP="00CE21CE">
            <w:pPr>
              <w:spacing w:before="60" w:after="60"/>
              <w:rPr>
                <w:b/>
              </w:rPr>
            </w:pPr>
            <w:r w:rsidRPr="00ED1913">
              <w:rPr>
                <w:b/>
              </w:rPr>
              <w:t>GDPR</w:t>
            </w:r>
          </w:p>
        </w:tc>
        <w:tc>
          <w:tcPr>
            <w:tcW w:w="5670" w:type="dxa"/>
          </w:tcPr>
          <w:p w14:paraId="2FDCCF63" w14:textId="77777777" w:rsidR="004B006A" w:rsidRPr="00ED1913" w:rsidRDefault="004B006A" w:rsidP="004B006A">
            <w:pPr>
              <w:spacing w:before="60" w:after="60"/>
            </w:pPr>
            <w:r w:rsidRPr="00ED1913">
              <w:t>The General Data Protection Regulation (Regulation (EU) 2016/679).</w:t>
            </w:r>
          </w:p>
        </w:tc>
      </w:tr>
      <w:tr w:rsidR="004B006A" w:rsidRPr="00ED1913" w14:paraId="76B7A35A" w14:textId="77777777" w:rsidTr="00CE21CE">
        <w:tc>
          <w:tcPr>
            <w:tcW w:w="3969" w:type="dxa"/>
          </w:tcPr>
          <w:p w14:paraId="1AEFC44D" w14:textId="77777777" w:rsidR="004B006A" w:rsidRPr="00ED1913" w:rsidRDefault="00FB504C" w:rsidP="00CE21CE">
            <w:pPr>
              <w:spacing w:before="60" w:after="60"/>
              <w:rPr>
                <w:b/>
              </w:rPr>
            </w:pPr>
            <w:r w:rsidRPr="00ED1913">
              <w:rPr>
                <w:b/>
              </w:rPr>
              <w:t>Good Industry Practice</w:t>
            </w:r>
          </w:p>
        </w:tc>
        <w:tc>
          <w:tcPr>
            <w:tcW w:w="5670" w:type="dxa"/>
          </w:tcPr>
          <w:p w14:paraId="7B4A915D" w14:textId="77777777" w:rsidR="004B006A" w:rsidRPr="00ED1913" w:rsidRDefault="004B006A" w:rsidP="004B006A">
            <w:pPr>
              <w:spacing w:before="60" w:after="60"/>
            </w:pPr>
            <w:r w:rsidRPr="00ED1913">
              <w:t xml:space="preserve">Standards, practices, methods and process conforming to the Law and the exercise of that </w:t>
            </w:r>
            <w:r w:rsidRPr="00ED1913">
              <w:lastRenderedPageBreak/>
              <w:t>degree of skill and care, diligence, prudence and foresight which would reasonably and ordinarily be expected from a skilled and experienced person or body engaged in a similar undertaking in the same or similar circumstances.</w:t>
            </w:r>
          </w:p>
        </w:tc>
      </w:tr>
      <w:tr w:rsidR="004B006A" w:rsidRPr="00ED1913" w14:paraId="734975B8" w14:textId="77777777" w:rsidTr="00CE21CE">
        <w:tc>
          <w:tcPr>
            <w:tcW w:w="3969" w:type="dxa"/>
          </w:tcPr>
          <w:p w14:paraId="7E02BC96" w14:textId="77777777" w:rsidR="004B006A" w:rsidRPr="00ED1913" w:rsidRDefault="00FB504C" w:rsidP="00CE21CE">
            <w:pPr>
              <w:spacing w:before="60" w:after="60"/>
              <w:rPr>
                <w:b/>
              </w:rPr>
            </w:pPr>
            <w:r w:rsidRPr="00ED1913">
              <w:rPr>
                <w:b/>
              </w:rPr>
              <w:lastRenderedPageBreak/>
              <w:t>Guarantee</w:t>
            </w:r>
          </w:p>
        </w:tc>
        <w:tc>
          <w:tcPr>
            <w:tcW w:w="5670" w:type="dxa"/>
          </w:tcPr>
          <w:p w14:paraId="4A09C14D" w14:textId="77777777" w:rsidR="004B006A" w:rsidRPr="00ED1913" w:rsidRDefault="004B006A" w:rsidP="004B006A">
            <w:pPr>
              <w:spacing w:before="60" w:after="60"/>
            </w:pPr>
            <w:r w:rsidRPr="00ED1913">
              <w:t>The guarantee described in Schedule 5.</w:t>
            </w:r>
          </w:p>
        </w:tc>
      </w:tr>
      <w:tr w:rsidR="004B006A" w:rsidRPr="00ED1913" w14:paraId="0696A166" w14:textId="77777777" w:rsidTr="00CE21CE">
        <w:tc>
          <w:tcPr>
            <w:tcW w:w="3969" w:type="dxa"/>
          </w:tcPr>
          <w:p w14:paraId="6436105F" w14:textId="77777777" w:rsidR="004B006A" w:rsidRPr="00ED1913" w:rsidRDefault="00FB504C" w:rsidP="00CE21CE">
            <w:pPr>
              <w:spacing w:before="60" w:after="60"/>
              <w:rPr>
                <w:b/>
              </w:rPr>
            </w:pPr>
            <w:r w:rsidRPr="00ED1913">
              <w:rPr>
                <w:b/>
              </w:rPr>
              <w:t>Guidance</w:t>
            </w:r>
          </w:p>
        </w:tc>
        <w:tc>
          <w:tcPr>
            <w:tcW w:w="5670" w:type="dxa"/>
          </w:tcPr>
          <w:p w14:paraId="091F0886" w14:textId="77777777" w:rsidR="004B006A" w:rsidRPr="00ED1913" w:rsidRDefault="004B006A" w:rsidP="004B006A">
            <w:pPr>
              <w:spacing w:before="60" w:after="60"/>
            </w:pPr>
            <w:r w:rsidRPr="00ED1913">
              <w:t>Any current UK Government guidance on the Public Contracts Regulations 2015. In the event of a conflict between any current UK Government guidance and the Crown Commercial Service guidance, current UK Government guidance will take precedence.</w:t>
            </w:r>
          </w:p>
        </w:tc>
      </w:tr>
      <w:tr w:rsidR="004B006A" w:rsidRPr="00ED1913" w14:paraId="37FC3470" w14:textId="77777777" w:rsidTr="00CE21CE">
        <w:tc>
          <w:tcPr>
            <w:tcW w:w="3969" w:type="dxa"/>
          </w:tcPr>
          <w:p w14:paraId="5BBA79AE" w14:textId="77777777" w:rsidR="004B006A" w:rsidRPr="00ED1913" w:rsidRDefault="00FB504C" w:rsidP="00CE21CE">
            <w:pPr>
              <w:spacing w:before="60" w:after="60"/>
              <w:rPr>
                <w:b/>
              </w:rPr>
            </w:pPr>
            <w:r w:rsidRPr="00ED1913">
              <w:rPr>
                <w:b/>
              </w:rPr>
              <w:t>Indicative Test</w:t>
            </w:r>
          </w:p>
        </w:tc>
        <w:tc>
          <w:tcPr>
            <w:tcW w:w="5670" w:type="dxa"/>
          </w:tcPr>
          <w:p w14:paraId="1BDAE7D2" w14:textId="77777777" w:rsidR="004B006A" w:rsidRPr="00ED1913" w:rsidRDefault="004B006A" w:rsidP="004B006A">
            <w:pPr>
              <w:spacing w:before="60" w:after="60"/>
            </w:pPr>
            <w:r w:rsidRPr="00ED1913">
              <w:t>ESI tool completed by contractors on their own behalf at the request of CCS or the Buyer (as applicable) under clause 4.6.</w:t>
            </w:r>
          </w:p>
        </w:tc>
      </w:tr>
      <w:tr w:rsidR="004B006A" w:rsidRPr="00ED1913" w14:paraId="6D7ADDB9" w14:textId="77777777" w:rsidTr="00CE21CE">
        <w:tc>
          <w:tcPr>
            <w:tcW w:w="3969" w:type="dxa"/>
          </w:tcPr>
          <w:p w14:paraId="61747BA9" w14:textId="77777777" w:rsidR="004B006A" w:rsidRPr="00ED1913" w:rsidRDefault="00FB504C" w:rsidP="00CE21CE">
            <w:pPr>
              <w:spacing w:before="60" w:after="60"/>
              <w:rPr>
                <w:b/>
              </w:rPr>
            </w:pPr>
            <w:r w:rsidRPr="00ED1913">
              <w:rPr>
                <w:b/>
              </w:rPr>
              <w:t>Information</w:t>
            </w:r>
          </w:p>
        </w:tc>
        <w:tc>
          <w:tcPr>
            <w:tcW w:w="5670" w:type="dxa"/>
          </w:tcPr>
          <w:p w14:paraId="4CB8ED77" w14:textId="77777777" w:rsidR="004B006A" w:rsidRPr="00ED1913" w:rsidRDefault="004B006A" w:rsidP="004B006A">
            <w:pPr>
              <w:spacing w:before="60" w:after="60"/>
            </w:pPr>
            <w:r w:rsidRPr="00ED1913">
              <w:t>Has the meaning given under section 84 of the Freedom of Information Act 2000.</w:t>
            </w:r>
          </w:p>
        </w:tc>
      </w:tr>
      <w:tr w:rsidR="004B006A" w:rsidRPr="00ED1913" w14:paraId="5DE09E6C" w14:textId="77777777" w:rsidTr="00CE21CE">
        <w:tc>
          <w:tcPr>
            <w:tcW w:w="3969" w:type="dxa"/>
          </w:tcPr>
          <w:p w14:paraId="1D98E6D7" w14:textId="77777777" w:rsidR="004B006A" w:rsidRPr="00ED1913" w:rsidRDefault="00FB504C" w:rsidP="00CE21CE">
            <w:pPr>
              <w:spacing w:before="60" w:after="60"/>
              <w:rPr>
                <w:b/>
              </w:rPr>
            </w:pPr>
            <w:r w:rsidRPr="00ED1913">
              <w:rPr>
                <w:b/>
              </w:rPr>
              <w:t>Information Security Management System</w:t>
            </w:r>
          </w:p>
        </w:tc>
        <w:tc>
          <w:tcPr>
            <w:tcW w:w="5670" w:type="dxa"/>
          </w:tcPr>
          <w:p w14:paraId="0DDC777D" w14:textId="77777777" w:rsidR="004B006A" w:rsidRPr="00ED1913" w:rsidRDefault="004B006A" w:rsidP="004B006A">
            <w:pPr>
              <w:spacing w:before="60" w:after="60"/>
            </w:pPr>
            <w:r w:rsidRPr="00ED1913">
              <w:t>The information security management system and process developed by the Supplier in accordance with clause 16.1.</w:t>
            </w:r>
          </w:p>
        </w:tc>
      </w:tr>
      <w:tr w:rsidR="004B006A" w:rsidRPr="00ED1913" w14:paraId="61C6F602" w14:textId="77777777" w:rsidTr="00CE21CE">
        <w:tc>
          <w:tcPr>
            <w:tcW w:w="3969" w:type="dxa"/>
          </w:tcPr>
          <w:p w14:paraId="0D2A6EED" w14:textId="77777777" w:rsidR="004B006A" w:rsidRPr="00ED1913" w:rsidRDefault="00FB504C" w:rsidP="00CE21CE">
            <w:pPr>
              <w:spacing w:before="60" w:after="60"/>
              <w:rPr>
                <w:b/>
              </w:rPr>
            </w:pPr>
            <w:r w:rsidRPr="00ED1913">
              <w:rPr>
                <w:b/>
              </w:rPr>
              <w:t>Inside IR35</w:t>
            </w:r>
          </w:p>
        </w:tc>
        <w:tc>
          <w:tcPr>
            <w:tcW w:w="5670" w:type="dxa"/>
          </w:tcPr>
          <w:p w14:paraId="2FEE3DD6" w14:textId="77777777" w:rsidR="004B006A" w:rsidRPr="00ED1913" w:rsidRDefault="004B006A" w:rsidP="004B006A">
            <w:pPr>
              <w:spacing w:before="60" w:after="60"/>
            </w:pPr>
            <w:r w:rsidRPr="00ED1913">
              <w:t>Contractual engagements which would be determined to be within the scope of the IR35 Intermediaries legislation if assessed using the ESI tool.</w:t>
            </w:r>
          </w:p>
        </w:tc>
      </w:tr>
      <w:tr w:rsidR="004B006A" w:rsidRPr="00ED1913" w14:paraId="47A780D2" w14:textId="77777777" w:rsidTr="00CE21CE">
        <w:tc>
          <w:tcPr>
            <w:tcW w:w="3969" w:type="dxa"/>
          </w:tcPr>
          <w:p w14:paraId="28D89E91" w14:textId="77777777" w:rsidR="004B006A" w:rsidRPr="00ED1913" w:rsidRDefault="00FB504C" w:rsidP="00CE21CE">
            <w:pPr>
              <w:spacing w:before="60" w:after="60"/>
              <w:rPr>
                <w:b/>
              </w:rPr>
            </w:pPr>
            <w:r w:rsidRPr="00ED1913">
              <w:rPr>
                <w:b/>
              </w:rPr>
              <w:t>Insolvency Event</w:t>
            </w:r>
          </w:p>
        </w:tc>
        <w:tc>
          <w:tcPr>
            <w:tcW w:w="5670" w:type="dxa"/>
          </w:tcPr>
          <w:p w14:paraId="1947F379" w14:textId="77777777" w:rsidR="004B006A" w:rsidRPr="00ED1913" w:rsidRDefault="004B006A" w:rsidP="004B006A">
            <w:pPr>
              <w:spacing w:before="60" w:after="60"/>
            </w:pPr>
            <w:r w:rsidRPr="00ED1913">
              <w:t>Can be:</w:t>
            </w:r>
          </w:p>
          <w:p w14:paraId="785437C7" w14:textId="77777777" w:rsidR="004B006A" w:rsidRPr="00ED1913" w:rsidRDefault="004B006A" w:rsidP="008D6F49">
            <w:pPr>
              <w:pStyle w:val="ListParagraph"/>
              <w:numPr>
                <w:ilvl w:val="0"/>
                <w:numId w:val="17"/>
              </w:numPr>
              <w:spacing w:before="60" w:after="60"/>
              <w:ind w:left="568" w:hanging="284"/>
              <w:contextualSpacing w:val="0"/>
            </w:pPr>
            <w:r w:rsidRPr="00ED1913">
              <w:t>a voluntary arrangement</w:t>
            </w:r>
          </w:p>
          <w:p w14:paraId="51ECD0CB" w14:textId="77777777" w:rsidR="004B006A" w:rsidRPr="00ED1913" w:rsidRDefault="004B006A" w:rsidP="008D6F49">
            <w:pPr>
              <w:pStyle w:val="ListParagraph"/>
              <w:numPr>
                <w:ilvl w:val="0"/>
                <w:numId w:val="17"/>
              </w:numPr>
              <w:spacing w:before="60" w:after="60"/>
              <w:ind w:left="568" w:hanging="284"/>
              <w:contextualSpacing w:val="0"/>
            </w:pPr>
            <w:r w:rsidRPr="00ED1913">
              <w:t>a winding-up petition</w:t>
            </w:r>
          </w:p>
          <w:p w14:paraId="0512CD32" w14:textId="77777777" w:rsidR="004B006A" w:rsidRPr="00ED1913" w:rsidRDefault="004B006A" w:rsidP="008D6F49">
            <w:pPr>
              <w:pStyle w:val="ListParagraph"/>
              <w:numPr>
                <w:ilvl w:val="0"/>
                <w:numId w:val="17"/>
              </w:numPr>
              <w:spacing w:before="60" w:after="60"/>
              <w:ind w:left="568" w:hanging="284"/>
              <w:contextualSpacing w:val="0"/>
            </w:pPr>
            <w:r w:rsidRPr="00ED1913">
              <w:t>the appointment of a receiver or administrator</w:t>
            </w:r>
          </w:p>
          <w:p w14:paraId="3D56BBA6" w14:textId="77777777" w:rsidR="004B006A" w:rsidRPr="00ED1913" w:rsidRDefault="004B006A" w:rsidP="008D6F49">
            <w:pPr>
              <w:pStyle w:val="ListParagraph"/>
              <w:numPr>
                <w:ilvl w:val="0"/>
                <w:numId w:val="17"/>
              </w:numPr>
              <w:spacing w:before="60" w:after="60"/>
              <w:ind w:left="568" w:hanging="284"/>
              <w:contextualSpacing w:val="0"/>
            </w:pPr>
            <w:r w:rsidRPr="00ED1913">
              <w:t>an unresolved statutory demand</w:t>
            </w:r>
          </w:p>
          <w:p w14:paraId="4369A9E5" w14:textId="77777777" w:rsidR="004B006A" w:rsidRPr="00ED1913" w:rsidRDefault="00FB504C" w:rsidP="008D6F49">
            <w:pPr>
              <w:pStyle w:val="ListParagraph"/>
              <w:numPr>
                <w:ilvl w:val="0"/>
                <w:numId w:val="17"/>
              </w:numPr>
              <w:spacing w:before="60" w:after="60"/>
              <w:ind w:left="568" w:hanging="284"/>
              <w:contextualSpacing w:val="0"/>
            </w:pPr>
            <w:r w:rsidRPr="00ED1913">
              <w:t>a Schedule A1 moratorium</w:t>
            </w:r>
          </w:p>
        </w:tc>
      </w:tr>
      <w:tr w:rsidR="004B006A" w:rsidRPr="00ED1913" w14:paraId="1BCCBF72" w14:textId="77777777" w:rsidTr="00CE21CE">
        <w:tc>
          <w:tcPr>
            <w:tcW w:w="3969" w:type="dxa"/>
          </w:tcPr>
          <w:p w14:paraId="0005CED6" w14:textId="77777777" w:rsidR="004B006A" w:rsidRPr="00ED1913" w:rsidRDefault="00FB504C" w:rsidP="00CE21CE">
            <w:pPr>
              <w:spacing w:before="60" w:after="60"/>
              <w:rPr>
                <w:b/>
              </w:rPr>
            </w:pPr>
            <w:r w:rsidRPr="00ED1913">
              <w:rPr>
                <w:b/>
              </w:rPr>
              <w:t>Intellectual Property Rights or IPR</w:t>
            </w:r>
          </w:p>
        </w:tc>
        <w:tc>
          <w:tcPr>
            <w:tcW w:w="5670" w:type="dxa"/>
          </w:tcPr>
          <w:p w14:paraId="79DC9359" w14:textId="77777777" w:rsidR="004B006A" w:rsidRPr="00ED1913" w:rsidRDefault="004B006A" w:rsidP="004B006A">
            <w:pPr>
              <w:spacing w:before="60" w:after="60"/>
            </w:pPr>
            <w:r w:rsidRPr="00ED1913">
              <w:t>Intellectual Property Rights are:</w:t>
            </w:r>
          </w:p>
          <w:p w14:paraId="1E0DB299" w14:textId="77777777" w:rsidR="004B006A" w:rsidRPr="00ED1913" w:rsidRDefault="004B006A" w:rsidP="008D6F49">
            <w:pPr>
              <w:pStyle w:val="ListParagraph"/>
              <w:numPr>
                <w:ilvl w:val="0"/>
                <w:numId w:val="17"/>
              </w:numPr>
              <w:spacing w:before="60" w:after="60"/>
              <w:ind w:left="568" w:hanging="284"/>
              <w:contextualSpacing w:val="0"/>
            </w:pPr>
            <w:r w:rsidRPr="00ED1913">
              <w:t xml:space="preserve">copyright, rights related to or affording protection similar to copyright, rights in databases, patents and rights in inventions, semi-conductor topography rights, </w:t>
            </w:r>
            <w:proofErr w:type="gramStart"/>
            <w:r w:rsidRPr="00ED1913">
              <w:t>trade marks</w:t>
            </w:r>
            <w:proofErr w:type="gramEnd"/>
            <w:r w:rsidRPr="00ED1913">
              <w:t>, rights in internet domain names and website addresses and other rights in trade names, designs, Know-How, trade secrets and other rights in Confidential Information</w:t>
            </w:r>
          </w:p>
          <w:p w14:paraId="0E896330" w14:textId="77777777" w:rsidR="004B006A" w:rsidRPr="00ED1913" w:rsidRDefault="004B006A" w:rsidP="008D6F49">
            <w:pPr>
              <w:pStyle w:val="ListParagraph"/>
              <w:numPr>
                <w:ilvl w:val="0"/>
                <w:numId w:val="17"/>
              </w:numPr>
              <w:spacing w:before="60" w:after="60"/>
              <w:ind w:left="568" w:hanging="284"/>
              <w:contextualSpacing w:val="0"/>
            </w:pPr>
            <w:r w:rsidRPr="00ED1913">
              <w:t xml:space="preserve">applications for registration, and the right to apply for registration, for any of the rights </w:t>
            </w:r>
            <w:r w:rsidRPr="00ED1913">
              <w:lastRenderedPageBreak/>
              <w:t>listed at (a) that are capable of being registered in any country or jurisdiction</w:t>
            </w:r>
          </w:p>
          <w:p w14:paraId="47AEE67A" w14:textId="77777777" w:rsidR="004B006A" w:rsidRPr="00ED1913" w:rsidRDefault="004B006A" w:rsidP="008D6F49">
            <w:pPr>
              <w:pStyle w:val="ListParagraph"/>
              <w:numPr>
                <w:ilvl w:val="0"/>
                <w:numId w:val="17"/>
              </w:numPr>
              <w:spacing w:before="60" w:after="60"/>
              <w:ind w:left="568" w:hanging="284"/>
              <w:contextualSpacing w:val="0"/>
            </w:pPr>
            <w:r w:rsidRPr="00ED1913">
              <w:t>all other rights having equivalent or similar effect in any country or jurisdiction</w:t>
            </w:r>
          </w:p>
        </w:tc>
      </w:tr>
      <w:tr w:rsidR="004B006A" w:rsidRPr="00ED1913" w14:paraId="42151415" w14:textId="77777777" w:rsidTr="00CE21CE">
        <w:tc>
          <w:tcPr>
            <w:tcW w:w="3969" w:type="dxa"/>
          </w:tcPr>
          <w:p w14:paraId="18D94C30" w14:textId="77777777" w:rsidR="004B006A" w:rsidRPr="00ED1913" w:rsidRDefault="00FB504C" w:rsidP="00CE21CE">
            <w:pPr>
              <w:spacing w:before="60" w:after="60"/>
              <w:rPr>
                <w:b/>
              </w:rPr>
            </w:pPr>
            <w:r w:rsidRPr="00ED1913">
              <w:rPr>
                <w:b/>
              </w:rPr>
              <w:lastRenderedPageBreak/>
              <w:t>Intermediary</w:t>
            </w:r>
          </w:p>
        </w:tc>
        <w:tc>
          <w:tcPr>
            <w:tcW w:w="5670" w:type="dxa"/>
          </w:tcPr>
          <w:p w14:paraId="634C83C2" w14:textId="77777777" w:rsidR="004B006A" w:rsidRPr="00ED1913" w:rsidRDefault="004B006A" w:rsidP="004B006A">
            <w:pPr>
              <w:spacing w:before="60" w:after="60"/>
            </w:pPr>
            <w:r w:rsidRPr="00ED1913">
              <w:t>For the purposes of the IR35 rules an intermediary can be:</w:t>
            </w:r>
          </w:p>
          <w:p w14:paraId="09679DC5" w14:textId="77777777" w:rsidR="004B006A" w:rsidRPr="00ED1913" w:rsidRDefault="004B006A" w:rsidP="008D6F49">
            <w:pPr>
              <w:pStyle w:val="ListParagraph"/>
              <w:numPr>
                <w:ilvl w:val="0"/>
                <w:numId w:val="17"/>
              </w:numPr>
              <w:spacing w:before="60" w:after="60"/>
              <w:ind w:left="568" w:hanging="284"/>
              <w:contextualSpacing w:val="0"/>
            </w:pPr>
            <w:r w:rsidRPr="00ED1913">
              <w:t>the supplier</w:t>
            </w:r>
            <w:r w:rsidR="00C82E38" w:rsidRPr="00ED1913">
              <w:t>’</w:t>
            </w:r>
            <w:r w:rsidRPr="00ED1913">
              <w:t>s own limited company</w:t>
            </w:r>
          </w:p>
          <w:p w14:paraId="671C3E72" w14:textId="77777777" w:rsidR="004B006A" w:rsidRPr="00ED1913" w:rsidRDefault="004B006A" w:rsidP="008D6F49">
            <w:pPr>
              <w:pStyle w:val="ListParagraph"/>
              <w:numPr>
                <w:ilvl w:val="0"/>
                <w:numId w:val="17"/>
              </w:numPr>
              <w:spacing w:before="60" w:after="60"/>
              <w:ind w:left="568" w:hanging="284"/>
              <w:contextualSpacing w:val="0"/>
            </w:pPr>
            <w:r w:rsidRPr="00ED1913">
              <w:t>a service or a personal service company</w:t>
            </w:r>
          </w:p>
          <w:p w14:paraId="419477E0" w14:textId="77777777" w:rsidR="004B006A" w:rsidRPr="00ED1913" w:rsidRDefault="004B006A" w:rsidP="008D6F49">
            <w:pPr>
              <w:pStyle w:val="ListParagraph"/>
              <w:numPr>
                <w:ilvl w:val="0"/>
                <w:numId w:val="17"/>
              </w:numPr>
              <w:spacing w:before="60" w:after="60"/>
              <w:ind w:left="568" w:hanging="284"/>
              <w:contextualSpacing w:val="0"/>
            </w:pPr>
            <w:r w:rsidRPr="00ED1913">
              <w:t>a partnership</w:t>
            </w:r>
          </w:p>
          <w:p w14:paraId="06B08E93" w14:textId="77777777" w:rsidR="008560DC" w:rsidRDefault="008560DC" w:rsidP="004B006A">
            <w:pPr>
              <w:spacing w:before="60" w:after="60"/>
            </w:pPr>
          </w:p>
          <w:p w14:paraId="77C7ABC1" w14:textId="214F9FC2" w:rsidR="004B006A" w:rsidRPr="00ED1913" w:rsidRDefault="004B006A" w:rsidP="004B006A">
            <w:pPr>
              <w:spacing w:before="60" w:after="60"/>
            </w:pPr>
            <w:r w:rsidRPr="00ED1913">
              <w:t>It does not apply if you work for a client through a Managed Service Company (MSC) or agency (for example, an employment agency).</w:t>
            </w:r>
          </w:p>
        </w:tc>
      </w:tr>
      <w:tr w:rsidR="004B006A" w:rsidRPr="00ED1913" w14:paraId="331163E8" w14:textId="77777777" w:rsidTr="00CE21CE">
        <w:tc>
          <w:tcPr>
            <w:tcW w:w="3969" w:type="dxa"/>
          </w:tcPr>
          <w:p w14:paraId="3DB044F8" w14:textId="77777777" w:rsidR="004B006A" w:rsidRPr="00ED1913" w:rsidRDefault="00FB504C" w:rsidP="00CE21CE">
            <w:pPr>
              <w:spacing w:before="60" w:after="60"/>
              <w:rPr>
                <w:b/>
              </w:rPr>
            </w:pPr>
            <w:r w:rsidRPr="00ED1913">
              <w:rPr>
                <w:b/>
              </w:rPr>
              <w:t>IPR Claim</w:t>
            </w:r>
          </w:p>
        </w:tc>
        <w:tc>
          <w:tcPr>
            <w:tcW w:w="5670" w:type="dxa"/>
          </w:tcPr>
          <w:p w14:paraId="2E52A1AE" w14:textId="77777777" w:rsidR="004B006A" w:rsidRPr="00ED1913" w:rsidRDefault="004B006A" w:rsidP="004B006A">
            <w:pPr>
              <w:spacing w:before="60" w:after="60"/>
            </w:pPr>
            <w:r w:rsidRPr="00ED1913">
              <w:t>A claim as set out in clause 11.5.</w:t>
            </w:r>
          </w:p>
        </w:tc>
      </w:tr>
      <w:tr w:rsidR="004B006A" w:rsidRPr="00ED1913" w14:paraId="66A3C53A" w14:textId="77777777" w:rsidTr="00CE21CE">
        <w:tc>
          <w:tcPr>
            <w:tcW w:w="3969" w:type="dxa"/>
          </w:tcPr>
          <w:p w14:paraId="3D329100" w14:textId="77777777" w:rsidR="004B006A" w:rsidRPr="00ED1913" w:rsidRDefault="00FB504C" w:rsidP="00CE21CE">
            <w:pPr>
              <w:spacing w:before="60" w:after="60"/>
              <w:rPr>
                <w:b/>
              </w:rPr>
            </w:pPr>
            <w:r w:rsidRPr="00ED1913">
              <w:rPr>
                <w:b/>
              </w:rPr>
              <w:t>IR35</w:t>
            </w:r>
          </w:p>
        </w:tc>
        <w:tc>
          <w:tcPr>
            <w:tcW w:w="5670" w:type="dxa"/>
          </w:tcPr>
          <w:p w14:paraId="57F17F0C" w14:textId="77777777" w:rsidR="004B006A" w:rsidRPr="00ED1913" w:rsidRDefault="004B006A" w:rsidP="004B006A">
            <w:pPr>
              <w:spacing w:before="60" w:after="60"/>
            </w:pPr>
            <w:r w:rsidRPr="00ED1913">
              <w:t xml:space="preserve">IR35 is also known as </w:t>
            </w:r>
            <w:r w:rsidR="00C82E38" w:rsidRPr="00ED1913">
              <w:t>‘</w:t>
            </w:r>
            <w:r w:rsidRPr="00ED1913">
              <w:t>Intermediaries legislation</w:t>
            </w:r>
            <w:r w:rsidR="00C82E38" w:rsidRPr="00ED1913">
              <w:t>’</w:t>
            </w:r>
            <w:r w:rsidRPr="00ED1913">
              <w:t>. It</w:t>
            </w:r>
            <w:r w:rsidR="00C82E38" w:rsidRPr="00ED1913">
              <w:t>’</w:t>
            </w:r>
            <w:r w:rsidRPr="00ED1913">
              <w:t>s a set of rules that affect tax and National Insurance where a Supplier is contracted to work for a client through an Intermediary.</w:t>
            </w:r>
          </w:p>
        </w:tc>
      </w:tr>
      <w:tr w:rsidR="004B006A" w:rsidRPr="00ED1913" w14:paraId="56CC66D9" w14:textId="77777777" w:rsidTr="00CE21CE">
        <w:tc>
          <w:tcPr>
            <w:tcW w:w="3969" w:type="dxa"/>
          </w:tcPr>
          <w:p w14:paraId="33D2220E" w14:textId="77777777" w:rsidR="004B006A" w:rsidRPr="00ED1913" w:rsidRDefault="00FB504C" w:rsidP="00CE21CE">
            <w:pPr>
              <w:spacing w:before="60" w:after="60"/>
              <w:rPr>
                <w:b/>
              </w:rPr>
            </w:pPr>
            <w:r w:rsidRPr="00ED1913">
              <w:rPr>
                <w:b/>
              </w:rPr>
              <w:t>IR35 Assessment</w:t>
            </w:r>
          </w:p>
        </w:tc>
        <w:tc>
          <w:tcPr>
            <w:tcW w:w="5670" w:type="dxa"/>
          </w:tcPr>
          <w:p w14:paraId="1F7140B7" w14:textId="77777777" w:rsidR="004B006A" w:rsidRPr="00ED1913" w:rsidRDefault="004B006A" w:rsidP="004B006A">
            <w:pPr>
              <w:spacing w:before="60" w:after="60"/>
            </w:pPr>
            <w:r w:rsidRPr="00ED1913">
              <w:t>Assessment of employment status using the ESI tool to determine if engagement is Inside or Outside IR35.</w:t>
            </w:r>
          </w:p>
        </w:tc>
      </w:tr>
      <w:tr w:rsidR="004B006A" w:rsidRPr="00ED1913" w14:paraId="757E561D" w14:textId="77777777" w:rsidTr="00CE21CE">
        <w:tc>
          <w:tcPr>
            <w:tcW w:w="3969" w:type="dxa"/>
          </w:tcPr>
          <w:p w14:paraId="7A927FC6" w14:textId="77777777" w:rsidR="004B006A" w:rsidRPr="00ED1913" w:rsidRDefault="00FB504C" w:rsidP="00CE21CE">
            <w:pPr>
              <w:spacing w:before="60" w:after="60"/>
              <w:rPr>
                <w:b/>
              </w:rPr>
            </w:pPr>
            <w:r w:rsidRPr="00ED1913">
              <w:rPr>
                <w:b/>
              </w:rPr>
              <w:t>Know-How</w:t>
            </w:r>
          </w:p>
        </w:tc>
        <w:tc>
          <w:tcPr>
            <w:tcW w:w="5670" w:type="dxa"/>
          </w:tcPr>
          <w:p w14:paraId="613CD32D" w14:textId="77777777" w:rsidR="004B006A" w:rsidRPr="00ED1913" w:rsidRDefault="004B006A" w:rsidP="004B006A">
            <w:pPr>
              <w:spacing w:before="60" w:after="60"/>
            </w:pPr>
            <w:r w:rsidRPr="00ED1913">
              <w:t>All ideas, concepts, schemes, information, knowledge, techniques, methodology, and anything else in the nature of know-how relating to the G-Cloud Services but excluding know-how already in the Supplier</w:t>
            </w:r>
            <w:r w:rsidR="00C82E38" w:rsidRPr="00ED1913">
              <w:t>’</w:t>
            </w:r>
            <w:r w:rsidRPr="00ED1913">
              <w:t>s or CCS</w:t>
            </w:r>
            <w:r w:rsidR="00C82E38" w:rsidRPr="00ED1913">
              <w:t>’</w:t>
            </w:r>
            <w:r w:rsidRPr="00ED1913">
              <w:t>s possession before the Start Date.</w:t>
            </w:r>
          </w:p>
        </w:tc>
      </w:tr>
      <w:tr w:rsidR="004B006A" w:rsidRPr="00ED1913" w14:paraId="08C9D596" w14:textId="77777777" w:rsidTr="00CE21CE">
        <w:tc>
          <w:tcPr>
            <w:tcW w:w="3969" w:type="dxa"/>
          </w:tcPr>
          <w:p w14:paraId="0ABA7E8A" w14:textId="77777777" w:rsidR="004B006A" w:rsidRPr="00ED1913" w:rsidRDefault="00FB504C" w:rsidP="00CE21CE">
            <w:pPr>
              <w:spacing w:before="60" w:after="60"/>
              <w:rPr>
                <w:b/>
              </w:rPr>
            </w:pPr>
            <w:r w:rsidRPr="00ED1913">
              <w:rPr>
                <w:b/>
              </w:rPr>
              <w:t>Law</w:t>
            </w:r>
          </w:p>
        </w:tc>
        <w:tc>
          <w:tcPr>
            <w:tcW w:w="5670" w:type="dxa"/>
          </w:tcPr>
          <w:p w14:paraId="2F952C1B" w14:textId="77777777" w:rsidR="004B006A" w:rsidRPr="00ED1913" w:rsidRDefault="004B006A" w:rsidP="004B006A">
            <w:pPr>
              <w:spacing w:before="60" w:after="60"/>
            </w:pPr>
            <w:r w:rsidRPr="00ED1913">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4B006A" w:rsidRPr="00ED1913" w14:paraId="6B3BE332" w14:textId="77777777" w:rsidTr="00CE21CE">
        <w:tc>
          <w:tcPr>
            <w:tcW w:w="3969" w:type="dxa"/>
          </w:tcPr>
          <w:p w14:paraId="4213A3CC" w14:textId="77777777" w:rsidR="004B006A" w:rsidRPr="00ED1913" w:rsidRDefault="00FB504C" w:rsidP="00CE21CE">
            <w:pPr>
              <w:spacing w:before="60" w:after="60"/>
              <w:rPr>
                <w:b/>
              </w:rPr>
            </w:pPr>
            <w:r w:rsidRPr="00ED1913">
              <w:rPr>
                <w:b/>
              </w:rPr>
              <w:t>LED</w:t>
            </w:r>
          </w:p>
        </w:tc>
        <w:tc>
          <w:tcPr>
            <w:tcW w:w="5670" w:type="dxa"/>
          </w:tcPr>
          <w:p w14:paraId="067FADD1" w14:textId="77777777" w:rsidR="004B006A" w:rsidRPr="00ED1913" w:rsidRDefault="004B006A" w:rsidP="004B006A">
            <w:pPr>
              <w:spacing w:before="60" w:after="60"/>
            </w:pPr>
            <w:r w:rsidRPr="00ED1913">
              <w:t>Law Enforcement Directive (EU) 2016/680.</w:t>
            </w:r>
          </w:p>
        </w:tc>
      </w:tr>
      <w:tr w:rsidR="004B006A" w:rsidRPr="00ED1913" w14:paraId="2A17D868" w14:textId="77777777" w:rsidTr="00CE21CE">
        <w:tc>
          <w:tcPr>
            <w:tcW w:w="3969" w:type="dxa"/>
          </w:tcPr>
          <w:p w14:paraId="7387DECF" w14:textId="77777777" w:rsidR="004B006A" w:rsidRPr="00ED1913" w:rsidRDefault="00FB504C" w:rsidP="00CE21CE">
            <w:pPr>
              <w:spacing w:before="60" w:after="60"/>
              <w:rPr>
                <w:b/>
              </w:rPr>
            </w:pPr>
            <w:r w:rsidRPr="00ED1913">
              <w:rPr>
                <w:b/>
              </w:rPr>
              <w:t>Loss</w:t>
            </w:r>
          </w:p>
        </w:tc>
        <w:tc>
          <w:tcPr>
            <w:tcW w:w="5670" w:type="dxa"/>
          </w:tcPr>
          <w:p w14:paraId="3E7BAFE6" w14:textId="77777777" w:rsidR="004B006A" w:rsidRPr="00ED1913" w:rsidRDefault="004B006A" w:rsidP="004B006A">
            <w:pPr>
              <w:spacing w:before="60" w:after="60"/>
            </w:pPr>
            <w:r w:rsidRPr="00ED1913">
              <w:t xml:space="preserve">All losses, liabilities, damages, costs, expenses (including legal fees), disbursements, costs of investigation, litigation, settlement, judgment, interest and penalties whether arising in contract, tort (including negligence), breach of statutory </w:t>
            </w:r>
            <w:r w:rsidRPr="00ED1913">
              <w:lastRenderedPageBreak/>
              <w:t xml:space="preserve">duty, misrepresentation or otherwise and </w:t>
            </w:r>
            <w:r w:rsidR="00C82E38" w:rsidRPr="00ED1913">
              <w:rPr>
                <w:b/>
              </w:rPr>
              <w:t>‘</w:t>
            </w:r>
            <w:r w:rsidRPr="00ED1913">
              <w:rPr>
                <w:b/>
              </w:rPr>
              <w:t>Losses</w:t>
            </w:r>
            <w:r w:rsidR="00C82E38" w:rsidRPr="00ED1913">
              <w:rPr>
                <w:b/>
              </w:rPr>
              <w:t>’</w:t>
            </w:r>
            <w:r w:rsidRPr="00ED1913">
              <w:t xml:space="preserve"> will be interpreted accordingly.</w:t>
            </w:r>
          </w:p>
        </w:tc>
      </w:tr>
      <w:tr w:rsidR="004B006A" w:rsidRPr="00ED1913" w14:paraId="3EA07935" w14:textId="77777777" w:rsidTr="00CE21CE">
        <w:tc>
          <w:tcPr>
            <w:tcW w:w="3969" w:type="dxa"/>
          </w:tcPr>
          <w:p w14:paraId="6FD5DD0E" w14:textId="77777777" w:rsidR="004B006A" w:rsidRPr="00ED1913" w:rsidRDefault="00FB504C" w:rsidP="00CE21CE">
            <w:pPr>
              <w:spacing w:before="60" w:after="60"/>
              <w:rPr>
                <w:b/>
              </w:rPr>
            </w:pPr>
            <w:r w:rsidRPr="00ED1913">
              <w:rPr>
                <w:b/>
              </w:rPr>
              <w:lastRenderedPageBreak/>
              <w:t>Lot</w:t>
            </w:r>
          </w:p>
        </w:tc>
        <w:tc>
          <w:tcPr>
            <w:tcW w:w="5670" w:type="dxa"/>
          </w:tcPr>
          <w:p w14:paraId="7A8E42AA" w14:textId="77777777" w:rsidR="004B006A" w:rsidRPr="00ED1913" w:rsidRDefault="004B006A" w:rsidP="004B006A">
            <w:pPr>
              <w:spacing w:before="60" w:after="60"/>
            </w:pPr>
            <w:r w:rsidRPr="00ED1913">
              <w:t xml:space="preserve">Any of the 3 Lots specified in the </w:t>
            </w:r>
            <w:proofErr w:type="gramStart"/>
            <w:r w:rsidRPr="00ED1913">
              <w:t>ITT</w:t>
            </w:r>
            <w:proofErr w:type="gramEnd"/>
            <w:r w:rsidRPr="00ED1913">
              <w:t xml:space="preserve"> and Lots will be construed accordingly.</w:t>
            </w:r>
          </w:p>
        </w:tc>
      </w:tr>
      <w:tr w:rsidR="004B006A" w:rsidRPr="00ED1913" w14:paraId="5ACE077D" w14:textId="77777777" w:rsidTr="00CE21CE">
        <w:tc>
          <w:tcPr>
            <w:tcW w:w="3969" w:type="dxa"/>
          </w:tcPr>
          <w:p w14:paraId="2D56AD10" w14:textId="77777777" w:rsidR="004B006A" w:rsidRPr="00ED1913" w:rsidRDefault="00FB504C" w:rsidP="00CE21CE">
            <w:pPr>
              <w:spacing w:before="60" w:after="60"/>
              <w:rPr>
                <w:b/>
              </w:rPr>
            </w:pPr>
            <w:r w:rsidRPr="00ED1913">
              <w:rPr>
                <w:b/>
              </w:rPr>
              <w:t>Malicious Software</w:t>
            </w:r>
          </w:p>
        </w:tc>
        <w:tc>
          <w:tcPr>
            <w:tcW w:w="5670" w:type="dxa"/>
          </w:tcPr>
          <w:p w14:paraId="713A0B3D" w14:textId="77777777" w:rsidR="004B006A" w:rsidRPr="00ED1913" w:rsidRDefault="004B006A" w:rsidP="004B006A">
            <w:pPr>
              <w:spacing w:before="60" w:after="60"/>
            </w:pPr>
            <w:r w:rsidRPr="00ED1913">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B006A" w:rsidRPr="00ED1913" w14:paraId="4CDD72E1" w14:textId="77777777" w:rsidTr="00CE21CE">
        <w:tc>
          <w:tcPr>
            <w:tcW w:w="3969" w:type="dxa"/>
          </w:tcPr>
          <w:p w14:paraId="2D0228A5" w14:textId="77777777" w:rsidR="004B006A" w:rsidRPr="00ED1913" w:rsidRDefault="00FB504C" w:rsidP="00CE21CE">
            <w:pPr>
              <w:spacing w:before="60" w:after="60"/>
              <w:rPr>
                <w:b/>
              </w:rPr>
            </w:pPr>
            <w:r w:rsidRPr="00ED1913">
              <w:rPr>
                <w:b/>
              </w:rPr>
              <w:t>Management Charge</w:t>
            </w:r>
          </w:p>
        </w:tc>
        <w:tc>
          <w:tcPr>
            <w:tcW w:w="5670" w:type="dxa"/>
          </w:tcPr>
          <w:p w14:paraId="46DDFA70" w14:textId="77777777" w:rsidR="004B006A" w:rsidRPr="00ED1913" w:rsidRDefault="004B006A" w:rsidP="004B006A">
            <w:pPr>
              <w:spacing w:before="60" w:after="60"/>
            </w:pPr>
            <w:r w:rsidRPr="00ED1913">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B006A" w:rsidRPr="00ED1913" w14:paraId="704015C6" w14:textId="77777777" w:rsidTr="00CE21CE">
        <w:tc>
          <w:tcPr>
            <w:tcW w:w="3969" w:type="dxa"/>
          </w:tcPr>
          <w:p w14:paraId="668CF38F" w14:textId="77777777" w:rsidR="004B006A" w:rsidRPr="00ED1913" w:rsidRDefault="00FB504C" w:rsidP="00CE21CE">
            <w:pPr>
              <w:spacing w:before="60" w:after="60"/>
              <w:rPr>
                <w:b/>
              </w:rPr>
            </w:pPr>
            <w:r w:rsidRPr="00ED1913">
              <w:rPr>
                <w:b/>
              </w:rPr>
              <w:t>Management Information</w:t>
            </w:r>
          </w:p>
        </w:tc>
        <w:tc>
          <w:tcPr>
            <w:tcW w:w="5670" w:type="dxa"/>
          </w:tcPr>
          <w:p w14:paraId="48689C46" w14:textId="77777777" w:rsidR="004B006A" w:rsidRPr="00ED1913" w:rsidRDefault="004B006A" w:rsidP="004B006A">
            <w:pPr>
              <w:spacing w:before="60" w:after="60"/>
            </w:pPr>
            <w:r w:rsidRPr="00ED1913">
              <w:t>The management information specified in Framework Agreement section 6 (What you report to CCS).</w:t>
            </w:r>
          </w:p>
        </w:tc>
      </w:tr>
      <w:tr w:rsidR="004B006A" w:rsidRPr="00ED1913" w14:paraId="267E75E7" w14:textId="77777777" w:rsidTr="00CE21CE">
        <w:tc>
          <w:tcPr>
            <w:tcW w:w="3969" w:type="dxa"/>
          </w:tcPr>
          <w:p w14:paraId="65903FCB" w14:textId="77777777" w:rsidR="004B006A" w:rsidRPr="00ED1913" w:rsidRDefault="00FB504C" w:rsidP="00CE21CE">
            <w:pPr>
              <w:spacing w:before="60" w:after="60"/>
              <w:rPr>
                <w:b/>
              </w:rPr>
            </w:pPr>
            <w:r w:rsidRPr="00ED1913">
              <w:rPr>
                <w:b/>
              </w:rPr>
              <w:t>Material Breach</w:t>
            </w:r>
          </w:p>
        </w:tc>
        <w:tc>
          <w:tcPr>
            <w:tcW w:w="5670" w:type="dxa"/>
          </w:tcPr>
          <w:p w14:paraId="69EC3A1E" w14:textId="77777777" w:rsidR="004B006A" w:rsidRPr="00ED1913" w:rsidRDefault="004B006A" w:rsidP="004B006A">
            <w:pPr>
              <w:spacing w:before="60" w:after="60"/>
            </w:pPr>
            <w:r w:rsidRPr="00ED1913">
              <w:t>Those breaches which have been expressly set out as a material breach and any other single serious breach or persistent failure to perform as required under this Call-Off Contract.</w:t>
            </w:r>
          </w:p>
        </w:tc>
      </w:tr>
      <w:tr w:rsidR="004B006A" w:rsidRPr="00ED1913" w14:paraId="1B3AA782" w14:textId="77777777" w:rsidTr="00CE21CE">
        <w:tc>
          <w:tcPr>
            <w:tcW w:w="3969" w:type="dxa"/>
          </w:tcPr>
          <w:p w14:paraId="5C7DF310" w14:textId="77777777" w:rsidR="004B006A" w:rsidRPr="00ED1913" w:rsidRDefault="00FB504C" w:rsidP="00CE21CE">
            <w:pPr>
              <w:spacing w:before="60" w:after="60"/>
              <w:rPr>
                <w:b/>
              </w:rPr>
            </w:pPr>
            <w:r w:rsidRPr="00ED1913">
              <w:rPr>
                <w:b/>
              </w:rPr>
              <w:t>Ministry of Justice Code</w:t>
            </w:r>
          </w:p>
        </w:tc>
        <w:tc>
          <w:tcPr>
            <w:tcW w:w="5670" w:type="dxa"/>
          </w:tcPr>
          <w:p w14:paraId="66E285FA" w14:textId="77777777" w:rsidR="004B006A" w:rsidRPr="00ED1913" w:rsidRDefault="004B006A" w:rsidP="004B006A">
            <w:pPr>
              <w:spacing w:before="60" w:after="60"/>
            </w:pPr>
            <w:r w:rsidRPr="00ED1913">
              <w:t>The Ministry of Justice</w:t>
            </w:r>
            <w:r w:rsidR="00C82E38" w:rsidRPr="00ED1913">
              <w:t>’</w:t>
            </w:r>
            <w:r w:rsidRPr="00ED1913">
              <w:t>s Code of Practice on the Discharge of the Functions of Public Authorities under Part 1 of the Freedom of Information Act 2000.</w:t>
            </w:r>
          </w:p>
        </w:tc>
      </w:tr>
      <w:tr w:rsidR="004B006A" w:rsidRPr="00ED1913" w14:paraId="5829DBB7" w14:textId="77777777" w:rsidTr="00CE21CE">
        <w:tc>
          <w:tcPr>
            <w:tcW w:w="3969" w:type="dxa"/>
          </w:tcPr>
          <w:p w14:paraId="3438D7FB" w14:textId="77777777" w:rsidR="004B006A" w:rsidRPr="00ED1913" w:rsidRDefault="00FB504C" w:rsidP="00CE21CE">
            <w:pPr>
              <w:spacing w:before="60" w:after="60"/>
              <w:rPr>
                <w:b/>
              </w:rPr>
            </w:pPr>
            <w:r w:rsidRPr="00ED1913">
              <w:rPr>
                <w:b/>
              </w:rPr>
              <w:t>New Fair Deal</w:t>
            </w:r>
          </w:p>
        </w:tc>
        <w:tc>
          <w:tcPr>
            <w:tcW w:w="5670" w:type="dxa"/>
          </w:tcPr>
          <w:p w14:paraId="03C2830A" w14:textId="77777777" w:rsidR="004B006A" w:rsidRPr="00ED1913" w:rsidRDefault="004B006A" w:rsidP="004B006A">
            <w:pPr>
              <w:spacing w:before="60" w:after="60"/>
            </w:pPr>
            <w:r w:rsidRPr="00ED1913">
              <w:t xml:space="preserve">The revised Fair Deal position in the HM Treasury guidance: </w:t>
            </w:r>
            <w:r w:rsidR="00C82E38" w:rsidRPr="00ED1913">
              <w:t>“</w:t>
            </w:r>
            <w:r w:rsidRPr="00ED1913">
              <w:t>Fair Deal for staff pensions: staff transfer from central government</w:t>
            </w:r>
            <w:r w:rsidR="00C82E38" w:rsidRPr="00ED1913">
              <w:t>”</w:t>
            </w:r>
            <w:r w:rsidRPr="00ED1913">
              <w:t xml:space="preserve"> issued in October 2013 as amended.</w:t>
            </w:r>
          </w:p>
        </w:tc>
      </w:tr>
      <w:tr w:rsidR="004B006A" w:rsidRPr="00ED1913" w14:paraId="2105ADCD" w14:textId="77777777" w:rsidTr="00CE21CE">
        <w:tc>
          <w:tcPr>
            <w:tcW w:w="3969" w:type="dxa"/>
          </w:tcPr>
          <w:p w14:paraId="58DEE773" w14:textId="77777777" w:rsidR="004B006A" w:rsidRPr="00ED1913" w:rsidRDefault="00FB504C" w:rsidP="00CE21CE">
            <w:pPr>
              <w:spacing w:before="60" w:after="60"/>
              <w:rPr>
                <w:b/>
              </w:rPr>
            </w:pPr>
            <w:r w:rsidRPr="00ED1913">
              <w:rPr>
                <w:b/>
              </w:rPr>
              <w:t>Order</w:t>
            </w:r>
          </w:p>
        </w:tc>
        <w:tc>
          <w:tcPr>
            <w:tcW w:w="5670" w:type="dxa"/>
          </w:tcPr>
          <w:p w14:paraId="7A621D29" w14:textId="77777777" w:rsidR="004B006A" w:rsidRPr="00ED1913" w:rsidRDefault="004B006A" w:rsidP="004B006A">
            <w:pPr>
              <w:spacing w:before="60" w:after="60"/>
            </w:pPr>
            <w:r w:rsidRPr="00ED1913">
              <w:t>An order for G-Cloud Services placed by a Contracting Body with the Supplier in accordance with the Ordering Processes.</w:t>
            </w:r>
          </w:p>
        </w:tc>
      </w:tr>
      <w:tr w:rsidR="004B006A" w:rsidRPr="00ED1913" w14:paraId="76FD5351" w14:textId="77777777" w:rsidTr="00CE21CE">
        <w:tc>
          <w:tcPr>
            <w:tcW w:w="3969" w:type="dxa"/>
          </w:tcPr>
          <w:p w14:paraId="71E94758" w14:textId="77777777" w:rsidR="004B006A" w:rsidRPr="00ED1913" w:rsidRDefault="00FB504C" w:rsidP="00CE21CE">
            <w:pPr>
              <w:spacing w:before="60" w:after="60"/>
              <w:rPr>
                <w:b/>
              </w:rPr>
            </w:pPr>
            <w:r w:rsidRPr="00ED1913">
              <w:rPr>
                <w:b/>
              </w:rPr>
              <w:t>Order Form</w:t>
            </w:r>
          </w:p>
        </w:tc>
        <w:tc>
          <w:tcPr>
            <w:tcW w:w="5670" w:type="dxa"/>
          </w:tcPr>
          <w:p w14:paraId="1D62EBD0" w14:textId="77777777" w:rsidR="004B006A" w:rsidRPr="00ED1913" w:rsidRDefault="004B006A" w:rsidP="004B006A">
            <w:pPr>
              <w:spacing w:before="60" w:after="60"/>
            </w:pPr>
            <w:r w:rsidRPr="00ED1913">
              <w:t>The order form set out in Part A of the Call-Off Contract to be used by a Buyer to order G-Cloud Services.</w:t>
            </w:r>
          </w:p>
        </w:tc>
      </w:tr>
      <w:tr w:rsidR="004B006A" w:rsidRPr="00ED1913" w14:paraId="4483FB33" w14:textId="77777777" w:rsidTr="00CE21CE">
        <w:tc>
          <w:tcPr>
            <w:tcW w:w="3969" w:type="dxa"/>
          </w:tcPr>
          <w:p w14:paraId="6F723293" w14:textId="77777777" w:rsidR="004B006A" w:rsidRPr="00ED1913" w:rsidRDefault="00FB504C" w:rsidP="00CE21CE">
            <w:pPr>
              <w:spacing w:before="60" w:after="60"/>
              <w:rPr>
                <w:b/>
              </w:rPr>
            </w:pPr>
            <w:r w:rsidRPr="00ED1913">
              <w:rPr>
                <w:b/>
              </w:rPr>
              <w:t>Ordered G-Cloud Services</w:t>
            </w:r>
          </w:p>
        </w:tc>
        <w:tc>
          <w:tcPr>
            <w:tcW w:w="5670" w:type="dxa"/>
          </w:tcPr>
          <w:p w14:paraId="0B0B1DD4" w14:textId="77777777" w:rsidR="004B006A" w:rsidRPr="00ED1913" w:rsidRDefault="004B006A" w:rsidP="004B006A">
            <w:pPr>
              <w:spacing w:before="60" w:after="60"/>
            </w:pPr>
            <w:r w:rsidRPr="00ED1913">
              <w:t>G-Cloud Services which are the subject of an Order by the Buyer.</w:t>
            </w:r>
          </w:p>
        </w:tc>
      </w:tr>
      <w:tr w:rsidR="004B006A" w:rsidRPr="00ED1913" w14:paraId="5BBB6207" w14:textId="77777777" w:rsidTr="00CE21CE">
        <w:tc>
          <w:tcPr>
            <w:tcW w:w="3969" w:type="dxa"/>
          </w:tcPr>
          <w:p w14:paraId="16489B50" w14:textId="77777777" w:rsidR="004B006A" w:rsidRPr="00ED1913" w:rsidRDefault="00FB504C" w:rsidP="00CE21CE">
            <w:pPr>
              <w:spacing w:before="60" w:after="60"/>
              <w:rPr>
                <w:b/>
              </w:rPr>
            </w:pPr>
            <w:r w:rsidRPr="00ED1913">
              <w:rPr>
                <w:b/>
              </w:rPr>
              <w:t>Outside IR35</w:t>
            </w:r>
          </w:p>
        </w:tc>
        <w:tc>
          <w:tcPr>
            <w:tcW w:w="5670" w:type="dxa"/>
          </w:tcPr>
          <w:p w14:paraId="7A7AFFFC" w14:textId="77777777" w:rsidR="004B006A" w:rsidRPr="00ED1913" w:rsidRDefault="004B006A" w:rsidP="004B006A">
            <w:pPr>
              <w:spacing w:before="60" w:after="60"/>
            </w:pPr>
            <w:r w:rsidRPr="00ED1913">
              <w:t xml:space="preserve">Contractual engagements which would be determined to not be within the scope of the IR35 </w:t>
            </w:r>
            <w:proofErr w:type="gramStart"/>
            <w:r w:rsidRPr="00ED1913">
              <w:lastRenderedPageBreak/>
              <w:t>intermediaries</w:t>
            </w:r>
            <w:proofErr w:type="gramEnd"/>
            <w:r w:rsidRPr="00ED1913">
              <w:t xml:space="preserve"> legislation if assessed using the ESI tool.</w:t>
            </w:r>
          </w:p>
        </w:tc>
      </w:tr>
      <w:tr w:rsidR="004B006A" w:rsidRPr="00ED1913" w14:paraId="69948093" w14:textId="77777777" w:rsidTr="00CE21CE">
        <w:tc>
          <w:tcPr>
            <w:tcW w:w="3969" w:type="dxa"/>
          </w:tcPr>
          <w:p w14:paraId="3EAC8D92" w14:textId="77777777" w:rsidR="004B006A" w:rsidRPr="00ED1913" w:rsidRDefault="00C82E38" w:rsidP="00CE21CE">
            <w:pPr>
              <w:spacing w:before="60" w:after="60"/>
              <w:rPr>
                <w:b/>
              </w:rPr>
            </w:pPr>
            <w:r w:rsidRPr="00ED1913">
              <w:rPr>
                <w:b/>
              </w:rPr>
              <w:lastRenderedPageBreak/>
              <w:t>Party</w:t>
            </w:r>
          </w:p>
        </w:tc>
        <w:tc>
          <w:tcPr>
            <w:tcW w:w="5670" w:type="dxa"/>
          </w:tcPr>
          <w:p w14:paraId="7CBFEA82" w14:textId="77777777" w:rsidR="004B006A" w:rsidRPr="00ED1913" w:rsidRDefault="004B006A" w:rsidP="004B006A">
            <w:pPr>
              <w:spacing w:before="60" w:after="60"/>
            </w:pPr>
            <w:r w:rsidRPr="00ED1913">
              <w:t xml:space="preserve">The Buyer or the Supplier and </w:t>
            </w:r>
            <w:r w:rsidR="00C82E38" w:rsidRPr="00ED1913">
              <w:t>‘</w:t>
            </w:r>
            <w:r w:rsidRPr="00ED1913">
              <w:t>Parties</w:t>
            </w:r>
            <w:r w:rsidR="00C82E38" w:rsidRPr="00ED1913">
              <w:t>’</w:t>
            </w:r>
            <w:r w:rsidRPr="00ED1913">
              <w:t xml:space="preserve"> will be interpreted accordingly.</w:t>
            </w:r>
          </w:p>
        </w:tc>
      </w:tr>
      <w:tr w:rsidR="004B006A" w:rsidRPr="00ED1913" w14:paraId="6A873128" w14:textId="77777777" w:rsidTr="00CE21CE">
        <w:tc>
          <w:tcPr>
            <w:tcW w:w="3969" w:type="dxa"/>
          </w:tcPr>
          <w:p w14:paraId="01157148" w14:textId="77777777" w:rsidR="004B006A" w:rsidRPr="00ED1913" w:rsidRDefault="00C82E38" w:rsidP="00CE21CE">
            <w:pPr>
              <w:spacing w:before="60" w:after="60"/>
              <w:rPr>
                <w:b/>
              </w:rPr>
            </w:pPr>
            <w:r w:rsidRPr="00ED1913">
              <w:rPr>
                <w:b/>
              </w:rPr>
              <w:t>Personal Data</w:t>
            </w:r>
          </w:p>
        </w:tc>
        <w:tc>
          <w:tcPr>
            <w:tcW w:w="5670" w:type="dxa"/>
          </w:tcPr>
          <w:p w14:paraId="2EA77D85" w14:textId="77777777" w:rsidR="004B006A" w:rsidRPr="00ED1913" w:rsidRDefault="004B006A" w:rsidP="004B006A">
            <w:pPr>
              <w:spacing w:before="60" w:after="60"/>
            </w:pPr>
            <w:r w:rsidRPr="00ED1913">
              <w:t>Takes the meaning given in the Data Protection Legislation.</w:t>
            </w:r>
          </w:p>
        </w:tc>
      </w:tr>
      <w:tr w:rsidR="004B006A" w:rsidRPr="00ED1913" w14:paraId="0C677FAB" w14:textId="77777777" w:rsidTr="00CE21CE">
        <w:tc>
          <w:tcPr>
            <w:tcW w:w="3969" w:type="dxa"/>
          </w:tcPr>
          <w:p w14:paraId="5F75A8B4" w14:textId="77777777" w:rsidR="004B006A" w:rsidRPr="00ED1913" w:rsidRDefault="00C82E38" w:rsidP="00CE21CE">
            <w:pPr>
              <w:spacing w:before="60" w:after="60"/>
              <w:rPr>
                <w:b/>
              </w:rPr>
            </w:pPr>
            <w:r w:rsidRPr="00ED1913">
              <w:rPr>
                <w:b/>
              </w:rPr>
              <w:t>Personal Data Breach</w:t>
            </w:r>
          </w:p>
        </w:tc>
        <w:tc>
          <w:tcPr>
            <w:tcW w:w="5670" w:type="dxa"/>
          </w:tcPr>
          <w:p w14:paraId="3FD5E964" w14:textId="77777777" w:rsidR="004B006A" w:rsidRPr="00ED1913" w:rsidRDefault="004B006A" w:rsidP="004B006A">
            <w:pPr>
              <w:spacing w:before="60" w:after="60"/>
            </w:pPr>
            <w:r w:rsidRPr="00ED1913">
              <w:t>Takes the meaning given in the Data Protection Legislation.</w:t>
            </w:r>
          </w:p>
        </w:tc>
      </w:tr>
      <w:tr w:rsidR="004B006A" w:rsidRPr="00ED1913" w14:paraId="3AC007AE" w14:textId="77777777" w:rsidTr="00CE21CE">
        <w:tc>
          <w:tcPr>
            <w:tcW w:w="3969" w:type="dxa"/>
          </w:tcPr>
          <w:p w14:paraId="79996A88" w14:textId="77777777" w:rsidR="004B006A" w:rsidRPr="00ED1913" w:rsidRDefault="00C82E38" w:rsidP="00CE21CE">
            <w:pPr>
              <w:spacing w:before="60" w:after="60"/>
              <w:rPr>
                <w:b/>
              </w:rPr>
            </w:pPr>
            <w:r w:rsidRPr="00ED1913">
              <w:rPr>
                <w:b/>
              </w:rPr>
              <w:t>Processing</w:t>
            </w:r>
          </w:p>
        </w:tc>
        <w:tc>
          <w:tcPr>
            <w:tcW w:w="5670" w:type="dxa"/>
          </w:tcPr>
          <w:p w14:paraId="0D98D214" w14:textId="77777777" w:rsidR="004B006A" w:rsidRPr="00ED1913" w:rsidRDefault="004B006A" w:rsidP="004B006A">
            <w:pPr>
              <w:spacing w:before="60" w:after="60"/>
            </w:pPr>
            <w:r w:rsidRPr="00ED1913">
              <w:t xml:space="preserve">Takes the meaning given in the Data Protection Legislation but, for the purposes of this Call-Off Contract, it will include both manual and automatic Processing. </w:t>
            </w:r>
            <w:r w:rsidR="00C82E38" w:rsidRPr="00ED1913">
              <w:t>‘</w:t>
            </w:r>
            <w:r w:rsidRPr="00ED1913">
              <w:t>Process</w:t>
            </w:r>
            <w:r w:rsidR="00C82E38" w:rsidRPr="00ED1913">
              <w:t>’</w:t>
            </w:r>
            <w:r w:rsidRPr="00ED1913">
              <w:t xml:space="preserve"> and </w:t>
            </w:r>
            <w:r w:rsidR="00C82E38" w:rsidRPr="00ED1913">
              <w:t>‘</w:t>
            </w:r>
            <w:r w:rsidRPr="00ED1913">
              <w:t>processed</w:t>
            </w:r>
            <w:r w:rsidR="00C82E38" w:rsidRPr="00ED1913">
              <w:t>’</w:t>
            </w:r>
            <w:r w:rsidRPr="00ED1913">
              <w:t xml:space="preserve"> will be interpreted accordingly.</w:t>
            </w:r>
          </w:p>
        </w:tc>
      </w:tr>
      <w:tr w:rsidR="004B006A" w:rsidRPr="00ED1913" w14:paraId="138158FE" w14:textId="77777777" w:rsidTr="00CE21CE">
        <w:tc>
          <w:tcPr>
            <w:tcW w:w="3969" w:type="dxa"/>
          </w:tcPr>
          <w:p w14:paraId="73F383D0" w14:textId="77777777" w:rsidR="004B006A" w:rsidRPr="00ED1913" w:rsidRDefault="00C82E38" w:rsidP="00CE21CE">
            <w:pPr>
              <w:spacing w:before="60" w:after="60"/>
              <w:rPr>
                <w:b/>
              </w:rPr>
            </w:pPr>
            <w:r w:rsidRPr="00ED1913">
              <w:rPr>
                <w:b/>
              </w:rPr>
              <w:t>Processor</w:t>
            </w:r>
          </w:p>
        </w:tc>
        <w:tc>
          <w:tcPr>
            <w:tcW w:w="5670" w:type="dxa"/>
          </w:tcPr>
          <w:p w14:paraId="6014A817" w14:textId="77777777" w:rsidR="004B006A" w:rsidRPr="00ED1913" w:rsidRDefault="004B006A" w:rsidP="004B006A">
            <w:pPr>
              <w:spacing w:before="60" w:after="60"/>
            </w:pPr>
            <w:r w:rsidRPr="00ED1913">
              <w:t>Takes the meaning given in the Data Protection Legislation.</w:t>
            </w:r>
          </w:p>
        </w:tc>
      </w:tr>
      <w:tr w:rsidR="004B006A" w:rsidRPr="00ED1913" w14:paraId="0EED6D34" w14:textId="77777777" w:rsidTr="00CE21CE">
        <w:tc>
          <w:tcPr>
            <w:tcW w:w="3969" w:type="dxa"/>
          </w:tcPr>
          <w:p w14:paraId="643FCB8F" w14:textId="77777777" w:rsidR="004B006A" w:rsidRPr="00ED1913" w:rsidRDefault="00C82E38" w:rsidP="00CE21CE">
            <w:pPr>
              <w:spacing w:before="60" w:after="60"/>
              <w:rPr>
                <w:b/>
              </w:rPr>
            </w:pPr>
            <w:r w:rsidRPr="00ED1913">
              <w:rPr>
                <w:b/>
              </w:rPr>
              <w:t>Prohibited Act</w:t>
            </w:r>
          </w:p>
        </w:tc>
        <w:tc>
          <w:tcPr>
            <w:tcW w:w="5670" w:type="dxa"/>
          </w:tcPr>
          <w:p w14:paraId="51C4FD8E" w14:textId="072D6294" w:rsidR="004B006A" w:rsidRPr="00ED1913" w:rsidRDefault="004B006A" w:rsidP="004B006A">
            <w:pPr>
              <w:spacing w:before="60" w:after="60"/>
            </w:pPr>
            <w:r w:rsidRPr="00ED1913">
              <w:t>To directly or indirectly offer, promise or give any person working</w:t>
            </w:r>
            <w:r w:rsidR="008560DC">
              <w:t xml:space="preserve"> </w:t>
            </w:r>
            <w:r w:rsidRPr="00ED1913">
              <w:t>for or engaged by a Buyer or CCS a financial or other advantage</w:t>
            </w:r>
          </w:p>
          <w:p w14:paraId="0D400123" w14:textId="77777777" w:rsidR="004B006A" w:rsidRPr="00ED1913" w:rsidRDefault="004B006A" w:rsidP="004B006A">
            <w:pPr>
              <w:spacing w:before="60" w:after="60"/>
            </w:pPr>
            <w:r w:rsidRPr="00ED1913">
              <w:t>to:</w:t>
            </w:r>
          </w:p>
          <w:p w14:paraId="6B78594E" w14:textId="77777777" w:rsidR="004B006A" w:rsidRPr="00ED1913" w:rsidRDefault="004B006A" w:rsidP="008D6F49">
            <w:pPr>
              <w:pStyle w:val="ListParagraph"/>
              <w:numPr>
                <w:ilvl w:val="0"/>
                <w:numId w:val="18"/>
              </w:numPr>
              <w:spacing w:before="60" w:after="60"/>
              <w:ind w:left="568" w:hanging="284"/>
              <w:contextualSpacing w:val="0"/>
            </w:pPr>
            <w:r w:rsidRPr="00ED1913">
              <w:t>induce that person to perform improperly a relevant function or activity</w:t>
            </w:r>
          </w:p>
          <w:p w14:paraId="0306EB05" w14:textId="77777777" w:rsidR="004B006A" w:rsidRPr="00ED1913" w:rsidRDefault="004B006A" w:rsidP="008D6F49">
            <w:pPr>
              <w:pStyle w:val="ListParagraph"/>
              <w:numPr>
                <w:ilvl w:val="0"/>
                <w:numId w:val="18"/>
              </w:numPr>
              <w:spacing w:before="60" w:after="60"/>
              <w:ind w:left="568" w:hanging="284"/>
              <w:contextualSpacing w:val="0"/>
            </w:pPr>
            <w:r w:rsidRPr="00ED1913">
              <w:t>reward that person for improper performance of a relevant function or activity</w:t>
            </w:r>
          </w:p>
          <w:p w14:paraId="3B72BEA9" w14:textId="77777777" w:rsidR="004B006A" w:rsidRPr="00ED1913" w:rsidRDefault="004B006A" w:rsidP="008D6F49">
            <w:pPr>
              <w:pStyle w:val="ListParagraph"/>
              <w:numPr>
                <w:ilvl w:val="0"/>
                <w:numId w:val="18"/>
              </w:numPr>
              <w:spacing w:before="60" w:after="60"/>
              <w:ind w:left="568" w:hanging="284"/>
              <w:contextualSpacing w:val="0"/>
            </w:pPr>
            <w:r w:rsidRPr="00ED1913">
              <w:t>commit any offence:</w:t>
            </w:r>
          </w:p>
          <w:p w14:paraId="3C093ACE" w14:textId="77777777" w:rsidR="004B006A" w:rsidRPr="00ED1913" w:rsidRDefault="004B006A" w:rsidP="008D6F49">
            <w:pPr>
              <w:pStyle w:val="ListParagraph"/>
              <w:numPr>
                <w:ilvl w:val="0"/>
                <w:numId w:val="19"/>
              </w:numPr>
              <w:spacing w:before="60" w:after="60"/>
              <w:ind w:left="851" w:hanging="284"/>
              <w:contextualSpacing w:val="0"/>
            </w:pPr>
            <w:r w:rsidRPr="00ED1913">
              <w:t>under the Bribery Act 2010</w:t>
            </w:r>
          </w:p>
          <w:p w14:paraId="4921C069" w14:textId="77777777" w:rsidR="004B006A" w:rsidRPr="00ED1913" w:rsidRDefault="004B006A" w:rsidP="008D6F49">
            <w:pPr>
              <w:pStyle w:val="ListParagraph"/>
              <w:numPr>
                <w:ilvl w:val="0"/>
                <w:numId w:val="19"/>
              </w:numPr>
              <w:spacing w:before="60" w:after="60"/>
              <w:ind w:left="851" w:hanging="284"/>
              <w:contextualSpacing w:val="0"/>
            </w:pPr>
            <w:r w:rsidRPr="00ED1913">
              <w:t>under legislation creating offences concerning Fraud</w:t>
            </w:r>
          </w:p>
          <w:p w14:paraId="2EDF523D" w14:textId="77777777" w:rsidR="004B006A" w:rsidRPr="00ED1913" w:rsidRDefault="004B006A" w:rsidP="008D6F49">
            <w:pPr>
              <w:pStyle w:val="ListParagraph"/>
              <w:numPr>
                <w:ilvl w:val="0"/>
                <w:numId w:val="19"/>
              </w:numPr>
              <w:spacing w:before="60" w:after="60"/>
              <w:ind w:left="851" w:hanging="284"/>
              <w:contextualSpacing w:val="0"/>
            </w:pPr>
            <w:r w:rsidRPr="00ED1913">
              <w:t>at common Law concerning Fraud</w:t>
            </w:r>
          </w:p>
          <w:p w14:paraId="4862BCAF" w14:textId="77777777" w:rsidR="004B006A" w:rsidRPr="00ED1913" w:rsidRDefault="004B006A" w:rsidP="008D6F49">
            <w:pPr>
              <w:pStyle w:val="ListParagraph"/>
              <w:numPr>
                <w:ilvl w:val="0"/>
                <w:numId w:val="19"/>
              </w:numPr>
              <w:spacing w:before="60" w:after="60"/>
              <w:ind w:left="851" w:hanging="284"/>
              <w:contextualSpacing w:val="0"/>
            </w:pPr>
            <w:r w:rsidRPr="00ED1913">
              <w:t>committing or attempting or conspiring to commit Fraud</w:t>
            </w:r>
          </w:p>
        </w:tc>
      </w:tr>
      <w:tr w:rsidR="004B006A" w:rsidRPr="00ED1913" w14:paraId="0E928DFC" w14:textId="77777777" w:rsidTr="00CE21CE">
        <w:tc>
          <w:tcPr>
            <w:tcW w:w="3969" w:type="dxa"/>
          </w:tcPr>
          <w:p w14:paraId="45831F62" w14:textId="77777777" w:rsidR="004B006A" w:rsidRPr="00ED1913" w:rsidRDefault="00C82E38" w:rsidP="00CE21CE">
            <w:pPr>
              <w:spacing w:before="60" w:after="60"/>
              <w:rPr>
                <w:b/>
              </w:rPr>
            </w:pPr>
            <w:r w:rsidRPr="00ED1913">
              <w:rPr>
                <w:b/>
              </w:rPr>
              <w:t>Project Specific IPRs</w:t>
            </w:r>
          </w:p>
        </w:tc>
        <w:tc>
          <w:tcPr>
            <w:tcW w:w="5670" w:type="dxa"/>
          </w:tcPr>
          <w:p w14:paraId="5257D4FB" w14:textId="77777777" w:rsidR="004B006A" w:rsidRPr="00ED1913" w:rsidRDefault="004B006A" w:rsidP="004B006A">
            <w:pPr>
              <w:spacing w:before="60" w:after="60"/>
            </w:pPr>
            <w:r w:rsidRPr="00ED1913">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w:t>
            </w:r>
            <w:r w:rsidR="00C82E38" w:rsidRPr="00ED1913">
              <w:t>’</w:t>
            </w:r>
            <w:r w:rsidRPr="00ED1913">
              <w:t>s Background IPRs.</w:t>
            </w:r>
          </w:p>
        </w:tc>
      </w:tr>
      <w:tr w:rsidR="004B006A" w:rsidRPr="00ED1913" w14:paraId="7F839604" w14:textId="77777777" w:rsidTr="00CE21CE">
        <w:tc>
          <w:tcPr>
            <w:tcW w:w="3969" w:type="dxa"/>
          </w:tcPr>
          <w:p w14:paraId="275DA622" w14:textId="77777777" w:rsidR="004B006A" w:rsidRPr="00ED1913" w:rsidRDefault="00C82E38" w:rsidP="00CE21CE">
            <w:pPr>
              <w:spacing w:before="60" w:after="60"/>
              <w:rPr>
                <w:b/>
              </w:rPr>
            </w:pPr>
            <w:r w:rsidRPr="00ED1913">
              <w:rPr>
                <w:b/>
              </w:rPr>
              <w:t>Property</w:t>
            </w:r>
          </w:p>
        </w:tc>
        <w:tc>
          <w:tcPr>
            <w:tcW w:w="5670" w:type="dxa"/>
          </w:tcPr>
          <w:p w14:paraId="4EBB38EC" w14:textId="77777777" w:rsidR="004B006A" w:rsidRPr="00ED1913" w:rsidRDefault="004B006A" w:rsidP="004B006A">
            <w:pPr>
              <w:spacing w:before="60" w:after="60"/>
            </w:pPr>
            <w:r w:rsidRPr="00ED1913">
              <w:t>Assets and property including technical infrastructure, IPRs and equipment.</w:t>
            </w:r>
          </w:p>
        </w:tc>
      </w:tr>
      <w:tr w:rsidR="004B006A" w:rsidRPr="00ED1913" w14:paraId="71B5D2FB" w14:textId="77777777" w:rsidTr="00CE21CE">
        <w:tc>
          <w:tcPr>
            <w:tcW w:w="3969" w:type="dxa"/>
          </w:tcPr>
          <w:p w14:paraId="761F00F3" w14:textId="77777777" w:rsidR="004B006A" w:rsidRPr="00ED1913" w:rsidRDefault="00C82E38" w:rsidP="00CE21CE">
            <w:pPr>
              <w:spacing w:before="60" w:after="60"/>
              <w:rPr>
                <w:b/>
              </w:rPr>
            </w:pPr>
            <w:r w:rsidRPr="00ED1913">
              <w:rPr>
                <w:b/>
              </w:rPr>
              <w:t>Protective Measures</w:t>
            </w:r>
          </w:p>
        </w:tc>
        <w:tc>
          <w:tcPr>
            <w:tcW w:w="5670" w:type="dxa"/>
          </w:tcPr>
          <w:p w14:paraId="1E7460E4" w14:textId="77777777" w:rsidR="004B006A" w:rsidRPr="00ED1913" w:rsidRDefault="004B006A" w:rsidP="004B006A">
            <w:pPr>
              <w:spacing w:before="60" w:after="60"/>
            </w:pPr>
            <w:r w:rsidRPr="00ED1913">
              <w:t xml:space="preserve">Appropriate technical and organisational measures which may include: pseudonymising and encrypting Personal Data, ensuring confidentiality, </w:t>
            </w:r>
            <w:r w:rsidRPr="00ED1913">
              <w:lastRenderedPageBreak/>
              <w:t>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B006A" w:rsidRPr="00ED1913" w14:paraId="1BFD1AD5" w14:textId="77777777" w:rsidTr="00CE21CE">
        <w:tc>
          <w:tcPr>
            <w:tcW w:w="3969" w:type="dxa"/>
          </w:tcPr>
          <w:p w14:paraId="676BE450" w14:textId="77777777" w:rsidR="004B006A" w:rsidRPr="00ED1913" w:rsidRDefault="00C82E38" w:rsidP="00CE21CE">
            <w:pPr>
              <w:spacing w:before="60" w:after="60"/>
              <w:rPr>
                <w:b/>
              </w:rPr>
            </w:pPr>
            <w:r w:rsidRPr="00ED1913">
              <w:rPr>
                <w:b/>
              </w:rPr>
              <w:lastRenderedPageBreak/>
              <w:t>PSN or Public Services Network</w:t>
            </w:r>
          </w:p>
        </w:tc>
        <w:tc>
          <w:tcPr>
            <w:tcW w:w="5670" w:type="dxa"/>
          </w:tcPr>
          <w:p w14:paraId="3122B817" w14:textId="77777777" w:rsidR="004B006A" w:rsidRPr="00ED1913" w:rsidRDefault="004B006A" w:rsidP="004B006A">
            <w:pPr>
              <w:spacing w:before="60" w:after="60"/>
            </w:pPr>
            <w:r w:rsidRPr="00ED1913">
              <w:t>The Public Services Network (PSN) is the Government</w:t>
            </w:r>
            <w:r w:rsidR="00C82E38" w:rsidRPr="00ED1913">
              <w:t>’</w:t>
            </w:r>
            <w:r w:rsidRPr="00ED1913">
              <w:t>s high-performance network which helps public sector organisations work together, reduce duplication and share resources.</w:t>
            </w:r>
          </w:p>
        </w:tc>
      </w:tr>
      <w:tr w:rsidR="004B006A" w:rsidRPr="00ED1913" w14:paraId="3758D73B" w14:textId="77777777" w:rsidTr="00CE21CE">
        <w:tc>
          <w:tcPr>
            <w:tcW w:w="3969" w:type="dxa"/>
          </w:tcPr>
          <w:p w14:paraId="57FB1400" w14:textId="77777777" w:rsidR="004B006A" w:rsidRPr="00ED1913" w:rsidRDefault="00C82E38" w:rsidP="00CE21CE">
            <w:pPr>
              <w:spacing w:before="60" w:after="60"/>
              <w:rPr>
                <w:b/>
              </w:rPr>
            </w:pPr>
            <w:r w:rsidRPr="00ED1913">
              <w:rPr>
                <w:b/>
              </w:rPr>
              <w:t>Regulatory Body or Bodies</w:t>
            </w:r>
          </w:p>
        </w:tc>
        <w:tc>
          <w:tcPr>
            <w:tcW w:w="5670" w:type="dxa"/>
          </w:tcPr>
          <w:p w14:paraId="563B2DCC" w14:textId="77777777" w:rsidR="004B006A" w:rsidRPr="00ED1913" w:rsidRDefault="004B006A" w:rsidP="004B006A">
            <w:pPr>
              <w:spacing w:before="60" w:after="60"/>
            </w:pPr>
            <w:r w:rsidRPr="00ED1913">
              <w:t>Government departments and other bodies which, whether under statute, codes of practice or otherwise, are entitled to investigate or influence the matters dealt with in this Call-Off Contract.</w:t>
            </w:r>
          </w:p>
        </w:tc>
      </w:tr>
      <w:tr w:rsidR="004B006A" w:rsidRPr="00ED1913" w14:paraId="21CC5DD3" w14:textId="77777777" w:rsidTr="00CE21CE">
        <w:tc>
          <w:tcPr>
            <w:tcW w:w="3969" w:type="dxa"/>
          </w:tcPr>
          <w:p w14:paraId="6645D064" w14:textId="77777777" w:rsidR="004B006A" w:rsidRPr="00ED1913" w:rsidRDefault="00C82E38" w:rsidP="00CE21CE">
            <w:pPr>
              <w:spacing w:before="60" w:after="60"/>
              <w:rPr>
                <w:b/>
              </w:rPr>
            </w:pPr>
            <w:r w:rsidRPr="00ED1913">
              <w:rPr>
                <w:b/>
              </w:rPr>
              <w:t>Relevant Person</w:t>
            </w:r>
          </w:p>
        </w:tc>
        <w:tc>
          <w:tcPr>
            <w:tcW w:w="5670" w:type="dxa"/>
          </w:tcPr>
          <w:p w14:paraId="1F5883FE" w14:textId="77777777" w:rsidR="004B006A" w:rsidRPr="00ED1913" w:rsidRDefault="004B006A" w:rsidP="004B006A">
            <w:pPr>
              <w:spacing w:before="60" w:after="60"/>
            </w:pPr>
            <w:r w:rsidRPr="00ED1913">
              <w:t>Any employee, agent, servant, or representative of the Buyer, any other public body or person employed by or on behalf of the Buyer, or any other public body.</w:t>
            </w:r>
          </w:p>
        </w:tc>
      </w:tr>
      <w:tr w:rsidR="004B006A" w:rsidRPr="00ED1913" w14:paraId="7989D9A9" w14:textId="77777777" w:rsidTr="00CE21CE">
        <w:tc>
          <w:tcPr>
            <w:tcW w:w="3969" w:type="dxa"/>
          </w:tcPr>
          <w:p w14:paraId="3838241F" w14:textId="77777777" w:rsidR="004B006A" w:rsidRPr="00ED1913" w:rsidRDefault="00C82E38" w:rsidP="00CE21CE">
            <w:pPr>
              <w:spacing w:before="60" w:after="60"/>
              <w:rPr>
                <w:b/>
              </w:rPr>
            </w:pPr>
            <w:r w:rsidRPr="00ED1913">
              <w:rPr>
                <w:b/>
              </w:rPr>
              <w:t>Relevant Transfer</w:t>
            </w:r>
          </w:p>
        </w:tc>
        <w:tc>
          <w:tcPr>
            <w:tcW w:w="5670" w:type="dxa"/>
          </w:tcPr>
          <w:p w14:paraId="5CCE8324" w14:textId="77777777" w:rsidR="004B006A" w:rsidRPr="00ED1913" w:rsidRDefault="004B006A" w:rsidP="004B006A">
            <w:pPr>
              <w:spacing w:before="60" w:after="60"/>
            </w:pPr>
            <w:r w:rsidRPr="00ED1913">
              <w:t>A transfer of employment to which the Employment Regulations applies.</w:t>
            </w:r>
          </w:p>
        </w:tc>
      </w:tr>
      <w:tr w:rsidR="004B006A" w:rsidRPr="00ED1913" w14:paraId="5E96AB54" w14:textId="77777777" w:rsidTr="00CE21CE">
        <w:tc>
          <w:tcPr>
            <w:tcW w:w="3969" w:type="dxa"/>
          </w:tcPr>
          <w:p w14:paraId="38702394" w14:textId="77777777" w:rsidR="004B006A" w:rsidRPr="00ED1913" w:rsidRDefault="00C82E38" w:rsidP="00CE21CE">
            <w:pPr>
              <w:spacing w:before="60" w:after="60"/>
              <w:rPr>
                <w:b/>
              </w:rPr>
            </w:pPr>
            <w:r w:rsidRPr="00ED1913">
              <w:rPr>
                <w:b/>
              </w:rPr>
              <w:t>Replacement Services</w:t>
            </w:r>
          </w:p>
        </w:tc>
        <w:tc>
          <w:tcPr>
            <w:tcW w:w="5670" w:type="dxa"/>
          </w:tcPr>
          <w:p w14:paraId="4111AFEB" w14:textId="77777777" w:rsidR="004B006A" w:rsidRPr="00ED1913" w:rsidRDefault="004B006A" w:rsidP="004B006A">
            <w:pPr>
              <w:spacing w:before="60" w:after="60"/>
            </w:pPr>
            <w:r w:rsidRPr="00ED1913">
              <w:t xml:space="preserve">Any services which are the same as or substantially similar to any of the Services and which the Buyer receives in substitution for any of the Services after the expiry or </w:t>
            </w:r>
            <w:proofErr w:type="gramStart"/>
            <w:r w:rsidRPr="00ED1913">
              <w:t>Ending</w:t>
            </w:r>
            <w:proofErr w:type="gramEnd"/>
            <w:r w:rsidRPr="00ED1913">
              <w:t xml:space="preserve"> or partial Ending of the Call-Off Contract, whether those services are provided by the Buyer or a third party.</w:t>
            </w:r>
          </w:p>
        </w:tc>
      </w:tr>
      <w:tr w:rsidR="004B006A" w:rsidRPr="00ED1913" w14:paraId="793C63EA" w14:textId="77777777" w:rsidTr="00CE21CE">
        <w:tc>
          <w:tcPr>
            <w:tcW w:w="3969" w:type="dxa"/>
          </w:tcPr>
          <w:p w14:paraId="55379101" w14:textId="77777777" w:rsidR="004B006A" w:rsidRPr="00ED1913" w:rsidRDefault="00C82E38" w:rsidP="00CE21CE">
            <w:pPr>
              <w:spacing w:before="60" w:after="60"/>
              <w:rPr>
                <w:b/>
              </w:rPr>
            </w:pPr>
            <w:r w:rsidRPr="00ED1913">
              <w:rPr>
                <w:b/>
              </w:rPr>
              <w:t>Replacement Supplier</w:t>
            </w:r>
          </w:p>
        </w:tc>
        <w:tc>
          <w:tcPr>
            <w:tcW w:w="5670" w:type="dxa"/>
          </w:tcPr>
          <w:p w14:paraId="4FC2A4E2" w14:textId="77777777" w:rsidR="004B006A" w:rsidRPr="00ED1913" w:rsidRDefault="004B006A" w:rsidP="004B006A">
            <w:pPr>
              <w:spacing w:before="60" w:after="60"/>
            </w:pPr>
            <w:r w:rsidRPr="00ED1913">
              <w:t xml:space="preserve">Any </w:t>
            </w:r>
            <w:proofErr w:type="gramStart"/>
            <w:r w:rsidRPr="00ED1913">
              <w:t>third party</w:t>
            </w:r>
            <w:proofErr w:type="gramEnd"/>
            <w:r w:rsidRPr="00ED1913">
              <w:t xml:space="preserve"> service provider of Replacement Services appointed by the Buyer (or where the Buyer is providing replacement Services for its own account, the Buyer).</w:t>
            </w:r>
          </w:p>
        </w:tc>
      </w:tr>
      <w:tr w:rsidR="004B006A" w:rsidRPr="00ED1913" w14:paraId="52BBFFEF" w14:textId="77777777" w:rsidTr="00CE21CE">
        <w:tc>
          <w:tcPr>
            <w:tcW w:w="3969" w:type="dxa"/>
          </w:tcPr>
          <w:p w14:paraId="1CD204D7" w14:textId="77777777" w:rsidR="004B006A" w:rsidRPr="00ED1913" w:rsidRDefault="00C82E38" w:rsidP="00CE21CE">
            <w:pPr>
              <w:spacing w:before="60" w:after="60"/>
              <w:rPr>
                <w:b/>
              </w:rPr>
            </w:pPr>
            <w:r w:rsidRPr="00ED1913">
              <w:rPr>
                <w:b/>
              </w:rPr>
              <w:t>Services</w:t>
            </w:r>
          </w:p>
        </w:tc>
        <w:tc>
          <w:tcPr>
            <w:tcW w:w="5670" w:type="dxa"/>
          </w:tcPr>
          <w:p w14:paraId="40107742" w14:textId="77777777" w:rsidR="004B006A" w:rsidRPr="00ED1913" w:rsidRDefault="004B006A" w:rsidP="004B006A">
            <w:pPr>
              <w:spacing w:before="60" w:after="60"/>
            </w:pPr>
            <w:r w:rsidRPr="00ED1913">
              <w:t>The services ordered by the Buyer as set out in the Order Form.</w:t>
            </w:r>
          </w:p>
        </w:tc>
      </w:tr>
      <w:tr w:rsidR="004B006A" w:rsidRPr="00ED1913" w14:paraId="67D122F1" w14:textId="77777777" w:rsidTr="00CE21CE">
        <w:tc>
          <w:tcPr>
            <w:tcW w:w="3969" w:type="dxa"/>
          </w:tcPr>
          <w:p w14:paraId="11564F51" w14:textId="77777777" w:rsidR="004B006A" w:rsidRPr="00ED1913" w:rsidRDefault="00C82E38" w:rsidP="00CE21CE">
            <w:pPr>
              <w:spacing w:before="60" w:after="60"/>
              <w:rPr>
                <w:b/>
              </w:rPr>
            </w:pPr>
            <w:r w:rsidRPr="00ED1913">
              <w:rPr>
                <w:b/>
              </w:rPr>
              <w:t>Service Data</w:t>
            </w:r>
          </w:p>
        </w:tc>
        <w:tc>
          <w:tcPr>
            <w:tcW w:w="5670" w:type="dxa"/>
          </w:tcPr>
          <w:p w14:paraId="372D8196" w14:textId="77777777" w:rsidR="004B006A" w:rsidRPr="00ED1913" w:rsidRDefault="004B006A" w:rsidP="004B006A">
            <w:pPr>
              <w:spacing w:before="60" w:after="60"/>
            </w:pPr>
            <w:r w:rsidRPr="00ED1913">
              <w:t>Data that is owned or managed by the Buyer and used for the G-Cloud Services, including backup data.</w:t>
            </w:r>
          </w:p>
        </w:tc>
      </w:tr>
      <w:tr w:rsidR="004B006A" w:rsidRPr="00ED1913" w14:paraId="77A07353" w14:textId="77777777" w:rsidTr="00CE21CE">
        <w:tc>
          <w:tcPr>
            <w:tcW w:w="3969" w:type="dxa"/>
          </w:tcPr>
          <w:p w14:paraId="5D367461" w14:textId="77777777" w:rsidR="004B006A" w:rsidRPr="00ED1913" w:rsidRDefault="00C82E38" w:rsidP="00CE21CE">
            <w:pPr>
              <w:spacing w:before="60" w:after="60"/>
              <w:rPr>
                <w:b/>
              </w:rPr>
            </w:pPr>
            <w:r w:rsidRPr="00ED1913">
              <w:rPr>
                <w:b/>
              </w:rPr>
              <w:t>Service Definition(s)</w:t>
            </w:r>
          </w:p>
        </w:tc>
        <w:tc>
          <w:tcPr>
            <w:tcW w:w="5670" w:type="dxa"/>
          </w:tcPr>
          <w:p w14:paraId="0D1B9E9C" w14:textId="77777777" w:rsidR="004B006A" w:rsidRPr="00ED1913" w:rsidRDefault="004B006A" w:rsidP="004B006A">
            <w:pPr>
              <w:spacing w:before="60" w:after="60"/>
            </w:pPr>
            <w:r w:rsidRPr="00ED1913">
              <w:t>The definition of the Supplier</w:t>
            </w:r>
            <w:r w:rsidR="00C82E38" w:rsidRPr="00ED1913">
              <w:t>’</w:t>
            </w:r>
            <w:r w:rsidRPr="00ED1913">
              <w:t>s G-Cloud Services provided as part of their Application that includes, but isn</w:t>
            </w:r>
            <w:r w:rsidR="00C82E38" w:rsidRPr="00ED1913">
              <w:t>’</w:t>
            </w:r>
            <w:r w:rsidRPr="00ED1913">
              <w:t>t limited to, those items listed in Section 2 (Services Offered) of the Framework Agreement.</w:t>
            </w:r>
          </w:p>
        </w:tc>
      </w:tr>
      <w:tr w:rsidR="004B006A" w:rsidRPr="00ED1913" w14:paraId="54F1ABC3" w14:textId="77777777" w:rsidTr="00CE21CE">
        <w:tc>
          <w:tcPr>
            <w:tcW w:w="3969" w:type="dxa"/>
          </w:tcPr>
          <w:p w14:paraId="6175413E" w14:textId="77777777" w:rsidR="004B006A" w:rsidRPr="00ED1913" w:rsidRDefault="00C82E38" w:rsidP="00CE21CE">
            <w:pPr>
              <w:spacing w:before="60" w:after="60"/>
              <w:rPr>
                <w:b/>
              </w:rPr>
            </w:pPr>
            <w:r w:rsidRPr="00ED1913">
              <w:rPr>
                <w:b/>
              </w:rPr>
              <w:t>Service Description</w:t>
            </w:r>
          </w:p>
        </w:tc>
        <w:tc>
          <w:tcPr>
            <w:tcW w:w="5670" w:type="dxa"/>
          </w:tcPr>
          <w:p w14:paraId="6A54DEBB" w14:textId="77777777" w:rsidR="004B006A" w:rsidRPr="00ED1913" w:rsidRDefault="004B006A" w:rsidP="004B006A">
            <w:pPr>
              <w:spacing w:before="60" w:after="60"/>
            </w:pPr>
            <w:r w:rsidRPr="00ED1913">
              <w:t>The description of the Supplier service offering as published on the Digital Marketplace.</w:t>
            </w:r>
          </w:p>
        </w:tc>
      </w:tr>
      <w:tr w:rsidR="004B006A" w:rsidRPr="00ED1913" w14:paraId="41BC5F45" w14:textId="77777777" w:rsidTr="00CE21CE">
        <w:tc>
          <w:tcPr>
            <w:tcW w:w="3969" w:type="dxa"/>
          </w:tcPr>
          <w:p w14:paraId="56572D08" w14:textId="77777777" w:rsidR="004B006A" w:rsidRPr="00ED1913" w:rsidRDefault="00C82E38" w:rsidP="00CE21CE">
            <w:pPr>
              <w:spacing w:before="60" w:after="60"/>
              <w:rPr>
                <w:b/>
              </w:rPr>
            </w:pPr>
            <w:r w:rsidRPr="00ED1913">
              <w:rPr>
                <w:b/>
              </w:rPr>
              <w:t>Service Personal Data</w:t>
            </w:r>
          </w:p>
        </w:tc>
        <w:tc>
          <w:tcPr>
            <w:tcW w:w="5670" w:type="dxa"/>
          </w:tcPr>
          <w:p w14:paraId="696779E6" w14:textId="77777777" w:rsidR="004B006A" w:rsidRPr="00ED1913" w:rsidRDefault="004B006A" w:rsidP="004B006A">
            <w:pPr>
              <w:spacing w:before="60" w:after="60"/>
            </w:pPr>
            <w:r w:rsidRPr="00ED1913">
              <w:t xml:space="preserve">The Personal Data supplied by a Buyer to the Supplier in the course of the use of the G-Cloud </w:t>
            </w:r>
            <w:r w:rsidRPr="00ED1913">
              <w:lastRenderedPageBreak/>
              <w:t>Services for purposes of or in connection with this Call-Off Contract.</w:t>
            </w:r>
          </w:p>
        </w:tc>
      </w:tr>
      <w:tr w:rsidR="004B006A" w:rsidRPr="00ED1913" w14:paraId="3E1086F7" w14:textId="77777777" w:rsidTr="00CE21CE">
        <w:tc>
          <w:tcPr>
            <w:tcW w:w="3969" w:type="dxa"/>
          </w:tcPr>
          <w:p w14:paraId="729FB76D" w14:textId="77777777" w:rsidR="004B006A" w:rsidRPr="00ED1913" w:rsidRDefault="00C82E38" w:rsidP="00CE21CE">
            <w:pPr>
              <w:spacing w:before="60" w:after="60"/>
              <w:rPr>
                <w:b/>
              </w:rPr>
            </w:pPr>
            <w:r w:rsidRPr="00ED1913">
              <w:rPr>
                <w:b/>
              </w:rPr>
              <w:lastRenderedPageBreak/>
              <w:t>Spend Controls</w:t>
            </w:r>
          </w:p>
        </w:tc>
        <w:tc>
          <w:tcPr>
            <w:tcW w:w="5670" w:type="dxa"/>
          </w:tcPr>
          <w:p w14:paraId="744CB6DF" w14:textId="77777777" w:rsidR="004B006A" w:rsidRPr="00ED1913" w:rsidRDefault="004B006A" w:rsidP="004B006A">
            <w:pPr>
              <w:spacing w:before="60" w:after="60"/>
            </w:pPr>
            <w:r w:rsidRPr="00ED1913">
              <w:t xml:space="preserve">The approval process used by a central government Buyer if it needs to spend money on certain digital or technology services, see </w:t>
            </w:r>
            <w:hyperlink r:id="rId27" w:history="1">
              <w:r w:rsidRPr="00ED1913">
                <w:rPr>
                  <w:rStyle w:val="Hyperlink"/>
                </w:rPr>
                <w:t>https://www.gov.uk/service-manual/agile-delivery/spend-controls-check-if-you-need-approval-to-spend-money-on-a-service</w:t>
              </w:r>
            </w:hyperlink>
          </w:p>
        </w:tc>
      </w:tr>
      <w:tr w:rsidR="004B006A" w:rsidRPr="00ED1913" w14:paraId="2F5CE57C" w14:textId="77777777" w:rsidTr="00CE21CE">
        <w:tc>
          <w:tcPr>
            <w:tcW w:w="3969" w:type="dxa"/>
          </w:tcPr>
          <w:p w14:paraId="1B16989C" w14:textId="77777777" w:rsidR="004B006A" w:rsidRPr="00ED1913" w:rsidRDefault="00C82E38" w:rsidP="00CE21CE">
            <w:pPr>
              <w:spacing w:before="60" w:after="60"/>
              <w:rPr>
                <w:b/>
              </w:rPr>
            </w:pPr>
            <w:r w:rsidRPr="00ED1913">
              <w:rPr>
                <w:b/>
              </w:rPr>
              <w:t>Start Date</w:t>
            </w:r>
          </w:p>
        </w:tc>
        <w:tc>
          <w:tcPr>
            <w:tcW w:w="5670" w:type="dxa"/>
          </w:tcPr>
          <w:p w14:paraId="4CE95B35" w14:textId="77777777" w:rsidR="004B006A" w:rsidRPr="00ED1913" w:rsidRDefault="004B006A" w:rsidP="004B006A">
            <w:pPr>
              <w:spacing w:before="60" w:after="60"/>
            </w:pPr>
            <w:r w:rsidRPr="00ED1913">
              <w:t>The start date of this Call-Off Contract as set out in the Order Form.</w:t>
            </w:r>
          </w:p>
        </w:tc>
      </w:tr>
      <w:tr w:rsidR="004B006A" w:rsidRPr="00ED1913" w14:paraId="2477DCE4" w14:textId="77777777" w:rsidTr="00CE21CE">
        <w:tc>
          <w:tcPr>
            <w:tcW w:w="3969" w:type="dxa"/>
          </w:tcPr>
          <w:p w14:paraId="19DC88BC" w14:textId="77777777" w:rsidR="004B006A" w:rsidRPr="00ED1913" w:rsidRDefault="00C82E38" w:rsidP="00CE21CE">
            <w:pPr>
              <w:spacing w:before="60" w:after="60"/>
              <w:rPr>
                <w:b/>
              </w:rPr>
            </w:pPr>
            <w:r w:rsidRPr="00ED1913">
              <w:rPr>
                <w:b/>
              </w:rPr>
              <w:t>Subcontract</w:t>
            </w:r>
          </w:p>
        </w:tc>
        <w:tc>
          <w:tcPr>
            <w:tcW w:w="5670" w:type="dxa"/>
          </w:tcPr>
          <w:p w14:paraId="3C766119" w14:textId="77777777" w:rsidR="004B006A" w:rsidRPr="00ED1913" w:rsidRDefault="004B006A" w:rsidP="004B006A">
            <w:pPr>
              <w:spacing w:before="60" w:after="60"/>
            </w:pPr>
            <w:r w:rsidRPr="00ED1913">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B006A" w:rsidRPr="00ED1913" w14:paraId="3FE1EC11" w14:textId="77777777" w:rsidTr="00CE21CE">
        <w:tc>
          <w:tcPr>
            <w:tcW w:w="3969" w:type="dxa"/>
          </w:tcPr>
          <w:p w14:paraId="2561E461" w14:textId="77777777" w:rsidR="004B006A" w:rsidRPr="00ED1913" w:rsidRDefault="00C82E38" w:rsidP="00CE21CE">
            <w:pPr>
              <w:spacing w:before="60" w:after="60"/>
              <w:rPr>
                <w:b/>
              </w:rPr>
            </w:pPr>
            <w:r w:rsidRPr="00ED1913">
              <w:rPr>
                <w:b/>
              </w:rPr>
              <w:t>Subcontractor</w:t>
            </w:r>
          </w:p>
        </w:tc>
        <w:tc>
          <w:tcPr>
            <w:tcW w:w="5670" w:type="dxa"/>
          </w:tcPr>
          <w:p w14:paraId="37833701" w14:textId="77777777" w:rsidR="004B006A" w:rsidRPr="00ED1913" w:rsidRDefault="004B006A" w:rsidP="004B006A">
            <w:pPr>
              <w:spacing w:before="60" w:after="60"/>
            </w:pPr>
            <w:r w:rsidRPr="00ED1913">
              <w:t>Any third party engaged by the Supplier under a Subcontract (permitted under the Framework Agreement and the Call-Off Contract) and its servants or agents in connection with the provision of G-Cloud Services.</w:t>
            </w:r>
          </w:p>
        </w:tc>
      </w:tr>
      <w:tr w:rsidR="004B006A" w:rsidRPr="00ED1913" w14:paraId="037C7AA9" w14:textId="77777777" w:rsidTr="00CE21CE">
        <w:tc>
          <w:tcPr>
            <w:tcW w:w="3969" w:type="dxa"/>
          </w:tcPr>
          <w:p w14:paraId="592A25AF" w14:textId="77777777" w:rsidR="004B006A" w:rsidRPr="00ED1913" w:rsidRDefault="00C82E38" w:rsidP="00CE21CE">
            <w:pPr>
              <w:spacing w:before="60" w:after="60"/>
              <w:rPr>
                <w:b/>
              </w:rPr>
            </w:pPr>
            <w:proofErr w:type="spellStart"/>
            <w:r w:rsidRPr="00ED1913">
              <w:rPr>
                <w:b/>
              </w:rPr>
              <w:t>Subprocessor</w:t>
            </w:r>
            <w:proofErr w:type="spellEnd"/>
          </w:p>
        </w:tc>
        <w:tc>
          <w:tcPr>
            <w:tcW w:w="5670" w:type="dxa"/>
          </w:tcPr>
          <w:p w14:paraId="40F49ECA" w14:textId="77777777" w:rsidR="004B006A" w:rsidRPr="00ED1913" w:rsidRDefault="004B006A" w:rsidP="004B006A">
            <w:pPr>
              <w:spacing w:before="60" w:after="60"/>
            </w:pPr>
            <w:r w:rsidRPr="00ED1913">
              <w:t>Any third party appointed to process Personal Data on behalf of the Supplier under this Call-Off Contract.</w:t>
            </w:r>
          </w:p>
        </w:tc>
      </w:tr>
      <w:tr w:rsidR="004B006A" w:rsidRPr="00ED1913" w14:paraId="58A3311F" w14:textId="77777777" w:rsidTr="00CE21CE">
        <w:tc>
          <w:tcPr>
            <w:tcW w:w="3969" w:type="dxa"/>
          </w:tcPr>
          <w:p w14:paraId="597A5F9D" w14:textId="77777777" w:rsidR="004B006A" w:rsidRPr="00ED1913" w:rsidRDefault="00C82E38" w:rsidP="00CE21CE">
            <w:pPr>
              <w:spacing w:before="60" w:after="60"/>
              <w:rPr>
                <w:b/>
              </w:rPr>
            </w:pPr>
            <w:r w:rsidRPr="00ED1913">
              <w:rPr>
                <w:b/>
              </w:rPr>
              <w:t>Supplier Representative</w:t>
            </w:r>
          </w:p>
        </w:tc>
        <w:tc>
          <w:tcPr>
            <w:tcW w:w="5670" w:type="dxa"/>
          </w:tcPr>
          <w:p w14:paraId="46B2E90B" w14:textId="77777777" w:rsidR="004B006A" w:rsidRPr="00ED1913" w:rsidRDefault="004B006A" w:rsidP="004B006A">
            <w:pPr>
              <w:spacing w:before="60" w:after="60"/>
            </w:pPr>
            <w:r w:rsidRPr="00ED1913">
              <w:t>The representative appointed by the Supplier from time to time in relation to the Call-Off Contract.</w:t>
            </w:r>
          </w:p>
        </w:tc>
      </w:tr>
      <w:tr w:rsidR="004B006A" w:rsidRPr="00ED1913" w14:paraId="0769850A" w14:textId="77777777" w:rsidTr="00CE21CE">
        <w:tc>
          <w:tcPr>
            <w:tcW w:w="3969" w:type="dxa"/>
          </w:tcPr>
          <w:p w14:paraId="07A06235" w14:textId="77777777" w:rsidR="004B006A" w:rsidRPr="00ED1913" w:rsidRDefault="00C82E38" w:rsidP="00CE21CE">
            <w:pPr>
              <w:spacing w:before="60" w:after="60"/>
              <w:rPr>
                <w:b/>
              </w:rPr>
            </w:pPr>
            <w:r w:rsidRPr="00ED1913">
              <w:rPr>
                <w:b/>
              </w:rPr>
              <w:t>Supplier Staff</w:t>
            </w:r>
          </w:p>
        </w:tc>
        <w:tc>
          <w:tcPr>
            <w:tcW w:w="5670" w:type="dxa"/>
          </w:tcPr>
          <w:p w14:paraId="2EE44CF8" w14:textId="77777777" w:rsidR="004B006A" w:rsidRPr="00ED1913" w:rsidRDefault="004B006A" w:rsidP="004B006A">
            <w:pPr>
              <w:spacing w:before="60" w:after="60"/>
            </w:pPr>
            <w:r w:rsidRPr="00ED1913">
              <w:t>All persons employed by the Supplier together with the Supplier</w:t>
            </w:r>
            <w:r w:rsidR="00C82E38" w:rsidRPr="00ED1913">
              <w:t>’</w:t>
            </w:r>
            <w:r w:rsidRPr="00ED1913">
              <w:t>s servants, agents, suppliers and Subcontractors used in the performance of its obligations under this Call-Off Contract.</w:t>
            </w:r>
          </w:p>
        </w:tc>
      </w:tr>
      <w:tr w:rsidR="004B006A" w:rsidRPr="00ED1913" w14:paraId="66289A9F" w14:textId="77777777" w:rsidTr="00CE21CE">
        <w:tc>
          <w:tcPr>
            <w:tcW w:w="3969" w:type="dxa"/>
          </w:tcPr>
          <w:p w14:paraId="762173EC" w14:textId="77777777" w:rsidR="004B006A" w:rsidRPr="00ED1913" w:rsidRDefault="00C82E38" w:rsidP="00CE21CE">
            <w:pPr>
              <w:spacing w:before="60" w:after="60"/>
              <w:rPr>
                <w:b/>
              </w:rPr>
            </w:pPr>
            <w:r w:rsidRPr="00ED1913">
              <w:rPr>
                <w:b/>
              </w:rPr>
              <w:t>Supplier Terms</w:t>
            </w:r>
          </w:p>
        </w:tc>
        <w:tc>
          <w:tcPr>
            <w:tcW w:w="5670" w:type="dxa"/>
          </w:tcPr>
          <w:p w14:paraId="7C6913C6" w14:textId="77777777" w:rsidR="004B006A" w:rsidRPr="00ED1913" w:rsidRDefault="004B006A" w:rsidP="004B006A">
            <w:pPr>
              <w:spacing w:before="60" w:after="60"/>
            </w:pPr>
            <w:r w:rsidRPr="00ED1913">
              <w:t>The relevant G-Cloud Service terms and conditions as set out in the Terms and Conditions document supplied as part of the Supplier</w:t>
            </w:r>
            <w:r w:rsidR="00C82E38" w:rsidRPr="00ED1913">
              <w:t>’</w:t>
            </w:r>
            <w:r w:rsidRPr="00ED1913">
              <w:t>s Application.</w:t>
            </w:r>
          </w:p>
        </w:tc>
      </w:tr>
      <w:tr w:rsidR="004B006A" w:rsidRPr="00ED1913" w14:paraId="1D06696F" w14:textId="77777777" w:rsidTr="00CE21CE">
        <w:tc>
          <w:tcPr>
            <w:tcW w:w="3969" w:type="dxa"/>
          </w:tcPr>
          <w:p w14:paraId="3EC0C42B" w14:textId="77777777" w:rsidR="004B006A" w:rsidRPr="00ED1913" w:rsidRDefault="00C82E38" w:rsidP="00CE21CE">
            <w:pPr>
              <w:spacing w:before="60" w:after="60"/>
              <w:rPr>
                <w:b/>
              </w:rPr>
            </w:pPr>
            <w:r w:rsidRPr="00ED1913">
              <w:rPr>
                <w:b/>
              </w:rPr>
              <w:t>Term</w:t>
            </w:r>
          </w:p>
        </w:tc>
        <w:tc>
          <w:tcPr>
            <w:tcW w:w="5670" w:type="dxa"/>
          </w:tcPr>
          <w:p w14:paraId="04326983" w14:textId="77777777" w:rsidR="004B006A" w:rsidRPr="00ED1913" w:rsidRDefault="004B006A" w:rsidP="004B006A">
            <w:pPr>
              <w:spacing w:before="60" w:after="60"/>
            </w:pPr>
            <w:r w:rsidRPr="00ED1913">
              <w:t>The term of this Call-Off Contract as set out in the Order Form.</w:t>
            </w:r>
          </w:p>
        </w:tc>
      </w:tr>
      <w:tr w:rsidR="004B006A" w:rsidRPr="00ED1913" w14:paraId="028058EC" w14:textId="77777777" w:rsidTr="00CE21CE">
        <w:tc>
          <w:tcPr>
            <w:tcW w:w="3969" w:type="dxa"/>
          </w:tcPr>
          <w:p w14:paraId="1A078C90" w14:textId="77777777" w:rsidR="004B006A" w:rsidRPr="00ED1913" w:rsidRDefault="00C82E38" w:rsidP="00CE21CE">
            <w:pPr>
              <w:spacing w:before="60" w:after="60"/>
              <w:rPr>
                <w:b/>
              </w:rPr>
            </w:pPr>
            <w:r w:rsidRPr="00ED1913">
              <w:rPr>
                <w:b/>
              </w:rPr>
              <w:t>Variation</w:t>
            </w:r>
          </w:p>
        </w:tc>
        <w:tc>
          <w:tcPr>
            <w:tcW w:w="5670" w:type="dxa"/>
          </w:tcPr>
          <w:p w14:paraId="2EA81D7F" w14:textId="77777777" w:rsidR="004B006A" w:rsidRPr="00ED1913" w:rsidRDefault="004B006A" w:rsidP="004B006A">
            <w:pPr>
              <w:spacing w:before="60" w:after="60"/>
            </w:pPr>
            <w:r w:rsidRPr="00ED1913">
              <w:t>This has the meaning given to it in clause 32 (Variation process).</w:t>
            </w:r>
          </w:p>
        </w:tc>
      </w:tr>
      <w:tr w:rsidR="004B006A" w:rsidRPr="00ED1913" w14:paraId="7F79389E" w14:textId="77777777" w:rsidTr="00CE21CE">
        <w:tc>
          <w:tcPr>
            <w:tcW w:w="3969" w:type="dxa"/>
          </w:tcPr>
          <w:p w14:paraId="10E009AA" w14:textId="77777777" w:rsidR="004B006A" w:rsidRPr="00ED1913" w:rsidRDefault="00C82E38" w:rsidP="00CE21CE">
            <w:pPr>
              <w:spacing w:before="60" w:after="60"/>
              <w:rPr>
                <w:b/>
              </w:rPr>
            </w:pPr>
            <w:r w:rsidRPr="00ED1913">
              <w:rPr>
                <w:b/>
              </w:rPr>
              <w:t>Working Days</w:t>
            </w:r>
          </w:p>
        </w:tc>
        <w:tc>
          <w:tcPr>
            <w:tcW w:w="5670" w:type="dxa"/>
          </w:tcPr>
          <w:p w14:paraId="7DDF6D83" w14:textId="77777777" w:rsidR="004B006A" w:rsidRPr="00ED1913" w:rsidRDefault="004B006A" w:rsidP="004B006A">
            <w:pPr>
              <w:spacing w:before="60" w:after="60"/>
            </w:pPr>
            <w:r w:rsidRPr="00ED1913">
              <w:t>Any day other than a Saturday, Sunday or public holiday in England and Wales.</w:t>
            </w:r>
          </w:p>
        </w:tc>
      </w:tr>
      <w:tr w:rsidR="004B006A" w:rsidRPr="00ED1913" w14:paraId="7FB59755" w14:textId="77777777" w:rsidTr="00CE21CE">
        <w:tc>
          <w:tcPr>
            <w:tcW w:w="3969" w:type="dxa"/>
          </w:tcPr>
          <w:p w14:paraId="687DF351" w14:textId="77777777" w:rsidR="004B006A" w:rsidRPr="00ED1913" w:rsidRDefault="00C82E38" w:rsidP="00CE21CE">
            <w:pPr>
              <w:spacing w:before="60" w:after="60"/>
              <w:rPr>
                <w:b/>
              </w:rPr>
            </w:pPr>
            <w:r w:rsidRPr="00ED1913">
              <w:rPr>
                <w:b/>
              </w:rPr>
              <w:t>Year</w:t>
            </w:r>
          </w:p>
        </w:tc>
        <w:tc>
          <w:tcPr>
            <w:tcW w:w="5670" w:type="dxa"/>
          </w:tcPr>
          <w:p w14:paraId="42EC563F" w14:textId="77777777" w:rsidR="004B006A" w:rsidRPr="00ED1913" w:rsidRDefault="004B006A" w:rsidP="004B006A">
            <w:pPr>
              <w:spacing w:before="60" w:after="60"/>
            </w:pPr>
            <w:r w:rsidRPr="00ED1913">
              <w:t>A contract year.</w:t>
            </w:r>
          </w:p>
        </w:tc>
      </w:tr>
    </w:tbl>
    <w:p w14:paraId="45B6E1AB" w14:textId="2F53349E" w:rsidR="00C82E38" w:rsidRPr="00ED1913" w:rsidRDefault="00C82E38" w:rsidP="00C82E38">
      <w:pPr>
        <w:pStyle w:val="Title"/>
      </w:pPr>
      <w:bookmarkStart w:id="11" w:name="_Toc534903713"/>
      <w:r w:rsidRPr="00016790">
        <w:lastRenderedPageBreak/>
        <w:t>Schedule 7 - Processing, Personal Data and Data Subjects</w:t>
      </w:r>
      <w:bookmarkEnd w:id="11"/>
      <w:r w:rsidR="00016790">
        <w:t xml:space="preserve"> </w:t>
      </w:r>
    </w:p>
    <w:p w14:paraId="4C991B44" w14:textId="3E9600FB" w:rsidR="00C82E38" w:rsidRPr="00ED1913" w:rsidRDefault="00C82E38"/>
    <w:p w14:paraId="39B87A91" w14:textId="33AECDBE" w:rsidR="00515100" w:rsidRPr="00CE67ED" w:rsidRDefault="00515100" w:rsidP="00515100">
      <w:pPr>
        <w:rPr>
          <w:rFonts w:cs="Arial"/>
          <w:sz w:val="22"/>
        </w:rPr>
      </w:pPr>
      <w:r w:rsidRPr="00CE67ED">
        <w:rPr>
          <w:rFonts w:cs="Arial"/>
          <w:sz w:val="22"/>
        </w:rPr>
        <w:t xml:space="preserve">This Schedule has been completed by the Controller, who may take account of the view of the Processors, however the final decision as to the content of this Schedule shall be with the Controller at its absolute discretion.  </w:t>
      </w:r>
    </w:p>
    <w:p w14:paraId="7542F187" w14:textId="77777777" w:rsidR="00515100" w:rsidRPr="00CE67ED" w:rsidRDefault="00515100" w:rsidP="00515100">
      <w:pPr>
        <w:rPr>
          <w:rFonts w:cs="Arial"/>
          <w:sz w:val="22"/>
        </w:rPr>
      </w:pPr>
    </w:p>
    <w:p w14:paraId="2438B49E" w14:textId="58F2FEAA" w:rsidR="00515100" w:rsidRPr="006C63FE" w:rsidRDefault="00515100" w:rsidP="006C63FE">
      <w:pPr>
        <w:numPr>
          <w:ilvl w:val="0"/>
          <w:numId w:val="50"/>
        </w:numPr>
        <w:jc w:val="both"/>
        <w:rPr>
          <w:rFonts w:cs="Arial"/>
          <w:sz w:val="22"/>
        </w:rPr>
      </w:pPr>
      <w:r w:rsidRPr="00CE67ED">
        <w:rPr>
          <w:rFonts w:cs="Arial"/>
          <w:sz w:val="22"/>
        </w:rPr>
        <w:t xml:space="preserve">The contact details of the Controller’s Data Protection Officer are: </w:t>
      </w:r>
      <w:r w:rsidR="001E620A" w:rsidRPr="009537A1">
        <w:rPr>
          <w:b/>
          <w:bCs/>
        </w:rPr>
        <w:t>&lt;REDACTED&gt;</w:t>
      </w:r>
    </w:p>
    <w:p w14:paraId="2E75CC85" w14:textId="0E73CAF4" w:rsidR="00515100" w:rsidRPr="00820C7F" w:rsidRDefault="00515100">
      <w:pPr>
        <w:numPr>
          <w:ilvl w:val="0"/>
          <w:numId w:val="50"/>
        </w:numPr>
        <w:jc w:val="both"/>
        <w:rPr>
          <w:rFonts w:cs="Arial"/>
          <w:sz w:val="22"/>
        </w:rPr>
      </w:pPr>
      <w:r w:rsidRPr="00CE67ED">
        <w:rPr>
          <w:rFonts w:cs="Arial"/>
          <w:sz w:val="22"/>
        </w:rPr>
        <w:t>The contact details of the Processor’s Data Protection Officer are</w:t>
      </w:r>
      <w:r w:rsidR="001E620A">
        <w:rPr>
          <w:rFonts w:cs="Arial"/>
          <w:sz w:val="22"/>
        </w:rPr>
        <w:t xml:space="preserve">: </w:t>
      </w:r>
      <w:r w:rsidR="001E620A" w:rsidRPr="009537A1">
        <w:rPr>
          <w:b/>
          <w:bCs/>
        </w:rPr>
        <w:t>&lt;REDACTED&gt;</w:t>
      </w:r>
    </w:p>
    <w:p w14:paraId="7833C9DA" w14:textId="77777777" w:rsidR="00515100" w:rsidRPr="00CE67ED" w:rsidRDefault="00515100" w:rsidP="00515100">
      <w:pPr>
        <w:numPr>
          <w:ilvl w:val="0"/>
          <w:numId w:val="50"/>
        </w:numPr>
        <w:jc w:val="both"/>
        <w:rPr>
          <w:rFonts w:cs="Arial"/>
          <w:sz w:val="22"/>
        </w:rPr>
      </w:pPr>
      <w:r w:rsidRPr="00CE67ED">
        <w:rPr>
          <w:rFonts w:cs="Arial"/>
          <w:sz w:val="22"/>
        </w:rPr>
        <w:t>The Processor shall comply with any further written instructions with respect to processing by the Controller.</w:t>
      </w:r>
    </w:p>
    <w:p w14:paraId="75D3B198" w14:textId="77777777" w:rsidR="00515100" w:rsidRPr="00CE67ED" w:rsidRDefault="00515100" w:rsidP="00515100">
      <w:pPr>
        <w:numPr>
          <w:ilvl w:val="0"/>
          <w:numId w:val="50"/>
        </w:numPr>
        <w:jc w:val="both"/>
        <w:rPr>
          <w:rFonts w:cs="Arial"/>
          <w:sz w:val="22"/>
        </w:rPr>
      </w:pPr>
      <w:r w:rsidRPr="00CE67ED">
        <w:rPr>
          <w:rFonts w:cs="Arial"/>
          <w:sz w:val="22"/>
        </w:rPr>
        <w:t xml:space="preserve">Any such further instructions shall be incorporated into this Schedule. </w:t>
      </w:r>
    </w:p>
    <w:p w14:paraId="555108BB" w14:textId="77777777" w:rsidR="00515100" w:rsidRPr="00CE67ED" w:rsidRDefault="00515100" w:rsidP="00515100">
      <w:pPr>
        <w:rPr>
          <w:rFonts w:cs="Arial"/>
          <w:sz w:val="22"/>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515100" w:rsidRPr="00CE67ED" w14:paraId="29808BF8" w14:textId="77777777" w:rsidTr="00C7153C">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20C8D929" w14:textId="77777777" w:rsidR="00515100" w:rsidRPr="00CE67ED" w:rsidRDefault="00515100" w:rsidP="00C7153C">
            <w:pPr>
              <w:rPr>
                <w:rFonts w:cs="Arial"/>
                <w:b/>
                <w:sz w:val="22"/>
              </w:rPr>
            </w:pPr>
            <w:r w:rsidRPr="00CE67ED">
              <w:rPr>
                <w:rFonts w:cs="Arial"/>
                <w:b/>
                <w:sz w:val="22"/>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543FAA99" w14:textId="77777777" w:rsidR="00515100" w:rsidRPr="00CE67ED" w:rsidRDefault="00515100" w:rsidP="00C7153C">
            <w:pPr>
              <w:rPr>
                <w:rFonts w:cs="Arial"/>
                <w:b/>
                <w:sz w:val="22"/>
              </w:rPr>
            </w:pPr>
            <w:r w:rsidRPr="00CE67ED">
              <w:rPr>
                <w:rFonts w:cs="Arial"/>
                <w:b/>
                <w:sz w:val="22"/>
              </w:rPr>
              <w:t xml:space="preserve">Details </w:t>
            </w:r>
          </w:p>
        </w:tc>
      </w:tr>
      <w:tr w:rsidR="00515100" w:rsidRPr="00CE67ED" w14:paraId="5532F19A" w14:textId="77777777" w:rsidTr="00C7153C">
        <w:trPr>
          <w:trHeight w:val="813"/>
        </w:trPr>
        <w:tc>
          <w:tcPr>
            <w:tcW w:w="2959" w:type="dxa"/>
            <w:tcBorders>
              <w:top w:val="single" w:sz="6" w:space="0" w:color="000000"/>
              <w:left w:val="single" w:sz="6" w:space="0" w:color="000000"/>
              <w:bottom w:val="single" w:sz="6" w:space="0" w:color="000000"/>
              <w:right w:val="single" w:sz="6" w:space="0" w:color="000000"/>
            </w:tcBorders>
          </w:tcPr>
          <w:p w14:paraId="43868182" w14:textId="77777777" w:rsidR="00515100" w:rsidRPr="00CE67ED" w:rsidRDefault="00515100" w:rsidP="00C7153C">
            <w:pPr>
              <w:rPr>
                <w:rFonts w:cs="Arial"/>
                <w:b/>
                <w:sz w:val="22"/>
              </w:rPr>
            </w:pPr>
            <w:r w:rsidRPr="00CE67ED">
              <w:rPr>
                <w:rFonts w:cs="Arial"/>
                <w:b/>
                <w:sz w:val="22"/>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A233EF5" w14:textId="77777777" w:rsidR="00515100" w:rsidRPr="00CE67ED" w:rsidRDefault="00515100" w:rsidP="00C7153C">
            <w:pPr>
              <w:rPr>
                <w:rFonts w:cs="Arial"/>
                <w:color w:val="000000" w:themeColor="text1"/>
                <w:sz w:val="22"/>
              </w:rPr>
            </w:pPr>
            <w:r w:rsidRPr="00CE67ED">
              <w:rPr>
                <w:rFonts w:cs="Arial"/>
                <w:color w:val="000000" w:themeColor="text1"/>
                <w:sz w:val="22"/>
              </w:rPr>
              <w:t xml:space="preserve">The Parties acknowledge that for the purposes of the Data Protection Legislation, the Buyer is the </w:t>
            </w:r>
            <w:proofErr w:type="gramStart"/>
            <w:r w:rsidRPr="00CE67ED">
              <w:rPr>
                <w:rFonts w:cs="Arial"/>
                <w:color w:val="000000" w:themeColor="text1"/>
                <w:sz w:val="22"/>
              </w:rPr>
              <w:t>Controller</w:t>
            </w:r>
            <w:proofErr w:type="gramEnd"/>
            <w:r w:rsidRPr="00CE67ED">
              <w:rPr>
                <w:rFonts w:cs="Arial"/>
                <w:color w:val="000000" w:themeColor="text1"/>
                <w:sz w:val="22"/>
              </w:rPr>
              <w:t xml:space="preserve"> and the Supplier is the Processor in accordance with Clause 33.</w:t>
            </w:r>
          </w:p>
        </w:tc>
      </w:tr>
      <w:tr w:rsidR="00515100" w:rsidRPr="00CE67ED" w14:paraId="65F8BEA6" w14:textId="77777777" w:rsidTr="00C7153C">
        <w:trPr>
          <w:trHeight w:val="813"/>
        </w:trPr>
        <w:tc>
          <w:tcPr>
            <w:tcW w:w="2959" w:type="dxa"/>
            <w:tcBorders>
              <w:top w:val="single" w:sz="6" w:space="0" w:color="000000"/>
              <w:left w:val="single" w:sz="6" w:space="0" w:color="000000"/>
              <w:bottom w:val="single" w:sz="6" w:space="0" w:color="000000"/>
              <w:right w:val="single" w:sz="6" w:space="0" w:color="000000"/>
            </w:tcBorders>
          </w:tcPr>
          <w:p w14:paraId="1E6B8E6B" w14:textId="77777777" w:rsidR="00515100" w:rsidRPr="00CE67ED" w:rsidRDefault="00515100" w:rsidP="00C7153C">
            <w:pPr>
              <w:rPr>
                <w:rFonts w:cs="Arial"/>
                <w:b/>
                <w:sz w:val="22"/>
              </w:rPr>
            </w:pPr>
            <w:r w:rsidRPr="00CE67ED">
              <w:rPr>
                <w:rFonts w:cs="Arial"/>
                <w:b/>
                <w:sz w:val="22"/>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1F4360CF" w14:textId="576E07D4" w:rsidR="00515100" w:rsidRPr="00CE67ED" w:rsidRDefault="00515100" w:rsidP="00C7153C">
            <w:pPr>
              <w:rPr>
                <w:rFonts w:cs="Arial"/>
                <w:color w:val="000000" w:themeColor="text1"/>
                <w:sz w:val="22"/>
              </w:rPr>
            </w:pPr>
            <w:r w:rsidRPr="00CE67ED">
              <w:rPr>
                <w:rFonts w:cs="Arial"/>
                <w:color w:val="000000" w:themeColor="text1"/>
                <w:sz w:val="22"/>
              </w:rPr>
              <w:t xml:space="preserve">The processing is needed in order to ensure that the Processor can effectively deliver the contract and process all Personal Data for all prospective, current and former DfE staff, associated personnel and its </w:t>
            </w:r>
            <w:r w:rsidR="00D83844">
              <w:rPr>
                <w:rFonts w:cs="Arial"/>
                <w:color w:val="000000" w:themeColor="text1"/>
                <w:sz w:val="22"/>
              </w:rPr>
              <w:t>a</w:t>
            </w:r>
            <w:r w:rsidRPr="00CE67ED">
              <w:rPr>
                <w:rFonts w:cs="Arial"/>
                <w:color w:val="000000" w:themeColor="text1"/>
                <w:sz w:val="22"/>
              </w:rPr>
              <w:t xml:space="preserve">gencies.       </w:t>
            </w:r>
          </w:p>
          <w:p w14:paraId="76E5B90A" w14:textId="77777777" w:rsidR="00515100" w:rsidRPr="00CE67ED" w:rsidRDefault="00515100" w:rsidP="00C7153C">
            <w:pPr>
              <w:rPr>
                <w:rFonts w:cs="Arial"/>
                <w:color w:val="000000" w:themeColor="text1"/>
                <w:sz w:val="22"/>
              </w:rPr>
            </w:pPr>
          </w:p>
        </w:tc>
      </w:tr>
      <w:tr w:rsidR="00515100" w:rsidRPr="00CE67ED" w14:paraId="424BD220" w14:textId="77777777" w:rsidTr="00C7153C">
        <w:trPr>
          <w:trHeight w:val="796"/>
        </w:trPr>
        <w:tc>
          <w:tcPr>
            <w:tcW w:w="2959" w:type="dxa"/>
            <w:tcBorders>
              <w:top w:val="single" w:sz="6" w:space="0" w:color="000000"/>
              <w:left w:val="single" w:sz="6" w:space="0" w:color="000000"/>
              <w:bottom w:val="single" w:sz="6" w:space="0" w:color="000000"/>
              <w:right w:val="single" w:sz="6" w:space="0" w:color="000000"/>
            </w:tcBorders>
          </w:tcPr>
          <w:p w14:paraId="12B6D6A0" w14:textId="77777777" w:rsidR="00515100" w:rsidRPr="00CE67ED" w:rsidRDefault="00515100" w:rsidP="00C7153C">
            <w:pPr>
              <w:rPr>
                <w:rFonts w:cs="Arial"/>
                <w:b/>
                <w:sz w:val="22"/>
              </w:rPr>
            </w:pPr>
            <w:r w:rsidRPr="00CE67ED">
              <w:rPr>
                <w:rFonts w:cs="Arial"/>
                <w:b/>
                <w:sz w:val="22"/>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0B547652" w14:textId="77777777" w:rsidR="00515100" w:rsidRPr="00CE67ED" w:rsidRDefault="00515100" w:rsidP="00C7153C">
            <w:pPr>
              <w:rPr>
                <w:rFonts w:cs="Arial"/>
                <w:color w:val="000000" w:themeColor="text1"/>
                <w:sz w:val="22"/>
              </w:rPr>
            </w:pPr>
            <w:r w:rsidRPr="00CE67ED">
              <w:rPr>
                <w:rFonts w:cs="Arial"/>
                <w:color w:val="000000" w:themeColor="text1"/>
                <w:sz w:val="22"/>
              </w:rPr>
              <w:t xml:space="preserve">The processing shall be for the term of this agreement including any extensions applied and any requirements needed during exit period.  </w:t>
            </w:r>
          </w:p>
        </w:tc>
      </w:tr>
      <w:tr w:rsidR="00515100" w:rsidRPr="00CE67ED" w14:paraId="0756EA12" w14:textId="77777777" w:rsidTr="00C7153C">
        <w:trPr>
          <w:trHeight w:val="2976"/>
        </w:trPr>
        <w:tc>
          <w:tcPr>
            <w:tcW w:w="2959" w:type="dxa"/>
            <w:tcBorders>
              <w:top w:val="single" w:sz="6" w:space="0" w:color="000000"/>
              <w:left w:val="single" w:sz="6" w:space="0" w:color="000000"/>
              <w:bottom w:val="single" w:sz="6" w:space="0" w:color="000000"/>
              <w:right w:val="single" w:sz="6" w:space="0" w:color="000000"/>
            </w:tcBorders>
          </w:tcPr>
          <w:p w14:paraId="71C8E126" w14:textId="77777777" w:rsidR="00515100" w:rsidRPr="00CE67ED" w:rsidRDefault="00515100" w:rsidP="00C7153C">
            <w:pPr>
              <w:rPr>
                <w:rFonts w:cs="Arial"/>
                <w:b/>
                <w:sz w:val="22"/>
              </w:rPr>
            </w:pPr>
            <w:r w:rsidRPr="00CE67ED">
              <w:rPr>
                <w:rFonts w:cs="Arial"/>
                <w:b/>
                <w:sz w:val="22"/>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3BA36B44" w14:textId="0020F652" w:rsidR="00515100" w:rsidRPr="00CE67ED" w:rsidRDefault="00515100" w:rsidP="00C7153C">
            <w:pPr>
              <w:rPr>
                <w:rFonts w:cs="Arial"/>
                <w:color w:val="000000" w:themeColor="text1"/>
                <w:sz w:val="22"/>
              </w:rPr>
            </w:pPr>
            <w:r w:rsidRPr="00CE67ED">
              <w:rPr>
                <w:rFonts w:cs="Arial"/>
                <w:color w:val="000000" w:themeColor="text1"/>
                <w:sz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means)The purpose includes: employment processing, statutory obligation, recruitment and on-boarding, absence management, performance and talent management, Learning and Development, expenses and payroll processing.</w:t>
            </w:r>
          </w:p>
        </w:tc>
      </w:tr>
      <w:tr w:rsidR="00515100" w:rsidRPr="00CE67ED" w14:paraId="4385C9C3" w14:textId="77777777" w:rsidTr="00C7153C">
        <w:trPr>
          <w:trHeight w:val="856"/>
        </w:trPr>
        <w:tc>
          <w:tcPr>
            <w:tcW w:w="2959" w:type="dxa"/>
            <w:tcBorders>
              <w:top w:val="single" w:sz="6" w:space="0" w:color="000000"/>
              <w:left w:val="single" w:sz="6" w:space="0" w:color="000000"/>
              <w:bottom w:val="single" w:sz="6" w:space="0" w:color="000000"/>
              <w:right w:val="single" w:sz="6" w:space="0" w:color="000000"/>
            </w:tcBorders>
          </w:tcPr>
          <w:p w14:paraId="2C5E6A44" w14:textId="77777777" w:rsidR="00515100" w:rsidRPr="00CE67ED" w:rsidRDefault="00515100" w:rsidP="00C7153C">
            <w:pPr>
              <w:rPr>
                <w:rFonts w:cs="Arial"/>
                <w:b/>
                <w:sz w:val="22"/>
              </w:rPr>
            </w:pPr>
            <w:r w:rsidRPr="00CE67ED">
              <w:rPr>
                <w:rFonts w:cs="Arial"/>
                <w:b/>
                <w:sz w:val="22"/>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3D1F6F3F" w14:textId="77777777" w:rsidR="00515100" w:rsidRPr="00CE67ED" w:rsidRDefault="00515100" w:rsidP="00C7153C">
            <w:pPr>
              <w:spacing w:after="200"/>
              <w:contextualSpacing/>
              <w:jc w:val="both"/>
              <w:rPr>
                <w:rFonts w:eastAsia="Calibri" w:cs="Arial"/>
                <w:color w:val="000000" w:themeColor="text1"/>
                <w:sz w:val="22"/>
                <w:lang w:val="en-US"/>
              </w:rPr>
            </w:pPr>
            <w:r w:rsidRPr="00CE67ED">
              <w:rPr>
                <w:rFonts w:cs="Arial"/>
                <w:color w:val="000000" w:themeColor="text1"/>
                <w:sz w:val="22"/>
              </w:rPr>
              <w:t xml:space="preserve">The type of Personal data includes: name, address, date of birth, NI number, telephone number, pay, contact information (including home and work address, phone numbers, next of kin details), marital status, ethnicity, bank details, gender, disability information, employee identification number, probation period, </w:t>
            </w:r>
            <w:r w:rsidRPr="00CE67ED">
              <w:rPr>
                <w:rFonts w:eastAsia="Calibri" w:cs="Arial"/>
                <w:color w:val="000000" w:themeColor="text1"/>
                <w:spacing w:val="-2"/>
                <w:sz w:val="22"/>
                <w:lang w:val="en-US"/>
              </w:rPr>
              <w:t xml:space="preserve">visa information; passport information; military service information; religion information; education, language(s) and special competencies; certification information; probation period and employment duration information; job or position title; cost center  work schedule/pattern(full-time or part-time, regular or temporary); compensation and related information (including pay type and information regarding raises and salary adjustments); payroll information; allowance, bonus, commission; leave of absence information; employment history; </w:t>
            </w:r>
            <w:r w:rsidRPr="00CE67ED">
              <w:rPr>
                <w:rFonts w:eastAsia="Calibri" w:cs="Arial"/>
                <w:color w:val="000000" w:themeColor="text1"/>
                <w:spacing w:val="-2"/>
                <w:sz w:val="22"/>
                <w:lang w:val="en-US"/>
              </w:rPr>
              <w:lastRenderedPageBreak/>
              <w:t>training and development information; award information; membership information.</w:t>
            </w:r>
          </w:p>
          <w:p w14:paraId="79FB94BB" w14:textId="77777777" w:rsidR="00515100" w:rsidRPr="00CE67ED" w:rsidRDefault="00515100" w:rsidP="00C7153C">
            <w:pPr>
              <w:rPr>
                <w:rFonts w:cs="Arial"/>
                <w:color w:val="000000" w:themeColor="text1"/>
                <w:sz w:val="22"/>
              </w:rPr>
            </w:pPr>
            <w:r w:rsidRPr="00CE67ED">
              <w:rPr>
                <w:rFonts w:cs="Arial"/>
                <w:color w:val="000000" w:themeColor="text1"/>
                <w:sz w:val="22"/>
              </w:rPr>
              <w:t xml:space="preserve">  </w:t>
            </w:r>
          </w:p>
        </w:tc>
      </w:tr>
      <w:tr w:rsidR="00515100" w:rsidRPr="00CE67ED" w14:paraId="7EA3A679" w14:textId="77777777" w:rsidTr="00C7153C">
        <w:trPr>
          <w:trHeight w:val="1366"/>
        </w:trPr>
        <w:tc>
          <w:tcPr>
            <w:tcW w:w="2959" w:type="dxa"/>
            <w:tcBorders>
              <w:top w:val="single" w:sz="6" w:space="0" w:color="000000"/>
              <w:left w:val="single" w:sz="6" w:space="0" w:color="000000"/>
              <w:bottom w:val="single" w:sz="6" w:space="0" w:color="000000"/>
              <w:right w:val="single" w:sz="6" w:space="0" w:color="000000"/>
            </w:tcBorders>
          </w:tcPr>
          <w:p w14:paraId="7E9A132E" w14:textId="77777777" w:rsidR="00515100" w:rsidRPr="00CE67ED" w:rsidRDefault="00515100" w:rsidP="00C7153C">
            <w:pPr>
              <w:rPr>
                <w:rFonts w:cs="Arial"/>
                <w:b/>
                <w:sz w:val="22"/>
              </w:rPr>
            </w:pPr>
            <w:r w:rsidRPr="00CE67ED">
              <w:rPr>
                <w:rFonts w:cs="Arial"/>
                <w:b/>
                <w:sz w:val="22"/>
              </w:rPr>
              <w:lastRenderedPageBreak/>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77DEC7A4" w14:textId="77777777" w:rsidR="00515100" w:rsidRPr="00CE67ED" w:rsidRDefault="00515100" w:rsidP="00C7153C">
            <w:pPr>
              <w:rPr>
                <w:rFonts w:cs="Arial"/>
                <w:color w:val="000000" w:themeColor="text1"/>
                <w:sz w:val="22"/>
              </w:rPr>
            </w:pPr>
            <w:r w:rsidRPr="00CE67ED">
              <w:rPr>
                <w:rFonts w:cs="Arial"/>
                <w:color w:val="000000" w:themeColor="text1"/>
                <w:sz w:val="22"/>
              </w:rPr>
              <w:t xml:space="preserve">The Personal Data relate to the following subject categories for DfE and its </w:t>
            </w:r>
            <w:proofErr w:type="gramStart"/>
            <w:r w:rsidRPr="00CE67ED">
              <w:rPr>
                <w:rFonts w:cs="Arial"/>
                <w:color w:val="000000" w:themeColor="text1"/>
                <w:sz w:val="22"/>
              </w:rPr>
              <w:t>Agencies  :</w:t>
            </w:r>
            <w:proofErr w:type="gramEnd"/>
          </w:p>
          <w:p w14:paraId="389DC934" w14:textId="77777777" w:rsidR="00515100" w:rsidRPr="00CE67ED" w:rsidRDefault="00515100" w:rsidP="00515100">
            <w:pPr>
              <w:pStyle w:val="ListParagraph"/>
              <w:numPr>
                <w:ilvl w:val="0"/>
                <w:numId w:val="49"/>
              </w:numPr>
              <w:overflowPunct w:val="0"/>
              <w:autoSpaceDE w:val="0"/>
              <w:autoSpaceDN w:val="0"/>
              <w:adjustRightInd w:val="0"/>
              <w:contextualSpacing w:val="0"/>
              <w:textAlignment w:val="baseline"/>
              <w:rPr>
                <w:rFonts w:cs="Arial"/>
                <w:color w:val="000000" w:themeColor="text1"/>
                <w:sz w:val="22"/>
              </w:rPr>
            </w:pPr>
            <w:r w:rsidRPr="00CE67ED">
              <w:rPr>
                <w:rFonts w:cs="Arial"/>
                <w:color w:val="000000" w:themeColor="text1"/>
                <w:sz w:val="22"/>
              </w:rPr>
              <w:t>Prospective employees,</w:t>
            </w:r>
          </w:p>
          <w:p w14:paraId="183C95A7" w14:textId="77777777" w:rsidR="00515100" w:rsidRPr="00CE67ED" w:rsidRDefault="00515100" w:rsidP="00515100">
            <w:pPr>
              <w:pStyle w:val="ListParagraph"/>
              <w:numPr>
                <w:ilvl w:val="0"/>
                <w:numId w:val="49"/>
              </w:numPr>
              <w:overflowPunct w:val="0"/>
              <w:autoSpaceDE w:val="0"/>
              <w:autoSpaceDN w:val="0"/>
              <w:adjustRightInd w:val="0"/>
              <w:contextualSpacing w:val="0"/>
              <w:textAlignment w:val="baseline"/>
              <w:rPr>
                <w:rFonts w:cs="Arial"/>
                <w:color w:val="000000" w:themeColor="text1"/>
                <w:sz w:val="22"/>
              </w:rPr>
            </w:pPr>
            <w:r w:rsidRPr="00CE67ED">
              <w:rPr>
                <w:rFonts w:cs="Arial"/>
                <w:color w:val="000000" w:themeColor="text1"/>
                <w:sz w:val="22"/>
              </w:rPr>
              <w:t>Current employees,</w:t>
            </w:r>
          </w:p>
          <w:p w14:paraId="6745DF43" w14:textId="77777777" w:rsidR="00515100" w:rsidRPr="00CE67ED" w:rsidRDefault="00515100" w:rsidP="00515100">
            <w:pPr>
              <w:pStyle w:val="ListParagraph"/>
              <w:numPr>
                <w:ilvl w:val="0"/>
                <w:numId w:val="49"/>
              </w:numPr>
              <w:overflowPunct w:val="0"/>
              <w:autoSpaceDE w:val="0"/>
              <w:autoSpaceDN w:val="0"/>
              <w:adjustRightInd w:val="0"/>
              <w:contextualSpacing w:val="0"/>
              <w:textAlignment w:val="baseline"/>
              <w:rPr>
                <w:rFonts w:cs="Arial"/>
                <w:color w:val="000000" w:themeColor="text1"/>
                <w:sz w:val="22"/>
              </w:rPr>
            </w:pPr>
            <w:r w:rsidRPr="00CE67ED">
              <w:rPr>
                <w:rFonts w:cs="Arial"/>
                <w:color w:val="000000" w:themeColor="text1"/>
                <w:sz w:val="22"/>
              </w:rPr>
              <w:t>Former employees, and</w:t>
            </w:r>
          </w:p>
          <w:p w14:paraId="7E9304FF" w14:textId="77777777" w:rsidR="00515100" w:rsidRPr="00CE67ED" w:rsidRDefault="00515100" w:rsidP="00515100">
            <w:pPr>
              <w:pStyle w:val="ListParagraph"/>
              <w:numPr>
                <w:ilvl w:val="0"/>
                <w:numId w:val="49"/>
              </w:numPr>
              <w:overflowPunct w:val="0"/>
              <w:autoSpaceDE w:val="0"/>
              <w:autoSpaceDN w:val="0"/>
              <w:adjustRightInd w:val="0"/>
              <w:contextualSpacing w:val="0"/>
              <w:textAlignment w:val="baseline"/>
              <w:rPr>
                <w:rFonts w:cs="Arial"/>
                <w:color w:val="000000" w:themeColor="text1"/>
                <w:sz w:val="22"/>
              </w:rPr>
            </w:pPr>
            <w:r w:rsidRPr="00CE67ED">
              <w:rPr>
                <w:rFonts w:cs="Arial"/>
                <w:color w:val="000000" w:themeColor="text1"/>
                <w:sz w:val="22"/>
              </w:rPr>
              <w:t>Temporary workers</w:t>
            </w:r>
          </w:p>
          <w:p w14:paraId="6933ADE9" w14:textId="77777777" w:rsidR="00515100" w:rsidRPr="00CE67ED" w:rsidRDefault="00515100" w:rsidP="00C7153C">
            <w:pPr>
              <w:pStyle w:val="ListParagraph"/>
              <w:rPr>
                <w:rFonts w:cs="Arial"/>
                <w:color w:val="000000" w:themeColor="text1"/>
                <w:sz w:val="22"/>
              </w:rPr>
            </w:pPr>
          </w:p>
        </w:tc>
      </w:tr>
      <w:tr w:rsidR="00515100" w:rsidRPr="00CE67ED" w14:paraId="151AF12A" w14:textId="77777777" w:rsidTr="00C7153C">
        <w:trPr>
          <w:trHeight w:val="2507"/>
        </w:trPr>
        <w:tc>
          <w:tcPr>
            <w:tcW w:w="2959" w:type="dxa"/>
            <w:tcBorders>
              <w:top w:val="single" w:sz="6" w:space="0" w:color="000000"/>
              <w:left w:val="single" w:sz="6" w:space="0" w:color="000000"/>
              <w:bottom w:val="single" w:sz="6" w:space="0" w:color="000000"/>
              <w:right w:val="single" w:sz="6" w:space="0" w:color="000000"/>
            </w:tcBorders>
          </w:tcPr>
          <w:p w14:paraId="2C156244" w14:textId="0B9653ED" w:rsidR="00515100" w:rsidRPr="00CE67ED" w:rsidRDefault="00515100" w:rsidP="00C7153C">
            <w:pPr>
              <w:rPr>
                <w:rFonts w:cs="Arial"/>
                <w:b/>
                <w:sz w:val="22"/>
              </w:rPr>
            </w:pPr>
            <w:r w:rsidRPr="00CE67ED">
              <w:rPr>
                <w:rFonts w:cs="Arial"/>
                <w:b/>
                <w:sz w:val="22"/>
              </w:rPr>
              <w:t xml:space="preserve">Plan for return and destruction of the data 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3F4BCDFB" w14:textId="3B14C6C1" w:rsidR="00515100" w:rsidRPr="00CE67ED" w:rsidRDefault="00D83844" w:rsidP="00C7153C">
            <w:pPr>
              <w:rPr>
                <w:rFonts w:cs="Arial"/>
                <w:color w:val="000000" w:themeColor="text1"/>
                <w:sz w:val="22"/>
              </w:rPr>
            </w:pPr>
            <w:r w:rsidRPr="00D83844">
              <w:rPr>
                <w:rFonts w:cs="Arial"/>
                <w:color w:val="000000" w:themeColor="text1"/>
                <w:sz w:val="22"/>
              </w:rPr>
              <w:t>Upon termination of the Workday Service, Supplier shall return and delete Personal Data in accordance with the relevant provisions of the Supplier Terms.</w:t>
            </w:r>
          </w:p>
          <w:p w14:paraId="5A29EAA0" w14:textId="77777777" w:rsidR="00515100" w:rsidRPr="00CE67ED" w:rsidRDefault="00515100" w:rsidP="00C7153C">
            <w:pPr>
              <w:rPr>
                <w:rFonts w:cs="Arial"/>
                <w:color w:val="000000" w:themeColor="text1"/>
                <w:sz w:val="22"/>
              </w:rPr>
            </w:pPr>
          </w:p>
        </w:tc>
      </w:tr>
    </w:tbl>
    <w:p w14:paraId="45A2A775" w14:textId="76459EE1" w:rsidR="00BE3196" w:rsidRDefault="00BE3196" w:rsidP="00515100"/>
    <w:p w14:paraId="67ED0BF5" w14:textId="77777777" w:rsidR="00BE3196" w:rsidRDefault="00BE3196">
      <w:pPr>
        <w:spacing w:after="160" w:line="259" w:lineRule="auto"/>
      </w:pPr>
      <w:r>
        <w:br w:type="page"/>
      </w:r>
    </w:p>
    <w:p w14:paraId="10A3C83E" w14:textId="77777777" w:rsidR="00515100" w:rsidRPr="00ED1913" w:rsidRDefault="00515100" w:rsidP="00515100"/>
    <w:p w14:paraId="0C0C46FF" w14:textId="021E0121" w:rsidR="00015097" w:rsidRDefault="00015097" w:rsidP="00015097">
      <w:pPr>
        <w:jc w:val="center"/>
        <w:rPr>
          <w:rFonts w:ascii="Times New Roman" w:eastAsia="Calibri" w:hAnsi="Times New Roman" w:cs="Times New Roman"/>
          <w:b/>
          <w:sz w:val="20"/>
          <w:szCs w:val="24"/>
          <w:lang w:val="en-US"/>
        </w:rPr>
      </w:pPr>
      <w:bookmarkStart w:id="12" w:name="_Toc525894221"/>
      <w:bookmarkStart w:id="13" w:name="_Toc525894332"/>
      <w:bookmarkEnd w:id="12"/>
      <w:bookmarkEnd w:id="13"/>
      <w:r w:rsidRPr="00015097">
        <w:rPr>
          <w:rFonts w:ascii="Times New Roman" w:eastAsia="Calibri" w:hAnsi="Times New Roman" w:cs="Times New Roman"/>
          <w:b/>
          <w:sz w:val="20"/>
          <w:szCs w:val="24"/>
          <w:lang w:val="en-US"/>
        </w:rPr>
        <w:t xml:space="preserve">WORKDAY ORDER FORM </w:t>
      </w:r>
      <w:bookmarkStart w:id="14" w:name="_Hlk774570"/>
      <w:r w:rsidRPr="00015097">
        <w:rPr>
          <w:rFonts w:ascii="Times New Roman" w:eastAsia="Calibri" w:hAnsi="Times New Roman" w:cs="Times New Roman"/>
          <w:b/>
          <w:sz w:val="20"/>
          <w:szCs w:val="24"/>
          <w:lang w:val="en-US"/>
        </w:rPr>
        <w:t># 00177041.0</w:t>
      </w:r>
      <w:bookmarkEnd w:id="14"/>
    </w:p>
    <w:p w14:paraId="541DEF6E" w14:textId="1B7741C2" w:rsidR="00867609" w:rsidRDefault="00867609" w:rsidP="00015097">
      <w:pPr>
        <w:jc w:val="center"/>
        <w:rPr>
          <w:rFonts w:ascii="Times New Roman" w:eastAsia="Calibri" w:hAnsi="Times New Roman" w:cs="Times New Roman"/>
          <w:b/>
          <w:sz w:val="20"/>
          <w:szCs w:val="24"/>
          <w:lang w:val="en-US"/>
        </w:rPr>
      </w:pPr>
    </w:p>
    <w:p w14:paraId="49225E15" w14:textId="3887A342" w:rsidR="00867609" w:rsidRPr="00015097" w:rsidRDefault="00867609" w:rsidP="00015097">
      <w:pPr>
        <w:jc w:val="center"/>
        <w:rPr>
          <w:rFonts w:ascii="Times New Roman" w:eastAsia="Calibri" w:hAnsi="Times New Roman" w:cs="Times New Roman"/>
          <w:b/>
          <w:sz w:val="20"/>
          <w:szCs w:val="24"/>
          <w:lang w:val="en-US"/>
        </w:rPr>
      </w:pPr>
      <w:r>
        <w:rPr>
          <w:rFonts w:ascii="Times New Roman" w:eastAsia="Calibri" w:hAnsi="Times New Roman" w:cs="Times New Roman"/>
          <w:b/>
          <w:sz w:val="20"/>
          <w:szCs w:val="24"/>
          <w:lang w:val="en-US"/>
        </w:rPr>
        <w:t>&lt;REDACTED&gt;</w:t>
      </w:r>
    </w:p>
    <w:sectPr w:rsidR="00867609" w:rsidRPr="00015097" w:rsidSect="00867609">
      <w:footerReference w:type="default" r:id="rId28"/>
      <w:pgSz w:w="12240" w:h="15840"/>
      <w:pgMar w:top="144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C9A1" w14:textId="77777777" w:rsidR="00805515" w:rsidRDefault="00805515" w:rsidP="00E4373D">
      <w:r>
        <w:separator/>
      </w:r>
    </w:p>
  </w:endnote>
  <w:endnote w:type="continuationSeparator" w:id="0">
    <w:p w14:paraId="2A3AA69B" w14:textId="77777777" w:rsidR="00805515" w:rsidRDefault="00805515" w:rsidP="00E4373D">
      <w:r>
        <w:continuationSeparator/>
      </w:r>
    </w:p>
  </w:endnote>
  <w:endnote w:type="continuationNotice" w:id="1">
    <w:p w14:paraId="1F616D42" w14:textId="77777777" w:rsidR="00805515" w:rsidRDefault="00805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F15A" w14:textId="49E04304" w:rsidR="009537A1" w:rsidRPr="008312E5" w:rsidRDefault="009537A1" w:rsidP="00E4373D">
    <w:pPr>
      <w:tabs>
        <w:tab w:val="center" w:pos="4820"/>
        <w:tab w:val="right" w:pos="9639"/>
      </w:tabs>
      <w:spacing w:before="60"/>
      <w:rPr>
        <w:sz w:val="16"/>
        <w:szCs w:val="20"/>
      </w:rPr>
    </w:pPr>
    <w:r w:rsidRPr="008312E5">
      <w:rPr>
        <w:sz w:val="16"/>
        <w:szCs w:val="20"/>
      </w:rPr>
      <w:t>G-Cloud 10 Call-Off Contract – RM1557.10</w:t>
    </w:r>
    <w:r w:rsidRPr="008312E5">
      <w:rPr>
        <w:sz w:val="16"/>
        <w:szCs w:val="20"/>
      </w:rPr>
      <w:tab/>
    </w:r>
    <w:r>
      <w:rPr>
        <w:sz w:val="16"/>
        <w:szCs w:val="20"/>
      </w:rPr>
      <w:t>v0.1 Jan 19</w:t>
    </w:r>
  </w:p>
  <w:p w14:paraId="76E8CA81" w14:textId="238FFFEB" w:rsidR="009537A1" w:rsidRPr="00E4373D" w:rsidRDefault="009537A1" w:rsidP="00E4373D">
    <w:pPr>
      <w:tabs>
        <w:tab w:val="center" w:pos="4820"/>
        <w:tab w:val="right" w:pos="9639"/>
      </w:tabs>
      <w:spacing w:before="60"/>
      <w:rPr>
        <w:sz w:val="16"/>
        <w:szCs w:val="20"/>
      </w:rPr>
    </w:pPr>
    <w:hyperlink r:id="rId1" w:history="1">
      <w:r w:rsidRPr="00EF49D8">
        <w:rPr>
          <w:rStyle w:val="Hyperlink"/>
          <w:sz w:val="16"/>
          <w:szCs w:val="20"/>
        </w:rPr>
        <w:t>www.gov.uk/government/publications/g-cloud-10-framework-agreement</w:t>
      </w:r>
    </w:hyperlink>
    <w:r w:rsidRPr="008312E5">
      <w:rPr>
        <w:sz w:val="16"/>
        <w:szCs w:val="20"/>
      </w:rPr>
      <w:tab/>
    </w:r>
    <w:sdt>
      <w:sdtPr>
        <w:rPr>
          <w:sz w:val="16"/>
          <w:szCs w:val="20"/>
        </w:rPr>
        <w:id w:val="686031057"/>
        <w:docPartObj>
          <w:docPartGallery w:val="Page Numbers (Top of Page)"/>
          <w:docPartUnique/>
        </w:docPartObj>
      </w:sdtPr>
      <w:sdtContent>
        <w:r w:rsidRPr="008312E5">
          <w:rPr>
            <w:sz w:val="16"/>
            <w:szCs w:val="20"/>
          </w:rPr>
          <w:t xml:space="preserve">Page </w:t>
        </w:r>
        <w:r w:rsidRPr="008312E5">
          <w:rPr>
            <w:bCs/>
            <w:sz w:val="16"/>
            <w:szCs w:val="20"/>
          </w:rPr>
          <w:fldChar w:fldCharType="begin"/>
        </w:r>
        <w:r w:rsidRPr="008312E5">
          <w:rPr>
            <w:bCs/>
            <w:sz w:val="16"/>
            <w:szCs w:val="20"/>
          </w:rPr>
          <w:instrText xml:space="preserve"> PAGE </w:instrText>
        </w:r>
        <w:r w:rsidRPr="008312E5">
          <w:rPr>
            <w:bCs/>
            <w:sz w:val="16"/>
            <w:szCs w:val="20"/>
          </w:rPr>
          <w:fldChar w:fldCharType="separate"/>
        </w:r>
        <w:r>
          <w:rPr>
            <w:bCs/>
            <w:noProof/>
            <w:sz w:val="16"/>
            <w:szCs w:val="20"/>
          </w:rPr>
          <w:t>1</w:t>
        </w:r>
        <w:r w:rsidRPr="008312E5">
          <w:rPr>
            <w:bCs/>
            <w:sz w:val="16"/>
            <w:szCs w:val="20"/>
          </w:rPr>
          <w:fldChar w:fldCharType="end"/>
        </w:r>
        <w:r w:rsidRPr="008312E5">
          <w:rPr>
            <w:sz w:val="16"/>
            <w:szCs w:val="20"/>
          </w:rPr>
          <w:t xml:space="preserve"> of </w:t>
        </w:r>
        <w:r w:rsidRPr="008312E5">
          <w:rPr>
            <w:bCs/>
            <w:sz w:val="16"/>
            <w:szCs w:val="20"/>
          </w:rPr>
          <w:fldChar w:fldCharType="begin"/>
        </w:r>
        <w:r w:rsidRPr="008312E5">
          <w:rPr>
            <w:bCs/>
            <w:sz w:val="16"/>
            <w:szCs w:val="20"/>
          </w:rPr>
          <w:instrText xml:space="preserve"> NUMPAGES  </w:instrText>
        </w:r>
        <w:r w:rsidRPr="008312E5">
          <w:rPr>
            <w:bCs/>
            <w:sz w:val="16"/>
            <w:szCs w:val="20"/>
          </w:rPr>
          <w:fldChar w:fldCharType="separate"/>
        </w:r>
        <w:r>
          <w:rPr>
            <w:bCs/>
            <w:noProof/>
            <w:sz w:val="16"/>
            <w:szCs w:val="20"/>
          </w:rPr>
          <w:t>76</w:t>
        </w:r>
        <w:r w:rsidRPr="008312E5">
          <w:rPr>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DE70" w14:textId="77777777" w:rsidR="00805515" w:rsidRDefault="00805515" w:rsidP="00E4373D">
      <w:r>
        <w:separator/>
      </w:r>
    </w:p>
  </w:footnote>
  <w:footnote w:type="continuationSeparator" w:id="0">
    <w:p w14:paraId="3DFE9B50" w14:textId="77777777" w:rsidR="00805515" w:rsidRDefault="00805515" w:rsidP="00E4373D">
      <w:r>
        <w:continuationSeparator/>
      </w:r>
    </w:p>
  </w:footnote>
  <w:footnote w:type="continuationNotice" w:id="1">
    <w:p w14:paraId="6A3F23E5" w14:textId="77777777" w:rsidR="00805515" w:rsidRDefault="00805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4AC"/>
    <w:multiLevelType w:val="hybridMultilevel"/>
    <w:tmpl w:val="1D36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C5BB7"/>
    <w:multiLevelType w:val="hybridMultilevel"/>
    <w:tmpl w:val="A4DAE808"/>
    <w:lvl w:ilvl="0" w:tplc="688E86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C4122"/>
    <w:multiLevelType w:val="hybridMultilevel"/>
    <w:tmpl w:val="9F920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A53D8"/>
    <w:multiLevelType w:val="hybridMultilevel"/>
    <w:tmpl w:val="92AAF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93B67"/>
    <w:multiLevelType w:val="hybridMultilevel"/>
    <w:tmpl w:val="C20E4B10"/>
    <w:lvl w:ilvl="0" w:tplc="2D6269C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317B02"/>
    <w:multiLevelType w:val="hybridMultilevel"/>
    <w:tmpl w:val="BE067056"/>
    <w:lvl w:ilvl="0" w:tplc="2E50F77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C50D8D"/>
    <w:multiLevelType w:val="multilevel"/>
    <w:tmpl w:val="88D610C8"/>
    <w:name w:val="Lvl2ListTemplate"/>
    <w:lvl w:ilvl="0">
      <w:start w:val="1"/>
      <w:numFmt w:val="decimal"/>
      <w:pStyle w:val="2-LevelLegal1"/>
      <w:lvlText w:val="%1."/>
      <w:lvlJc w:val="left"/>
      <w:pPr>
        <w:tabs>
          <w:tab w:val="num" w:pos="540"/>
        </w:tabs>
        <w:ind w:left="180" w:firstLine="0"/>
      </w:pPr>
      <w:rPr>
        <w:rFonts w:ascii="Times New Roman Bold" w:hAnsi="Times New Roman Bold" w:hint="default"/>
        <w:b/>
        <w:i w:val="0"/>
        <w:color w:val="000000"/>
        <w:sz w:val="20"/>
        <w:u w:val="none"/>
      </w:rPr>
    </w:lvl>
    <w:lvl w:ilvl="1">
      <w:start w:val="1"/>
      <w:numFmt w:val="decimal"/>
      <w:pStyle w:val="2-LevelLegal2"/>
      <w:isLgl/>
      <w:lvlText w:val="%1.%2"/>
      <w:lvlJc w:val="left"/>
      <w:pPr>
        <w:tabs>
          <w:tab w:val="num" w:pos="720"/>
        </w:tabs>
        <w:ind w:left="0" w:firstLine="0"/>
      </w:pPr>
      <w:rPr>
        <w:rFonts w:ascii="Times New Roman Bold" w:hAnsi="Times New Roman Bold" w:hint="default"/>
        <w:b/>
        <w:i w:val="0"/>
        <w:color w:val="000000"/>
        <w:sz w:val="20"/>
        <w:u w:val="none"/>
      </w:rPr>
    </w:lvl>
    <w:lvl w:ilvl="2">
      <w:start w:val="1"/>
      <w:numFmt w:val="lowerLetter"/>
      <w:pStyle w:val="2-LevelLegal3"/>
      <w:lvlText w:val="(%3)"/>
      <w:lvlJc w:val="left"/>
      <w:pPr>
        <w:tabs>
          <w:tab w:val="num" w:pos="2707"/>
        </w:tabs>
        <w:ind w:left="0" w:firstLine="2160"/>
      </w:pPr>
      <w:rPr>
        <w:rFonts w:hint="default"/>
        <w:color w:val="000000"/>
      </w:rPr>
    </w:lvl>
    <w:lvl w:ilvl="3">
      <w:start w:val="1"/>
      <w:numFmt w:val="lowerRoman"/>
      <w:pStyle w:val="2-LevelLegal4"/>
      <w:lvlText w:val="(%4)"/>
      <w:lvlJc w:val="right"/>
      <w:pPr>
        <w:tabs>
          <w:tab w:val="num" w:pos="3485"/>
        </w:tabs>
        <w:ind w:left="720" w:firstLine="2520"/>
      </w:pPr>
      <w:rPr>
        <w:rFonts w:hint="default"/>
        <w:color w:val="000000"/>
      </w:rPr>
    </w:lvl>
    <w:lvl w:ilvl="4">
      <w:start w:val="1"/>
      <w:numFmt w:val="decimal"/>
      <w:pStyle w:val="2-LevelLegal5"/>
      <w:lvlText w:val="(%5)"/>
      <w:lvlJc w:val="left"/>
      <w:pPr>
        <w:tabs>
          <w:tab w:val="num" w:pos="4147"/>
        </w:tabs>
        <w:ind w:left="720" w:firstLine="2808"/>
      </w:pPr>
      <w:rPr>
        <w:rFonts w:hint="default"/>
        <w:color w:val="000000"/>
      </w:rPr>
    </w:lvl>
    <w:lvl w:ilvl="5">
      <w:start w:val="1"/>
      <w:numFmt w:val="upperLetter"/>
      <w:pStyle w:val="2-LevelLegal6"/>
      <w:lvlText w:val="(%6)"/>
      <w:lvlJc w:val="left"/>
      <w:pPr>
        <w:tabs>
          <w:tab w:val="num" w:pos="4723"/>
        </w:tabs>
        <w:ind w:left="1440" w:firstLine="2707"/>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C3D11CF"/>
    <w:multiLevelType w:val="hybridMultilevel"/>
    <w:tmpl w:val="EA50BC00"/>
    <w:lvl w:ilvl="0" w:tplc="688E86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95263"/>
    <w:multiLevelType w:val="hybridMultilevel"/>
    <w:tmpl w:val="89BC5178"/>
    <w:lvl w:ilvl="0" w:tplc="09AA39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F7628"/>
    <w:multiLevelType w:val="hybridMultilevel"/>
    <w:tmpl w:val="3564BE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730BC"/>
    <w:multiLevelType w:val="hybridMultilevel"/>
    <w:tmpl w:val="6528233C"/>
    <w:lvl w:ilvl="0" w:tplc="27B49F4C">
      <w:start w:val="1"/>
      <w:numFmt w:val="upperLetter"/>
      <w:pStyle w:val="LevelA"/>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D83542">
      <w:start w:val="1"/>
      <w:numFmt w:val="decimal"/>
      <w:pStyle w:val="Level1"/>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A05A6"/>
    <w:multiLevelType w:val="hybridMultilevel"/>
    <w:tmpl w:val="DB2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A2D74"/>
    <w:multiLevelType w:val="hybridMultilevel"/>
    <w:tmpl w:val="0108105E"/>
    <w:lvl w:ilvl="0" w:tplc="69FEC7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536F8"/>
    <w:multiLevelType w:val="hybridMultilevel"/>
    <w:tmpl w:val="F914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16DD1"/>
    <w:multiLevelType w:val="hybridMultilevel"/>
    <w:tmpl w:val="A5AE9720"/>
    <w:lvl w:ilvl="0" w:tplc="10E80B40">
      <w:start w:val="1"/>
      <w:numFmt w:val="upperRoman"/>
      <w:lvlText w:val="%1."/>
      <w:lvlJc w:val="left"/>
      <w:pPr>
        <w:ind w:left="460" w:hanging="361"/>
      </w:pPr>
      <w:rPr>
        <w:rFonts w:ascii="Times New Roman" w:eastAsia="Times New Roman" w:hAnsi="Times New Roman" w:hint="default"/>
        <w:b/>
        <w:bCs/>
        <w:spacing w:val="-1"/>
        <w:w w:val="99"/>
        <w:sz w:val="20"/>
        <w:szCs w:val="20"/>
      </w:rPr>
    </w:lvl>
    <w:lvl w:ilvl="1" w:tplc="CC8A8298">
      <w:start w:val="1"/>
      <w:numFmt w:val="upperLetter"/>
      <w:lvlText w:val="%2."/>
      <w:lvlJc w:val="left"/>
      <w:pPr>
        <w:ind w:left="820" w:hanging="360"/>
      </w:pPr>
      <w:rPr>
        <w:rFonts w:ascii="Times New Roman" w:eastAsia="Times New Roman" w:hAnsi="Times New Roman" w:hint="default"/>
        <w:spacing w:val="0"/>
        <w:w w:val="100"/>
        <w:sz w:val="20"/>
        <w:szCs w:val="20"/>
      </w:rPr>
    </w:lvl>
    <w:lvl w:ilvl="2" w:tplc="1DBAB7B2">
      <w:start w:val="1"/>
      <w:numFmt w:val="decimal"/>
      <w:lvlText w:val="%3."/>
      <w:lvlJc w:val="left"/>
      <w:pPr>
        <w:ind w:left="1180" w:hanging="360"/>
      </w:pPr>
      <w:rPr>
        <w:rFonts w:ascii="Times New Roman" w:eastAsia="Times New Roman" w:hAnsi="Times New Roman" w:hint="default"/>
        <w:spacing w:val="0"/>
        <w:w w:val="100"/>
        <w:sz w:val="20"/>
        <w:szCs w:val="20"/>
      </w:rPr>
    </w:lvl>
    <w:lvl w:ilvl="3" w:tplc="4D1E080E">
      <w:start w:val="1"/>
      <w:numFmt w:val="bullet"/>
      <w:lvlText w:val="•"/>
      <w:lvlJc w:val="left"/>
      <w:pPr>
        <w:ind w:left="1179" w:hanging="360"/>
      </w:pPr>
      <w:rPr>
        <w:rFonts w:hint="default"/>
      </w:rPr>
    </w:lvl>
    <w:lvl w:ilvl="4" w:tplc="7EBC980A">
      <w:start w:val="1"/>
      <w:numFmt w:val="bullet"/>
      <w:lvlText w:val="•"/>
      <w:lvlJc w:val="left"/>
      <w:pPr>
        <w:ind w:left="1179" w:hanging="360"/>
      </w:pPr>
      <w:rPr>
        <w:rFonts w:hint="default"/>
      </w:rPr>
    </w:lvl>
    <w:lvl w:ilvl="5" w:tplc="3F261C18">
      <w:start w:val="1"/>
      <w:numFmt w:val="bullet"/>
      <w:lvlText w:val="•"/>
      <w:lvlJc w:val="left"/>
      <w:pPr>
        <w:ind w:left="1180" w:hanging="360"/>
      </w:pPr>
      <w:rPr>
        <w:rFonts w:hint="default"/>
      </w:rPr>
    </w:lvl>
    <w:lvl w:ilvl="6" w:tplc="261C63F8">
      <w:start w:val="1"/>
      <w:numFmt w:val="bullet"/>
      <w:lvlText w:val="•"/>
      <w:lvlJc w:val="left"/>
      <w:pPr>
        <w:ind w:left="2860" w:hanging="360"/>
      </w:pPr>
      <w:rPr>
        <w:rFonts w:hint="default"/>
      </w:rPr>
    </w:lvl>
    <w:lvl w:ilvl="7" w:tplc="A198BAF4">
      <w:start w:val="1"/>
      <w:numFmt w:val="bullet"/>
      <w:lvlText w:val="•"/>
      <w:lvlJc w:val="left"/>
      <w:pPr>
        <w:ind w:left="4540" w:hanging="360"/>
      </w:pPr>
      <w:rPr>
        <w:rFonts w:hint="default"/>
      </w:rPr>
    </w:lvl>
    <w:lvl w:ilvl="8" w:tplc="C2A495DC">
      <w:start w:val="1"/>
      <w:numFmt w:val="bullet"/>
      <w:lvlText w:val="•"/>
      <w:lvlJc w:val="left"/>
      <w:pPr>
        <w:ind w:left="6220" w:hanging="360"/>
      </w:pPr>
      <w:rPr>
        <w:rFonts w:hint="default"/>
      </w:rPr>
    </w:lvl>
  </w:abstractNum>
  <w:abstractNum w:abstractNumId="17" w15:restartNumberingAfterBreak="0">
    <w:nsid w:val="2B2A2B94"/>
    <w:multiLevelType w:val="hybridMultilevel"/>
    <w:tmpl w:val="23D8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14682"/>
    <w:multiLevelType w:val="hybridMultilevel"/>
    <w:tmpl w:val="00C27F6C"/>
    <w:lvl w:ilvl="0" w:tplc="4EEABC44">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2C4A5C44"/>
    <w:multiLevelType w:val="hybridMultilevel"/>
    <w:tmpl w:val="D1A8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07400"/>
    <w:multiLevelType w:val="hybridMultilevel"/>
    <w:tmpl w:val="DB82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80240"/>
    <w:multiLevelType w:val="hybridMultilevel"/>
    <w:tmpl w:val="FB0A59D4"/>
    <w:lvl w:ilvl="0" w:tplc="72EE88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C20748"/>
    <w:multiLevelType w:val="multilevel"/>
    <w:tmpl w:val="3B709586"/>
    <w:lvl w:ilvl="0">
      <w:start w:val="1"/>
      <w:numFmt w:val="upperRoman"/>
      <w:lvlText w:val="%1."/>
      <w:lvlJc w:val="left"/>
      <w:pPr>
        <w:ind w:left="0" w:firstLine="0"/>
      </w:pPr>
      <w:rPr>
        <w:rFonts w:hint="default"/>
        <w:b/>
        <w:color w:val="auto"/>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3F4F028C"/>
    <w:multiLevelType w:val="multilevel"/>
    <w:tmpl w:val="93CA19C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15:restartNumberingAfterBreak="0">
    <w:nsid w:val="406E0E85"/>
    <w:multiLevelType w:val="hybridMultilevel"/>
    <w:tmpl w:val="A4DAE808"/>
    <w:lvl w:ilvl="0" w:tplc="688E86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C72B80"/>
    <w:multiLevelType w:val="hybridMultilevel"/>
    <w:tmpl w:val="C8446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6B13C0"/>
    <w:multiLevelType w:val="hybridMultilevel"/>
    <w:tmpl w:val="D93E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183745"/>
    <w:multiLevelType w:val="hybridMultilevel"/>
    <w:tmpl w:val="6A049124"/>
    <w:lvl w:ilvl="0" w:tplc="ACBE8914">
      <w:start w:val="1"/>
      <w:numFmt w:val="decimal"/>
      <w:lvlText w:val="%1."/>
      <w:lvlJc w:val="left"/>
      <w:pPr>
        <w:ind w:left="1199" w:hanging="360"/>
      </w:pPr>
      <w:rPr>
        <w:rFonts w:ascii="Times New Roman" w:eastAsia="Times New Roman" w:hAnsi="Times New Roman" w:hint="default"/>
        <w:spacing w:val="0"/>
        <w:w w:val="100"/>
        <w:sz w:val="20"/>
        <w:szCs w:val="20"/>
      </w:rPr>
    </w:lvl>
    <w:lvl w:ilvl="1" w:tplc="678E1966">
      <w:start w:val="1"/>
      <w:numFmt w:val="bullet"/>
      <w:lvlText w:val="•"/>
      <w:lvlJc w:val="left"/>
      <w:pPr>
        <w:ind w:left="2039" w:hanging="360"/>
      </w:pPr>
      <w:rPr>
        <w:rFonts w:hint="default"/>
      </w:rPr>
    </w:lvl>
    <w:lvl w:ilvl="2" w:tplc="C2E43958">
      <w:start w:val="1"/>
      <w:numFmt w:val="bullet"/>
      <w:lvlText w:val="•"/>
      <w:lvlJc w:val="left"/>
      <w:pPr>
        <w:ind w:left="2879" w:hanging="360"/>
      </w:pPr>
      <w:rPr>
        <w:rFonts w:hint="default"/>
      </w:rPr>
    </w:lvl>
    <w:lvl w:ilvl="3" w:tplc="3E5A923A">
      <w:start w:val="1"/>
      <w:numFmt w:val="bullet"/>
      <w:lvlText w:val="•"/>
      <w:lvlJc w:val="left"/>
      <w:pPr>
        <w:ind w:left="3719" w:hanging="360"/>
      </w:pPr>
      <w:rPr>
        <w:rFonts w:hint="default"/>
      </w:rPr>
    </w:lvl>
    <w:lvl w:ilvl="4" w:tplc="21983816">
      <w:start w:val="1"/>
      <w:numFmt w:val="bullet"/>
      <w:lvlText w:val="•"/>
      <w:lvlJc w:val="left"/>
      <w:pPr>
        <w:ind w:left="4559" w:hanging="360"/>
      </w:pPr>
      <w:rPr>
        <w:rFonts w:hint="default"/>
      </w:rPr>
    </w:lvl>
    <w:lvl w:ilvl="5" w:tplc="1D8E49E8">
      <w:start w:val="1"/>
      <w:numFmt w:val="bullet"/>
      <w:lvlText w:val="•"/>
      <w:lvlJc w:val="left"/>
      <w:pPr>
        <w:ind w:left="5399" w:hanging="360"/>
      </w:pPr>
      <w:rPr>
        <w:rFonts w:hint="default"/>
      </w:rPr>
    </w:lvl>
    <w:lvl w:ilvl="6" w:tplc="DFBE1098">
      <w:start w:val="1"/>
      <w:numFmt w:val="bullet"/>
      <w:lvlText w:val="•"/>
      <w:lvlJc w:val="left"/>
      <w:pPr>
        <w:ind w:left="6240" w:hanging="360"/>
      </w:pPr>
      <w:rPr>
        <w:rFonts w:hint="default"/>
      </w:rPr>
    </w:lvl>
    <w:lvl w:ilvl="7" w:tplc="152A366E">
      <w:start w:val="1"/>
      <w:numFmt w:val="bullet"/>
      <w:lvlText w:val="•"/>
      <w:lvlJc w:val="left"/>
      <w:pPr>
        <w:ind w:left="7080" w:hanging="360"/>
      </w:pPr>
      <w:rPr>
        <w:rFonts w:hint="default"/>
      </w:rPr>
    </w:lvl>
    <w:lvl w:ilvl="8" w:tplc="6F64CE64">
      <w:start w:val="1"/>
      <w:numFmt w:val="bullet"/>
      <w:lvlText w:val="•"/>
      <w:lvlJc w:val="left"/>
      <w:pPr>
        <w:ind w:left="7920" w:hanging="360"/>
      </w:pPr>
      <w:rPr>
        <w:rFont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A4C13C5"/>
    <w:multiLevelType w:val="hybridMultilevel"/>
    <w:tmpl w:val="B0B23736"/>
    <w:lvl w:ilvl="0" w:tplc="BF4C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6D46E8"/>
    <w:multiLevelType w:val="hybridMultilevel"/>
    <w:tmpl w:val="F454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C35A3"/>
    <w:multiLevelType w:val="hybridMultilevel"/>
    <w:tmpl w:val="C0B4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C76693E"/>
    <w:multiLevelType w:val="hybridMultilevel"/>
    <w:tmpl w:val="6674DA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574EA"/>
    <w:multiLevelType w:val="hybridMultilevel"/>
    <w:tmpl w:val="152C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64890"/>
    <w:multiLevelType w:val="hybridMultilevel"/>
    <w:tmpl w:val="19F2DB76"/>
    <w:lvl w:ilvl="0" w:tplc="688E86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1D2C3D"/>
    <w:multiLevelType w:val="hybridMultilevel"/>
    <w:tmpl w:val="C82C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D02704"/>
    <w:multiLevelType w:val="multilevel"/>
    <w:tmpl w:val="2896853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BD172F9"/>
    <w:multiLevelType w:val="hybridMultilevel"/>
    <w:tmpl w:val="400EC5B0"/>
    <w:lvl w:ilvl="0" w:tplc="B2FCE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77E94"/>
    <w:multiLevelType w:val="hybridMultilevel"/>
    <w:tmpl w:val="7940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D1726"/>
    <w:multiLevelType w:val="hybridMultilevel"/>
    <w:tmpl w:val="213077D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2" w15:restartNumberingAfterBreak="0">
    <w:nsid w:val="7265549A"/>
    <w:multiLevelType w:val="hybridMultilevel"/>
    <w:tmpl w:val="AAEE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43425"/>
    <w:multiLevelType w:val="hybridMultilevel"/>
    <w:tmpl w:val="5748EDFC"/>
    <w:lvl w:ilvl="0" w:tplc="D23CCEC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76C40C10"/>
    <w:multiLevelType w:val="hybridMultilevel"/>
    <w:tmpl w:val="CA00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553000"/>
    <w:multiLevelType w:val="hybridMultilevel"/>
    <w:tmpl w:val="9D9E54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8E4F6B"/>
    <w:multiLevelType w:val="hybridMultilevel"/>
    <w:tmpl w:val="2200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19"/>
  </w:num>
  <w:num w:numId="2">
    <w:abstractNumId w:val="38"/>
  </w:num>
  <w:num w:numId="3">
    <w:abstractNumId w:val="2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7"/>
  </w:num>
  <w:num w:numId="7">
    <w:abstractNumId w:val="40"/>
  </w:num>
  <w:num w:numId="8">
    <w:abstractNumId w:val="20"/>
  </w:num>
  <w:num w:numId="9">
    <w:abstractNumId w:val="36"/>
  </w:num>
  <w:num w:numId="10">
    <w:abstractNumId w:val="1"/>
  </w:num>
  <w:num w:numId="11">
    <w:abstractNumId w:val="24"/>
  </w:num>
  <w:num w:numId="12">
    <w:abstractNumId w:val="31"/>
  </w:num>
  <w:num w:numId="13">
    <w:abstractNumId w:val="44"/>
  </w:num>
  <w:num w:numId="14">
    <w:abstractNumId w:val="9"/>
  </w:num>
  <w:num w:numId="15">
    <w:abstractNumId w:val="35"/>
  </w:num>
  <w:num w:numId="16">
    <w:abstractNumId w:val="46"/>
  </w:num>
  <w:num w:numId="17">
    <w:abstractNumId w:val="32"/>
  </w:num>
  <w:num w:numId="18">
    <w:abstractNumId w:val="42"/>
  </w:num>
  <w:num w:numId="19">
    <w:abstractNumId w:val="34"/>
  </w:num>
  <w:num w:numId="20">
    <w:abstractNumId w:val="17"/>
  </w:num>
  <w:num w:numId="21">
    <w:abstractNumId w:val="14"/>
  </w:num>
  <w:num w:numId="22">
    <w:abstractNumId w:val="11"/>
  </w:num>
  <w:num w:numId="23">
    <w:abstractNumId w:val="47"/>
  </w:num>
  <w:num w:numId="24">
    <w:abstractNumId w:val="26"/>
  </w:num>
  <w:num w:numId="25">
    <w:abstractNumId w:val="30"/>
  </w:num>
  <w:num w:numId="26">
    <w:abstractNumId w:val="45"/>
  </w:num>
  <w:num w:numId="27">
    <w:abstractNumId w:val="4"/>
  </w:num>
  <w:num w:numId="28">
    <w:abstractNumId w:val="18"/>
  </w:num>
  <w:num w:numId="29">
    <w:abstractNumId w:val="41"/>
  </w:num>
  <w:num w:numId="30">
    <w:abstractNumId w:val="10"/>
  </w:num>
  <w:num w:numId="31">
    <w:abstractNumId w:val="2"/>
  </w:num>
  <w:num w:numId="32">
    <w:abstractNumId w:val="23"/>
  </w:num>
  <w:num w:numId="33">
    <w:abstractNumId w:val="6"/>
  </w:num>
  <w:num w:numId="34">
    <w:abstractNumId w:val="7"/>
  </w:num>
  <w:num w:numId="35">
    <w:abstractNumId w:val="29"/>
  </w:num>
  <w:num w:numId="36">
    <w:abstractNumId w:val="0"/>
  </w:num>
  <w:num w:numId="37">
    <w:abstractNumId w:val="3"/>
  </w:num>
  <w:num w:numId="38">
    <w:abstractNumId w:val="43"/>
  </w:num>
  <w:num w:numId="39">
    <w:abstractNumId w:val="8"/>
  </w:num>
  <w:num w:numId="40">
    <w:abstractNumId w:val="8"/>
  </w:num>
  <w:num w:numId="41">
    <w:abstractNumId w:val="8"/>
  </w:num>
  <w:num w:numId="42">
    <w:abstractNumId w:val="8"/>
  </w:num>
  <w:num w:numId="43">
    <w:abstractNumId w:val="39"/>
  </w:num>
  <w:num w:numId="44">
    <w:abstractNumId w:val="12"/>
  </w:num>
  <w:num w:numId="45">
    <w:abstractNumId w:val="22"/>
  </w:num>
  <w:num w:numId="46">
    <w:abstractNumId w:val="28"/>
  </w:num>
  <w:num w:numId="47">
    <w:abstractNumId w:val="16"/>
  </w:num>
  <w:num w:numId="48">
    <w:abstractNumId w:val="12"/>
    <w:lvlOverride w:ilvl="0">
      <w:startOverride w:val="1"/>
    </w:lvlOverride>
  </w:num>
  <w:num w:numId="49">
    <w:abstractNumId w:val="5"/>
  </w:num>
  <w:num w:numId="50">
    <w:abstractNumId w:val="27"/>
  </w:num>
  <w:num w:numId="51">
    <w:abstractNumId w:val="33"/>
  </w:num>
  <w:num w:numId="52">
    <w:abstractNumId w:val="48"/>
  </w:num>
  <w:num w:numId="53">
    <w:abstractNumId w:val="15"/>
  </w:num>
  <w:num w:numId="54">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trackedChanges" w:enforcement="0"/>
  <w:defaultTabStop w:val="567"/>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tDocProperties" w:val="H4sIAAAAAAAEAIWRW4uDMBCFf5F4YRULQyBqSlOouk0s7VMI2bEUVi0x/f/VXUptYdl5mss5hw8G6NUVg6ntcEXrLjgSmMZbh73jBTGRwTQJUy9IUHsfqf7yVmEbeXGbaAyi1sQmAn9hALFWVbZluVTyVDMypbvbqBStpVD0bBFnoVIG/Dfl7MwawUsmxOOQV6VkR/lPyl+uBctEpsNjmAVzpau+GhrKlwgz+g7tGXnfDgQOaMfL0BPwn93i/PQd2F7wqiTxMuyxhI0eRaet4w47stbfI4L/sgMqJc03O1b+IARB/csYFmjSz4buwX9VTPP7v+5ppEcmwgEAAA=="/>
  </w:docVars>
  <w:rsids>
    <w:rsidRoot w:val="00E4373D"/>
    <w:rsid w:val="000048FB"/>
    <w:rsid w:val="00011739"/>
    <w:rsid w:val="00015097"/>
    <w:rsid w:val="00016138"/>
    <w:rsid w:val="0001664B"/>
    <w:rsid w:val="00016790"/>
    <w:rsid w:val="00030AE6"/>
    <w:rsid w:val="00036818"/>
    <w:rsid w:val="00041045"/>
    <w:rsid w:val="00051A75"/>
    <w:rsid w:val="00065A29"/>
    <w:rsid w:val="00070FC9"/>
    <w:rsid w:val="00071A68"/>
    <w:rsid w:val="0007290D"/>
    <w:rsid w:val="00076F1E"/>
    <w:rsid w:val="00080F9E"/>
    <w:rsid w:val="000848B8"/>
    <w:rsid w:val="00091D4D"/>
    <w:rsid w:val="00092B1E"/>
    <w:rsid w:val="000A7D4B"/>
    <w:rsid w:val="000B142E"/>
    <w:rsid w:val="000B1844"/>
    <w:rsid w:val="000B4761"/>
    <w:rsid w:val="000B5557"/>
    <w:rsid w:val="000C0BB6"/>
    <w:rsid w:val="000C33D4"/>
    <w:rsid w:val="000C7AB2"/>
    <w:rsid w:val="000E495D"/>
    <w:rsid w:val="000F50A7"/>
    <w:rsid w:val="0010568A"/>
    <w:rsid w:val="00107233"/>
    <w:rsid w:val="00117625"/>
    <w:rsid w:val="00125025"/>
    <w:rsid w:val="00126BA0"/>
    <w:rsid w:val="00132B73"/>
    <w:rsid w:val="00154C59"/>
    <w:rsid w:val="0016303F"/>
    <w:rsid w:val="00170E72"/>
    <w:rsid w:val="00173F42"/>
    <w:rsid w:val="00180FB7"/>
    <w:rsid w:val="001820E7"/>
    <w:rsid w:val="00184977"/>
    <w:rsid w:val="00186A2A"/>
    <w:rsid w:val="00192AA9"/>
    <w:rsid w:val="001B0D47"/>
    <w:rsid w:val="001B4EF7"/>
    <w:rsid w:val="001C1C64"/>
    <w:rsid w:val="001C706E"/>
    <w:rsid w:val="001C7264"/>
    <w:rsid w:val="001D1A16"/>
    <w:rsid w:val="001D2E0A"/>
    <w:rsid w:val="001D5E69"/>
    <w:rsid w:val="001D7807"/>
    <w:rsid w:val="001E620A"/>
    <w:rsid w:val="00205241"/>
    <w:rsid w:val="00205F49"/>
    <w:rsid w:val="00215D40"/>
    <w:rsid w:val="002210E5"/>
    <w:rsid w:val="00221A0D"/>
    <w:rsid w:val="00223B69"/>
    <w:rsid w:val="0022513B"/>
    <w:rsid w:val="00240008"/>
    <w:rsid w:val="00242C67"/>
    <w:rsid w:val="0024624F"/>
    <w:rsid w:val="0025234F"/>
    <w:rsid w:val="002605B6"/>
    <w:rsid w:val="002701AB"/>
    <w:rsid w:val="00275483"/>
    <w:rsid w:val="002869CC"/>
    <w:rsid w:val="0029782F"/>
    <w:rsid w:val="002A13BA"/>
    <w:rsid w:val="002B4ED8"/>
    <w:rsid w:val="002B68FD"/>
    <w:rsid w:val="002B6E60"/>
    <w:rsid w:val="002C0CE1"/>
    <w:rsid w:val="002D03F5"/>
    <w:rsid w:val="002D3DBD"/>
    <w:rsid w:val="002D4619"/>
    <w:rsid w:val="002E117A"/>
    <w:rsid w:val="002E5B43"/>
    <w:rsid w:val="002F1E53"/>
    <w:rsid w:val="002F3E52"/>
    <w:rsid w:val="002F52C0"/>
    <w:rsid w:val="003023BA"/>
    <w:rsid w:val="00303DFE"/>
    <w:rsid w:val="0030724D"/>
    <w:rsid w:val="00320BEC"/>
    <w:rsid w:val="00326B37"/>
    <w:rsid w:val="00343C57"/>
    <w:rsid w:val="00345063"/>
    <w:rsid w:val="00373145"/>
    <w:rsid w:val="00385A27"/>
    <w:rsid w:val="003915B2"/>
    <w:rsid w:val="0039598A"/>
    <w:rsid w:val="003A2F09"/>
    <w:rsid w:val="003B7A71"/>
    <w:rsid w:val="003C063B"/>
    <w:rsid w:val="003C06A9"/>
    <w:rsid w:val="003C1C66"/>
    <w:rsid w:val="003D5132"/>
    <w:rsid w:val="003D5CF4"/>
    <w:rsid w:val="003E0761"/>
    <w:rsid w:val="003E374F"/>
    <w:rsid w:val="003E4793"/>
    <w:rsid w:val="003E5361"/>
    <w:rsid w:val="003E6C6E"/>
    <w:rsid w:val="003F6284"/>
    <w:rsid w:val="00403B45"/>
    <w:rsid w:val="00412C9A"/>
    <w:rsid w:val="00416312"/>
    <w:rsid w:val="00417BAB"/>
    <w:rsid w:val="00430B46"/>
    <w:rsid w:val="00432398"/>
    <w:rsid w:val="00443935"/>
    <w:rsid w:val="0044508D"/>
    <w:rsid w:val="00456890"/>
    <w:rsid w:val="00456964"/>
    <w:rsid w:val="00466BA3"/>
    <w:rsid w:val="004731B3"/>
    <w:rsid w:val="004762BD"/>
    <w:rsid w:val="00482F1B"/>
    <w:rsid w:val="00482F70"/>
    <w:rsid w:val="0048469D"/>
    <w:rsid w:val="004A6D4C"/>
    <w:rsid w:val="004A73F4"/>
    <w:rsid w:val="004B006A"/>
    <w:rsid w:val="004B3A75"/>
    <w:rsid w:val="004B434F"/>
    <w:rsid w:val="004C2684"/>
    <w:rsid w:val="004E1163"/>
    <w:rsid w:val="004F39DF"/>
    <w:rsid w:val="004F3AAB"/>
    <w:rsid w:val="00504172"/>
    <w:rsid w:val="00506845"/>
    <w:rsid w:val="00506984"/>
    <w:rsid w:val="00510099"/>
    <w:rsid w:val="0051089B"/>
    <w:rsid w:val="00511A83"/>
    <w:rsid w:val="00512811"/>
    <w:rsid w:val="00515100"/>
    <w:rsid w:val="00537669"/>
    <w:rsid w:val="0054094A"/>
    <w:rsid w:val="00540A7B"/>
    <w:rsid w:val="00542840"/>
    <w:rsid w:val="005438AA"/>
    <w:rsid w:val="00547B87"/>
    <w:rsid w:val="0056286D"/>
    <w:rsid w:val="00563842"/>
    <w:rsid w:val="00564105"/>
    <w:rsid w:val="00575BF0"/>
    <w:rsid w:val="005805E7"/>
    <w:rsid w:val="00581CC5"/>
    <w:rsid w:val="00595DEB"/>
    <w:rsid w:val="00597F76"/>
    <w:rsid w:val="005B2660"/>
    <w:rsid w:val="005B3577"/>
    <w:rsid w:val="005C5B1B"/>
    <w:rsid w:val="005D00A8"/>
    <w:rsid w:val="005E00D6"/>
    <w:rsid w:val="005E0F40"/>
    <w:rsid w:val="005E2730"/>
    <w:rsid w:val="0060270A"/>
    <w:rsid w:val="0061304B"/>
    <w:rsid w:val="00616B56"/>
    <w:rsid w:val="006177F2"/>
    <w:rsid w:val="0062112C"/>
    <w:rsid w:val="00627093"/>
    <w:rsid w:val="00627D0D"/>
    <w:rsid w:val="00631D5A"/>
    <w:rsid w:val="00632C49"/>
    <w:rsid w:val="00637789"/>
    <w:rsid w:val="00640E20"/>
    <w:rsid w:val="00644240"/>
    <w:rsid w:val="006476C9"/>
    <w:rsid w:val="006658C9"/>
    <w:rsid w:val="006729F4"/>
    <w:rsid w:val="006772EA"/>
    <w:rsid w:val="00681FF4"/>
    <w:rsid w:val="00685E7D"/>
    <w:rsid w:val="006A1BE1"/>
    <w:rsid w:val="006A5434"/>
    <w:rsid w:val="006B61E4"/>
    <w:rsid w:val="006C4A5D"/>
    <w:rsid w:val="006C63FE"/>
    <w:rsid w:val="006C71DF"/>
    <w:rsid w:val="006D1017"/>
    <w:rsid w:val="006D1ECD"/>
    <w:rsid w:val="006D7287"/>
    <w:rsid w:val="006F0E3A"/>
    <w:rsid w:val="006F1591"/>
    <w:rsid w:val="006F3CB8"/>
    <w:rsid w:val="006F6117"/>
    <w:rsid w:val="00704FFC"/>
    <w:rsid w:val="00706C3F"/>
    <w:rsid w:val="00710FC2"/>
    <w:rsid w:val="0071626E"/>
    <w:rsid w:val="007238D6"/>
    <w:rsid w:val="007252E2"/>
    <w:rsid w:val="00726C2F"/>
    <w:rsid w:val="00733C5D"/>
    <w:rsid w:val="007415F3"/>
    <w:rsid w:val="00741ED7"/>
    <w:rsid w:val="007552D8"/>
    <w:rsid w:val="00756AEB"/>
    <w:rsid w:val="00762071"/>
    <w:rsid w:val="007626B1"/>
    <w:rsid w:val="00767930"/>
    <w:rsid w:val="00775C6E"/>
    <w:rsid w:val="00794215"/>
    <w:rsid w:val="0079660A"/>
    <w:rsid w:val="007A2869"/>
    <w:rsid w:val="007B0800"/>
    <w:rsid w:val="007D00B6"/>
    <w:rsid w:val="007D3F64"/>
    <w:rsid w:val="00803AA4"/>
    <w:rsid w:val="00805515"/>
    <w:rsid w:val="0080734B"/>
    <w:rsid w:val="00812075"/>
    <w:rsid w:val="008144AE"/>
    <w:rsid w:val="00815DE3"/>
    <w:rsid w:val="00820320"/>
    <w:rsid w:val="00820C7F"/>
    <w:rsid w:val="008220F5"/>
    <w:rsid w:val="00823626"/>
    <w:rsid w:val="008260BB"/>
    <w:rsid w:val="00833A06"/>
    <w:rsid w:val="00837780"/>
    <w:rsid w:val="00841FBB"/>
    <w:rsid w:val="00842EFC"/>
    <w:rsid w:val="0084337A"/>
    <w:rsid w:val="0085528D"/>
    <w:rsid w:val="0085581D"/>
    <w:rsid w:val="008560DC"/>
    <w:rsid w:val="00863F11"/>
    <w:rsid w:val="00866230"/>
    <w:rsid w:val="00867609"/>
    <w:rsid w:val="00872744"/>
    <w:rsid w:val="00872D9C"/>
    <w:rsid w:val="0088027A"/>
    <w:rsid w:val="0089658F"/>
    <w:rsid w:val="008B2F67"/>
    <w:rsid w:val="008B73FF"/>
    <w:rsid w:val="008C128E"/>
    <w:rsid w:val="008C3857"/>
    <w:rsid w:val="008D1EED"/>
    <w:rsid w:val="008D3238"/>
    <w:rsid w:val="008D6F49"/>
    <w:rsid w:val="008E314A"/>
    <w:rsid w:val="008E4D3E"/>
    <w:rsid w:val="008E4E88"/>
    <w:rsid w:val="009004EE"/>
    <w:rsid w:val="00924CB0"/>
    <w:rsid w:val="00926B58"/>
    <w:rsid w:val="00926FAF"/>
    <w:rsid w:val="00927273"/>
    <w:rsid w:val="00947A23"/>
    <w:rsid w:val="009537A1"/>
    <w:rsid w:val="009549CC"/>
    <w:rsid w:val="00966BC3"/>
    <w:rsid w:val="00971832"/>
    <w:rsid w:val="00971941"/>
    <w:rsid w:val="00973BC8"/>
    <w:rsid w:val="00976D71"/>
    <w:rsid w:val="00980D88"/>
    <w:rsid w:val="00992720"/>
    <w:rsid w:val="009947BA"/>
    <w:rsid w:val="009A1A36"/>
    <w:rsid w:val="009A3EA3"/>
    <w:rsid w:val="009B6793"/>
    <w:rsid w:val="009C4974"/>
    <w:rsid w:val="009D1594"/>
    <w:rsid w:val="009D5ECD"/>
    <w:rsid w:val="009E16E1"/>
    <w:rsid w:val="009E3A47"/>
    <w:rsid w:val="009E5CB4"/>
    <w:rsid w:val="009F0DDB"/>
    <w:rsid w:val="009F681B"/>
    <w:rsid w:val="00A109D4"/>
    <w:rsid w:val="00A15287"/>
    <w:rsid w:val="00A173A0"/>
    <w:rsid w:val="00A21D45"/>
    <w:rsid w:val="00A3046A"/>
    <w:rsid w:val="00A32056"/>
    <w:rsid w:val="00A3421A"/>
    <w:rsid w:val="00A4407A"/>
    <w:rsid w:val="00A51A7A"/>
    <w:rsid w:val="00A56458"/>
    <w:rsid w:val="00A70130"/>
    <w:rsid w:val="00A73910"/>
    <w:rsid w:val="00A763EF"/>
    <w:rsid w:val="00A9788F"/>
    <w:rsid w:val="00AA4DBB"/>
    <w:rsid w:val="00AC4710"/>
    <w:rsid w:val="00AC7D4B"/>
    <w:rsid w:val="00AD3CCD"/>
    <w:rsid w:val="00AD55AD"/>
    <w:rsid w:val="00AE232D"/>
    <w:rsid w:val="00AF38D9"/>
    <w:rsid w:val="00AF4C50"/>
    <w:rsid w:val="00AF6EEE"/>
    <w:rsid w:val="00B02E4D"/>
    <w:rsid w:val="00B26ED3"/>
    <w:rsid w:val="00B37F45"/>
    <w:rsid w:val="00B41417"/>
    <w:rsid w:val="00B453D7"/>
    <w:rsid w:val="00B459E4"/>
    <w:rsid w:val="00B52520"/>
    <w:rsid w:val="00B530CA"/>
    <w:rsid w:val="00B613F0"/>
    <w:rsid w:val="00B651DC"/>
    <w:rsid w:val="00B73DF8"/>
    <w:rsid w:val="00B74F74"/>
    <w:rsid w:val="00B802E1"/>
    <w:rsid w:val="00B8048E"/>
    <w:rsid w:val="00B84A1C"/>
    <w:rsid w:val="00B84E68"/>
    <w:rsid w:val="00B8505E"/>
    <w:rsid w:val="00B85329"/>
    <w:rsid w:val="00B92F68"/>
    <w:rsid w:val="00BA04E8"/>
    <w:rsid w:val="00BA0745"/>
    <w:rsid w:val="00BA2406"/>
    <w:rsid w:val="00BA6CF0"/>
    <w:rsid w:val="00BB106F"/>
    <w:rsid w:val="00BB340B"/>
    <w:rsid w:val="00BB51FE"/>
    <w:rsid w:val="00BC07F2"/>
    <w:rsid w:val="00BC3259"/>
    <w:rsid w:val="00BD3CA7"/>
    <w:rsid w:val="00BD6B45"/>
    <w:rsid w:val="00BE3196"/>
    <w:rsid w:val="00BE3EE3"/>
    <w:rsid w:val="00BF1A2E"/>
    <w:rsid w:val="00BF561F"/>
    <w:rsid w:val="00BF6C08"/>
    <w:rsid w:val="00BF7C90"/>
    <w:rsid w:val="00C03A34"/>
    <w:rsid w:val="00C07889"/>
    <w:rsid w:val="00C15940"/>
    <w:rsid w:val="00C215B3"/>
    <w:rsid w:val="00C2183B"/>
    <w:rsid w:val="00C226DB"/>
    <w:rsid w:val="00C254DF"/>
    <w:rsid w:val="00C25D26"/>
    <w:rsid w:val="00C3322C"/>
    <w:rsid w:val="00C3585D"/>
    <w:rsid w:val="00C445F9"/>
    <w:rsid w:val="00C54827"/>
    <w:rsid w:val="00C55130"/>
    <w:rsid w:val="00C57A65"/>
    <w:rsid w:val="00C60ED5"/>
    <w:rsid w:val="00C62895"/>
    <w:rsid w:val="00C67E0A"/>
    <w:rsid w:val="00C7153C"/>
    <w:rsid w:val="00C82285"/>
    <w:rsid w:val="00C82E38"/>
    <w:rsid w:val="00C8678F"/>
    <w:rsid w:val="00C97CAD"/>
    <w:rsid w:val="00CB763A"/>
    <w:rsid w:val="00CB7FC9"/>
    <w:rsid w:val="00CD7DBD"/>
    <w:rsid w:val="00CE1193"/>
    <w:rsid w:val="00CE1D83"/>
    <w:rsid w:val="00CE21CE"/>
    <w:rsid w:val="00CF3162"/>
    <w:rsid w:val="00CF3EFE"/>
    <w:rsid w:val="00D00F99"/>
    <w:rsid w:val="00D01C7D"/>
    <w:rsid w:val="00D03C62"/>
    <w:rsid w:val="00D044DA"/>
    <w:rsid w:val="00D04951"/>
    <w:rsid w:val="00D059F3"/>
    <w:rsid w:val="00D1531B"/>
    <w:rsid w:val="00D1762D"/>
    <w:rsid w:val="00D205EC"/>
    <w:rsid w:val="00D21520"/>
    <w:rsid w:val="00D36096"/>
    <w:rsid w:val="00D366B5"/>
    <w:rsid w:val="00D4477B"/>
    <w:rsid w:val="00D54A14"/>
    <w:rsid w:val="00D5741D"/>
    <w:rsid w:val="00D66F72"/>
    <w:rsid w:val="00D71A4E"/>
    <w:rsid w:val="00D7579B"/>
    <w:rsid w:val="00D816BF"/>
    <w:rsid w:val="00D81B82"/>
    <w:rsid w:val="00D8326A"/>
    <w:rsid w:val="00D83844"/>
    <w:rsid w:val="00D90DA6"/>
    <w:rsid w:val="00D92F9F"/>
    <w:rsid w:val="00DA321E"/>
    <w:rsid w:val="00DA3DC4"/>
    <w:rsid w:val="00DA62A4"/>
    <w:rsid w:val="00DA7FD5"/>
    <w:rsid w:val="00DD527E"/>
    <w:rsid w:val="00DE0596"/>
    <w:rsid w:val="00DE0CA6"/>
    <w:rsid w:val="00E12A1D"/>
    <w:rsid w:val="00E2106B"/>
    <w:rsid w:val="00E217A7"/>
    <w:rsid w:val="00E26D58"/>
    <w:rsid w:val="00E36849"/>
    <w:rsid w:val="00E37E3E"/>
    <w:rsid w:val="00E42D07"/>
    <w:rsid w:val="00E4373D"/>
    <w:rsid w:val="00E4436A"/>
    <w:rsid w:val="00E47AEC"/>
    <w:rsid w:val="00E5359F"/>
    <w:rsid w:val="00E554BB"/>
    <w:rsid w:val="00E578E9"/>
    <w:rsid w:val="00E61CD5"/>
    <w:rsid w:val="00E6733C"/>
    <w:rsid w:val="00E73110"/>
    <w:rsid w:val="00E739D5"/>
    <w:rsid w:val="00E74121"/>
    <w:rsid w:val="00E775B5"/>
    <w:rsid w:val="00E80894"/>
    <w:rsid w:val="00E910F7"/>
    <w:rsid w:val="00E944A7"/>
    <w:rsid w:val="00EA5735"/>
    <w:rsid w:val="00EB00EE"/>
    <w:rsid w:val="00EB3EC1"/>
    <w:rsid w:val="00EC632A"/>
    <w:rsid w:val="00EC648E"/>
    <w:rsid w:val="00EC7512"/>
    <w:rsid w:val="00ED1913"/>
    <w:rsid w:val="00EE2312"/>
    <w:rsid w:val="00EE36A0"/>
    <w:rsid w:val="00EE4A58"/>
    <w:rsid w:val="00F019B8"/>
    <w:rsid w:val="00F05F14"/>
    <w:rsid w:val="00F1074C"/>
    <w:rsid w:val="00F16749"/>
    <w:rsid w:val="00F21497"/>
    <w:rsid w:val="00F24BAE"/>
    <w:rsid w:val="00F27702"/>
    <w:rsid w:val="00F534F0"/>
    <w:rsid w:val="00F53AF6"/>
    <w:rsid w:val="00F73E20"/>
    <w:rsid w:val="00F77EB8"/>
    <w:rsid w:val="00F84249"/>
    <w:rsid w:val="00F8532C"/>
    <w:rsid w:val="00F873DE"/>
    <w:rsid w:val="00F91695"/>
    <w:rsid w:val="00F93B65"/>
    <w:rsid w:val="00FA1544"/>
    <w:rsid w:val="00FA18FF"/>
    <w:rsid w:val="00FA3C61"/>
    <w:rsid w:val="00FB504C"/>
    <w:rsid w:val="00FB59CC"/>
    <w:rsid w:val="00FC0391"/>
    <w:rsid w:val="00FC03AD"/>
    <w:rsid w:val="00FC5CA3"/>
    <w:rsid w:val="00FC7384"/>
    <w:rsid w:val="00FD02E7"/>
    <w:rsid w:val="00FD52AB"/>
    <w:rsid w:val="00FD5927"/>
    <w:rsid w:val="00FF6852"/>
    <w:rsid w:val="00FF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9334D"/>
  <w15:chartTrackingRefBased/>
  <w15:docId w15:val="{FA65665D-74AE-4689-BFAD-A260953B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3D"/>
    <w:pPr>
      <w:spacing w:after="0" w:line="240" w:lineRule="auto"/>
    </w:pPr>
    <w:rPr>
      <w:rFonts w:ascii="Arial" w:hAnsi="Arial"/>
      <w:sz w:val="24"/>
    </w:rPr>
  </w:style>
  <w:style w:type="paragraph" w:styleId="Heading1">
    <w:name w:val="heading 1"/>
    <w:basedOn w:val="Normal"/>
    <w:next w:val="Normal"/>
    <w:link w:val="Heading1Char"/>
    <w:uiPriority w:val="9"/>
    <w:qFormat/>
    <w:rsid w:val="00CE21CE"/>
    <w:pPr>
      <w:numPr>
        <w:numId w:val="2"/>
      </w:numPr>
      <w:spacing w:before="120" w:after="120"/>
      <w:ind w:left="851" w:hanging="851"/>
      <w:outlineLvl w:val="0"/>
    </w:pPr>
    <w:rPr>
      <w:b/>
      <w:szCs w:val="28"/>
    </w:rPr>
  </w:style>
  <w:style w:type="paragraph" w:styleId="Heading2">
    <w:name w:val="heading 2"/>
    <w:basedOn w:val="Normal"/>
    <w:next w:val="Normal"/>
    <w:link w:val="Heading2Char"/>
    <w:uiPriority w:val="9"/>
    <w:unhideWhenUsed/>
    <w:qFormat/>
    <w:rsid w:val="00CE21CE"/>
    <w:pPr>
      <w:numPr>
        <w:ilvl w:val="1"/>
        <w:numId w:val="2"/>
      </w:numPr>
      <w:spacing w:before="120"/>
      <w:ind w:left="851" w:hanging="851"/>
      <w:outlineLvl w:val="1"/>
    </w:pPr>
    <w:rPr>
      <w:rFonts w:eastAsiaTheme="majorEastAsia" w:cs="Arial"/>
      <w:szCs w:val="26"/>
    </w:rPr>
  </w:style>
  <w:style w:type="paragraph" w:styleId="Heading3">
    <w:name w:val="heading 3"/>
    <w:basedOn w:val="Normal"/>
    <w:next w:val="Normal"/>
    <w:link w:val="Heading3Char"/>
    <w:uiPriority w:val="9"/>
    <w:semiHidden/>
    <w:unhideWhenUsed/>
    <w:qFormat/>
    <w:rsid w:val="008C3857"/>
    <w:pPr>
      <w:keepNext/>
      <w:keepLines/>
      <w:numPr>
        <w:ilvl w:val="2"/>
        <w:numId w:val="2"/>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Heading3"/>
    <w:next w:val="Normal"/>
    <w:link w:val="Heading4Char"/>
    <w:uiPriority w:val="9"/>
    <w:qFormat/>
    <w:rsid w:val="008C3857"/>
    <w:pPr>
      <w:keepLines w:val="0"/>
      <w:numPr>
        <w:ilvl w:val="3"/>
      </w:numPr>
      <w:spacing w:before="0" w:after="60"/>
      <w:outlineLvl w:val="3"/>
    </w:pPr>
    <w:rPr>
      <w:rFonts w:ascii="Calibri" w:eastAsia="MS Gothic" w:hAnsi="Calibri" w:cs="Times New Roman"/>
      <w:b/>
      <w:bCs/>
      <w:color w:val="FF0000"/>
      <w:sz w:val="16"/>
      <w:szCs w:val="26"/>
    </w:rPr>
  </w:style>
  <w:style w:type="paragraph" w:styleId="Heading5">
    <w:name w:val="heading 5"/>
    <w:basedOn w:val="Normal"/>
    <w:next w:val="Normal"/>
    <w:link w:val="Heading5Char"/>
    <w:uiPriority w:val="9"/>
    <w:semiHidden/>
    <w:unhideWhenUsed/>
    <w:qFormat/>
    <w:rsid w:val="007238D6"/>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38D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38D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38D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38D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1CE"/>
    <w:rPr>
      <w:rFonts w:ascii="Arial" w:hAnsi="Arial"/>
      <w:b/>
      <w:sz w:val="24"/>
      <w:szCs w:val="28"/>
    </w:rPr>
  </w:style>
  <w:style w:type="character" w:customStyle="1" w:styleId="Heading2Char">
    <w:name w:val="Heading 2 Char"/>
    <w:basedOn w:val="DefaultParagraphFont"/>
    <w:link w:val="Heading2"/>
    <w:uiPriority w:val="9"/>
    <w:rsid w:val="00CE21CE"/>
    <w:rPr>
      <w:rFonts w:ascii="Arial" w:eastAsiaTheme="majorEastAsia" w:hAnsi="Arial" w:cs="Arial"/>
      <w:sz w:val="24"/>
      <w:szCs w:val="26"/>
    </w:rPr>
  </w:style>
  <w:style w:type="character" w:customStyle="1" w:styleId="Heading4Char">
    <w:name w:val="Heading 4 Char"/>
    <w:link w:val="Heading4"/>
    <w:uiPriority w:val="9"/>
    <w:rsid w:val="008C3857"/>
    <w:rPr>
      <w:rFonts w:ascii="Calibri" w:eastAsia="MS Gothic" w:hAnsi="Calibri" w:cs="Times New Roman"/>
      <w:b/>
      <w:bCs/>
      <w:color w:val="FF0000"/>
      <w:sz w:val="16"/>
      <w:szCs w:val="26"/>
    </w:rPr>
  </w:style>
  <w:style w:type="character" w:customStyle="1" w:styleId="Heading3Char">
    <w:name w:val="Heading 3 Char"/>
    <w:basedOn w:val="DefaultParagraphFont"/>
    <w:link w:val="Heading3"/>
    <w:uiPriority w:val="9"/>
    <w:semiHidden/>
    <w:rsid w:val="008C385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4373D"/>
    <w:pPr>
      <w:tabs>
        <w:tab w:val="center" w:pos="4513"/>
        <w:tab w:val="right" w:pos="9026"/>
      </w:tabs>
    </w:pPr>
  </w:style>
  <w:style w:type="character" w:customStyle="1" w:styleId="HeaderChar">
    <w:name w:val="Header Char"/>
    <w:basedOn w:val="DefaultParagraphFont"/>
    <w:link w:val="Header"/>
    <w:uiPriority w:val="99"/>
    <w:rsid w:val="00E4373D"/>
    <w:rPr>
      <w:sz w:val="20"/>
    </w:rPr>
  </w:style>
  <w:style w:type="paragraph" w:styleId="Footer">
    <w:name w:val="footer"/>
    <w:basedOn w:val="Normal"/>
    <w:link w:val="FooterChar"/>
    <w:uiPriority w:val="99"/>
    <w:unhideWhenUsed/>
    <w:rsid w:val="00E4373D"/>
    <w:pPr>
      <w:tabs>
        <w:tab w:val="center" w:pos="4513"/>
        <w:tab w:val="right" w:pos="9026"/>
      </w:tabs>
    </w:pPr>
  </w:style>
  <w:style w:type="character" w:customStyle="1" w:styleId="FooterChar">
    <w:name w:val="Footer Char"/>
    <w:basedOn w:val="DefaultParagraphFont"/>
    <w:link w:val="Footer"/>
    <w:uiPriority w:val="99"/>
    <w:rsid w:val="00E4373D"/>
    <w:rPr>
      <w:sz w:val="20"/>
    </w:rPr>
  </w:style>
  <w:style w:type="paragraph" w:styleId="TOCHeading">
    <w:name w:val="TOC Heading"/>
    <w:basedOn w:val="Heading1"/>
    <w:next w:val="Normal"/>
    <w:uiPriority w:val="39"/>
    <w:unhideWhenUsed/>
    <w:qFormat/>
    <w:rsid w:val="00E4373D"/>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uiPriority w:val="39"/>
    <w:unhideWhenUsed/>
    <w:rsid w:val="005805E7"/>
    <w:pPr>
      <w:tabs>
        <w:tab w:val="right" w:pos="9639"/>
      </w:tabs>
      <w:spacing w:before="120"/>
    </w:pPr>
    <w:rPr>
      <w:sz w:val="20"/>
    </w:rPr>
  </w:style>
  <w:style w:type="character" w:styleId="Hyperlink">
    <w:name w:val="Hyperlink"/>
    <w:basedOn w:val="DefaultParagraphFont"/>
    <w:unhideWhenUsed/>
    <w:rsid w:val="00E4373D"/>
    <w:rPr>
      <w:color w:val="0563C1" w:themeColor="hyperlink"/>
      <w:u w:val="single"/>
    </w:rPr>
  </w:style>
  <w:style w:type="table" w:styleId="TableGrid">
    <w:name w:val="Table Grid"/>
    <w:basedOn w:val="TableNormal"/>
    <w:uiPriority w:val="59"/>
    <w:rsid w:val="00E43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45063"/>
    <w:pPr>
      <w:ind w:left="720"/>
      <w:contextualSpacing/>
    </w:pPr>
  </w:style>
  <w:style w:type="paragraph" w:styleId="Title">
    <w:name w:val="Title"/>
    <w:basedOn w:val="Normal"/>
    <w:next w:val="Normal"/>
    <w:link w:val="TitleChar"/>
    <w:uiPriority w:val="10"/>
    <w:qFormat/>
    <w:rsid w:val="00C82E38"/>
    <w:pPr>
      <w:pageBreakBefore/>
      <w:spacing w:before="120" w:after="120"/>
    </w:pPr>
    <w:rPr>
      <w:b/>
      <w:sz w:val="32"/>
    </w:rPr>
  </w:style>
  <w:style w:type="character" w:customStyle="1" w:styleId="TitleChar">
    <w:name w:val="Title Char"/>
    <w:basedOn w:val="DefaultParagraphFont"/>
    <w:link w:val="Title"/>
    <w:uiPriority w:val="10"/>
    <w:rsid w:val="00C82E38"/>
    <w:rPr>
      <w:rFonts w:ascii="Arial" w:hAnsi="Arial"/>
      <w:b/>
      <w:sz w:val="32"/>
    </w:rPr>
  </w:style>
  <w:style w:type="character" w:customStyle="1" w:styleId="Heading5Char">
    <w:name w:val="Heading 5 Char"/>
    <w:basedOn w:val="DefaultParagraphFont"/>
    <w:link w:val="Heading5"/>
    <w:uiPriority w:val="9"/>
    <w:semiHidden/>
    <w:rsid w:val="007238D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238D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238D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23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38D6"/>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1C706E"/>
    <w:rPr>
      <w:color w:val="808080"/>
      <w:shd w:val="clear" w:color="auto" w:fill="E6E6E6"/>
    </w:rPr>
  </w:style>
  <w:style w:type="paragraph" w:styleId="TOC2">
    <w:name w:val="toc 2"/>
    <w:basedOn w:val="Normal"/>
    <w:next w:val="Normal"/>
    <w:autoRedefine/>
    <w:uiPriority w:val="39"/>
    <w:unhideWhenUsed/>
    <w:rsid w:val="00C82E38"/>
    <w:pPr>
      <w:spacing w:after="100"/>
      <w:ind w:left="240"/>
    </w:pPr>
  </w:style>
  <w:style w:type="paragraph" w:styleId="TOC3">
    <w:name w:val="toc 3"/>
    <w:basedOn w:val="Normal"/>
    <w:next w:val="Normal"/>
    <w:autoRedefine/>
    <w:uiPriority w:val="39"/>
    <w:unhideWhenUsed/>
    <w:rsid w:val="00C82E38"/>
    <w:pPr>
      <w:spacing w:after="100" w:line="259" w:lineRule="auto"/>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C82E38"/>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82E38"/>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82E38"/>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82E38"/>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82E38"/>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82E38"/>
    <w:pPr>
      <w:spacing w:after="100" w:line="259" w:lineRule="auto"/>
      <w:ind w:left="1760"/>
    </w:pPr>
    <w:rPr>
      <w:rFonts w:asciiTheme="minorHAnsi" w:eastAsiaTheme="minorEastAsia" w:hAnsiTheme="minorHAnsi"/>
      <w:sz w:val="22"/>
      <w:lang w:eastAsia="en-GB"/>
    </w:rPr>
  </w:style>
  <w:style w:type="paragraph" w:customStyle="1" w:styleId="Standard">
    <w:name w:val="Standard"/>
    <w:rsid w:val="00AA4DBB"/>
    <w:pPr>
      <w:suppressAutoHyphens/>
      <w:autoSpaceDN w:val="0"/>
      <w:spacing w:after="0" w:line="240" w:lineRule="auto"/>
      <w:jc w:val="both"/>
      <w:textAlignment w:val="baseline"/>
    </w:pPr>
    <w:rPr>
      <w:rFonts w:ascii="Verdana" w:eastAsia="Verdana" w:hAnsi="Verdana" w:cs="Verdana"/>
      <w:color w:val="000000"/>
      <w:kern w:val="3"/>
      <w:sz w:val="20"/>
      <w:szCs w:val="20"/>
      <w:lang w:eastAsia="zh-CN" w:bidi="hi-IN"/>
    </w:rPr>
  </w:style>
  <w:style w:type="paragraph" w:styleId="NoSpacing">
    <w:name w:val="No Spacing"/>
    <w:link w:val="NoSpacingChar"/>
    <w:uiPriority w:val="1"/>
    <w:qFormat/>
    <w:rsid w:val="00FD5927"/>
    <w:pPr>
      <w:widowControl w:val="0"/>
      <w:spacing w:after="0" w:line="240" w:lineRule="auto"/>
    </w:pPr>
    <w:rPr>
      <w:rFonts w:ascii="Arial" w:eastAsia="Arial" w:hAnsi="Arial" w:cs="Arial"/>
      <w:color w:val="000000"/>
      <w:sz w:val="20"/>
      <w:szCs w:val="20"/>
      <w:lang w:eastAsia="en-GB"/>
    </w:rPr>
  </w:style>
  <w:style w:type="paragraph" w:styleId="Revision">
    <w:name w:val="Revision"/>
    <w:hidden/>
    <w:uiPriority w:val="99"/>
    <w:semiHidden/>
    <w:rsid w:val="00FD592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FD5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27"/>
    <w:rPr>
      <w:rFonts w:ascii="Segoe UI" w:hAnsi="Segoe UI" w:cs="Segoe UI"/>
      <w:sz w:val="18"/>
      <w:szCs w:val="18"/>
    </w:rPr>
  </w:style>
  <w:style w:type="character" w:styleId="CommentReference">
    <w:name w:val="annotation reference"/>
    <w:uiPriority w:val="99"/>
    <w:semiHidden/>
    <w:unhideWhenUsed/>
    <w:rsid w:val="007252E2"/>
    <w:rPr>
      <w:sz w:val="16"/>
      <w:szCs w:val="16"/>
    </w:rPr>
  </w:style>
  <w:style w:type="paragraph" w:styleId="CommentText">
    <w:name w:val="annotation text"/>
    <w:basedOn w:val="Normal"/>
    <w:link w:val="CommentTextChar"/>
    <w:uiPriority w:val="99"/>
    <w:unhideWhenUsed/>
    <w:rsid w:val="007252E2"/>
    <w:rPr>
      <w:rFonts w:ascii="Calibri" w:eastAsia="MS Mincho" w:hAnsi="Calibri" w:cs="Arial"/>
      <w:sz w:val="20"/>
      <w:szCs w:val="20"/>
    </w:rPr>
  </w:style>
  <w:style w:type="character" w:customStyle="1" w:styleId="CommentTextChar">
    <w:name w:val="Comment Text Char"/>
    <w:basedOn w:val="DefaultParagraphFont"/>
    <w:link w:val="CommentText"/>
    <w:uiPriority w:val="99"/>
    <w:rsid w:val="007252E2"/>
    <w:rPr>
      <w:rFonts w:ascii="Calibri" w:eastAsia="MS Mincho" w:hAnsi="Calibri" w:cs="Arial"/>
      <w:sz w:val="20"/>
      <w:szCs w:val="20"/>
    </w:rPr>
  </w:style>
  <w:style w:type="paragraph" w:styleId="CommentSubject">
    <w:name w:val="annotation subject"/>
    <w:basedOn w:val="CommentText"/>
    <w:next w:val="CommentText"/>
    <w:link w:val="CommentSubjectChar"/>
    <w:uiPriority w:val="99"/>
    <w:semiHidden/>
    <w:unhideWhenUsed/>
    <w:rsid w:val="007415F3"/>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7415F3"/>
    <w:rPr>
      <w:rFonts w:ascii="Arial" w:eastAsia="MS Mincho" w:hAnsi="Arial" w:cs="Arial"/>
      <w:b/>
      <w:bCs/>
      <w:sz w:val="20"/>
      <w:szCs w:val="20"/>
    </w:rPr>
  </w:style>
  <w:style w:type="character" w:customStyle="1" w:styleId="NoSpacingChar">
    <w:name w:val="No Spacing Char"/>
    <w:basedOn w:val="DefaultParagraphFont"/>
    <w:link w:val="NoSpacing"/>
    <w:uiPriority w:val="1"/>
    <w:rsid w:val="00AC7D4B"/>
    <w:rPr>
      <w:rFonts w:ascii="Arial" w:eastAsia="Arial" w:hAnsi="Arial" w:cs="Arial"/>
      <w:color w:val="000000"/>
      <w:sz w:val="20"/>
      <w:szCs w:val="20"/>
      <w:lang w:eastAsia="en-GB"/>
    </w:rPr>
  </w:style>
  <w:style w:type="character" w:customStyle="1" w:styleId="ms-rtefontsize-2">
    <w:name w:val="ms-rtefontsize-2"/>
    <w:basedOn w:val="DefaultParagraphFont"/>
    <w:rsid w:val="00710FC2"/>
  </w:style>
  <w:style w:type="character" w:styleId="Strong">
    <w:name w:val="Strong"/>
    <w:basedOn w:val="DefaultParagraphFont"/>
    <w:uiPriority w:val="22"/>
    <w:qFormat/>
    <w:rsid w:val="00710FC2"/>
    <w:rPr>
      <w:b/>
      <w:bCs/>
    </w:rPr>
  </w:style>
  <w:style w:type="character" w:styleId="FollowedHyperlink">
    <w:name w:val="FollowedHyperlink"/>
    <w:basedOn w:val="DefaultParagraphFont"/>
    <w:uiPriority w:val="99"/>
    <w:semiHidden/>
    <w:unhideWhenUsed/>
    <w:rsid w:val="00326B37"/>
    <w:rPr>
      <w:color w:val="954F72" w:themeColor="followedHyperlink"/>
      <w:u w:val="single"/>
    </w:rPr>
  </w:style>
  <w:style w:type="character" w:customStyle="1" w:styleId="normaltextrun1">
    <w:name w:val="normaltextrun1"/>
    <w:rsid w:val="002F3E52"/>
  </w:style>
  <w:style w:type="character" w:customStyle="1" w:styleId="eop">
    <w:name w:val="eop"/>
    <w:rsid w:val="002F3E52"/>
  </w:style>
  <w:style w:type="paragraph" w:styleId="NormalWeb">
    <w:name w:val="Normal (Web)"/>
    <w:basedOn w:val="Normal"/>
    <w:uiPriority w:val="99"/>
    <w:semiHidden/>
    <w:unhideWhenUsed/>
    <w:rsid w:val="00C254DF"/>
    <w:pPr>
      <w:spacing w:after="150" w:line="360" w:lineRule="atLeast"/>
    </w:pPr>
    <w:rPr>
      <w:rFonts w:eastAsia="Times New Roman" w:cs="Arial"/>
      <w:color w:val="4C4C4C"/>
      <w:sz w:val="21"/>
      <w:szCs w:val="21"/>
      <w:lang w:eastAsia="en-GB"/>
    </w:rPr>
  </w:style>
  <w:style w:type="paragraph" w:customStyle="1" w:styleId="DfESOutNumbered">
    <w:name w:val="DfESOutNumbered"/>
    <w:basedOn w:val="Normal"/>
    <w:link w:val="DfESOutNumberedChar"/>
    <w:rsid w:val="00992720"/>
    <w:pPr>
      <w:widowControl w:val="0"/>
      <w:numPr>
        <w:numId w:val="33"/>
      </w:numPr>
      <w:overflowPunct w:val="0"/>
      <w:autoSpaceDE w:val="0"/>
      <w:autoSpaceDN w:val="0"/>
      <w:adjustRightInd w:val="0"/>
      <w:spacing w:after="240"/>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992720"/>
    <w:rPr>
      <w:rFonts w:ascii="Arial" w:eastAsia="Times New Roman" w:hAnsi="Arial" w:cs="Arial"/>
      <w:szCs w:val="20"/>
    </w:rPr>
  </w:style>
  <w:style w:type="paragraph" w:customStyle="1" w:styleId="DeptBullets">
    <w:name w:val="DeptBullets"/>
    <w:basedOn w:val="Normal"/>
    <w:link w:val="DeptBulletsChar"/>
    <w:rsid w:val="00992720"/>
    <w:pPr>
      <w:widowControl w:val="0"/>
      <w:numPr>
        <w:numId w:val="35"/>
      </w:numPr>
      <w:overflowPunct w:val="0"/>
      <w:autoSpaceDE w:val="0"/>
      <w:autoSpaceDN w:val="0"/>
      <w:adjustRightInd w:val="0"/>
      <w:spacing w:after="240"/>
      <w:textAlignment w:val="baseline"/>
    </w:pPr>
    <w:rPr>
      <w:rFonts w:eastAsia="Times New Roman" w:cs="Times New Roman"/>
      <w:szCs w:val="20"/>
    </w:rPr>
  </w:style>
  <w:style w:type="character" w:customStyle="1" w:styleId="DeptBulletsChar">
    <w:name w:val="DeptBullets Char"/>
    <w:basedOn w:val="DefaultParagraphFont"/>
    <w:link w:val="DeptBullets"/>
    <w:rsid w:val="00992720"/>
    <w:rPr>
      <w:rFonts w:ascii="Arial" w:eastAsia="Times New Roman" w:hAnsi="Arial" w:cs="Times New Roman"/>
      <w:sz w:val="24"/>
      <w:szCs w:val="20"/>
    </w:rPr>
  </w:style>
  <w:style w:type="character" w:customStyle="1" w:styleId="UnresolvedMention2">
    <w:name w:val="Unresolved Mention2"/>
    <w:basedOn w:val="DefaultParagraphFont"/>
    <w:uiPriority w:val="99"/>
    <w:semiHidden/>
    <w:unhideWhenUsed/>
    <w:rsid w:val="00D81B82"/>
    <w:rPr>
      <w:color w:val="605E5C"/>
      <w:shd w:val="clear" w:color="auto" w:fill="E1DFDD"/>
    </w:rPr>
  </w:style>
  <w:style w:type="paragraph" w:customStyle="1" w:styleId="2-LevelLegal1">
    <w:name w:val="2-Level Legal1"/>
    <w:basedOn w:val="Normal"/>
    <w:next w:val="Normal"/>
    <w:rsid w:val="000B5557"/>
    <w:pPr>
      <w:numPr>
        <w:numId w:val="39"/>
      </w:numPr>
      <w:spacing w:after="240"/>
      <w:jc w:val="both"/>
      <w:outlineLvl w:val="0"/>
    </w:pPr>
    <w:rPr>
      <w:rFonts w:ascii="Times New Roman" w:eastAsia="Times New Roman" w:hAnsi="Times New Roman" w:cs="Times New Roman"/>
      <w:sz w:val="20"/>
      <w:szCs w:val="24"/>
      <w:lang w:val="en-US"/>
    </w:rPr>
  </w:style>
  <w:style w:type="paragraph" w:customStyle="1" w:styleId="2-LevelLegal2">
    <w:name w:val="2-Level Legal2"/>
    <w:basedOn w:val="Normal"/>
    <w:rsid w:val="000B5557"/>
    <w:pPr>
      <w:numPr>
        <w:ilvl w:val="1"/>
        <w:numId w:val="39"/>
      </w:numPr>
      <w:spacing w:after="240"/>
      <w:jc w:val="both"/>
      <w:outlineLvl w:val="1"/>
    </w:pPr>
    <w:rPr>
      <w:rFonts w:ascii="Times New Roman" w:eastAsia="Times New Roman" w:hAnsi="Times New Roman" w:cs="Times New Roman"/>
      <w:color w:val="000000"/>
      <w:sz w:val="20"/>
      <w:szCs w:val="24"/>
      <w:lang w:val="en-US"/>
    </w:rPr>
  </w:style>
  <w:style w:type="paragraph" w:customStyle="1" w:styleId="2-LevelLegal3">
    <w:name w:val="2-Level Legal3"/>
    <w:basedOn w:val="Normal"/>
    <w:rsid w:val="000B5557"/>
    <w:pPr>
      <w:numPr>
        <w:ilvl w:val="2"/>
        <w:numId w:val="39"/>
      </w:numPr>
      <w:spacing w:after="240"/>
      <w:jc w:val="both"/>
      <w:outlineLvl w:val="2"/>
    </w:pPr>
    <w:rPr>
      <w:rFonts w:ascii="Times New Roman" w:eastAsia="Times New Roman" w:hAnsi="Times New Roman" w:cs="Times New Roman"/>
      <w:color w:val="000000"/>
      <w:sz w:val="20"/>
      <w:szCs w:val="24"/>
      <w:lang w:val="en-US"/>
    </w:rPr>
  </w:style>
  <w:style w:type="paragraph" w:customStyle="1" w:styleId="2-LevelLegal4">
    <w:name w:val="2-Level Legal4"/>
    <w:basedOn w:val="Normal"/>
    <w:rsid w:val="000B5557"/>
    <w:pPr>
      <w:numPr>
        <w:ilvl w:val="3"/>
        <w:numId w:val="39"/>
      </w:numPr>
      <w:spacing w:after="240"/>
      <w:ind w:right="720"/>
      <w:jc w:val="both"/>
      <w:outlineLvl w:val="3"/>
    </w:pPr>
    <w:rPr>
      <w:rFonts w:ascii="Times New Roman" w:eastAsia="Times New Roman" w:hAnsi="Times New Roman" w:cs="Times New Roman"/>
      <w:color w:val="000000"/>
      <w:sz w:val="20"/>
      <w:szCs w:val="24"/>
      <w:lang w:val="en-US"/>
    </w:rPr>
  </w:style>
  <w:style w:type="paragraph" w:customStyle="1" w:styleId="2-LevelLegal5">
    <w:name w:val="2-Level Legal5"/>
    <w:basedOn w:val="Normal"/>
    <w:rsid w:val="000B5557"/>
    <w:pPr>
      <w:numPr>
        <w:ilvl w:val="4"/>
        <w:numId w:val="39"/>
      </w:numPr>
      <w:spacing w:after="240"/>
      <w:ind w:right="720"/>
      <w:jc w:val="both"/>
      <w:outlineLvl w:val="4"/>
    </w:pPr>
    <w:rPr>
      <w:rFonts w:ascii="Times New Roman" w:eastAsia="Times New Roman" w:hAnsi="Times New Roman" w:cs="Times New Roman"/>
      <w:color w:val="000000"/>
      <w:sz w:val="20"/>
      <w:szCs w:val="24"/>
      <w:lang w:val="en-US"/>
    </w:rPr>
  </w:style>
  <w:style w:type="paragraph" w:customStyle="1" w:styleId="2-LevelLegal6">
    <w:name w:val="2-Level Legal6"/>
    <w:basedOn w:val="Normal"/>
    <w:rsid w:val="000B5557"/>
    <w:pPr>
      <w:numPr>
        <w:ilvl w:val="5"/>
        <w:numId w:val="39"/>
      </w:numPr>
      <w:spacing w:after="240"/>
      <w:ind w:right="1440"/>
      <w:jc w:val="both"/>
      <w:outlineLvl w:val="5"/>
    </w:pPr>
    <w:rPr>
      <w:rFonts w:ascii="Times New Roman" w:eastAsia="Times New Roman" w:hAnsi="Times New Roman" w:cs="Times New Roman"/>
      <w:color w:val="000000"/>
      <w:sz w:val="20"/>
      <w:szCs w:val="24"/>
      <w:lang w:val="en-US"/>
    </w:rPr>
  </w:style>
  <w:style w:type="character" w:styleId="PageNumber">
    <w:name w:val="page number"/>
    <w:basedOn w:val="DefaultParagraphFont"/>
    <w:rsid w:val="00456964"/>
  </w:style>
  <w:style w:type="character" w:customStyle="1" w:styleId="zzmpTrailerItem">
    <w:name w:val="zzmpTrailerItem"/>
    <w:rsid w:val="00456964"/>
    <w:rPr>
      <w:rFonts w:ascii="Times New Roman" w:hAnsi="Times New Roman" w:cs="Times New Roman"/>
      <w:b w:val="0"/>
      <w:i w:val="0"/>
      <w:caps w:val="0"/>
      <w:smallCaps w:val="0"/>
      <w:dstrike w:val="0"/>
      <w:noProof/>
      <w:vanish w:val="0"/>
      <w:color w:val="auto"/>
      <w:spacing w:val="0"/>
      <w:position w:val="0"/>
      <w:sz w:val="16"/>
      <w:szCs w:val="20"/>
      <w:u w:val="none"/>
      <w:effect w:val="none"/>
      <w:vertAlign w:val="baseline"/>
    </w:rPr>
  </w:style>
  <w:style w:type="table" w:customStyle="1" w:styleId="TableGrid1">
    <w:name w:val="Table Grid1"/>
    <w:basedOn w:val="TableNormal"/>
    <w:next w:val="TableGrid"/>
    <w:uiPriority w:val="39"/>
    <w:rsid w:val="004569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
    <w:name w:val="Level_A"/>
    <w:basedOn w:val="Normal"/>
    <w:qFormat/>
    <w:rsid w:val="00456964"/>
    <w:pPr>
      <w:numPr>
        <w:numId w:val="44"/>
      </w:numPr>
      <w:tabs>
        <w:tab w:val="left" w:pos="360"/>
        <w:tab w:val="left" w:pos="720"/>
      </w:tabs>
      <w:spacing w:after="60"/>
      <w:jc w:val="both"/>
    </w:pPr>
    <w:rPr>
      <w:rFonts w:ascii="Times New Roman" w:eastAsia="Times New Roman" w:hAnsi="Times New Roman" w:cs="Times New Roman"/>
      <w:sz w:val="20"/>
      <w:szCs w:val="24"/>
      <w:lang w:val="x-none" w:eastAsia="x-none"/>
    </w:rPr>
  </w:style>
  <w:style w:type="paragraph" w:customStyle="1" w:styleId="Level1">
    <w:name w:val="Level_1"/>
    <w:basedOn w:val="LevelA"/>
    <w:qFormat/>
    <w:rsid w:val="00456964"/>
    <w:pPr>
      <w:numPr>
        <w:ilvl w:val="3"/>
      </w:numPr>
      <w:tabs>
        <w:tab w:val="left" w:pos="1080"/>
        <w:tab w:val="left" w:pos="1440"/>
      </w:tabs>
      <w:ind w:left="1080"/>
    </w:pPr>
  </w:style>
  <w:style w:type="character" w:customStyle="1" w:styleId="UnresolvedMention3">
    <w:name w:val="Unresolved Mention3"/>
    <w:basedOn w:val="DefaultParagraphFont"/>
    <w:uiPriority w:val="99"/>
    <w:semiHidden/>
    <w:unhideWhenUsed/>
    <w:rsid w:val="0082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8520">
      <w:bodyDiv w:val="1"/>
      <w:marLeft w:val="0"/>
      <w:marRight w:val="0"/>
      <w:marTop w:val="0"/>
      <w:marBottom w:val="0"/>
      <w:divBdr>
        <w:top w:val="none" w:sz="0" w:space="0" w:color="auto"/>
        <w:left w:val="none" w:sz="0" w:space="0" w:color="auto"/>
        <w:bottom w:val="none" w:sz="0" w:space="0" w:color="auto"/>
        <w:right w:val="none" w:sz="0" w:space="0" w:color="auto"/>
      </w:divBdr>
      <w:divsChild>
        <w:div w:id="1751349964">
          <w:marLeft w:val="0"/>
          <w:marRight w:val="0"/>
          <w:marTop w:val="0"/>
          <w:marBottom w:val="0"/>
          <w:divBdr>
            <w:top w:val="none" w:sz="0" w:space="0" w:color="auto"/>
            <w:left w:val="none" w:sz="0" w:space="0" w:color="auto"/>
            <w:bottom w:val="none" w:sz="0" w:space="0" w:color="auto"/>
            <w:right w:val="none" w:sz="0" w:space="0" w:color="auto"/>
          </w:divBdr>
          <w:divsChild>
            <w:div w:id="221602939">
              <w:marLeft w:val="0"/>
              <w:marRight w:val="0"/>
              <w:marTop w:val="0"/>
              <w:marBottom w:val="0"/>
              <w:divBdr>
                <w:top w:val="none" w:sz="0" w:space="0" w:color="auto"/>
                <w:left w:val="none" w:sz="0" w:space="0" w:color="auto"/>
                <w:bottom w:val="none" w:sz="0" w:space="0" w:color="auto"/>
                <w:right w:val="none" w:sz="0" w:space="0" w:color="auto"/>
              </w:divBdr>
              <w:divsChild>
                <w:div w:id="696661303">
                  <w:marLeft w:val="0"/>
                  <w:marRight w:val="0"/>
                  <w:marTop w:val="0"/>
                  <w:marBottom w:val="0"/>
                  <w:divBdr>
                    <w:top w:val="none" w:sz="0" w:space="0" w:color="auto"/>
                    <w:left w:val="none" w:sz="0" w:space="0" w:color="auto"/>
                    <w:bottom w:val="none" w:sz="0" w:space="0" w:color="auto"/>
                    <w:right w:val="none" w:sz="0" w:space="0" w:color="auto"/>
                  </w:divBdr>
                  <w:divsChild>
                    <w:div w:id="1081176977">
                      <w:marLeft w:val="0"/>
                      <w:marRight w:val="0"/>
                      <w:marTop w:val="0"/>
                      <w:marBottom w:val="0"/>
                      <w:divBdr>
                        <w:top w:val="none" w:sz="0" w:space="0" w:color="auto"/>
                        <w:left w:val="none" w:sz="0" w:space="0" w:color="auto"/>
                        <w:bottom w:val="none" w:sz="0" w:space="0" w:color="auto"/>
                        <w:right w:val="none" w:sz="0" w:space="0" w:color="auto"/>
                      </w:divBdr>
                      <w:divsChild>
                        <w:div w:id="205458374">
                          <w:marLeft w:val="0"/>
                          <w:marRight w:val="0"/>
                          <w:marTop w:val="0"/>
                          <w:marBottom w:val="0"/>
                          <w:divBdr>
                            <w:top w:val="none" w:sz="0" w:space="0" w:color="auto"/>
                            <w:left w:val="none" w:sz="0" w:space="0" w:color="auto"/>
                            <w:bottom w:val="none" w:sz="0" w:space="0" w:color="auto"/>
                            <w:right w:val="none" w:sz="0" w:space="0" w:color="auto"/>
                          </w:divBdr>
                          <w:divsChild>
                            <w:div w:id="366873571">
                              <w:marLeft w:val="0"/>
                              <w:marRight w:val="0"/>
                              <w:marTop w:val="0"/>
                              <w:marBottom w:val="0"/>
                              <w:divBdr>
                                <w:top w:val="none" w:sz="0" w:space="0" w:color="auto"/>
                                <w:left w:val="none" w:sz="0" w:space="0" w:color="auto"/>
                                <w:bottom w:val="none" w:sz="0" w:space="0" w:color="auto"/>
                                <w:right w:val="none" w:sz="0" w:space="0" w:color="auto"/>
                              </w:divBdr>
                              <w:divsChild>
                                <w:div w:id="832254580">
                                  <w:marLeft w:val="0"/>
                                  <w:marRight w:val="0"/>
                                  <w:marTop w:val="0"/>
                                  <w:marBottom w:val="0"/>
                                  <w:divBdr>
                                    <w:top w:val="none" w:sz="0" w:space="0" w:color="auto"/>
                                    <w:left w:val="none" w:sz="0" w:space="0" w:color="auto"/>
                                    <w:bottom w:val="none" w:sz="0" w:space="0" w:color="auto"/>
                                    <w:right w:val="none" w:sz="0" w:space="0" w:color="auto"/>
                                  </w:divBdr>
                                  <w:divsChild>
                                    <w:div w:id="1547832769">
                                      <w:marLeft w:val="0"/>
                                      <w:marRight w:val="0"/>
                                      <w:marTop w:val="0"/>
                                      <w:marBottom w:val="0"/>
                                      <w:divBdr>
                                        <w:top w:val="none" w:sz="0" w:space="0" w:color="auto"/>
                                        <w:left w:val="none" w:sz="0" w:space="0" w:color="auto"/>
                                        <w:bottom w:val="none" w:sz="0" w:space="0" w:color="auto"/>
                                        <w:right w:val="none" w:sz="0" w:space="0" w:color="auto"/>
                                      </w:divBdr>
                                      <w:divsChild>
                                        <w:div w:id="2029596046">
                                          <w:marLeft w:val="0"/>
                                          <w:marRight w:val="0"/>
                                          <w:marTop w:val="0"/>
                                          <w:marBottom w:val="0"/>
                                          <w:divBdr>
                                            <w:top w:val="none" w:sz="0" w:space="0" w:color="auto"/>
                                            <w:left w:val="none" w:sz="0" w:space="0" w:color="auto"/>
                                            <w:bottom w:val="none" w:sz="0" w:space="0" w:color="auto"/>
                                            <w:right w:val="none" w:sz="0" w:space="0" w:color="auto"/>
                                          </w:divBdr>
                                          <w:divsChild>
                                            <w:div w:id="20381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845754">
      <w:bodyDiv w:val="1"/>
      <w:marLeft w:val="0"/>
      <w:marRight w:val="0"/>
      <w:marTop w:val="0"/>
      <w:marBottom w:val="0"/>
      <w:divBdr>
        <w:top w:val="none" w:sz="0" w:space="0" w:color="auto"/>
        <w:left w:val="none" w:sz="0" w:space="0" w:color="auto"/>
        <w:bottom w:val="none" w:sz="0" w:space="0" w:color="auto"/>
        <w:right w:val="none" w:sz="0" w:space="0" w:color="auto"/>
      </w:divBdr>
    </w:div>
    <w:div w:id="683090492">
      <w:bodyDiv w:val="1"/>
      <w:marLeft w:val="0"/>
      <w:marRight w:val="0"/>
      <w:marTop w:val="0"/>
      <w:marBottom w:val="0"/>
      <w:divBdr>
        <w:top w:val="none" w:sz="0" w:space="0" w:color="auto"/>
        <w:left w:val="none" w:sz="0" w:space="0" w:color="auto"/>
        <w:bottom w:val="none" w:sz="0" w:space="0" w:color="auto"/>
        <w:right w:val="none" w:sz="0" w:space="0" w:color="auto"/>
      </w:divBdr>
    </w:div>
    <w:div w:id="830684647">
      <w:bodyDiv w:val="1"/>
      <w:marLeft w:val="0"/>
      <w:marRight w:val="0"/>
      <w:marTop w:val="0"/>
      <w:marBottom w:val="0"/>
      <w:divBdr>
        <w:top w:val="none" w:sz="0" w:space="0" w:color="auto"/>
        <w:left w:val="none" w:sz="0" w:space="0" w:color="auto"/>
        <w:bottom w:val="none" w:sz="0" w:space="0" w:color="auto"/>
        <w:right w:val="none" w:sz="0" w:space="0" w:color="auto"/>
      </w:divBdr>
    </w:div>
    <w:div w:id="1250118178">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sChild>
        <w:div w:id="430900880">
          <w:marLeft w:val="0"/>
          <w:marRight w:val="0"/>
          <w:marTop w:val="0"/>
          <w:marBottom w:val="0"/>
          <w:divBdr>
            <w:top w:val="none" w:sz="0" w:space="0" w:color="auto"/>
            <w:left w:val="none" w:sz="0" w:space="0" w:color="auto"/>
            <w:bottom w:val="none" w:sz="0" w:space="0" w:color="auto"/>
            <w:right w:val="none" w:sz="0" w:space="0" w:color="auto"/>
          </w:divBdr>
          <w:divsChild>
            <w:div w:id="680937708">
              <w:marLeft w:val="0"/>
              <w:marRight w:val="0"/>
              <w:marTop w:val="0"/>
              <w:marBottom w:val="0"/>
              <w:divBdr>
                <w:top w:val="none" w:sz="0" w:space="0" w:color="auto"/>
                <w:left w:val="none" w:sz="0" w:space="0" w:color="auto"/>
                <w:bottom w:val="none" w:sz="0" w:space="0" w:color="auto"/>
                <w:right w:val="none" w:sz="0" w:space="0" w:color="auto"/>
              </w:divBdr>
              <w:divsChild>
                <w:div w:id="961882523">
                  <w:marLeft w:val="0"/>
                  <w:marRight w:val="0"/>
                  <w:marTop w:val="0"/>
                  <w:marBottom w:val="0"/>
                  <w:divBdr>
                    <w:top w:val="none" w:sz="0" w:space="0" w:color="auto"/>
                    <w:left w:val="none" w:sz="0" w:space="0" w:color="auto"/>
                    <w:bottom w:val="none" w:sz="0" w:space="0" w:color="auto"/>
                    <w:right w:val="none" w:sz="0" w:space="0" w:color="auto"/>
                  </w:divBdr>
                  <w:divsChild>
                    <w:div w:id="865756342">
                      <w:marLeft w:val="0"/>
                      <w:marRight w:val="0"/>
                      <w:marTop w:val="0"/>
                      <w:marBottom w:val="0"/>
                      <w:divBdr>
                        <w:top w:val="none" w:sz="0" w:space="0" w:color="auto"/>
                        <w:left w:val="none" w:sz="0" w:space="0" w:color="auto"/>
                        <w:bottom w:val="none" w:sz="0" w:space="0" w:color="auto"/>
                        <w:right w:val="none" w:sz="0" w:space="0" w:color="auto"/>
                      </w:divBdr>
                      <w:divsChild>
                        <w:div w:id="91753411">
                          <w:marLeft w:val="0"/>
                          <w:marRight w:val="0"/>
                          <w:marTop w:val="0"/>
                          <w:marBottom w:val="0"/>
                          <w:divBdr>
                            <w:top w:val="none" w:sz="0" w:space="0" w:color="auto"/>
                            <w:left w:val="none" w:sz="0" w:space="0" w:color="auto"/>
                            <w:bottom w:val="none" w:sz="0" w:space="0" w:color="auto"/>
                            <w:right w:val="none" w:sz="0" w:space="0" w:color="auto"/>
                          </w:divBdr>
                          <w:divsChild>
                            <w:div w:id="805002437">
                              <w:marLeft w:val="0"/>
                              <w:marRight w:val="0"/>
                              <w:marTop w:val="0"/>
                              <w:marBottom w:val="0"/>
                              <w:divBdr>
                                <w:top w:val="none" w:sz="0" w:space="0" w:color="auto"/>
                                <w:left w:val="none" w:sz="0" w:space="0" w:color="auto"/>
                                <w:bottom w:val="none" w:sz="0" w:space="0" w:color="auto"/>
                                <w:right w:val="none" w:sz="0" w:space="0" w:color="auto"/>
                              </w:divBdr>
                              <w:divsChild>
                                <w:div w:id="329910294">
                                  <w:marLeft w:val="0"/>
                                  <w:marRight w:val="0"/>
                                  <w:marTop w:val="0"/>
                                  <w:marBottom w:val="0"/>
                                  <w:divBdr>
                                    <w:top w:val="none" w:sz="0" w:space="0" w:color="auto"/>
                                    <w:left w:val="none" w:sz="0" w:space="0" w:color="auto"/>
                                    <w:bottom w:val="none" w:sz="0" w:space="0" w:color="auto"/>
                                    <w:right w:val="none" w:sz="0" w:space="0" w:color="auto"/>
                                  </w:divBdr>
                                  <w:divsChild>
                                    <w:div w:id="503010917">
                                      <w:marLeft w:val="0"/>
                                      <w:marRight w:val="0"/>
                                      <w:marTop w:val="0"/>
                                      <w:marBottom w:val="0"/>
                                      <w:divBdr>
                                        <w:top w:val="none" w:sz="0" w:space="0" w:color="auto"/>
                                        <w:left w:val="none" w:sz="0" w:space="0" w:color="auto"/>
                                        <w:bottom w:val="none" w:sz="0" w:space="0" w:color="auto"/>
                                        <w:right w:val="none" w:sz="0" w:space="0" w:color="auto"/>
                                      </w:divBdr>
                                      <w:divsChild>
                                        <w:div w:id="386997650">
                                          <w:marLeft w:val="0"/>
                                          <w:marRight w:val="0"/>
                                          <w:marTop w:val="0"/>
                                          <w:marBottom w:val="0"/>
                                          <w:divBdr>
                                            <w:top w:val="none" w:sz="0" w:space="0" w:color="auto"/>
                                            <w:left w:val="none" w:sz="0" w:space="0" w:color="auto"/>
                                            <w:bottom w:val="none" w:sz="0" w:space="0" w:color="auto"/>
                                            <w:right w:val="none" w:sz="0" w:space="0" w:color="auto"/>
                                          </w:divBdr>
                                          <w:divsChild>
                                            <w:div w:id="8859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283572">
      <w:bodyDiv w:val="1"/>
      <w:marLeft w:val="0"/>
      <w:marRight w:val="0"/>
      <w:marTop w:val="0"/>
      <w:marBottom w:val="0"/>
      <w:divBdr>
        <w:top w:val="none" w:sz="0" w:space="0" w:color="auto"/>
        <w:left w:val="none" w:sz="0" w:space="0" w:color="auto"/>
        <w:bottom w:val="none" w:sz="0" w:space="0" w:color="auto"/>
        <w:right w:val="none" w:sz="0" w:space="0" w:color="auto"/>
      </w:divBdr>
      <w:divsChild>
        <w:div w:id="2075275000">
          <w:marLeft w:val="0"/>
          <w:marRight w:val="0"/>
          <w:marTop w:val="0"/>
          <w:marBottom w:val="0"/>
          <w:divBdr>
            <w:top w:val="none" w:sz="0" w:space="0" w:color="auto"/>
            <w:left w:val="none" w:sz="0" w:space="0" w:color="auto"/>
            <w:bottom w:val="none" w:sz="0" w:space="0" w:color="auto"/>
            <w:right w:val="none" w:sz="0" w:space="0" w:color="auto"/>
          </w:divBdr>
          <w:divsChild>
            <w:div w:id="1678187775">
              <w:marLeft w:val="-225"/>
              <w:marRight w:val="-225"/>
              <w:marTop w:val="0"/>
              <w:marBottom w:val="0"/>
              <w:divBdr>
                <w:top w:val="none" w:sz="0" w:space="0" w:color="auto"/>
                <w:left w:val="none" w:sz="0" w:space="0" w:color="auto"/>
                <w:bottom w:val="none" w:sz="0" w:space="0" w:color="auto"/>
                <w:right w:val="none" w:sz="0" w:space="0" w:color="auto"/>
              </w:divBdr>
              <w:divsChild>
                <w:div w:id="326135834">
                  <w:marLeft w:val="-225"/>
                  <w:marRight w:val="-225"/>
                  <w:marTop w:val="0"/>
                  <w:marBottom w:val="0"/>
                  <w:divBdr>
                    <w:top w:val="none" w:sz="0" w:space="0" w:color="auto"/>
                    <w:left w:val="none" w:sz="0" w:space="0" w:color="auto"/>
                    <w:bottom w:val="none" w:sz="0" w:space="0" w:color="auto"/>
                    <w:right w:val="none" w:sz="0" w:space="0" w:color="auto"/>
                  </w:divBdr>
                  <w:divsChild>
                    <w:div w:id="1945066800">
                      <w:marLeft w:val="0"/>
                      <w:marRight w:val="0"/>
                      <w:marTop w:val="0"/>
                      <w:marBottom w:val="0"/>
                      <w:divBdr>
                        <w:top w:val="none" w:sz="0" w:space="0" w:color="auto"/>
                        <w:left w:val="none" w:sz="0" w:space="0" w:color="auto"/>
                        <w:bottom w:val="none" w:sz="0" w:space="0" w:color="auto"/>
                        <w:right w:val="none" w:sz="0" w:space="0" w:color="auto"/>
                      </w:divBdr>
                      <w:divsChild>
                        <w:div w:id="1125780120">
                          <w:marLeft w:val="0"/>
                          <w:marRight w:val="0"/>
                          <w:marTop w:val="0"/>
                          <w:marBottom w:val="0"/>
                          <w:divBdr>
                            <w:top w:val="none" w:sz="0" w:space="0" w:color="auto"/>
                            <w:left w:val="none" w:sz="0" w:space="0" w:color="auto"/>
                            <w:bottom w:val="none" w:sz="0" w:space="0" w:color="auto"/>
                            <w:right w:val="none" w:sz="0" w:space="0" w:color="auto"/>
                          </w:divBdr>
                          <w:divsChild>
                            <w:div w:id="650865433">
                              <w:marLeft w:val="0"/>
                              <w:marRight w:val="0"/>
                              <w:marTop w:val="0"/>
                              <w:marBottom w:val="0"/>
                              <w:divBdr>
                                <w:top w:val="none" w:sz="0" w:space="0" w:color="auto"/>
                                <w:left w:val="none" w:sz="0" w:space="0" w:color="auto"/>
                                <w:bottom w:val="none" w:sz="0" w:space="0" w:color="auto"/>
                                <w:right w:val="none" w:sz="0" w:space="0" w:color="auto"/>
                              </w:divBdr>
                              <w:divsChild>
                                <w:div w:id="797575570">
                                  <w:marLeft w:val="0"/>
                                  <w:marRight w:val="0"/>
                                  <w:marTop w:val="0"/>
                                  <w:marBottom w:val="0"/>
                                  <w:divBdr>
                                    <w:top w:val="none" w:sz="0" w:space="0" w:color="auto"/>
                                    <w:left w:val="none" w:sz="0" w:space="0" w:color="auto"/>
                                    <w:bottom w:val="none" w:sz="0" w:space="0" w:color="auto"/>
                                    <w:right w:val="none" w:sz="0" w:space="0" w:color="auto"/>
                                  </w:divBdr>
                                  <w:divsChild>
                                    <w:div w:id="7032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80988">
                  <w:marLeft w:val="-225"/>
                  <w:marRight w:val="-225"/>
                  <w:marTop w:val="0"/>
                  <w:marBottom w:val="0"/>
                  <w:divBdr>
                    <w:top w:val="none" w:sz="0" w:space="0" w:color="auto"/>
                    <w:left w:val="none" w:sz="0" w:space="0" w:color="auto"/>
                    <w:bottom w:val="none" w:sz="0" w:space="0" w:color="auto"/>
                    <w:right w:val="none" w:sz="0" w:space="0" w:color="auto"/>
                  </w:divBdr>
                  <w:divsChild>
                    <w:div w:id="1263877787">
                      <w:marLeft w:val="0"/>
                      <w:marRight w:val="0"/>
                      <w:marTop w:val="0"/>
                      <w:marBottom w:val="0"/>
                      <w:divBdr>
                        <w:top w:val="none" w:sz="0" w:space="0" w:color="auto"/>
                        <w:left w:val="none" w:sz="0" w:space="0" w:color="auto"/>
                        <w:bottom w:val="none" w:sz="0" w:space="0" w:color="auto"/>
                        <w:right w:val="none" w:sz="0" w:space="0" w:color="auto"/>
                      </w:divBdr>
                      <w:divsChild>
                        <w:div w:id="1501696160">
                          <w:marLeft w:val="0"/>
                          <w:marRight w:val="0"/>
                          <w:marTop w:val="0"/>
                          <w:marBottom w:val="0"/>
                          <w:divBdr>
                            <w:top w:val="none" w:sz="0" w:space="0" w:color="auto"/>
                            <w:left w:val="none" w:sz="0" w:space="0" w:color="auto"/>
                            <w:bottom w:val="none" w:sz="0" w:space="0" w:color="auto"/>
                            <w:right w:val="none" w:sz="0" w:space="0" w:color="auto"/>
                          </w:divBdr>
                          <w:divsChild>
                            <w:div w:id="643005234">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sChild>
                                    <w:div w:id="1441493027">
                                      <w:marLeft w:val="0"/>
                                      <w:marRight w:val="0"/>
                                      <w:marTop w:val="0"/>
                                      <w:marBottom w:val="0"/>
                                      <w:divBdr>
                                        <w:top w:val="none" w:sz="0" w:space="0" w:color="auto"/>
                                        <w:left w:val="none" w:sz="0" w:space="0" w:color="auto"/>
                                        <w:bottom w:val="none" w:sz="0" w:space="0" w:color="auto"/>
                                        <w:right w:val="none" w:sz="0" w:space="0" w:color="auto"/>
                                      </w:divBdr>
                                    </w:div>
                                  </w:divsChild>
                                </w:div>
                                <w:div w:id="1388841448">
                                  <w:marLeft w:val="0"/>
                                  <w:marRight w:val="0"/>
                                  <w:marTop w:val="0"/>
                                  <w:marBottom w:val="0"/>
                                  <w:divBdr>
                                    <w:top w:val="none" w:sz="0" w:space="0" w:color="auto"/>
                                    <w:left w:val="none" w:sz="0" w:space="0" w:color="auto"/>
                                    <w:bottom w:val="none" w:sz="0" w:space="0" w:color="auto"/>
                                    <w:right w:val="none" w:sz="0" w:space="0" w:color="auto"/>
                                  </w:divBdr>
                                  <w:divsChild>
                                    <w:div w:id="6034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7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tools.hmrc.gov.uk/esi" TargetMode="External"/><Relationship Id="rId3" Type="http://schemas.openxmlformats.org/officeDocument/2006/relationships/customXml" Target="../customXml/item3.xml"/><Relationship Id="rId21" Type="http://schemas.openxmlformats.org/officeDocument/2006/relationships/hyperlink" Target="https://www.ncsc.gov.uk/guidance/10-steps-cyber-securit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ncsc.gov.uk/guidance/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uidance/g-cloud-templates-and-legal-documents" TargetMode="Externa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uidance/g-cloud-templates-and-legal-docum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csc.gov.uk/guidance/implementing-cloud-securit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gov.uk/guidance/g-cloud-templates-and-legal-documents"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uk/government/publications/g-cloud-10-framework-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Jan 19 
</Abstract>
  <CompanyAddress/>
  <CompanyPhone/>
  <CompanyFax/>
  <CompanyEmail/>
</CoverPageProperties>
</file>

<file path=customXml/item2.xml><?xml version="1.0" encoding="utf-8"?>
<ApttusMetadata xmlns="http://www.apttus.com/schemas">
  <Node xmlns:p2="http://www.apttus.com/schemas" p2:id="1857073687">H4sIAAAAAAAEALPxTS1JTEksSbSzCc4vLUpOdXb2dLEztDA1NzA3NrMwt9FHErbRh6sGAI1SxvI4AAAA</Node>
  <Node xmlns:p2="http://www.apttus.com/schemas" p2:id="2099895377">H4sIAAAAAAAEALPxTS1JTEksSbSzCc4vLUpOdXb2dLEzMrC0tLA0NTY3t9FHErbRh6sGAPQZBLA4AAAA</Node>
  <Node xmlns:p2="http://www.apttus.com/schemas" p2:id="1842659049">H4sIAAAAAAAEALPxTS1JTEksSbSzCc4vLUpOdXb2dLEztDAxMjO1NDCxtNFHErbRh6sGAKzv2fM4AAAA</Node>
</ApttusMetadata>
</file>

<file path=customXml/item3.xml><?xml version="1.0" encoding="utf-8"?>
<ApttusMetadata xmlns="http://www.apttus.com/schemas">
  <Node xmlns:p2="http://www.apttus.com/schemas" p2:id="1857073687">H4sIAAAAAAAEALPxTS1JTEksSbSzCc4vLUpOdXb2dLEztDA1NzA3NrMwt9FHErbRh6sGAI1SxvI4AAAA</Node>
  <Node xmlns:p2="http://www.apttus.com/schemas" p2:id="2099895377">H4sIAAAAAAAEALPxTS1JTEksSbSzCc4vLUpOdXb2dLEzMrC0tLA0NTY3t9FHErbRh6sGAPQZBLA4AAAA</Node>
  <Node xmlns:p2="http://www.apttus.com/schemas" p2:id="1842659049">H4sIAAAAAAAEALPxTS1JTEksSbSzCc4vLUpOdXb2dLEztDAxMjO1NDCxtNFHErbRh6sGAKzv2fM4AAAA</Node>
</Apttus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7A978-773D-4D9C-BC94-8BA68E8EE959}">
  <ds:schemaRefs>
    <ds:schemaRef ds:uri="http://www.apttus.com/schemas"/>
  </ds:schemaRefs>
</ds:datastoreItem>
</file>

<file path=customXml/itemProps3.xml><?xml version="1.0" encoding="utf-8"?>
<ds:datastoreItem xmlns:ds="http://schemas.openxmlformats.org/officeDocument/2006/customXml" ds:itemID="{907BC014-44B1-4691-BE0D-5D9F0A505386}">
  <ds:schemaRefs>
    <ds:schemaRef ds:uri="http://www.apttus.com/schemas"/>
  </ds:schemaRefs>
</ds:datastoreItem>
</file>

<file path=customXml/itemProps4.xml><?xml version="1.0" encoding="utf-8"?>
<ds:datastoreItem xmlns:ds="http://schemas.openxmlformats.org/officeDocument/2006/customXml" ds:itemID="{F760FAF5-FEBB-49B0-8D0B-E8AEC33A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13360</Words>
  <Characters>76153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orkday HCM, Payroll and Expenses Contrac</vt:lpstr>
    </vt:vector>
  </TitlesOfParts>
  <Company/>
  <LinksUpToDate>false</LinksUpToDate>
  <CharactersWithSpaces>89335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orkday HCM, Payroll and Expenses Contrac</dc:title>
  <dc:subject>Between DfE and Workday</dc:subject>
  <dc:creator>CHEASLEY Sean</dc:creator>
  <cp:keywords/>
  <dc:description/>
  <cp:lastModifiedBy>WRAY, Lisa</cp:lastModifiedBy>
  <cp:revision>2</cp:revision>
  <cp:lastPrinted>2021-04-16T15:32:00Z</cp:lastPrinted>
  <dcterms:created xsi:type="dcterms:W3CDTF">2021-08-05T08:51:00Z</dcterms:created>
  <dcterms:modified xsi:type="dcterms:W3CDTF">2021-08-05T08:51:00Z</dcterms:modified>
</cp:coreProperties>
</file>