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7"/>
          <w:footerReference w:type="default" r:id="rId8"/>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B33025" w:rsidP="0048735E">
      <w:pPr>
        <w:widowControl/>
        <w:autoSpaceDE/>
        <w:autoSpaceDN/>
        <w:spacing w:line="288" w:lineRule="auto"/>
        <w:jc w:val="center"/>
        <w:rPr>
          <w:rFonts w:eastAsia="Times New Roman"/>
          <w:color w:val="0563C1"/>
          <w:szCs w:val="29"/>
          <w:u w:val="single"/>
          <w:lang w:val="en-GB" w:eastAsia="en-GB" w:bidi="ar-SA"/>
        </w:rPr>
      </w:pPr>
      <w:hyperlink r:id="rId9"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0"/>
          <w:footerReference w:type="default" r:id="rId11"/>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2"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3">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4">
        <w:r w:rsidRPr="00BC79C6">
          <w:rPr>
            <w:color w:val="0000FF"/>
            <w:spacing w:val="-1"/>
            <w:u w:val="single" w:color="0000FF"/>
          </w:rPr>
          <w:t>https://assets.publishing.service.gov.uk/government/uploads/system/uploads/a</w:t>
        </w:r>
      </w:hyperlink>
      <w:hyperlink r:id="rId15">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16">
        <w:r w:rsidRPr="00BC79C6">
          <w:rPr>
            <w:color w:val="0000FF"/>
            <w:u w:val="single" w:color="0000FF"/>
          </w:rPr>
          <w:t xml:space="preserve"> https://www.gov.uk/government/collections/sustainable-procurement-the-</w:t>
        </w:r>
      </w:hyperlink>
      <w:hyperlink r:id="rId17">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0"/>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A74F5"/>
    <w:rsid w:val="000B41B8"/>
    <w:rsid w:val="000E1495"/>
    <w:rsid w:val="00113EBD"/>
    <w:rsid w:val="00116F34"/>
    <w:rsid w:val="001469E0"/>
    <w:rsid w:val="00197A51"/>
    <w:rsid w:val="001A3FC0"/>
    <w:rsid w:val="001E2116"/>
    <w:rsid w:val="002B0F0C"/>
    <w:rsid w:val="003602BF"/>
    <w:rsid w:val="0038606D"/>
    <w:rsid w:val="00454B93"/>
    <w:rsid w:val="0048735E"/>
    <w:rsid w:val="005A64DF"/>
    <w:rsid w:val="0061754D"/>
    <w:rsid w:val="007470C6"/>
    <w:rsid w:val="00792505"/>
    <w:rsid w:val="0088264B"/>
    <w:rsid w:val="008A74F5"/>
    <w:rsid w:val="008B7D33"/>
    <w:rsid w:val="009E54E7"/>
    <w:rsid w:val="00A9233A"/>
    <w:rsid w:val="00B33025"/>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publications/procur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rivacyshield.gov/list;" TargetMode="Externa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assets.publishing.service.gov.uk/government/uploads/system/uploads/attachment_data/file/779660/20190220-Supplier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Ian McDermott (HO Commercial)</cp:lastModifiedBy>
  <cp:revision>2</cp:revision>
  <dcterms:created xsi:type="dcterms:W3CDTF">2022-11-22T13:34:00Z</dcterms:created>
  <dcterms:modified xsi:type="dcterms:W3CDTF">2022-11-22T13:34:00Z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ies>
</file>