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709" w14:textId="77777777" w:rsidR="00D21394" w:rsidRDefault="00FD2422" w:rsidP="00FD2422">
      <w:pPr>
        <w:pStyle w:val="Heading1"/>
      </w:pPr>
      <w:r>
        <w:rPr>
          <w:b w:val="0"/>
          <w:bCs w:val="0"/>
          <w:noProof/>
          <w:lang w:eastAsia="en-GB"/>
        </w:rPr>
        <w:drawing>
          <wp:inline distT="0" distB="0" distL="0" distR="0" wp14:anchorId="0FECA016" wp14:editId="03C636C6">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7CEB1F62" w14:textId="77777777" w:rsidR="008923EF" w:rsidRDefault="008923EF" w:rsidP="003B49DF">
      <w:pPr>
        <w:pStyle w:val="Heading1"/>
      </w:pPr>
    </w:p>
    <w:p w14:paraId="631FFEDE" w14:textId="77777777" w:rsidR="00951B45" w:rsidRPr="004B3DBA" w:rsidRDefault="00951B45" w:rsidP="003B49DF">
      <w:pPr>
        <w:pStyle w:val="Heading1"/>
        <w:rPr>
          <w:color w:val="0070C0"/>
        </w:rPr>
      </w:pPr>
      <w:r w:rsidRPr="004B3DBA">
        <w:rPr>
          <w:color w:val="0070C0"/>
        </w:rPr>
        <w:t>Soft Market Test</w:t>
      </w:r>
    </w:p>
    <w:p w14:paraId="5D8165AF" w14:textId="77777777" w:rsidR="00951B45" w:rsidRPr="00951B45" w:rsidRDefault="00951B45" w:rsidP="00207253">
      <w:pPr>
        <w:jc w:val="center"/>
        <w:rPr>
          <w:rFonts w:cs="Arial"/>
          <w:szCs w:val="24"/>
        </w:rPr>
      </w:pPr>
      <w:r w:rsidRPr="00951B45">
        <w:rPr>
          <w:rFonts w:cs="Arial"/>
          <w:szCs w:val="24"/>
        </w:rPr>
        <w:t>For</w:t>
      </w:r>
    </w:p>
    <w:p w14:paraId="4826DF03" w14:textId="43BBF20A" w:rsidR="00951B45" w:rsidRPr="00347DEA" w:rsidRDefault="000E0FDA" w:rsidP="00207253">
      <w:pPr>
        <w:jc w:val="center"/>
        <w:rPr>
          <w:rFonts w:cs="Arial"/>
          <w:szCs w:val="24"/>
        </w:rPr>
      </w:pPr>
      <w:r w:rsidRPr="00347DEA">
        <w:rPr>
          <w:rFonts w:cs="Arial"/>
          <w:szCs w:val="24"/>
        </w:rPr>
        <w:t>Home to School Transport Commissioning Solution</w:t>
      </w:r>
    </w:p>
    <w:p w14:paraId="16465A46" w14:textId="77777777" w:rsidR="00951B45" w:rsidRPr="00BA2635" w:rsidRDefault="00740580" w:rsidP="00207253">
      <w:pPr>
        <w:jc w:val="center"/>
        <w:rPr>
          <w:rFonts w:cs="Arial"/>
          <w:szCs w:val="24"/>
        </w:rPr>
      </w:pPr>
      <w:r w:rsidRPr="00BA2635">
        <w:rPr>
          <w:rFonts w:cs="Arial"/>
          <w:szCs w:val="24"/>
        </w:rPr>
        <w:t>West Northamptonshire</w:t>
      </w:r>
      <w:r w:rsidR="00B10C3E" w:rsidRPr="00BA2635">
        <w:rPr>
          <w:rFonts w:cs="Arial"/>
          <w:szCs w:val="24"/>
        </w:rPr>
        <w:t xml:space="preserve"> Council</w:t>
      </w:r>
    </w:p>
    <w:p w14:paraId="2401DD4A" w14:textId="6FE0A2B5" w:rsidR="00AF4590" w:rsidRPr="00740580" w:rsidRDefault="00951B45" w:rsidP="00740580">
      <w:pPr>
        <w:jc w:val="center"/>
        <w:rPr>
          <w:rFonts w:cs="Arial"/>
          <w:color w:val="FF0000"/>
          <w:szCs w:val="24"/>
        </w:rPr>
        <w:sectPr w:rsidR="00AF4590" w:rsidRPr="00740580">
          <w:headerReference w:type="default" r:id="rId11"/>
          <w:pgSz w:w="11906" w:h="16838"/>
          <w:pgMar w:top="1440" w:right="1440" w:bottom="1440" w:left="1440" w:header="708" w:footer="708" w:gutter="0"/>
          <w:cols w:space="708"/>
          <w:docGrid w:linePitch="360"/>
        </w:sectPr>
      </w:pPr>
      <w:r w:rsidRPr="00BA2635">
        <w:rPr>
          <w:rFonts w:cs="Arial"/>
          <w:szCs w:val="24"/>
        </w:rPr>
        <w:t xml:space="preserve">Ref: </w:t>
      </w:r>
      <w:r w:rsidR="00BA2635">
        <w:rPr>
          <w:rFonts w:cs="Arial"/>
          <w:szCs w:val="24"/>
        </w:rPr>
        <w:t>TC/</w:t>
      </w:r>
      <w:r w:rsidR="008C088B">
        <w:rPr>
          <w:rFonts w:cs="Arial"/>
          <w:szCs w:val="24"/>
        </w:rPr>
        <w:t>J</w:t>
      </w:r>
      <w:r w:rsidR="00BA2635">
        <w:rPr>
          <w:rFonts w:cs="Arial"/>
          <w:szCs w:val="24"/>
        </w:rPr>
        <w:t>D/H2S/JAN25</w:t>
      </w:r>
    </w:p>
    <w:p w14:paraId="769319A6" w14:textId="77777777" w:rsidR="00CC58BD" w:rsidRPr="004B3DBA" w:rsidRDefault="00CC58BD" w:rsidP="00AF4590">
      <w:pPr>
        <w:pStyle w:val="Heading1"/>
        <w:rPr>
          <w:color w:val="0070C0"/>
        </w:rPr>
      </w:pPr>
      <w:r w:rsidRPr="004B3DBA">
        <w:rPr>
          <w:color w:val="0070C0"/>
        </w:rPr>
        <w:lastRenderedPageBreak/>
        <w:t>Section 1: Introduction</w:t>
      </w:r>
    </w:p>
    <w:p w14:paraId="044BF73C" w14:textId="77777777" w:rsidR="00AF4590" w:rsidRPr="004B3DBA" w:rsidRDefault="00CC58BD" w:rsidP="008F632F">
      <w:pPr>
        <w:pStyle w:val="Heading2"/>
        <w:rPr>
          <w:color w:val="00B050"/>
        </w:rPr>
      </w:pPr>
      <w:r w:rsidRPr="004B3DBA">
        <w:rPr>
          <w:color w:val="00B050"/>
        </w:rPr>
        <w:t>General Requirements</w:t>
      </w:r>
    </w:p>
    <w:p w14:paraId="7E0E4FE2" w14:textId="6022E3B0" w:rsidR="006A6460" w:rsidRDefault="006A6460" w:rsidP="008F632F">
      <w:pPr>
        <w:pStyle w:val="BodyNumbered"/>
      </w:pPr>
      <w:r>
        <w:t xml:space="preserve">WNC is currently reviewing its contract framework arrangements and is exploring new solutions to support its objective to deliver high quality and efficient home to school, social care &amp; public bus transport provision. </w:t>
      </w:r>
    </w:p>
    <w:p w14:paraId="6BB342DF" w14:textId="77777777" w:rsidR="006A6460" w:rsidRDefault="006A6460" w:rsidP="006A6460">
      <w:pPr>
        <w:pStyle w:val="BodyNumbered"/>
        <w:numPr>
          <w:ilvl w:val="0"/>
          <w:numId w:val="0"/>
        </w:numPr>
        <w:ind w:left="792"/>
      </w:pPr>
    </w:p>
    <w:p w14:paraId="56C7A831" w14:textId="5464EBA1" w:rsidR="005F7014" w:rsidRDefault="006A6460" w:rsidP="008F632F">
      <w:pPr>
        <w:pStyle w:val="BodyNumbered"/>
      </w:pPr>
      <w:r>
        <w:t>The Council’s current DPS is managed by an external provider. This is fully managed and includes</w:t>
      </w:r>
      <w:r w:rsidR="005F7014">
        <w:t xml:space="preserve"> </w:t>
      </w:r>
      <w:r>
        <w:t xml:space="preserve">operator invoicing and payments. It also </w:t>
      </w:r>
      <w:r w:rsidR="005F7014">
        <w:t xml:space="preserve">provides a reverse auction platform through which transport requirements are tendered. </w:t>
      </w:r>
    </w:p>
    <w:p w14:paraId="46603BCE" w14:textId="77777777" w:rsidR="005F7014" w:rsidRDefault="005F7014" w:rsidP="005F7014">
      <w:pPr>
        <w:pStyle w:val="BodyNumbered"/>
        <w:numPr>
          <w:ilvl w:val="0"/>
          <w:numId w:val="0"/>
        </w:numPr>
        <w:ind w:left="792"/>
      </w:pPr>
    </w:p>
    <w:p w14:paraId="318ACE9C" w14:textId="3D19BED4" w:rsidR="00FC4CE3" w:rsidRDefault="00FC4CDD" w:rsidP="00FC4CE3">
      <w:pPr>
        <w:pStyle w:val="BodyNumbered"/>
      </w:pPr>
      <w:r>
        <w:t>Demand for transport is increasing across all areas</w:t>
      </w:r>
      <w:r w:rsidR="000C227E">
        <w:t>,</w:t>
      </w:r>
      <w:r>
        <w:t xml:space="preserve"> as is cost. The Council has recently reviewed its </w:t>
      </w:r>
      <w:r w:rsidR="000C227E">
        <w:t xml:space="preserve">home to school transport </w:t>
      </w:r>
      <w:r>
        <w:t>policies</w:t>
      </w:r>
      <w:r w:rsidR="00DD2A6A">
        <w:t>,</w:t>
      </w:r>
      <w:r>
        <w:t xml:space="preserve"> </w:t>
      </w:r>
      <w:r w:rsidR="000C227E">
        <w:t xml:space="preserve">including entitlement criteria to help manage this demand. There has also been recent investment into new systems to ensure that route planning is </w:t>
      </w:r>
      <w:proofErr w:type="gramStart"/>
      <w:r w:rsidR="000C227E">
        <w:t>optimised</w:t>
      </w:r>
      <w:proofErr w:type="gramEnd"/>
      <w:r w:rsidR="00B77532">
        <w:t xml:space="preserve"> and management data is easily access</w:t>
      </w:r>
      <w:r w:rsidR="00DD2A6A">
        <w:t>ible.</w:t>
      </w:r>
      <w:r w:rsidR="00B77532">
        <w:t xml:space="preserve"> </w:t>
      </w:r>
    </w:p>
    <w:p w14:paraId="04FB236D" w14:textId="77777777" w:rsidR="00FC4CE3" w:rsidRDefault="00FC4CE3" w:rsidP="00FC4CE3">
      <w:pPr>
        <w:pStyle w:val="BodyNumbered"/>
        <w:numPr>
          <w:ilvl w:val="0"/>
          <w:numId w:val="0"/>
        </w:numPr>
        <w:ind w:left="792"/>
      </w:pPr>
    </w:p>
    <w:p w14:paraId="051A9C83" w14:textId="536365EB" w:rsidR="000C227E" w:rsidRDefault="00F11F24" w:rsidP="008F632F">
      <w:pPr>
        <w:pStyle w:val="BodyNumbered"/>
      </w:pPr>
      <w:r>
        <w:t xml:space="preserve">We still however have significant budget pressures which need to be mitigated. One </w:t>
      </w:r>
      <w:r w:rsidR="00B53EEB">
        <w:t xml:space="preserve">key </w:t>
      </w:r>
      <w:r w:rsidR="00FC4CE3">
        <w:t>area of focus is</w:t>
      </w:r>
      <w:r w:rsidR="00B53EEB">
        <w:t xml:space="preserve"> the development of</w:t>
      </w:r>
      <w:r w:rsidR="00FC4CE3">
        <w:t xml:space="preserve"> </w:t>
      </w:r>
      <w:r>
        <w:t xml:space="preserve">a new procurement strategy and </w:t>
      </w:r>
      <w:r w:rsidR="00FC4CE3">
        <w:t>introducing a new procurement process</w:t>
      </w:r>
      <w:r w:rsidR="00DD2A6A">
        <w:t xml:space="preserve"> and framework</w:t>
      </w:r>
      <w:r w:rsidR="00FC4CE3">
        <w:t xml:space="preserve">. </w:t>
      </w:r>
      <w:r>
        <w:t xml:space="preserve">Excellent management </w:t>
      </w:r>
      <w:r w:rsidR="00B53EEB">
        <w:t xml:space="preserve">information and </w:t>
      </w:r>
      <w:r>
        <w:t xml:space="preserve">data </w:t>
      </w:r>
      <w:r w:rsidR="00B77532">
        <w:t xml:space="preserve">integration will be one of the main requirements for any new system the Council procures. </w:t>
      </w:r>
    </w:p>
    <w:p w14:paraId="220F64B6" w14:textId="77777777" w:rsidR="000C227E" w:rsidRDefault="000C227E" w:rsidP="000C227E">
      <w:pPr>
        <w:pStyle w:val="BodyNumbered"/>
        <w:numPr>
          <w:ilvl w:val="0"/>
          <w:numId w:val="0"/>
        </w:numPr>
        <w:ind w:left="792"/>
      </w:pPr>
    </w:p>
    <w:p w14:paraId="5E049FBC" w14:textId="308B633B" w:rsidR="00AF4590" w:rsidRDefault="00AF4590" w:rsidP="008F632F">
      <w:pPr>
        <w:pStyle w:val="BodyNumbered"/>
      </w:pPr>
      <w:r w:rsidRPr="10CCC9C9">
        <w:rPr>
          <w:rStyle w:val="Strong"/>
        </w:rPr>
        <w:t>Please note:</w:t>
      </w:r>
      <w:r>
        <w:t xml:space="preserve"> this market testing exercise is </w:t>
      </w:r>
      <w:r w:rsidRPr="10CCC9C9">
        <w:rPr>
          <w:rStyle w:val="Strong"/>
        </w:rPr>
        <w:t>not</w:t>
      </w:r>
      <w:r>
        <w:t xml:space="preserve"> an invitation to tender or a request for formal expressions of interest. This document does not form any pa</w:t>
      </w:r>
      <w:r w:rsidR="00B10C3E">
        <w:t xml:space="preserve">rt of an invitation to tender. </w:t>
      </w:r>
      <w:r w:rsidR="00FD2422">
        <w:t xml:space="preserve">West </w:t>
      </w:r>
      <w:r w:rsidR="675B4D38">
        <w:t>Northamptonshire</w:t>
      </w:r>
      <w:r w:rsidR="00B10C3E">
        <w:t xml:space="preserve"> Council (</w:t>
      </w:r>
      <w:r w:rsidR="00FD2422">
        <w:t>WNC</w:t>
      </w:r>
      <w:r w:rsidR="00B10C3E">
        <w:t>)</w:t>
      </w:r>
      <w:r>
        <w:t xml:space="preserve"> is issuing this request for </w:t>
      </w:r>
      <w:r w:rsidRPr="10CCC9C9">
        <w:rPr>
          <w:rStyle w:val="Strong"/>
        </w:rPr>
        <w:t>information only</w:t>
      </w:r>
      <w:r>
        <w:t xml:space="preserve">. Any supplier invited to present to </w:t>
      </w:r>
      <w:r w:rsidR="00FD2422">
        <w:t>WNC</w:t>
      </w:r>
      <w:r>
        <w:t xml:space="preserve"> is doing so to support market research only and to help make any potential procurement process more focused and efficient. No supplier selection or supplier preference is implied.</w:t>
      </w:r>
    </w:p>
    <w:p w14:paraId="7270C576" w14:textId="77777777" w:rsidR="00AF4590" w:rsidRDefault="00AF4590" w:rsidP="008F632F">
      <w:pPr>
        <w:pStyle w:val="Heading2"/>
      </w:pPr>
      <w:r w:rsidRPr="004B3DBA">
        <w:rPr>
          <w:color w:val="00B050"/>
        </w:rPr>
        <w:t>Confidentiality</w:t>
      </w:r>
      <w:r w:rsidR="00207253" w:rsidRPr="004B3DBA">
        <w:rPr>
          <w:color w:val="00B050"/>
        </w:rPr>
        <w:t xml:space="preserve"> and Freedom of Information (FOI)</w:t>
      </w:r>
    </w:p>
    <w:p w14:paraId="6B543BB9" w14:textId="77777777" w:rsidR="00AF4590" w:rsidRDefault="00AF4590" w:rsidP="008F632F">
      <w:pPr>
        <w:pStyle w:val="BodyNumbered"/>
      </w:pPr>
      <w:r w:rsidRPr="003413D7">
        <w:rPr>
          <w:rStyle w:val="Strong"/>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19840BCA" w14:textId="77777777" w:rsidR="008F632F" w:rsidRDefault="008F632F" w:rsidP="008F632F">
      <w:pPr>
        <w:pStyle w:val="BodyNumbered"/>
        <w:numPr>
          <w:ilvl w:val="0"/>
          <w:numId w:val="0"/>
        </w:numPr>
        <w:ind w:left="792"/>
      </w:pPr>
    </w:p>
    <w:p w14:paraId="79C5074A" w14:textId="77777777" w:rsidR="00AF4590" w:rsidRDefault="00AF4590" w:rsidP="008F632F">
      <w:pPr>
        <w:pStyle w:val="BodyNumbered"/>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w:t>
      </w:r>
      <w:r>
        <w:lastRenderedPageBreak/>
        <w:t xml:space="preserve">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p>
    <w:p w14:paraId="16B5A9F5" w14:textId="77777777" w:rsidR="007A5B87" w:rsidRPr="004B3DBA" w:rsidRDefault="00CC58BD" w:rsidP="007A5B87">
      <w:pPr>
        <w:pStyle w:val="Heading2"/>
        <w:rPr>
          <w:color w:val="00B050"/>
        </w:rPr>
      </w:pPr>
      <w:r w:rsidRPr="004B3DBA">
        <w:rPr>
          <w:color w:val="00B050"/>
        </w:rPr>
        <w:t>Background</w:t>
      </w:r>
    </w:p>
    <w:p w14:paraId="590F29E8" w14:textId="41991A40" w:rsidR="009B1E47" w:rsidRDefault="009B1E47" w:rsidP="009B1E47">
      <w:pPr>
        <w:pStyle w:val="Optional"/>
        <w:rPr>
          <w:color w:val="auto"/>
        </w:rPr>
      </w:pPr>
      <w:r w:rsidRPr="00B53EEB">
        <w:rPr>
          <w:color w:val="auto"/>
        </w:rPr>
        <w:t xml:space="preserve">We </w:t>
      </w:r>
      <w:r>
        <w:rPr>
          <w:color w:val="auto"/>
        </w:rPr>
        <w:t xml:space="preserve">currently </w:t>
      </w:r>
      <w:r w:rsidRPr="00B53EEB">
        <w:rPr>
          <w:color w:val="auto"/>
        </w:rPr>
        <w:t xml:space="preserve">utilise </w:t>
      </w:r>
      <w:r>
        <w:rPr>
          <w:color w:val="auto"/>
        </w:rPr>
        <w:t xml:space="preserve">SPROC (referred to locally as Adam) which is a </w:t>
      </w:r>
      <w:r w:rsidRPr="00B53EEB">
        <w:rPr>
          <w:color w:val="auto"/>
        </w:rPr>
        <w:t>dynamic procurement system based on the principles of a reverse auction.</w:t>
      </w:r>
      <w:r w:rsidRPr="009B1E47">
        <w:rPr>
          <w:color w:val="auto"/>
        </w:rPr>
        <w:t xml:space="preserve"> </w:t>
      </w:r>
      <w:r w:rsidRPr="006B2915">
        <w:rPr>
          <w:color w:val="auto"/>
        </w:rPr>
        <w:t xml:space="preserve">We have </w:t>
      </w:r>
      <w:r w:rsidR="00BA2635">
        <w:rPr>
          <w:color w:val="auto"/>
        </w:rPr>
        <w:t>118</w:t>
      </w:r>
      <w:r w:rsidRPr="006B2915">
        <w:rPr>
          <w:color w:val="auto"/>
        </w:rPr>
        <w:t xml:space="preserve"> operators on the framework</w:t>
      </w:r>
      <w:r w:rsidR="00BA2635">
        <w:rPr>
          <w:color w:val="auto"/>
        </w:rPr>
        <w:t xml:space="preserve"> who are approved to tender on our contracts</w:t>
      </w:r>
      <w:r w:rsidRPr="006B2915">
        <w:rPr>
          <w:color w:val="auto"/>
        </w:rPr>
        <w:t xml:space="preserve"> </w:t>
      </w:r>
      <w:r>
        <w:rPr>
          <w:color w:val="auto"/>
        </w:rPr>
        <w:t xml:space="preserve">with </w:t>
      </w:r>
      <w:r w:rsidRPr="006B2915">
        <w:rPr>
          <w:color w:val="auto"/>
        </w:rPr>
        <w:t>operators rang</w:t>
      </w:r>
      <w:r>
        <w:rPr>
          <w:color w:val="auto"/>
        </w:rPr>
        <w:t>ing</w:t>
      </w:r>
      <w:r w:rsidRPr="006B2915">
        <w:rPr>
          <w:color w:val="auto"/>
        </w:rPr>
        <w:t xml:space="preserve"> from single vehicle taxi firms to operators with large bus and coach fleets.</w:t>
      </w:r>
    </w:p>
    <w:p w14:paraId="049AB249" w14:textId="77777777" w:rsidR="009B1E47" w:rsidRPr="006B2915" w:rsidRDefault="009B1E47" w:rsidP="009B1E47">
      <w:pPr>
        <w:pStyle w:val="Optional"/>
        <w:numPr>
          <w:ilvl w:val="0"/>
          <w:numId w:val="0"/>
        </w:numPr>
        <w:ind w:left="792"/>
        <w:rPr>
          <w:color w:val="auto"/>
        </w:rPr>
      </w:pPr>
    </w:p>
    <w:p w14:paraId="7FEFED5E" w14:textId="353AAD8A" w:rsidR="00B53EEB" w:rsidRPr="009B1E47" w:rsidRDefault="009B1E47" w:rsidP="00B53EEB">
      <w:pPr>
        <w:pStyle w:val="Optional"/>
        <w:rPr>
          <w:color w:val="auto"/>
        </w:rPr>
      </w:pPr>
      <w:r w:rsidRPr="009B1E47">
        <w:rPr>
          <w:color w:val="auto"/>
        </w:rPr>
        <w:t>Procurement includes Special Educational Needs, Child and Adult Social care, and Public Bus</w:t>
      </w:r>
      <w:r w:rsidR="007F1F49">
        <w:rPr>
          <w:color w:val="auto"/>
        </w:rPr>
        <w:t xml:space="preserve"> transport</w:t>
      </w:r>
      <w:r w:rsidRPr="009B1E47">
        <w:rPr>
          <w:color w:val="auto"/>
        </w:rPr>
        <w:t xml:space="preserve">. </w:t>
      </w:r>
      <w:r w:rsidR="007F1F49">
        <w:rPr>
          <w:color w:val="auto"/>
        </w:rPr>
        <w:t xml:space="preserve">The current framework can be used by our partner organisations including schools and colleges. </w:t>
      </w:r>
      <w:r w:rsidR="00B53EEB" w:rsidRPr="009B1E47">
        <w:rPr>
          <w:color w:val="auto"/>
        </w:rPr>
        <w:t>Contract</w:t>
      </w:r>
      <w:r w:rsidR="006B2915" w:rsidRPr="009B1E47">
        <w:rPr>
          <w:color w:val="auto"/>
        </w:rPr>
        <w:t xml:space="preserve">s are generally tendered by </w:t>
      </w:r>
      <w:proofErr w:type="spellStart"/>
      <w:r w:rsidR="006B2915" w:rsidRPr="009B1E47">
        <w:rPr>
          <w:color w:val="auto"/>
        </w:rPr>
        <w:t>idividu</w:t>
      </w:r>
      <w:r>
        <w:rPr>
          <w:color w:val="auto"/>
        </w:rPr>
        <w:t>al</w:t>
      </w:r>
      <w:proofErr w:type="spellEnd"/>
      <w:r w:rsidR="006B2915" w:rsidRPr="009B1E47">
        <w:rPr>
          <w:color w:val="auto"/>
        </w:rPr>
        <w:t xml:space="preserve"> </w:t>
      </w:r>
      <w:proofErr w:type="gramStart"/>
      <w:r w:rsidR="006B2915" w:rsidRPr="009B1E47">
        <w:rPr>
          <w:color w:val="auto"/>
        </w:rPr>
        <w:t>route</w:t>
      </w:r>
      <w:proofErr w:type="gramEnd"/>
      <w:r w:rsidR="006B2915" w:rsidRPr="009B1E47">
        <w:rPr>
          <w:color w:val="auto"/>
        </w:rPr>
        <w:t xml:space="preserve"> and the term is n</w:t>
      </w:r>
      <w:r w:rsidR="00B53EEB" w:rsidRPr="009B1E47">
        <w:rPr>
          <w:color w:val="auto"/>
        </w:rPr>
        <w:t>ormally 3 years with the option to extend a further year</w:t>
      </w:r>
      <w:r w:rsidR="006B2915" w:rsidRPr="009B1E47">
        <w:rPr>
          <w:color w:val="auto"/>
        </w:rPr>
        <w:t>. For the</w:t>
      </w:r>
      <w:r w:rsidR="00B53EEB" w:rsidRPr="009B1E47">
        <w:rPr>
          <w:color w:val="auto"/>
        </w:rPr>
        <w:t xml:space="preserve"> academic year 2023/24, we procured 327 SEN, 145 Mainstream &amp; 218 SCH contracts (690 contracts)</w:t>
      </w:r>
    </w:p>
    <w:p w14:paraId="206B6D4E" w14:textId="77777777" w:rsidR="00B53EEB" w:rsidRPr="003C1033" w:rsidRDefault="00B53EEB" w:rsidP="00B53EEB">
      <w:pPr>
        <w:pStyle w:val="Optional"/>
        <w:numPr>
          <w:ilvl w:val="0"/>
          <w:numId w:val="0"/>
        </w:numPr>
        <w:ind w:left="792"/>
        <w:rPr>
          <w:color w:val="auto"/>
        </w:rPr>
      </w:pPr>
    </w:p>
    <w:p w14:paraId="0F590D87" w14:textId="0BDB6717" w:rsidR="00B53EEB" w:rsidRPr="003C1033" w:rsidRDefault="00B53EEB" w:rsidP="00B53EEB">
      <w:pPr>
        <w:pStyle w:val="Optional"/>
        <w:rPr>
          <w:color w:val="auto"/>
        </w:rPr>
      </w:pPr>
      <w:r w:rsidRPr="003C1033">
        <w:rPr>
          <w:color w:val="auto"/>
        </w:rPr>
        <w:t>The m</w:t>
      </w:r>
      <w:r w:rsidRPr="00B53EEB">
        <w:rPr>
          <w:color w:val="auto"/>
        </w:rPr>
        <w:t xml:space="preserve">ain bulk of tendering is during June and </w:t>
      </w:r>
      <w:proofErr w:type="gramStart"/>
      <w:r w:rsidRPr="00B53EEB">
        <w:rPr>
          <w:color w:val="auto"/>
        </w:rPr>
        <w:t>July,</w:t>
      </w:r>
      <w:proofErr w:type="gramEnd"/>
      <w:r w:rsidRPr="00B53EEB">
        <w:rPr>
          <w:color w:val="auto"/>
        </w:rPr>
        <w:t xml:space="preserve"> however we continue to receive late &amp; ‘in year’ applications so procure throughout the year.</w:t>
      </w:r>
      <w:r w:rsidR="007F1F49">
        <w:rPr>
          <w:color w:val="auto"/>
        </w:rPr>
        <w:t xml:space="preserve"> Below is a </w:t>
      </w:r>
      <w:proofErr w:type="spellStart"/>
      <w:r w:rsidR="007F1F49">
        <w:rPr>
          <w:color w:val="auto"/>
        </w:rPr>
        <w:t>suumary</w:t>
      </w:r>
      <w:proofErr w:type="spellEnd"/>
      <w:r w:rsidR="007F1F49">
        <w:rPr>
          <w:color w:val="auto"/>
        </w:rPr>
        <w:t xml:space="preserve"> of the contract spend during the previous financial year.  </w:t>
      </w:r>
    </w:p>
    <w:p w14:paraId="6A8FDE02" w14:textId="77777777" w:rsidR="00B53EEB" w:rsidRDefault="00B53EEB" w:rsidP="00742C7B">
      <w:pPr>
        <w:pStyle w:val="Optional"/>
        <w:numPr>
          <w:ilvl w:val="0"/>
          <w:numId w:val="0"/>
        </w:numPr>
        <w:ind w:left="792"/>
      </w:pPr>
    </w:p>
    <w:p w14:paraId="15853147" w14:textId="36468372" w:rsidR="00B53EEB" w:rsidRDefault="00B53EEB" w:rsidP="00742C7B">
      <w:pPr>
        <w:pStyle w:val="Optional"/>
        <w:numPr>
          <w:ilvl w:val="0"/>
          <w:numId w:val="0"/>
        </w:numPr>
        <w:ind w:left="792"/>
      </w:pPr>
      <w:r>
        <w:rPr>
          <w:noProof/>
        </w:rPr>
        <w:drawing>
          <wp:inline distT="0" distB="0" distL="0" distR="0" wp14:anchorId="7B101B4E" wp14:editId="7B2B9222">
            <wp:extent cx="4508272" cy="8189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0109" cy="830198"/>
                    </a:xfrm>
                    <a:prstGeom prst="rect">
                      <a:avLst/>
                    </a:prstGeom>
                    <a:noFill/>
                  </pic:spPr>
                </pic:pic>
              </a:graphicData>
            </a:graphic>
          </wp:inline>
        </w:drawing>
      </w:r>
    </w:p>
    <w:p w14:paraId="4A2D8EF2" w14:textId="77777777" w:rsidR="007F1F49" w:rsidRDefault="007F1F49" w:rsidP="00742C7B">
      <w:pPr>
        <w:pStyle w:val="Optional"/>
        <w:numPr>
          <w:ilvl w:val="0"/>
          <w:numId w:val="0"/>
        </w:numPr>
        <w:ind w:left="792"/>
      </w:pPr>
    </w:p>
    <w:p w14:paraId="39709C8C" w14:textId="77777777" w:rsidR="00CC58BD" w:rsidRPr="004B3DBA" w:rsidRDefault="00CC58BD" w:rsidP="008F632F">
      <w:pPr>
        <w:pStyle w:val="Heading2"/>
        <w:rPr>
          <w:color w:val="00B050"/>
        </w:rPr>
      </w:pPr>
      <w:r w:rsidRPr="004B3DBA">
        <w:rPr>
          <w:color w:val="00B050"/>
        </w:rPr>
        <w:t>Soft Market Test Timetable</w:t>
      </w:r>
    </w:p>
    <w:p w14:paraId="30328C9D" w14:textId="0C7E3345" w:rsidR="00CC58BD" w:rsidRDefault="00CC58BD" w:rsidP="008F632F">
      <w:pPr>
        <w:pStyle w:val="BodyNumbered"/>
      </w:pPr>
      <w:r>
        <w:t xml:space="preserve">Please read this document and if you feel that your organisation is able to contribute to this exercise please complete the questionnaire at the end of this document and return, via email to </w:t>
      </w:r>
      <w:r w:rsidR="00BA2635">
        <w:t>Jordan Payne (</w:t>
      </w:r>
      <w:hyperlink r:id="rId13" w:history="1">
        <w:r w:rsidR="00BA2635" w:rsidRPr="006F073A">
          <w:rPr>
            <w:rStyle w:val="Hyperlink"/>
          </w:rPr>
          <w:t>jordan.payne@westnorthants.gov.uk</w:t>
        </w:r>
      </w:hyperlink>
      <w:r w:rsidR="00BA2635">
        <w:t xml:space="preserve">) </w:t>
      </w:r>
      <w:r>
        <w:t xml:space="preserve">by </w:t>
      </w:r>
      <w:r w:rsidR="00970F70">
        <w:t>7th</w:t>
      </w:r>
      <w:r w:rsidR="00BA2635">
        <w:t xml:space="preserve"> </w:t>
      </w:r>
      <w:r w:rsidR="00970F70">
        <w:t>February</w:t>
      </w:r>
      <w:r w:rsidR="00BA2635">
        <w:t xml:space="preserve"> 2025</w:t>
      </w:r>
      <w:r>
        <w:t>.</w:t>
      </w:r>
    </w:p>
    <w:p w14:paraId="1E493024" w14:textId="77777777" w:rsidR="008F632F" w:rsidRDefault="008F632F" w:rsidP="008F632F">
      <w:pPr>
        <w:pStyle w:val="BodyNumbered"/>
        <w:numPr>
          <w:ilvl w:val="0"/>
          <w:numId w:val="0"/>
        </w:numPr>
        <w:ind w:left="792"/>
      </w:pPr>
    </w:p>
    <w:p w14:paraId="3FA46756" w14:textId="4CF47EFC" w:rsidR="00325F7E" w:rsidRPr="00DE13B5" w:rsidRDefault="00CC58BD" w:rsidP="00325F7E">
      <w:pPr>
        <w:pStyle w:val="BodyNumbered"/>
        <w:rPr>
          <w:color w:val="FF0000"/>
        </w:rPr>
      </w:pPr>
      <w:r>
        <w:t xml:space="preserve">Following receipt of the questionnaires, </w:t>
      </w:r>
      <w:r w:rsidRPr="00742C7B">
        <w:t xml:space="preserve">a maximum of </w:t>
      </w:r>
      <w:r w:rsidR="00BA2635">
        <w:t>10</w:t>
      </w:r>
      <w:r w:rsidRPr="00742C7B">
        <w:t xml:space="preserve"> respondents will be invited to attend separate workshop sessions to present and discuss their responses. A decision will then be made internally on the best procurement approach. The </w:t>
      </w:r>
      <w:r>
        <w:t xml:space="preserve">timetable is provided </w:t>
      </w:r>
      <w:proofErr w:type="gramStart"/>
      <w:r>
        <w:t>below:</w:t>
      </w:r>
      <w:r w:rsidR="00325F7E" w:rsidRPr="00DE13B5">
        <w:rPr>
          <w:color w:val="FF0000"/>
        </w:rPr>
        <w:t>.</w:t>
      </w:r>
      <w:proofErr w:type="gramEnd"/>
    </w:p>
    <w:tbl>
      <w:tblPr>
        <w:tblStyle w:val="TableGrid"/>
        <w:tblW w:w="5000" w:type="pct"/>
        <w:tblLook w:val="04A0" w:firstRow="1" w:lastRow="0" w:firstColumn="1" w:lastColumn="0" w:noHBand="0" w:noVBand="1"/>
      </w:tblPr>
      <w:tblGrid>
        <w:gridCol w:w="6800"/>
        <w:gridCol w:w="2216"/>
      </w:tblGrid>
      <w:tr w:rsidR="00CC58BD" w14:paraId="4A7BCC2D" w14:textId="77777777" w:rsidTr="00742C7B">
        <w:tc>
          <w:tcPr>
            <w:tcW w:w="3771" w:type="pct"/>
          </w:tcPr>
          <w:p w14:paraId="211D2995" w14:textId="77777777" w:rsidR="00CC58BD" w:rsidRPr="00AF4590" w:rsidRDefault="00CC58BD" w:rsidP="008F632F">
            <w:pPr>
              <w:rPr>
                <w:rStyle w:val="Strong"/>
              </w:rPr>
            </w:pPr>
            <w:r w:rsidRPr="00AF4590">
              <w:rPr>
                <w:rStyle w:val="Strong"/>
              </w:rPr>
              <w:t>Stage</w:t>
            </w:r>
          </w:p>
        </w:tc>
        <w:tc>
          <w:tcPr>
            <w:tcW w:w="1229" w:type="pct"/>
          </w:tcPr>
          <w:p w14:paraId="76D0FCB6" w14:textId="77777777" w:rsidR="00CC58BD" w:rsidRPr="00AF4590" w:rsidRDefault="00CC58BD" w:rsidP="008F632F">
            <w:pPr>
              <w:rPr>
                <w:rStyle w:val="Strong"/>
              </w:rPr>
            </w:pPr>
            <w:r w:rsidRPr="00AF4590">
              <w:rPr>
                <w:rStyle w:val="Strong"/>
              </w:rPr>
              <w:t>Date</w:t>
            </w:r>
          </w:p>
        </w:tc>
      </w:tr>
      <w:tr w:rsidR="00CC58BD" w14:paraId="18532078" w14:textId="77777777" w:rsidTr="00742C7B">
        <w:tc>
          <w:tcPr>
            <w:tcW w:w="3771" w:type="pct"/>
          </w:tcPr>
          <w:p w14:paraId="0A54B025" w14:textId="77777777" w:rsidR="00CC58BD" w:rsidRDefault="00CC58BD" w:rsidP="008F632F">
            <w:r>
              <w:t>Deadline for receipt of responses to Soft Market Test</w:t>
            </w:r>
            <w:r w:rsidR="00207253">
              <w:t>.</w:t>
            </w:r>
          </w:p>
        </w:tc>
        <w:tc>
          <w:tcPr>
            <w:tcW w:w="1229" w:type="pct"/>
          </w:tcPr>
          <w:p w14:paraId="6DF62E17" w14:textId="41046797" w:rsidR="00CC58BD" w:rsidRPr="00742C7B" w:rsidRDefault="00DE13B5" w:rsidP="008F632F">
            <w:r>
              <w:t>7</w:t>
            </w:r>
            <w:r w:rsidRPr="00DE13B5">
              <w:rPr>
                <w:vertAlign w:val="superscript"/>
              </w:rPr>
              <w:t>th</w:t>
            </w:r>
            <w:r>
              <w:t xml:space="preserve"> Feb 2025</w:t>
            </w:r>
          </w:p>
        </w:tc>
      </w:tr>
      <w:tr w:rsidR="00207253" w14:paraId="736E5262" w14:textId="77777777" w:rsidTr="00742C7B">
        <w:tc>
          <w:tcPr>
            <w:tcW w:w="3771" w:type="pct"/>
          </w:tcPr>
          <w:p w14:paraId="481155AA" w14:textId="77777777" w:rsidR="00207253" w:rsidRPr="00631C96" w:rsidRDefault="00207253" w:rsidP="008F632F">
            <w:r w:rsidRPr="00631C96">
              <w:t>Workshop Week.</w:t>
            </w:r>
          </w:p>
        </w:tc>
        <w:tc>
          <w:tcPr>
            <w:tcW w:w="1229" w:type="pct"/>
          </w:tcPr>
          <w:p w14:paraId="5C102BD4" w14:textId="4CA9A1C9" w:rsidR="00207253" w:rsidRPr="00742C7B" w:rsidRDefault="00BA2635" w:rsidP="008F632F">
            <w:r>
              <w:t>3</w:t>
            </w:r>
            <w:r w:rsidRPr="00BA2635">
              <w:rPr>
                <w:vertAlign w:val="superscript"/>
              </w:rPr>
              <w:t>rd</w:t>
            </w:r>
            <w:r>
              <w:t xml:space="preserve"> -7</w:t>
            </w:r>
            <w:r w:rsidRPr="00BA2635">
              <w:rPr>
                <w:vertAlign w:val="superscript"/>
              </w:rPr>
              <w:t>th</w:t>
            </w:r>
            <w:r>
              <w:t xml:space="preserve"> </w:t>
            </w:r>
            <w:proofErr w:type="gramStart"/>
            <w:r>
              <w:t xml:space="preserve">March </w:t>
            </w:r>
            <w:r w:rsidR="00742C7B" w:rsidRPr="00742C7B">
              <w:t xml:space="preserve"> 2025</w:t>
            </w:r>
            <w:proofErr w:type="gramEnd"/>
          </w:p>
        </w:tc>
      </w:tr>
      <w:tr w:rsidR="00207253" w14:paraId="7ED6606F" w14:textId="77777777" w:rsidTr="00742C7B">
        <w:tc>
          <w:tcPr>
            <w:tcW w:w="3771" w:type="pct"/>
          </w:tcPr>
          <w:p w14:paraId="6A5B68CB" w14:textId="77777777" w:rsidR="00207253" w:rsidRPr="00631C96" w:rsidRDefault="00207253" w:rsidP="008F632F">
            <w:r w:rsidRPr="00631C96">
              <w:t>Decision on way forward.</w:t>
            </w:r>
          </w:p>
        </w:tc>
        <w:tc>
          <w:tcPr>
            <w:tcW w:w="1229" w:type="pct"/>
          </w:tcPr>
          <w:p w14:paraId="4FD022DD" w14:textId="4651FC25" w:rsidR="00207253" w:rsidRPr="00742C7B" w:rsidRDefault="00631C96" w:rsidP="008F632F">
            <w:r>
              <w:t>24</w:t>
            </w:r>
            <w:r w:rsidRPr="00631C96">
              <w:rPr>
                <w:vertAlign w:val="superscript"/>
              </w:rPr>
              <w:t>th</w:t>
            </w:r>
            <w:r>
              <w:t>-28</w:t>
            </w:r>
            <w:r w:rsidRPr="00631C96">
              <w:rPr>
                <w:vertAlign w:val="superscript"/>
              </w:rPr>
              <w:t>th</w:t>
            </w:r>
            <w:r>
              <w:t xml:space="preserve"> Mar 2025</w:t>
            </w:r>
          </w:p>
        </w:tc>
      </w:tr>
    </w:tbl>
    <w:p w14:paraId="013E6E9A" w14:textId="77777777" w:rsidR="008F632F" w:rsidRPr="008F632F" w:rsidRDefault="008F632F" w:rsidP="008F632F"/>
    <w:p w14:paraId="74F9721E" w14:textId="209BDF23" w:rsidR="00BA2635" w:rsidRPr="00BA2635" w:rsidRDefault="00CC58BD" w:rsidP="00631C96">
      <w:pPr>
        <w:pStyle w:val="BodyNumbered"/>
        <w:rPr>
          <w:color w:val="0070C0"/>
        </w:rPr>
      </w:pPr>
      <w:r w:rsidRPr="00AF4590">
        <w:lastRenderedPageBreak/>
        <w:t>Potential responders will not be prejudiced in any future procurement processes by either responding or not responding to this soft market test exercise.</w:t>
      </w:r>
    </w:p>
    <w:p w14:paraId="16CC0D78" w14:textId="77777777" w:rsidR="00BA2635" w:rsidRPr="00BA2635" w:rsidRDefault="00BA2635" w:rsidP="0074170F">
      <w:pPr>
        <w:pStyle w:val="BodyNumbered"/>
        <w:numPr>
          <w:ilvl w:val="0"/>
          <w:numId w:val="0"/>
        </w:numPr>
        <w:ind w:left="792"/>
        <w:rPr>
          <w:color w:val="0070C0"/>
        </w:rPr>
      </w:pPr>
    </w:p>
    <w:p w14:paraId="1C9F5FA8" w14:textId="323D4E81" w:rsidR="00CC58BD" w:rsidRPr="00BA2635" w:rsidRDefault="00CC58BD" w:rsidP="00BA2635">
      <w:pPr>
        <w:pStyle w:val="BodyNumbered"/>
        <w:numPr>
          <w:ilvl w:val="0"/>
          <w:numId w:val="0"/>
        </w:numPr>
        <w:rPr>
          <w:color w:val="0070C0"/>
        </w:rPr>
      </w:pPr>
      <w:r w:rsidRPr="00BA2635">
        <w:rPr>
          <w:color w:val="0070C0"/>
        </w:rPr>
        <w:t>Section 2: Identification of Requirement</w:t>
      </w:r>
    </w:p>
    <w:p w14:paraId="2925842D" w14:textId="77777777" w:rsidR="00D56EA8" w:rsidRPr="004B3DBA" w:rsidRDefault="00D56EA8" w:rsidP="008F632F">
      <w:pPr>
        <w:pStyle w:val="Heading2"/>
        <w:rPr>
          <w:color w:val="00B050"/>
        </w:rPr>
      </w:pPr>
      <w:r w:rsidRPr="004B3DBA">
        <w:rPr>
          <w:color w:val="00B050"/>
        </w:rPr>
        <w:t>Current Situation</w:t>
      </w:r>
    </w:p>
    <w:p w14:paraId="499031D3" w14:textId="49A33CD5" w:rsidR="00CE7271" w:rsidRPr="004D4DFD" w:rsidRDefault="00074E59" w:rsidP="008F632F">
      <w:pPr>
        <w:pStyle w:val="Optional"/>
        <w:rPr>
          <w:color w:val="auto"/>
        </w:rPr>
      </w:pPr>
      <w:r w:rsidRPr="004D4DFD">
        <w:rPr>
          <w:color w:val="auto"/>
        </w:rPr>
        <w:t>The</w:t>
      </w:r>
      <w:r w:rsidR="00CE7271" w:rsidRPr="004D4DFD">
        <w:rPr>
          <w:color w:val="auto"/>
        </w:rPr>
        <w:t xml:space="preserve"> current DPS, procurement process and operator payment mechanism </w:t>
      </w:r>
      <w:proofErr w:type="gramStart"/>
      <w:r w:rsidR="00CE7271" w:rsidRPr="004D4DFD">
        <w:rPr>
          <w:color w:val="auto"/>
        </w:rPr>
        <w:t>is</w:t>
      </w:r>
      <w:proofErr w:type="gramEnd"/>
      <w:r w:rsidR="00CE7271" w:rsidRPr="004D4DFD">
        <w:rPr>
          <w:color w:val="auto"/>
        </w:rPr>
        <w:t xml:space="preserve"> </w:t>
      </w:r>
      <w:r w:rsidR="004C09BA" w:rsidRPr="004D4DFD">
        <w:rPr>
          <w:color w:val="auto"/>
        </w:rPr>
        <w:t xml:space="preserve">managed by </w:t>
      </w:r>
      <w:r w:rsidR="00CE7271" w:rsidRPr="004D4DFD">
        <w:rPr>
          <w:color w:val="auto"/>
        </w:rPr>
        <w:t xml:space="preserve">SPROC. Weekly invoices are received along with detailed operator invoicing data and commitment data. </w:t>
      </w:r>
    </w:p>
    <w:p w14:paraId="0077C0DF" w14:textId="77777777" w:rsidR="00CE7271" w:rsidRPr="004D4DFD" w:rsidRDefault="00CE7271" w:rsidP="00CE7271">
      <w:pPr>
        <w:pStyle w:val="Optional"/>
        <w:numPr>
          <w:ilvl w:val="0"/>
          <w:numId w:val="0"/>
        </w:numPr>
        <w:ind w:left="792"/>
        <w:rPr>
          <w:color w:val="auto"/>
        </w:rPr>
      </w:pPr>
    </w:p>
    <w:p w14:paraId="361149C4" w14:textId="28B5D396" w:rsidR="004C09BA" w:rsidRPr="004D4DFD" w:rsidRDefault="00CE7271" w:rsidP="008F632F">
      <w:pPr>
        <w:pStyle w:val="Optional"/>
        <w:rPr>
          <w:color w:val="auto"/>
        </w:rPr>
      </w:pPr>
      <w:r w:rsidRPr="004D4DFD">
        <w:rPr>
          <w:color w:val="auto"/>
        </w:rPr>
        <w:t xml:space="preserve">There are limitations. For </w:t>
      </w:r>
      <w:proofErr w:type="gramStart"/>
      <w:r w:rsidRPr="004D4DFD">
        <w:rPr>
          <w:color w:val="auto"/>
        </w:rPr>
        <w:t>instance</w:t>
      </w:r>
      <w:proofErr w:type="gramEnd"/>
      <w:r w:rsidRPr="004D4DFD">
        <w:rPr>
          <w:color w:val="auto"/>
        </w:rPr>
        <w:t xml:space="preserve"> there is no real </w:t>
      </w:r>
      <w:r w:rsidR="00CC0A5A" w:rsidRPr="004D4DFD">
        <w:rPr>
          <w:color w:val="auto"/>
        </w:rPr>
        <w:t xml:space="preserve">mechanism </w:t>
      </w:r>
      <w:r w:rsidRPr="004D4DFD">
        <w:rPr>
          <w:color w:val="auto"/>
        </w:rPr>
        <w:t>to encourage operators to invoice in a timely manner</w:t>
      </w:r>
      <w:r w:rsidR="004C09BA" w:rsidRPr="004D4DFD">
        <w:rPr>
          <w:color w:val="auto"/>
        </w:rPr>
        <w:t xml:space="preserve"> and i</w:t>
      </w:r>
      <w:r w:rsidRPr="004D4DFD">
        <w:rPr>
          <w:color w:val="auto"/>
        </w:rPr>
        <w:t xml:space="preserve">n some cases </w:t>
      </w:r>
      <w:r w:rsidR="004C09BA" w:rsidRPr="004D4DFD">
        <w:rPr>
          <w:color w:val="auto"/>
        </w:rPr>
        <w:t xml:space="preserve">operators may not invoice for work undertaken for 6 months or more. This creates difficulties in managing and monitoring contract spend. </w:t>
      </w:r>
    </w:p>
    <w:p w14:paraId="46BCE3E1" w14:textId="77777777" w:rsidR="004C09BA" w:rsidRPr="004D4DFD" w:rsidRDefault="004C09BA" w:rsidP="004D4DFD">
      <w:pPr>
        <w:pStyle w:val="Optional"/>
        <w:numPr>
          <w:ilvl w:val="0"/>
          <w:numId w:val="0"/>
        </w:numPr>
        <w:ind w:left="792"/>
        <w:rPr>
          <w:color w:val="auto"/>
        </w:rPr>
      </w:pPr>
    </w:p>
    <w:p w14:paraId="335FE7A5" w14:textId="32236CDF" w:rsidR="00014820" w:rsidRPr="004D4DFD" w:rsidRDefault="004C09BA" w:rsidP="008F632F">
      <w:pPr>
        <w:pStyle w:val="Optional"/>
        <w:rPr>
          <w:color w:val="auto"/>
        </w:rPr>
      </w:pPr>
      <w:r w:rsidRPr="004D4DFD">
        <w:rPr>
          <w:color w:val="auto"/>
        </w:rPr>
        <w:t xml:space="preserve">In addition, operators have been found to claim for journeys </w:t>
      </w:r>
      <w:r w:rsidR="00CC0A5A" w:rsidRPr="004D4DFD">
        <w:rPr>
          <w:color w:val="auto"/>
        </w:rPr>
        <w:t xml:space="preserve">not </w:t>
      </w:r>
      <w:r w:rsidRPr="004D4DFD">
        <w:rPr>
          <w:color w:val="auto"/>
        </w:rPr>
        <w:t xml:space="preserve">undertaken </w:t>
      </w:r>
      <w:r w:rsidR="00014820" w:rsidRPr="004D4DFD">
        <w:rPr>
          <w:color w:val="auto"/>
        </w:rPr>
        <w:t xml:space="preserve">either </w:t>
      </w:r>
      <w:r w:rsidRPr="004D4DFD">
        <w:rPr>
          <w:color w:val="auto"/>
        </w:rPr>
        <w:t>during school holidays</w:t>
      </w:r>
      <w:r w:rsidR="00CC0A5A" w:rsidRPr="004D4DFD">
        <w:rPr>
          <w:color w:val="auto"/>
        </w:rPr>
        <w:t xml:space="preserve">, </w:t>
      </w:r>
      <w:r w:rsidR="00014820" w:rsidRPr="004D4DFD">
        <w:rPr>
          <w:color w:val="auto"/>
        </w:rPr>
        <w:t xml:space="preserve">or where children may not have </w:t>
      </w:r>
      <w:proofErr w:type="gramStart"/>
      <w:r w:rsidR="00014820" w:rsidRPr="004D4DFD">
        <w:rPr>
          <w:color w:val="auto"/>
        </w:rPr>
        <w:t>be</w:t>
      </w:r>
      <w:proofErr w:type="gramEnd"/>
      <w:r w:rsidR="00014820" w:rsidRPr="004D4DFD">
        <w:rPr>
          <w:color w:val="auto"/>
        </w:rPr>
        <w:t xml:space="preserve"> travelling, </w:t>
      </w:r>
      <w:r w:rsidR="00CC0A5A" w:rsidRPr="004D4DFD">
        <w:rPr>
          <w:color w:val="auto"/>
        </w:rPr>
        <w:t xml:space="preserve">essentially making false claims. Although the system does allow intermissions to be put in place, </w:t>
      </w:r>
      <w:r w:rsidR="00014820" w:rsidRPr="004D4DFD">
        <w:rPr>
          <w:color w:val="auto"/>
        </w:rPr>
        <w:t xml:space="preserve">the ability to </w:t>
      </w:r>
      <w:r w:rsidR="00CC0A5A" w:rsidRPr="004D4DFD">
        <w:rPr>
          <w:color w:val="auto"/>
        </w:rPr>
        <w:t>identify</w:t>
      </w:r>
      <w:r w:rsidR="00014820" w:rsidRPr="004D4DFD">
        <w:rPr>
          <w:color w:val="auto"/>
        </w:rPr>
        <w:t xml:space="preserve"> school holiday dates for academies (who set this themselves) </w:t>
      </w:r>
      <w:proofErr w:type="gramStart"/>
      <w:r w:rsidR="00014820" w:rsidRPr="004D4DFD">
        <w:rPr>
          <w:color w:val="auto"/>
        </w:rPr>
        <w:t>and also</w:t>
      </w:r>
      <w:proofErr w:type="gramEnd"/>
      <w:r w:rsidR="00014820" w:rsidRPr="004D4DFD">
        <w:rPr>
          <w:color w:val="auto"/>
        </w:rPr>
        <w:t xml:space="preserve"> training dates is cumbersome. </w:t>
      </w:r>
    </w:p>
    <w:p w14:paraId="141462A8" w14:textId="77777777" w:rsidR="0065303B" w:rsidRPr="004D4DFD" w:rsidRDefault="0065303B" w:rsidP="00BD34D1">
      <w:pPr>
        <w:pStyle w:val="Optional"/>
        <w:numPr>
          <w:ilvl w:val="0"/>
          <w:numId w:val="0"/>
        </w:numPr>
        <w:ind w:left="792"/>
        <w:rPr>
          <w:color w:val="auto"/>
        </w:rPr>
      </w:pPr>
    </w:p>
    <w:p w14:paraId="7DA9A4B0" w14:textId="397EEA30" w:rsidR="001D1BFA" w:rsidRDefault="0065303B" w:rsidP="001D1BFA">
      <w:pPr>
        <w:pStyle w:val="Optional"/>
        <w:rPr>
          <w:color w:val="auto"/>
        </w:rPr>
      </w:pPr>
      <w:r w:rsidRPr="004D4DFD">
        <w:rPr>
          <w:color w:val="auto"/>
        </w:rPr>
        <w:t>E</w:t>
      </w:r>
      <w:r w:rsidR="00BD34D1">
        <w:rPr>
          <w:color w:val="auto"/>
        </w:rPr>
        <w:t>asy</w:t>
      </w:r>
      <w:r w:rsidR="001D1BFA">
        <w:rPr>
          <w:color w:val="auto"/>
        </w:rPr>
        <w:t xml:space="preserve">, automated </w:t>
      </w:r>
      <w:r w:rsidR="00BD34D1">
        <w:rPr>
          <w:color w:val="auto"/>
        </w:rPr>
        <w:t xml:space="preserve">extraction of data is essential and currently not included with the scope of our current contract. We operate </w:t>
      </w:r>
      <w:proofErr w:type="gramStart"/>
      <w:r w:rsidR="00BD34D1">
        <w:rPr>
          <w:color w:val="auto"/>
        </w:rPr>
        <w:t>a number of</w:t>
      </w:r>
      <w:proofErr w:type="gramEnd"/>
      <w:r w:rsidR="00BD34D1">
        <w:rPr>
          <w:color w:val="auto"/>
        </w:rPr>
        <w:t xml:space="preserve"> individual systems and processes and </w:t>
      </w:r>
      <w:r w:rsidR="001D1BFA">
        <w:rPr>
          <w:color w:val="auto"/>
        </w:rPr>
        <w:t>therefore data integration is essential going forwards</w:t>
      </w:r>
      <w:r w:rsidR="0074170F">
        <w:rPr>
          <w:color w:val="auto"/>
        </w:rPr>
        <w:t>.</w:t>
      </w:r>
    </w:p>
    <w:p w14:paraId="13C4558C" w14:textId="77777777" w:rsidR="00D56EA8" w:rsidRPr="004B3DBA" w:rsidRDefault="00D56EA8" w:rsidP="008F632F">
      <w:pPr>
        <w:pStyle w:val="Heading2"/>
        <w:rPr>
          <w:color w:val="00B050"/>
        </w:rPr>
      </w:pPr>
      <w:r w:rsidRPr="004B3DBA">
        <w:rPr>
          <w:color w:val="00B050"/>
        </w:rPr>
        <w:t>Our Requirements</w:t>
      </w:r>
    </w:p>
    <w:p w14:paraId="0C405EAE" w14:textId="14E7B19E" w:rsidR="00D309A9" w:rsidRPr="003477DB" w:rsidRDefault="00BD34D1" w:rsidP="008F632F">
      <w:pPr>
        <w:pStyle w:val="Optional"/>
        <w:rPr>
          <w:color w:val="auto"/>
        </w:rPr>
      </w:pPr>
      <w:r w:rsidRPr="003477DB">
        <w:rPr>
          <w:color w:val="auto"/>
        </w:rPr>
        <w:t xml:space="preserve">The Council </w:t>
      </w:r>
      <w:r w:rsidR="004E5CCF" w:rsidRPr="003477DB">
        <w:rPr>
          <w:color w:val="auto"/>
        </w:rPr>
        <w:t xml:space="preserve">has no </w:t>
      </w:r>
      <w:proofErr w:type="spellStart"/>
      <w:proofErr w:type="gramStart"/>
      <w:r w:rsidR="004E5CCF" w:rsidRPr="003477DB">
        <w:rPr>
          <w:color w:val="auto"/>
        </w:rPr>
        <w:t>pre determined</w:t>
      </w:r>
      <w:proofErr w:type="spellEnd"/>
      <w:proofErr w:type="gramEnd"/>
      <w:r w:rsidR="004E5CCF" w:rsidRPr="003477DB">
        <w:rPr>
          <w:color w:val="auto"/>
        </w:rPr>
        <w:t xml:space="preserve"> view on </w:t>
      </w:r>
      <w:r w:rsidR="003477DB">
        <w:rPr>
          <w:color w:val="auto"/>
        </w:rPr>
        <w:t xml:space="preserve">the </w:t>
      </w:r>
      <w:r w:rsidR="004E5CCF" w:rsidRPr="003477DB">
        <w:rPr>
          <w:color w:val="auto"/>
        </w:rPr>
        <w:t>solution</w:t>
      </w:r>
      <w:r w:rsidR="00D309A9" w:rsidRPr="003477DB">
        <w:rPr>
          <w:color w:val="auto"/>
        </w:rPr>
        <w:t xml:space="preserve"> </w:t>
      </w:r>
      <w:r w:rsidR="00B0271B">
        <w:rPr>
          <w:color w:val="auto"/>
        </w:rPr>
        <w:t xml:space="preserve">it will adopt </w:t>
      </w:r>
      <w:r w:rsidR="00D309A9" w:rsidRPr="003477DB">
        <w:rPr>
          <w:color w:val="auto"/>
        </w:rPr>
        <w:t>and is exploring all options which could include:</w:t>
      </w:r>
    </w:p>
    <w:p w14:paraId="018AD6DA" w14:textId="77777777" w:rsidR="00D309A9" w:rsidRPr="003477DB" w:rsidRDefault="00D309A9" w:rsidP="00B0271B">
      <w:pPr>
        <w:pStyle w:val="Optional"/>
        <w:numPr>
          <w:ilvl w:val="0"/>
          <w:numId w:val="0"/>
        </w:numPr>
        <w:ind w:left="792"/>
        <w:rPr>
          <w:color w:val="auto"/>
        </w:rPr>
      </w:pPr>
    </w:p>
    <w:p w14:paraId="25FC6689" w14:textId="34835B0E" w:rsidR="00D309A9" w:rsidRPr="003477DB" w:rsidRDefault="00D309A9" w:rsidP="00B0271B">
      <w:pPr>
        <w:pStyle w:val="Optional"/>
        <w:numPr>
          <w:ilvl w:val="0"/>
          <w:numId w:val="18"/>
        </w:numPr>
        <w:rPr>
          <w:color w:val="auto"/>
        </w:rPr>
      </w:pPr>
      <w:r w:rsidRPr="003477DB">
        <w:rPr>
          <w:color w:val="auto"/>
        </w:rPr>
        <w:t xml:space="preserve">Fully managed </w:t>
      </w:r>
      <w:r w:rsidR="0074170F">
        <w:rPr>
          <w:color w:val="auto"/>
        </w:rPr>
        <w:t xml:space="preserve">- </w:t>
      </w:r>
      <w:r w:rsidR="00A6312E" w:rsidRPr="003477DB">
        <w:rPr>
          <w:color w:val="auto"/>
        </w:rPr>
        <w:t>Framework/Procurement/operator payment</w:t>
      </w:r>
      <w:r w:rsidR="0074170F">
        <w:rPr>
          <w:color w:val="auto"/>
        </w:rPr>
        <w:t xml:space="preserve"> mechanism </w:t>
      </w:r>
      <w:r w:rsidRPr="003477DB">
        <w:rPr>
          <w:color w:val="auto"/>
        </w:rPr>
        <w:t xml:space="preserve">as is the case now. </w:t>
      </w:r>
    </w:p>
    <w:p w14:paraId="70D48C93" w14:textId="687F2D31" w:rsidR="00A6312E" w:rsidRPr="003477DB" w:rsidRDefault="00D309A9" w:rsidP="00B0271B">
      <w:pPr>
        <w:pStyle w:val="Optional"/>
        <w:numPr>
          <w:ilvl w:val="0"/>
          <w:numId w:val="18"/>
        </w:numPr>
        <w:rPr>
          <w:color w:val="auto"/>
        </w:rPr>
      </w:pPr>
      <w:r w:rsidRPr="003477DB">
        <w:rPr>
          <w:color w:val="auto"/>
        </w:rPr>
        <w:t>Framework</w:t>
      </w:r>
      <w:r w:rsidR="00A6312E" w:rsidRPr="003477DB">
        <w:rPr>
          <w:color w:val="auto"/>
        </w:rPr>
        <w:t>/P</w:t>
      </w:r>
      <w:r w:rsidRPr="003477DB">
        <w:rPr>
          <w:color w:val="auto"/>
        </w:rPr>
        <w:t>rocurement platform</w:t>
      </w:r>
      <w:r w:rsidR="00B0271B">
        <w:rPr>
          <w:color w:val="auto"/>
        </w:rPr>
        <w:t xml:space="preserve"> only</w:t>
      </w:r>
      <w:r w:rsidRPr="003477DB">
        <w:rPr>
          <w:color w:val="auto"/>
        </w:rPr>
        <w:t>.</w:t>
      </w:r>
      <w:r w:rsidR="00A6312E" w:rsidRPr="003477DB">
        <w:rPr>
          <w:color w:val="auto"/>
        </w:rPr>
        <w:t xml:space="preserve"> Invoicing remains with Council</w:t>
      </w:r>
    </w:p>
    <w:p w14:paraId="7DC2BA58" w14:textId="53F81308" w:rsidR="00A6312E" w:rsidRDefault="00B0271B" w:rsidP="00B0271B">
      <w:pPr>
        <w:pStyle w:val="Optional"/>
        <w:numPr>
          <w:ilvl w:val="0"/>
          <w:numId w:val="18"/>
        </w:numPr>
        <w:rPr>
          <w:color w:val="auto"/>
        </w:rPr>
      </w:pPr>
      <w:r>
        <w:rPr>
          <w:color w:val="auto"/>
        </w:rPr>
        <w:t xml:space="preserve">Procurement platform only. Framework and invoicing </w:t>
      </w:r>
      <w:proofErr w:type="gramStart"/>
      <w:r>
        <w:rPr>
          <w:color w:val="auto"/>
        </w:rPr>
        <w:t>remains</w:t>
      </w:r>
      <w:proofErr w:type="gramEnd"/>
      <w:r>
        <w:rPr>
          <w:color w:val="auto"/>
        </w:rPr>
        <w:t xml:space="preserve"> with Council. </w:t>
      </w:r>
    </w:p>
    <w:p w14:paraId="6EFF0427" w14:textId="77777777" w:rsidR="00B0271B" w:rsidRPr="003477DB" w:rsidRDefault="00B0271B" w:rsidP="00B0271B">
      <w:pPr>
        <w:pStyle w:val="Optional"/>
        <w:numPr>
          <w:ilvl w:val="0"/>
          <w:numId w:val="0"/>
        </w:numPr>
        <w:ind w:left="792"/>
        <w:rPr>
          <w:color w:val="auto"/>
        </w:rPr>
      </w:pPr>
    </w:p>
    <w:p w14:paraId="772E9787" w14:textId="364B6E05" w:rsidR="00D309A9" w:rsidRPr="003477DB" w:rsidRDefault="00D309A9" w:rsidP="008F632F">
      <w:pPr>
        <w:pStyle w:val="Optional"/>
        <w:rPr>
          <w:color w:val="auto"/>
        </w:rPr>
      </w:pPr>
      <w:r w:rsidRPr="003477DB">
        <w:rPr>
          <w:color w:val="auto"/>
        </w:rPr>
        <w:t xml:space="preserve"> This does not have to be reverse </w:t>
      </w:r>
      <w:proofErr w:type="gramStart"/>
      <w:r w:rsidRPr="003477DB">
        <w:rPr>
          <w:color w:val="auto"/>
        </w:rPr>
        <w:t>auction</w:t>
      </w:r>
      <w:proofErr w:type="gramEnd"/>
      <w:r w:rsidRPr="003477DB">
        <w:rPr>
          <w:color w:val="auto"/>
        </w:rPr>
        <w:t xml:space="preserve"> but any</w:t>
      </w:r>
      <w:r w:rsidR="00B0271B">
        <w:rPr>
          <w:color w:val="auto"/>
        </w:rPr>
        <w:t xml:space="preserve"> potential supplier would</w:t>
      </w:r>
      <w:r w:rsidRPr="003477DB">
        <w:rPr>
          <w:color w:val="auto"/>
        </w:rPr>
        <w:t xml:space="preserve"> be required to demonstrate how the</w:t>
      </w:r>
      <w:r w:rsidR="00B0271B">
        <w:rPr>
          <w:color w:val="auto"/>
        </w:rPr>
        <w:t>ir</w:t>
      </w:r>
      <w:r w:rsidRPr="003477DB">
        <w:rPr>
          <w:color w:val="auto"/>
        </w:rPr>
        <w:t xml:space="preserve"> platform achieves best value and evidence this. </w:t>
      </w:r>
    </w:p>
    <w:p w14:paraId="45F9F8B7" w14:textId="540B966E" w:rsidR="00D309A9" w:rsidRPr="003477DB" w:rsidRDefault="00D309A9" w:rsidP="00B0271B">
      <w:pPr>
        <w:pStyle w:val="Optional"/>
        <w:numPr>
          <w:ilvl w:val="0"/>
          <w:numId w:val="0"/>
        </w:numPr>
        <w:ind w:left="792"/>
        <w:rPr>
          <w:color w:val="auto"/>
        </w:rPr>
      </w:pPr>
    </w:p>
    <w:p w14:paraId="0B7A3CF8" w14:textId="4722504C" w:rsidR="00740580" w:rsidRDefault="00740580">
      <w:pPr>
        <w:rPr>
          <w:rFonts w:eastAsiaTheme="majorEastAsia" w:cstheme="majorBidi"/>
          <w:b/>
          <w:bCs/>
          <w:color w:val="00D2FF"/>
          <w:sz w:val="28"/>
          <w:szCs w:val="28"/>
        </w:rPr>
      </w:pPr>
    </w:p>
    <w:p w14:paraId="6B81BA93" w14:textId="77777777" w:rsidR="00CC58BD" w:rsidRPr="004B3DBA" w:rsidRDefault="00CC58BD" w:rsidP="0074170F">
      <w:pPr>
        <w:pStyle w:val="Heading1"/>
        <w:jc w:val="left"/>
        <w:rPr>
          <w:color w:val="0070C0"/>
        </w:rPr>
      </w:pPr>
      <w:r w:rsidRPr="004B3DBA">
        <w:rPr>
          <w:color w:val="0070C0"/>
        </w:rPr>
        <w:lastRenderedPageBreak/>
        <w:t>Section 3: Supporting information</w:t>
      </w:r>
    </w:p>
    <w:p w14:paraId="1F315FC4" w14:textId="77777777" w:rsidR="00207253" w:rsidRPr="000E295A" w:rsidRDefault="00207253" w:rsidP="008F632F">
      <w:pPr>
        <w:pStyle w:val="Heading2"/>
      </w:pPr>
      <w:r w:rsidRPr="004B3DBA">
        <w:rPr>
          <w:color w:val="00B050"/>
        </w:rPr>
        <w:t>Section A</w:t>
      </w:r>
      <w:r w:rsidR="000A60CE" w:rsidRPr="004B3DBA">
        <w:rPr>
          <w:color w:val="00B050"/>
        </w:rPr>
        <w:t>:</w:t>
      </w:r>
      <w:r w:rsidRPr="004B3DBA">
        <w:rPr>
          <w:color w:val="00B050"/>
        </w:rPr>
        <w:t xml:space="preserve"> Organisation and Contact Details</w:t>
      </w:r>
    </w:p>
    <w:tbl>
      <w:tblPr>
        <w:tblStyle w:val="TableGrid"/>
        <w:tblW w:w="5000" w:type="pct"/>
        <w:tblLook w:val="04A0" w:firstRow="1" w:lastRow="0" w:firstColumn="1" w:lastColumn="0" w:noHBand="0" w:noVBand="1"/>
      </w:tblPr>
      <w:tblGrid>
        <w:gridCol w:w="6657"/>
        <w:gridCol w:w="2359"/>
      </w:tblGrid>
      <w:tr w:rsidR="00207253" w:rsidRPr="000A60CE" w14:paraId="14693707" w14:textId="77777777" w:rsidTr="00740580">
        <w:tc>
          <w:tcPr>
            <w:tcW w:w="3692" w:type="pct"/>
            <w:shd w:val="clear" w:color="auto" w:fill="D9D9D9" w:themeFill="background1" w:themeFillShade="D9"/>
          </w:tcPr>
          <w:p w14:paraId="4433996D" w14:textId="77777777" w:rsidR="000E295A" w:rsidRPr="000A60CE" w:rsidRDefault="000A60CE" w:rsidP="00CC58BD">
            <w:pPr>
              <w:rPr>
                <w:rStyle w:val="Strong"/>
              </w:rPr>
            </w:pPr>
            <w:r w:rsidRPr="000A60CE">
              <w:rPr>
                <w:rStyle w:val="Strong"/>
              </w:rPr>
              <w:t>Question</w:t>
            </w:r>
          </w:p>
        </w:tc>
        <w:tc>
          <w:tcPr>
            <w:tcW w:w="1308" w:type="pct"/>
          </w:tcPr>
          <w:p w14:paraId="0A91BF6C" w14:textId="77777777" w:rsidR="000E295A" w:rsidRPr="000A60CE" w:rsidRDefault="000A60CE" w:rsidP="00CC58BD">
            <w:pPr>
              <w:rPr>
                <w:rStyle w:val="Strong"/>
              </w:rPr>
            </w:pPr>
            <w:r w:rsidRPr="000A60CE">
              <w:rPr>
                <w:rStyle w:val="Strong"/>
              </w:rPr>
              <w:t>Response</w:t>
            </w:r>
          </w:p>
        </w:tc>
      </w:tr>
      <w:tr w:rsidR="000A60CE" w14:paraId="71466069" w14:textId="77777777" w:rsidTr="00740580">
        <w:tc>
          <w:tcPr>
            <w:tcW w:w="3692" w:type="pct"/>
            <w:shd w:val="clear" w:color="auto" w:fill="D9D9D9" w:themeFill="background1" w:themeFillShade="D9"/>
          </w:tcPr>
          <w:p w14:paraId="2370C224" w14:textId="77777777" w:rsidR="000A60CE" w:rsidRDefault="000A60CE" w:rsidP="00CC58BD">
            <w:r>
              <w:t>Name of your organisation</w:t>
            </w:r>
          </w:p>
        </w:tc>
        <w:tc>
          <w:tcPr>
            <w:tcW w:w="1308" w:type="pct"/>
          </w:tcPr>
          <w:p w14:paraId="37D49434" w14:textId="77777777" w:rsidR="000A60CE" w:rsidRDefault="000A60CE" w:rsidP="00CC58BD"/>
        </w:tc>
      </w:tr>
      <w:tr w:rsidR="00207253" w14:paraId="366C789E" w14:textId="77777777" w:rsidTr="00740580">
        <w:tc>
          <w:tcPr>
            <w:tcW w:w="3692" w:type="pct"/>
            <w:shd w:val="clear" w:color="auto" w:fill="D9D9D9" w:themeFill="background1" w:themeFillShade="D9"/>
          </w:tcPr>
          <w:p w14:paraId="33ED8DF6" w14:textId="77777777" w:rsidR="000E295A" w:rsidRDefault="000E295A" w:rsidP="00CC58BD">
            <w:r>
              <w:t>Registered office (if applicable)</w:t>
            </w:r>
          </w:p>
        </w:tc>
        <w:tc>
          <w:tcPr>
            <w:tcW w:w="1308" w:type="pct"/>
          </w:tcPr>
          <w:p w14:paraId="3B6BECE9" w14:textId="77777777" w:rsidR="000E295A" w:rsidRDefault="000E295A" w:rsidP="00CC58BD"/>
        </w:tc>
      </w:tr>
      <w:tr w:rsidR="00207253" w14:paraId="0693B8BC" w14:textId="77777777" w:rsidTr="00740580">
        <w:tc>
          <w:tcPr>
            <w:tcW w:w="3692" w:type="pct"/>
            <w:shd w:val="clear" w:color="auto" w:fill="D9D9D9" w:themeFill="background1" w:themeFillShade="D9"/>
          </w:tcPr>
          <w:p w14:paraId="7A5C144B" w14:textId="77777777" w:rsidR="000E295A" w:rsidRDefault="000E295A" w:rsidP="00CC58BD">
            <w:r>
              <w:t>Trading address (if different from office)</w:t>
            </w:r>
          </w:p>
        </w:tc>
        <w:tc>
          <w:tcPr>
            <w:tcW w:w="1308" w:type="pct"/>
          </w:tcPr>
          <w:p w14:paraId="39838BB7" w14:textId="77777777" w:rsidR="000E295A" w:rsidRDefault="000E295A" w:rsidP="00CC58BD"/>
        </w:tc>
      </w:tr>
      <w:tr w:rsidR="00207253" w14:paraId="39B98436" w14:textId="77777777" w:rsidTr="00740580">
        <w:tc>
          <w:tcPr>
            <w:tcW w:w="3692" w:type="pct"/>
            <w:shd w:val="clear" w:color="auto" w:fill="D9D9D9" w:themeFill="background1" w:themeFillShade="D9"/>
          </w:tcPr>
          <w:p w14:paraId="6C22C22F" w14:textId="77777777" w:rsidR="000E295A" w:rsidRDefault="00207253" w:rsidP="00207253">
            <w:r>
              <w:t>What if any local connections do you have with the authority?</w:t>
            </w:r>
          </w:p>
        </w:tc>
        <w:tc>
          <w:tcPr>
            <w:tcW w:w="1308" w:type="pct"/>
          </w:tcPr>
          <w:p w14:paraId="0C8086A1" w14:textId="77777777" w:rsidR="000E295A" w:rsidRDefault="000E295A" w:rsidP="00CC58BD"/>
        </w:tc>
      </w:tr>
      <w:tr w:rsidR="00207253" w14:paraId="79DC2381" w14:textId="77777777" w:rsidTr="00740580">
        <w:tc>
          <w:tcPr>
            <w:tcW w:w="3692" w:type="pct"/>
            <w:shd w:val="clear" w:color="auto" w:fill="D9D9D9" w:themeFill="background1" w:themeFillShade="D9"/>
          </w:tcPr>
          <w:p w14:paraId="1D11EE86" w14:textId="77777777" w:rsidR="000E295A" w:rsidRDefault="00207253" w:rsidP="00CC58BD">
            <w:r>
              <w:t xml:space="preserve">Name of person whom an </w:t>
            </w:r>
            <w:proofErr w:type="gramStart"/>
            <w:r>
              <w:t>queries</w:t>
            </w:r>
            <w:proofErr w:type="gramEnd"/>
            <w:r>
              <w:t xml:space="preserve"> relating to this questionnaire should be addressed</w:t>
            </w:r>
          </w:p>
        </w:tc>
        <w:tc>
          <w:tcPr>
            <w:tcW w:w="1308" w:type="pct"/>
          </w:tcPr>
          <w:p w14:paraId="53F85B87" w14:textId="77777777" w:rsidR="000E295A" w:rsidRDefault="000E295A" w:rsidP="00CC58BD"/>
        </w:tc>
      </w:tr>
      <w:tr w:rsidR="00207253" w14:paraId="4E4DCDDF" w14:textId="77777777" w:rsidTr="00740580">
        <w:tc>
          <w:tcPr>
            <w:tcW w:w="3692" w:type="pct"/>
            <w:shd w:val="clear" w:color="auto" w:fill="D9D9D9" w:themeFill="background1" w:themeFillShade="D9"/>
          </w:tcPr>
          <w:p w14:paraId="0D4B076C" w14:textId="77777777" w:rsidR="000E295A" w:rsidRDefault="00207253" w:rsidP="00207253">
            <w:r>
              <w:t>Telephone Number(s)</w:t>
            </w:r>
          </w:p>
        </w:tc>
        <w:tc>
          <w:tcPr>
            <w:tcW w:w="1308" w:type="pct"/>
          </w:tcPr>
          <w:p w14:paraId="126881F2" w14:textId="77777777" w:rsidR="000E295A" w:rsidRDefault="000E295A" w:rsidP="00CC58BD"/>
        </w:tc>
      </w:tr>
      <w:tr w:rsidR="00207253" w14:paraId="4B1D3FEA" w14:textId="77777777" w:rsidTr="00740580">
        <w:tc>
          <w:tcPr>
            <w:tcW w:w="3692" w:type="pct"/>
            <w:shd w:val="clear" w:color="auto" w:fill="D9D9D9" w:themeFill="background1" w:themeFillShade="D9"/>
          </w:tcPr>
          <w:p w14:paraId="19DFBD41" w14:textId="77777777" w:rsidR="000E295A" w:rsidRDefault="00207253" w:rsidP="00CC58BD">
            <w:r>
              <w:t>Email</w:t>
            </w:r>
          </w:p>
        </w:tc>
        <w:tc>
          <w:tcPr>
            <w:tcW w:w="1308" w:type="pct"/>
          </w:tcPr>
          <w:p w14:paraId="376C26E7" w14:textId="77777777" w:rsidR="000E295A" w:rsidRDefault="000E295A" w:rsidP="00CC58BD"/>
        </w:tc>
      </w:tr>
      <w:tr w:rsidR="00207253" w14:paraId="41E4B893" w14:textId="77777777" w:rsidTr="00740580">
        <w:tc>
          <w:tcPr>
            <w:tcW w:w="3692" w:type="pct"/>
            <w:shd w:val="clear" w:color="auto" w:fill="D9D9D9" w:themeFill="background1" w:themeFillShade="D9"/>
          </w:tcPr>
          <w:p w14:paraId="3C29BF3D" w14:textId="77777777" w:rsidR="000E295A" w:rsidRDefault="00207253" w:rsidP="00CC58BD">
            <w:r>
              <w:t>Address if different to above</w:t>
            </w:r>
          </w:p>
        </w:tc>
        <w:tc>
          <w:tcPr>
            <w:tcW w:w="1308" w:type="pct"/>
          </w:tcPr>
          <w:p w14:paraId="289A48B9" w14:textId="77777777" w:rsidR="000E295A" w:rsidRDefault="000E295A" w:rsidP="00CC58BD"/>
        </w:tc>
      </w:tr>
    </w:tbl>
    <w:p w14:paraId="7E89B14C" w14:textId="77777777" w:rsidR="00CC58BD" w:rsidRPr="004B3DBA" w:rsidRDefault="00207253" w:rsidP="008F632F">
      <w:pPr>
        <w:pStyle w:val="Heading2"/>
        <w:rPr>
          <w:color w:val="00B050"/>
        </w:rPr>
      </w:pPr>
      <w:r w:rsidRPr="004B3DBA">
        <w:rPr>
          <w:color w:val="00B050"/>
        </w:rPr>
        <w:t>Section B</w:t>
      </w:r>
      <w:r w:rsidR="000A60CE" w:rsidRPr="004B3DBA">
        <w:rPr>
          <w:color w:val="00B050"/>
        </w:rPr>
        <w:t>:</w:t>
      </w:r>
      <w:r w:rsidRPr="004B3DBA">
        <w:rPr>
          <w:color w:val="00B050"/>
        </w:rPr>
        <w:t xml:space="preserve"> Questions</w:t>
      </w:r>
    </w:p>
    <w:p w14:paraId="03639EE8" w14:textId="4D60FE94" w:rsidR="000A60CE" w:rsidRPr="00207253" w:rsidRDefault="000A60CE" w:rsidP="000A60CE">
      <w:pPr>
        <w:rPr>
          <w:color w:val="FF0000"/>
        </w:rPr>
      </w:pPr>
      <w:r>
        <w:t xml:space="preserve">Please </w:t>
      </w:r>
      <w:proofErr w:type="gramStart"/>
      <w:r>
        <w:t>note:</w:t>
      </w:r>
      <w:proofErr w:type="gramEnd"/>
      <w:r>
        <w:t xml:space="preserve"> you do not need to resize the table; it will automatically adjust to fit your response.</w:t>
      </w:r>
    </w:p>
    <w:tbl>
      <w:tblPr>
        <w:tblStyle w:val="TableGrid"/>
        <w:tblW w:w="5000" w:type="pct"/>
        <w:tblLook w:val="04A0" w:firstRow="1" w:lastRow="0" w:firstColumn="1" w:lastColumn="0" w:noHBand="0" w:noVBand="1"/>
      </w:tblPr>
      <w:tblGrid>
        <w:gridCol w:w="6657"/>
        <w:gridCol w:w="2359"/>
      </w:tblGrid>
      <w:tr w:rsidR="000A60CE" w:rsidRPr="000A60CE" w14:paraId="30734F34" w14:textId="77777777" w:rsidTr="00740580">
        <w:tc>
          <w:tcPr>
            <w:tcW w:w="3692" w:type="pct"/>
            <w:shd w:val="clear" w:color="auto" w:fill="D9D9D9" w:themeFill="background1" w:themeFillShade="D9"/>
          </w:tcPr>
          <w:p w14:paraId="1FD3EC25" w14:textId="77777777" w:rsidR="000A60CE" w:rsidRPr="000A60CE" w:rsidRDefault="000A60CE" w:rsidP="008F632F">
            <w:pPr>
              <w:rPr>
                <w:rStyle w:val="Strong"/>
              </w:rPr>
            </w:pPr>
            <w:r w:rsidRPr="000A60CE">
              <w:rPr>
                <w:rStyle w:val="Strong"/>
              </w:rPr>
              <w:t>Question</w:t>
            </w:r>
          </w:p>
        </w:tc>
        <w:tc>
          <w:tcPr>
            <w:tcW w:w="1308" w:type="pct"/>
          </w:tcPr>
          <w:p w14:paraId="20171452" w14:textId="77777777" w:rsidR="000A60CE" w:rsidRPr="000A60CE" w:rsidRDefault="000A60CE" w:rsidP="008F632F">
            <w:pPr>
              <w:rPr>
                <w:rStyle w:val="Strong"/>
              </w:rPr>
            </w:pPr>
            <w:r w:rsidRPr="000A60CE">
              <w:rPr>
                <w:rStyle w:val="Strong"/>
              </w:rPr>
              <w:t>Response</w:t>
            </w:r>
          </w:p>
        </w:tc>
      </w:tr>
      <w:tr w:rsidR="000A60CE" w14:paraId="33E8E7A5" w14:textId="77777777" w:rsidTr="00740580">
        <w:tc>
          <w:tcPr>
            <w:tcW w:w="3692" w:type="pct"/>
            <w:shd w:val="clear" w:color="auto" w:fill="D9D9D9" w:themeFill="background1" w:themeFillShade="D9"/>
          </w:tcPr>
          <w:p w14:paraId="52B24752" w14:textId="77777777" w:rsidR="000A60CE" w:rsidRPr="00B0271B" w:rsidRDefault="000A60CE" w:rsidP="008F632F">
            <w:r w:rsidRPr="00B0271B">
              <w:t>What is the name of the solution you propose?</w:t>
            </w:r>
          </w:p>
        </w:tc>
        <w:tc>
          <w:tcPr>
            <w:tcW w:w="1308" w:type="pct"/>
          </w:tcPr>
          <w:p w14:paraId="1C66EEEE" w14:textId="77777777" w:rsidR="000A60CE" w:rsidRDefault="000A60CE" w:rsidP="008F632F"/>
        </w:tc>
      </w:tr>
      <w:tr w:rsidR="000A60CE" w14:paraId="1183449E" w14:textId="77777777" w:rsidTr="00740580">
        <w:tc>
          <w:tcPr>
            <w:tcW w:w="3692" w:type="pct"/>
            <w:shd w:val="clear" w:color="auto" w:fill="D9D9D9" w:themeFill="background1" w:themeFillShade="D9"/>
          </w:tcPr>
          <w:p w14:paraId="090B6DDA" w14:textId="4A36107A" w:rsidR="000A60CE" w:rsidRPr="00B0271B" w:rsidRDefault="000A60CE" w:rsidP="008F632F">
            <w:r w:rsidRPr="00B0271B">
              <w:t xml:space="preserve">How will your proposal meet </w:t>
            </w:r>
            <w:r w:rsidR="00B0271B" w:rsidRPr="00B0271B">
              <w:t xml:space="preserve">our </w:t>
            </w:r>
            <w:r w:rsidRPr="00B0271B">
              <w:t>need?</w:t>
            </w:r>
          </w:p>
        </w:tc>
        <w:tc>
          <w:tcPr>
            <w:tcW w:w="1308" w:type="pct"/>
          </w:tcPr>
          <w:p w14:paraId="1681ED8F" w14:textId="77777777" w:rsidR="000A60CE" w:rsidRDefault="000A60CE" w:rsidP="008F632F"/>
        </w:tc>
      </w:tr>
      <w:tr w:rsidR="000A60CE" w14:paraId="37C42362" w14:textId="77777777" w:rsidTr="00740580">
        <w:tc>
          <w:tcPr>
            <w:tcW w:w="3692" w:type="pct"/>
            <w:shd w:val="clear" w:color="auto" w:fill="D9D9D9" w:themeFill="background1" w:themeFillShade="D9"/>
          </w:tcPr>
          <w:p w14:paraId="73EC27AE" w14:textId="77777777" w:rsidR="000A60CE" w:rsidRPr="00B0271B" w:rsidRDefault="000A60CE" w:rsidP="008F632F">
            <w:r w:rsidRPr="00B0271B">
              <w:t>How long would your proposal take to implement?</w:t>
            </w:r>
          </w:p>
        </w:tc>
        <w:tc>
          <w:tcPr>
            <w:tcW w:w="1308" w:type="pct"/>
          </w:tcPr>
          <w:p w14:paraId="45BB2696" w14:textId="77777777" w:rsidR="000A60CE" w:rsidRDefault="000A60CE" w:rsidP="008F632F"/>
        </w:tc>
      </w:tr>
      <w:tr w:rsidR="000A60CE" w14:paraId="1E0FB22D" w14:textId="77777777" w:rsidTr="00740580">
        <w:tc>
          <w:tcPr>
            <w:tcW w:w="3692" w:type="pct"/>
            <w:shd w:val="clear" w:color="auto" w:fill="D9D9D9" w:themeFill="background1" w:themeFillShade="D9"/>
          </w:tcPr>
          <w:p w14:paraId="7A8E26BD" w14:textId="77777777" w:rsidR="000A60CE" w:rsidRPr="00B0271B" w:rsidRDefault="000A60CE" w:rsidP="008F632F">
            <w:r w:rsidRPr="00B0271B">
              <w:t>If your proposal is already in use elsewhere: please give an example of your proposed solution in use and state how it has met the requirements of the customer.</w:t>
            </w:r>
          </w:p>
        </w:tc>
        <w:tc>
          <w:tcPr>
            <w:tcW w:w="1308" w:type="pct"/>
          </w:tcPr>
          <w:p w14:paraId="3A710D15" w14:textId="77777777" w:rsidR="000A60CE" w:rsidRDefault="000A60CE" w:rsidP="008F632F"/>
        </w:tc>
      </w:tr>
      <w:tr w:rsidR="000A60CE" w14:paraId="4A7744E9" w14:textId="77777777" w:rsidTr="00740580">
        <w:tc>
          <w:tcPr>
            <w:tcW w:w="3692" w:type="pct"/>
            <w:shd w:val="clear" w:color="auto" w:fill="D9D9D9" w:themeFill="background1" w:themeFillShade="D9"/>
          </w:tcPr>
          <w:p w14:paraId="5B333021" w14:textId="2E4904D9" w:rsidR="000A60CE" w:rsidRPr="00B0271B" w:rsidRDefault="00B0271B" w:rsidP="008F632F">
            <w:r w:rsidRPr="00B0271B">
              <w:t>Can you offer any data warehousing/Power BI platform alongside your product that the Council could utilise</w:t>
            </w:r>
            <w:r w:rsidR="0074170F">
              <w:t>.</w:t>
            </w:r>
          </w:p>
        </w:tc>
        <w:tc>
          <w:tcPr>
            <w:tcW w:w="1308" w:type="pct"/>
          </w:tcPr>
          <w:p w14:paraId="55CA3C47" w14:textId="77777777" w:rsidR="000A60CE" w:rsidRDefault="000A60CE" w:rsidP="008F632F"/>
        </w:tc>
      </w:tr>
      <w:tr w:rsidR="008043BB" w14:paraId="50FD40CD" w14:textId="77777777" w:rsidTr="00740580">
        <w:tc>
          <w:tcPr>
            <w:tcW w:w="3692" w:type="pct"/>
            <w:shd w:val="clear" w:color="auto" w:fill="D9D9D9" w:themeFill="background1" w:themeFillShade="D9"/>
          </w:tcPr>
          <w:p w14:paraId="2D021156" w14:textId="2422D4CE" w:rsidR="008043BB" w:rsidRPr="00B0271B" w:rsidRDefault="008043BB" w:rsidP="008F632F">
            <w:r>
              <w:t xml:space="preserve">In which country/region is your solution hosted? </w:t>
            </w:r>
          </w:p>
        </w:tc>
        <w:tc>
          <w:tcPr>
            <w:tcW w:w="1308" w:type="pct"/>
          </w:tcPr>
          <w:p w14:paraId="435FE5BC" w14:textId="77777777" w:rsidR="008043BB" w:rsidRDefault="008043BB" w:rsidP="008F632F"/>
        </w:tc>
      </w:tr>
      <w:tr w:rsidR="000A60CE" w14:paraId="74C67EFD" w14:textId="77777777" w:rsidTr="00740580">
        <w:tc>
          <w:tcPr>
            <w:tcW w:w="3692" w:type="pct"/>
            <w:shd w:val="clear" w:color="auto" w:fill="D9D9D9" w:themeFill="background1" w:themeFillShade="D9"/>
          </w:tcPr>
          <w:p w14:paraId="5C9B85AB" w14:textId="526E897D" w:rsidR="000A60CE" w:rsidRDefault="008F5504" w:rsidP="008F632F">
            <w:r>
              <w:t xml:space="preserve">Any solution must include resources and systems that allow for regular automated and timely extraction of data into Council systems. Please outline how your solution achieves this.  </w:t>
            </w:r>
          </w:p>
        </w:tc>
        <w:tc>
          <w:tcPr>
            <w:tcW w:w="1308" w:type="pct"/>
          </w:tcPr>
          <w:p w14:paraId="5563E7F5" w14:textId="77777777" w:rsidR="000A60CE" w:rsidRDefault="000A60CE" w:rsidP="008F632F"/>
        </w:tc>
      </w:tr>
      <w:tr w:rsidR="000A60CE" w14:paraId="6C5B8F68" w14:textId="77777777" w:rsidTr="00740580">
        <w:tc>
          <w:tcPr>
            <w:tcW w:w="3692" w:type="pct"/>
            <w:shd w:val="clear" w:color="auto" w:fill="D9D9D9" w:themeFill="background1" w:themeFillShade="D9"/>
          </w:tcPr>
          <w:p w14:paraId="7E0299B5" w14:textId="27ECB77A" w:rsidR="000A60CE" w:rsidRDefault="0074170F" w:rsidP="008F632F">
            <w:r>
              <w:t>How quickly could your solution be implemented and will it include all resources associated with data migration, cleansing and formatting</w:t>
            </w:r>
            <w:r w:rsidR="008F5504">
              <w:t xml:space="preserve"> </w:t>
            </w:r>
            <w:r>
              <w:t xml:space="preserve">if required. </w:t>
            </w:r>
          </w:p>
        </w:tc>
        <w:tc>
          <w:tcPr>
            <w:tcW w:w="1308" w:type="pct"/>
          </w:tcPr>
          <w:p w14:paraId="44CFA0E0" w14:textId="77777777" w:rsidR="000A60CE" w:rsidRDefault="000A60CE" w:rsidP="008F632F"/>
        </w:tc>
      </w:tr>
      <w:tr w:rsidR="0074170F" w14:paraId="7F9D5540" w14:textId="77777777" w:rsidTr="00740580">
        <w:tc>
          <w:tcPr>
            <w:tcW w:w="3692" w:type="pct"/>
            <w:shd w:val="clear" w:color="auto" w:fill="D9D9D9" w:themeFill="background1" w:themeFillShade="D9"/>
          </w:tcPr>
          <w:p w14:paraId="1496200D" w14:textId="5205E084" w:rsidR="0074170F" w:rsidRDefault="0074170F" w:rsidP="008F632F">
            <w:r>
              <w:t>Indicative costs of your solution, including implementation, annual licencing. Note: please base costs on current contract values</w:t>
            </w:r>
            <w:r w:rsidR="008F5504">
              <w:t xml:space="preserve"> and contract </w:t>
            </w:r>
            <w:r>
              <w:t>numbers</w:t>
            </w:r>
            <w:r w:rsidR="008F5504">
              <w:t xml:space="preserve"> outlined earlier, with up to 50 Council users. </w:t>
            </w:r>
          </w:p>
        </w:tc>
        <w:tc>
          <w:tcPr>
            <w:tcW w:w="1308" w:type="pct"/>
          </w:tcPr>
          <w:p w14:paraId="5E586165" w14:textId="77777777" w:rsidR="0074170F" w:rsidRDefault="0074170F" w:rsidP="008F632F"/>
        </w:tc>
      </w:tr>
      <w:tr w:rsidR="0074170F" w14:paraId="3E66CB4B" w14:textId="77777777" w:rsidTr="00740580">
        <w:tc>
          <w:tcPr>
            <w:tcW w:w="3692" w:type="pct"/>
            <w:shd w:val="clear" w:color="auto" w:fill="D9D9D9" w:themeFill="background1" w:themeFillShade="D9"/>
          </w:tcPr>
          <w:p w14:paraId="38958648" w14:textId="78710899" w:rsidR="008F5504" w:rsidRDefault="008F5504" w:rsidP="008F632F">
            <w:r>
              <w:t xml:space="preserve">What additional features does your solution offer that can help achieve the Council’s objectives outlined earlier. </w:t>
            </w:r>
          </w:p>
        </w:tc>
        <w:tc>
          <w:tcPr>
            <w:tcW w:w="1308" w:type="pct"/>
          </w:tcPr>
          <w:p w14:paraId="5B4D4542" w14:textId="77777777" w:rsidR="0074170F" w:rsidRDefault="0074170F" w:rsidP="008F632F"/>
        </w:tc>
      </w:tr>
    </w:tbl>
    <w:p w14:paraId="0F99876A" w14:textId="2363CA40" w:rsidR="00207253" w:rsidRPr="00207253" w:rsidRDefault="00207253" w:rsidP="008F5504"/>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05C0" w14:textId="77777777" w:rsidR="00FC4A2A" w:rsidRDefault="00FC4A2A" w:rsidP="00E02C0A">
      <w:pPr>
        <w:spacing w:after="0" w:line="240" w:lineRule="auto"/>
      </w:pPr>
      <w:r>
        <w:separator/>
      </w:r>
    </w:p>
  </w:endnote>
  <w:endnote w:type="continuationSeparator" w:id="0">
    <w:p w14:paraId="35F24F30" w14:textId="77777777" w:rsidR="00FC4A2A" w:rsidRDefault="00FC4A2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09E9" w14:textId="77777777" w:rsidR="00FC4A2A" w:rsidRDefault="00FC4A2A" w:rsidP="00E02C0A">
      <w:pPr>
        <w:spacing w:after="0" w:line="240" w:lineRule="auto"/>
      </w:pPr>
      <w:r>
        <w:separator/>
      </w:r>
    </w:p>
  </w:footnote>
  <w:footnote w:type="continuationSeparator" w:id="0">
    <w:p w14:paraId="338FA8D3" w14:textId="77777777" w:rsidR="00FC4A2A" w:rsidRDefault="00FC4A2A"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7133" w14:textId="77777777"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61312" behindDoc="0" locked="0" layoutInCell="1" allowOverlap="1" wp14:anchorId="7169C4E2" wp14:editId="01B30C2A">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CE656B0" w14:textId="77777777"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9C4E2"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4CE656B0" w14:textId="77777777" w:rsidR="00E02C0A" w:rsidRPr="00D32C66" w:rsidRDefault="00E02C0A" w:rsidP="00E02C0A">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C2B9B"/>
    <w:multiLevelType w:val="hybridMultilevel"/>
    <w:tmpl w:val="0FE66BF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999"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4808">
    <w:abstractNumId w:val="15"/>
  </w:num>
  <w:num w:numId="2" w16cid:durableId="164783904">
    <w:abstractNumId w:val="13"/>
  </w:num>
  <w:num w:numId="3" w16cid:durableId="483277857">
    <w:abstractNumId w:val="14"/>
  </w:num>
  <w:num w:numId="4" w16cid:durableId="1304626469">
    <w:abstractNumId w:val="16"/>
  </w:num>
  <w:num w:numId="5" w16cid:durableId="134957707">
    <w:abstractNumId w:val="9"/>
  </w:num>
  <w:num w:numId="6" w16cid:durableId="1371296499">
    <w:abstractNumId w:val="7"/>
  </w:num>
  <w:num w:numId="7" w16cid:durableId="258489810">
    <w:abstractNumId w:val="6"/>
  </w:num>
  <w:num w:numId="8" w16cid:durableId="230114525">
    <w:abstractNumId w:val="5"/>
  </w:num>
  <w:num w:numId="9" w16cid:durableId="3165989">
    <w:abstractNumId w:val="4"/>
  </w:num>
  <w:num w:numId="10" w16cid:durableId="1502114440">
    <w:abstractNumId w:val="8"/>
  </w:num>
  <w:num w:numId="11" w16cid:durableId="149711042">
    <w:abstractNumId w:val="3"/>
  </w:num>
  <w:num w:numId="12" w16cid:durableId="676885543">
    <w:abstractNumId w:val="2"/>
  </w:num>
  <w:num w:numId="13" w16cid:durableId="1783840741">
    <w:abstractNumId w:val="1"/>
  </w:num>
  <w:num w:numId="14" w16cid:durableId="1717700436">
    <w:abstractNumId w:val="0"/>
  </w:num>
  <w:num w:numId="15" w16cid:durableId="208302789">
    <w:abstractNumId w:val="17"/>
  </w:num>
  <w:num w:numId="16" w16cid:durableId="2114548414">
    <w:abstractNumId w:val="11"/>
  </w:num>
  <w:num w:numId="17" w16cid:durableId="1789859630">
    <w:abstractNumId w:val="12"/>
  </w:num>
  <w:num w:numId="18" w16cid:durableId="1368487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DA"/>
    <w:rsid w:val="00014820"/>
    <w:rsid w:val="000352F9"/>
    <w:rsid w:val="00074E59"/>
    <w:rsid w:val="000A60CE"/>
    <w:rsid w:val="000B6B6B"/>
    <w:rsid w:val="000C227E"/>
    <w:rsid w:val="000E0FDA"/>
    <w:rsid w:val="000E295A"/>
    <w:rsid w:val="00146844"/>
    <w:rsid w:val="001C611F"/>
    <w:rsid w:val="001D1BFA"/>
    <w:rsid w:val="00207253"/>
    <w:rsid w:val="00214D8C"/>
    <w:rsid w:val="002B7C81"/>
    <w:rsid w:val="0031012F"/>
    <w:rsid w:val="00325F7E"/>
    <w:rsid w:val="003413D7"/>
    <w:rsid w:val="003477DB"/>
    <w:rsid w:val="00347DEA"/>
    <w:rsid w:val="003A73C6"/>
    <w:rsid w:val="003B49DF"/>
    <w:rsid w:val="003C1033"/>
    <w:rsid w:val="004021EE"/>
    <w:rsid w:val="00415E0D"/>
    <w:rsid w:val="004B11BF"/>
    <w:rsid w:val="004B3DBA"/>
    <w:rsid w:val="004C09BA"/>
    <w:rsid w:val="004D4DFD"/>
    <w:rsid w:val="004E5CCF"/>
    <w:rsid w:val="00522ADB"/>
    <w:rsid w:val="0055544B"/>
    <w:rsid w:val="00577011"/>
    <w:rsid w:val="005B083C"/>
    <w:rsid w:val="005C5EDA"/>
    <w:rsid w:val="005E0BF1"/>
    <w:rsid w:val="005F4765"/>
    <w:rsid w:val="005F7014"/>
    <w:rsid w:val="006031F1"/>
    <w:rsid w:val="00631C96"/>
    <w:rsid w:val="0065303B"/>
    <w:rsid w:val="00697234"/>
    <w:rsid w:val="006A6460"/>
    <w:rsid w:val="006B0354"/>
    <w:rsid w:val="006B2915"/>
    <w:rsid w:val="006F18FA"/>
    <w:rsid w:val="006F3379"/>
    <w:rsid w:val="00725B41"/>
    <w:rsid w:val="00740580"/>
    <w:rsid w:val="0074170F"/>
    <w:rsid w:val="00742C7B"/>
    <w:rsid w:val="00764DDC"/>
    <w:rsid w:val="0077471D"/>
    <w:rsid w:val="0077774B"/>
    <w:rsid w:val="007A5B87"/>
    <w:rsid w:val="007C3AB7"/>
    <w:rsid w:val="007F1F49"/>
    <w:rsid w:val="008043BB"/>
    <w:rsid w:val="00807E62"/>
    <w:rsid w:val="00817BAB"/>
    <w:rsid w:val="008813BD"/>
    <w:rsid w:val="008923EF"/>
    <w:rsid w:val="008C088B"/>
    <w:rsid w:val="008D0B17"/>
    <w:rsid w:val="008E065E"/>
    <w:rsid w:val="008E3F92"/>
    <w:rsid w:val="008F5504"/>
    <w:rsid w:val="008F632F"/>
    <w:rsid w:val="0092376E"/>
    <w:rsid w:val="00951B45"/>
    <w:rsid w:val="009542AB"/>
    <w:rsid w:val="00960625"/>
    <w:rsid w:val="00970F70"/>
    <w:rsid w:val="009B1E47"/>
    <w:rsid w:val="009E76B5"/>
    <w:rsid w:val="00A6312E"/>
    <w:rsid w:val="00AF4590"/>
    <w:rsid w:val="00B0271B"/>
    <w:rsid w:val="00B07E3E"/>
    <w:rsid w:val="00B10C3E"/>
    <w:rsid w:val="00B450F2"/>
    <w:rsid w:val="00B53EEB"/>
    <w:rsid w:val="00B77532"/>
    <w:rsid w:val="00BA2635"/>
    <w:rsid w:val="00BD34D1"/>
    <w:rsid w:val="00C12C80"/>
    <w:rsid w:val="00C948C2"/>
    <w:rsid w:val="00CC0A5A"/>
    <w:rsid w:val="00CC58BD"/>
    <w:rsid w:val="00CE7271"/>
    <w:rsid w:val="00D21394"/>
    <w:rsid w:val="00D309A9"/>
    <w:rsid w:val="00D40A5D"/>
    <w:rsid w:val="00D56EA8"/>
    <w:rsid w:val="00D65A30"/>
    <w:rsid w:val="00DD1D6E"/>
    <w:rsid w:val="00DD2A6A"/>
    <w:rsid w:val="00DE13B5"/>
    <w:rsid w:val="00DF05AF"/>
    <w:rsid w:val="00E02C0A"/>
    <w:rsid w:val="00E21895"/>
    <w:rsid w:val="00E51E38"/>
    <w:rsid w:val="00E61F2D"/>
    <w:rsid w:val="00E76242"/>
    <w:rsid w:val="00EA3E22"/>
    <w:rsid w:val="00F11F24"/>
    <w:rsid w:val="00F1425B"/>
    <w:rsid w:val="00FC4A2A"/>
    <w:rsid w:val="00FC4CDD"/>
    <w:rsid w:val="00FC4CE3"/>
    <w:rsid w:val="00FD2422"/>
    <w:rsid w:val="10CCC9C9"/>
    <w:rsid w:val="675B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94B1"/>
  <w15:docId w15:val="{756E1CF4-BDDE-4346-A429-ECD3431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ind w:left="792"/>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7F1F49"/>
    <w:rPr>
      <w:sz w:val="16"/>
      <w:szCs w:val="16"/>
    </w:rPr>
  </w:style>
  <w:style w:type="paragraph" w:styleId="CommentText">
    <w:name w:val="annotation text"/>
    <w:basedOn w:val="Normal"/>
    <w:link w:val="CommentTextChar"/>
    <w:uiPriority w:val="99"/>
    <w:semiHidden/>
    <w:unhideWhenUsed/>
    <w:rsid w:val="007F1F49"/>
    <w:pPr>
      <w:spacing w:line="240" w:lineRule="auto"/>
    </w:pPr>
    <w:rPr>
      <w:sz w:val="20"/>
      <w:szCs w:val="20"/>
    </w:rPr>
  </w:style>
  <w:style w:type="character" w:customStyle="1" w:styleId="CommentTextChar">
    <w:name w:val="Comment Text Char"/>
    <w:basedOn w:val="DefaultParagraphFont"/>
    <w:link w:val="CommentText"/>
    <w:uiPriority w:val="99"/>
    <w:semiHidden/>
    <w:rsid w:val="007F1F49"/>
    <w:rPr>
      <w:sz w:val="20"/>
      <w:szCs w:val="20"/>
    </w:rPr>
  </w:style>
  <w:style w:type="paragraph" w:styleId="CommentSubject">
    <w:name w:val="annotation subject"/>
    <w:basedOn w:val="CommentText"/>
    <w:next w:val="CommentText"/>
    <w:link w:val="CommentSubjectChar"/>
    <w:uiPriority w:val="99"/>
    <w:semiHidden/>
    <w:unhideWhenUsed/>
    <w:rsid w:val="007F1F49"/>
    <w:rPr>
      <w:b/>
      <w:bCs/>
    </w:rPr>
  </w:style>
  <w:style w:type="character" w:customStyle="1" w:styleId="CommentSubjectChar">
    <w:name w:val="Comment Subject Char"/>
    <w:basedOn w:val="CommentTextChar"/>
    <w:link w:val="CommentSubject"/>
    <w:uiPriority w:val="99"/>
    <w:semiHidden/>
    <w:rsid w:val="007F1F49"/>
    <w:rPr>
      <w:b/>
      <w:bCs/>
      <w:sz w:val="20"/>
      <w:szCs w:val="20"/>
    </w:rPr>
  </w:style>
  <w:style w:type="character" w:styleId="UnresolvedMention">
    <w:name w:val="Unresolved Mention"/>
    <w:basedOn w:val="DefaultParagraphFont"/>
    <w:uiPriority w:val="99"/>
    <w:semiHidden/>
    <w:unhideWhenUsed/>
    <w:rsid w:val="00BA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rdan.payne@westnorthant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8be84246-6fab-476c-af9b-830f6921e22d" xsi:nil="true"/>
    <lcf76f155ced4ddcb4097134ff3c332f xmlns="5ad91eb0-fbcf-45fa-a26e-ab4842738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001182308915f69144ea0ab7fcda1642">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54f8707ba238d3af88a829b0d19bea8"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8be84246-6fab-476c-af9b-830f6921e22d"/>
    <ds:schemaRef ds:uri="5ad91eb0-fbcf-45fa-a26e-ab4842738391"/>
    <ds:schemaRef ds:uri="http://schemas.microsoft.com/office/infopath/2007/PartnerControls"/>
  </ds:schemaRefs>
</ds:datastoreItem>
</file>

<file path=customXml/itemProps3.xml><?xml version="1.0" encoding="utf-8"?>
<ds:datastoreItem xmlns:ds="http://schemas.openxmlformats.org/officeDocument/2006/customXml" ds:itemID="{39596AB7-C66B-42E5-8513-F0590642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Jordan Payne</dc:creator>
  <cp:keywords>LGSS Template</cp:keywords>
  <dc:description/>
  <cp:lastModifiedBy>Jordan Payne</cp:lastModifiedBy>
  <cp:revision>8</cp:revision>
  <dcterms:created xsi:type="dcterms:W3CDTF">2025-01-10T14:19:00Z</dcterms:created>
  <dcterms:modified xsi:type="dcterms:W3CDTF">2025-01-16T12:26:00Z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y fmtid="{D5CDD505-2E9C-101B-9397-08002B2CF9AE}" pid="3" name="MediaServiceImageTags">
    <vt:lpwstr/>
  </property>
</Properties>
</file>