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370C6AC3" w:rsidR="001C6FF7" w:rsidRPr="00DE2030" w:rsidRDefault="00F541AF" w:rsidP="00363614">
      <w:pPr>
        <w:spacing w:before="120" w:line="276" w:lineRule="auto"/>
        <w:jc w:val="both"/>
        <w:rPr>
          <w:b/>
          <w:sz w:val="24"/>
          <w:szCs w:val="24"/>
        </w:rPr>
      </w:pPr>
      <w:r>
        <w:rPr>
          <w:b/>
          <w:sz w:val="24"/>
          <w:szCs w:val="24"/>
        </w:rPr>
        <w:t xml:space="preserve">Educational Theatre </w:t>
      </w:r>
      <w:r w:rsidR="00DF1166">
        <w:rPr>
          <w:b/>
          <w:sz w:val="24"/>
          <w:szCs w:val="24"/>
        </w:rPr>
        <w:t>-</w:t>
      </w:r>
      <w:r>
        <w:rPr>
          <w:b/>
          <w:sz w:val="24"/>
          <w:szCs w:val="24"/>
        </w:rPr>
        <w:t xml:space="preserve"> Road Safety and Active Travel </w:t>
      </w:r>
    </w:p>
    <w:p w14:paraId="3844D1B4" w14:textId="6F8851F7"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00EB4A78" w:rsidRPr="00EB4A78">
        <w:rPr>
          <w:rFonts w:asciiTheme="minorHAnsi" w:hAnsiTheme="minorHAnsi" w:cs="Arial"/>
          <w:b/>
          <w:bCs/>
          <w:sz w:val="22"/>
          <w:szCs w:val="22"/>
          <w:lang w:val="en-GB"/>
        </w:rPr>
        <w:t>30th October 2023 – 29th October 2026</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7BE1C895" w:rsidR="00C82F4C" w:rsidRDefault="00A5403D" w:rsidP="5C763FA7">
      <w:pPr>
        <w:pStyle w:val="Default"/>
        <w:spacing w:line="276" w:lineRule="auto"/>
        <w:rPr>
          <w:rFonts w:asciiTheme="minorHAnsi" w:hAnsiTheme="minorHAnsi" w:cs="Arial"/>
          <w:sz w:val="22"/>
          <w:szCs w:val="22"/>
        </w:rPr>
      </w:pPr>
      <w:r w:rsidRPr="5C763FA7">
        <w:rPr>
          <w:rFonts w:asciiTheme="minorHAnsi" w:hAnsiTheme="minorHAnsi" w:cs="Arial"/>
          <w:sz w:val="22"/>
          <w:szCs w:val="22"/>
        </w:rPr>
        <w:t>Lambeth Council are seeking quotes for the commission of Educational Theatre which will promote road safety and active travel 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45B2727A" w14:textId="6B126E9E" w:rsidR="00963B84" w:rsidRDefault="00963B84" w:rsidP="00963B84">
      <w:pPr>
        <w:spacing w:before="120" w:after="120" w:line="276" w:lineRule="auto"/>
        <w:jc w:val="both"/>
      </w:pPr>
      <w:r>
        <w:t>Lambeth Council is looking for a theatre company that can deliver 30 sessions of in-school theatre performances</w:t>
      </w:r>
      <w:r w:rsidR="009A5633">
        <w:t xml:space="preserve"> on</w:t>
      </w:r>
      <w:r>
        <w:t xml:space="preserve"> road safety. The Educational Theatre should target Key Stage 1 &amp; 2 pupils, and Year 7s with messaging about safe behaviours on the roads as well as the benefits of active travel. </w:t>
      </w:r>
    </w:p>
    <w:p w14:paraId="329C3FD6" w14:textId="77777777" w:rsidR="00AA5070" w:rsidRDefault="00963B84" w:rsidP="00AA5070">
      <w:pPr>
        <w:spacing w:before="120" w:after="120" w:line="276" w:lineRule="auto"/>
        <w:jc w:val="both"/>
      </w:pPr>
      <w:r>
        <w:t xml:space="preserve">We are seeking applications from organisations who have experience in the field and that already have established connections with the schools in the borough. </w:t>
      </w:r>
    </w:p>
    <w:p w14:paraId="4737920A" w14:textId="5CB14E2E" w:rsidR="00AA5070" w:rsidRPr="00046DC9" w:rsidRDefault="00AA5070" w:rsidP="00AA5070">
      <w:pPr>
        <w:spacing w:before="120" w:after="120" w:line="276" w:lineRule="auto"/>
        <w:jc w:val="both"/>
      </w:pPr>
      <w:r w:rsidRPr="00F723D1">
        <w:t>With direction from Lambeth Council officers, the</w:t>
      </w:r>
      <w:r>
        <w:t xml:space="preserve"> provider will </w:t>
      </w:r>
      <w:proofErr w:type="gramStart"/>
      <w:r>
        <w:t>be in charge of</w:t>
      </w:r>
      <w:proofErr w:type="gramEnd"/>
      <w:r>
        <w:t xml:space="preserve"> contacting and booking training with schools. The training package should include booking training with the schools; providing required documentation (including risk assessments, parental consent etc.) and providing DBS checked staff members. The provider should ensure that the end user understands that the training is provided by Lambeth and delivered by them as part of the Big Shift initiative to encourage active travel.</w:t>
      </w:r>
    </w:p>
    <w:p w14:paraId="3BC3FC7F" w14:textId="1BB37B8D" w:rsidR="00963B84" w:rsidRPr="00046DC9" w:rsidRDefault="00963B84" w:rsidP="00963B84">
      <w:pPr>
        <w:spacing w:before="120" w:after="120" w:line="276" w:lineRule="auto"/>
        <w:jc w:val="both"/>
      </w:pPr>
      <w:r>
        <w:t>Your response must clearly outline the content of the performances and how you will engage with students, how you plan to monitor and report on the student’s learning and your experience of working on similar projects.</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185EEAF8" w14:textId="35CF9C33" w:rsidR="00F43855" w:rsidRDefault="00B3041C" w:rsidP="00363614">
      <w:pPr>
        <w:pStyle w:val="ListParagraph"/>
        <w:numPr>
          <w:ilvl w:val="2"/>
          <w:numId w:val="2"/>
        </w:numPr>
        <w:spacing w:before="120" w:after="120" w:line="276" w:lineRule="auto"/>
        <w:jc w:val="both"/>
        <w:rPr>
          <w:bCs/>
        </w:rPr>
      </w:pPr>
      <w:r>
        <w:rPr>
          <w:bCs/>
        </w:rPr>
        <w:t>The</w:t>
      </w:r>
      <w:r w:rsidRPr="00B3041C">
        <w:rPr>
          <w:bCs/>
        </w:rPr>
        <w:t xml:space="preserve"> project will teach pupils about road safety and promote active travel in an engaging way.</w:t>
      </w:r>
    </w:p>
    <w:p w14:paraId="7DF97C40" w14:textId="77777777" w:rsidR="00046DC9" w:rsidRPr="00046DC9" w:rsidRDefault="00046DC9" w:rsidP="00363614">
      <w:pPr>
        <w:spacing w:before="120" w:after="120" w:line="276" w:lineRule="auto"/>
        <w:jc w:val="both"/>
        <w:rPr>
          <w:bCs/>
        </w:rPr>
      </w:pP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t>Participant Criteria</w:t>
      </w:r>
    </w:p>
    <w:p w14:paraId="4267DFB1" w14:textId="00F05553" w:rsidR="004734BD" w:rsidRPr="006340CB" w:rsidRDefault="00285725" w:rsidP="006340CB">
      <w:pPr>
        <w:pStyle w:val="ListParagraph"/>
        <w:numPr>
          <w:ilvl w:val="2"/>
          <w:numId w:val="2"/>
        </w:numPr>
        <w:spacing w:line="276" w:lineRule="auto"/>
      </w:pPr>
      <w:r>
        <w:t xml:space="preserve">Key Stage 1 &amp; 2 pupils, and Year 7s at Lambeth schools </w:t>
      </w:r>
    </w:p>
    <w:p w14:paraId="64C21AFB"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41E255E7" w14:textId="77777777" w:rsidR="0095146A" w:rsidRPr="007332A1" w:rsidRDefault="0095146A" w:rsidP="0095146A">
      <w:pPr>
        <w:spacing w:line="276" w:lineRule="auto"/>
      </w:pPr>
      <w:r w:rsidRPr="007332A1">
        <w:t xml:space="preserve">The maximum budget for this project is £15,000 per year. Totalling £45,000 for the whole duration of the contract. </w:t>
      </w:r>
    </w:p>
    <w:p w14:paraId="23065EAE" w14:textId="1863823A" w:rsidR="0095146A" w:rsidRDefault="0095146A" w:rsidP="0095146A">
      <w:pPr>
        <w:spacing w:line="276" w:lineRule="auto"/>
      </w:pPr>
      <w:r w:rsidRPr="007332A1">
        <w:lastRenderedPageBreak/>
        <w:t xml:space="preserve">Payments will be made annually, funding for the full year is expected but not guaranteed. </w:t>
      </w:r>
    </w:p>
    <w:p w14:paraId="05920952" w14:textId="6F3B3EEE" w:rsidR="001C6FF7" w:rsidRDefault="00522333" w:rsidP="00363614">
      <w:pPr>
        <w:spacing w:line="276" w:lineRule="auto"/>
      </w:pPr>
      <w:r w:rsidRPr="00522333">
        <w:t xml:space="preserve">If one provider cannot deliver all the sessions, the budget can be split among various organisations. If you want to focus on a specific age group </w:t>
      </w:r>
      <w:proofErr w:type="gramStart"/>
      <w:r w:rsidRPr="00522333">
        <w:t>i.e.</w:t>
      </w:r>
      <w:proofErr w:type="gramEnd"/>
      <w:r w:rsidRPr="00522333">
        <w:t xml:space="preserve"> KS1, KS2 or Year 7, please outline it in your application.</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3F496A52">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05E89" w14:paraId="4AAF69F2" w14:textId="77777777" w:rsidTr="3F496A52">
        <w:tc>
          <w:tcPr>
            <w:tcW w:w="2547" w:type="dxa"/>
            <w:vMerge w:val="restart"/>
            <w:hideMark/>
          </w:tcPr>
          <w:p w14:paraId="2E3546C2" w14:textId="77777777" w:rsidR="00105E89" w:rsidRPr="00287515" w:rsidRDefault="00105E89" w:rsidP="00105E89">
            <w:pPr>
              <w:spacing w:line="276" w:lineRule="auto"/>
            </w:pPr>
            <w:r w:rsidRPr="00287515">
              <w:t>Request for quotation</w:t>
            </w:r>
          </w:p>
        </w:tc>
        <w:tc>
          <w:tcPr>
            <w:tcW w:w="2977" w:type="dxa"/>
            <w:hideMark/>
          </w:tcPr>
          <w:p w14:paraId="4CE84410" w14:textId="77777777" w:rsidR="00105E89" w:rsidRPr="00287515" w:rsidRDefault="00105E89" w:rsidP="00105E89">
            <w:pPr>
              <w:spacing w:line="276" w:lineRule="auto"/>
            </w:pPr>
            <w:r w:rsidRPr="00287515">
              <w:t>Publication of Request for Quotation</w:t>
            </w:r>
          </w:p>
        </w:tc>
        <w:tc>
          <w:tcPr>
            <w:tcW w:w="3492" w:type="dxa"/>
            <w:hideMark/>
          </w:tcPr>
          <w:p w14:paraId="0587ED83" w14:textId="4EDD31C6" w:rsidR="00105E89" w:rsidRPr="00105E89" w:rsidRDefault="00C52062" w:rsidP="00105E89">
            <w:pPr>
              <w:spacing w:line="276" w:lineRule="auto"/>
            </w:pPr>
            <w:r>
              <w:t>18</w:t>
            </w:r>
            <w:r w:rsidR="00105E89" w:rsidRPr="00105E89">
              <w:t xml:space="preserve"> September 2023 </w:t>
            </w:r>
          </w:p>
        </w:tc>
      </w:tr>
      <w:tr w:rsidR="00105E89" w14:paraId="24E7BC49" w14:textId="77777777" w:rsidTr="3F496A52">
        <w:tc>
          <w:tcPr>
            <w:tcW w:w="2547" w:type="dxa"/>
            <w:vMerge/>
            <w:hideMark/>
          </w:tcPr>
          <w:p w14:paraId="46803AF6" w14:textId="77777777" w:rsidR="00105E89" w:rsidRPr="00287515" w:rsidRDefault="00105E89" w:rsidP="00105E89">
            <w:pPr>
              <w:spacing w:line="276" w:lineRule="auto"/>
              <w:rPr>
                <w:rFonts w:cs="Times New Roman"/>
                <w:lang w:eastAsia="en-US"/>
              </w:rPr>
            </w:pPr>
          </w:p>
        </w:tc>
        <w:tc>
          <w:tcPr>
            <w:tcW w:w="2977" w:type="dxa"/>
          </w:tcPr>
          <w:p w14:paraId="4062C53C" w14:textId="77777777" w:rsidR="00105E89" w:rsidRPr="00287515" w:rsidRDefault="00105E89" w:rsidP="00105E89">
            <w:pPr>
              <w:spacing w:line="276" w:lineRule="auto"/>
            </w:pPr>
            <w:r w:rsidRPr="00287515">
              <w:t xml:space="preserve">Deadline for </w:t>
            </w:r>
            <w:r>
              <w:t xml:space="preserve">clarifications </w:t>
            </w:r>
            <w:r w:rsidRPr="00287515">
              <w:t>questions</w:t>
            </w:r>
          </w:p>
        </w:tc>
        <w:tc>
          <w:tcPr>
            <w:tcW w:w="3492" w:type="dxa"/>
            <w:hideMark/>
          </w:tcPr>
          <w:p w14:paraId="28356EC8" w14:textId="64624C66" w:rsidR="00105E89" w:rsidRPr="00105E89" w:rsidRDefault="00105E89" w:rsidP="00105E89">
            <w:pPr>
              <w:spacing w:line="276" w:lineRule="auto"/>
            </w:pPr>
            <w:r w:rsidRPr="00105E89">
              <w:t xml:space="preserve">9 October 2023 </w:t>
            </w:r>
          </w:p>
        </w:tc>
      </w:tr>
      <w:tr w:rsidR="00105E89" w14:paraId="0230F63D" w14:textId="77777777" w:rsidTr="3F496A52">
        <w:trPr>
          <w:trHeight w:val="383"/>
        </w:trPr>
        <w:tc>
          <w:tcPr>
            <w:tcW w:w="2547" w:type="dxa"/>
            <w:vMerge/>
            <w:hideMark/>
          </w:tcPr>
          <w:p w14:paraId="692EF6E3" w14:textId="77777777" w:rsidR="00105E89" w:rsidRPr="00287515" w:rsidRDefault="00105E89" w:rsidP="00105E89">
            <w:pPr>
              <w:spacing w:line="276" w:lineRule="auto"/>
              <w:rPr>
                <w:rFonts w:cs="Times New Roman"/>
                <w:lang w:eastAsia="en-US"/>
              </w:rPr>
            </w:pPr>
          </w:p>
        </w:tc>
        <w:tc>
          <w:tcPr>
            <w:tcW w:w="2977" w:type="dxa"/>
          </w:tcPr>
          <w:p w14:paraId="49C24F69" w14:textId="77777777" w:rsidR="00105E89" w:rsidRPr="00287515" w:rsidRDefault="00105E89" w:rsidP="00105E89">
            <w:pPr>
              <w:spacing w:line="276" w:lineRule="auto"/>
            </w:pPr>
            <w:r w:rsidRPr="00287515">
              <w:t xml:space="preserve">Proposal submission deadline </w:t>
            </w:r>
          </w:p>
        </w:tc>
        <w:tc>
          <w:tcPr>
            <w:tcW w:w="3492" w:type="dxa"/>
            <w:hideMark/>
          </w:tcPr>
          <w:p w14:paraId="3E6D4D08" w14:textId="3E070BF4" w:rsidR="00105E89" w:rsidRPr="00105E89" w:rsidRDefault="00105E89" w:rsidP="00105E89">
            <w:pPr>
              <w:spacing w:line="276" w:lineRule="auto"/>
            </w:pPr>
            <w:r w:rsidRPr="00105E89">
              <w:t xml:space="preserve">16 October 2023 </w:t>
            </w:r>
          </w:p>
        </w:tc>
      </w:tr>
      <w:tr w:rsidR="00105E89" w14:paraId="4A6E2B8C" w14:textId="77777777" w:rsidTr="3F496A52">
        <w:trPr>
          <w:trHeight w:val="383"/>
        </w:trPr>
        <w:tc>
          <w:tcPr>
            <w:tcW w:w="2547" w:type="dxa"/>
          </w:tcPr>
          <w:p w14:paraId="2B633CD5" w14:textId="77777777" w:rsidR="00105E89" w:rsidRPr="00287515" w:rsidRDefault="00105E89" w:rsidP="00105E89">
            <w:pPr>
              <w:spacing w:line="276" w:lineRule="auto"/>
              <w:rPr>
                <w:rFonts w:cs="Times New Roman"/>
              </w:rPr>
            </w:pPr>
            <w:r>
              <w:rPr>
                <w:rFonts w:cs="Times New Roman"/>
              </w:rPr>
              <w:t>Contract Award</w:t>
            </w:r>
          </w:p>
        </w:tc>
        <w:tc>
          <w:tcPr>
            <w:tcW w:w="2977" w:type="dxa"/>
          </w:tcPr>
          <w:p w14:paraId="1921737A" w14:textId="77777777" w:rsidR="00105E89" w:rsidRPr="00287515" w:rsidRDefault="00105E89" w:rsidP="00105E89">
            <w:pPr>
              <w:spacing w:line="276" w:lineRule="auto"/>
            </w:pPr>
          </w:p>
        </w:tc>
        <w:tc>
          <w:tcPr>
            <w:tcW w:w="3492" w:type="dxa"/>
          </w:tcPr>
          <w:p w14:paraId="3357CD5D" w14:textId="69F76D93" w:rsidR="00105E89" w:rsidRPr="00105E89" w:rsidRDefault="00105E89" w:rsidP="00105E89">
            <w:pPr>
              <w:spacing w:line="276" w:lineRule="auto"/>
            </w:pPr>
            <w:r w:rsidRPr="00105E89">
              <w:t xml:space="preserve">23 October 2023 </w:t>
            </w:r>
          </w:p>
        </w:tc>
      </w:tr>
      <w:tr w:rsidR="00105E89" w14:paraId="7A5B0DD5" w14:textId="77777777" w:rsidTr="3F496A52">
        <w:tc>
          <w:tcPr>
            <w:tcW w:w="2547" w:type="dxa"/>
            <w:hideMark/>
          </w:tcPr>
          <w:p w14:paraId="7F896DA0" w14:textId="77777777" w:rsidR="00105E89" w:rsidRPr="00287515" w:rsidRDefault="00105E89" w:rsidP="00105E89">
            <w:pPr>
              <w:spacing w:line="276" w:lineRule="auto"/>
            </w:pPr>
            <w:r w:rsidRPr="00287515">
              <w:t>Contract Commencement</w:t>
            </w:r>
          </w:p>
        </w:tc>
        <w:tc>
          <w:tcPr>
            <w:tcW w:w="2977" w:type="dxa"/>
            <w:hideMark/>
          </w:tcPr>
          <w:p w14:paraId="563F962C" w14:textId="77777777" w:rsidR="00105E89" w:rsidRPr="00287515" w:rsidRDefault="00105E89" w:rsidP="00105E89">
            <w:pPr>
              <w:spacing w:line="276" w:lineRule="auto"/>
            </w:pPr>
            <w:r w:rsidRPr="00287515">
              <w:t>Successful applicant commences contract</w:t>
            </w:r>
          </w:p>
        </w:tc>
        <w:tc>
          <w:tcPr>
            <w:tcW w:w="3492" w:type="dxa"/>
            <w:hideMark/>
          </w:tcPr>
          <w:p w14:paraId="6BA6D58A" w14:textId="582CF3F1" w:rsidR="00105E89" w:rsidRPr="00105E89" w:rsidRDefault="00105E89" w:rsidP="00105E89">
            <w:pPr>
              <w:spacing w:line="276" w:lineRule="auto"/>
              <w:rPr>
                <w:b/>
                <w:bCs/>
              </w:rPr>
            </w:pPr>
            <w:r w:rsidRPr="00105E89">
              <w:t xml:space="preserve">Contract to commence </w:t>
            </w:r>
            <w:r w:rsidRPr="00105E89">
              <w:rPr>
                <w:b/>
                <w:bCs/>
              </w:rPr>
              <w:t>30 October 2023</w:t>
            </w:r>
          </w:p>
        </w:tc>
      </w:tr>
      <w:tr w:rsidR="00105E89" w14:paraId="3A99549F" w14:textId="77777777" w:rsidTr="3F496A52">
        <w:tc>
          <w:tcPr>
            <w:tcW w:w="2547" w:type="dxa"/>
          </w:tcPr>
          <w:p w14:paraId="122EAA94" w14:textId="77777777" w:rsidR="00105E89" w:rsidRPr="00287515" w:rsidRDefault="00105E89" w:rsidP="00105E89">
            <w:pPr>
              <w:spacing w:line="276" w:lineRule="auto"/>
            </w:pPr>
          </w:p>
        </w:tc>
        <w:tc>
          <w:tcPr>
            <w:tcW w:w="2977" w:type="dxa"/>
            <w:hideMark/>
          </w:tcPr>
          <w:p w14:paraId="2352AF88" w14:textId="77777777" w:rsidR="00105E89" w:rsidRPr="00287515" w:rsidRDefault="00105E89" w:rsidP="00105E89">
            <w:pPr>
              <w:spacing w:line="276" w:lineRule="auto"/>
            </w:pPr>
            <w:r w:rsidRPr="00287515">
              <w:t>Contract Completion</w:t>
            </w:r>
          </w:p>
        </w:tc>
        <w:tc>
          <w:tcPr>
            <w:tcW w:w="3492" w:type="dxa"/>
            <w:hideMark/>
          </w:tcPr>
          <w:p w14:paraId="3624BDFD" w14:textId="794CA7F8" w:rsidR="00105E89" w:rsidRPr="00105E89" w:rsidRDefault="00105E89" w:rsidP="00105E89">
            <w:pPr>
              <w:spacing w:line="276" w:lineRule="auto"/>
            </w:pPr>
            <w:r w:rsidRPr="00105E89">
              <w:t xml:space="preserve">29 October 2026 </w:t>
            </w:r>
          </w:p>
        </w:tc>
      </w:tr>
    </w:tbl>
    <w:p w14:paraId="27503D11" w14:textId="77777777" w:rsidR="001C6FF7" w:rsidRDefault="001C6FF7" w:rsidP="00363614">
      <w:pPr>
        <w:spacing w:line="276" w:lineRule="auto"/>
        <w:rPr>
          <w:rFonts w:cs="Arial"/>
          <w:color w:val="000000"/>
          <w:sz w:val="21"/>
          <w:szCs w:val="21"/>
        </w:rPr>
      </w:pPr>
    </w:p>
    <w:p w14:paraId="54657A0F" w14:textId="24539C1B"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3698734D" w14:textId="77777777" w:rsidR="000B04D4" w:rsidRPr="00066BAD" w:rsidRDefault="000B04D4" w:rsidP="00363614">
      <w:pPr>
        <w:autoSpaceDE w:val="0"/>
        <w:autoSpaceDN w:val="0"/>
        <w:adjustRightInd w:val="0"/>
        <w:spacing w:after="0" w:line="276" w:lineRule="auto"/>
        <w:rPr>
          <w:bCs/>
        </w:rPr>
      </w:pPr>
    </w:p>
    <w:p w14:paraId="7CC37E95" w14:textId="27589E4C" w:rsidR="001C6FF7" w:rsidRPr="00816D90" w:rsidRDefault="001C6FF7" w:rsidP="00816D90">
      <w:pPr>
        <w:autoSpaceDE w:val="0"/>
        <w:autoSpaceDN w:val="0"/>
        <w:adjustRightInd w:val="0"/>
        <w:spacing w:after="0" w:line="276" w:lineRule="auto"/>
        <w:rPr>
          <w:bCs/>
        </w:rPr>
      </w:pPr>
      <w:r w:rsidRPr="00066BAD">
        <w:rPr>
          <w:rFonts w:cs="Arial"/>
          <w:bCs/>
        </w:rPr>
        <w:t xml:space="preserve">All </w:t>
      </w:r>
      <w:r w:rsidRPr="00066BAD">
        <w:rPr>
          <w:rFonts w:cs="Arial"/>
          <w:b/>
        </w:rPr>
        <w:t>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1"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375DD7EB" w14:textId="6D49EE4E"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Required Responses criteria</w:t>
      </w:r>
      <w:r w:rsidR="00D92B72" w:rsidRPr="00A25B65">
        <w:rPr>
          <w:rFonts w:cs="Arial"/>
        </w:rPr>
        <w:t>.</w:t>
      </w:r>
      <w:r w:rsidRPr="00A25B65">
        <w:rPr>
          <w:rFonts w:cs="Arial"/>
        </w:rPr>
        <w:t xml:space="preserve"> </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72CAE3BE"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ha</w:t>
            </w:r>
            <w:r>
              <w:t>ve</w:t>
            </w:r>
            <w:r w:rsidR="0042040A">
              <w:t xml:space="preserve"> that will enable you to </w:t>
            </w:r>
            <w:r w:rsidR="0042040A" w:rsidRPr="0042040A">
              <w:t>deliver your project</w:t>
            </w:r>
            <w:r>
              <w:t>.</w:t>
            </w:r>
          </w:p>
          <w:p w14:paraId="6811C966" w14:textId="02C61DB0"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lastRenderedPageBreak/>
        <w:t xml:space="preserve">The components which are indicated with the appropriate weightings will be evaluated by the panel and the appropriate score will be agreed. The score achieved for this section will be </w:t>
      </w:r>
      <w:proofErr w:type="gramStart"/>
      <w:r w:rsidRPr="000E0D1E">
        <w:rPr>
          <w:rFonts w:eastAsia="Calibri"/>
          <w:lang w:eastAsia="en-US"/>
        </w:rPr>
        <w:t>weighted</w:t>
      </w:r>
      <w:proofErr w:type="gramEnd"/>
      <w:r w:rsidRPr="000E0D1E">
        <w:rPr>
          <w:rFonts w:eastAsia="Calibri"/>
          <w:lang w:eastAsia="en-US"/>
        </w:rPr>
        <w:t xml:space="preserve">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 xml:space="preserve">t will assist evaluators if attention is paid to these </w:t>
      </w:r>
      <w:proofErr w:type="gramStart"/>
      <w:r w:rsidRPr="00CD4D4D">
        <w:rPr>
          <w:rFonts w:eastAsia="Calibri"/>
          <w:lang w:eastAsia="en-US"/>
        </w:rPr>
        <w:t>areas</w:t>
      </w:r>
      <w:proofErr w:type="gramEnd"/>
      <w:r w:rsidRPr="00CD4D4D">
        <w:rPr>
          <w:rFonts w:eastAsia="Calibri"/>
          <w:lang w:eastAsia="en-US"/>
        </w:rPr>
        <w:t xml:space="preserve">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 xml:space="preserve">core.  The Council will select a supplier on a most economically advantageous tender (MEAT) </w:t>
      </w:r>
      <w:proofErr w:type="gramStart"/>
      <w:r w:rsidRPr="00266AA3">
        <w:rPr>
          <w:rFonts w:eastAsia="Calibri"/>
          <w:lang w:val="en-GB" w:eastAsia="en-US"/>
        </w:rPr>
        <w:t>basis</w:t>
      </w:r>
      <w:proofErr w:type="gramEnd"/>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4E07B060"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B972EB" w:rsidRPr="00B972EB">
        <w:rPr>
          <w:rFonts w:asciiTheme="minorHAnsi" w:hAnsiTheme="minorHAnsi" w:cstheme="minorHAnsi"/>
          <w:sz w:val="28"/>
          <w:szCs w:val="28"/>
        </w:rPr>
        <w:t>Educational Theatre</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 xml:space="preserve">Price Per Item, </w:t>
            </w:r>
            <w:proofErr w:type="gramStart"/>
            <w:r w:rsidRPr="00B972EB">
              <w:rPr>
                <w:rFonts w:asciiTheme="minorHAnsi" w:hAnsiTheme="minorHAnsi" w:cstheme="minorHAnsi"/>
                <w:b/>
                <w:sz w:val="20"/>
                <w:szCs w:val="20"/>
              </w:rPr>
              <w:t>Day</w:t>
            </w:r>
            <w:proofErr w:type="gramEnd"/>
            <w:r w:rsidRPr="00B972EB">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proofErr w:type="gramStart"/>
            <w:r w:rsidRPr="00B972EB">
              <w:rPr>
                <w:rFonts w:asciiTheme="minorHAnsi" w:hAnsiTheme="minorHAnsi" w:cstheme="minorHAnsi"/>
                <w:b/>
                <w:sz w:val="20"/>
                <w:szCs w:val="20"/>
              </w:rPr>
              <w:t>E.g.</w:t>
            </w:r>
            <w:proofErr w:type="gramEnd"/>
            <w:r w:rsidRPr="00B972EB">
              <w:rPr>
                <w:rFonts w:asciiTheme="minorHAnsi" w:hAnsiTheme="minorHAnsi" w:cstheme="minorHAnsi"/>
                <w:b/>
                <w:sz w:val="20"/>
                <w:szCs w:val="20"/>
              </w:rPr>
              <w:t xml:space="preserve">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4"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accept the Terms and Conditions indicated on this </w:t>
      </w:r>
      <w:proofErr w:type="gramStart"/>
      <w:r w:rsidRPr="00B972EB">
        <w:rPr>
          <w:rFonts w:cstheme="minorHAnsi"/>
          <w:sz w:val="20"/>
          <w:szCs w:val="20"/>
        </w:rPr>
        <w:t>form</w:t>
      </w:r>
      <w:proofErr w:type="gramEnd"/>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If I am selected to provide the above services and/or </w:t>
      </w:r>
      <w:proofErr w:type="gramStart"/>
      <w:r w:rsidRPr="00B972EB">
        <w:rPr>
          <w:rFonts w:cstheme="minorHAnsi"/>
          <w:sz w:val="20"/>
          <w:szCs w:val="20"/>
        </w:rPr>
        <w:t>supplies</w:t>
      </w:r>
      <w:proofErr w:type="gramEnd"/>
      <w:r w:rsidRPr="00B972EB">
        <w:rPr>
          <w:rFonts w:cstheme="minorHAnsi"/>
          <w:sz w:val="20"/>
          <w:szCs w:val="20"/>
        </w:rPr>
        <w:t xml:space="preserve"> I will complete the Council’s Supplier Self Certification form.  Failure to complete this form will result in my quotation not being </w:t>
      </w:r>
      <w:proofErr w:type="gramStart"/>
      <w:r w:rsidRPr="00B972EB">
        <w:rPr>
          <w:rFonts w:cstheme="minorHAnsi"/>
          <w:sz w:val="20"/>
          <w:szCs w:val="20"/>
        </w:rPr>
        <w:t>accepted</w:t>
      </w:r>
      <w:proofErr w:type="gramEnd"/>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is under no obligation to accept the final results of the quotation competition or the lowest price for any particular item submitted by a </w:t>
      </w:r>
      <w:proofErr w:type="gramStart"/>
      <w:r w:rsidRPr="00B972EB">
        <w:rPr>
          <w:rFonts w:cstheme="minorHAnsi"/>
          <w:sz w:val="20"/>
          <w:szCs w:val="20"/>
        </w:rPr>
        <w:t>supplier</w:t>
      </w:r>
      <w:proofErr w:type="gramEnd"/>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Non-delivery of services or products will result in non-payment by the </w:t>
      </w:r>
      <w:proofErr w:type="gramStart"/>
      <w:r w:rsidRPr="00B972EB">
        <w:rPr>
          <w:rFonts w:cstheme="minorHAnsi"/>
          <w:sz w:val="20"/>
          <w:szCs w:val="20"/>
        </w:rPr>
        <w:t>Council</w:t>
      </w:r>
      <w:proofErr w:type="gramEnd"/>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False representation could result in de-selection from any competition or termination of </w:t>
      </w:r>
      <w:proofErr w:type="gramStart"/>
      <w:r w:rsidRPr="00B972EB">
        <w:rPr>
          <w:rFonts w:cstheme="minorHAnsi"/>
          <w:sz w:val="20"/>
          <w:szCs w:val="20"/>
        </w:rPr>
        <w:t>contract</w:t>
      </w:r>
      <w:proofErr w:type="gramEnd"/>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t>
      </w:r>
      <w:proofErr w:type="gramStart"/>
      <w:r w:rsidRPr="00B972EB">
        <w:rPr>
          <w:rFonts w:cstheme="minorHAnsi"/>
          <w:sz w:val="20"/>
          <w:szCs w:val="20"/>
        </w:rPr>
        <w:t>work</w:t>
      </w:r>
      <w:proofErr w:type="gramEnd"/>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 xml:space="preserve">of </w:t>
      </w:r>
      <w:proofErr w:type="gramStart"/>
      <w:r w:rsidR="002D534D" w:rsidRPr="00B972EB">
        <w:rPr>
          <w:rFonts w:cstheme="minorHAnsi"/>
          <w:sz w:val="20"/>
          <w:szCs w:val="20"/>
        </w:rPr>
        <w:t>fraud</w:t>
      </w:r>
      <w:proofErr w:type="gramEnd"/>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1C00" w14:textId="77777777" w:rsidR="005C209A" w:rsidRDefault="005C209A" w:rsidP="001C6FF7">
      <w:pPr>
        <w:spacing w:after="0" w:line="240" w:lineRule="auto"/>
      </w:pPr>
      <w:r>
        <w:separator/>
      </w:r>
    </w:p>
  </w:endnote>
  <w:endnote w:type="continuationSeparator" w:id="0">
    <w:p w14:paraId="52157852" w14:textId="77777777" w:rsidR="005C209A" w:rsidRDefault="005C209A" w:rsidP="001C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FB16" w14:textId="77777777" w:rsidR="005C209A" w:rsidRDefault="005C209A" w:rsidP="001C6FF7">
      <w:pPr>
        <w:spacing w:after="0" w:line="240" w:lineRule="auto"/>
      </w:pPr>
      <w:r>
        <w:separator/>
      </w:r>
    </w:p>
  </w:footnote>
  <w:footnote w:type="continuationSeparator" w:id="0">
    <w:p w14:paraId="37514C7D" w14:textId="77777777" w:rsidR="005C209A" w:rsidRDefault="005C209A" w:rsidP="001C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150945807">
    <w:abstractNumId w:val="6"/>
  </w:num>
  <w:num w:numId="2" w16cid:durableId="2103213595">
    <w:abstractNumId w:val="5"/>
  </w:num>
  <w:num w:numId="3" w16cid:durableId="1983002456">
    <w:abstractNumId w:val="2"/>
  </w:num>
  <w:num w:numId="4" w16cid:durableId="1355839415">
    <w:abstractNumId w:val="8"/>
  </w:num>
  <w:num w:numId="5" w16cid:durableId="1997176612">
    <w:abstractNumId w:val="1"/>
  </w:num>
  <w:num w:numId="6" w16cid:durableId="1218856090">
    <w:abstractNumId w:val="7"/>
  </w:num>
  <w:num w:numId="7" w16cid:durableId="133063288">
    <w:abstractNumId w:val="4"/>
  </w:num>
  <w:num w:numId="8" w16cid:durableId="1438990282">
    <w:abstractNumId w:val="0"/>
  </w:num>
  <w:num w:numId="9" w16cid:durableId="1972830393">
    <w:abstractNumId w:val="3"/>
  </w:num>
  <w:num w:numId="10" w16cid:durableId="341781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26384"/>
    <w:rsid w:val="00042162"/>
    <w:rsid w:val="000446F5"/>
    <w:rsid w:val="00046DC9"/>
    <w:rsid w:val="000626A7"/>
    <w:rsid w:val="00066BAD"/>
    <w:rsid w:val="00075108"/>
    <w:rsid w:val="000B04D4"/>
    <w:rsid w:val="000C0777"/>
    <w:rsid w:val="00105E89"/>
    <w:rsid w:val="00126A6C"/>
    <w:rsid w:val="00144B06"/>
    <w:rsid w:val="00156F33"/>
    <w:rsid w:val="00197B38"/>
    <w:rsid w:val="001C488A"/>
    <w:rsid w:val="001C6FF7"/>
    <w:rsid w:val="001F65F1"/>
    <w:rsid w:val="00204F8A"/>
    <w:rsid w:val="0022212A"/>
    <w:rsid w:val="00285725"/>
    <w:rsid w:val="002D1C8D"/>
    <w:rsid w:val="002D514C"/>
    <w:rsid w:val="002D534D"/>
    <w:rsid w:val="002D595C"/>
    <w:rsid w:val="00333367"/>
    <w:rsid w:val="0035004E"/>
    <w:rsid w:val="00363614"/>
    <w:rsid w:val="003641DC"/>
    <w:rsid w:val="00366654"/>
    <w:rsid w:val="003C1398"/>
    <w:rsid w:val="003E6EBF"/>
    <w:rsid w:val="0042040A"/>
    <w:rsid w:val="00441B9A"/>
    <w:rsid w:val="004734BD"/>
    <w:rsid w:val="00474781"/>
    <w:rsid w:val="004923C1"/>
    <w:rsid w:val="004D0125"/>
    <w:rsid w:val="00522333"/>
    <w:rsid w:val="00541514"/>
    <w:rsid w:val="00543C15"/>
    <w:rsid w:val="0054401E"/>
    <w:rsid w:val="00560AE5"/>
    <w:rsid w:val="00581448"/>
    <w:rsid w:val="0058334A"/>
    <w:rsid w:val="005C209A"/>
    <w:rsid w:val="005E29F8"/>
    <w:rsid w:val="00612260"/>
    <w:rsid w:val="006340CB"/>
    <w:rsid w:val="00654D1D"/>
    <w:rsid w:val="00682D8A"/>
    <w:rsid w:val="006863DE"/>
    <w:rsid w:val="006B1213"/>
    <w:rsid w:val="006B3208"/>
    <w:rsid w:val="006C138A"/>
    <w:rsid w:val="007332A1"/>
    <w:rsid w:val="007427F5"/>
    <w:rsid w:val="00750F51"/>
    <w:rsid w:val="00761661"/>
    <w:rsid w:val="007C069D"/>
    <w:rsid w:val="007D2B21"/>
    <w:rsid w:val="00816D90"/>
    <w:rsid w:val="00876EDD"/>
    <w:rsid w:val="00910671"/>
    <w:rsid w:val="009134BE"/>
    <w:rsid w:val="00937D88"/>
    <w:rsid w:val="0095146A"/>
    <w:rsid w:val="00963B84"/>
    <w:rsid w:val="00991A04"/>
    <w:rsid w:val="009A5633"/>
    <w:rsid w:val="009C689C"/>
    <w:rsid w:val="009D0427"/>
    <w:rsid w:val="009D60CA"/>
    <w:rsid w:val="009F630D"/>
    <w:rsid w:val="00A25B65"/>
    <w:rsid w:val="00A5403D"/>
    <w:rsid w:val="00A61039"/>
    <w:rsid w:val="00AA5070"/>
    <w:rsid w:val="00AC6190"/>
    <w:rsid w:val="00AC630A"/>
    <w:rsid w:val="00AD5DFF"/>
    <w:rsid w:val="00AE77EF"/>
    <w:rsid w:val="00B2145A"/>
    <w:rsid w:val="00B3041C"/>
    <w:rsid w:val="00B47BB8"/>
    <w:rsid w:val="00B741C8"/>
    <w:rsid w:val="00B91565"/>
    <w:rsid w:val="00B972EB"/>
    <w:rsid w:val="00C52062"/>
    <w:rsid w:val="00C82F4C"/>
    <w:rsid w:val="00CF58DF"/>
    <w:rsid w:val="00CF6301"/>
    <w:rsid w:val="00D3023B"/>
    <w:rsid w:val="00D73F47"/>
    <w:rsid w:val="00D92B72"/>
    <w:rsid w:val="00DA6EA9"/>
    <w:rsid w:val="00DD1D26"/>
    <w:rsid w:val="00DE2030"/>
    <w:rsid w:val="00DF1166"/>
    <w:rsid w:val="00DF3922"/>
    <w:rsid w:val="00E328CB"/>
    <w:rsid w:val="00E5086D"/>
    <w:rsid w:val="00EB4A78"/>
    <w:rsid w:val="00EB4D2A"/>
    <w:rsid w:val="00EC38ED"/>
    <w:rsid w:val="00F23199"/>
    <w:rsid w:val="00F41929"/>
    <w:rsid w:val="00F43855"/>
    <w:rsid w:val="00F541AF"/>
    <w:rsid w:val="00F723D1"/>
    <w:rsid w:val="00FE31A0"/>
    <w:rsid w:val="00FE3C30"/>
    <w:rsid w:val="00FE633D"/>
    <w:rsid w:val="00FF6016"/>
    <w:rsid w:val="16C95F21"/>
    <w:rsid w:val="1A45922B"/>
    <w:rsid w:val="221B8732"/>
    <w:rsid w:val="273F33AC"/>
    <w:rsid w:val="29C12A67"/>
    <w:rsid w:val="353F4EE3"/>
    <w:rsid w:val="3F496A52"/>
    <w:rsid w:val="4E446BC2"/>
    <w:rsid w:val="5C763FA7"/>
    <w:rsid w:val="5FD3E05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366F2661-B24D-41DE-87EC-8176CEA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ervilla@lambeth.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1" ma:contentTypeDescription="Create a new document." ma:contentTypeScope="" ma:versionID="a100764756b772b296aab82d720affd7">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86ae8171d038218f72b18e8f70bc42f7"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minOccurs="0"/>
                <xsd:element ref="ns1:Doc_x0020_Type" minOccurs="0"/>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nillable="true" ma:displayName="Page" ma:format="Dropdown" ma:indexed="true"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nillable="true"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500F1-C873-40B2-BCF2-A10963A1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3.xml><?xml version="1.0" encoding="utf-8"?>
<ds:datastoreItem xmlns:ds="http://schemas.openxmlformats.org/officeDocument/2006/customXml" ds:itemID="{AE5A66EE-5CE9-4974-B2EE-BD0283032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3</cp:revision>
  <dcterms:created xsi:type="dcterms:W3CDTF">2023-09-18T09:07:00Z</dcterms:created>
  <dcterms:modified xsi:type="dcterms:W3CDTF">2023-09-18T09:55:00Z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