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6E07AE2" w14:textId="5C5D4AAC" w:rsidR="00477574" w:rsidRDefault="00E52B87" w:rsidP="00477574">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477574">
        <w:t>T1114</w:t>
      </w:r>
      <w:r w:rsidR="00477574">
        <w:t xml:space="preserve"> - </w:t>
      </w:r>
      <w:r w:rsidR="00477574" w:rsidRPr="009E03C7">
        <w:t>Choosing metric or imperial units for driver display on ETCS L1 &amp; L2 overlay areas</w:t>
      </w:r>
    </w:p>
    <w:p w14:paraId="7FCD9CBF" w14:textId="6B3F4FAC" w:rsidR="0095659E" w:rsidRDefault="0095659E" w:rsidP="0095659E">
      <w:pPr>
        <w:pStyle w:val="CoverTitle"/>
      </w:pPr>
    </w:p>
    <w:p w14:paraId="367CB7EE" w14:textId="73683531" w:rsidR="00E52B87" w:rsidRPr="00E52B87" w:rsidRDefault="00E52B87" w:rsidP="00E52B87">
      <w:pPr>
        <w:pStyle w:val="CoverTitle"/>
      </w:pPr>
    </w:p>
    <w:p w14:paraId="69A8EB25" w14:textId="1655BEFD" w:rsidR="00E52B87" w:rsidRPr="00E52B87" w:rsidRDefault="00E52B87" w:rsidP="00E52B87">
      <w:pPr>
        <w:pStyle w:val="CoverSubTitle"/>
      </w:pPr>
      <w:r w:rsidRPr="00E52B87">
        <w:t xml:space="preserve">Deadline: </w:t>
      </w:r>
      <w:r w:rsidR="00477574">
        <w:t>Friday 23</w:t>
      </w:r>
      <w:r w:rsidR="00477574" w:rsidRPr="00477574">
        <w:rPr>
          <w:vertAlign w:val="superscript"/>
        </w:rPr>
        <w:t>rd</w:t>
      </w:r>
      <w:r w:rsidR="00477574">
        <w:t xml:space="preserve"> March 2018</w:t>
      </w:r>
      <w:r w:rsidRPr="00E52B87">
        <w:t xml:space="preserve"> </w:t>
      </w:r>
    </w:p>
    <w:p w14:paraId="1051D870" w14:textId="72258665" w:rsidR="00E52B87" w:rsidRPr="00E52B87" w:rsidRDefault="00E52B87" w:rsidP="00E52B87">
      <w:pPr>
        <w:pStyle w:val="CoverSubTitle"/>
      </w:pPr>
      <w:r w:rsidRPr="00E52B87">
        <w:t xml:space="preserve">ITT Reference: </w:t>
      </w:r>
      <w:r w:rsidR="0095659E">
        <w:t xml:space="preserve"> </w:t>
      </w:r>
      <w:r w:rsidR="00477574">
        <w:t xml:space="preserve">T1114 - </w:t>
      </w:r>
      <w:r w:rsidR="00477574" w:rsidRPr="009E03C7">
        <w:t>Choosing metric or imperial units for driver display on ETCS L1 &amp; L2 overlay areas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lastRenderedPageBreak/>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lastRenderedPageBreak/>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535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04"/>
        <w:gridCol w:w="3388"/>
      </w:tblGrid>
      <w:tr w:rsidR="00477574" w:rsidRPr="00EB323B" w14:paraId="6972D40A" w14:textId="77777777" w:rsidTr="00477574">
        <w:trPr>
          <w:trHeight w:val="504"/>
        </w:trPr>
        <w:tc>
          <w:tcPr>
            <w:tcW w:w="3095" w:type="pct"/>
          </w:tcPr>
          <w:p w14:paraId="2B10C8E6" w14:textId="77777777" w:rsidR="00477574" w:rsidRPr="00EB323B" w:rsidRDefault="00477574" w:rsidP="00FB6356">
            <w:pPr>
              <w:spacing w:before="120" w:after="120"/>
              <w:rPr>
                <w:rFonts w:asciiTheme="minorHAnsi" w:hAnsiTheme="minorHAnsi" w:cs="Arial"/>
                <w:b/>
              </w:rPr>
            </w:pPr>
          </w:p>
        </w:tc>
        <w:tc>
          <w:tcPr>
            <w:tcW w:w="1905" w:type="pct"/>
          </w:tcPr>
          <w:p w14:paraId="3DF7E0AB" w14:textId="77777777" w:rsidR="00477574" w:rsidRPr="00EB323B" w:rsidRDefault="00477574" w:rsidP="00FB6356">
            <w:pPr>
              <w:spacing w:before="120" w:after="120"/>
              <w:jc w:val="center"/>
              <w:rPr>
                <w:rFonts w:asciiTheme="minorHAnsi" w:hAnsiTheme="minorHAnsi" w:cs="Arial"/>
                <w:b/>
              </w:rPr>
            </w:pPr>
            <w:r w:rsidRPr="00EB323B">
              <w:rPr>
                <w:rFonts w:asciiTheme="minorHAnsi" w:hAnsiTheme="minorHAnsi" w:cs="Arial"/>
                <w:b/>
              </w:rPr>
              <w:t>Start Date</w:t>
            </w:r>
          </w:p>
        </w:tc>
      </w:tr>
      <w:tr w:rsidR="00477574" w:rsidRPr="00EB323B" w14:paraId="48E8ED89" w14:textId="77777777" w:rsidTr="00477574">
        <w:trPr>
          <w:trHeight w:val="504"/>
        </w:trPr>
        <w:tc>
          <w:tcPr>
            <w:tcW w:w="3095" w:type="pct"/>
          </w:tcPr>
          <w:p w14:paraId="753D6E41" w14:textId="77777777" w:rsidR="00477574" w:rsidRPr="00EB323B" w:rsidRDefault="00477574" w:rsidP="00FB6356">
            <w:pPr>
              <w:spacing w:before="120" w:after="120"/>
              <w:jc w:val="both"/>
              <w:rPr>
                <w:rFonts w:asciiTheme="minorHAnsi" w:hAnsiTheme="minorHAnsi" w:cs="Arial"/>
              </w:rPr>
            </w:pPr>
            <w:r>
              <w:rPr>
                <w:rFonts w:asciiTheme="minorHAnsi" w:hAnsiTheme="minorHAnsi" w:cs="Arial"/>
              </w:rPr>
              <w:t>Invitation to Tender issued</w:t>
            </w:r>
          </w:p>
        </w:tc>
        <w:tc>
          <w:tcPr>
            <w:tcW w:w="1905" w:type="pct"/>
          </w:tcPr>
          <w:p w14:paraId="50BB9FA9" w14:textId="77777777" w:rsidR="00477574" w:rsidRPr="00EB323B" w:rsidRDefault="00477574" w:rsidP="00FB6356">
            <w:pPr>
              <w:spacing w:before="120" w:after="120"/>
              <w:rPr>
                <w:rFonts w:asciiTheme="minorHAnsi" w:hAnsiTheme="minorHAnsi" w:cs="Arial"/>
              </w:rPr>
            </w:pPr>
            <w:r>
              <w:rPr>
                <w:rFonts w:asciiTheme="minorHAnsi" w:hAnsiTheme="minorHAnsi" w:cs="Arial"/>
              </w:rPr>
              <w:t>27 February 2018</w:t>
            </w:r>
          </w:p>
        </w:tc>
      </w:tr>
      <w:tr w:rsidR="00477574" w:rsidRPr="00EB323B" w14:paraId="1921857A" w14:textId="77777777" w:rsidTr="00477574">
        <w:trPr>
          <w:trHeight w:val="516"/>
        </w:trPr>
        <w:tc>
          <w:tcPr>
            <w:tcW w:w="3095" w:type="pct"/>
          </w:tcPr>
          <w:p w14:paraId="2AED8420" w14:textId="77777777" w:rsidR="00477574" w:rsidRPr="00EB323B" w:rsidRDefault="00477574" w:rsidP="00FB6356">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74F293EB" w14:textId="77777777" w:rsidR="00477574" w:rsidRPr="00EB323B" w:rsidRDefault="00477574" w:rsidP="00FB6356">
            <w:pPr>
              <w:spacing w:before="120" w:after="120"/>
              <w:rPr>
                <w:rFonts w:asciiTheme="minorHAnsi" w:hAnsiTheme="minorHAnsi" w:cs="Arial"/>
              </w:rPr>
            </w:pPr>
            <w:r>
              <w:rPr>
                <w:rFonts w:asciiTheme="minorHAnsi" w:hAnsiTheme="minorHAnsi" w:cs="Arial"/>
              </w:rPr>
              <w:t>9 March 2018; 12:00 hours</w:t>
            </w:r>
          </w:p>
        </w:tc>
      </w:tr>
      <w:tr w:rsidR="00477574" w:rsidRPr="00EB323B" w14:paraId="5E04388B" w14:textId="77777777" w:rsidTr="00477574">
        <w:trPr>
          <w:trHeight w:val="280"/>
        </w:trPr>
        <w:tc>
          <w:tcPr>
            <w:tcW w:w="3095" w:type="pct"/>
          </w:tcPr>
          <w:p w14:paraId="360A4A66" w14:textId="77777777" w:rsidR="00477574" w:rsidRPr="00173564" w:rsidRDefault="00477574" w:rsidP="00FB6356">
            <w:pPr>
              <w:spacing w:before="120" w:after="120"/>
              <w:jc w:val="both"/>
              <w:rPr>
                <w:rFonts w:asciiTheme="minorHAnsi" w:hAnsiTheme="minorHAnsi" w:cs="Arial"/>
                <w:b/>
              </w:rPr>
            </w:pPr>
            <w:r w:rsidRPr="00173564">
              <w:rPr>
                <w:rFonts w:asciiTheme="minorHAnsi" w:hAnsiTheme="minorHAnsi" w:cs="Arial"/>
                <w:b/>
              </w:rPr>
              <w:t>Deadline for Submitting Tenders</w:t>
            </w:r>
          </w:p>
        </w:tc>
        <w:tc>
          <w:tcPr>
            <w:tcW w:w="1905" w:type="pct"/>
          </w:tcPr>
          <w:p w14:paraId="43D503EB" w14:textId="77777777" w:rsidR="00477574" w:rsidRPr="00173564" w:rsidRDefault="00477574" w:rsidP="00FB6356">
            <w:pPr>
              <w:spacing w:before="120" w:after="120"/>
              <w:rPr>
                <w:rFonts w:asciiTheme="minorHAnsi" w:hAnsiTheme="minorHAnsi" w:cs="Arial"/>
                <w:b/>
              </w:rPr>
            </w:pPr>
            <w:r>
              <w:rPr>
                <w:rFonts w:asciiTheme="minorHAnsi" w:hAnsiTheme="minorHAnsi" w:cs="Arial"/>
                <w:b/>
              </w:rPr>
              <w:t>23</w:t>
            </w:r>
            <w:r w:rsidRPr="00173564">
              <w:rPr>
                <w:rFonts w:asciiTheme="minorHAnsi" w:hAnsiTheme="minorHAnsi" w:cs="Arial"/>
                <w:b/>
              </w:rPr>
              <w:t xml:space="preserve"> March 2018; 12:00 hours</w:t>
            </w:r>
          </w:p>
        </w:tc>
      </w:tr>
      <w:tr w:rsidR="00477574" w:rsidRPr="00EB323B" w14:paraId="672A80DB" w14:textId="77777777" w:rsidTr="00477574">
        <w:trPr>
          <w:trHeight w:val="624"/>
        </w:trPr>
        <w:tc>
          <w:tcPr>
            <w:tcW w:w="3095" w:type="pct"/>
          </w:tcPr>
          <w:p w14:paraId="62FA1518" w14:textId="77777777" w:rsidR="00477574" w:rsidRPr="00EB323B" w:rsidRDefault="00477574" w:rsidP="00FB6356">
            <w:pPr>
              <w:spacing w:before="120" w:after="120"/>
              <w:jc w:val="both"/>
              <w:rPr>
                <w:rFonts w:asciiTheme="minorHAnsi" w:hAnsiTheme="minorHAnsi" w:cs="Arial"/>
              </w:rPr>
            </w:pPr>
            <w:r w:rsidRPr="00EB323B">
              <w:rPr>
                <w:rFonts w:asciiTheme="minorHAnsi" w:hAnsiTheme="minorHAnsi" w:cs="Arial"/>
              </w:rPr>
              <w:t xml:space="preserve">Post Tender Clarification </w:t>
            </w:r>
          </w:p>
        </w:tc>
        <w:tc>
          <w:tcPr>
            <w:tcW w:w="1905" w:type="pct"/>
          </w:tcPr>
          <w:p w14:paraId="2F082970" w14:textId="77777777" w:rsidR="00477574" w:rsidRPr="00EB323B" w:rsidRDefault="00477574" w:rsidP="00FB6356">
            <w:pPr>
              <w:spacing w:before="120" w:after="120"/>
              <w:rPr>
                <w:rFonts w:asciiTheme="minorHAnsi" w:hAnsiTheme="minorHAnsi" w:cs="Arial"/>
              </w:rPr>
            </w:pPr>
            <w:r>
              <w:rPr>
                <w:rFonts w:asciiTheme="minorHAnsi" w:hAnsiTheme="minorHAnsi" w:cs="Arial"/>
              </w:rPr>
              <w:t>W/C 26 March 2018</w:t>
            </w:r>
          </w:p>
        </w:tc>
      </w:tr>
      <w:tr w:rsidR="00477574" w:rsidRPr="00EB323B" w14:paraId="76A07730" w14:textId="77777777" w:rsidTr="00477574">
        <w:trPr>
          <w:trHeight w:val="504"/>
        </w:trPr>
        <w:tc>
          <w:tcPr>
            <w:tcW w:w="3095" w:type="pct"/>
          </w:tcPr>
          <w:p w14:paraId="649E4339" w14:textId="77777777" w:rsidR="00477574" w:rsidRPr="00EB323B" w:rsidRDefault="00477574" w:rsidP="00FB6356">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2685D09A" w14:textId="77777777" w:rsidR="00477574" w:rsidRPr="00EB323B" w:rsidRDefault="00477574" w:rsidP="00FB6356">
            <w:pPr>
              <w:spacing w:before="120" w:after="120"/>
              <w:rPr>
                <w:rFonts w:asciiTheme="minorHAnsi" w:hAnsiTheme="minorHAnsi" w:cs="Arial"/>
              </w:rPr>
            </w:pPr>
            <w:r>
              <w:rPr>
                <w:rFonts w:asciiTheme="minorHAnsi" w:hAnsiTheme="minorHAnsi" w:cs="Arial"/>
              </w:rPr>
              <w:t>W/C 2 April 2018</w:t>
            </w:r>
          </w:p>
        </w:tc>
      </w:tr>
      <w:tr w:rsidR="00477574" w:rsidRPr="00EB323B" w14:paraId="0009E66E" w14:textId="77777777" w:rsidTr="00477574">
        <w:trPr>
          <w:trHeight w:val="504"/>
        </w:trPr>
        <w:tc>
          <w:tcPr>
            <w:tcW w:w="3095" w:type="pct"/>
          </w:tcPr>
          <w:p w14:paraId="05096513" w14:textId="77777777" w:rsidR="00477574" w:rsidRPr="00EB323B" w:rsidRDefault="00477574" w:rsidP="00FB6356">
            <w:pPr>
              <w:spacing w:before="120" w:after="120"/>
              <w:jc w:val="both"/>
              <w:rPr>
                <w:rFonts w:asciiTheme="minorHAnsi" w:hAnsiTheme="minorHAnsi" w:cs="Arial"/>
              </w:rPr>
            </w:pPr>
            <w:r w:rsidRPr="00EB323B">
              <w:rPr>
                <w:rFonts w:asciiTheme="minorHAnsi" w:hAnsiTheme="minorHAnsi" w:cs="Arial"/>
              </w:rPr>
              <w:t>Target contract commencement date</w:t>
            </w:r>
          </w:p>
        </w:tc>
        <w:tc>
          <w:tcPr>
            <w:tcW w:w="1905" w:type="pct"/>
          </w:tcPr>
          <w:p w14:paraId="54774E76" w14:textId="77777777" w:rsidR="00477574" w:rsidRPr="00EB323B" w:rsidRDefault="00477574" w:rsidP="00FB6356">
            <w:pPr>
              <w:spacing w:before="120" w:after="120"/>
              <w:rPr>
                <w:rFonts w:asciiTheme="minorHAnsi" w:hAnsiTheme="minorHAnsi" w:cs="Arial"/>
              </w:rPr>
            </w:pPr>
            <w:r>
              <w:rPr>
                <w:rFonts w:asciiTheme="minorHAnsi" w:hAnsiTheme="minorHAnsi" w:cs="Arial"/>
              </w:rPr>
              <w:t>W/C 16 April 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551117D6" w14:textId="11021DEA" w:rsidR="009437FF" w:rsidRDefault="000140D4" w:rsidP="00FD1FB6">
      <w:pPr>
        <w:pStyle w:val="Heading1"/>
        <w:numPr>
          <w:ilvl w:val="0"/>
          <w:numId w:val="0"/>
        </w:numPr>
      </w:pPr>
      <w:r>
        <w:lastRenderedPageBreak/>
        <w:t xml:space="preserve">7.0 TENDER EVALUATION </w:t>
      </w:r>
      <w:r w:rsidRPr="00E52B87">
        <w:t>(</w:t>
      </w:r>
      <w:r>
        <w:t>SELECTION CRITERIA)</w:t>
      </w:r>
    </w:p>
    <w:p w14:paraId="1942452C" w14:textId="0A8CCA8B" w:rsidR="00362D92" w:rsidRDefault="00362D92" w:rsidP="00362D92">
      <w:pPr>
        <w:pStyle w:val="Body"/>
      </w:pPr>
    </w:p>
    <w:p w14:paraId="5642E3E7" w14:textId="35044C91" w:rsidR="00362D92" w:rsidRDefault="00362D92" w:rsidP="00362D92">
      <w:pPr>
        <w:pStyle w:val="Body"/>
      </w:pPr>
    </w:p>
    <w:tbl>
      <w:tblPr>
        <w:tblStyle w:val="TableGrid"/>
        <w:tblW w:w="5128" w:type="pct"/>
        <w:tblInd w:w="-714" w:type="dxa"/>
        <w:tblLook w:val="04A0" w:firstRow="1" w:lastRow="0" w:firstColumn="1" w:lastColumn="0" w:noHBand="0" w:noVBand="1"/>
      </w:tblPr>
      <w:tblGrid>
        <w:gridCol w:w="4728"/>
        <w:gridCol w:w="3404"/>
        <w:gridCol w:w="6050"/>
      </w:tblGrid>
      <w:tr w:rsidR="00477574" w:rsidRPr="00A073A1" w14:paraId="40C74BC1" w14:textId="77777777" w:rsidTr="00477574">
        <w:trPr>
          <w:trHeight w:val="860"/>
        </w:trPr>
        <w:tc>
          <w:tcPr>
            <w:tcW w:w="1667" w:type="pct"/>
            <w:hideMark/>
          </w:tcPr>
          <w:p w14:paraId="4E31D036" w14:textId="77777777" w:rsidR="00477574" w:rsidRPr="00A073A1" w:rsidRDefault="00477574" w:rsidP="00FB6356">
            <w:pPr>
              <w:spacing w:after="120" w:line="300" w:lineRule="exact"/>
              <w:rPr>
                <w:rFonts w:asciiTheme="minorHAnsi" w:hAnsiTheme="minorHAnsi" w:cs="Arial"/>
                <w:b/>
              </w:rPr>
            </w:pPr>
            <w:r>
              <w:rPr>
                <w:rFonts w:asciiTheme="minorHAnsi" w:hAnsiTheme="minorHAnsi" w:cs="Arial"/>
                <w:b/>
              </w:rPr>
              <w:t>Heading</w:t>
            </w:r>
          </w:p>
        </w:tc>
        <w:tc>
          <w:tcPr>
            <w:tcW w:w="1200" w:type="pct"/>
            <w:hideMark/>
          </w:tcPr>
          <w:p w14:paraId="680D8221" w14:textId="77777777" w:rsidR="00477574" w:rsidRPr="00A073A1" w:rsidRDefault="00477574" w:rsidP="00FB6356">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133" w:type="pct"/>
            <w:hideMark/>
          </w:tcPr>
          <w:p w14:paraId="69461602" w14:textId="77777777" w:rsidR="00477574" w:rsidRPr="00A073A1" w:rsidRDefault="00477574" w:rsidP="00FB6356">
            <w:pPr>
              <w:spacing w:after="120" w:line="300" w:lineRule="exact"/>
              <w:rPr>
                <w:rFonts w:asciiTheme="minorHAnsi" w:hAnsiTheme="minorHAnsi" w:cs="Arial"/>
                <w:b/>
              </w:rPr>
            </w:pPr>
            <w:r w:rsidRPr="00A073A1">
              <w:rPr>
                <w:rFonts w:asciiTheme="minorHAnsi" w:hAnsiTheme="minorHAnsi" w:cs="Arial"/>
                <w:b/>
              </w:rPr>
              <w:t>Evaluation Criteria</w:t>
            </w:r>
          </w:p>
        </w:tc>
      </w:tr>
      <w:tr w:rsidR="00477574" w:rsidRPr="00A073A1" w14:paraId="79153315" w14:textId="77777777" w:rsidTr="00477574">
        <w:trPr>
          <w:trHeight w:val="711"/>
        </w:trPr>
        <w:tc>
          <w:tcPr>
            <w:tcW w:w="1667" w:type="pct"/>
            <w:hideMark/>
          </w:tcPr>
          <w:p w14:paraId="38B1FCB6" w14:textId="77777777" w:rsidR="00477574" w:rsidRPr="00A073A1" w:rsidRDefault="00477574" w:rsidP="00FB6356">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supplier in</w:t>
            </w:r>
            <w:r w:rsidRPr="00A073A1">
              <w:rPr>
                <w:rFonts w:asciiTheme="minorHAnsi" w:hAnsiTheme="minorHAnsi" w:cs="Arial"/>
              </w:rPr>
              <w:t xml:space="preserve"> </w:t>
            </w:r>
            <w:r>
              <w:rPr>
                <w:rFonts w:asciiTheme="minorHAnsi" w:hAnsiTheme="minorHAnsi" w:cs="Arial"/>
              </w:rPr>
              <w:t>risk analysis in the GB mainline railway</w:t>
            </w:r>
            <w:r w:rsidRPr="00A073A1">
              <w:rPr>
                <w:rFonts w:asciiTheme="minorHAnsi" w:hAnsiTheme="minorHAnsi" w:cs="Arial"/>
              </w:rPr>
              <w:t xml:space="preserve"> </w:t>
            </w:r>
          </w:p>
        </w:tc>
        <w:tc>
          <w:tcPr>
            <w:tcW w:w="1200" w:type="pct"/>
            <w:hideMark/>
          </w:tcPr>
          <w:p w14:paraId="1F38A48A" w14:textId="77777777" w:rsidR="00477574" w:rsidRPr="00A073A1" w:rsidRDefault="00477574" w:rsidP="00FB6356">
            <w:pPr>
              <w:spacing w:after="120" w:line="300" w:lineRule="exact"/>
              <w:rPr>
                <w:rFonts w:asciiTheme="minorHAnsi" w:hAnsiTheme="minorHAnsi" w:cs="Arial"/>
              </w:rPr>
            </w:pPr>
            <w:r>
              <w:rPr>
                <w:rFonts w:asciiTheme="minorHAnsi" w:hAnsiTheme="minorHAnsi" w:cs="Arial"/>
              </w:rPr>
              <w:t>Provide a brief description of two</w:t>
            </w:r>
            <w:r w:rsidRPr="00A073A1">
              <w:rPr>
                <w:rFonts w:asciiTheme="minorHAnsi" w:hAnsiTheme="minorHAnsi" w:cs="Arial"/>
              </w:rPr>
              <w:t xml:space="preserve"> projects</w:t>
            </w:r>
            <w:r>
              <w:rPr>
                <w:rFonts w:asciiTheme="minorHAnsi" w:hAnsiTheme="minorHAnsi" w:cs="Arial"/>
              </w:rPr>
              <w:t xml:space="preserve"> in which you delivered</w:t>
            </w:r>
            <w:r w:rsidRPr="00A073A1">
              <w:rPr>
                <w:rFonts w:asciiTheme="minorHAnsi" w:hAnsiTheme="minorHAnsi" w:cs="Arial"/>
              </w:rPr>
              <w:t xml:space="preserve"> </w:t>
            </w:r>
            <w:r>
              <w:rPr>
                <w:rFonts w:asciiTheme="minorHAnsi" w:hAnsiTheme="minorHAnsi" w:cs="Arial"/>
              </w:rPr>
              <w:t>risk analysis activities to GB mainline railway clients over the last two years? Please provide a brief explanation on why they are relevant to our needs.</w:t>
            </w:r>
          </w:p>
        </w:tc>
        <w:tc>
          <w:tcPr>
            <w:tcW w:w="2133" w:type="pct"/>
            <w:hideMark/>
          </w:tcPr>
          <w:p w14:paraId="5B0D147A" w14:textId="77777777" w:rsidR="00477574" w:rsidRDefault="00477574" w:rsidP="00FB6356">
            <w:pPr>
              <w:spacing w:after="120" w:line="300" w:lineRule="exact"/>
              <w:rPr>
                <w:rFonts w:asciiTheme="minorHAnsi" w:hAnsiTheme="minorHAnsi" w:cs="Arial"/>
              </w:rPr>
            </w:pPr>
            <w:r w:rsidRPr="004A6B2C">
              <w:rPr>
                <w:rFonts w:asciiTheme="minorHAnsi" w:hAnsiTheme="minorHAnsi" w:cs="Arial"/>
                <w:b/>
                <w:color w:val="00B050"/>
              </w:rPr>
              <w:t>Pass</w:t>
            </w:r>
            <w:r w:rsidRPr="00A073A1">
              <w:rPr>
                <w:rFonts w:asciiTheme="minorHAnsi" w:hAnsiTheme="minorHAnsi" w:cs="Arial"/>
              </w:rPr>
              <w:t>/</w:t>
            </w:r>
            <w:r w:rsidRPr="004A6B2C">
              <w:rPr>
                <w:rFonts w:asciiTheme="minorHAnsi" w:hAnsiTheme="minorHAnsi" w:cs="Arial"/>
                <w:b/>
                <w:color w:val="FF0000"/>
              </w:rPr>
              <w:t>Fail</w:t>
            </w:r>
          </w:p>
          <w:p w14:paraId="1FD77E10" w14:textId="77777777" w:rsidR="00477574" w:rsidRDefault="00477574" w:rsidP="00FB6356">
            <w:pPr>
              <w:spacing w:after="120" w:line="300" w:lineRule="exact"/>
              <w:rPr>
                <w:rFonts w:asciiTheme="minorHAnsi" w:hAnsiTheme="minorHAnsi" w:cs="Arial"/>
              </w:rPr>
            </w:pPr>
            <w:r w:rsidRPr="004A6B2C">
              <w:rPr>
                <w:rFonts w:asciiTheme="minorHAnsi" w:hAnsiTheme="minorHAnsi" w:cs="Arial"/>
                <w:b/>
                <w:color w:val="00B050"/>
              </w:rPr>
              <w:t>Pass</w:t>
            </w:r>
            <w:r>
              <w:rPr>
                <w:rFonts w:asciiTheme="minorHAnsi" w:hAnsiTheme="minorHAnsi" w:cs="Arial"/>
              </w:rPr>
              <w:t xml:space="preserve"> = The tenderer has provided a brief description of two projects in which the tenderer has delivered risk analysis activities to GB mainline railway clients over the last two years. Further, the tenderer has provided a brief explanation as to “Why?” the two given projects are relevant to RSSB’s needs.</w:t>
            </w:r>
          </w:p>
          <w:p w14:paraId="290BFB50" w14:textId="77777777" w:rsidR="00477574" w:rsidRDefault="00477574" w:rsidP="00FB6356">
            <w:pPr>
              <w:spacing w:after="120" w:line="300" w:lineRule="exact"/>
              <w:rPr>
                <w:rFonts w:asciiTheme="minorHAnsi" w:hAnsiTheme="minorHAnsi" w:cs="Arial"/>
              </w:rPr>
            </w:pPr>
            <w:r w:rsidRPr="004A6B2C">
              <w:rPr>
                <w:rFonts w:asciiTheme="minorHAnsi" w:hAnsiTheme="minorHAnsi" w:cs="Arial"/>
                <w:b/>
                <w:color w:val="FF0000"/>
              </w:rPr>
              <w:t>Fail</w:t>
            </w:r>
            <w:r>
              <w:rPr>
                <w:rFonts w:asciiTheme="minorHAnsi" w:hAnsiTheme="minorHAnsi" w:cs="Arial"/>
              </w:rPr>
              <w:t xml:space="preserve"> =The tenderer has not provided a brief description of at least two projects in which the tenderer has delivered risk analysis activities to GB mainline railway clients over the last two years and/or the tenderer has not provided a brief explanation as to “Why?” the two given projects are relevant to RSSB’s needs.</w:t>
            </w:r>
          </w:p>
          <w:p w14:paraId="4BB4FB30" w14:textId="77777777" w:rsidR="00477574" w:rsidRPr="00A073A1" w:rsidRDefault="00477574" w:rsidP="00FB6356">
            <w:pPr>
              <w:spacing w:after="120" w:line="300" w:lineRule="exact"/>
              <w:rPr>
                <w:rFonts w:asciiTheme="minorHAnsi" w:hAnsiTheme="minorHAnsi" w:cs="Arial"/>
              </w:rPr>
            </w:pPr>
            <w:r w:rsidRPr="004A6B2C">
              <w:rPr>
                <w:rFonts w:asciiTheme="minorHAnsi" w:hAnsiTheme="minorHAnsi" w:cs="Arial"/>
                <w:b/>
                <w:color w:val="000000" w:themeColor="text1"/>
              </w:rPr>
              <w:t>Note:</w:t>
            </w:r>
            <w:r w:rsidRPr="004A6B2C">
              <w:rPr>
                <w:rFonts w:asciiTheme="minorHAnsi" w:hAnsiTheme="minorHAnsi" w:cs="Arial"/>
                <w:color w:val="000000" w:themeColor="text1"/>
              </w:rPr>
              <w:t xml:space="preserve"> </w:t>
            </w:r>
            <w:r>
              <w:rPr>
                <w:rFonts w:asciiTheme="minorHAnsi" w:hAnsiTheme="minorHAnsi" w:cs="Arial"/>
              </w:rPr>
              <w:t>Any tenderer that achieves a “Fail” mark will not have their tender submission evaluated any further.</w:t>
            </w:r>
          </w:p>
        </w:tc>
      </w:tr>
      <w:tr w:rsidR="00477574" w:rsidRPr="00A073A1" w14:paraId="111B5D4C" w14:textId="77777777" w:rsidTr="00477574">
        <w:trPr>
          <w:trHeight w:val="711"/>
        </w:trPr>
        <w:tc>
          <w:tcPr>
            <w:tcW w:w="1667" w:type="pct"/>
          </w:tcPr>
          <w:p w14:paraId="3D5593E1" w14:textId="77777777" w:rsidR="00477574" w:rsidRPr="00A073A1" w:rsidRDefault="00477574" w:rsidP="00FB6356">
            <w:pPr>
              <w:spacing w:after="120" w:line="300" w:lineRule="exact"/>
              <w:rPr>
                <w:rFonts w:asciiTheme="minorHAnsi" w:hAnsiTheme="minorHAnsi" w:cs="Arial"/>
              </w:rPr>
            </w:pPr>
            <w:r>
              <w:rPr>
                <w:rFonts w:asciiTheme="minorHAnsi" w:hAnsiTheme="minorHAnsi" w:cs="Arial"/>
              </w:rPr>
              <w:t>S2 Experience of the supplier in performance analysis in the GB mainline railway</w:t>
            </w:r>
          </w:p>
        </w:tc>
        <w:tc>
          <w:tcPr>
            <w:tcW w:w="1200" w:type="pct"/>
          </w:tcPr>
          <w:p w14:paraId="17170445" w14:textId="77777777" w:rsidR="00477574" w:rsidRDefault="00477574" w:rsidP="00FB6356">
            <w:pPr>
              <w:spacing w:after="120" w:line="300" w:lineRule="exact"/>
              <w:rPr>
                <w:rFonts w:asciiTheme="minorHAnsi" w:hAnsiTheme="minorHAnsi" w:cs="Arial"/>
              </w:rPr>
            </w:pPr>
            <w:r>
              <w:rPr>
                <w:rFonts w:asciiTheme="minorHAnsi" w:hAnsiTheme="minorHAnsi" w:cs="Arial"/>
              </w:rPr>
              <w:t>Provide a brief description of a p</w:t>
            </w:r>
            <w:r w:rsidRPr="00A073A1">
              <w:rPr>
                <w:rFonts w:asciiTheme="minorHAnsi" w:hAnsiTheme="minorHAnsi" w:cs="Arial"/>
              </w:rPr>
              <w:t>roject</w:t>
            </w:r>
            <w:r>
              <w:rPr>
                <w:rFonts w:asciiTheme="minorHAnsi" w:hAnsiTheme="minorHAnsi" w:cs="Arial"/>
              </w:rPr>
              <w:t xml:space="preserve"> in which you delivered</w:t>
            </w:r>
            <w:r w:rsidRPr="00A073A1">
              <w:rPr>
                <w:rFonts w:asciiTheme="minorHAnsi" w:hAnsiTheme="minorHAnsi" w:cs="Arial"/>
              </w:rPr>
              <w:t xml:space="preserve"> </w:t>
            </w:r>
            <w:r>
              <w:rPr>
                <w:rFonts w:asciiTheme="minorHAnsi" w:hAnsiTheme="minorHAnsi" w:cs="Arial"/>
              </w:rPr>
              <w:t>performance analysis activities to GB mainline railway clients over the last two years? Please provide a brief explanation on why they are relevant to our needs.</w:t>
            </w:r>
          </w:p>
        </w:tc>
        <w:tc>
          <w:tcPr>
            <w:tcW w:w="2133" w:type="pct"/>
          </w:tcPr>
          <w:p w14:paraId="690B8343" w14:textId="77777777" w:rsidR="00477574" w:rsidRDefault="00477574" w:rsidP="00FB6356">
            <w:pPr>
              <w:spacing w:after="120" w:line="300" w:lineRule="exact"/>
              <w:rPr>
                <w:rFonts w:asciiTheme="minorHAnsi" w:hAnsiTheme="minorHAnsi" w:cs="Arial"/>
              </w:rPr>
            </w:pPr>
            <w:r w:rsidRPr="004A6B2C">
              <w:rPr>
                <w:rFonts w:asciiTheme="minorHAnsi" w:hAnsiTheme="minorHAnsi" w:cs="Arial"/>
                <w:b/>
                <w:color w:val="00B050"/>
              </w:rPr>
              <w:t>Pass</w:t>
            </w:r>
            <w:r w:rsidRPr="00A073A1">
              <w:rPr>
                <w:rFonts w:asciiTheme="minorHAnsi" w:hAnsiTheme="minorHAnsi" w:cs="Arial"/>
              </w:rPr>
              <w:t>/</w:t>
            </w:r>
            <w:r w:rsidRPr="004A6B2C">
              <w:rPr>
                <w:rFonts w:asciiTheme="minorHAnsi" w:hAnsiTheme="minorHAnsi" w:cs="Arial"/>
                <w:b/>
                <w:color w:val="FF0000"/>
              </w:rPr>
              <w:t>Fail</w:t>
            </w:r>
          </w:p>
          <w:p w14:paraId="79B78404" w14:textId="77777777" w:rsidR="00477574" w:rsidRDefault="00477574" w:rsidP="00FB6356">
            <w:pPr>
              <w:spacing w:after="120" w:line="300" w:lineRule="exact"/>
              <w:rPr>
                <w:rFonts w:asciiTheme="minorHAnsi" w:hAnsiTheme="minorHAnsi" w:cs="Arial"/>
              </w:rPr>
            </w:pPr>
            <w:r w:rsidRPr="004A6B2C">
              <w:rPr>
                <w:rFonts w:asciiTheme="minorHAnsi" w:hAnsiTheme="minorHAnsi" w:cs="Arial"/>
                <w:b/>
                <w:color w:val="00B050"/>
              </w:rPr>
              <w:t xml:space="preserve">Pass </w:t>
            </w:r>
            <w:r>
              <w:rPr>
                <w:rFonts w:asciiTheme="minorHAnsi" w:hAnsiTheme="minorHAnsi" w:cs="Arial"/>
              </w:rPr>
              <w:t>= The tenderer has provided a brief description of at least one project in which the tenderer delivered performance analysis activities to GB mainline railway clients over the last two years. Further, the tenderer has provided a brief explanation as to “Why?” the given project is relevant to RSSB’s needs.</w:t>
            </w:r>
          </w:p>
          <w:p w14:paraId="10509620" w14:textId="77777777" w:rsidR="00477574" w:rsidRDefault="00477574" w:rsidP="00FB6356">
            <w:pPr>
              <w:spacing w:after="120" w:line="300" w:lineRule="exact"/>
              <w:rPr>
                <w:rFonts w:asciiTheme="minorHAnsi" w:hAnsiTheme="minorHAnsi" w:cs="Arial"/>
              </w:rPr>
            </w:pPr>
          </w:p>
          <w:p w14:paraId="7E9C0916" w14:textId="77777777" w:rsidR="00477574" w:rsidRDefault="00477574" w:rsidP="00FB6356">
            <w:pPr>
              <w:spacing w:after="120" w:line="300" w:lineRule="exact"/>
              <w:rPr>
                <w:rFonts w:asciiTheme="minorHAnsi" w:hAnsiTheme="minorHAnsi" w:cs="Arial"/>
              </w:rPr>
            </w:pPr>
            <w:r w:rsidRPr="00FA79E2">
              <w:rPr>
                <w:rFonts w:asciiTheme="minorHAnsi" w:hAnsiTheme="minorHAnsi" w:cs="Arial"/>
                <w:b/>
                <w:color w:val="FF0000"/>
              </w:rPr>
              <w:lastRenderedPageBreak/>
              <w:t>Fail</w:t>
            </w:r>
            <w:r>
              <w:rPr>
                <w:rFonts w:asciiTheme="minorHAnsi" w:hAnsiTheme="minorHAnsi" w:cs="Arial"/>
              </w:rPr>
              <w:t xml:space="preserve"> = The tenderer has not provided a brief description of at least one project in which the tenderer delivered performance analysis activities to GB mainline railway clients over the last two years and/or the tenderer has not provided a brief explanation as to “Why?” the given project is relevant to RSSB’s needs.</w:t>
            </w:r>
          </w:p>
          <w:p w14:paraId="43158B6D" w14:textId="77777777" w:rsidR="00477574" w:rsidRDefault="00477574" w:rsidP="00FB6356">
            <w:pPr>
              <w:spacing w:after="120" w:line="300" w:lineRule="exact"/>
              <w:rPr>
                <w:rFonts w:asciiTheme="minorHAnsi" w:hAnsiTheme="minorHAnsi" w:cs="Arial"/>
              </w:rPr>
            </w:pPr>
          </w:p>
          <w:p w14:paraId="2C92A6F2" w14:textId="77777777" w:rsidR="00477574" w:rsidRPr="00A073A1" w:rsidRDefault="00477574" w:rsidP="00FB6356">
            <w:pPr>
              <w:spacing w:after="120" w:line="300" w:lineRule="exact"/>
              <w:rPr>
                <w:rFonts w:asciiTheme="minorHAnsi" w:hAnsiTheme="minorHAnsi" w:cs="Arial"/>
              </w:rPr>
            </w:pPr>
            <w:r w:rsidRPr="004A6B2C">
              <w:rPr>
                <w:rFonts w:asciiTheme="minorHAnsi" w:hAnsiTheme="minorHAnsi" w:cs="Arial"/>
                <w:b/>
                <w:color w:val="000000" w:themeColor="text1"/>
              </w:rPr>
              <w:t>Note:</w:t>
            </w:r>
            <w:r w:rsidRPr="004A6B2C">
              <w:rPr>
                <w:rFonts w:asciiTheme="minorHAnsi" w:hAnsiTheme="minorHAnsi" w:cs="Arial"/>
                <w:color w:val="000000" w:themeColor="text1"/>
              </w:rPr>
              <w:t xml:space="preserve"> </w:t>
            </w:r>
            <w:r>
              <w:rPr>
                <w:rFonts w:asciiTheme="minorHAnsi" w:hAnsiTheme="minorHAnsi" w:cs="Arial"/>
              </w:rPr>
              <w:t>Any tenderer that achieves a “Fail” mark will not have their tender submission evaluated any further.</w:t>
            </w:r>
          </w:p>
        </w:tc>
      </w:tr>
      <w:tr w:rsidR="00477574" w:rsidRPr="00A073A1" w14:paraId="1CA0E4AF" w14:textId="77777777" w:rsidTr="00477574">
        <w:trPr>
          <w:trHeight w:val="711"/>
        </w:trPr>
        <w:tc>
          <w:tcPr>
            <w:tcW w:w="1667" w:type="pct"/>
            <w:hideMark/>
          </w:tcPr>
          <w:p w14:paraId="61D6D5BE" w14:textId="77777777" w:rsidR="00477574" w:rsidRPr="00A073A1" w:rsidRDefault="00477574" w:rsidP="00FB6356">
            <w:pPr>
              <w:spacing w:after="120" w:line="300" w:lineRule="exact"/>
              <w:rPr>
                <w:rFonts w:asciiTheme="minorHAnsi" w:hAnsiTheme="minorHAnsi" w:cs="Arial"/>
              </w:rPr>
            </w:pPr>
            <w:r w:rsidRPr="00A073A1">
              <w:rPr>
                <w:rFonts w:asciiTheme="minorHAnsi" w:hAnsiTheme="minorHAnsi" w:cs="Arial"/>
              </w:rPr>
              <w:lastRenderedPageBreak/>
              <w:t>S</w:t>
            </w:r>
            <w:r>
              <w:rPr>
                <w:rFonts w:asciiTheme="minorHAnsi" w:hAnsiTheme="minorHAnsi" w:cs="Arial"/>
              </w:rPr>
              <w:t>3</w:t>
            </w:r>
            <w:r w:rsidRPr="00A073A1">
              <w:rPr>
                <w:rFonts w:asciiTheme="minorHAnsi" w:hAnsiTheme="minorHAnsi" w:cs="Arial"/>
              </w:rPr>
              <w:t xml:space="preserve"> Experience of the organisation with </w:t>
            </w:r>
            <w:r>
              <w:rPr>
                <w:rFonts w:asciiTheme="minorHAnsi" w:hAnsiTheme="minorHAnsi" w:cs="Arial"/>
              </w:rPr>
              <w:t>ERTMS</w:t>
            </w:r>
            <w:r w:rsidRPr="00A073A1">
              <w:rPr>
                <w:rFonts w:asciiTheme="minorHAnsi" w:hAnsiTheme="minorHAnsi" w:cs="Arial"/>
              </w:rPr>
              <w:t xml:space="preserve"> </w:t>
            </w:r>
          </w:p>
        </w:tc>
        <w:tc>
          <w:tcPr>
            <w:tcW w:w="1200" w:type="pct"/>
            <w:hideMark/>
          </w:tcPr>
          <w:p w14:paraId="09D2CF84" w14:textId="77777777" w:rsidR="00477574" w:rsidRPr="00A073A1" w:rsidRDefault="00477574" w:rsidP="00FB6356">
            <w:pPr>
              <w:spacing w:after="120" w:line="300" w:lineRule="exact"/>
              <w:rPr>
                <w:rFonts w:asciiTheme="minorHAnsi" w:hAnsiTheme="minorHAnsi" w:cs="Arial"/>
              </w:rPr>
            </w:pPr>
            <w:r>
              <w:rPr>
                <w:rFonts w:asciiTheme="minorHAnsi" w:hAnsiTheme="minorHAnsi" w:cs="Arial"/>
              </w:rPr>
              <w:t>Provide a brief description of two</w:t>
            </w:r>
            <w:r w:rsidRPr="00A073A1">
              <w:rPr>
                <w:rFonts w:asciiTheme="minorHAnsi" w:hAnsiTheme="minorHAnsi" w:cs="Arial"/>
              </w:rPr>
              <w:t xml:space="preserve"> </w:t>
            </w:r>
            <w:r>
              <w:rPr>
                <w:rFonts w:asciiTheme="minorHAnsi" w:hAnsiTheme="minorHAnsi" w:cs="Arial"/>
              </w:rPr>
              <w:t>ERTMS related projects you have delivered to clients over the last two years? Please provide a brief explanation on why they are relevant to our needs.</w:t>
            </w:r>
          </w:p>
        </w:tc>
        <w:tc>
          <w:tcPr>
            <w:tcW w:w="2133" w:type="pct"/>
            <w:hideMark/>
          </w:tcPr>
          <w:p w14:paraId="776FA73C" w14:textId="77777777" w:rsidR="00477574" w:rsidRDefault="00477574" w:rsidP="00FB6356">
            <w:pPr>
              <w:spacing w:after="120" w:line="300" w:lineRule="exact"/>
              <w:rPr>
                <w:rFonts w:asciiTheme="minorHAnsi" w:hAnsiTheme="minorHAnsi" w:cs="Arial"/>
              </w:rPr>
            </w:pPr>
            <w:r w:rsidRPr="004A6B2C">
              <w:rPr>
                <w:rFonts w:asciiTheme="minorHAnsi" w:hAnsiTheme="minorHAnsi" w:cs="Arial"/>
                <w:b/>
                <w:color w:val="00B050"/>
              </w:rPr>
              <w:t>Pass</w:t>
            </w:r>
            <w:r w:rsidRPr="00A073A1">
              <w:rPr>
                <w:rFonts w:asciiTheme="minorHAnsi" w:hAnsiTheme="minorHAnsi" w:cs="Arial"/>
              </w:rPr>
              <w:t>/</w:t>
            </w:r>
            <w:r w:rsidRPr="004A6B2C">
              <w:rPr>
                <w:rFonts w:asciiTheme="minorHAnsi" w:hAnsiTheme="minorHAnsi" w:cs="Arial"/>
                <w:b/>
                <w:color w:val="FF0000"/>
              </w:rPr>
              <w:t>Fail</w:t>
            </w:r>
          </w:p>
          <w:p w14:paraId="116F900D" w14:textId="77777777" w:rsidR="00477574" w:rsidRDefault="00477574" w:rsidP="00FB6356">
            <w:pPr>
              <w:spacing w:after="120" w:line="300" w:lineRule="exact"/>
              <w:rPr>
                <w:rFonts w:asciiTheme="minorHAnsi" w:hAnsiTheme="minorHAnsi" w:cs="Arial"/>
              </w:rPr>
            </w:pPr>
          </w:p>
          <w:p w14:paraId="7FF601E2" w14:textId="77777777" w:rsidR="00477574" w:rsidRDefault="00477574" w:rsidP="00FB6356">
            <w:pPr>
              <w:spacing w:after="120" w:line="300" w:lineRule="exact"/>
              <w:rPr>
                <w:rFonts w:asciiTheme="minorHAnsi" w:hAnsiTheme="minorHAnsi" w:cs="Arial"/>
              </w:rPr>
            </w:pPr>
            <w:r w:rsidRPr="004A6B2C">
              <w:rPr>
                <w:rFonts w:asciiTheme="minorHAnsi" w:hAnsiTheme="minorHAnsi" w:cs="Arial"/>
                <w:b/>
                <w:color w:val="00B050"/>
              </w:rPr>
              <w:t>Pass</w:t>
            </w:r>
            <w:r>
              <w:rPr>
                <w:rFonts w:asciiTheme="minorHAnsi" w:hAnsiTheme="minorHAnsi" w:cs="Arial"/>
              </w:rPr>
              <w:t xml:space="preserve"> = The tenderer has provided a brief description of at least two ERTMS related projects the tenderer has delivered to clients in the past two years.  Further, the tenderer has provided a brief explanation as to “Why?” the given project is relevant to RSSB’s needs.</w:t>
            </w:r>
          </w:p>
          <w:p w14:paraId="1BB34007" w14:textId="77777777" w:rsidR="00477574" w:rsidRDefault="00477574" w:rsidP="00FB6356">
            <w:pPr>
              <w:spacing w:after="120" w:line="300" w:lineRule="exact"/>
              <w:rPr>
                <w:rFonts w:asciiTheme="minorHAnsi" w:hAnsiTheme="minorHAnsi" w:cs="Arial"/>
              </w:rPr>
            </w:pPr>
            <w:r w:rsidRPr="004A6B2C">
              <w:rPr>
                <w:rFonts w:asciiTheme="minorHAnsi" w:hAnsiTheme="minorHAnsi" w:cs="Arial"/>
                <w:b/>
                <w:color w:val="FF0000"/>
              </w:rPr>
              <w:t>Fail</w:t>
            </w:r>
            <w:r>
              <w:rPr>
                <w:rFonts w:asciiTheme="minorHAnsi" w:hAnsiTheme="minorHAnsi" w:cs="Arial"/>
              </w:rPr>
              <w:t xml:space="preserve"> = The tenderer has not provided a brief description of at least two ERTMS related projects the tenderer has delivered to clients in the past two years and/or the tenderer has not provided a brief explanation as to “Why?” the given project is relevant to RSSB’s needs.</w:t>
            </w:r>
          </w:p>
          <w:p w14:paraId="46AC0903" w14:textId="77777777" w:rsidR="00477574" w:rsidRDefault="00477574" w:rsidP="00FB6356">
            <w:pPr>
              <w:spacing w:after="120" w:line="300" w:lineRule="exact"/>
              <w:rPr>
                <w:rFonts w:asciiTheme="minorHAnsi" w:hAnsiTheme="minorHAnsi" w:cs="Arial"/>
              </w:rPr>
            </w:pPr>
          </w:p>
          <w:p w14:paraId="50E281F8" w14:textId="77777777" w:rsidR="00477574" w:rsidRPr="00A073A1" w:rsidRDefault="00477574" w:rsidP="00FB6356">
            <w:pPr>
              <w:spacing w:after="120" w:line="300" w:lineRule="exact"/>
              <w:rPr>
                <w:rFonts w:asciiTheme="minorHAnsi" w:hAnsiTheme="minorHAnsi" w:cs="Arial"/>
              </w:rPr>
            </w:pPr>
            <w:r w:rsidRPr="004A6B2C">
              <w:rPr>
                <w:rFonts w:asciiTheme="minorHAnsi" w:hAnsiTheme="minorHAnsi" w:cs="Arial"/>
                <w:b/>
                <w:color w:val="000000" w:themeColor="text1"/>
              </w:rPr>
              <w:t>Note:</w:t>
            </w:r>
            <w:r w:rsidRPr="004A6B2C">
              <w:rPr>
                <w:rFonts w:asciiTheme="minorHAnsi" w:hAnsiTheme="minorHAnsi" w:cs="Arial"/>
                <w:color w:val="000000" w:themeColor="text1"/>
              </w:rPr>
              <w:t xml:space="preserve"> </w:t>
            </w:r>
            <w:r>
              <w:rPr>
                <w:rFonts w:asciiTheme="minorHAnsi" w:hAnsiTheme="minorHAnsi" w:cs="Arial"/>
              </w:rPr>
              <w:t>Any tenderer that achieves a “Fail” mark will not have their tender submission evaluated any further.</w:t>
            </w:r>
          </w:p>
        </w:tc>
      </w:tr>
    </w:tbl>
    <w:p w14:paraId="3DC07836" w14:textId="77777777" w:rsidR="00362D92" w:rsidRDefault="00362D92" w:rsidP="009437FF">
      <w:pPr>
        <w:pStyle w:val="Body"/>
        <w:rPr>
          <w:rFonts w:asciiTheme="minorHAnsi" w:hAnsiTheme="minorHAnsi"/>
        </w:rPr>
        <w:sectPr w:rsidR="00362D92" w:rsidSect="00FD1FB6">
          <w:pgSz w:w="16838" w:h="11906" w:orient="landscape"/>
          <w:pgMar w:top="426"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539A036"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857AA1">
        <w:rPr>
          <w:rFonts w:asciiTheme="minorHAnsi" w:hAnsiTheme="minorHAnsi"/>
          <w:bCs/>
          <w:kern w:val="28"/>
          <w:lang w:eastAsia="en-GB"/>
        </w:rPr>
        <w:t xml:space="preserve">Quality </w:t>
      </w:r>
      <w:r w:rsidR="00C0296A">
        <w:rPr>
          <w:rFonts w:asciiTheme="minorHAnsi" w:hAnsiTheme="minorHAnsi"/>
          <w:bCs/>
          <w:kern w:val="28"/>
          <w:lang w:eastAsia="en-GB"/>
        </w:rPr>
        <w:t>75</w:t>
      </w:r>
      <w:r w:rsidR="00857AA1">
        <w:rPr>
          <w:rFonts w:asciiTheme="minorHAnsi" w:hAnsiTheme="minorHAnsi"/>
          <w:bCs/>
          <w:kern w:val="28"/>
          <w:lang w:eastAsia="en-GB"/>
        </w:rPr>
        <w:t>%: Price 2</w:t>
      </w:r>
      <w:r w:rsidR="00C0296A">
        <w:rPr>
          <w:rFonts w:asciiTheme="minorHAnsi" w:hAnsiTheme="minorHAnsi"/>
          <w:bCs/>
          <w:kern w:val="28"/>
          <w:lang w:eastAsia="en-GB"/>
        </w:rPr>
        <w:t>5</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19036008" w14:textId="5C9C9E5C" w:rsidR="00E62A97" w:rsidRDefault="00936D92" w:rsidP="008B659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7F740A02" w14:textId="77777777" w:rsidR="008B6595" w:rsidRPr="008B6595" w:rsidRDefault="008B6595" w:rsidP="008B6595">
      <w:pPr>
        <w:pStyle w:val="Body"/>
      </w:pP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29"/>
        <w:gridCol w:w="3393"/>
        <w:gridCol w:w="3247"/>
        <w:gridCol w:w="1215"/>
      </w:tblGrid>
      <w:tr w:rsidR="00477574" w:rsidRPr="008831D8" w14:paraId="7DB10C4F" w14:textId="77777777" w:rsidTr="00FB63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FA4072" w14:textId="77777777" w:rsidR="00477574" w:rsidRPr="008831D8" w:rsidRDefault="00477574" w:rsidP="00FB6356">
            <w:pPr>
              <w:spacing w:after="120" w:line="300" w:lineRule="exact"/>
              <w:rPr>
                <w:rFonts w:asciiTheme="minorHAnsi" w:hAnsiTheme="minorHAnsi" w:cs="Arial"/>
                <w:b/>
              </w:rPr>
            </w:pPr>
            <w:r w:rsidRPr="008831D8">
              <w:rPr>
                <w:rFonts w:asciiTheme="minorHAnsi" w:hAnsiTheme="minorHAnsi" w:cs="Arial"/>
                <w:b/>
              </w:rPr>
              <w:t>Heading</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874B80" w14:textId="77777777" w:rsidR="00477574" w:rsidRPr="008831D8" w:rsidRDefault="00477574" w:rsidP="00FB6356">
            <w:pPr>
              <w:spacing w:after="120" w:line="300" w:lineRule="exact"/>
              <w:rPr>
                <w:rFonts w:asciiTheme="minorHAnsi" w:hAnsiTheme="minorHAnsi" w:cs="Arial"/>
                <w:b/>
              </w:rPr>
            </w:pPr>
            <w:r w:rsidRPr="008831D8">
              <w:rPr>
                <w:rFonts w:asciiTheme="minorHAnsi" w:hAnsiTheme="minorHAnsi" w:cs="Arial"/>
                <w:b/>
              </w:rPr>
              <w:t>Specific question(s)</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685188" w14:textId="77777777" w:rsidR="00477574" w:rsidRPr="008831D8" w:rsidRDefault="00477574" w:rsidP="00FB6356">
            <w:pPr>
              <w:spacing w:after="120" w:line="300" w:lineRule="exact"/>
              <w:rPr>
                <w:rFonts w:asciiTheme="minorHAnsi" w:hAnsiTheme="minorHAnsi" w:cs="Arial"/>
                <w:b/>
              </w:rPr>
            </w:pPr>
            <w:r w:rsidRPr="008831D8">
              <w:rPr>
                <w:rFonts w:asciiTheme="minorHAnsi" w:hAnsiTheme="minorHAnsi" w:cs="Arial"/>
                <w:b/>
              </w:rPr>
              <w:t>Evaluation Criteria</w:t>
            </w: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0C94B1" w14:textId="77777777" w:rsidR="00477574" w:rsidRPr="008831D8" w:rsidRDefault="00477574" w:rsidP="00FB6356">
            <w:pPr>
              <w:spacing w:after="120" w:line="300" w:lineRule="exact"/>
              <w:rPr>
                <w:rFonts w:asciiTheme="minorHAnsi" w:hAnsiTheme="minorHAnsi" w:cs="Arial"/>
                <w:b/>
              </w:rPr>
            </w:pPr>
            <w:r w:rsidRPr="008831D8">
              <w:rPr>
                <w:rFonts w:asciiTheme="minorHAnsi" w:hAnsiTheme="minorHAnsi" w:cs="Arial"/>
                <w:b/>
              </w:rPr>
              <w:t xml:space="preserve">Weight </w:t>
            </w:r>
          </w:p>
        </w:tc>
      </w:tr>
      <w:tr w:rsidR="00477574" w:rsidRPr="008831D8" w14:paraId="175880F6" w14:textId="77777777" w:rsidTr="00FB63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3233E1"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t>A1 Robust methodology and previous experience involving ETCS HAZID risk and performance assessment</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FD05B1"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t xml:space="preserve">What is your proposed risk and performance analysis methodology? What previous experience do you have using ETCS HAZID risk and performance assessment in the GB mainline Railway? </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D05808"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t>The Tenderer’s response shows that it:</w:t>
            </w:r>
          </w:p>
          <w:p w14:paraId="00CDE0C9" w14:textId="77777777" w:rsidR="00477574" w:rsidRPr="008831D8" w:rsidRDefault="00477574" w:rsidP="009D0427">
            <w:pPr>
              <w:pStyle w:val="ListParagraph"/>
              <w:numPr>
                <w:ilvl w:val="0"/>
                <w:numId w:val="56"/>
              </w:numPr>
              <w:spacing w:after="120" w:line="300" w:lineRule="exact"/>
              <w:rPr>
                <w:rFonts w:asciiTheme="minorHAnsi" w:hAnsiTheme="minorHAnsi"/>
                <w:sz w:val="22"/>
                <w:szCs w:val="22"/>
              </w:rPr>
            </w:pPr>
            <w:r w:rsidRPr="008831D8">
              <w:rPr>
                <w:rFonts w:asciiTheme="minorHAnsi" w:hAnsiTheme="minorHAnsi"/>
                <w:sz w:val="22"/>
                <w:szCs w:val="22"/>
              </w:rPr>
              <w:t>Has understood the requirements</w:t>
            </w:r>
          </w:p>
          <w:p w14:paraId="75352322" w14:textId="77777777" w:rsidR="00477574" w:rsidRPr="008831D8" w:rsidRDefault="00477574" w:rsidP="009D0427">
            <w:pPr>
              <w:pStyle w:val="ListParagraph"/>
              <w:numPr>
                <w:ilvl w:val="0"/>
                <w:numId w:val="56"/>
              </w:numPr>
              <w:spacing w:after="120" w:line="300" w:lineRule="exact"/>
              <w:rPr>
                <w:rFonts w:asciiTheme="minorHAnsi" w:hAnsiTheme="minorHAnsi"/>
                <w:sz w:val="22"/>
                <w:szCs w:val="22"/>
              </w:rPr>
            </w:pPr>
            <w:r w:rsidRPr="008831D8">
              <w:rPr>
                <w:rFonts w:asciiTheme="minorHAnsi" w:hAnsiTheme="minorHAnsi"/>
                <w:sz w:val="22"/>
                <w:szCs w:val="22"/>
              </w:rPr>
              <w:t>Has proposed a credible and sound methodology and has proven capability to deliver that methodology</w:t>
            </w:r>
          </w:p>
          <w:p w14:paraId="1291BE53" w14:textId="77777777" w:rsidR="00477574" w:rsidRPr="008831D8" w:rsidRDefault="00477574" w:rsidP="009D0427">
            <w:pPr>
              <w:pStyle w:val="ListParagraph"/>
              <w:numPr>
                <w:ilvl w:val="0"/>
                <w:numId w:val="56"/>
              </w:numPr>
              <w:spacing w:after="120" w:line="300" w:lineRule="exact"/>
              <w:rPr>
                <w:rFonts w:asciiTheme="minorHAnsi" w:hAnsiTheme="minorHAnsi"/>
                <w:sz w:val="22"/>
                <w:szCs w:val="22"/>
              </w:rPr>
            </w:pPr>
            <w:r w:rsidRPr="008831D8">
              <w:rPr>
                <w:rFonts w:asciiTheme="minorHAnsi" w:hAnsiTheme="minorHAnsi"/>
                <w:sz w:val="22"/>
                <w:szCs w:val="22"/>
              </w:rPr>
              <w:t>Explains how they would apply their expertise to meet the specification, including how they would conduct the study;</w:t>
            </w:r>
          </w:p>
          <w:p w14:paraId="7C3F359D" w14:textId="77777777" w:rsidR="00477574" w:rsidRPr="008831D8" w:rsidRDefault="00477574" w:rsidP="009D0427">
            <w:pPr>
              <w:pStyle w:val="ListParagraph"/>
              <w:numPr>
                <w:ilvl w:val="0"/>
                <w:numId w:val="56"/>
              </w:numPr>
              <w:spacing w:after="120" w:line="300" w:lineRule="exact"/>
              <w:rPr>
                <w:rFonts w:asciiTheme="minorHAnsi" w:hAnsiTheme="minorHAnsi"/>
                <w:sz w:val="22"/>
                <w:szCs w:val="22"/>
              </w:rPr>
            </w:pPr>
            <w:r w:rsidRPr="008831D8">
              <w:rPr>
                <w:rFonts w:asciiTheme="minorHAnsi" w:hAnsiTheme="minorHAnsi"/>
                <w:sz w:val="22"/>
                <w:szCs w:val="22"/>
              </w:rPr>
              <w:t>Demonstrates their understanding of the objectives and provide a coherent and systematic approach to meet these objectives.</w:t>
            </w:r>
          </w:p>
          <w:p w14:paraId="1FF8C278" w14:textId="77777777" w:rsidR="00477574" w:rsidRPr="008831D8" w:rsidRDefault="00477574" w:rsidP="009D0427">
            <w:pPr>
              <w:numPr>
                <w:ilvl w:val="0"/>
                <w:numId w:val="56"/>
              </w:numPr>
              <w:spacing w:after="120" w:line="300" w:lineRule="exact"/>
              <w:rPr>
                <w:rFonts w:asciiTheme="minorHAnsi" w:hAnsiTheme="minorHAnsi" w:cs="Arial"/>
              </w:rPr>
            </w:pPr>
            <w:r w:rsidRPr="008831D8">
              <w:rPr>
                <w:rFonts w:asciiTheme="minorHAnsi" w:hAnsiTheme="minorHAnsi" w:cs="Arial"/>
              </w:rPr>
              <w:t>Has identified suitable ways to address the project’s critical success factors;</w:t>
            </w:r>
          </w:p>
          <w:p w14:paraId="254947F1" w14:textId="77777777" w:rsidR="00477574" w:rsidRPr="008831D8" w:rsidRDefault="00477574" w:rsidP="009D0427">
            <w:pPr>
              <w:pStyle w:val="ListParagraph"/>
              <w:numPr>
                <w:ilvl w:val="0"/>
                <w:numId w:val="56"/>
              </w:numPr>
              <w:spacing w:after="120" w:line="300" w:lineRule="exact"/>
              <w:rPr>
                <w:rFonts w:asciiTheme="minorHAnsi" w:hAnsiTheme="minorHAnsi"/>
                <w:sz w:val="22"/>
                <w:szCs w:val="22"/>
              </w:rPr>
            </w:pP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59B3EF"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t>35%</w:t>
            </w:r>
          </w:p>
        </w:tc>
      </w:tr>
      <w:tr w:rsidR="00477574" w:rsidRPr="008831D8" w14:paraId="72F92082" w14:textId="77777777" w:rsidTr="00FB63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582C7E"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t>A2 Project Resources</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AFB06C"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t xml:space="preserve">Who will be part of the delivery team? It is not necessary to produce bespoke CVs, but it is necessary to clearly identify every team member’s role, their relevant experience and contribution to delivery. </w:t>
            </w:r>
          </w:p>
          <w:p w14:paraId="1D0FE020"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t xml:space="preserve">Provide adequate allocation of appropriate resources against deliverables and have named individuals against specific roles with named alternates identified. </w:t>
            </w:r>
          </w:p>
          <w:p w14:paraId="0515EAA5"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t xml:space="preserve">How will you work with RSSB to ensure the quality and the content </w:t>
            </w:r>
            <w:r w:rsidRPr="008831D8">
              <w:rPr>
                <w:rFonts w:asciiTheme="minorHAnsi" w:hAnsiTheme="minorHAnsi" w:cs="Arial"/>
              </w:rPr>
              <w:lastRenderedPageBreak/>
              <w:t>of the deliverables is fit for purpose?</w:t>
            </w:r>
          </w:p>
          <w:p w14:paraId="34D76634" w14:textId="77777777" w:rsidR="00477574" w:rsidRPr="008831D8" w:rsidRDefault="00477574" w:rsidP="00FB6356">
            <w:pPr>
              <w:spacing w:after="120" w:line="300" w:lineRule="exact"/>
              <w:rPr>
                <w:rFonts w:asciiTheme="minorHAnsi" w:hAnsiTheme="minorHAnsi" w:cs="Arial"/>
              </w:rPr>
            </w:pP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789D73"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lastRenderedPageBreak/>
              <w:t>The Tenderer’s response shows that it</w:t>
            </w:r>
            <w:r>
              <w:rPr>
                <w:rFonts w:asciiTheme="minorHAnsi" w:hAnsiTheme="minorHAnsi" w:cs="Arial"/>
              </w:rPr>
              <w:t>:</w:t>
            </w:r>
          </w:p>
          <w:p w14:paraId="1C3D2656" w14:textId="77777777" w:rsidR="00477574" w:rsidRPr="008831D8" w:rsidRDefault="00477574" w:rsidP="009D0427">
            <w:pPr>
              <w:pStyle w:val="ListParagraph"/>
              <w:numPr>
                <w:ilvl w:val="0"/>
                <w:numId w:val="57"/>
              </w:numPr>
              <w:spacing w:after="120" w:line="300" w:lineRule="exact"/>
              <w:rPr>
                <w:rFonts w:asciiTheme="minorHAnsi" w:hAnsiTheme="minorHAnsi"/>
                <w:sz w:val="22"/>
                <w:szCs w:val="22"/>
              </w:rPr>
            </w:pPr>
            <w:r w:rsidRPr="008831D8">
              <w:rPr>
                <w:rFonts w:asciiTheme="minorHAnsi" w:hAnsiTheme="minorHAnsi"/>
                <w:sz w:val="22"/>
                <w:szCs w:val="22"/>
              </w:rPr>
              <w:t>Has identified relevant individuals to deliver the work and that the overall mix of skills covered is of high quality</w:t>
            </w:r>
          </w:p>
          <w:p w14:paraId="70F477BF" w14:textId="77777777" w:rsidR="00477574" w:rsidRPr="008831D8" w:rsidRDefault="00477574" w:rsidP="009D0427">
            <w:pPr>
              <w:pStyle w:val="ListParagraph"/>
              <w:numPr>
                <w:ilvl w:val="0"/>
                <w:numId w:val="57"/>
              </w:numPr>
              <w:spacing w:after="120" w:line="300" w:lineRule="exact"/>
              <w:rPr>
                <w:rFonts w:asciiTheme="minorHAnsi" w:hAnsiTheme="minorHAnsi"/>
                <w:sz w:val="22"/>
                <w:szCs w:val="22"/>
              </w:rPr>
            </w:pPr>
            <w:r w:rsidRPr="008831D8">
              <w:rPr>
                <w:rFonts w:asciiTheme="minorHAnsi" w:hAnsiTheme="minorHAnsi"/>
                <w:sz w:val="22"/>
                <w:szCs w:val="22"/>
              </w:rPr>
              <w:t>Individuals identified to deliver the work required are highly skilled and qualified</w:t>
            </w:r>
          </w:p>
          <w:p w14:paraId="6DA2D7AA" w14:textId="77777777" w:rsidR="00477574" w:rsidRPr="008831D8" w:rsidRDefault="00477574" w:rsidP="009D0427">
            <w:pPr>
              <w:pStyle w:val="ListParagraph"/>
              <w:numPr>
                <w:ilvl w:val="0"/>
                <w:numId w:val="57"/>
              </w:numPr>
              <w:spacing w:after="120" w:line="300" w:lineRule="exact"/>
              <w:rPr>
                <w:rFonts w:asciiTheme="minorHAnsi" w:hAnsiTheme="minorHAnsi"/>
                <w:sz w:val="22"/>
                <w:szCs w:val="22"/>
              </w:rPr>
            </w:pPr>
            <w:r w:rsidRPr="008831D8">
              <w:rPr>
                <w:rFonts w:asciiTheme="minorHAnsi" w:hAnsiTheme="minorHAnsi"/>
                <w:sz w:val="22"/>
                <w:szCs w:val="22"/>
              </w:rPr>
              <w:t>Has provided a credible plan for delivering successful outcomes to time, quality and cost</w:t>
            </w:r>
          </w:p>
          <w:p w14:paraId="1B388993" w14:textId="77777777" w:rsidR="00477574" w:rsidRPr="008831D8" w:rsidRDefault="00477574" w:rsidP="00FB6356">
            <w:pPr>
              <w:spacing w:after="120" w:line="300" w:lineRule="exact"/>
              <w:rPr>
                <w:rFonts w:asciiTheme="minorHAnsi" w:hAnsiTheme="minorHAnsi" w:cs="Arial"/>
              </w:rPr>
            </w:pP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0286C5" w14:textId="654D6836" w:rsidR="00477574" w:rsidRPr="008831D8" w:rsidRDefault="00477574" w:rsidP="00FB6356">
            <w:pPr>
              <w:spacing w:after="120" w:line="300" w:lineRule="exact"/>
              <w:rPr>
                <w:rFonts w:asciiTheme="minorHAnsi" w:hAnsiTheme="minorHAnsi" w:cs="Arial"/>
              </w:rPr>
            </w:pPr>
            <w:r>
              <w:rPr>
                <w:rFonts w:asciiTheme="minorHAnsi" w:hAnsiTheme="minorHAnsi" w:cs="Arial"/>
              </w:rPr>
              <w:t>20</w:t>
            </w:r>
            <w:r w:rsidRPr="008831D8">
              <w:rPr>
                <w:rFonts w:asciiTheme="minorHAnsi" w:hAnsiTheme="minorHAnsi" w:cs="Arial"/>
              </w:rPr>
              <w:t>%</w:t>
            </w:r>
          </w:p>
        </w:tc>
      </w:tr>
      <w:tr w:rsidR="00477574" w:rsidRPr="008831D8" w14:paraId="35F8BBEA" w14:textId="77777777" w:rsidTr="00FB63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611F79" w14:textId="77777777" w:rsidR="00477574" w:rsidRPr="008831D8" w:rsidRDefault="00477574" w:rsidP="00FB6356">
            <w:pPr>
              <w:rPr>
                <w:rFonts w:asciiTheme="minorHAnsi" w:hAnsiTheme="minorHAnsi"/>
                <w:color w:val="000000"/>
              </w:rPr>
            </w:pPr>
            <w:r w:rsidRPr="008831D8">
              <w:rPr>
                <w:rFonts w:asciiTheme="minorHAnsi" w:hAnsiTheme="minorHAnsi"/>
                <w:bCs/>
                <w:color w:val="000000"/>
              </w:rPr>
              <w:t>A.3</w:t>
            </w:r>
            <w:r w:rsidRPr="008831D8">
              <w:rPr>
                <w:rFonts w:asciiTheme="minorHAnsi" w:hAnsiTheme="minorHAnsi"/>
                <w:color w:val="000000"/>
              </w:rPr>
              <w:t xml:space="preserve"> Risks and Challenges</w:t>
            </w:r>
          </w:p>
          <w:p w14:paraId="5B0155B9" w14:textId="77777777" w:rsidR="00477574" w:rsidRPr="008831D8" w:rsidRDefault="00477574" w:rsidP="00FB6356">
            <w:pPr>
              <w:spacing w:after="120" w:line="300" w:lineRule="exact"/>
              <w:rPr>
                <w:rFonts w:asciiTheme="minorHAnsi" w:hAnsiTheme="minorHAnsi" w:cs="Arial"/>
              </w:rPr>
            </w:pP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428235" w14:textId="77777777" w:rsidR="00477574" w:rsidRPr="008831D8" w:rsidRDefault="00477574" w:rsidP="00FB6356">
            <w:pPr>
              <w:rPr>
                <w:rFonts w:asciiTheme="minorHAnsi" w:hAnsiTheme="minorHAnsi"/>
                <w:color w:val="000000"/>
              </w:rPr>
            </w:pPr>
            <w:r w:rsidRPr="008831D8">
              <w:rPr>
                <w:rFonts w:asciiTheme="minorHAnsi" w:hAnsiTheme="minorHAnsi"/>
                <w:color w:val="000000"/>
              </w:rPr>
              <w:t>What risks and challenges do you foresee in this project? What mitigating actions will you take in relations to these risks?</w:t>
            </w:r>
          </w:p>
          <w:p w14:paraId="5B8A0996" w14:textId="77777777" w:rsidR="00477574" w:rsidRPr="008831D8" w:rsidRDefault="00477574" w:rsidP="00FB6356">
            <w:pPr>
              <w:rPr>
                <w:rFonts w:asciiTheme="minorHAnsi" w:hAnsiTheme="minorHAnsi"/>
                <w:color w:val="000000"/>
              </w:rPr>
            </w:pPr>
          </w:p>
          <w:p w14:paraId="599EB3A1" w14:textId="77777777" w:rsidR="00477574" w:rsidRPr="008831D8" w:rsidRDefault="00477574" w:rsidP="00FB6356">
            <w:pPr>
              <w:contextualSpacing/>
              <w:rPr>
                <w:rFonts w:asciiTheme="minorHAnsi" w:hAnsiTheme="minorHAnsi"/>
                <w:color w:val="000000"/>
              </w:rPr>
            </w:pPr>
            <w:r w:rsidRPr="008831D8">
              <w:rPr>
                <w:rFonts w:asciiTheme="minorHAnsi" w:hAnsiTheme="minorHAnsi"/>
                <w:color w:val="000000"/>
              </w:rPr>
              <w:t>Tenderers should provide, in no more than three pages, the risks and challenges that the tenderer foresees for this project as well as the mitigating actions:</w:t>
            </w:r>
            <w:r w:rsidRPr="008831D8">
              <w:rPr>
                <w:rFonts w:asciiTheme="minorHAnsi" w:hAnsiTheme="minorHAnsi"/>
                <w:color w:val="000000"/>
              </w:rPr>
              <w:br/>
            </w:r>
            <w:r w:rsidRPr="008831D8">
              <w:rPr>
                <w:rFonts w:asciiTheme="minorHAnsi" w:hAnsiTheme="minorHAnsi"/>
                <w:color w:val="000000"/>
              </w:rPr>
              <w:br/>
            </w:r>
          </w:p>
          <w:p w14:paraId="385E1628" w14:textId="77777777" w:rsidR="00477574" w:rsidRPr="008831D8" w:rsidRDefault="00477574" w:rsidP="00477574">
            <w:pPr>
              <w:numPr>
                <w:ilvl w:val="0"/>
                <w:numId w:val="42"/>
              </w:numPr>
              <w:spacing w:after="0" w:line="240" w:lineRule="auto"/>
              <w:contextualSpacing/>
              <w:rPr>
                <w:rFonts w:asciiTheme="minorHAnsi" w:hAnsiTheme="minorHAnsi"/>
                <w:color w:val="000000"/>
              </w:rPr>
            </w:pPr>
            <w:r w:rsidRPr="008831D8">
              <w:rPr>
                <w:rFonts w:asciiTheme="minorHAnsi" w:hAnsiTheme="minorHAnsi"/>
                <w:color w:val="000000"/>
              </w:rPr>
              <w:t>The tenderer provides a detailed and succinct Risk Register.</w:t>
            </w:r>
          </w:p>
          <w:p w14:paraId="0C84E13D" w14:textId="77777777" w:rsidR="00477574" w:rsidRPr="008831D8" w:rsidRDefault="00477574" w:rsidP="00FB6356">
            <w:pPr>
              <w:pStyle w:val="ListParagraph"/>
              <w:rPr>
                <w:rFonts w:asciiTheme="minorHAnsi" w:eastAsiaTheme="minorHAnsi" w:hAnsiTheme="minorHAnsi"/>
                <w:color w:val="000000"/>
                <w:sz w:val="22"/>
                <w:szCs w:val="22"/>
              </w:rPr>
            </w:pPr>
          </w:p>
          <w:p w14:paraId="60C1996E" w14:textId="77777777" w:rsidR="00477574" w:rsidRPr="008831D8" w:rsidRDefault="00477574" w:rsidP="00477574">
            <w:pPr>
              <w:numPr>
                <w:ilvl w:val="0"/>
                <w:numId w:val="42"/>
              </w:numPr>
              <w:spacing w:after="0" w:line="240" w:lineRule="auto"/>
              <w:contextualSpacing/>
              <w:rPr>
                <w:rFonts w:asciiTheme="minorHAnsi" w:hAnsiTheme="minorHAnsi"/>
                <w:color w:val="000000"/>
              </w:rPr>
            </w:pPr>
            <w:r w:rsidRPr="008831D8">
              <w:rPr>
                <w:rFonts w:asciiTheme="minorHAnsi" w:hAnsiTheme="minorHAnsi"/>
                <w:color w:val="000000"/>
              </w:rPr>
              <w:t>The tenderer identifies appropriate risks for this project.</w:t>
            </w:r>
          </w:p>
          <w:p w14:paraId="7E27FA9B" w14:textId="77777777" w:rsidR="00477574" w:rsidRPr="008831D8" w:rsidRDefault="00477574" w:rsidP="00FB6356">
            <w:pPr>
              <w:rPr>
                <w:rFonts w:asciiTheme="minorHAnsi" w:hAnsiTheme="minorHAnsi"/>
                <w:color w:val="000000"/>
              </w:rPr>
            </w:pPr>
          </w:p>
          <w:p w14:paraId="5EC610DB" w14:textId="77777777" w:rsidR="00477574" w:rsidRPr="008831D8" w:rsidRDefault="00477574" w:rsidP="00477574">
            <w:pPr>
              <w:numPr>
                <w:ilvl w:val="0"/>
                <w:numId w:val="42"/>
              </w:numPr>
              <w:spacing w:after="0" w:line="240" w:lineRule="auto"/>
              <w:contextualSpacing/>
              <w:rPr>
                <w:rFonts w:asciiTheme="minorHAnsi" w:hAnsiTheme="minorHAnsi"/>
                <w:color w:val="000000"/>
              </w:rPr>
            </w:pPr>
            <w:r w:rsidRPr="008831D8">
              <w:rPr>
                <w:rFonts w:asciiTheme="minorHAnsi" w:hAnsiTheme="minorHAnsi"/>
                <w:color w:val="000000"/>
              </w:rPr>
              <w:t>The tenderer identifies appropriate challenges for this project.</w:t>
            </w:r>
          </w:p>
          <w:p w14:paraId="6F8187D5" w14:textId="77777777" w:rsidR="00477574" w:rsidRPr="008831D8" w:rsidRDefault="00477574" w:rsidP="00FB6356">
            <w:pPr>
              <w:rPr>
                <w:rFonts w:asciiTheme="minorHAnsi" w:hAnsiTheme="minorHAnsi"/>
                <w:color w:val="000000"/>
              </w:rPr>
            </w:pPr>
          </w:p>
          <w:p w14:paraId="5744F442" w14:textId="77777777" w:rsidR="00477574" w:rsidRPr="008831D8" w:rsidRDefault="00477574" w:rsidP="00477574">
            <w:pPr>
              <w:numPr>
                <w:ilvl w:val="0"/>
                <w:numId w:val="42"/>
              </w:numPr>
              <w:spacing w:after="0" w:line="240" w:lineRule="auto"/>
              <w:contextualSpacing/>
              <w:rPr>
                <w:rFonts w:asciiTheme="minorHAnsi" w:hAnsiTheme="minorHAnsi"/>
                <w:color w:val="000000"/>
              </w:rPr>
            </w:pPr>
            <w:r w:rsidRPr="008831D8">
              <w:rPr>
                <w:rFonts w:asciiTheme="minorHAnsi" w:hAnsiTheme="minorHAnsi"/>
                <w:color w:val="000000"/>
              </w:rPr>
              <w:t>The tenderer provides an in-depth statement of what mitigating actions will be taken by the tenderer in relation and with specific regard to each risk.</w:t>
            </w:r>
          </w:p>
          <w:p w14:paraId="0B5B67D0" w14:textId="77777777" w:rsidR="00477574" w:rsidRPr="008831D8" w:rsidRDefault="00477574" w:rsidP="00FB6356">
            <w:pPr>
              <w:rPr>
                <w:rFonts w:asciiTheme="minorHAnsi" w:hAnsiTheme="minorHAnsi"/>
                <w:color w:val="000000"/>
              </w:rPr>
            </w:pPr>
          </w:p>
          <w:p w14:paraId="4CAA5640" w14:textId="77777777" w:rsidR="00477574" w:rsidRPr="008831D8" w:rsidRDefault="00477574" w:rsidP="00477574">
            <w:pPr>
              <w:numPr>
                <w:ilvl w:val="0"/>
                <w:numId w:val="42"/>
              </w:numPr>
              <w:spacing w:after="240" w:line="240" w:lineRule="auto"/>
              <w:contextualSpacing/>
              <w:rPr>
                <w:rFonts w:asciiTheme="minorHAnsi" w:hAnsiTheme="minorHAnsi"/>
                <w:color w:val="000000"/>
              </w:rPr>
            </w:pPr>
            <w:r w:rsidRPr="008831D8">
              <w:rPr>
                <w:rFonts w:asciiTheme="minorHAnsi" w:hAnsiTheme="minorHAnsi"/>
                <w:color w:val="000000"/>
              </w:rPr>
              <w:t>The tenderer demonstrates how they will overcome the challenges that have been identified for this project.</w:t>
            </w:r>
          </w:p>
          <w:p w14:paraId="3DBBBE3A" w14:textId="77777777" w:rsidR="00477574" w:rsidRPr="008831D8" w:rsidRDefault="00477574" w:rsidP="00FB6356">
            <w:pPr>
              <w:spacing w:after="120" w:line="300" w:lineRule="exact"/>
              <w:rPr>
                <w:rFonts w:asciiTheme="minorHAnsi" w:hAnsiTheme="minorHAnsi" w:cs="Arial"/>
              </w:rPr>
            </w:pP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7D7CE7" w14:textId="77777777" w:rsidR="00477574" w:rsidRPr="008831D8" w:rsidRDefault="00477574" w:rsidP="009D0427">
            <w:pPr>
              <w:pStyle w:val="ListParagraph"/>
              <w:numPr>
                <w:ilvl w:val="0"/>
                <w:numId w:val="60"/>
              </w:numPr>
              <w:rPr>
                <w:rFonts w:asciiTheme="minorHAnsi" w:hAnsiTheme="minorHAnsi"/>
                <w:color w:val="000000"/>
                <w:sz w:val="22"/>
                <w:szCs w:val="22"/>
              </w:rPr>
            </w:pPr>
            <w:r w:rsidRPr="008831D8">
              <w:rPr>
                <w:rFonts w:asciiTheme="minorHAnsi" w:hAnsiTheme="minorHAnsi"/>
                <w:color w:val="000000"/>
                <w:sz w:val="22"/>
                <w:szCs w:val="22"/>
              </w:rPr>
              <w:t>The tenderer provides a detailed and succinct Risk Register.</w:t>
            </w:r>
          </w:p>
          <w:p w14:paraId="772D8ED8" w14:textId="77777777" w:rsidR="00477574" w:rsidRPr="008831D8" w:rsidRDefault="00477574" w:rsidP="00FB6356">
            <w:pPr>
              <w:pStyle w:val="ListParagraph"/>
              <w:rPr>
                <w:rFonts w:asciiTheme="minorHAnsi" w:eastAsiaTheme="minorHAnsi" w:hAnsiTheme="minorHAnsi"/>
                <w:color w:val="000000"/>
                <w:sz w:val="22"/>
                <w:szCs w:val="22"/>
              </w:rPr>
            </w:pPr>
          </w:p>
          <w:p w14:paraId="29CDE803" w14:textId="77777777" w:rsidR="00477574" w:rsidRPr="008831D8" w:rsidRDefault="00477574" w:rsidP="009D0427">
            <w:pPr>
              <w:pStyle w:val="ListParagraph"/>
              <w:numPr>
                <w:ilvl w:val="0"/>
                <w:numId w:val="60"/>
              </w:numPr>
              <w:rPr>
                <w:rFonts w:asciiTheme="minorHAnsi" w:hAnsiTheme="minorHAnsi"/>
                <w:color w:val="000000"/>
                <w:sz w:val="22"/>
                <w:szCs w:val="22"/>
              </w:rPr>
            </w:pPr>
            <w:r w:rsidRPr="008831D8">
              <w:rPr>
                <w:rFonts w:asciiTheme="minorHAnsi" w:hAnsiTheme="minorHAnsi"/>
                <w:color w:val="000000"/>
                <w:sz w:val="22"/>
                <w:szCs w:val="22"/>
              </w:rPr>
              <w:t>The tenderer identifies appropriate risks for this project.</w:t>
            </w:r>
          </w:p>
          <w:p w14:paraId="5B4A7229" w14:textId="77777777" w:rsidR="00477574" w:rsidRPr="008831D8" w:rsidRDefault="00477574" w:rsidP="00FB6356">
            <w:pPr>
              <w:rPr>
                <w:rFonts w:asciiTheme="minorHAnsi" w:hAnsiTheme="minorHAnsi"/>
                <w:color w:val="000000"/>
              </w:rPr>
            </w:pPr>
          </w:p>
          <w:p w14:paraId="520A7C24" w14:textId="77777777" w:rsidR="00477574" w:rsidRPr="008831D8" w:rsidRDefault="00477574" w:rsidP="009D0427">
            <w:pPr>
              <w:pStyle w:val="ListParagraph"/>
              <w:numPr>
                <w:ilvl w:val="0"/>
                <w:numId w:val="60"/>
              </w:numPr>
              <w:rPr>
                <w:rFonts w:asciiTheme="minorHAnsi" w:hAnsiTheme="minorHAnsi"/>
                <w:color w:val="000000"/>
                <w:sz w:val="22"/>
                <w:szCs w:val="22"/>
              </w:rPr>
            </w:pPr>
            <w:r w:rsidRPr="008831D8">
              <w:rPr>
                <w:rFonts w:asciiTheme="minorHAnsi" w:hAnsiTheme="minorHAnsi"/>
                <w:color w:val="000000"/>
                <w:sz w:val="22"/>
                <w:szCs w:val="22"/>
              </w:rPr>
              <w:t>The tenderer identifies appropriate challenges for this project.</w:t>
            </w:r>
          </w:p>
          <w:p w14:paraId="77494478" w14:textId="77777777" w:rsidR="00477574" w:rsidRPr="008831D8" w:rsidRDefault="00477574" w:rsidP="00FB6356">
            <w:pPr>
              <w:rPr>
                <w:rFonts w:asciiTheme="minorHAnsi" w:hAnsiTheme="minorHAnsi"/>
                <w:color w:val="000000"/>
              </w:rPr>
            </w:pPr>
          </w:p>
          <w:p w14:paraId="50D4B62A" w14:textId="77777777" w:rsidR="00477574" w:rsidRPr="008831D8" w:rsidRDefault="00477574" w:rsidP="009D0427">
            <w:pPr>
              <w:pStyle w:val="ListParagraph"/>
              <w:numPr>
                <w:ilvl w:val="0"/>
                <w:numId w:val="60"/>
              </w:numPr>
              <w:rPr>
                <w:rFonts w:asciiTheme="minorHAnsi" w:hAnsiTheme="minorHAnsi"/>
                <w:color w:val="000000"/>
                <w:sz w:val="22"/>
                <w:szCs w:val="22"/>
              </w:rPr>
            </w:pPr>
            <w:r w:rsidRPr="008831D8">
              <w:rPr>
                <w:rFonts w:asciiTheme="minorHAnsi" w:hAnsiTheme="minorHAnsi"/>
                <w:color w:val="000000"/>
                <w:sz w:val="22"/>
                <w:szCs w:val="22"/>
              </w:rPr>
              <w:t>The tenderer provides an in-depth statement of what mitigating actions will be taken by the tenderer in relation and with specific regard to each risk.</w:t>
            </w:r>
          </w:p>
          <w:p w14:paraId="0B5D4BCB" w14:textId="77777777" w:rsidR="00477574" w:rsidRPr="008831D8" w:rsidRDefault="00477574" w:rsidP="00FB6356">
            <w:pPr>
              <w:rPr>
                <w:rFonts w:asciiTheme="minorHAnsi" w:hAnsiTheme="minorHAnsi"/>
                <w:color w:val="000000"/>
              </w:rPr>
            </w:pPr>
          </w:p>
          <w:p w14:paraId="153158C1" w14:textId="77777777" w:rsidR="00477574" w:rsidRPr="008831D8" w:rsidRDefault="00477574" w:rsidP="009D0427">
            <w:pPr>
              <w:pStyle w:val="ListParagraph"/>
              <w:numPr>
                <w:ilvl w:val="0"/>
                <w:numId w:val="60"/>
              </w:numPr>
              <w:spacing w:after="240"/>
              <w:rPr>
                <w:rFonts w:asciiTheme="minorHAnsi" w:hAnsiTheme="minorHAnsi"/>
                <w:color w:val="000000"/>
                <w:sz w:val="22"/>
                <w:szCs w:val="22"/>
              </w:rPr>
            </w:pPr>
            <w:r w:rsidRPr="008831D8">
              <w:rPr>
                <w:rFonts w:asciiTheme="minorHAnsi" w:hAnsiTheme="minorHAnsi"/>
                <w:color w:val="000000"/>
                <w:sz w:val="22"/>
                <w:szCs w:val="22"/>
              </w:rPr>
              <w:t>The tenderer demonstrates how they will overcome the challenges that have been identified for this project.</w:t>
            </w:r>
          </w:p>
          <w:p w14:paraId="2126ABD2" w14:textId="77777777" w:rsidR="00477574" w:rsidRPr="008831D8" w:rsidRDefault="00477574" w:rsidP="00FB6356">
            <w:pPr>
              <w:spacing w:after="120" w:line="300" w:lineRule="exact"/>
              <w:rPr>
                <w:rFonts w:asciiTheme="minorHAnsi" w:hAnsiTheme="minorHAnsi" w:cs="Arial"/>
              </w:rPr>
            </w:pP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A6A9C"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t>5%</w:t>
            </w:r>
          </w:p>
        </w:tc>
      </w:tr>
      <w:tr w:rsidR="00477574" w:rsidRPr="008831D8" w14:paraId="1D5499CE" w14:textId="77777777" w:rsidTr="00FB63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4DC04C"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bCs/>
                <w:color w:val="000000"/>
              </w:rPr>
              <w:t>A4. Communication</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D6F79B"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olor w:val="000000"/>
              </w:rPr>
              <w:t>How will you ensure effective communication with both yourself &amp; RSSB? Additionally, how do you propose to communicate with key stakeholders</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E5C08A" w14:textId="77777777" w:rsidR="00477574" w:rsidRPr="008831D8" w:rsidRDefault="00477574" w:rsidP="009D0427">
            <w:pPr>
              <w:pStyle w:val="ListParagraph"/>
              <w:numPr>
                <w:ilvl w:val="0"/>
                <w:numId w:val="61"/>
              </w:numPr>
              <w:rPr>
                <w:rFonts w:asciiTheme="minorHAnsi" w:hAnsiTheme="minorHAnsi"/>
                <w:color w:val="000000"/>
                <w:sz w:val="22"/>
                <w:szCs w:val="22"/>
              </w:rPr>
            </w:pPr>
            <w:r w:rsidRPr="008831D8">
              <w:rPr>
                <w:rFonts w:asciiTheme="minorHAnsi" w:hAnsiTheme="minorHAnsi"/>
                <w:color w:val="000000"/>
                <w:sz w:val="22"/>
                <w:szCs w:val="22"/>
              </w:rPr>
              <w:t>The tender has identified key stakeholders for the project.</w:t>
            </w:r>
          </w:p>
          <w:p w14:paraId="29182FB2" w14:textId="77777777" w:rsidR="00477574" w:rsidRPr="008831D8" w:rsidRDefault="00477574" w:rsidP="00FB6356">
            <w:pPr>
              <w:ind w:left="720"/>
              <w:contextualSpacing/>
              <w:rPr>
                <w:rFonts w:asciiTheme="minorHAnsi" w:hAnsiTheme="minorHAnsi"/>
                <w:color w:val="000000"/>
              </w:rPr>
            </w:pPr>
          </w:p>
          <w:p w14:paraId="1FEA9708" w14:textId="77777777" w:rsidR="00477574" w:rsidRPr="008831D8" w:rsidRDefault="00477574" w:rsidP="009D0427">
            <w:pPr>
              <w:pStyle w:val="ListParagraph"/>
              <w:numPr>
                <w:ilvl w:val="0"/>
                <w:numId w:val="61"/>
              </w:numPr>
              <w:rPr>
                <w:rFonts w:asciiTheme="minorHAnsi" w:hAnsiTheme="minorHAnsi"/>
                <w:color w:val="000000"/>
                <w:sz w:val="22"/>
                <w:szCs w:val="22"/>
              </w:rPr>
            </w:pPr>
            <w:r w:rsidRPr="008831D8">
              <w:rPr>
                <w:rFonts w:asciiTheme="minorHAnsi" w:hAnsiTheme="minorHAnsi"/>
                <w:color w:val="000000"/>
                <w:sz w:val="22"/>
                <w:szCs w:val="22"/>
              </w:rPr>
              <w:t xml:space="preserve">The tenderer provides a well thought out and appropriate communication plan for </w:t>
            </w:r>
            <w:r w:rsidRPr="008831D8">
              <w:rPr>
                <w:rFonts w:asciiTheme="minorHAnsi" w:hAnsiTheme="minorHAnsi"/>
                <w:color w:val="000000"/>
                <w:sz w:val="22"/>
                <w:szCs w:val="22"/>
              </w:rPr>
              <w:lastRenderedPageBreak/>
              <w:t>communication between the tenderer and RSSB.</w:t>
            </w:r>
          </w:p>
          <w:p w14:paraId="05B0DFCF" w14:textId="77777777" w:rsidR="00477574" w:rsidRPr="008831D8" w:rsidRDefault="00477574" w:rsidP="00FB6356">
            <w:pPr>
              <w:pStyle w:val="ListParagraph"/>
              <w:rPr>
                <w:rFonts w:asciiTheme="minorHAnsi" w:eastAsiaTheme="minorHAnsi" w:hAnsiTheme="minorHAnsi"/>
                <w:color w:val="000000"/>
                <w:sz w:val="22"/>
                <w:szCs w:val="22"/>
              </w:rPr>
            </w:pPr>
          </w:p>
          <w:p w14:paraId="6D86A9C4" w14:textId="77777777" w:rsidR="00477574" w:rsidRPr="008831D8" w:rsidRDefault="00477574" w:rsidP="009D0427">
            <w:pPr>
              <w:pStyle w:val="ListParagraph"/>
              <w:numPr>
                <w:ilvl w:val="0"/>
                <w:numId w:val="61"/>
              </w:numPr>
              <w:rPr>
                <w:rFonts w:asciiTheme="minorHAnsi" w:hAnsiTheme="minorHAnsi"/>
                <w:color w:val="000000"/>
                <w:sz w:val="22"/>
                <w:szCs w:val="22"/>
              </w:rPr>
            </w:pPr>
            <w:r w:rsidRPr="008831D8">
              <w:rPr>
                <w:rFonts w:asciiTheme="minorHAnsi" w:hAnsiTheme="minorHAnsi"/>
                <w:color w:val="000000"/>
                <w:sz w:val="22"/>
                <w:szCs w:val="22"/>
              </w:rPr>
              <w:t xml:space="preserve">The tenderer communication plan is effective in </w:t>
            </w:r>
            <w:proofErr w:type="spellStart"/>
            <w:r w:rsidRPr="008831D8">
              <w:rPr>
                <w:rFonts w:asciiTheme="minorHAnsi" w:hAnsiTheme="minorHAnsi"/>
                <w:color w:val="000000"/>
                <w:sz w:val="22"/>
                <w:szCs w:val="22"/>
              </w:rPr>
              <w:t>it’s</w:t>
            </w:r>
            <w:proofErr w:type="spellEnd"/>
            <w:r w:rsidRPr="008831D8">
              <w:rPr>
                <w:rFonts w:asciiTheme="minorHAnsi" w:hAnsiTheme="minorHAnsi"/>
                <w:color w:val="000000"/>
                <w:sz w:val="22"/>
                <w:szCs w:val="22"/>
              </w:rPr>
              <w:t xml:space="preserve"> ability.</w:t>
            </w:r>
          </w:p>
          <w:p w14:paraId="622BAC6D" w14:textId="77777777" w:rsidR="00477574" w:rsidRPr="008831D8" w:rsidRDefault="00477574" w:rsidP="00FB6356">
            <w:pPr>
              <w:rPr>
                <w:rFonts w:asciiTheme="minorHAnsi" w:hAnsiTheme="minorHAnsi"/>
                <w:color w:val="000000"/>
              </w:rPr>
            </w:pPr>
          </w:p>
          <w:p w14:paraId="4082C4EA" w14:textId="77777777" w:rsidR="00477574" w:rsidRPr="008831D8" w:rsidRDefault="00477574" w:rsidP="009D0427">
            <w:pPr>
              <w:pStyle w:val="ListParagraph"/>
              <w:numPr>
                <w:ilvl w:val="0"/>
                <w:numId w:val="61"/>
              </w:numPr>
              <w:rPr>
                <w:rFonts w:asciiTheme="minorHAnsi" w:hAnsiTheme="minorHAnsi"/>
                <w:color w:val="000000"/>
                <w:sz w:val="22"/>
                <w:szCs w:val="22"/>
              </w:rPr>
            </w:pPr>
            <w:r w:rsidRPr="008831D8">
              <w:rPr>
                <w:rFonts w:asciiTheme="minorHAnsi" w:hAnsiTheme="minorHAnsi"/>
                <w:color w:val="000000"/>
                <w:sz w:val="22"/>
                <w:szCs w:val="22"/>
              </w:rPr>
              <w:t>The tenderer provides a robust statement for communicating with key stakeholders.</w:t>
            </w:r>
          </w:p>
          <w:p w14:paraId="73C90D63" w14:textId="77777777" w:rsidR="00477574" w:rsidRPr="008831D8" w:rsidRDefault="00477574" w:rsidP="00FB6356">
            <w:pPr>
              <w:spacing w:after="120" w:line="300" w:lineRule="exact"/>
              <w:rPr>
                <w:rFonts w:asciiTheme="minorHAnsi" w:hAnsiTheme="minorHAnsi" w:cs="Arial"/>
              </w:rPr>
            </w:pP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37AA4" w14:textId="77777777" w:rsidR="00477574" w:rsidRPr="008831D8" w:rsidRDefault="00477574" w:rsidP="00FB6356">
            <w:pPr>
              <w:spacing w:after="120" w:line="300" w:lineRule="exact"/>
              <w:rPr>
                <w:rFonts w:asciiTheme="minorHAnsi" w:hAnsiTheme="minorHAnsi" w:cs="Arial"/>
              </w:rPr>
            </w:pPr>
            <w:r w:rsidRPr="008831D8">
              <w:rPr>
                <w:rFonts w:asciiTheme="minorHAnsi" w:hAnsiTheme="minorHAnsi" w:cs="Arial"/>
              </w:rPr>
              <w:lastRenderedPageBreak/>
              <w:t>5%</w:t>
            </w:r>
          </w:p>
        </w:tc>
      </w:tr>
      <w:tr w:rsidR="00477574" w:rsidRPr="008831D8" w14:paraId="4E7CC86E" w14:textId="77777777" w:rsidTr="00FB63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879A9" w14:textId="164E0D15" w:rsidR="00477574" w:rsidRPr="008831D8" w:rsidRDefault="00477574" w:rsidP="00477574">
            <w:pPr>
              <w:spacing w:after="120" w:line="300" w:lineRule="exact"/>
              <w:rPr>
                <w:rFonts w:asciiTheme="minorHAnsi" w:hAnsiTheme="minorHAnsi"/>
                <w:bCs/>
                <w:color w:val="000000"/>
              </w:rPr>
            </w:pPr>
            <w:r w:rsidRPr="008831D8">
              <w:rPr>
                <w:rFonts w:asciiTheme="minorHAnsi" w:hAnsiTheme="minorHAnsi" w:cs="Arial"/>
                <w:lang w:eastAsia="en-GB"/>
              </w:rPr>
              <w:t>A5. Deliverables</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58982C" w14:textId="77777777" w:rsidR="00477574" w:rsidRPr="008831D8" w:rsidRDefault="00477574" w:rsidP="00477574">
            <w:pPr>
              <w:spacing w:after="120"/>
              <w:rPr>
                <w:rFonts w:asciiTheme="minorHAnsi" w:hAnsiTheme="minorHAnsi" w:cs="Arial"/>
                <w:lang w:eastAsia="en-GB"/>
              </w:rPr>
            </w:pPr>
            <w:r w:rsidRPr="008831D8">
              <w:rPr>
                <w:rFonts w:asciiTheme="minorHAnsi" w:hAnsiTheme="minorHAnsi" w:cs="Arial"/>
                <w:lang w:eastAsia="en-GB"/>
              </w:rPr>
              <w:t>The Tenderer must provide detail (in no more than two pages) on the project deliverables and their successful delivery, to include:</w:t>
            </w:r>
          </w:p>
          <w:p w14:paraId="20D2BD02" w14:textId="77777777" w:rsidR="00477574" w:rsidRPr="008831D8" w:rsidRDefault="00477574" w:rsidP="009D0427">
            <w:pPr>
              <w:numPr>
                <w:ilvl w:val="0"/>
                <w:numId w:val="59"/>
              </w:numPr>
              <w:spacing w:after="120" w:line="300" w:lineRule="exact"/>
              <w:contextualSpacing/>
              <w:rPr>
                <w:rFonts w:asciiTheme="minorHAnsi" w:hAnsiTheme="minorHAnsi" w:cs="Arial"/>
                <w:lang w:eastAsia="en-GB"/>
              </w:rPr>
            </w:pPr>
            <w:r w:rsidRPr="008831D8">
              <w:rPr>
                <w:rFonts w:asciiTheme="minorHAnsi" w:hAnsiTheme="minorHAnsi" w:cs="Arial"/>
                <w:lang w:eastAsia="en-GB"/>
              </w:rPr>
              <w:t>Clear understanding of and process plan for each deliverable</w:t>
            </w:r>
            <w:r w:rsidRPr="008831D8">
              <w:rPr>
                <w:rFonts w:asciiTheme="minorHAnsi" w:hAnsiTheme="minorHAnsi" w:cs="Arial"/>
                <w:lang w:eastAsia="en-GB"/>
              </w:rPr>
              <w:br/>
            </w:r>
          </w:p>
          <w:p w14:paraId="0A202EAD" w14:textId="4FA9B437" w:rsidR="00477574" w:rsidRPr="008831D8" w:rsidRDefault="00477574" w:rsidP="00477574">
            <w:pPr>
              <w:spacing w:after="120" w:line="300" w:lineRule="exact"/>
              <w:rPr>
                <w:rFonts w:asciiTheme="minorHAnsi" w:hAnsiTheme="minorHAnsi"/>
                <w:color w:val="000000"/>
              </w:rPr>
            </w:pPr>
            <w:r w:rsidRPr="008831D8">
              <w:rPr>
                <w:rFonts w:asciiTheme="minorHAnsi" w:hAnsiTheme="minorHAnsi" w:cs="Arial"/>
                <w:lang w:eastAsia="en-GB"/>
              </w:rPr>
              <w:t>Process for review of deliverables and drafts</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738E8D" w14:textId="77777777" w:rsidR="00477574" w:rsidRPr="008831D8" w:rsidRDefault="00477574" w:rsidP="00477574">
            <w:pPr>
              <w:spacing w:after="120" w:line="300" w:lineRule="exact"/>
              <w:rPr>
                <w:rFonts w:asciiTheme="minorHAnsi" w:hAnsiTheme="minorHAnsi" w:cs="Arial"/>
                <w:lang w:eastAsia="en-GB"/>
              </w:rPr>
            </w:pPr>
            <w:r w:rsidRPr="008831D8">
              <w:rPr>
                <w:rFonts w:asciiTheme="minorHAnsi" w:hAnsiTheme="minorHAnsi" w:cs="Arial"/>
                <w:lang w:eastAsia="en-GB"/>
              </w:rPr>
              <w:t>The Tenderer’s response shows (in no more than 2 pages), that it:</w:t>
            </w:r>
          </w:p>
          <w:p w14:paraId="383098A1" w14:textId="77777777" w:rsidR="00477574" w:rsidRPr="008831D8" w:rsidRDefault="00477574" w:rsidP="009D0427">
            <w:pPr>
              <w:pStyle w:val="ListParagraph"/>
              <w:numPr>
                <w:ilvl w:val="0"/>
                <w:numId w:val="62"/>
              </w:numPr>
              <w:spacing w:after="120" w:line="300" w:lineRule="exact"/>
              <w:rPr>
                <w:rFonts w:asciiTheme="minorHAnsi" w:hAnsiTheme="minorHAnsi"/>
                <w:sz w:val="22"/>
                <w:szCs w:val="22"/>
              </w:rPr>
            </w:pPr>
            <w:r w:rsidRPr="008831D8">
              <w:rPr>
                <w:rFonts w:asciiTheme="minorHAnsi" w:hAnsiTheme="minorHAnsi"/>
                <w:sz w:val="22"/>
                <w:szCs w:val="22"/>
              </w:rPr>
              <w:t xml:space="preserve">Has a clear plan for delivery of key deliverables, with process plan, milestones and target due </w:t>
            </w:r>
            <w:proofErr w:type="gramStart"/>
            <w:r w:rsidRPr="008831D8">
              <w:rPr>
                <w:rFonts w:asciiTheme="minorHAnsi" w:hAnsiTheme="minorHAnsi"/>
                <w:sz w:val="22"/>
                <w:szCs w:val="22"/>
              </w:rPr>
              <w:t>dates.</w:t>
            </w:r>
            <w:proofErr w:type="gramEnd"/>
          </w:p>
          <w:p w14:paraId="0FAB5401" w14:textId="3B5C376C" w:rsidR="00477574" w:rsidRPr="008831D8" w:rsidRDefault="00477574" w:rsidP="009D0427">
            <w:pPr>
              <w:pStyle w:val="ListParagraph"/>
              <w:numPr>
                <w:ilvl w:val="0"/>
                <w:numId w:val="61"/>
              </w:numPr>
              <w:rPr>
                <w:rFonts w:asciiTheme="minorHAnsi" w:hAnsiTheme="minorHAnsi"/>
                <w:color w:val="000000"/>
                <w:sz w:val="22"/>
                <w:szCs w:val="22"/>
              </w:rPr>
            </w:pPr>
            <w:r w:rsidRPr="008831D8">
              <w:rPr>
                <w:rFonts w:asciiTheme="minorHAnsi" w:hAnsiTheme="minorHAnsi"/>
                <w:sz w:val="22"/>
                <w:szCs w:val="22"/>
              </w:rPr>
              <w:t>Has identified a robust review process that allows for iterations</w:t>
            </w: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C263D5" w14:textId="5BC70964" w:rsidR="00477574" w:rsidRPr="008831D8" w:rsidRDefault="00477574" w:rsidP="00477574">
            <w:pPr>
              <w:spacing w:after="120" w:line="300" w:lineRule="exact"/>
              <w:rPr>
                <w:rFonts w:asciiTheme="minorHAnsi" w:hAnsiTheme="minorHAnsi" w:cs="Arial"/>
              </w:rPr>
            </w:pPr>
            <w:r w:rsidRPr="008831D8">
              <w:rPr>
                <w:rFonts w:asciiTheme="minorHAnsi" w:hAnsiTheme="minorHAnsi" w:cs="Arial"/>
              </w:rPr>
              <w:t>10%</w:t>
            </w:r>
          </w:p>
        </w:tc>
      </w:tr>
      <w:tr w:rsidR="00477574" w:rsidRPr="008831D8" w14:paraId="216EFDB7" w14:textId="77777777" w:rsidTr="00FB63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3BEE99" w14:textId="1368B143" w:rsidR="00477574" w:rsidRPr="008831D8" w:rsidRDefault="00477574" w:rsidP="00477574">
            <w:pPr>
              <w:spacing w:after="120" w:line="300" w:lineRule="exact"/>
              <w:rPr>
                <w:rFonts w:asciiTheme="minorHAnsi" w:hAnsiTheme="minorHAnsi"/>
                <w:bCs/>
                <w:color w:val="000000"/>
              </w:rPr>
            </w:pPr>
            <w:r w:rsidRPr="008831D8">
              <w:rPr>
                <w:rFonts w:asciiTheme="minorHAnsi" w:hAnsiTheme="minorHAnsi" w:cs="Arial"/>
              </w:rPr>
              <w:t>A6 Cost of project</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3D42F6" w14:textId="326521F8" w:rsidR="00477574" w:rsidRPr="008831D8" w:rsidRDefault="00477574" w:rsidP="00477574">
            <w:pPr>
              <w:spacing w:after="120" w:line="300" w:lineRule="exact"/>
              <w:rPr>
                <w:rFonts w:asciiTheme="minorHAnsi" w:hAnsiTheme="minorHAnsi"/>
                <w:color w:val="000000"/>
              </w:rPr>
            </w:pPr>
            <w:r w:rsidRPr="008831D8">
              <w:rPr>
                <w:rFonts w:asciiTheme="minorHAnsi" w:hAnsiTheme="minorHAnsi" w:cs="Arial"/>
              </w:rPr>
              <w:t>Provide a fix cost for the project and the associated cost break down. Describe how and why this represents value for money.</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D4FDA2" w14:textId="77777777" w:rsidR="00477574" w:rsidRPr="008831D8" w:rsidRDefault="00477574" w:rsidP="009D0427">
            <w:pPr>
              <w:pStyle w:val="ListParagraph"/>
              <w:numPr>
                <w:ilvl w:val="0"/>
                <w:numId w:val="58"/>
              </w:numPr>
              <w:spacing w:after="120" w:line="300" w:lineRule="exact"/>
              <w:rPr>
                <w:rFonts w:asciiTheme="minorHAnsi" w:hAnsiTheme="minorHAnsi"/>
                <w:sz w:val="22"/>
                <w:szCs w:val="22"/>
              </w:rPr>
            </w:pPr>
            <w:r w:rsidRPr="008831D8">
              <w:rPr>
                <w:rFonts w:asciiTheme="minorHAnsi" w:hAnsiTheme="minorHAnsi"/>
                <w:sz w:val="22"/>
                <w:szCs w:val="22"/>
              </w:rPr>
              <w:t>The tender with the lowest total cost will receive 100% of the available weighted score.</w:t>
            </w:r>
          </w:p>
          <w:p w14:paraId="42132830" w14:textId="77777777" w:rsidR="00477574" w:rsidRPr="008831D8" w:rsidRDefault="00477574" w:rsidP="00477574">
            <w:pPr>
              <w:spacing w:after="120" w:line="300" w:lineRule="exact"/>
              <w:ind w:left="360"/>
              <w:rPr>
                <w:rFonts w:asciiTheme="minorHAnsi" w:hAnsiTheme="minorHAnsi" w:cs="Arial"/>
              </w:rPr>
            </w:pPr>
            <w:r w:rsidRPr="008831D8">
              <w:rPr>
                <w:rFonts w:asciiTheme="minorHAnsi" w:hAnsiTheme="minorHAnsi" w:cs="Arial"/>
              </w:rPr>
              <w:t>Other Tenderer’s tenders will receive a pro-rated relative to the lowest cost according to the following formula:</w:t>
            </w:r>
          </w:p>
          <w:p w14:paraId="273EE057" w14:textId="73F9887C" w:rsidR="00477574" w:rsidRPr="008831D8" w:rsidRDefault="00477574" w:rsidP="009D0427">
            <w:pPr>
              <w:pStyle w:val="ListParagraph"/>
              <w:numPr>
                <w:ilvl w:val="0"/>
                <w:numId w:val="61"/>
              </w:numPr>
              <w:rPr>
                <w:rFonts w:asciiTheme="minorHAnsi" w:hAnsiTheme="minorHAnsi"/>
                <w:color w:val="000000"/>
                <w:sz w:val="22"/>
                <w:szCs w:val="22"/>
              </w:rPr>
            </w:pPr>
            <w:r w:rsidRPr="008831D8">
              <w:rPr>
                <w:rFonts w:asciiTheme="minorHAnsi" w:hAnsiTheme="minorHAnsi"/>
                <w:sz w:val="22"/>
                <w:szCs w:val="22"/>
              </w:rPr>
              <w:t>Score of other tender = lowest tender total cost / other tender total cost x 100%.</w:t>
            </w: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11E95" w14:textId="46F5EF16" w:rsidR="00477574" w:rsidRPr="008831D8" w:rsidRDefault="00477574" w:rsidP="00477574">
            <w:pPr>
              <w:spacing w:after="120" w:line="300" w:lineRule="exact"/>
              <w:rPr>
                <w:rFonts w:asciiTheme="minorHAnsi" w:hAnsiTheme="minorHAnsi" w:cs="Arial"/>
              </w:rPr>
            </w:pPr>
            <w:r w:rsidRPr="008831D8">
              <w:rPr>
                <w:rFonts w:asciiTheme="minorHAnsi" w:hAnsiTheme="minorHAnsi" w:cs="Arial"/>
              </w:rPr>
              <w:t>25%</w:t>
            </w:r>
          </w:p>
        </w:tc>
      </w:tr>
    </w:tbl>
    <w:p w14:paraId="519D3E77" w14:textId="77777777" w:rsidR="00477574" w:rsidRPr="008831D8" w:rsidRDefault="00477574" w:rsidP="00477574">
      <w:pPr>
        <w:rPr>
          <w:rFonts w:asciiTheme="minorHAnsi" w:hAnsiTheme="minorHAnsi"/>
        </w:rPr>
      </w:pPr>
      <w:r w:rsidRPr="008831D8">
        <w:rPr>
          <w:rFonts w:asciiTheme="minorHAnsi" w:hAnsiTheme="minorHAnsi"/>
        </w:rPr>
        <w:br w:type="page"/>
      </w:r>
    </w:p>
    <w:p w14:paraId="7EDC49AC" w14:textId="77777777" w:rsidR="00E62A97" w:rsidRPr="00E62A97" w:rsidRDefault="00E62A97" w:rsidP="00E62A97">
      <w:pPr>
        <w:pStyle w:val="Body"/>
        <w:sectPr w:rsidR="00E62A97" w:rsidRPr="00E62A97" w:rsidSect="008B6595">
          <w:pgSz w:w="11906" w:h="16838"/>
          <w:pgMar w:top="284" w:right="1274" w:bottom="1560" w:left="1800" w:header="708" w:footer="708" w:gutter="0"/>
          <w:cols w:space="708"/>
          <w:docGrid w:linePitch="360"/>
        </w:sectPr>
      </w:pPr>
      <w:bookmarkStart w:id="10" w:name="_GoBack"/>
      <w:bookmarkEnd w:id="10"/>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5E978CCA" w14:textId="77777777" w:rsidR="00477574" w:rsidRDefault="00477574" w:rsidP="00477574">
      <w:pPr>
        <w:pStyle w:val="CoverTitle"/>
      </w:pPr>
      <w:bookmarkStart w:id="11" w:name="_Hlk482610200"/>
      <w:bookmarkEnd w:id="11"/>
      <w:r>
        <w:t xml:space="preserve">Specification for research project </w:t>
      </w:r>
    </w:p>
    <w:p w14:paraId="77010A21" w14:textId="77777777" w:rsidR="00477574" w:rsidRDefault="00477574" w:rsidP="00477574">
      <w:pPr>
        <w:pStyle w:val="CoverTitle"/>
      </w:pPr>
      <w:r w:rsidRPr="009E03C7">
        <w:t>Choosing metric or imperial units for driver display on ETCS L1 &amp; L2 overlay areas</w:t>
      </w:r>
    </w:p>
    <w:p w14:paraId="7DEE91A4" w14:textId="77777777" w:rsidR="00477574" w:rsidRDefault="00477574" w:rsidP="00477574">
      <w:pPr>
        <w:pStyle w:val="CoverTitle"/>
      </w:pPr>
      <w:r>
        <w:t>T1114</w:t>
      </w:r>
    </w:p>
    <w:p w14:paraId="445631F2" w14:textId="77777777" w:rsidR="00477574" w:rsidRDefault="00477574" w:rsidP="00477574">
      <w:pPr>
        <w:pStyle w:val="CoverTitle"/>
      </w:pPr>
    </w:p>
    <w:p w14:paraId="39C6E403" w14:textId="77777777" w:rsidR="00477574" w:rsidRDefault="00477574" w:rsidP="00477574">
      <w:pPr>
        <w:pStyle w:val="CoverTitle"/>
      </w:pPr>
    </w:p>
    <w:p w14:paraId="1E260B6D" w14:textId="77777777" w:rsidR="00477574" w:rsidRDefault="00477574" w:rsidP="00477574">
      <w:pPr>
        <w:pStyle w:val="CoverTitle"/>
      </w:pPr>
    </w:p>
    <w:p w14:paraId="34912140" w14:textId="77777777" w:rsidR="00477574" w:rsidRDefault="00477574" w:rsidP="00477574">
      <w:pPr>
        <w:pStyle w:val="CoverTitle"/>
      </w:pPr>
    </w:p>
    <w:p w14:paraId="3EB5671F" w14:textId="77777777" w:rsidR="00477574" w:rsidRDefault="00477574" w:rsidP="00477574">
      <w:pPr>
        <w:pStyle w:val="CoverTitle"/>
      </w:pPr>
    </w:p>
    <w:p w14:paraId="5041E60E" w14:textId="77777777" w:rsidR="00477574" w:rsidRDefault="00477574" w:rsidP="00477574">
      <w:pPr>
        <w:pStyle w:val="CoverTitle"/>
      </w:pPr>
    </w:p>
    <w:p w14:paraId="0B23801B" w14:textId="77777777" w:rsidR="00477574" w:rsidRDefault="00477574" w:rsidP="00477574">
      <w:pPr>
        <w:pStyle w:val="Heading1"/>
        <w:numPr>
          <w:ilvl w:val="0"/>
          <w:numId w:val="0"/>
        </w:numPr>
      </w:pPr>
    </w:p>
    <w:p w14:paraId="6BF63731" w14:textId="77777777" w:rsidR="00477574" w:rsidRDefault="00477574" w:rsidP="00477574">
      <w:pPr>
        <w:rPr>
          <w:rFonts w:ascii="Calibri" w:hAnsi="Calibri" w:cs="Arial"/>
          <w:color w:val="00968E"/>
          <w:sz w:val="36"/>
          <w:lang w:eastAsia="en-GB"/>
        </w:rPr>
      </w:pPr>
      <w:r>
        <w:br w:type="page"/>
      </w:r>
    </w:p>
    <w:p w14:paraId="5FB03328" w14:textId="77777777" w:rsidR="00477574" w:rsidRDefault="00477574" w:rsidP="00477574">
      <w:pPr>
        <w:pStyle w:val="Heading1"/>
      </w:pPr>
      <w:r>
        <w:lastRenderedPageBreak/>
        <w:t>Background</w:t>
      </w:r>
    </w:p>
    <w:p w14:paraId="05A77627" w14:textId="77777777" w:rsidR="00477574" w:rsidRDefault="00477574" w:rsidP="00477574">
      <w:pPr>
        <w:pStyle w:val="Body"/>
        <w:jc w:val="both"/>
        <w:rPr>
          <w:rFonts w:cs="Calibri"/>
        </w:rPr>
      </w:pPr>
      <w:bookmarkStart w:id="12" w:name="_Hlk478573476"/>
      <w:r>
        <w:t xml:space="preserve">The European Train Control System (ETCS) is an in-cab signalling, control and train protection system. It is one of the main components of the European Railway Traffic Management System (ERTMS). </w:t>
      </w:r>
      <w:r w:rsidRPr="00BC659E">
        <w:t>The unit</w:t>
      </w:r>
      <w:r>
        <w:t>s</w:t>
      </w:r>
      <w:r w:rsidRPr="00BC659E">
        <w:t xml:space="preserve"> of measurement used throughout the system design of the European Train Control System (ETCS) are metric, whereas in Britain the practice has been to use imperial units for speed</w:t>
      </w:r>
      <w:r>
        <w:t xml:space="preserve"> and distance.  Recognising this, </w:t>
      </w:r>
      <w:r>
        <w:rPr>
          <w:rFonts w:cs="Calibri"/>
        </w:rPr>
        <w:t>a Specific Case was agreed to the Command Control &amp; Signalling (CCS) Technical Specification for Interoperability (TSI) that makes it permissible “</w:t>
      </w:r>
      <w:r w:rsidRPr="007249A7">
        <w:rPr>
          <w:rFonts w:cs="Calibri"/>
        </w:rPr>
        <w:t>for the ETCS D</w:t>
      </w:r>
      <w:r>
        <w:rPr>
          <w:rFonts w:cs="Calibri"/>
        </w:rPr>
        <w:t>river Machine Interface (D</w:t>
      </w:r>
      <w:r w:rsidRPr="007249A7">
        <w:rPr>
          <w:rFonts w:cs="Calibri"/>
        </w:rPr>
        <w:t>MI</w:t>
      </w:r>
      <w:r>
        <w:rPr>
          <w:rFonts w:cs="Calibri"/>
        </w:rPr>
        <w:t>)</w:t>
      </w:r>
      <w:r w:rsidRPr="007249A7">
        <w:rPr>
          <w:rFonts w:cs="Calibri"/>
        </w:rPr>
        <w:t xml:space="preserve"> to display dynamic train speed information in miles per hour (and indicate ‘mph’) when operating on parts of the GB mainline network</w:t>
      </w:r>
      <w:r>
        <w:rPr>
          <w:rFonts w:cs="Calibri"/>
        </w:rPr>
        <w:t>”</w:t>
      </w:r>
      <w:r w:rsidRPr="007249A7">
        <w:rPr>
          <w:rFonts w:cs="Calibri"/>
        </w:rPr>
        <w:t>.</w:t>
      </w:r>
      <w:r>
        <w:rPr>
          <w:rFonts w:cs="Calibri"/>
        </w:rPr>
        <w:t xml:space="preserve">   This specific case covers the display of dynamic speed information only – it does not cover the entry of speed related train data in miles per hour, nor does it cover the display or entry of distance/length information.</w:t>
      </w:r>
    </w:p>
    <w:p w14:paraId="046C69DF" w14:textId="77777777" w:rsidR="00477574" w:rsidRDefault="00477574" w:rsidP="00477574">
      <w:pPr>
        <w:pStyle w:val="Body"/>
        <w:jc w:val="both"/>
      </w:pPr>
      <w:r>
        <w:t xml:space="preserve">Digital Railway (DR) have defined </w:t>
      </w:r>
      <w:proofErr w:type="gramStart"/>
      <w:r>
        <w:t>a number of</w:t>
      </w:r>
      <w:proofErr w:type="gramEnd"/>
      <w:r>
        <w:t xml:space="preserve"> “migration states” that support the implementation of ETCS level 2 and Level 3 as well as other technologies, and which could be deployed by the Routes to address their particular needs</w:t>
      </w:r>
      <w:r>
        <w:rPr>
          <w:rStyle w:val="FootnoteReference"/>
        </w:rPr>
        <w:footnoteReference w:id="1"/>
      </w:r>
      <w:r>
        <w:t>.  Although referred to as migration states it is not expected that Routes will deploy them following a linear migration process – instead Routes are expected to determine which of the different migration states deliver the greatest benefit to the route and the affected Train Operators.  Three of these migration states include the implementation of ETCS Level 2 with lineside signals as either an overlay, underlay or high capacity overlay (migration states M6, M7 and M8 respectively).   However, recognising the duration of driver training and the need for drivers to retain ETCS competency during the period prior to signals being removed, coupled with the need for driver handling as part of driver competence building, DR is recommending that that each area utilise an overlay area prior to the roll-out of ETCS without signals.</w:t>
      </w:r>
    </w:p>
    <w:p w14:paraId="4E26503A" w14:textId="77777777" w:rsidR="00477574" w:rsidRDefault="00477574" w:rsidP="00477574">
      <w:pPr>
        <w:pStyle w:val="Body"/>
        <w:jc w:val="both"/>
      </w:pPr>
      <w:r>
        <w:t>In areas with ETCS Level 2 with lineside signals, ETCS unfitted trains will operate under conventional signalling and Automatic Train Protection (ATP) systems.  ETCS fitted trains will operate in either ETCS Level 2 or in Level National Train Control (Level NTC) under conventional signalling and ATP systems, depending on the availability of the ETCS system, and the ETCS competency of the driver.  It is expected that ETCS unfitted trains and trains operating in Level NTC will operate using imperial speed information.</w:t>
      </w:r>
    </w:p>
    <w:p w14:paraId="2EE08E19" w14:textId="77777777" w:rsidR="00477574" w:rsidRDefault="00477574" w:rsidP="00477574">
      <w:pPr>
        <w:pStyle w:val="Body"/>
        <w:jc w:val="both"/>
      </w:pPr>
      <w:r>
        <w:t>The ETCS reference design has concluded that the most appropriate solution for ETCS fitted trains regarding the display of speed information is:</w:t>
      </w:r>
    </w:p>
    <w:p w14:paraId="77B8246E" w14:textId="77777777" w:rsidR="00477574" w:rsidRPr="00D12E3A" w:rsidRDefault="00477574" w:rsidP="009D0427">
      <w:pPr>
        <w:pStyle w:val="Default"/>
        <w:numPr>
          <w:ilvl w:val="0"/>
          <w:numId w:val="47"/>
        </w:numPr>
        <w:spacing w:before="240" w:after="68"/>
        <w:jc w:val="both"/>
        <w:rPr>
          <w:rFonts w:ascii="Calibri" w:hAnsi="Calibri" w:cs="Calibri"/>
          <w:sz w:val="22"/>
          <w:szCs w:val="22"/>
        </w:rPr>
      </w:pPr>
      <w:r w:rsidRPr="00D12E3A">
        <w:rPr>
          <w:rFonts w:ascii="Calibri" w:hAnsi="Calibri" w:cs="Calibri"/>
          <w:sz w:val="22"/>
          <w:szCs w:val="22"/>
        </w:rPr>
        <w:t>When in ETCS Level 1, 2 or 3 the unit of sp</w:t>
      </w:r>
      <w:r>
        <w:rPr>
          <w:rFonts w:ascii="Calibri" w:hAnsi="Calibri" w:cs="Calibri"/>
          <w:sz w:val="22"/>
          <w:szCs w:val="22"/>
        </w:rPr>
        <w:t>eed displayed to the driver is k</w:t>
      </w:r>
      <w:r w:rsidRPr="00D12E3A">
        <w:rPr>
          <w:rFonts w:ascii="Calibri" w:hAnsi="Calibri" w:cs="Calibri"/>
          <w:sz w:val="22"/>
          <w:szCs w:val="22"/>
        </w:rPr>
        <w:t>m/h</w:t>
      </w:r>
      <w:r>
        <w:rPr>
          <w:rFonts w:ascii="Calibri" w:hAnsi="Calibri" w:cs="Calibri"/>
          <w:sz w:val="22"/>
          <w:szCs w:val="22"/>
        </w:rPr>
        <w:t xml:space="preserve">. </w:t>
      </w:r>
      <w:r w:rsidRPr="00D12E3A">
        <w:rPr>
          <w:rFonts w:ascii="Calibri" w:hAnsi="Calibri" w:cs="Calibri"/>
          <w:sz w:val="22"/>
          <w:szCs w:val="22"/>
        </w:rPr>
        <w:t xml:space="preserve"> This applies whether the train is operating with or without lineside signals </w:t>
      </w:r>
    </w:p>
    <w:p w14:paraId="6E5A7782" w14:textId="77777777" w:rsidR="00477574" w:rsidRDefault="00477574" w:rsidP="009D0427">
      <w:pPr>
        <w:pStyle w:val="Default"/>
        <w:numPr>
          <w:ilvl w:val="0"/>
          <w:numId w:val="47"/>
        </w:numPr>
        <w:spacing w:before="240"/>
        <w:jc w:val="both"/>
        <w:rPr>
          <w:rFonts w:ascii="Calibri" w:hAnsi="Calibri" w:cs="Calibri"/>
          <w:sz w:val="22"/>
          <w:szCs w:val="22"/>
        </w:rPr>
      </w:pPr>
      <w:r>
        <w:rPr>
          <w:rFonts w:ascii="Calibri" w:hAnsi="Calibri" w:cs="Calibri"/>
          <w:sz w:val="22"/>
          <w:szCs w:val="22"/>
        </w:rPr>
        <w:t>When in ETCS Level NTC with AWS/TPWS the active system the unit of speed displayed to the driver is mph.</w:t>
      </w:r>
    </w:p>
    <w:p w14:paraId="1FA7B7A1" w14:textId="77777777" w:rsidR="00477574" w:rsidRDefault="00477574" w:rsidP="00477574">
      <w:pPr>
        <w:pStyle w:val="Body"/>
        <w:jc w:val="both"/>
      </w:pPr>
      <w:r w:rsidRPr="00D12E3A">
        <w:t xml:space="preserve">The simplicity of this arrangement is that from a driver perspective, the </w:t>
      </w:r>
      <w:r>
        <w:t xml:space="preserve">ETCS </w:t>
      </w:r>
      <w:r w:rsidRPr="00D12E3A">
        <w:t>DMI is always consistent when under ETCS Level 1,2 or 3</w:t>
      </w:r>
      <w:r>
        <w:t xml:space="preserve">.  However it results in there being different speed </w:t>
      </w:r>
      <w:r>
        <w:lastRenderedPageBreak/>
        <w:t xml:space="preserve">units in use in a Level 2 with signals area dependant on the ETCS level operated by a </w:t>
      </w:r>
      <w:proofErr w:type="gramStart"/>
      <w:r>
        <w:t>particular train</w:t>
      </w:r>
      <w:proofErr w:type="gramEnd"/>
      <w:r>
        <w:t xml:space="preserve">.  RSSB Research project report T1013 </w:t>
      </w:r>
      <w:r w:rsidRPr="00CD5501">
        <w:t>Analysing the risk of having a mix of imperial and metric measures on the railway</w:t>
      </w:r>
      <w:r>
        <w:rPr>
          <w:rStyle w:val="FootnoteReference"/>
        </w:rPr>
        <w:footnoteReference w:id="2"/>
      </w:r>
      <w:r>
        <w:t xml:space="preserve">, although not specifically aimed at considering all the implications, does suggest that it might be more appropriate to keep the same unit of speed measurement in overlay areas i.e. all trains operate in mph, but this then means that drivers traversing between Level 2 with signals and level 2 only areas will have both metric and imperial measurements displayed in Level 2 operation.  </w:t>
      </w:r>
      <w:r>
        <w:rPr>
          <w:rFonts w:cs="Calibri"/>
        </w:rPr>
        <w:t>It should be noted that Thameslink (and a proposal from Crossrail) will operate in imperial whilst on overlay sections regardless of ETCS operating level. Both projects are looking at their end state as being ETCS Overlay and therefore the migration to ETCS without signals has not been considered at this time.</w:t>
      </w:r>
    </w:p>
    <w:p w14:paraId="003C69A5" w14:textId="77777777" w:rsidR="00477574" w:rsidRDefault="00477574" w:rsidP="00477574">
      <w:pPr>
        <w:pStyle w:val="Body"/>
        <w:jc w:val="both"/>
      </w:pPr>
      <w:r>
        <w:t xml:space="preserve">The migration from a conventional railway using imperial measurement units to an ETCS railway using metric measurement units is a technical and business change challenge.  A migration to ETCS is likely always to involve areas of overlay to facilitate driver confidence building and the retention of driver competence during the driver training period.  Fundamentally two options exist for the unit of speed measurement to be displayed to drivers on overlay areas: </w:t>
      </w:r>
    </w:p>
    <w:p w14:paraId="28AD7D5D" w14:textId="77777777" w:rsidR="00477574" w:rsidRDefault="00477574" w:rsidP="009D0427">
      <w:pPr>
        <w:pStyle w:val="Body"/>
        <w:numPr>
          <w:ilvl w:val="0"/>
          <w:numId w:val="48"/>
        </w:numPr>
        <w:jc w:val="both"/>
      </w:pPr>
      <w:r>
        <w:t xml:space="preserve">Metric – keeps consistency of measurement aligned with ETCS Level 1, Level 2 or Level 3 (the final target state), but requires mixed operation mph/km/h on overlay areas </w:t>
      </w:r>
    </w:p>
    <w:p w14:paraId="22AF28E3" w14:textId="77777777" w:rsidR="00477574" w:rsidRDefault="00477574" w:rsidP="009D0427">
      <w:pPr>
        <w:pStyle w:val="Body"/>
        <w:numPr>
          <w:ilvl w:val="0"/>
          <w:numId w:val="48"/>
        </w:numPr>
        <w:jc w:val="both"/>
      </w:pPr>
      <w:r>
        <w:t xml:space="preserve">Imperial – keeps consistency of measurement with conventional signalling (the initial state), but requires mixed measurement within ETCS Level 1, Level 2, or Level 3 when operating between overlay and non-overlay areas. </w:t>
      </w:r>
    </w:p>
    <w:p w14:paraId="34C054FF" w14:textId="77777777" w:rsidR="00477574" w:rsidRDefault="00477574" w:rsidP="00477574">
      <w:pPr>
        <w:pStyle w:val="Body"/>
        <w:jc w:val="both"/>
      </w:pPr>
      <w:r>
        <w:t xml:space="preserve">It is recognised that both approaches have their benefits/dis-benefits and it is considered that further analysis </w:t>
      </w:r>
      <w:r w:rsidRPr="004101E6">
        <w:t xml:space="preserve">within a framework that is aligned with Common Safety Methods </w:t>
      </w:r>
      <w:r>
        <w:t xml:space="preserve">needs to be carried out to facilitate a decision on the most appropriate strategy. </w:t>
      </w:r>
    </w:p>
    <w:p w14:paraId="51898DE2" w14:textId="77777777" w:rsidR="00477574" w:rsidRDefault="00477574" w:rsidP="00477574">
      <w:pPr>
        <w:pStyle w:val="Body"/>
        <w:jc w:val="both"/>
      </w:pPr>
      <w:r>
        <w:t>The aim of this project is to assess and analyse the impacts on risk and performance of the two approaches and make recommendations that Routes can follow when implementing ETCS. The risk</w:t>
      </w:r>
      <w:r>
        <w:rPr>
          <w:rStyle w:val="FootnoteReference"/>
        </w:rPr>
        <w:footnoteReference w:id="3"/>
      </w:r>
      <w:r>
        <w:t xml:space="preserve"> analysis will be carried out using the HAZIDS framework.  The performance analysis will be limited to assessing the impact of not exploiting the limits of the infrastructure for Level 2 operations if mph operation is enforced assuming that:</w:t>
      </w:r>
    </w:p>
    <w:p w14:paraId="2514E960" w14:textId="77777777" w:rsidR="00477574" w:rsidRDefault="00477574" w:rsidP="009D0427">
      <w:pPr>
        <w:pStyle w:val="Body"/>
        <w:numPr>
          <w:ilvl w:val="0"/>
          <w:numId w:val="55"/>
        </w:numPr>
        <w:jc w:val="both"/>
      </w:pPr>
      <w:r>
        <w:t>it would not be acceptable to drivers or their representatives to display higher</w:t>
      </w:r>
      <w:r>
        <w:rPr>
          <w:rStyle w:val="FootnoteReference"/>
        </w:rPr>
        <w:footnoteReference w:id="4"/>
      </w:r>
      <w:r>
        <w:t xml:space="preserve"> mph permissible speeds in cab for Level 2 operation than are signed in mph at the lineside for Level NTC operation e.g. it is not acceptable to indicate 80mph at the lineside but have ETCS displaying 100mph.</w:t>
      </w:r>
    </w:p>
    <w:p w14:paraId="2E49CC49" w14:textId="77777777" w:rsidR="00477574" w:rsidRDefault="00477574" w:rsidP="009D0427">
      <w:pPr>
        <w:pStyle w:val="Body"/>
        <w:numPr>
          <w:ilvl w:val="0"/>
          <w:numId w:val="55"/>
        </w:numPr>
        <w:jc w:val="both"/>
      </w:pPr>
      <w:r>
        <w:lastRenderedPageBreak/>
        <w:t>It would be acceptable to display a km/h permissible speed in cab for Level 2 operation that is higher than the equivalent signed mph value for use in Level NTC e.g. it is acceptable, where the infrastructure can support the higher train speed, to indicate 80mph at the lineside but have ETCS displaying 160km/h (100mph).</w:t>
      </w:r>
    </w:p>
    <w:p w14:paraId="602EE023" w14:textId="77777777" w:rsidR="00477574" w:rsidRDefault="00477574" w:rsidP="00477574">
      <w:pPr>
        <w:pStyle w:val="Body"/>
        <w:jc w:val="both"/>
      </w:pPr>
      <w:r>
        <w:t xml:space="preserve">The justification for this assumption is that permissible speed is a critical part of managing the risk of signal overrun, and where drivers can operate in either Level 2 or Level NTC there </w:t>
      </w:r>
      <w:proofErr w:type="gramStart"/>
      <w:r>
        <w:t>is considered to be</w:t>
      </w:r>
      <w:proofErr w:type="gramEnd"/>
      <w:r>
        <w:t xml:space="preserve"> a higher risk of carrying over a Level2 permissible speed to Level NTC operation if the permissible speeds are both in mph.</w:t>
      </w:r>
    </w:p>
    <w:p w14:paraId="015993D5" w14:textId="77777777" w:rsidR="00477574" w:rsidRDefault="00477574" w:rsidP="00477574">
      <w:pPr>
        <w:pStyle w:val="Body"/>
        <w:jc w:val="both"/>
      </w:pPr>
      <w:r>
        <w:t>It should be noted that it would not be practical to make a direct comparison between the analysis of the risks and performance and both workstreams will be kept separate. As such two basic possibilities exist for the outcome for the project:</w:t>
      </w:r>
    </w:p>
    <w:p w14:paraId="6489022E" w14:textId="77777777" w:rsidR="00477574" w:rsidRDefault="00477574" w:rsidP="009D0427">
      <w:pPr>
        <w:pStyle w:val="Body"/>
        <w:numPr>
          <w:ilvl w:val="0"/>
          <w:numId w:val="54"/>
        </w:numPr>
        <w:jc w:val="both"/>
      </w:pPr>
      <w:r>
        <w:t xml:space="preserve">The analysis shows that one of the options of units can be identified on balance, to be both the safer option and better for performance. </w:t>
      </w:r>
    </w:p>
    <w:p w14:paraId="77259A91" w14:textId="77777777" w:rsidR="00477574" w:rsidRDefault="00477574" w:rsidP="009D0427">
      <w:pPr>
        <w:pStyle w:val="Body"/>
        <w:numPr>
          <w:ilvl w:val="0"/>
          <w:numId w:val="54"/>
        </w:numPr>
        <w:jc w:val="both"/>
      </w:pPr>
      <w:r>
        <w:t xml:space="preserve">The analysis shows that selection of either options leads to a conflict of interest with regards to safety and performance (for example, one option being safer but has a negative impact on performance). </w:t>
      </w:r>
    </w:p>
    <w:p w14:paraId="78A79BA4" w14:textId="77777777" w:rsidR="00477574" w:rsidRDefault="00477574" w:rsidP="00477574">
      <w:pPr>
        <w:pStyle w:val="Body"/>
        <w:jc w:val="both"/>
      </w:pPr>
      <w:r>
        <w:t xml:space="preserve">In the event of the first possibility, the recommendations are trivial. With regards to the second, the recommendations will </w:t>
      </w:r>
      <w:proofErr w:type="gramStart"/>
      <w:r>
        <w:t>be in compliance with</w:t>
      </w:r>
      <w:proofErr w:type="gramEnd"/>
      <w:r>
        <w:t xml:space="preserve"> the Common Safety Method on Risk Evaluation and Assessment (CSM REA)</w:t>
      </w:r>
      <w:bookmarkEnd w:id="12"/>
      <w:r>
        <w:t xml:space="preserve">. </w:t>
      </w:r>
    </w:p>
    <w:p w14:paraId="510AE33B" w14:textId="77777777" w:rsidR="00477574" w:rsidRDefault="00477574" w:rsidP="00477574">
      <w:pPr>
        <w:rPr>
          <w:rFonts w:ascii="Calibri" w:hAnsi="Calibri" w:cs="Arial"/>
          <w:color w:val="00968E"/>
          <w:sz w:val="36"/>
          <w:lang w:eastAsia="en-GB"/>
        </w:rPr>
      </w:pPr>
      <w:r>
        <w:br w:type="page"/>
      </w:r>
    </w:p>
    <w:p w14:paraId="29BC23A1" w14:textId="77777777" w:rsidR="00477574" w:rsidRDefault="00477574" w:rsidP="00477574">
      <w:pPr>
        <w:pStyle w:val="Heading1"/>
      </w:pPr>
      <w:r>
        <w:lastRenderedPageBreak/>
        <w:t>Objectives</w:t>
      </w:r>
    </w:p>
    <w:p w14:paraId="31AF9F1F" w14:textId="77777777" w:rsidR="00477574" w:rsidRDefault="00477574" w:rsidP="00477574">
      <w:pPr>
        <w:pStyle w:val="BodyIndent1"/>
        <w:ind w:left="0"/>
        <w:jc w:val="both"/>
      </w:pPr>
      <w:r>
        <w:t>The objectives</w:t>
      </w:r>
      <w:r w:rsidRPr="00B90DA0">
        <w:t xml:space="preserve"> of this project are</w:t>
      </w:r>
      <w:r>
        <w:t xml:space="preserve"> to answer the following questions </w:t>
      </w:r>
    </w:p>
    <w:p w14:paraId="3978349D" w14:textId="77777777" w:rsidR="00477574" w:rsidRDefault="00477574" w:rsidP="00477574">
      <w:pPr>
        <w:pStyle w:val="Body"/>
        <w:numPr>
          <w:ilvl w:val="0"/>
          <w:numId w:val="41"/>
        </w:numPr>
        <w:jc w:val="both"/>
      </w:pPr>
      <w:r>
        <w:t>What are the implications on safety of DMI speed display units for operations in L2 in an overlay area.  This must consider:</w:t>
      </w:r>
    </w:p>
    <w:p w14:paraId="53874865" w14:textId="77777777" w:rsidR="00477574" w:rsidRDefault="00477574" w:rsidP="00477574">
      <w:pPr>
        <w:pStyle w:val="Body"/>
        <w:numPr>
          <w:ilvl w:val="1"/>
          <w:numId w:val="41"/>
        </w:numPr>
        <w:jc w:val="both"/>
      </w:pPr>
      <w:r>
        <w:t xml:space="preserve">Unfitted trains, fitted trains driven by ETCS authorised drivers in Level 2 and non-ETCS authorised drivers operating in Level NTC </w:t>
      </w:r>
    </w:p>
    <w:p w14:paraId="07F130F9" w14:textId="77777777" w:rsidR="00477574" w:rsidRDefault="00477574" w:rsidP="00477574">
      <w:pPr>
        <w:pStyle w:val="Body"/>
        <w:numPr>
          <w:ilvl w:val="1"/>
          <w:numId w:val="41"/>
        </w:numPr>
        <w:jc w:val="both"/>
      </w:pPr>
      <w:r>
        <w:t>Migration from overlay to ETCS L2 without signals areas</w:t>
      </w:r>
    </w:p>
    <w:p w14:paraId="4AF0719C" w14:textId="77777777" w:rsidR="00477574" w:rsidRDefault="00477574" w:rsidP="00477574">
      <w:pPr>
        <w:pStyle w:val="Body"/>
        <w:numPr>
          <w:ilvl w:val="1"/>
          <w:numId w:val="41"/>
        </w:numPr>
        <w:jc w:val="both"/>
      </w:pPr>
      <w:r>
        <w:t>Movements across boundaries between overlay and ETCS level 2 without signals areas.</w:t>
      </w:r>
    </w:p>
    <w:p w14:paraId="05434D82" w14:textId="77777777" w:rsidR="00477574" w:rsidRDefault="00477574" w:rsidP="00477574">
      <w:pPr>
        <w:pStyle w:val="Body"/>
        <w:numPr>
          <w:ilvl w:val="0"/>
          <w:numId w:val="41"/>
        </w:numPr>
        <w:jc w:val="both"/>
      </w:pPr>
      <w:r>
        <w:t>Identification of hazards and semi-quantified risk analysis for each DMI presentation.</w:t>
      </w:r>
    </w:p>
    <w:p w14:paraId="020133EB" w14:textId="77777777" w:rsidR="00477574" w:rsidRDefault="00477574" w:rsidP="00477574">
      <w:pPr>
        <w:pStyle w:val="Body"/>
        <w:numPr>
          <w:ilvl w:val="0"/>
          <w:numId w:val="41"/>
        </w:numPr>
        <w:jc w:val="both"/>
      </w:pPr>
      <w:r>
        <w:t>Which scenarios have the highest risk levels for each DMI presentation</w:t>
      </w:r>
    </w:p>
    <w:p w14:paraId="033180FD" w14:textId="77777777" w:rsidR="00477574" w:rsidRDefault="00477574" w:rsidP="00477574">
      <w:pPr>
        <w:pStyle w:val="Body"/>
        <w:numPr>
          <w:ilvl w:val="0"/>
          <w:numId w:val="41"/>
        </w:numPr>
        <w:jc w:val="both"/>
      </w:pPr>
      <w:r>
        <w:t>What is the impact on potential performance of not exploiting the limits of the infrastructure in Level 2 operation because of the need to operate in mph.</w:t>
      </w:r>
    </w:p>
    <w:p w14:paraId="1D2E0963" w14:textId="77777777" w:rsidR="00477574" w:rsidRDefault="00477574" w:rsidP="00477574">
      <w:pPr>
        <w:pStyle w:val="Body"/>
        <w:jc w:val="both"/>
      </w:pPr>
      <w:r>
        <w:t>Ultimately, this project aims to make recommendations that Routes can apply when installing ETCS equipment, as to what presentation is safest and most feasible for their routes. This project will require the following to be carried out:</w:t>
      </w:r>
    </w:p>
    <w:p w14:paraId="0A2ACA2B" w14:textId="77777777" w:rsidR="00477574" w:rsidRDefault="00477574" w:rsidP="00477574">
      <w:pPr>
        <w:pStyle w:val="Heading4"/>
        <w:numPr>
          <w:ilvl w:val="0"/>
          <w:numId w:val="0"/>
        </w:numPr>
      </w:pPr>
      <w:r>
        <w:t>Technical review of previous safety research (Required for deliverable 1)</w:t>
      </w:r>
    </w:p>
    <w:p w14:paraId="269A9017" w14:textId="77777777" w:rsidR="00477574" w:rsidRDefault="00477574" w:rsidP="00477574">
      <w:pPr>
        <w:pStyle w:val="Body"/>
        <w:jc w:val="both"/>
      </w:pPr>
      <w:r>
        <w:t>A technical review of the previous research conducted in this area (including previous RSSB research). The aim of this work package is to consolidate the information currently available into one report, consider the major gaps in research and use the information available to start building a risk analysis on DMI presentation in overlay areas during Level 1 and Level 2.</w:t>
      </w:r>
    </w:p>
    <w:p w14:paraId="12968C3D" w14:textId="77777777" w:rsidR="00477574" w:rsidRDefault="00477574" w:rsidP="009D0427">
      <w:pPr>
        <w:pStyle w:val="Body"/>
        <w:numPr>
          <w:ilvl w:val="0"/>
          <w:numId w:val="46"/>
        </w:numPr>
      </w:pPr>
      <w:r>
        <w:t>Consider RSSB research projects T1013 and T1091</w:t>
      </w:r>
    </w:p>
    <w:p w14:paraId="348EB762" w14:textId="77777777" w:rsidR="00477574" w:rsidRDefault="00477574" w:rsidP="00477574">
      <w:pPr>
        <w:pStyle w:val="Heading4"/>
        <w:numPr>
          <w:ilvl w:val="0"/>
          <w:numId w:val="0"/>
        </w:numPr>
      </w:pPr>
    </w:p>
    <w:p w14:paraId="621DFF6B" w14:textId="77777777" w:rsidR="00477574" w:rsidRDefault="00477574" w:rsidP="00477574">
      <w:pPr>
        <w:pStyle w:val="Heading4"/>
        <w:numPr>
          <w:ilvl w:val="0"/>
          <w:numId w:val="0"/>
        </w:numPr>
      </w:pPr>
      <w:r>
        <w:t>Workshop based risk analysis (Required for deliverables 2, 3A, 3B, 5 and6)</w:t>
      </w:r>
    </w:p>
    <w:p w14:paraId="33DC9D63" w14:textId="77777777" w:rsidR="00477574" w:rsidRPr="00B6144C" w:rsidRDefault="00477574" w:rsidP="00477574">
      <w:pPr>
        <w:pStyle w:val="Body"/>
        <w:jc w:val="both"/>
        <w:rPr>
          <w:rFonts w:asciiTheme="minorHAnsi" w:hAnsiTheme="minorHAnsi"/>
        </w:rPr>
      </w:pPr>
      <w:r w:rsidRPr="00B6144C">
        <w:rPr>
          <w:rFonts w:asciiTheme="minorHAnsi" w:hAnsiTheme="minorHAnsi"/>
        </w:rPr>
        <w:t>Encompass a workshop-based risk analysis of the two DMI options, considering the scenarios in the objectives, above</w:t>
      </w:r>
      <w:r>
        <w:rPr>
          <w:rFonts w:asciiTheme="minorHAnsi" w:hAnsiTheme="minorHAnsi"/>
        </w:rPr>
        <w:t>,</w:t>
      </w:r>
      <w:r w:rsidRPr="00B6144C">
        <w:rPr>
          <w:rFonts w:asciiTheme="minorHAnsi" w:hAnsiTheme="minorHAnsi"/>
        </w:rPr>
        <w:t xml:space="preserve"> This work</w:t>
      </w:r>
      <w:r>
        <w:rPr>
          <w:rFonts w:asciiTheme="minorHAnsi" w:hAnsiTheme="minorHAnsi"/>
        </w:rPr>
        <w:t xml:space="preserve">shop </w:t>
      </w:r>
      <w:r w:rsidRPr="00B6144C">
        <w:rPr>
          <w:rFonts w:asciiTheme="minorHAnsi" w:hAnsiTheme="minorHAnsi"/>
        </w:rPr>
        <w:t>will:</w:t>
      </w:r>
    </w:p>
    <w:p w14:paraId="318EBFEC" w14:textId="77777777" w:rsidR="00477574" w:rsidRPr="00B6144C" w:rsidRDefault="00477574" w:rsidP="009D0427">
      <w:pPr>
        <w:pStyle w:val="Body"/>
        <w:numPr>
          <w:ilvl w:val="0"/>
          <w:numId w:val="44"/>
        </w:numPr>
        <w:jc w:val="both"/>
        <w:rPr>
          <w:rFonts w:asciiTheme="minorHAnsi" w:hAnsiTheme="minorHAnsi"/>
        </w:rPr>
      </w:pPr>
      <w:r w:rsidRPr="00B6144C">
        <w:rPr>
          <w:rFonts w:asciiTheme="minorHAnsi" w:hAnsiTheme="minorHAnsi"/>
        </w:rPr>
        <w:t>Identify the risks associated with the two stated options on an operational railway in GB</w:t>
      </w:r>
      <w:r>
        <w:rPr>
          <w:rFonts w:asciiTheme="minorHAnsi" w:hAnsiTheme="minorHAnsi"/>
        </w:rPr>
        <w:t>;</w:t>
      </w:r>
    </w:p>
    <w:p w14:paraId="4C659C39" w14:textId="77777777" w:rsidR="00477574" w:rsidRPr="00B6144C" w:rsidRDefault="00477574" w:rsidP="009D0427">
      <w:pPr>
        <w:pStyle w:val="Body"/>
        <w:numPr>
          <w:ilvl w:val="0"/>
          <w:numId w:val="44"/>
        </w:numPr>
        <w:jc w:val="both"/>
        <w:rPr>
          <w:rFonts w:asciiTheme="minorHAnsi" w:hAnsiTheme="minorHAnsi"/>
        </w:rPr>
      </w:pPr>
      <w:r>
        <w:rPr>
          <w:rFonts w:asciiTheme="minorHAnsi" w:hAnsiTheme="minorHAnsi"/>
        </w:rPr>
        <w:t xml:space="preserve">Carry out semi-quantitative </w:t>
      </w:r>
      <w:r>
        <w:t xml:space="preserve">analysis </w:t>
      </w:r>
      <w:r w:rsidRPr="007A188A">
        <w:t>consistent with Network Rail’s risk matrix</w:t>
      </w:r>
      <w:r w:rsidRPr="00B6144C">
        <w:rPr>
          <w:rFonts w:asciiTheme="minorHAnsi" w:hAnsiTheme="minorHAnsi"/>
        </w:rPr>
        <w:t xml:space="preserve"> </w:t>
      </w:r>
      <w:r>
        <w:rPr>
          <w:rFonts w:asciiTheme="minorHAnsi" w:hAnsiTheme="minorHAnsi"/>
        </w:rPr>
        <w:t xml:space="preserve">to </w:t>
      </w:r>
      <w:r w:rsidRPr="00B6144C">
        <w:rPr>
          <w:rFonts w:asciiTheme="minorHAnsi" w:hAnsiTheme="minorHAnsi"/>
        </w:rPr>
        <w:t>assess those hazards before and after mitigation is applied</w:t>
      </w:r>
      <w:r>
        <w:rPr>
          <w:rFonts w:asciiTheme="minorHAnsi" w:hAnsiTheme="minorHAnsi"/>
        </w:rPr>
        <w:t>;</w:t>
      </w:r>
    </w:p>
    <w:p w14:paraId="7127083A" w14:textId="77777777" w:rsidR="00477574" w:rsidRPr="00B6144C" w:rsidRDefault="00477574" w:rsidP="009D0427">
      <w:pPr>
        <w:pStyle w:val="Body"/>
        <w:numPr>
          <w:ilvl w:val="0"/>
          <w:numId w:val="44"/>
        </w:numPr>
        <w:jc w:val="both"/>
        <w:rPr>
          <w:rFonts w:asciiTheme="minorHAnsi" w:hAnsiTheme="minorHAnsi"/>
        </w:rPr>
      </w:pPr>
      <w:r w:rsidRPr="00B6144C">
        <w:rPr>
          <w:rFonts w:asciiTheme="minorHAnsi" w:hAnsiTheme="minorHAnsi"/>
        </w:rPr>
        <w:t>Identify measures to mitigate these hazards</w:t>
      </w:r>
      <w:r>
        <w:rPr>
          <w:rFonts w:asciiTheme="minorHAnsi" w:hAnsiTheme="minorHAnsi"/>
        </w:rPr>
        <w:t>;</w:t>
      </w:r>
    </w:p>
    <w:p w14:paraId="01738AE4" w14:textId="77777777" w:rsidR="00477574" w:rsidRDefault="00477574" w:rsidP="009D0427">
      <w:pPr>
        <w:pStyle w:val="Body"/>
        <w:numPr>
          <w:ilvl w:val="0"/>
          <w:numId w:val="44"/>
        </w:numPr>
        <w:jc w:val="both"/>
      </w:pPr>
      <w:r>
        <w:t>Determine both with and without identified mitigations, whether risk from the identified risks are likely to be controlled to an acceptable level;</w:t>
      </w:r>
    </w:p>
    <w:p w14:paraId="48A3FD02" w14:textId="77777777" w:rsidR="00477574" w:rsidRDefault="00477574" w:rsidP="009D0427">
      <w:pPr>
        <w:pStyle w:val="Body"/>
        <w:numPr>
          <w:ilvl w:val="0"/>
          <w:numId w:val="44"/>
        </w:numPr>
        <w:jc w:val="both"/>
      </w:pPr>
      <w:r>
        <w:t>Deliver the above in compliance with the requirements of legislation including CSM REA;</w:t>
      </w:r>
    </w:p>
    <w:p w14:paraId="562E07B3" w14:textId="77777777" w:rsidR="00477574" w:rsidRDefault="00477574" w:rsidP="009D0427">
      <w:pPr>
        <w:pStyle w:val="Body"/>
        <w:numPr>
          <w:ilvl w:val="0"/>
          <w:numId w:val="44"/>
        </w:numPr>
        <w:jc w:val="both"/>
      </w:pPr>
      <w:r>
        <w:t>Make recommendations to the industry based on risk assessment.</w:t>
      </w:r>
    </w:p>
    <w:p w14:paraId="3EEA3864" w14:textId="77777777" w:rsidR="00477574" w:rsidRDefault="00477574" w:rsidP="00477574">
      <w:pPr>
        <w:pStyle w:val="Body"/>
        <w:ind w:left="360"/>
        <w:jc w:val="both"/>
      </w:pPr>
      <w:r>
        <w:lastRenderedPageBreak/>
        <w:t xml:space="preserve">This risk analysis will be done using a HAZID framework, in compliance with Rail Industry Guidance Note GEGN8646 </w:t>
      </w:r>
      <w:r>
        <w:rPr>
          <w:rStyle w:val="FootnoteReference"/>
        </w:rPr>
        <w:footnoteReference w:id="5"/>
      </w:r>
      <w:r>
        <w:t xml:space="preserve">and consider the following: </w:t>
      </w:r>
    </w:p>
    <w:p w14:paraId="3A82306A" w14:textId="77777777" w:rsidR="00477574" w:rsidRDefault="00477574" w:rsidP="009D0427">
      <w:pPr>
        <w:pStyle w:val="Body"/>
        <w:numPr>
          <w:ilvl w:val="0"/>
          <w:numId w:val="44"/>
        </w:numPr>
        <w:jc w:val="both"/>
      </w:pPr>
      <w:r>
        <w:t>An ETCS fitted train will run in and out of overlay areas, encountering both ETCS fitted overlay areas (where the train could utilise either ETCS signalling or conventional signalling (where the train will be controlled with underlying national train control systems (class B) i.e. imperial units).</w:t>
      </w:r>
    </w:p>
    <w:p w14:paraId="2F88356A" w14:textId="77777777" w:rsidR="00477574" w:rsidRDefault="00477574" w:rsidP="009D0427">
      <w:pPr>
        <w:pStyle w:val="Body"/>
        <w:numPr>
          <w:ilvl w:val="0"/>
          <w:numId w:val="44"/>
        </w:numPr>
        <w:jc w:val="both"/>
      </w:pPr>
      <w:r>
        <w:t>ETCS fitted trains will require speed information to be inputted in km/h regardless of what the DMI is presenting</w:t>
      </w:r>
    </w:p>
    <w:p w14:paraId="1775F45C" w14:textId="77777777" w:rsidR="00477574" w:rsidRPr="004E0FFB" w:rsidRDefault="00477574" w:rsidP="009D0427">
      <w:pPr>
        <w:pStyle w:val="Body"/>
        <w:numPr>
          <w:ilvl w:val="0"/>
          <w:numId w:val="44"/>
        </w:numPr>
        <w:jc w:val="both"/>
      </w:pPr>
      <w:r>
        <w:t xml:space="preserve">In certain operational situations, there will be a need for Railway Staff to verbally communicate speed restrictions, for example a signaller advising the driver of an Emergency Speed Restriction (ESR) prior to the necessary trackside equipment being in place or maintenance staff advising of speed restrictions due to Defective on Train Equipment. </w:t>
      </w:r>
    </w:p>
    <w:p w14:paraId="232C2086" w14:textId="77777777" w:rsidR="00477574" w:rsidRDefault="00477574" w:rsidP="00477574">
      <w:pPr>
        <w:pStyle w:val="Heading4"/>
        <w:numPr>
          <w:ilvl w:val="0"/>
          <w:numId w:val="0"/>
        </w:numPr>
      </w:pPr>
      <w:r>
        <w:t>Performance analysis (Required for deliverables 4, 5, and 6)</w:t>
      </w:r>
    </w:p>
    <w:p w14:paraId="6EE889DF" w14:textId="77777777" w:rsidR="00477574" w:rsidRPr="00B6144C" w:rsidRDefault="00477574" w:rsidP="00477574">
      <w:pPr>
        <w:pStyle w:val="Body"/>
        <w:jc w:val="both"/>
        <w:rPr>
          <w:rFonts w:asciiTheme="minorHAnsi" w:hAnsiTheme="minorHAnsi"/>
        </w:rPr>
      </w:pPr>
      <w:r>
        <w:rPr>
          <w:rFonts w:asciiTheme="minorHAnsi" w:hAnsiTheme="minorHAnsi"/>
        </w:rPr>
        <w:t>The performance analysis will</w:t>
      </w:r>
      <w:r w:rsidRPr="00B6144C">
        <w:rPr>
          <w:rFonts w:asciiTheme="minorHAnsi" w:hAnsiTheme="minorHAnsi"/>
        </w:rPr>
        <w:t>:</w:t>
      </w:r>
    </w:p>
    <w:p w14:paraId="69FE1E01" w14:textId="77777777" w:rsidR="00477574" w:rsidRDefault="00477574" w:rsidP="009D0427">
      <w:pPr>
        <w:pStyle w:val="Body"/>
        <w:numPr>
          <w:ilvl w:val="0"/>
          <w:numId w:val="44"/>
        </w:numPr>
        <w:jc w:val="both"/>
        <w:rPr>
          <w:rFonts w:asciiTheme="minorHAnsi" w:hAnsiTheme="minorHAnsi"/>
        </w:rPr>
      </w:pPr>
      <w:r w:rsidRPr="00B6144C">
        <w:rPr>
          <w:rFonts w:asciiTheme="minorHAnsi" w:hAnsiTheme="minorHAnsi"/>
        </w:rPr>
        <w:t xml:space="preserve">Identify </w:t>
      </w:r>
      <w:r>
        <w:rPr>
          <w:rFonts w:asciiTheme="minorHAnsi" w:hAnsiTheme="minorHAnsi"/>
        </w:rPr>
        <w:t xml:space="preserve">and quantify </w:t>
      </w:r>
      <w:r w:rsidRPr="00B6144C">
        <w:rPr>
          <w:rFonts w:asciiTheme="minorHAnsi" w:hAnsiTheme="minorHAnsi"/>
        </w:rPr>
        <w:t xml:space="preserve">the </w:t>
      </w:r>
      <w:r>
        <w:rPr>
          <w:rFonts w:asciiTheme="minorHAnsi" w:hAnsiTheme="minorHAnsi"/>
        </w:rPr>
        <w:t xml:space="preserve">impact on potential performance improvements of not </w:t>
      </w:r>
      <w:r w:rsidRPr="00E61A07">
        <w:rPr>
          <w:rFonts w:asciiTheme="minorHAnsi" w:hAnsiTheme="minorHAnsi"/>
        </w:rPr>
        <w:t xml:space="preserve">exploiting the </w:t>
      </w:r>
      <w:r>
        <w:rPr>
          <w:rFonts w:asciiTheme="minorHAnsi" w:hAnsiTheme="minorHAnsi"/>
        </w:rPr>
        <w:t xml:space="preserve">available </w:t>
      </w:r>
      <w:r w:rsidRPr="00E61A07">
        <w:rPr>
          <w:rFonts w:asciiTheme="minorHAnsi" w:hAnsiTheme="minorHAnsi"/>
        </w:rPr>
        <w:t xml:space="preserve">limits of the infrastructure </w:t>
      </w:r>
      <w:r>
        <w:rPr>
          <w:rFonts w:asciiTheme="minorHAnsi" w:hAnsiTheme="minorHAnsi"/>
        </w:rPr>
        <w:t xml:space="preserve">for </w:t>
      </w:r>
      <w:r w:rsidRPr="00E61A07">
        <w:rPr>
          <w:rFonts w:asciiTheme="minorHAnsi" w:hAnsiTheme="minorHAnsi"/>
        </w:rPr>
        <w:t>Level 2 operation because of the need to operate in mph</w:t>
      </w:r>
      <w:r>
        <w:rPr>
          <w:rFonts w:asciiTheme="minorHAnsi" w:hAnsiTheme="minorHAnsi"/>
        </w:rPr>
        <w:t>.</w:t>
      </w:r>
    </w:p>
    <w:p w14:paraId="54D1FF14" w14:textId="77777777" w:rsidR="00477574" w:rsidRPr="004B35B4" w:rsidRDefault="00477574" w:rsidP="009D0427">
      <w:pPr>
        <w:pStyle w:val="Body"/>
        <w:numPr>
          <w:ilvl w:val="0"/>
          <w:numId w:val="44"/>
        </w:numPr>
        <w:jc w:val="both"/>
        <w:rPr>
          <w:rFonts w:asciiTheme="minorHAnsi" w:hAnsiTheme="minorHAnsi"/>
        </w:rPr>
      </w:pPr>
      <w:r w:rsidRPr="000B46C5">
        <w:rPr>
          <w:rFonts w:asciiTheme="minorHAnsi" w:hAnsiTheme="minorHAnsi"/>
        </w:rPr>
        <w:t>Assume</w:t>
      </w:r>
      <w:r w:rsidRPr="004B35B4">
        <w:rPr>
          <w:rFonts w:asciiTheme="minorHAnsi" w:hAnsiTheme="minorHAnsi"/>
        </w:rPr>
        <w:t xml:space="preserve"> that it would not be acceptable to drivers or their representatives to display higher mph permissible speeds in cab for Level 2 operation than are signed in mph at the lineside for Level NTC operation.  Exploiting the available limits of the infrastructure could be enabled by (not an exhaustive list):</w:t>
      </w:r>
    </w:p>
    <w:p w14:paraId="17337FA1" w14:textId="77777777" w:rsidR="00477574" w:rsidRDefault="00477574" w:rsidP="009D0427">
      <w:pPr>
        <w:pStyle w:val="Body"/>
        <w:numPr>
          <w:ilvl w:val="1"/>
          <w:numId w:val="44"/>
        </w:numPr>
        <w:jc w:val="both"/>
        <w:rPr>
          <w:rFonts w:asciiTheme="minorHAnsi" w:hAnsiTheme="minorHAnsi"/>
        </w:rPr>
      </w:pPr>
      <w:r>
        <w:rPr>
          <w:rFonts w:asciiTheme="minorHAnsi" w:hAnsiTheme="minorHAnsi"/>
        </w:rPr>
        <w:t>Increasing permissible speed restrictions imposed because of lineside signal spacing or sighting constraints for trains operating in Level 2.</w:t>
      </w:r>
    </w:p>
    <w:p w14:paraId="2DB40367" w14:textId="77777777" w:rsidR="00477574" w:rsidRDefault="00477574" w:rsidP="009D0427">
      <w:pPr>
        <w:pStyle w:val="Body"/>
        <w:numPr>
          <w:ilvl w:val="1"/>
          <w:numId w:val="44"/>
        </w:numPr>
        <w:jc w:val="both"/>
        <w:rPr>
          <w:rFonts w:asciiTheme="minorHAnsi" w:hAnsiTheme="minorHAnsi"/>
        </w:rPr>
      </w:pPr>
      <w:r>
        <w:rPr>
          <w:rFonts w:asciiTheme="minorHAnsi" w:hAnsiTheme="minorHAnsi"/>
        </w:rPr>
        <w:t>Shortening permissible speed restrictions that have been extended because of sighting limitations, for example in tunnels.</w:t>
      </w:r>
    </w:p>
    <w:p w14:paraId="6DF35DEF" w14:textId="77777777" w:rsidR="00477574" w:rsidRPr="00683781" w:rsidRDefault="00477574" w:rsidP="00477574">
      <w:pPr>
        <w:pStyle w:val="Body"/>
        <w:ind w:left="709"/>
        <w:jc w:val="both"/>
        <w:rPr>
          <w:rFonts w:asciiTheme="minorHAnsi" w:hAnsiTheme="minorHAnsi"/>
        </w:rPr>
      </w:pPr>
      <w:r w:rsidRPr="00683781">
        <w:rPr>
          <w:rFonts w:asciiTheme="minorHAnsi" w:hAnsiTheme="minorHAnsi"/>
        </w:rPr>
        <w:t>Th</w:t>
      </w:r>
      <w:r>
        <w:rPr>
          <w:rFonts w:asciiTheme="minorHAnsi" w:hAnsiTheme="minorHAnsi"/>
        </w:rPr>
        <w:t>is</w:t>
      </w:r>
      <w:r w:rsidRPr="00683781">
        <w:rPr>
          <w:rFonts w:asciiTheme="minorHAnsi" w:hAnsiTheme="minorHAnsi"/>
        </w:rPr>
        <w:t xml:space="preserve"> inability </w:t>
      </w:r>
      <w:r>
        <w:rPr>
          <w:rFonts w:asciiTheme="minorHAnsi" w:hAnsiTheme="minorHAnsi"/>
        </w:rPr>
        <w:t xml:space="preserve">to exploit the opportunity to increase </w:t>
      </w:r>
      <w:r w:rsidRPr="00683781">
        <w:rPr>
          <w:rFonts w:asciiTheme="minorHAnsi" w:hAnsiTheme="minorHAnsi"/>
        </w:rPr>
        <w:t>permissible speed restriction</w:t>
      </w:r>
      <w:r>
        <w:rPr>
          <w:rFonts w:asciiTheme="minorHAnsi" w:hAnsiTheme="minorHAnsi"/>
        </w:rPr>
        <w:t>s</w:t>
      </w:r>
      <w:r w:rsidRPr="00683781">
        <w:rPr>
          <w:rFonts w:asciiTheme="minorHAnsi" w:hAnsiTheme="minorHAnsi"/>
        </w:rPr>
        <w:t xml:space="preserve"> </w:t>
      </w:r>
      <w:r>
        <w:rPr>
          <w:rFonts w:asciiTheme="minorHAnsi" w:hAnsiTheme="minorHAnsi"/>
        </w:rPr>
        <w:t>for Level 2 operation could result in a degradation in performance over Level NTC operation due to the inability to</w:t>
      </w:r>
      <w:r w:rsidRPr="00683781">
        <w:rPr>
          <w:rFonts w:asciiTheme="minorHAnsi" w:hAnsiTheme="minorHAnsi"/>
        </w:rPr>
        <w:t xml:space="preserve"> compensate for more restrictive driving practices </w:t>
      </w:r>
      <w:proofErr w:type="gramStart"/>
      <w:r w:rsidRPr="00683781">
        <w:rPr>
          <w:rFonts w:asciiTheme="minorHAnsi" w:hAnsiTheme="minorHAnsi"/>
        </w:rPr>
        <w:t>as a result of</w:t>
      </w:r>
      <w:proofErr w:type="gramEnd"/>
      <w:r w:rsidRPr="00683781">
        <w:rPr>
          <w:rFonts w:asciiTheme="minorHAnsi" w:hAnsiTheme="minorHAnsi"/>
        </w:rPr>
        <w:t xml:space="preserve"> ETCS supervision being potentially more restrictive than ‘conventional’ driving.</w:t>
      </w:r>
    </w:p>
    <w:p w14:paraId="2C6779A9" w14:textId="77777777" w:rsidR="00477574" w:rsidRDefault="00477574" w:rsidP="009D0427">
      <w:pPr>
        <w:pStyle w:val="Body"/>
        <w:numPr>
          <w:ilvl w:val="0"/>
          <w:numId w:val="44"/>
        </w:numPr>
        <w:jc w:val="both"/>
      </w:pPr>
      <w:r>
        <w:t>Make recommendations to the industry based on the performance analysis.</w:t>
      </w:r>
    </w:p>
    <w:p w14:paraId="18B30829" w14:textId="77777777" w:rsidR="00477574" w:rsidRDefault="00477574" w:rsidP="00477574">
      <w:pPr>
        <w:pStyle w:val="Heading4"/>
        <w:numPr>
          <w:ilvl w:val="0"/>
          <w:numId w:val="0"/>
        </w:numPr>
      </w:pPr>
      <w:r>
        <w:t>Consolidation of analyses (Required for deliverables 5 and 6)</w:t>
      </w:r>
    </w:p>
    <w:p w14:paraId="274CD67A" w14:textId="77777777" w:rsidR="00477574" w:rsidRPr="004B35B4" w:rsidRDefault="00477574" w:rsidP="00477574">
      <w:pPr>
        <w:pStyle w:val="Body"/>
        <w:jc w:val="both"/>
        <w:rPr>
          <w:rFonts w:asciiTheme="minorHAnsi" w:hAnsiTheme="minorHAnsi"/>
        </w:rPr>
      </w:pPr>
      <w:r w:rsidRPr="004B35B4">
        <w:t xml:space="preserve">A consolidation of the results of the safety and performance analyses </w:t>
      </w:r>
      <w:r>
        <w:t>providing recommendations to industry on which option provide the best balance of safety and performance in compliance with the Common Safety Method on Risk Evaluation and Assessment (CSM REA)</w:t>
      </w:r>
      <w:r w:rsidRPr="004B35B4">
        <w:rPr>
          <w:rFonts w:asciiTheme="minorHAnsi" w:hAnsiTheme="minorHAnsi"/>
        </w:rPr>
        <w:t>.</w:t>
      </w:r>
    </w:p>
    <w:p w14:paraId="49CCC808" w14:textId="4AA5A402" w:rsidR="00477574" w:rsidRDefault="00477574" w:rsidP="00477574">
      <w:pPr>
        <w:rPr>
          <w:rFonts w:ascii="Calibri" w:hAnsi="Calibri" w:cs="Arial"/>
          <w:color w:val="00968E"/>
          <w:sz w:val="36"/>
          <w:lang w:eastAsia="en-GB"/>
        </w:rPr>
      </w:pPr>
    </w:p>
    <w:p w14:paraId="5022C035" w14:textId="77777777" w:rsidR="00477574" w:rsidRDefault="00477574" w:rsidP="00477574">
      <w:pPr>
        <w:pStyle w:val="Heading1"/>
      </w:pPr>
      <w:r>
        <w:t>Scope</w:t>
      </w:r>
    </w:p>
    <w:p w14:paraId="6034A145" w14:textId="77777777" w:rsidR="00477574" w:rsidRDefault="00477574" w:rsidP="009D0427">
      <w:pPr>
        <w:pStyle w:val="Heading2"/>
        <w:numPr>
          <w:ilvl w:val="1"/>
          <w:numId w:val="52"/>
        </w:numPr>
        <w:spacing w:after="120"/>
      </w:pPr>
      <w:r w:rsidRPr="00D32CB9">
        <w:t>In scope</w:t>
      </w:r>
    </w:p>
    <w:p w14:paraId="5E1BC31C" w14:textId="77777777" w:rsidR="00477574" w:rsidRPr="0021772E" w:rsidRDefault="00477574" w:rsidP="00477574">
      <w:pPr>
        <w:spacing w:line="280" w:lineRule="auto"/>
        <w:jc w:val="both"/>
      </w:pPr>
      <w:r>
        <w:rPr>
          <w:rFonts w:ascii="Calibri" w:hAnsi="Calibri" w:cs="Arial"/>
          <w:lang w:eastAsia="en-GB"/>
        </w:rPr>
        <w:t xml:space="preserve">Note – “S” and “P” in the points below indicate whether the scope item </w:t>
      </w:r>
      <w:proofErr w:type="gramStart"/>
      <w:r>
        <w:rPr>
          <w:rFonts w:ascii="Calibri" w:hAnsi="Calibri" w:cs="Arial"/>
          <w:lang w:eastAsia="en-GB"/>
        </w:rPr>
        <w:t>is considered to be</w:t>
      </w:r>
      <w:proofErr w:type="gramEnd"/>
      <w:r>
        <w:rPr>
          <w:rFonts w:ascii="Calibri" w:hAnsi="Calibri" w:cs="Arial"/>
          <w:lang w:eastAsia="en-GB"/>
        </w:rPr>
        <w:t xml:space="preserve"> in scope of the safety and/or performance analysis.</w:t>
      </w:r>
    </w:p>
    <w:p w14:paraId="6A18EA5A" w14:textId="77777777" w:rsidR="00477574" w:rsidRDefault="00477574" w:rsidP="009D0427">
      <w:pPr>
        <w:pStyle w:val="Body"/>
        <w:numPr>
          <w:ilvl w:val="0"/>
          <w:numId w:val="49"/>
        </w:numPr>
        <w:spacing w:line="280" w:lineRule="exact"/>
      </w:pPr>
      <w:r>
        <w:t>Display of speed information on an ETCS fitted train.  (S, P)</w:t>
      </w:r>
    </w:p>
    <w:p w14:paraId="58E36F16" w14:textId="77777777" w:rsidR="00477574" w:rsidRDefault="00477574" w:rsidP="009D0427">
      <w:pPr>
        <w:pStyle w:val="Body"/>
        <w:numPr>
          <w:ilvl w:val="0"/>
          <w:numId w:val="49"/>
        </w:numPr>
        <w:spacing w:line="280" w:lineRule="exact"/>
      </w:pPr>
      <w:r>
        <w:t>Operations by authorised (Level 2 “capable”) and non-authorised drivers of ETCS fitted trains in overlay areas. (S)</w:t>
      </w:r>
    </w:p>
    <w:p w14:paraId="28298A84" w14:textId="77777777" w:rsidR="00477574" w:rsidRDefault="00477574" w:rsidP="009D0427">
      <w:pPr>
        <w:pStyle w:val="Body"/>
        <w:numPr>
          <w:ilvl w:val="0"/>
          <w:numId w:val="49"/>
        </w:numPr>
        <w:spacing w:line="280" w:lineRule="exact"/>
      </w:pPr>
      <w:r>
        <w:t>Authorised drivers of ETCS fitted trains may operate in either Level 2 or Level NTC in an overlay area and may switch from Level 2 to Level NTC operation within the area in the event of ETCS becoming degraded. (S)</w:t>
      </w:r>
    </w:p>
    <w:p w14:paraId="5CB3B687" w14:textId="77777777" w:rsidR="00477574" w:rsidRDefault="00477574" w:rsidP="009D0427">
      <w:pPr>
        <w:pStyle w:val="Body"/>
        <w:numPr>
          <w:ilvl w:val="0"/>
          <w:numId w:val="49"/>
        </w:numPr>
        <w:spacing w:line="280" w:lineRule="exact"/>
      </w:pPr>
      <w:r>
        <w:t>Possible interactions between drivers and other Railway staff for the provision of speed related information, covering:</w:t>
      </w:r>
    </w:p>
    <w:p w14:paraId="756E4B4E" w14:textId="77777777" w:rsidR="00477574" w:rsidRDefault="00477574" w:rsidP="009D0427">
      <w:pPr>
        <w:pStyle w:val="Body"/>
        <w:numPr>
          <w:ilvl w:val="0"/>
          <w:numId w:val="50"/>
        </w:numPr>
        <w:spacing w:line="280" w:lineRule="exact"/>
      </w:pPr>
      <w:r>
        <w:t>moves across a boundary between overlay and Level 2 only areas and for subsequent operations in the Level 2 only area by authorised drivers. (S)</w:t>
      </w:r>
    </w:p>
    <w:p w14:paraId="234BEF9E" w14:textId="77777777" w:rsidR="00477574" w:rsidRDefault="00477574" w:rsidP="009D0427">
      <w:pPr>
        <w:pStyle w:val="Body"/>
        <w:numPr>
          <w:ilvl w:val="0"/>
          <w:numId w:val="50"/>
        </w:numPr>
        <w:spacing w:line="280" w:lineRule="exact"/>
      </w:pPr>
      <w:r>
        <w:t>Migration from overlay operation to Level 2 only operation on the same line. (S)</w:t>
      </w:r>
    </w:p>
    <w:p w14:paraId="333432AD" w14:textId="77777777" w:rsidR="00477574" w:rsidRDefault="00477574" w:rsidP="009D0427">
      <w:pPr>
        <w:pStyle w:val="Body"/>
        <w:numPr>
          <w:ilvl w:val="0"/>
          <w:numId w:val="50"/>
        </w:numPr>
        <w:spacing w:line="280" w:lineRule="exact"/>
      </w:pPr>
      <w:r>
        <w:t>The communication of speed limits lower than the applicable line speed for defective on train equipment and ESRs (S)</w:t>
      </w:r>
    </w:p>
    <w:p w14:paraId="7488EC1D" w14:textId="77777777" w:rsidR="00477574" w:rsidRDefault="00477574" w:rsidP="009D0427">
      <w:pPr>
        <w:pStyle w:val="Body"/>
        <w:numPr>
          <w:ilvl w:val="0"/>
          <w:numId w:val="50"/>
        </w:numPr>
        <w:spacing w:line="280" w:lineRule="exact"/>
      </w:pPr>
      <w:r>
        <w:t>Degraded mode operations. (S)</w:t>
      </w:r>
    </w:p>
    <w:p w14:paraId="43D70980" w14:textId="77777777" w:rsidR="00477574" w:rsidRDefault="00477574" w:rsidP="009D0427">
      <w:pPr>
        <w:pStyle w:val="Body"/>
        <w:numPr>
          <w:ilvl w:val="0"/>
          <w:numId w:val="49"/>
        </w:numPr>
        <w:spacing w:line="280" w:lineRule="exact"/>
      </w:pPr>
      <w:r>
        <w:t>The impact of different Routes deciding to implement different speed unit strategies for drivers that may traverse those routes. (S)</w:t>
      </w:r>
    </w:p>
    <w:p w14:paraId="2B943BCF" w14:textId="77777777" w:rsidR="00477574" w:rsidRDefault="00477574" w:rsidP="009D0427">
      <w:pPr>
        <w:pStyle w:val="Body"/>
        <w:numPr>
          <w:ilvl w:val="0"/>
          <w:numId w:val="49"/>
        </w:numPr>
        <w:spacing w:line="280" w:lineRule="exact"/>
      </w:pPr>
      <w:r>
        <w:t>Arrangements for the switching of the speed units displayed on the ETCS DMI as per Railway Group Standard GERT8402</w:t>
      </w:r>
      <w:r>
        <w:rPr>
          <w:rStyle w:val="FootnoteReference"/>
        </w:rPr>
        <w:footnoteReference w:id="6"/>
      </w:r>
      <w:r>
        <w:t>. (S)</w:t>
      </w:r>
    </w:p>
    <w:p w14:paraId="70C73289" w14:textId="77777777" w:rsidR="00477574" w:rsidRDefault="00477574" w:rsidP="009D0427">
      <w:pPr>
        <w:pStyle w:val="Body"/>
        <w:numPr>
          <w:ilvl w:val="0"/>
          <w:numId w:val="49"/>
        </w:numPr>
        <w:spacing w:line="280" w:lineRule="exact"/>
      </w:pPr>
      <w:r>
        <w:t>Agreed arrangements for managing authorised and non-authorised drivers as per ETCS reference design Topic T</w:t>
      </w:r>
      <w:r>
        <w:rPr>
          <w:rStyle w:val="FootnoteReference"/>
        </w:rPr>
        <w:footnoteReference w:id="7"/>
      </w:r>
      <w:r>
        <w:t>. (S)</w:t>
      </w:r>
    </w:p>
    <w:p w14:paraId="24EAB6C5" w14:textId="77777777" w:rsidR="00477574" w:rsidRDefault="00477574" w:rsidP="009D0427">
      <w:pPr>
        <w:pStyle w:val="Body"/>
        <w:numPr>
          <w:ilvl w:val="0"/>
          <w:numId w:val="49"/>
        </w:numPr>
        <w:spacing w:line="280" w:lineRule="exact"/>
      </w:pPr>
      <w:r>
        <w:t xml:space="preserve">Criteria to inform the process for deciding whether a line should be </w:t>
      </w:r>
      <w:proofErr w:type="spellStart"/>
      <w:r>
        <w:t>metricated</w:t>
      </w:r>
      <w:proofErr w:type="spellEnd"/>
      <w:r>
        <w:t xml:space="preserve"> or not, in terms of unit choice. (S, P)</w:t>
      </w:r>
    </w:p>
    <w:p w14:paraId="5B7266ED" w14:textId="77777777" w:rsidR="00477574" w:rsidRDefault="00477574" w:rsidP="009D0427">
      <w:pPr>
        <w:pStyle w:val="Body"/>
        <w:numPr>
          <w:ilvl w:val="0"/>
          <w:numId w:val="49"/>
        </w:numPr>
        <w:spacing w:line="280" w:lineRule="exact"/>
      </w:pPr>
      <w:r>
        <w:t>Risk of confusion given that ETCS specified km/h speedometer has no unit indication (S)</w:t>
      </w:r>
    </w:p>
    <w:p w14:paraId="4EE37740" w14:textId="77777777" w:rsidR="00477574" w:rsidRDefault="00477574" w:rsidP="009D0427">
      <w:pPr>
        <w:pStyle w:val="Body"/>
        <w:numPr>
          <w:ilvl w:val="0"/>
          <w:numId w:val="49"/>
        </w:numPr>
        <w:spacing w:line="280" w:lineRule="exact"/>
      </w:pPr>
      <w:r>
        <w:t>Operation of ETCS fitted trains in possessions in Level 0. Current thinking is that all fitted trains in L0 SH mode and that speeds will be displayed in km/h in Level 0. (S)</w:t>
      </w:r>
    </w:p>
    <w:p w14:paraId="0762B456" w14:textId="77777777" w:rsidR="00477574" w:rsidRDefault="00477574" w:rsidP="009D0427">
      <w:pPr>
        <w:pStyle w:val="Body"/>
        <w:numPr>
          <w:ilvl w:val="0"/>
          <w:numId w:val="49"/>
        </w:numPr>
        <w:spacing w:line="280" w:lineRule="exact"/>
      </w:pPr>
      <w:r>
        <w:t>ETCS speed supervision functionality (S, P)</w:t>
      </w:r>
    </w:p>
    <w:p w14:paraId="70ACF1CC" w14:textId="77777777" w:rsidR="00477574" w:rsidRDefault="00477574" w:rsidP="009D0427">
      <w:pPr>
        <w:pStyle w:val="Body"/>
        <w:numPr>
          <w:ilvl w:val="0"/>
          <w:numId w:val="49"/>
        </w:numPr>
        <w:spacing w:line="280" w:lineRule="exact"/>
      </w:pPr>
      <w:r>
        <w:t>Conventional signalling restrictions (spacing, sighting etc.) on permissible speeds (P)</w:t>
      </w:r>
    </w:p>
    <w:p w14:paraId="35C525E8" w14:textId="77777777" w:rsidR="00477574" w:rsidRDefault="00477574" w:rsidP="00477574">
      <w:pPr>
        <w:pStyle w:val="Body"/>
        <w:spacing w:line="280" w:lineRule="exact"/>
      </w:pPr>
    </w:p>
    <w:p w14:paraId="674C066D" w14:textId="77777777" w:rsidR="00477574" w:rsidRPr="00D32CB9" w:rsidRDefault="00477574" w:rsidP="00477574">
      <w:pPr>
        <w:pStyle w:val="Body"/>
        <w:spacing w:line="280" w:lineRule="exact"/>
      </w:pPr>
    </w:p>
    <w:p w14:paraId="6A9F78EF" w14:textId="77777777" w:rsidR="00477574" w:rsidRDefault="00477574" w:rsidP="009D0427">
      <w:pPr>
        <w:pStyle w:val="Heading2"/>
        <w:numPr>
          <w:ilvl w:val="1"/>
          <w:numId w:val="52"/>
        </w:numPr>
        <w:spacing w:after="120"/>
      </w:pPr>
      <w:r>
        <w:t>Out of scope</w:t>
      </w:r>
    </w:p>
    <w:p w14:paraId="02EF53E7" w14:textId="77777777" w:rsidR="00477574" w:rsidRDefault="00477574" w:rsidP="009D0427">
      <w:pPr>
        <w:pStyle w:val="Body"/>
        <w:numPr>
          <w:ilvl w:val="0"/>
          <w:numId w:val="53"/>
        </w:numPr>
        <w:spacing w:line="280" w:lineRule="exact"/>
        <w:ind w:left="357" w:hanging="357"/>
      </w:pPr>
      <w:r>
        <w:t>Implications of using metric speed and imperial distance / length information.</w:t>
      </w:r>
    </w:p>
    <w:p w14:paraId="327267B0" w14:textId="77777777" w:rsidR="00477574" w:rsidRDefault="00477574" w:rsidP="009D0427">
      <w:pPr>
        <w:pStyle w:val="Body"/>
        <w:numPr>
          <w:ilvl w:val="0"/>
          <w:numId w:val="53"/>
        </w:numPr>
        <w:spacing w:line="280" w:lineRule="exact"/>
        <w:ind w:left="357" w:hanging="357"/>
      </w:pPr>
      <w:r>
        <w:t xml:space="preserve">Implications of </w:t>
      </w:r>
      <w:proofErr w:type="spellStart"/>
      <w:r>
        <w:t>metricating</w:t>
      </w:r>
      <w:proofErr w:type="spellEnd"/>
      <w:r>
        <w:t xml:space="preserve"> the whole GB railway</w:t>
      </w:r>
    </w:p>
    <w:p w14:paraId="6A008934" w14:textId="77777777" w:rsidR="00477574" w:rsidRDefault="00477574" w:rsidP="009D0427">
      <w:pPr>
        <w:pStyle w:val="Body"/>
        <w:numPr>
          <w:ilvl w:val="0"/>
          <w:numId w:val="53"/>
        </w:numPr>
        <w:spacing w:line="280" w:lineRule="exact"/>
        <w:ind w:left="357" w:hanging="357"/>
      </w:pPr>
      <w:r>
        <w:t>Operations in km/h in Level NTC with TPWS/AWS</w:t>
      </w:r>
    </w:p>
    <w:p w14:paraId="319C7E90" w14:textId="77777777" w:rsidR="00477574" w:rsidRDefault="00477574" w:rsidP="009D0427">
      <w:pPr>
        <w:pStyle w:val="Body"/>
        <w:numPr>
          <w:ilvl w:val="0"/>
          <w:numId w:val="53"/>
        </w:numPr>
        <w:spacing w:line="280" w:lineRule="exact"/>
        <w:ind w:left="357" w:hanging="357"/>
      </w:pPr>
      <w:r>
        <w:t>Operations in mph on Level 2 only lines</w:t>
      </w:r>
    </w:p>
    <w:p w14:paraId="5BB018A7" w14:textId="77777777" w:rsidR="00477574" w:rsidRPr="0021772E" w:rsidRDefault="00477574" w:rsidP="009D0427">
      <w:pPr>
        <w:pStyle w:val="Body"/>
        <w:numPr>
          <w:ilvl w:val="0"/>
          <w:numId w:val="53"/>
        </w:numPr>
        <w:spacing w:line="280" w:lineRule="exact"/>
        <w:ind w:left="357" w:hanging="357"/>
      </w:pPr>
      <w:r>
        <w:t>Operations in Yards, Depots and sidings</w:t>
      </w:r>
      <w:r>
        <w:br w:type="page"/>
      </w:r>
    </w:p>
    <w:p w14:paraId="0DAE9D4E" w14:textId="77777777" w:rsidR="00477574" w:rsidRDefault="00477574" w:rsidP="00477574">
      <w:pPr>
        <w:pStyle w:val="Heading1"/>
      </w:pPr>
      <w:r>
        <w:lastRenderedPageBreak/>
        <w:t xml:space="preserve">Methodology </w:t>
      </w:r>
    </w:p>
    <w:p w14:paraId="7ED57C9E" w14:textId="77777777" w:rsidR="00477574" w:rsidRPr="00865CE4" w:rsidRDefault="00477574" w:rsidP="00477574">
      <w:pPr>
        <w:spacing w:line="280" w:lineRule="auto"/>
        <w:jc w:val="both"/>
        <w:rPr>
          <w:rFonts w:asciiTheme="minorHAnsi" w:hAnsiTheme="minorHAnsi" w:cs="Arial"/>
          <w:lang w:eastAsia="en-GB"/>
        </w:rPr>
      </w:pPr>
      <w:r w:rsidRPr="00865CE4">
        <w:rPr>
          <w:rFonts w:asciiTheme="minorHAnsi" w:hAnsiTheme="minorHAnsi" w:cs="Arial"/>
          <w:lang w:eastAsia="en-GB"/>
        </w:rPr>
        <w:t>Suppliers are expected to explain the methodology that they are intending to use to successfully meet the project objectives and cover the scope. The following should be included in the methodology:</w:t>
      </w:r>
    </w:p>
    <w:p w14:paraId="5F1ABDF2" w14:textId="77777777" w:rsidR="00477574" w:rsidRPr="00865CE4" w:rsidRDefault="00477574" w:rsidP="009D0427">
      <w:pPr>
        <w:pStyle w:val="ListParagraph"/>
        <w:numPr>
          <w:ilvl w:val="0"/>
          <w:numId w:val="51"/>
        </w:numPr>
        <w:spacing w:line="280" w:lineRule="auto"/>
        <w:jc w:val="both"/>
        <w:rPr>
          <w:rFonts w:asciiTheme="minorHAnsi" w:hAnsiTheme="minorHAnsi"/>
          <w:sz w:val="22"/>
          <w:szCs w:val="22"/>
        </w:rPr>
      </w:pPr>
      <w:r w:rsidRPr="00865CE4">
        <w:rPr>
          <w:rFonts w:asciiTheme="minorHAnsi" w:hAnsiTheme="minorHAnsi"/>
          <w:sz w:val="22"/>
          <w:szCs w:val="22"/>
        </w:rPr>
        <w:t>Identification of required experts according to Skills, Knowledge and Experience (SKE) Matrices, by discussion with the RSSB technical lead;</w:t>
      </w:r>
    </w:p>
    <w:p w14:paraId="1FF5D332" w14:textId="77777777" w:rsidR="00477574" w:rsidRPr="00865CE4" w:rsidRDefault="00477574" w:rsidP="009D0427">
      <w:pPr>
        <w:pStyle w:val="ListParagraph"/>
        <w:numPr>
          <w:ilvl w:val="0"/>
          <w:numId w:val="51"/>
        </w:numPr>
        <w:spacing w:line="280" w:lineRule="auto"/>
        <w:jc w:val="both"/>
        <w:rPr>
          <w:rFonts w:asciiTheme="minorHAnsi" w:hAnsiTheme="minorHAnsi"/>
          <w:sz w:val="22"/>
          <w:szCs w:val="22"/>
        </w:rPr>
      </w:pPr>
      <w:r w:rsidRPr="00865CE4">
        <w:rPr>
          <w:rFonts w:asciiTheme="minorHAnsi" w:hAnsiTheme="minorHAnsi"/>
          <w:sz w:val="22"/>
          <w:szCs w:val="22"/>
        </w:rPr>
        <w:t>Preparation of scenarios for Hazard identification (HAZID) workshops, based upon knowledge of GB mainline railway application of ETCS and GB mainline conventional signalling and operations</w:t>
      </w:r>
    </w:p>
    <w:p w14:paraId="34B3D651" w14:textId="77777777" w:rsidR="00477574" w:rsidRPr="00865CE4" w:rsidRDefault="00477574" w:rsidP="009D0427">
      <w:pPr>
        <w:pStyle w:val="ListParagraph"/>
        <w:numPr>
          <w:ilvl w:val="0"/>
          <w:numId w:val="51"/>
        </w:numPr>
        <w:spacing w:line="280" w:lineRule="auto"/>
        <w:jc w:val="both"/>
        <w:rPr>
          <w:rFonts w:asciiTheme="minorHAnsi" w:hAnsiTheme="minorHAnsi"/>
          <w:sz w:val="22"/>
          <w:szCs w:val="22"/>
        </w:rPr>
      </w:pPr>
      <w:r w:rsidRPr="00865CE4">
        <w:rPr>
          <w:rFonts w:asciiTheme="minorHAnsi" w:hAnsiTheme="minorHAnsi"/>
          <w:sz w:val="22"/>
          <w:szCs w:val="22"/>
        </w:rPr>
        <w:t>Leadership and facilitation of the Hazard identification workshops.</w:t>
      </w:r>
    </w:p>
    <w:p w14:paraId="7231C142" w14:textId="77777777" w:rsidR="00477574" w:rsidRPr="00865CE4" w:rsidRDefault="00477574" w:rsidP="009D0427">
      <w:pPr>
        <w:pStyle w:val="ListParagraph"/>
        <w:numPr>
          <w:ilvl w:val="0"/>
          <w:numId w:val="51"/>
        </w:numPr>
        <w:spacing w:line="280" w:lineRule="auto"/>
        <w:jc w:val="both"/>
        <w:rPr>
          <w:rFonts w:asciiTheme="minorHAnsi" w:hAnsiTheme="minorHAnsi"/>
          <w:sz w:val="22"/>
          <w:szCs w:val="22"/>
        </w:rPr>
      </w:pPr>
      <w:r w:rsidRPr="00865CE4">
        <w:rPr>
          <w:rFonts w:asciiTheme="minorHAnsi" w:hAnsiTheme="minorHAnsi"/>
          <w:sz w:val="22"/>
          <w:szCs w:val="22"/>
        </w:rPr>
        <w:t>Semi-quantified risk analysis consistent with Network Rail’s risk matrix, included in the HAZID template.</w:t>
      </w:r>
    </w:p>
    <w:p w14:paraId="79CFE707" w14:textId="77777777" w:rsidR="00477574" w:rsidRPr="00865CE4" w:rsidRDefault="00477574" w:rsidP="009D0427">
      <w:pPr>
        <w:pStyle w:val="ListParagraph"/>
        <w:numPr>
          <w:ilvl w:val="0"/>
          <w:numId w:val="51"/>
        </w:numPr>
        <w:spacing w:line="280" w:lineRule="auto"/>
        <w:jc w:val="both"/>
        <w:rPr>
          <w:rFonts w:asciiTheme="minorHAnsi" w:hAnsiTheme="minorHAnsi"/>
          <w:sz w:val="22"/>
          <w:szCs w:val="22"/>
        </w:rPr>
      </w:pPr>
      <w:r w:rsidRPr="00865CE4">
        <w:rPr>
          <w:rFonts w:asciiTheme="minorHAnsi" w:hAnsiTheme="minorHAnsi"/>
          <w:sz w:val="22"/>
          <w:szCs w:val="22"/>
        </w:rPr>
        <w:t xml:space="preserve">It is expected that performance benefits and </w:t>
      </w:r>
      <w:proofErr w:type="spellStart"/>
      <w:r w:rsidRPr="00865CE4">
        <w:rPr>
          <w:rFonts w:asciiTheme="minorHAnsi" w:hAnsiTheme="minorHAnsi"/>
          <w:sz w:val="22"/>
          <w:szCs w:val="22"/>
        </w:rPr>
        <w:t>disbenefits</w:t>
      </w:r>
      <w:proofErr w:type="spellEnd"/>
      <w:r w:rsidRPr="00865CE4">
        <w:rPr>
          <w:rFonts w:asciiTheme="minorHAnsi" w:hAnsiTheme="minorHAnsi"/>
          <w:sz w:val="22"/>
          <w:szCs w:val="22"/>
        </w:rPr>
        <w:t xml:space="preserve"> of mph Level 2 operation in an overlay area will be undertaken through a comparison between mph and (optimised) km/h operation over a representative route.  </w:t>
      </w:r>
    </w:p>
    <w:p w14:paraId="37DEE0AB" w14:textId="77777777" w:rsidR="00477574" w:rsidRDefault="00477574" w:rsidP="009D0427">
      <w:pPr>
        <w:pStyle w:val="ListParagraph"/>
        <w:numPr>
          <w:ilvl w:val="0"/>
          <w:numId w:val="51"/>
        </w:numPr>
        <w:spacing w:line="280" w:lineRule="auto"/>
        <w:jc w:val="both"/>
        <w:rPr>
          <w:rFonts w:asciiTheme="minorHAnsi" w:hAnsiTheme="minorHAnsi"/>
          <w:sz w:val="22"/>
          <w:szCs w:val="22"/>
        </w:rPr>
      </w:pPr>
      <w:r w:rsidRPr="00865CE4">
        <w:rPr>
          <w:rFonts w:asciiTheme="minorHAnsi" w:hAnsiTheme="minorHAnsi"/>
          <w:sz w:val="22"/>
          <w:szCs w:val="22"/>
        </w:rPr>
        <w:t>The supplier should propose a considered approach that supports or validates the analysis from point 5, this could include some limited simulation or modelling work if deemed necessary.</w:t>
      </w:r>
    </w:p>
    <w:p w14:paraId="7C5DD3F6" w14:textId="77777777" w:rsidR="00477574" w:rsidRPr="00865CE4" w:rsidRDefault="00477574" w:rsidP="009D0427">
      <w:pPr>
        <w:pStyle w:val="ListParagraph"/>
        <w:numPr>
          <w:ilvl w:val="0"/>
          <w:numId w:val="51"/>
        </w:numPr>
        <w:spacing w:line="280" w:lineRule="auto"/>
        <w:jc w:val="both"/>
        <w:rPr>
          <w:rFonts w:asciiTheme="minorHAnsi" w:hAnsiTheme="minorHAnsi"/>
          <w:sz w:val="22"/>
          <w:szCs w:val="22"/>
        </w:rPr>
      </w:pPr>
      <w:r w:rsidRPr="00865CE4">
        <w:rPr>
          <w:rFonts w:asciiTheme="minorHAnsi" w:hAnsiTheme="minorHAnsi"/>
          <w:sz w:val="22"/>
          <w:szCs w:val="22"/>
        </w:rPr>
        <w:t>How the consolidation of the results of the safety and performance analyses will be undertaken.</w:t>
      </w:r>
    </w:p>
    <w:p w14:paraId="36998E63" w14:textId="77777777" w:rsidR="00477574" w:rsidRDefault="00477574" w:rsidP="00477574">
      <w:pPr>
        <w:rPr>
          <w:rFonts w:ascii="Calibri" w:hAnsi="Calibri" w:cs="Arial"/>
          <w:lang w:eastAsia="en-GB"/>
        </w:rPr>
      </w:pPr>
    </w:p>
    <w:p w14:paraId="3BF835EB" w14:textId="77777777" w:rsidR="00477574" w:rsidRDefault="00477574" w:rsidP="00477574">
      <w:pPr>
        <w:rPr>
          <w:rFonts w:ascii="Calibri" w:hAnsi="Calibri" w:cs="Arial"/>
          <w:color w:val="00968E"/>
          <w:sz w:val="36"/>
          <w:lang w:eastAsia="en-GB"/>
        </w:rPr>
      </w:pPr>
      <w:r>
        <w:br w:type="page"/>
      </w:r>
    </w:p>
    <w:p w14:paraId="3C395CED" w14:textId="77777777" w:rsidR="00477574" w:rsidRDefault="00477574" w:rsidP="00477574">
      <w:pPr>
        <w:pStyle w:val="Heading1"/>
        <w:spacing w:after="240"/>
      </w:pPr>
      <w:r>
        <w:lastRenderedPageBreak/>
        <w:t>Deliverables</w:t>
      </w:r>
    </w:p>
    <w:tbl>
      <w:tblPr>
        <w:tblW w:w="793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2"/>
        <w:gridCol w:w="2640"/>
      </w:tblGrid>
      <w:tr w:rsidR="00477574" w14:paraId="6DA8D3A6" w14:textId="77777777" w:rsidTr="00FB6356">
        <w:trPr>
          <w:cantSplit/>
          <w:trHeight w:val="414"/>
        </w:trPr>
        <w:tc>
          <w:tcPr>
            <w:tcW w:w="5292" w:type="dxa"/>
            <w:shd w:val="clear" w:color="auto" w:fill="92D050"/>
          </w:tcPr>
          <w:p w14:paraId="7FAEC0CB" w14:textId="77777777" w:rsidR="00477574" w:rsidRPr="00483FAD" w:rsidRDefault="00477574" w:rsidP="00FB6356">
            <w:pPr>
              <w:pStyle w:val="BodyIndent1"/>
              <w:ind w:left="0"/>
              <w:rPr>
                <w:b/>
              </w:rPr>
            </w:pPr>
            <w:r>
              <w:rPr>
                <w:b/>
              </w:rPr>
              <w:t>1.</w:t>
            </w:r>
            <w:r w:rsidRPr="00483FAD">
              <w:rPr>
                <w:b/>
              </w:rPr>
              <w:t>Technical Review</w:t>
            </w:r>
          </w:p>
        </w:tc>
        <w:tc>
          <w:tcPr>
            <w:tcW w:w="2640" w:type="dxa"/>
            <w:shd w:val="clear" w:color="auto" w:fill="92D050"/>
          </w:tcPr>
          <w:p w14:paraId="6E271DA2" w14:textId="77777777" w:rsidR="00477574" w:rsidRDefault="00477574" w:rsidP="00FB6356">
            <w:pPr>
              <w:pStyle w:val="BodyIndent1"/>
              <w:ind w:left="0"/>
              <w:rPr>
                <w:b/>
              </w:rPr>
            </w:pPr>
            <w:r>
              <w:rPr>
                <w:b/>
              </w:rPr>
              <w:t>Report</w:t>
            </w:r>
          </w:p>
        </w:tc>
      </w:tr>
      <w:tr w:rsidR="00477574" w14:paraId="3EA2F890" w14:textId="77777777" w:rsidTr="00FB6356">
        <w:trPr>
          <w:cantSplit/>
          <w:trHeight w:val="1006"/>
          <w:tblHeader/>
        </w:trPr>
        <w:tc>
          <w:tcPr>
            <w:tcW w:w="7932" w:type="dxa"/>
            <w:gridSpan w:val="2"/>
            <w:shd w:val="clear" w:color="auto" w:fill="FFFFFF"/>
          </w:tcPr>
          <w:p w14:paraId="00CC74A1" w14:textId="77777777" w:rsidR="00477574" w:rsidRPr="008848F1" w:rsidRDefault="00477574" w:rsidP="00FB6356">
            <w:pPr>
              <w:pStyle w:val="BodyIndent1"/>
              <w:ind w:left="0"/>
            </w:pPr>
            <w:r>
              <w:t>This report will consolidate the research already carried out in this area, identify gaps in understanding and summarise current DMI configurations used by both Thameslink and Crossrail (both whom have already started using overlays)</w:t>
            </w:r>
          </w:p>
        </w:tc>
      </w:tr>
      <w:tr w:rsidR="00477574" w14:paraId="1B56F366" w14:textId="77777777" w:rsidTr="00FB6356">
        <w:trPr>
          <w:cantSplit/>
          <w:trHeight w:val="414"/>
          <w:tblHeader/>
        </w:trPr>
        <w:tc>
          <w:tcPr>
            <w:tcW w:w="7932" w:type="dxa"/>
            <w:gridSpan w:val="2"/>
            <w:shd w:val="clear" w:color="auto" w:fill="FFFFFF"/>
          </w:tcPr>
          <w:p w14:paraId="0D268F5F" w14:textId="77777777" w:rsidR="00477574" w:rsidRPr="008848F1" w:rsidRDefault="00477574" w:rsidP="00FB6356">
            <w:pPr>
              <w:pStyle w:val="BodyIndent1"/>
              <w:ind w:left="0"/>
            </w:pPr>
            <w:r>
              <w:t>This report will be delivered in RSSB format and will be made available on SPARK</w:t>
            </w:r>
          </w:p>
        </w:tc>
      </w:tr>
    </w:tbl>
    <w:p w14:paraId="71C45942" w14:textId="77777777" w:rsidR="00477574" w:rsidRPr="00144505" w:rsidRDefault="00477574" w:rsidP="00477574">
      <w:pPr>
        <w:pStyle w:val="Body"/>
      </w:pPr>
    </w:p>
    <w:tbl>
      <w:tblPr>
        <w:tblW w:w="10314" w:type="dxa"/>
        <w:tblLayout w:type="fixed"/>
        <w:tblLook w:val="00A0" w:firstRow="1" w:lastRow="0" w:firstColumn="1" w:lastColumn="0" w:noHBand="0" w:noVBand="0"/>
      </w:tblPr>
      <w:tblGrid>
        <w:gridCol w:w="250"/>
        <w:gridCol w:w="10064"/>
      </w:tblGrid>
      <w:tr w:rsidR="00477574" w14:paraId="4D35D22C" w14:textId="77777777" w:rsidTr="00FB6356">
        <w:tc>
          <w:tcPr>
            <w:tcW w:w="250" w:type="dxa"/>
          </w:tcPr>
          <w:p w14:paraId="14A12494" w14:textId="77777777" w:rsidR="00477574" w:rsidRDefault="00477574" w:rsidP="00FB6356">
            <w:pPr>
              <w:pStyle w:val="BodyIndent1"/>
              <w:ind w:lef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477574" w14:paraId="6FEF21BC" w14:textId="77777777" w:rsidTr="00FB6356">
              <w:trPr>
                <w:cantSplit/>
              </w:trPr>
              <w:tc>
                <w:tcPr>
                  <w:tcW w:w="5307" w:type="dxa"/>
                  <w:shd w:val="clear" w:color="auto" w:fill="92D050"/>
                </w:tcPr>
                <w:p w14:paraId="0504EEF4" w14:textId="77777777" w:rsidR="00477574" w:rsidRPr="00C06B22" w:rsidRDefault="00477574" w:rsidP="00FB6356">
                  <w:pPr>
                    <w:pStyle w:val="BodyIndent1"/>
                    <w:ind w:left="0"/>
                    <w:rPr>
                      <w:b/>
                    </w:rPr>
                  </w:pPr>
                  <w:r w:rsidRPr="00C06B22">
                    <w:rPr>
                      <w:b/>
                    </w:rPr>
                    <w:t>2. Hazard identification briefing note</w:t>
                  </w:r>
                </w:p>
              </w:tc>
              <w:tc>
                <w:tcPr>
                  <w:tcW w:w="2694" w:type="dxa"/>
                  <w:shd w:val="clear" w:color="auto" w:fill="92D050"/>
                </w:tcPr>
                <w:p w14:paraId="294FA80F" w14:textId="77777777" w:rsidR="00477574" w:rsidRPr="00C06B22" w:rsidRDefault="00477574" w:rsidP="00FB6356">
                  <w:pPr>
                    <w:pStyle w:val="BodyIndent1"/>
                    <w:ind w:left="0"/>
                    <w:rPr>
                      <w:b/>
                    </w:rPr>
                  </w:pPr>
                  <w:r w:rsidRPr="00C06B22">
                    <w:rPr>
                      <w:b/>
                    </w:rPr>
                    <w:t>Report</w:t>
                  </w:r>
                </w:p>
              </w:tc>
            </w:tr>
            <w:tr w:rsidR="00477574" w14:paraId="2205CD52" w14:textId="77777777" w:rsidTr="00FB6356">
              <w:trPr>
                <w:cantSplit/>
                <w:tblHeader/>
              </w:trPr>
              <w:tc>
                <w:tcPr>
                  <w:tcW w:w="8001" w:type="dxa"/>
                  <w:gridSpan w:val="2"/>
                  <w:shd w:val="clear" w:color="auto" w:fill="FFFFFF"/>
                </w:tcPr>
                <w:p w14:paraId="43EE24C7" w14:textId="77777777" w:rsidR="00477574" w:rsidRPr="008848F1" w:rsidRDefault="00477574" w:rsidP="00FB6356">
                  <w:pPr>
                    <w:pStyle w:val="BodyIndent1"/>
                    <w:ind w:left="0"/>
                  </w:pPr>
                  <w:r>
                    <w:t>Document that sets out the objectives and scenarios to be considered in the HAZID assessment.</w:t>
                  </w:r>
                </w:p>
              </w:tc>
            </w:tr>
            <w:tr w:rsidR="00477574" w14:paraId="1EF84E54" w14:textId="77777777" w:rsidTr="00FB6356">
              <w:trPr>
                <w:cantSplit/>
                <w:tblHeader/>
              </w:trPr>
              <w:tc>
                <w:tcPr>
                  <w:tcW w:w="8001" w:type="dxa"/>
                  <w:gridSpan w:val="2"/>
                  <w:shd w:val="clear" w:color="auto" w:fill="FFFFFF"/>
                </w:tcPr>
                <w:p w14:paraId="53A29343" w14:textId="77777777" w:rsidR="00477574" w:rsidRPr="008848F1" w:rsidRDefault="00477574" w:rsidP="00FB6356">
                  <w:pPr>
                    <w:pStyle w:val="BodyIndent1"/>
                    <w:ind w:left="0"/>
                  </w:pPr>
                  <w:r>
                    <w:t>This will be sent out to the workshop participants as identified from the SKE matrix.</w:t>
                  </w:r>
                </w:p>
              </w:tc>
            </w:tr>
          </w:tbl>
          <w:p w14:paraId="36E1AFF4" w14:textId="77777777" w:rsidR="00477574" w:rsidRPr="007664FA" w:rsidRDefault="00477574" w:rsidP="00FB6356">
            <w:pPr>
              <w:pStyle w:val="BodyIndent1"/>
              <w:ind w:left="0"/>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477574" w14:paraId="326C86C0" w14:textId="77777777" w:rsidTr="00FB6356">
              <w:trPr>
                <w:cantSplit/>
              </w:trPr>
              <w:tc>
                <w:tcPr>
                  <w:tcW w:w="5307" w:type="dxa"/>
                  <w:shd w:val="clear" w:color="auto" w:fill="92D050"/>
                </w:tcPr>
                <w:p w14:paraId="0B27E967" w14:textId="77777777" w:rsidR="00477574" w:rsidRPr="00C06B22" w:rsidRDefault="00477574" w:rsidP="00FB6356">
                  <w:pPr>
                    <w:pStyle w:val="BodyIndent1"/>
                    <w:ind w:left="0"/>
                    <w:rPr>
                      <w:b/>
                    </w:rPr>
                  </w:pPr>
                  <w:r w:rsidRPr="00C06B22">
                    <w:rPr>
                      <w:b/>
                    </w:rPr>
                    <w:t>3A. Hazard identification</w:t>
                  </w:r>
                </w:p>
              </w:tc>
              <w:tc>
                <w:tcPr>
                  <w:tcW w:w="2694" w:type="dxa"/>
                  <w:shd w:val="clear" w:color="auto" w:fill="92D050"/>
                </w:tcPr>
                <w:p w14:paraId="1531CC05" w14:textId="77777777" w:rsidR="00477574" w:rsidRPr="00C06B22" w:rsidRDefault="00477574" w:rsidP="00FB6356">
                  <w:pPr>
                    <w:pStyle w:val="BodyIndent1"/>
                    <w:ind w:left="0"/>
                    <w:rPr>
                      <w:b/>
                    </w:rPr>
                  </w:pPr>
                  <w:r w:rsidRPr="00C06B22">
                    <w:rPr>
                      <w:b/>
                    </w:rPr>
                    <w:t>Hazard log</w:t>
                  </w:r>
                </w:p>
              </w:tc>
            </w:tr>
            <w:tr w:rsidR="00477574" w14:paraId="57754639" w14:textId="77777777" w:rsidTr="00FB6356">
              <w:trPr>
                <w:cantSplit/>
                <w:tblHeader/>
              </w:trPr>
              <w:tc>
                <w:tcPr>
                  <w:tcW w:w="8001" w:type="dxa"/>
                  <w:gridSpan w:val="2"/>
                  <w:shd w:val="clear" w:color="auto" w:fill="FFFFFF"/>
                </w:tcPr>
                <w:p w14:paraId="087A50AA" w14:textId="77777777" w:rsidR="00477574" w:rsidRPr="008848F1" w:rsidRDefault="00477574" w:rsidP="00FB6356">
                  <w:pPr>
                    <w:pStyle w:val="BodyIndent1"/>
                    <w:ind w:left="0"/>
                  </w:pPr>
                  <w:r>
                    <w:t xml:space="preserve">A hazard log identifying and ranking the risks. This log will be developed using the RSSB HAZIDS framework. </w:t>
                  </w:r>
                </w:p>
              </w:tc>
            </w:tr>
            <w:tr w:rsidR="00477574" w14:paraId="1BDC8FDE" w14:textId="77777777" w:rsidTr="00FB6356">
              <w:trPr>
                <w:cantSplit/>
                <w:tblHeader/>
              </w:trPr>
              <w:tc>
                <w:tcPr>
                  <w:tcW w:w="8001" w:type="dxa"/>
                  <w:gridSpan w:val="2"/>
                  <w:shd w:val="clear" w:color="auto" w:fill="FFFFFF"/>
                </w:tcPr>
                <w:p w14:paraId="4913E8F3" w14:textId="77777777" w:rsidR="00477574" w:rsidRPr="008848F1" w:rsidRDefault="00477574" w:rsidP="00FB6356">
                  <w:pPr>
                    <w:pStyle w:val="BodyIndent1"/>
                    <w:ind w:left="0"/>
                  </w:pPr>
                  <w:r>
                    <w:t>This report will be made available on SPARK</w:t>
                  </w:r>
                </w:p>
              </w:tc>
            </w:tr>
          </w:tbl>
          <w:p w14:paraId="7787E61A" w14:textId="77777777" w:rsidR="00477574" w:rsidRDefault="00477574" w:rsidP="00FB6356">
            <w:pPr>
              <w:pStyle w:val="BodyIndent1"/>
              <w:ind w:left="0"/>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477574" w:rsidRPr="00C06B22" w14:paraId="49EFB583" w14:textId="77777777" w:rsidTr="00FB6356">
              <w:trPr>
                <w:cantSplit/>
              </w:trPr>
              <w:tc>
                <w:tcPr>
                  <w:tcW w:w="5307" w:type="dxa"/>
                  <w:shd w:val="clear" w:color="auto" w:fill="92D050"/>
                </w:tcPr>
                <w:p w14:paraId="339364F6" w14:textId="77777777" w:rsidR="00477574" w:rsidRPr="00C06B22" w:rsidRDefault="00477574" w:rsidP="00FB6356">
                  <w:pPr>
                    <w:pStyle w:val="BodyIndent1"/>
                    <w:ind w:left="0"/>
                    <w:rPr>
                      <w:b/>
                    </w:rPr>
                  </w:pPr>
                  <w:r w:rsidRPr="00C06B22">
                    <w:rPr>
                      <w:b/>
                    </w:rPr>
                    <w:t>3B. Hazard identification workshop report</w:t>
                  </w:r>
                </w:p>
              </w:tc>
              <w:tc>
                <w:tcPr>
                  <w:tcW w:w="2694" w:type="dxa"/>
                  <w:shd w:val="clear" w:color="auto" w:fill="92D050"/>
                </w:tcPr>
                <w:p w14:paraId="38951266" w14:textId="77777777" w:rsidR="00477574" w:rsidRPr="00C06B22" w:rsidRDefault="00477574" w:rsidP="00FB6356">
                  <w:pPr>
                    <w:pStyle w:val="BodyIndent1"/>
                    <w:ind w:left="0"/>
                    <w:rPr>
                      <w:b/>
                    </w:rPr>
                  </w:pPr>
                  <w:r w:rsidRPr="00C06B22">
                    <w:rPr>
                      <w:b/>
                    </w:rPr>
                    <w:t>Report</w:t>
                  </w:r>
                </w:p>
              </w:tc>
            </w:tr>
            <w:tr w:rsidR="00477574" w:rsidRPr="008848F1" w14:paraId="3A004C72" w14:textId="77777777" w:rsidTr="00FB6356">
              <w:trPr>
                <w:cantSplit/>
                <w:tblHeader/>
              </w:trPr>
              <w:tc>
                <w:tcPr>
                  <w:tcW w:w="8001" w:type="dxa"/>
                  <w:gridSpan w:val="2"/>
                  <w:shd w:val="clear" w:color="auto" w:fill="FFFFFF"/>
                </w:tcPr>
                <w:p w14:paraId="0C132FFF" w14:textId="77777777" w:rsidR="00477574" w:rsidRPr="00D232A3" w:rsidRDefault="00477574" w:rsidP="00FB6356">
                  <w:pPr>
                    <w:pStyle w:val="BodyIndent1"/>
                    <w:ind w:left="0"/>
                  </w:pPr>
                  <w:r>
                    <w:t>Detailed results of the HAZID including the Hazard log. This report will use the RSSB template and macro to generate the hazard log pages of the report</w:t>
                  </w:r>
                </w:p>
                <w:p w14:paraId="5724EF1A" w14:textId="77777777" w:rsidR="00477574" w:rsidRDefault="00477574" w:rsidP="00FB6356">
                  <w:pPr>
                    <w:pStyle w:val="BodyIndent1"/>
                    <w:ind w:left="0"/>
                  </w:pPr>
                  <w:r>
                    <w:t>This report will outline the risk analysis of each DMI configuration and the issues that need to be considered. The risk analysis will:</w:t>
                  </w:r>
                </w:p>
                <w:p w14:paraId="3EF58B64" w14:textId="77777777" w:rsidR="00477574" w:rsidRDefault="00477574" w:rsidP="00FB6356">
                  <w:pPr>
                    <w:pStyle w:val="BodyIndent1"/>
                    <w:ind w:left="0"/>
                  </w:pPr>
                  <w:r>
                    <w:t>Be semi-quantified in accordance with the risk matrix included in the RSSB template for the Hazard log.</w:t>
                  </w:r>
                </w:p>
                <w:p w14:paraId="6CF15816" w14:textId="77777777" w:rsidR="00477574" w:rsidRDefault="00477574" w:rsidP="00FB6356">
                  <w:pPr>
                    <w:pStyle w:val="BodyIndent1"/>
                    <w:ind w:left="0"/>
                  </w:pPr>
                  <w:r>
                    <w:t>Include a list of scenarios which carry highest and lowest risk</w:t>
                  </w:r>
                </w:p>
                <w:p w14:paraId="01CD3F41" w14:textId="77777777" w:rsidR="00477574" w:rsidRPr="008848F1" w:rsidRDefault="00477574" w:rsidP="00FB6356">
                  <w:pPr>
                    <w:pStyle w:val="BodyIndent1"/>
                    <w:ind w:left="0"/>
                  </w:pPr>
                  <w:r>
                    <w:t>Make recommendations for safest DMI configuration</w:t>
                  </w:r>
                </w:p>
              </w:tc>
            </w:tr>
          </w:tbl>
          <w:p w14:paraId="38819539" w14:textId="77777777" w:rsidR="00477574" w:rsidRDefault="00477574" w:rsidP="00FB6356">
            <w:pPr>
              <w:pStyle w:val="BodyIndent1"/>
              <w:ind w:left="0"/>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477574" w14:paraId="6D296345" w14:textId="77777777" w:rsidTr="00FB6356">
              <w:trPr>
                <w:cantSplit/>
              </w:trPr>
              <w:tc>
                <w:tcPr>
                  <w:tcW w:w="5307" w:type="dxa"/>
                  <w:shd w:val="clear" w:color="auto" w:fill="92D050"/>
                </w:tcPr>
                <w:p w14:paraId="5E467416" w14:textId="77777777" w:rsidR="00477574" w:rsidRPr="00C06B22" w:rsidRDefault="00477574" w:rsidP="00FB6356">
                  <w:pPr>
                    <w:pStyle w:val="BodyIndent1"/>
                    <w:ind w:left="0"/>
                    <w:rPr>
                      <w:b/>
                    </w:rPr>
                  </w:pPr>
                  <w:r w:rsidRPr="00C06B22">
                    <w:rPr>
                      <w:b/>
                    </w:rPr>
                    <w:t>4. Performance Analysis report</w:t>
                  </w:r>
                </w:p>
              </w:tc>
              <w:tc>
                <w:tcPr>
                  <w:tcW w:w="2694" w:type="dxa"/>
                  <w:shd w:val="clear" w:color="auto" w:fill="92D050"/>
                </w:tcPr>
                <w:p w14:paraId="4FE05BAA" w14:textId="77777777" w:rsidR="00477574" w:rsidRPr="00C06B22" w:rsidRDefault="00477574" w:rsidP="00FB6356">
                  <w:pPr>
                    <w:pStyle w:val="BodyIndent1"/>
                    <w:ind w:left="0"/>
                    <w:rPr>
                      <w:b/>
                    </w:rPr>
                  </w:pPr>
                  <w:r w:rsidRPr="00C06B22">
                    <w:rPr>
                      <w:b/>
                    </w:rPr>
                    <w:t>Report</w:t>
                  </w:r>
                </w:p>
              </w:tc>
            </w:tr>
            <w:tr w:rsidR="00477574" w14:paraId="06BEA519" w14:textId="77777777" w:rsidTr="00FB6356">
              <w:trPr>
                <w:cantSplit/>
                <w:tblHeader/>
              </w:trPr>
              <w:tc>
                <w:tcPr>
                  <w:tcW w:w="8001" w:type="dxa"/>
                  <w:gridSpan w:val="2"/>
                  <w:shd w:val="clear" w:color="auto" w:fill="FFFFFF"/>
                </w:tcPr>
                <w:p w14:paraId="67D23816" w14:textId="77777777" w:rsidR="00477574" w:rsidRPr="008848F1" w:rsidRDefault="00477574" w:rsidP="00FB6356">
                  <w:pPr>
                    <w:pStyle w:val="BodyIndent1"/>
                    <w:ind w:left="0"/>
                  </w:pPr>
                  <w:r>
                    <w:t>A report quantifying the performance impact of operating in mph over (optimised) km/h while in Level 2 operation on a representative route.</w:t>
                  </w:r>
                </w:p>
              </w:tc>
            </w:tr>
            <w:tr w:rsidR="00477574" w14:paraId="075758D3" w14:textId="77777777" w:rsidTr="00FB6356">
              <w:trPr>
                <w:cantSplit/>
                <w:tblHeader/>
              </w:trPr>
              <w:tc>
                <w:tcPr>
                  <w:tcW w:w="8001" w:type="dxa"/>
                  <w:gridSpan w:val="2"/>
                  <w:shd w:val="clear" w:color="auto" w:fill="FFFFFF"/>
                </w:tcPr>
                <w:p w14:paraId="5AD06248" w14:textId="77777777" w:rsidR="00477574" w:rsidRPr="008848F1" w:rsidRDefault="00477574" w:rsidP="00FB6356">
                  <w:pPr>
                    <w:pStyle w:val="BodyIndent1"/>
                    <w:ind w:left="0"/>
                  </w:pPr>
                  <w:r>
                    <w:t>This report will be made available on SPARK</w:t>
                  </w:r>
                </w:p>
              </w:tc>
            </w:tr>
          </w:tbl>
          <w:p w14:paraId="3CF74303" w14:textId="77777777" w:rsidR="00477574" w:rsidRDefault="00477574" w:rsidP="00FB6356">
            <w:pPr>
              <w:pStyle w:val="BodyIndent1"/>
              <w:ind w:left="0"/>
            </w:pPr>
          </w:p>
          <w:p w14:paraId="74D291F1" w14:textId="77777777" w:rsidR="00477574" w:rsidRPr="008848F1" w:rsidRDefault="00477574" w:rsidP="00FB6356">
            <w:pPr>
              <w:pStyle w:val="BodyIndent1"/>
              <w:ind w:left="0"/>
            </w:pPr>
          </w:p>
        </w:tc>
      </w:tr>
    </w:tbl>
    <w:p w14:paraId="24CCB322" w14:textId="77777777" w:rsidR="00477574" w:rsidRDefault="00477574" w:rsidP="00477574">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31"/>
      </w:tblGrid>
      <w:tr w:rsidR="00477574" w14:paraId="353E6734" w14:textId="77777777" w:rsidTr="00FB6356">
        <w:trPr>
          <w:cantSplit/>
        </w:trPr>
        <w:tc>
          <w:tcPr>
            <w:tcW w:w="5307" w:type="dxa"/>
            <w:shd w:val="clear" w:color="auto" w:fill="92D050"/>
          </w:tcPr>
          <w:p w14:paraId="5C00EE53" w14:textId="77777777" w:rsidR="00477574" w:rsidRDefault="00477574" w:rsidP="00FB6356">
            <w:pPr>
              <w:pStyle w:val="BodyIndent1"/>
              <w:ind w:left="0"/>
              <w:rPr>
                <w:b/>
              </w:rPr>
            </w:pPr>
            <w:r>
              <w:rPr>
                <w:b/>
              </w:rPr>
              <w:lastRenderedPageBreak/>
              <w:t>5. Consolidation Report</w:t>
            </w:r>
          </w:p>
        </w:tc>
        <w:tc>
          <w:tcPr>
            <w:tcW w:w="2631" w:type="dxa"/>
            <w:shd w:val="clear" w:color="auto" w:fill="92D050"/>
          </w:tcPr>
          <w:p w14:paraId="2AC3D13A" w14:textId="77777777" w:rsidR="00477574" w:rsidRDefault="00477574" w:rsidP="00FB6356">
            <w:pPr>
              <w:pStyle w:val="BodyIndent1"/>
              <w:ind w:left="0"/>
              <w:rPr>
                <w:b/>
              </w:rPr>
            </w:pPr>
            <w:r>
              <w:rPr>
                <w:b/>
              </w:rPr>
              <w:t>Report</w:t>
            </w:r>
          </w:p>
        </w:tc>
      </w:tr>
      <w:tr w:rsidR="00477574" w:rsidRPr="008848F1" w14:paraId="36E87A33" w14:textId="77777777" w:rsidTr="00FB6356">
        <w:trPr>
          <w:cantSplit/>
          <w:tblHeader/>
        </w:trPr>
        <w:tc>
          <w:tcPr>
            <w:tcW w:w="7938" w:type="dxa"/>
            <w:gridSpan w:val="2"/>
            <w:shd w:val="clear" w:color="auto" w:fill="FFFFFF"/>
          </w:tcPr>
          <w:p w14:paraId="3609F428" w14:textId="77777777" w:rsidR="00477574" w:rsidRPr="008848F1" w:rsidRDefault="00477574" w:rsidP="00FB6356">
            <w:pPr>
              <w:pStyle w:val="BodyIndent1"/>
              <w:ind w:left="0"/>
            </w:pPr>
            <w:r>
              <w:t xml:space="preserve">A brief document consolidating the results of the hazard and performance analysis and recommending a solution </w:t>
            </w:r>
          </w:p>
        </w:tc>
      </w:tr>
      <w:tr w:rsidR="00477574" w:rsidRPr="008848F1" w14:paraId="3E1757A3" w14:textId="77777777" w:rsidTr="00FB6356">
        <w:trPr>
          <w:cantSplit/>
          <w:tblHeader/>
        </w:trPr>
        <w:tc>
          <w:tcPr>
            <w:tcW w:w="7938" w:type="dxa"/>
            <w:gridSpan w:val="2"/>
            <w:shd w:val="clear" w:color="auto" w:fill="FFFFFF"/>
          </w:tcPr>
          <w:p w14:paraId="0FA4BDF0" w14:textId="77777777" w:rsidR="00477574" w:rsidRPr="008848F1" w:rsidRDefault="00477574" w:rsidP="00FB6356">
            <w:pPr>
              <w:pStyle w:val="BodyIndent1"/>
              <w:ind w:left="0"/>
            </w:pPr>
            <w:r>
              <w:t>This report will be delivered in RSSB format and will be made available on SPARK</w:t>
            </w:r>
          </w:p>
        </w:tc>
      </w:tr>
    </w:tbl>
    <w:p w14:paraId="2089CB94" w14:textId="77777777" w:rsidR="00477574" w:rsidRPr="00483FAD" w:rsidRDefault="00477574" w:rsidP="00477574">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31"/>
      </w:tblGrid>
      <w:tr w:rsidR="00477574" w14:paraId="4D95990B" w14:textId="77777777" w:rsidTr="00FB6356">
        <w:trPr>
          <w:cantSplit/>
        </w:trPr>
        <w:tc>
          <w:tcPr>
            <w:tcW w:w="5307" w:type="dxa"/>
            <w:shd w:val="clear" w:color="auto" w:fill="92D050"/>
          </w:tcPr>
          <w:p w14:paraId="6153AB8E" w14:textId="77777777" w:rsidR="00477574" w:rsidRDefault="00477574" w:rsidP="00FB6356">
            <w:pPr>
              <w:pStyle w:val="BodyIndent1"/>
              <w:ind w:left="0"/>
              <w:rPr>
                <w:b/>
              </w:rPr>
            </w:pPr>
            <w:r>
              <w:rPr>
                <w:b/>
              </w:rPr>
              <w:t>6. Research in Brief</w:t>
            </w:r>
          </w:p>
        </w:tc>
        <w:tc>
          <w:tcPr>
            <w:tcW w:w="2631" w:type="dxa"/>
            <w:shd w:val="clear" w:color="auto" w:fill="92D050"/>
          </w:tcPr>
          <w:p w14:paraId="61E948AA" w14:textId="77777777" w:rsidR="00477574" w:rsidRDefault="00477574" w:rsidP="00FB6356">
            <w:pPr>
              <w:pStyle w:val="BodyIndent1"/>
              <w:ind w:left="0"/>
              <w:rPr>
                <w:b/>
              </w:rPr>
            </w:pPr>
            <w:r>
              <w:rPr>
                <w:b/>
              </w:rPr>
              <w:t>Report</w:t>
            </w:r>
          </w:p>
        </w:tc>
      </w:tr>
      <w:tr w:rsidR="00477574" w:rsidRPr="008848F1" w14:paraId="1AB21C09" w14:textId="77777777" w:rsidTr="00FB6356">
        <w:trPr>
          <w:cantSplit/>
          <w:tblHeader/>
        </w:trPr>
        <w:tc>
          <w:tcPr>
            <w:tcW w:w="7938" w:type="dxa"/>
            <w:gridSpan w:val="2"/>
            <w:shd w:val="clear" w:color="auto" w:fill="FFFFFF"/>
          </w:tcPr>
          <w:p w14:paraId="7F1D1B6D" w14:textId="77777777" w:rsidR="00477574" w:rsidRPr="008848F1" w:rsidRDefault="00477574" w:rsidP="00FB6356">
            <w:pPr>
              <w:pStyle w:val="BodyIndent1"/>
              <w:ind w:left="0"/>
            </w:pPr>
            <w:r>
              <w:t>A four-page document summarising the research, its findings, and the potential benefits generated</w:t>
            </w:r>
          </w:p>
        </w:tc>
      </w:tr>
      <w:tr w:rsidR="00477574" w:rsidRPr="008848F1" w14:paraId="60A9255D" w14:textId="77777777" w:rsidTr="00FB6356">
        <w:trPr>
          <w:cantSplit/>
          <w:tblHeader/>
        </w:trPr>
        <w:tc>
          <w:tcPr>
            <w:tcW w:w="7938" w:type="dxa"/>
            <w:gridSpan w:val="2"/>
            <w:shd w:val="clear" w:color="auto" w:fill="FFFFFF"/>
          </w:tcPr>
          <w:p w14:paraId="3DEA4D6D" w14:textId="77777777" w:rsidR="00477574" w:rsidRPr="008848F1" w:rsidRDefault="00477574" w:rsidP="00FB6356">
            <w:pPr>
              <w:pStyle w:val="BodyIndent1"/>
              <w:ind w:left="0"/>
            </w:pPr>
            <w:r>
              <w:t>This report will be delivered in RSSB format and will be made available on SPARK</w:t>
            </w:r>
          </w:p>
        </w:tc>
      </w:tr>
    </w:tbl>
    <w:p w14:paraId="540B47A9" w14:textId="77777777" w:rsidR="00477574" w:rsidRDefault="00477574" w:rsidP="00477574">
      <w:pPr>
        <w:pStyle w:val="Heading1"/>
        <w:numPr>
          <w:ilvl w:val="0"/>
          <w:numId w:val="0"/>
        </w:numPr>
        <w:spacing w:before="240"/>
      </w:pPr>
    </w:p>
    <w:p w14:paraId="4FC9074B" w14:textId="77777777" w:rsidR="00477574" w:rsidRDefault="00477574" w:rsidP="00477574">
      <w:pPr>
        <w:rPr>
          <w:rFonts w:ascii="Calibri" w:hAnsi="Calibri" w:cs="Arial"/>
          <w:color w:val="00968E"/>
          <w:sz w:val="36"/>
          <w:lang w:eastAsia="en-GB"/>
        </w:rPr>
      </w:pPr>
      <w:r>
        <w:br w:type="page"/>
      </w:r>
    </w:p>
    <w:p w14:paraId="6E29AD79" w14:textId="77777777" w:rsidR="00477574" w:rsidRDefault="00477574" w:rsidP="00477574">
      <w:pPr>
        <w:pStyle w:val="Heading1"/>
        <w:spacing w:before="240"/>
      </w:pPr>
      <w:r>
        <w:lastRenderedPageBreak/>
        <w:t>Stakeholders roles and responsibilities</w:t>
      </w:r>
    </w:p>
    <w:tbl>
      <w:tblPr>
        <w:tblStyle w:val="TableGrid"/>
        <w:tblW w:w="8678" w:type="dxa"/>
        <w:tblLook w:val="04A0" w:firstRow="1" w:lastRow="0" w:firstColumn="1" w:lastColumn="0" w:noHBand="0" w:noVBand="1"/>
      </w:tblPr>
      <w:tblGrid>
        <w:gridCol w:w="1787"/>
        <w:gridCol w:w="4533"/>
        <w:gridCol w:w="2358"/>
      </w:tblGrid>
      <w:tr w:rsidR="00477574" w:rsidRPr="004F4209" w14:paraId="7A553086" w14:textId="77777777" w:rsidTr="00FB6356">
        <w:trPr>
          <w:trHeight w:val="492"/>
        </w:trPr>
        <w:tc>
          <w:tcPr>
            <w:tcW w:w="1634" w:type="dxa"/>
            <w:vAlign w:val="center"/>
          </w:tcPr>
          <w:p w14:paraId="4FF0E402" w14:textId="77777777" w:rsidR="00477574" w:rsidRPr="00483FAD" w:rsidRDefault="00477574" w:rsidP="00FB6356">
            <w:pPr>
              <w:pStyle w:val="Body"/>
              <w:rPr>
                <w:rFonts w:asciiTheme="minorHAnsi" w:hAnsiTheme="minorHAnsi"/>
                <w:b/>
                <w:szCs w:val="20"/>
              </w:rPr>
            </w:pPr>
            <w:r w:rsidRPr="00483FAD">
              <w:rPr>
                <w:rFonts w:asciiTheme="minorHAnsi" w:hAnsiTheme="minorHAnsi"/>
                <w:b/>
                <w:szCs w:val="20"/>
              </w:rPr>
              <w:t>Title</w:t>
            </w:r>
          </w:p>
        </w:tc>
        <w:tc>
          <w:tcPr>
            <w:tcW w:w="4143" w:type="dxa"/>
            <w:vAlign w:val="center"/>
          </w:tcPr>
          <w:p w14:paraId="6767EDAD" w14:textId="77777777" w:rsidR="00477574" w:rsidRPr="00483FAD" w:rsidRDefault="00477574" w:rsidP="00FB6356">
            <w:pPr>
              <w:rPr>
                <w:rFonts w:asciiTheme="minorHAnsi" w:hAnsiTheme="minorHAnsi" w:cs="Arial"/>
                <w:szCs w:val="20"/>
                <w:lang w:eastAsia="en-GB"/>
              </w:rPr>
            </w:pPr>
            <w:r w:rsidRPr="00483FAD">
              <w:rPr>
                <w:rFonts w:asciiTheme="minorHAnsi" w:hAnsiTheme="minorHAnsi" w:cs="Arial"/>
                <w:b/>
                <w:bCs/>
                <w:kern w:val="28"/>
                <w:szCs w:val="20"/>
              </w:rPr>
              <w:t>General role in project</w:t>
            </w:r>
          </w:p>
        </w:tc>
        <w:tc>
          <w:tcPr>
            <w:tcW w:w="2155" w:type="dxa"/>
            <w:vAlign w:val="center"/>
          </w:tcPr>
          <w:p w14:paraId="1915F498" w14:textId="77777777" w:rsidR="00477574" w:rsidRPr="00483FAD" w:rsidRDefault="00477574" w:rsidP="00FB6356">
            <w:pPr>
              <w:rPr>
                <w:rFonts w:asciiTheme="minorHAnsi" w:hAnsiTheme="minorHAnsi" w:cs="Arial"/>
                <w:szCs w:val="20"/>
                <w:lang w:eastAsia="en-GB"/>
              </w:rPr>
            </w:pPr>
            <w:r>
              <w:rPr>
                <w:rFonts w:asciiTheme="minorHAnsi" w:hAnsiTheme="minorHAnsi" w:cs="Arial"/>
                <w:b/>
                <w:bCs/>
                <w:kern w:val="28"/>
                <w:szCs w:val="20"/>
              </w:rPr>
              <w:t>R</w:t>
            </w:r>
            <w:r w:rsidRPr="00483FAD">
              <w:rPr>
                <w:rFonts w:asciiTheme="minorHAnsi" w:hAnsiTheme="minorHAnsi" w:cs="Arial"/>
                <w:b/>
                <w:bCs/>
                <w:kern w:val="28"/>
                <w:szCs w:val="20"/>
              </w:rPr>
              <w:t>ole in acceptance of deliverables</w:t>
            </w:r>
          </w:p>
        </w:tc>
      </w:tr>
      <w:tr w:rsidR="00477574" w:rsidRPr="004F4209" w14:paraId="7EC24B99" w14:textId="77777777" w:rsidTr="00FB6356">
        <w:trPr>
          <w:trHeight w:val="2463"/>
        </w:trPr>
        <w:tc>
          <w:tcPr>
            <w:tcW w:w="1634" w:type="dxa"/>
          </w:tcPr>
          <w:p w14:paraId="3133858F" w14:textId="77777777" w:rsidR="00477574" w:rsidRPr="00483FAD" w:rsidRDefault="00477574" w:rsidP="00FB6356">
            <w:pPr>
              <w:rPr>
                <w:rFonts w:asciiTheme="minorHAnsi" w:hAnsiTheme="minorHAnsi" w:cs="Arial"/>
                <w:b/>
                <w:color w:val="000000" w:themeColor="dark1"/>
                <w:kern w:val="28"/>
                <w:szCs w:val="20"/>
              </w:rPr>
            </w:pPr>
            <w:r w:rsidRPr="00483FAD">
              <w:rPr>
                <w:rFonts w:asciiTheme="minorHAnsi" w:hAnsiTheme="minorHAnsi" w:cs="Arial"/>
                <w:b/>
                <w:color w:val="000000" w:themeColor="dark1"/>
                <w:kern w:val="28"/>
                <w:szCs w:val="20"/>
              </w:rPr>
              <w:t>Delivery manager</w:t>
            </w:r>
          </w:p>
        </w:tc>
        <w:tc>
          <w:tcPr>
            <w:tcW w:w="4143" w:type="dxa"/>
            <w:vAlign w:val="center"/>
          </w:tcPr>
          <w:p w14:paraId="2097829D" w14:textId="77777777" w:rsidR="00477574" w:rsidRPr="00483FAD" w:rsidRDefault="00477574" w:rsidP="00FB6356">
            <w:pPr>
              <w:pStyle w:val="NormalWeb"/>
              <w:spacing w:before="40" w:beforeAutospacing="0" w:after="40" w:afterAutospacing="0" w:line="260" w:lineRule="exact"/>
              <w:jc w:val="both"/>
              <w:rPr>
                <w:rFonts w:asciiTheme="minorHAnsi" w:hAnsiTheme="minorHAnsi" w:cs="Arial"/>
                <w:color w:val="000000" w:themeColor="dark1"/>
                <w:kern w:val="28"/>
                <w:sz w:val="22"/>
                <w:szCs w:val="20"/>
                <w:lang w:eastAsia="en-US"/>
              </w:rPr>
            </w:pPr>
            <w:r w:rsidRPr="00483FAD">
              <w:rPr>
                <w:rFonts w:asciiTheme="minorHAnsi" w:hAnsiTheme="minorHAnsi" w:cs="Arial"/>
                <w:color w:val="000000" w:themeColor="dark1"/>
                <w:kern w:val="28"/>
                <w:sz w:val="22"/>
                <w:szCs w:val="20"/>
                <w:lang w:eastAsia="en-US"/>
              </w:rPr>
              <w:t xml:space="preserve">The RSSB delivery manager is the first point of contact during project delivery. The delivery manager responsible for the detailed project management including project schedules, cost reporting and other relevant project management tasks. </w:t>
            </w:r>
          </w:p>
          <w:p w14:paraId="6F7A7555" w14:textId="77777777" w:rsidR="00477574" w:rsidRPr="00483FAD" w:rsidRDefault="00477574" w:rsidP="00FB6356">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The delivery manager leads the project in organising meetings, etc and ensures timely and effective delivery towards project objectives.</w:t>
            </w:r>
          </w:p>
        </w:tc>
        <w:tc>
          <w:tcPr>
            <w:tcW w:w="2155" w:type="dxa"/>
          </w:tcPr>
          <w:p w14:paraId="47F435D7" w14:textId="77777777" w:rsidR="00477574" w:rsidRPr="00483FAD" w:rsidRDefault="00477574" w:rsidP="00FB6356">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Facilitates technical review and acceptance processes, identifies and monitors corrective actions where needed, including facilitating decision making.</w:t>
            </w:r>
          </w:p>
        </w:tc>
      </w:tr>
      <w:tr w:rsidR="00477574" w:rsidRPr="004F4209" w14:paraId="75C9441A" w14:textId="77777777" w:rsidTr="00FB6356">
        <w:trPr>
          <w:trHeight w:val="1948"/>
        </w:trPr>
        <w:tc>
          <w:tcPr>
            <w:tcW w:w="1634" w:type="dxa"/>
          </w:tcPr>
          <w:p w14:paraId="7EDB2C42" w14:textId="77777777" w:rsidR="00477574" w:rsidRPr="00483FAD" w:rsidRDefault="00477574" w:rsidP="00FB6356">
            <w:pPr>
              <w:rPr>
                <w:rFonts w:asciiTheme="minorHAnsi" w:hAnsiTheme="minorHAnsi" w:cs="Arial"/>
                <w:b/>
                <w:color w:val="000000" w:themeColor="dark1"/>
                <w:kern w:val="28"/>
                <w:szCs w:val="20"/>
              </w:rPr>
            </w:pPr>
            <w:r w:rsidRPr="00483FAD">
              <w:rPr>
                <w:rFonts w:asciiTheme="minorHAnsi" w:hAnsiTheme="minorHAnsi" w:cs="Arial"/>
                <w:b/>
                <w:color w:val="000000" w:themeColor="dark1"/>
                <w:kern w:val="28"/>
                <w:szCs w:val="20"/>
              </w:rPr>
              <w:t>Technical expert</w:t>
            </w:r>
          </w:p>
        </w:tc>
        <w:tc>
          <w:tcPr>
            <w:tcW w:w="4143" w:type="dxa"/>
            <w:vAlign w:val="center"/>
          </w:tcPr>
          <w:p w14:paraId="393DCD99" w14:textId="77777777" w:rsidR="00477574" w:rsidRPr="00483FAD" w:rsidRDefault="00477574" w:rsidP="00FB6356">
            <w:pPr>
              <w:pStyle w:val="NormalWeb"/>
              <w:spacing w:before="40" w:beforeAutospacing="0" w:after="40" w:afterAutospacing="0" w:line="260" w:lineRule="exact"/>
              <w:jc w:val="both"/>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Throughout the project, the RSSB technical expert ensures that technical aspects are reflected accurately. </w:t>
            </w:r>
          </w:p>
          <w:p w14:paraId="13053689" w14:textId="77777777" w:rsidR="00477574" w:rsidRPr="00483FAD" w:rsidRDefault="00477574" w:rsidP="00FB6356">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Technical aspects can refer to specific issues around railway signalling, track engineering, safety relevant operations or any other specialist field. </w:t>
            </w:r>
          </w:p>
        </w:tc>
        <w:tc>
          <w:tcPr>
            <w:tcW w:w="2155" w:type="dxa"/>
          </w:tcPr>
          <w:p w14:paraId="4A09D1FA" w14:textId="77777777" w:rsidR="00477574" w:rsidRPr="00483FAD" w:rsidRDefault="00477574" w:rsidP="00FB6356">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Reviews emerging outputs from technical perspective.</w:t>
            </w:r>
          </w:p>
        </w:tc>
      </w:tr>
      <w:tr w:rsidR="00477574" w:rsidRPr="004F4209" w14:paraId="562AA06A" w14:textId="77777777" w:rsidTr="00FB6356">
        <w:trPr>
          <w:trHeight w:val="1598"/>
        </w:trPr>
        <w:tc>
          <w:tcPr>
            <w:tcW w:w="1634" w:type="dxa"/>
          </w:tcPr>
          <w:p w14:paraId="454682F2" w14:textId="77777777" w:rsidR="00477574" w:rsidRPr="00483FAD" w:rsidRDefault="00477574" w:rsidP="00FB6356">
            <w:pPr>
              <w:rPr>
                <w:rFonts w:asciiTheme="minorHAnsi" w:hAnsiTheme="minorHAnsi" w:cs="Arial"/>
                <w:b/>
                <w:szCs w:val="20"/>
                <w:lang w:eastAsia="en-GB"/>
              </w:rPr>
            </w:pPr>
            <w:r w:rsidRPr="00483FAD">
              <w:rPr>
                <w:rFonts w:asciiTheme="minorHAnsi" w:hAnsiTheme="minorHAnsi" w:cs="Arial"/>
                <w:b/>
                <w:color w:val="000000" w:themeColor="dark1"/>
                <w:kern w:val="28"/>
                <w:szCs w:val="20"/>
              </w:rPr>
              <w:t>Industry and RSSB sponsor</w:t>
            </w:r>
          </w:p>
        </w:tc>
        <w:tc>
          <w:tcPr>
            <w:tcW w:w="4143" w:type="dxa"/>
            <w:vAlign w:val="center"/>
          </w:tcPr>
          <w:p w14:paraId="3D1A4E2A" w14:textId="77777777" w:rsidR="00477574" w:rsidRPr="00483FAD" w:rsidRDefault="00477574" w:rsidP="00FB6356">
            <w:pPr>
              <w:pStyle w:val="NormalWeb"/>
              <w:spacing w:before="40" w:beforeAutospacing="0" w:after="40" w:afterAutospacing="0" w:line="260" w:lineRule="exact"/>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The Industry and RSSB sponsors act as a figurehead for the research, championing its importance and its outputs. </w:t>
            </w:r>
          </w:p>
          <w:p w14:paraId="35356957" w14:textId="77777777" w:rsidR="00477574" w:rsidRPr="00483FAD" w:rsidRDefault="00477574" w:rsidP="00FB6356">
            <w:pPr>
              <w:rPr>
                <w:rFonts w:asciiTheme="minorHAnsi" w:hAnsiTheme="minorHAnsi" w:cs="Arial"/>
                <w:szCs w:val="20"/>
                <w:lang w:eastAsia="en-GB"/>
              </w:rPr>
            </w:pPr>
            <w:r w:rsidRPr="00483FAD">
              <w:rPr>
                <w:rFonts w:asciiTheme="minorHAnsi" w:hAnsiTheme="minorHAnsi" w:cs="Arial"/>
                <w:color w:val="000000" w:themeColor="dark1"/>
                <w:kern w:val="28"/>
                <w:szCs w:val="20"/>
              </w:rPr>
              <w:t>Their key role is to provide steer to the research as it progresses and exert pressure on the industry to make use of its findings.</w:t>
            </w:r>
          </w:p>
        </w:tc>
        <w:tc>
          <w:tcPr>
            <w:tcW w:w="2155" w:type="dxa"/>
          </w:tcPr>
          <w:p w14:paraId="5D16FE67" w14:textId="77777777" w:rsidR="00477574" w:rsidRPr="00483FAD" w:rsidRDefault="00477574" w:rsidP="00FB6356">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 xml:space="preserve">Formally accepts deliverables </w:t>
            </w:r>
          </w:p>
        </w:tc>
      </w:tr>
      <w:tr w:rsidR="00477574" w:rsidRPr="004F4209" w14:paraId="3FD77915" w14:textId="77777777" w:rsidTr="00FB6356">
        <w:trPr>
          <w:trHeight w:val="1467"/>
        </w:trPr>
        <w:tc>
          <w:tcPr>
            <w:tcW w:w="1634" w:type="dxa"/>
          </w:tcPr>
          <w:p w14:paraId="3C58EB09" w14:textId="77777777" w:rsidR="00477574" w:rsidRPr="00483FAD" w:rsidRDefault="00477574" w:rsidP="00FB6356">
            <w:pPr>
              <w:rPr>
                <w:rFonts w:asciiTheme="minorHAnsi" w:hAnsiTheme="minorHAnsi" w:cs="Arial"/>
                <w:b/>
                <w:szCs w:val="20"/>
                <w:lang w:eastAsia="en-GB"/>
              </w:rPr>
            </w:pPr>
            <w:r w:rsidRPr="00483FAD">
              <w:rPr>
                <w:rFonts w:asciiTheme="minorHAnsi" w:hAnsiTheme="minorHAnsi" w:cs="Arial"/>
                <w:b/>
                <w:color w:val="000000" w:themeColor="dark1"/>
                <w:kern w:val="28"/>
                <w:szCs w:val="20"/>
              </w:rPr>
              <w:t>Project supporters</w:t>
            </w:r>
          </w:p>
        </w:tc>
        <w:tc>
          <w:tcPr>
            <w:tcW w:w="4143" w:type="dxa"/>
            <w:vAlign w:val="center"/>
          </w:tcPr>
          <w:p w14:paraId="3A3D7AA8" w14:textId="77777777" w:rsidR="00477574" w:rsidRPr="00483FAD" w:rsidRDefault="00477574" w:rsidP="00FB6356">
            <w:pPr>
              <w:rPr>
                <w:rFonts w:asciiTheme="minorHAnsi" w:hAnsiTheme="minorHAnsi" w:cs="Arial"/>
                <w:szCs w:val="20"/>
                <w:lang w:eastAsia="en-GB"/>
              </w:rPr>
            </w:pPr>
            <w:r w:rsidRPr="00483FAD">
              <w:rPr>
                <w:rFonts w:asciiTheme="minorHAnsi" w:hAnsiTheme="minorHAnsi" w:cs="Arial"/>
                <w:color w:val="000000" w:themeColor="dark1"/>
                <w:kern w:val="28"/>
                <w:szCs w:val="20"/>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155" w:type="dxa"/>
          </w:tcPr>
          <w:p w14:paraId="63975652" w14:textId="77777777" w:rsidR="00477574" w:rsidRPr="00483FAD" w:rsidRDefault="00477574" w:rsidP="00FB6356">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 xml:space="preserve">Formally accepts deliverables </w:t>
            </w:r>
          </w:p>
        </w:tc>
      </w:tr>
      <w:tr w:rsidR="00477574" w:rsidRPr="004F4209" w14:paraId="64E960C5" w14:textId="77777777" w:rsidTr="00FB6356">
        <w:trPr>
          <w:trHeight w:val="1335"/>
        </w:trPr>
        <w:tc>
          <w:tcPr>
            <w:tcW w:w="1634" w:type="dxa"/>
          </w:tcPr>
          <w:p w14:paraId="484CE6AE" w14:textId="77777777" w:rsidR="00477574" w:rsidRPr="00483FAD" w:rsidRDefault="00477574" w:rsidP="00FB6356">
            <w:pPr>
              <w:rPr>
                <w:rFonts w:asciiTheme="minorHAnsi" w:hAnsiTheme="minorHAnsi" w:cs="Arial"/>
                <w:b/>
                <w:szCs w:val="20"/>
                <w:lang w:eastAsia="en-GB"/>
              </w:rPr>
            </w:pPr>
            <w:r w:rsidRPr="00483FAD">
              <w:rPr>
                <w:rFonts w:asciiTheme="minorHAnsi" w:hAnsiTheme="minorHAnsi" w:cs="Arial"/>
                <w:b/>
                <w:color w:val="000000" w:themeColor="dark1"/>
                <w:kern w:val="28"/>
                <w:szCs w:val="20"/>
              </w:rPr>
              <w:t>Project steering group</w:t>
            </w:r>
          </w:p>
        </w:tc>
        <w:tc>
          <w:tcPr>
            <w:tcW w:w="4143" w:type="dxa"/>
            <w:vAlign w:val="center"/>
          </w:tcPr>
          <w:p w14:paraId="493A8910" w14:textId="77777777" w:rsidR="00477574" w:rsidRPr="00483FAD" w:rsidRDefault="00477574" w:rsidP="00FB6356">
            <w:pPr>
              <w:pStyle w:val="NormalWeb"/>
              <w:spacing w:before="40" w:beforeAutospacing="0" w:after="40" w:afterAutospacing="0" w:line="260" w:lineRule="exact"/>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The project steering group ensures the project delivers to industry needs. </w:t>
            </w:r>
          </w:p>
          <w:p w14:paraId="65A8FB35" w14:textId="77777777" w:rsidR="00477574" w:rsidRPr="00483FAD" w:rsidRDefault="00477574" w:rsidP="00FB6356">
            <w:pPr>
              <w:rPr>
                <w:rFonts w:asciiTheme="minorHAnsi" w:hAnsiTheme="minorHAnsi" w:cs="Arial"/>
                <w:szCs w:val="20"/>
                <w:lang w:eastAsia="en-GB"/>
              </w:rPr>
            </w:pPr>
            <w:r w:rsidRPr="00483FAD">
              <w:rPr>
                <w:rFonts w:asciiTheme="minorHAnsi" w:hAnsiTheme="minorHAnsi" w:cs="Arial"/>
                <w:color w:val="000000" w:themeColor="dark1"/>
                <w:kern w:val="28"/>
                <w:szCs w:val="20"/>
              </w:rPr>
              <w:t>As such, it helps formulate specifications, assesses tenders, reviews draft and final outputs and other relevant tasks.</w:t>
            </w:r>
          </w:p>
        </w:tc>
        <w:tc>
          <w:tcPr>
            <w:tcW w:w="2155" w:type="dxa"/>
          </w:tcPr>
          <w:p w14:paraId="1EBA1CA3" w14:textId="77777777" w:rsidR="00477574" w:rsidRPr="00483FAD" w:rsidRDefault="00477574" w:rsidP="00FB6356">
            <w:pPr>
              <w:rPr>
                <w:rFonts w:asciiTheme="minorHAnsi" w:hAnsiTheme="minorHAnsi" w:cs="Arial"/>
                <w:szCs w:val="20"/>
                <w:lang w:eastAsia="en-GB"/>
              </w:rPr>
            </w:pPr>
            <w:r w:rsidRPr="00483FAD">
              <w:rPr>
                <w:rFonts w:asciiTheme="minorHAnsi" w:hAnsiTheme="minorHAnsi" w:cs="Arial"/>
                <w:color w:val="000000" w:themeColor="dark1"/>
                <w:kern w:val="28"/>
                <w:szCs w:val="20"/>
              </w:rPr>
              <w:t xml:space="preserve">Formally accepts deliverables </w:t>
            </w:r>
          </w:p>
        </w:tc>
      </w:tr>
    </w:tbl>
    <w:p w14:paraId="68325150" w14:textId="77777777" w:rsidR="00477574" w:rsidRDefault="00477574" w:rsidP="00477574">
      <w:pPr>
        <w:pStyle w:val="Heading1"/>
        <w:numPr>
          <w:ilvl w:val="0"/>
          <w:numId w:val="0"/>
        </w:numPr>
      </w:pPr>
    </w:p>
    <w:p w14:paraId="6D664B8B" w14:textId="77777777" w:rsidR="00477574" w:rsidRDefault="00477574" w:rsidP="00477574">
      <w:pPr>
        <w:rPr>
          <w:rFonts w:ascii="Calibri" w:hAnsi="Calibri" w:cs="Arial"/>
          <w:color w:val="00968E"/>
          <w:sz w:val="36"/>
          <w:lang w:eastAsia="en-GB"/>
        </w:rPr>
      </w:pPr>
      <w:r>
        <w:br w:type="page"/>
      </w:r>
    </w:p>
    <w:p w14:paraId="086CF967" w14:textId="77777777" w:rsidR="00477574" w:rsidRDefault="00477574" w:rsidP="00477574">
      <w:pPr>
        <w:pStyle w:val="Heading1"/>
      </w:pPr>
      <w:r>
        <w:lastRenderedPageBreak/>
        <w:t>Budget, timescales and dependencies</w:t>
      </w:r>
    </w:p>
    <w:p w14:paraId="57A89917" w14:textId="77777777" w:rsidR="00477574" w:rsidRDefault="00477574" w:rsidP="00477574">
      <w:pPr>
        <w:spacing w:line="280" w:lineRule="auto"/>
        <w:jc w:val="both"/>
        <w:rPr>
          <w:rFonts w:ascii="Calibri" w:hAnsi="Calibri" w:cs="Arial"/>
          <w:lang w:eastAsia="en-GB"/>
        </w:rPr>
      </w:pPr>
      <w:r>
        <w:rPr>
          <w:rFonts w:ascii="Calibri" w:hAnsi="Calibri" w:cs="Arial"/>
          <w:lang w:eastAsia="en-GB"/>
        </w:rPr>
        <w:t>The allocated budget for this work is up to £80,000</w:t>
      </w:r>
      <w:r>
        <w:rPr>
          <w:rFonts w:ascii="Calibri" w:hAnsi="Calibri" w:cs="Arial"/>
          <w:i/>
          <w:lang w:eastAsia="en-GB"/>
        </w:rPr>
        <w:t xml:space="preserve">, </w:t>
      </w:r>
      <w:r w:rsidRPr="00B3389F">
        <w:rPr>
          <w:rFonts w:ascii="Calibri" w:hAnsi="Calibri" w:cs="Arial"/>
          <w:lang w:eastAsia="en-GB"/>
        </w:rPr>
        <w:t>however</w:t>
      </w:r>
      <w:r>
        <w:rPr>
          <w:rFonts w:ascii="Calibri" w:hAnsi="Calibri" w:cs="Arial"/>
          <w:i/>
          <w:lang w:eastAsia="en-GB"/>
        </w:rPr>
        <w:t xml:space="preserve"> </w:t>
      </w:r>
      <w:r>
        <w:rPr>
          <w:rFonts w:ascii="Calibri" w:hAnsi="Calibri" w:cs="Arial"/>
          <w:lang w:eastAsia="en-GB"/>
        </w:rPr>
        <w:t xml:space="preserve">bids above this value will be considered but the supplier will need to provide detailed explanation on why the allocated budget is not adequate. In this case, we strongly encourage suppliers to provide costed options for RSSB to consider. </w:t>
      </w:r>
    </w:p>
    <w:p w14:paraId="7A05FBCA" w14:textId="77777777" w:rsidR="00477574" w:rsidRDefault="00477574" w:rsidP="00477574">
      <w:pPr>
        <w:spacing w:line="280" w:lineRule="auto"/>
        <w:jc w:val="both"/>
        <w:rPr>
          <w:rFonts w:ascii="Calibri" w:hAnsi="Calibri" w:cs="Arial"/>
          <w:lang w:eastAsia="en-GB"/>
        </w:rPr>
      </w:pPr>
    </w:p>
    <w:p w14:paraId="52997EED" w14:textId="77777777" w:rsidR="00477574" w:rsidRDefault="00477574" w:rsidP="00477574">
      <w:pPr>
        <w:spacing w:line="280" w:lineRule="auto"/>
        <w:jc w:val="both"/>
        <w:rPr>
          <w:rFonts w:ascii="Calibri" w:hAnsi="Calibri" w:cs="Arial"/>
          <w:lang w:eastAsia="en-GB"/>
        </w:rPr>
      </w:pPr>
      <w:r>
        <w:rPr>
          <w:rFonts w:ascii="Calibri" w:hAnsi="Calibri" w:cs="Arial"/>
          <w:lang w:eastAsia="en-GB"/>
        </w:rPr>
        <w:t xml:space="preserve">The work is expected to be </w:t>
      </w:r>
      <w:r w:rsidRPr="0021772E">
        <w:rPr>
          <w:rFonts w:ascii="Calibri" w:hAnsi="Calibri" w:cs="Arial"/>
          <w:lang w:eastAsia="en-GB"/>
        </w:rPr>
        <w:t xml:space="preserve">completed by </w:t>
      </w:r>
      <w:r>
        <w:rPr>
          <w:rFonts w:ascii="Calibri" w:hAnsi="Calibri" w:cs="Arial"/>
          <w:lang w:eastAsia="en-GB"/>
        </w:rPr>
        <w:t>end of September</w:t>
      </w:r>
      <w:r w:rsidRPr="0021772E">
        <w:rPr>
          <w:rFonts w:ascii="Calibri" w:hAnsi="Calibri" w:cs="Arial"/>
          <w:lang w:eastAsia="en-GB"/>
        </w:rPr>
        <w:t xml:space="preserve"> 2018. These</w:t>
      </w:r>
      <w:r>
        <w:rPr>
          <w:rFonts w:ascii="Calibri" w:hAnsi="Calibri" w:cs="Arial"/>
          <w:lang w:eastAsia="en-GB"/>
        </w:rPr>
        <w:t xml:space="preserve"> are indicative dates and RSSB is prepared to consider bids that vary from these expectations if they have a robust and realistic project plan, and an explanation of changes to the proposed start and end dates.  </w:t>
      </w:r>
    </w:p>
    <w:p w14:paraId="65A71E64" w14:textId="77777777" w:rsidR="00477574" w:rsidRPr="00206FB1" w:rsidRDefault="00477574" w:rsidP="00477574">
      <w:pPr>
        <w:spacing w:line="280" w:lineRule="auto"/>
        <w:jc w:val="both"/>
        <w:rPr>
          <w:rFonts w:ascii="Calibri" w:hAnsi="Calibri" w:cs="Arial"/>
          <w:lang w:eastAsia="en-GB"/>
        </w:rPr>
      </w:pPr>
    </w:p>
    <w:p w14:paraId="5745C96E" w14:textId="77777777" w:rsidR="00477574" w:rsidRDefault="00477574" w:rsidP="00477574">
      <w:pPr>
        <w:spacing w:line="280" w:lineRule="auto"/>
        <w:jc w:val="both"/>
        <w:rPr>
          <w:rFonts w:ascii="Calibri" w:hAnsi="Calibri" w:cs="Arial"/>
          <w:lang w:eastAsia="en-GB"/>
        </w:rPr>
      </w:pPr>
      <w:r>
        <w:rPr>
          <w:rFonts w:ascii="Calibri" w:hAnsi="Calibri" w:cs="Arial"/>
          <w:lang w:eastAsia="en-GB"/>
        </w:rPr>
        <w:t xml:space="preserve">The following </w:t>
      </w:r>
      <w:r w:rsidRPr="00E51749">
        <w:rPr>
          <w:rFonts w:ascii="Calibri" w:hAnsi="Calibri" w:cs="Arial"/>
          <w:lang w:eastAsia="en-GB"/>
        </w:rPr>
        <w:t xml:space="preserve">dependencies </w:t>
      </w:r>
      <w:r>
        <w:rPr>
          <w:rFonts w:ascii="Calibri" w:hAnsi="Calibri" w:cs="Arial"/>
          <w:lang w:eastAsia="en-GB"/>
        </w:rPr>
        <w:t>have been recognised:</w:t>
      </w:r>
    </w:p>
    <w:p w14:paraId="2B4D5867" w14:textId="77777777" w:rsidR="00477574" w:rsidRDefault="00477574" w:rsidP="009D0427">
      <w:pPr>
        <w:pStyle w:val="ListParagraph"/>
        <w:numPr>
          <w:ilvl w:val="0"/>
          <w:numId w:val="43"/>
        </w:numPr>
        <w:spacing w:line="280" w:lineRule="auto"/>
        <w:jc w:val="both"/>
        <w:rPr>
          <w:rFonts w:ascii="Calibri" w:hAnsi="Calibri"/>
          <w:sz w:val="22"/>
          <w:szCs w:val="22"/>
        </w:rPr>
      </w:pPr>
      <w:r>
        <w:rPr>
          <w:rFonts w:ascii="Calibri" w:hAnsi="Calibri"/>
          <w:sz w:val="22"/>
          <w:szCs w:val="22"/>
        </w:rPr>
        <w:t>ERTMS rollout has already begun and franchises are starting to invest in ETCS equipment</w:t>
      </w:r>
    </w:p>
    <w:p w14:paraId="51454048" w14:textId="77777777" w:rsidR="00477574" w:rsidRPr="0021772E" w:rsidRDefault="00477574" w:rsidP="009D0427">
      <w:pPr>
        <w:pStyle w:val="ListParagraph"/>
        <w:numPr>
          <w:ilvl w:val="0"/>
          <w:numId w:val="43"/>
        </w:numPr>
        <w:spacing w:line="280" w:lineRule="auto"/>
        <w:jc w:val="both"/>
        <w:rPr>
          <w:rFonts w:ascii="Calibri" w:hAnsi="Calibri"/>
          <w:sz w:val="22"/>
          <w:szCs w:val="22"/>
        </w:rPr>
      </w:pPr>
      <w:r>
        <w:rPr>
          <w:rFonts w:ascii="Calibri" w:hAnsi="Calibri"/>
          <w:sz w:val="22"/>
          <w:szCs w:val="22"/>
        </w:rPr>
        <w:t>This project is expected to feed into franchise choice of DMI configuration</w:t>
      </w:r>
    </w:p>
    <w:p w14:paraId="68BFF454" w14:textId="77777777" w:rsidR="00477574" w:rsidRPr="00325F01" w:rsidRDefault="00477574" w:rsidP="00477574">
      <w:pPr>
        <w:rPr>
          <w:rFonts w:ascii="Calibri" w:hAnsi="Calibri" w:cs="Arial"/>
          <w:lang w:eastAsia="en-GB"/>
        </w:rPr>
      </w:pPr>
    </w:p>
    <w:p w14:paraId="270D231E" w14:textId="77777777" w:rsidR="00477574" w:rsidRPr="004B1C0A" w:rsidRDefault="00477574" w:rsidP="00477574">
      <w:pPr>
        <w:pStyle w:val="Heading1"/>
      </w:pPr>
      <w:r>
        <w:t>Critical success factors and risk management</w:t>
      </w:r>
    </w:p>
    <w:p w14:paraId="3E08FF41" w14:textId="77777777" w:rsidR="00477574" w:rsidRPr="00A216F1" w:rsidRDefault="00477574" w:rsidP="00477574">
      <w:pPr>
        <w:spacing w:line="280" w:lineRule="auto"/>
        <w:jc w:val="both"/>
        <w:rPr>
          <w:rFonts w:asciiTheme="minorHAnsi" w:hAnsiTheme="minorHAnsi"/>
        </w:rPr>
      </w:pPr>
      <w:r>
        <w:rPr>
          <w:rFonts w:asciiTheme="minorHAnsi" w:hAnsiTheme="minorHAnsi"/>
        </w:rPr>
        <w:t>The supplier should ensure that relevant r</w:t>
      </w:r>
      <w:r w:rsidRPr="00A216F1">
        <w:rPr>
          <w:rFonts w:asciiTheme="minorHAnsi" w:hAnsiTheme="minorHAnsi"/>
        </w:rPr>
        <w:t>isks</w:t>
      </w:r>
      <w:r>
        <w:rPr>
          <w:rFonts w:asciiTheme="minorHAnsi" w:hAnsiTheme="minorHAnsi"/>
        </w:rPr>
        <w:t xml:space="preserve"> are identified and managed within their proposed method. Some high-level risks to consider include:</w:t>
      </w:r>
    </w:p>
    <w:p w14:paraId="7A3533C8" w14:textId="77777777" w:rsidR="00477574" w:rsidRPr="00A216F1" w:rsidRDefault="00477574" w:rsidP="009D0427">
      <w:pPr>
        <w:pStyle w:val="ListParagraph"/>
        <w:numPr>
          <w:ilvl w:val="0"/>
          <w:numId w:val="45"/>
        </w:numPr>
        <w:spacing w:line="280" w:lineRule="auto"/>
        <w:jc w:val="both"/>
        <w:rPr>
          <w:rFonts w:asciiTheme="minorHAnsi" w:hAnsiTheme="minorHAnsi"/>
          <w:sz w:val="22"/>
          <w:szCs w:val="22"/>
        </w:rPr>
      </w:pPr>
      <w:r>
        <w:rPr>
          <w:rFonts w:asciiTheme="minorHAnsi" w:hAnsiTheme="minorHAnsi"/>
          <w:sz w:val="22"/>
          <w:szCs w:val="22"/>
        </w:rPr>
        <w:t>Availability of experienced ETCS operational staff for the hazard workshops</w:t>
      </w:r>
    </w:p>
    <w:p w14:paraId="66107152" w14:textId="77777777" w:rsidR="00477574" w:rsidRDefault="00477574" w:rsidP="009D0427">
      <w:pPr>
        <w:pStyle w:val="ListParagraph"/>
        <w:numPr>
          <w:ilvl w:val="0"/>
          <w:numId w:val="45"/>
        </w:numPr>
        <w:spacing w:line="280" w:lineRule="auto"/>
        <w:jc w:val="both"/>
        <w:rPr>
          <w:rFonts w:asciiTheme="minorHAnsi" w:hAnsiTheme="minorHAnsi"/>
          <w:sz w:val="22"/>
          <w:szCs w:val="22"/>
        </w:rPr>
      </w:pPr>
      <w:r>
        <w:rPr>
          <w:rFonts w:asciiTheme="minorHAnsi" w:hAnsiTheme="minorHAnsi"/>
          <w:sz w:val="22"/>
          <w:szCs w:val="22"/>
        </w:rPr>
        <w:t>T</w:t>
      </w:r>
      <w:r w:rsidRPr="004B1C0A">
        <w:rPr>
          <w:rFonts w:asciiTheme="minorHAnsi" w:hAnsiTheme="minorHAnsi"/>
          <w:sz w:val="22"/>
          <w:szCs w:val="22"/>
        </w:rPr>
        <w:t xml:space="preserve">ies in with the national </w:t>
      </w:r>
      <w:r>
        <w:rPr>
          <w:rFonts w:asciiTheme="minorHAnsi" w:hAnsiTheme="minorHAnsi"/>
          <w:sz w:val="22"/>
          <w:szCs w:val="22"/>
        </w:rPr>
        <w:t>D</w:t>
      </w:r>
      <w:r w:rsidRPr="004B1C0A">
        <w:rPr>
          <w:rFonts w:asciiTheme="minorHAnsi" w:hAnsiTheme="minorHAnsi"/>
          <w:sz w:val="22"/>
          <w:szCs w:val="22"/>
        </w:rPr>
        <w:t xml:space="preserve">igital </w:t>
      </w:r>
      <w:r>
        <w:rPr>
          <w:rFonts w:asciiTheme="minorHAnsi" w:hAnsiTheme="minorHAnsi"/>
          <w:sz w:val="22"/>
          <w:szCs w:val="22"/>
        </w:rPr>
        <w:t>R</w:t>
      </w:r>
      <w:r w:rsidRPr="004B1C0A">
        <w:rPr>
          <w:rFonts w:asciiTheme="minorHAnsi" w:hAnsiTheme="minorHAnsi"/>
          <w:sz w:val="22"/>
          <w:szCs w:val="22"/>
        </w:rPr>
        <w:t>ailway programme</w:t>
      </w:r>
      <w:r>
        <w:rPr>
          <w:rFonts w:asciiTheme="minorHAnsi" w:hAnsiTheme="minorHAnsi"/>
          <w:sz w:val="22"/>
          <w:szCs w:val="22"/>
        </w:rPr>
        <w:t xml:space="preserve"> will need to be managed</w:t>
      </w:r>
    </w:p>
    <w:p w14:paraId="1FD845C3" w14:textId="77777777" w:rsidR="00477574" w:rsidRDefault="00477574" w:rsidP="009D0427">
      <w:pPr>
        <w:pStyle w:val="ListParagraph"/>
        <w:numPr>
          <w:ilvl w:val="0"/>
          <w:numId w:val="45"/>
        </w:numPr>
        <w:spacing w:line="280" w:lineRule="auto"/>
        <w:jc w:val="both"/>
        <w:rPr>
          <w:rFonts w:asciiTheme="minorHAnsi" w:hAnsiTheme="minorHAnsi"/>
          <w:sz w:val="22"/>
          <w:szCs w:val="22"/>
        </w:rPr>
      </w:pPr>
      <w:r>
        <w:rPr>
          <w:rFonts w:asciiTheme="minorHAnsi" w:hAnsiTheme="minorHAnsi"/>
          <w:sz w:val="22"/>
          <w:szCs w:val="22"/>
        </w:rPr>
        <w:t>Availability of simulation or other equipment to support the performance analysis</w:t>
      </w:r>
    </w:p>
    <w:p w14:paraId="46F8FDB1" w14:textId="77777777" w:rsidR="00477574" w:rsidRPr="00A216F1" w:rsidRDefault="00477574" w:rsidP="00477574">
      <w:pPr>
        <w:spacing w:line="280" w:lineRule="auto"/>
        <w:ind w:left="360"/>
        <w:jc w:val="both"/>
        <w:rPr>
          <w:rFonts w:asciiTheme="minorHAnsi" w:hAnsiTheme="minorHAnsi"/>
        </w:rPr>
      </w:pPr>
    </w:p>
    <w:p w14:paraId="59293D73" w14:textId="77777777" w:rsidR="00477574" w:rsidRPr="00A216F1" w:rsidRDefault="00477574" w:rsidP="00477574">
      <w:pPr>
        <w:spacing w:line="280" w:lineRule="auto"/>
        <w:jc w:val="both"/>
        <w:rPr>
          <w:rFonts w:asciiTheme="minorHAnsi" w:hAnsiTheme="minorHAnsi"/>
        </w:rPr>
      </w:pPr>
      <w:r w:rsidRPr="00A216F1">
        <w:rPr>
          <w:rFonts w:asciiTheme="minorHAnsi" w:hAnsiTheme="minorHAnsi"/>
        </w:rPr>
        <w:t>Critical Success factor</w:t>
      </w:r>
      <w:r>
        <w:rPr>
          <w:rFonts w:asciiTheme="minorHAnsi" w:hAnsiTheme="minorHAnsi"/>
        </w:rPr>
        <w:t>s</w:t>
      </w:r>
    </w:p>
    <w:p w14:paraId="1E274FED" w14:textId="77777777" w:rsidR="00477574" w:rsidRDefault="00477574" w:rsidP="009D0427">
      <w:pPr>
        <w:pStyle w:val="ListParagraph"/>
        <w:numPr>
          <w:ilvl w:val="0"/>
          <w:numId w:val="45"/>
        </w:numPr>
        <w:spacing w:line="280" w:lineRule="auto"/>
        <w:jc w:val="both"/>
        <w:rPr>
          <w:rFonts w:asciiTheme="minorHAnsi" w:hAnsiTheme="minorHAnsi"/>
          <w:sz w:val="22"/>
          <w:szCs w:val="22"/>
        </w:rPr>
      </w:pPr>
      <w:r>
        <w:rPr>
          <w:rFonts w:asciiTheme="minorHAnsi" w:hAnsiTheme="minorHAnsi"/>
          <w:sz w:val="22"/>
          <w:szCs w:val="22"/>
        </w:rPr>
        <w:t>A</w:t>
      </w:r>
      <w:r w:rsidRPr="00A216F1">
        <w:rPr>
          <w:rFonts w:asciiTheme="minorHAnsi" w:hAnsiTheme="minorHAnsi"/>
          <w:sz w:val="22"/>
          <w:szCs w:val="22"/>
        </w:rPr>
        <w:t xml:space="preserve"> clear </w:t>
      </w:r>
      <w:r>
        <w:rPr>
          <w:rFonts w:asciiTheme="minorHAnsi" w:hAnsiTheme="minorHAnsi"/>
          <w:sz w:val="22"/>
          <w:szCs w:val="22"/>
        </w:rPr>
        <w:t xml:space="preserve">and robust </w:t>
      </w:r>
      <w:r w:rsidRPr="00A216F1">
        <w:rPr>
          <w:rFonts w:asciiTheme="minorHAnsi" w:hAnsiTheme="minorHAnsi"/>
          <w:sz w:val="22"/>
          <w:szCs w:val="22"/>
        </w:rPr>
        <w:t>conclusion</w:t>
      </w:r>
      <w:r>
        <w:rPr>
          <w:rFonts w:asciiTheme="minorHAnsi" w:hAnsiTheme="minorHAnsi"/>
          <w:sz w:val="22"/>
          <w:szCs w:val="22"/>
        </w:rPr>
        <w:t>, more detailed than achieved by T1013</w:t>
      </w:r>
    </w:p>
    <w:p w14:paraId="65320732" w14:textId="77777777" w:rsidR="00477574" w:rsidRDefault="00477574" w:rsidP="009D0427">
      <w:pPr>
        <w:pStyle w:val="ListParagraph"/>
        <w:numPr>
          <w:ilvl w:val="0"/>
          <w:numId w:val="45"/>
        </w:numPr>
        <w:spacing w:line="280" w:lineRule="auto"/>
        <w:jc w:val="both"/>
        <w:rPr>
          <w:rFonts w:asciiTheme="minorHAnsi" w:hAnsiTheme="minorHAnsi"/>
          <w:sz w:val="22"/>
          <w:szCs w:val="22"/>
        </w:rPr>
      </w:pPr>
      <w:r w:rsidRPr="00A216F1">
        <w:rPr>
          <w:rFonts w:asciiTheme="minorHAnsi" w:hAnsiTheme="minorHAnsi"/>
          <w:sz w:val="22"/>
          <w:szCs w:val="22"/>
        </w:rPr>
        <w:t>Due consideration of human factors risks associated with metri</w:t>
      </w:r>
      <w:r>
        <w:rPr>
          <w:rFonts w:asciiTheme="minorHAnsi" w:hAnsiTheme="minorHAnsi"/>
          <w:sz w:val="22"/>
          <w:szCs w:val="22"/>
        </w:rPr>
        <w:t>cation.</w:t>
      </w:r>
    </w:p>
    <w:p w14:paraId="4B4AE9AC" w14:textId="77777777" w:rsidR="00477574" w:rsidRDefault="00477574" w:rsidP="009D0427">
      <w:pPr>
        <w:pStyle w:val="ListParagraph"/>
        <w:numPr>
          <w:ilvl w:val="0"/>
          <w:numId w:val="45"/>
        </w:numPr>
        <w:spacing w:line="280" w:lineRule="auto"/>
        <w:jc w:val="both"/>
        <w:rPr>
          <w:rFonts w:asciiTheme="minorHAnsi" w:hAnsiTheme="minorHAnsi"/>
          <w:sz w:val="22"/>
          <w:szCs w:val="22"/>
        </w:rPr>
      </w:pPr>
      <w:r w:rsidRPr="00283EC5">
        <w:rPr>
          <w:rFonts w:asciiTheme="minorHAnsi" w:hAnsiTheme="minorHAnsi"/>
          <w:sz w:val="22"/>
          <w:szCs w:val="22"/>
        </w:rPr>
        <w:t>Demonstrate experience of safety analysis for GB mainline railway including</w:t>
      </w:r>
      <w:r>
        <w:rPr>
          <w:rFonts w:asciiTheme="minorHAnsi" w:hAnsiTheme="minorHAnsi"/>
          <w:sz w:val="22"/>
          <w:szCs w:val="22"/>
        </w:rPr>
        <w:t>:</w:t>
      </w:r>
      <w:r w:rsidRPr="00283EC5">
        <w:rPr>
          <w:rFonts w:asciiTheme="minorHAnsi" w:hAnsiTheme="minorHAnsi"/>
          <w:sz w:val="22"/>
          <w:szCs w:val="22"/>
        </w:rPr>
        <w:t xml:space="preserve"> conventional signalling and GB application of ETCS</w:t>
      </w:r>
    </w:p>
    <w:p w14:paraId="13F34387" w14:textId="77777777" w:rsidR="00477574" w:rsidRPr="0021772E" w:rsidRDefault="00477574" w:rsidP="009D0427">
      <w:pPr>
        <w:pStyle w:val="ListParagraph"/>
        <w:numPr>
          <w:ilvl w:val="0"/>
          <w:numId w:val="45"/>
        </w:numPr>
        <w:spacing w:line="280" w:lineRule="auto"/>
        <w:jc w:val="both"/>
        <w:rPr>
          <w:rFonts w:asciiTheme="minorHAnsi" w:hAnsiTheme="minorHAnsi"/>
          <w:sz w:val="22"/>
          <w:szCs w:val="22"/>
        </w:rPr>
      </w:pPr>
      <w:r>
        <w:rPr>
          <w:rFonts w:asciiTheme="minorHAnsi" w:hAnsiTheme="minorHAnsi"/>
          <w:sz w:val="22"/>
          <w:szCs w:val="22"/>
        </w:rPr>
        <w:t>Demonstrate experience with performance analysis for GB mainline railway including: conventional and GB application of ETCS</w:t>
      </w:r>
    </w:p>
    <w:p w14:paraId="767255ED" w14:textId="77777777" w:rsidR="00477574" w:rsidRDefault="00477574" w:rsidP="00477574">
      <w:pPr>
        <w:pStyle w:val="Heading1"/>
        <w:numPr>
          <w:ilvl w:val="0"/>
          <w:numId w:val="0"/>
        </w:numPr>
        <w:pBdr>
          <w:top w:val="single" w:sz="12" w:space="0" w:color="0F1B55"/>
        </w:pBdr>
        <w:suppressAutoHyphens/>
        <w:autoSpaceDE w:val="0"/>
        <w:autoSpaceDN w:val="0"/>
        <w:adjustRightInd w:val="0"/>
        <w:spacing w:before="240" w:after="0" w:line="300" w:lineRule="atLeast"/>
        <w:jc w:val="both"/>
        <w:rPr>
          <w:rFonts w:ascii="Times New Roman" w:hAnsi="Times New Roman" w:cs="Times New Roman"/>
          <w:color w:val="auto"/>
          <w:sz w:val="16"/>
          <w:szCs w:val="16"/>
          <w:lang w:eastAsia="en-US"/>
        </w:rPr>
      </w:pPr>
    </w:p>
    <w:p w14:paraId="276ED965" w14:textId="77777777" w:rsidR="00A85414" w:rsidRDefault="00A85414" w:rsidP="00E62A97">
      <w:pPr>
        <w:pStyle w:val="CoverTitle"/>
      </w:pPr>
    </w:p>
    <w:p w14:paraId="4F58B9E8" w14:textId="6A25E3EB" w:rsidR="00C577A6" w:rsidRPr="00477574" w:rsidRDefault="00C577A6" w:rsidP="00477574">
      <w:pPr>
        <w:sectPr w:rsidR="00C577A6" w:rsidRPr="00477574"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3"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8"/>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9D0427">
        <w:rPr>
          <w:rFonts w:asciiTheme="minorHAnsi" w:hAnsiTheme="minorHAnsi" w:cs="Arial"/>
          <w:b/>
          <w:bCs/>
          <w:sz w:val="22"/>
          <w:szCs w:val="22"/>
        </w:rPr>
      </w:r>
      <w:r w:rsidR="009D0427">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9D0427"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3"/>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A05AE" w14:textId="77777777" w:rsidR="009D0427" w:rsidRDefault="009D0427" w:rsidP="0003785D">
      <w:r>
        <w:separator/>
      </w:r>
    </w:p>
  </w:endnote>
  <w:endnote w:type="continuationSeparator" w:id="0">
    <w:p w14:paraId="01AA0AA8" w14:textId="77777777" w:rsidR="009D0427" w:rsidRDefault="009D042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E502C3E" w:rsidR="00362D92" w:rsidRDefault="00362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296A">
      <w:rPr>
        <w:rStyle w:val="PageNumber"/>
        <w:noProof/>
      </w:rPr>
      <w:t>4</w:t>
    </w:r>
    <w:r>
      <w:rPr>
        <w:rStyle w:val="PageNumber"/>
      </w:rPr>
      <w:fldChar w:fldCharType="end"/>
    </w:r>
  </w:p>
  <w:p w14:paraId="2A2B9D60" w14:textId="77777777" w:rsidR="00362D92" w:rsidRDefault="00362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1BA530C" w:rsidR="00362D92" w:rsidRPr="00F735CB" w:rsidRDefault="00362D92"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0296A">
      <w:rPr>
        <w:caps/>
        <w:noProof/>
        <w:color w:val="5B9BD5" w:themeColor="accent1"/>
      </w:rPr>
      <w:t>3</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362D92" w:rsidRDefault="00362D9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362D92" w:rsidRDefault="00362D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B96DC80" w:rsidR="00362D92" w:rsidRDefault="00362D92" w:rsidP="00674166">
    <w:pPr>
      <w:pStyle w:val="FooterLeft"/>
    </w:pPr>
    <w:r>
      <w:fldChar w:fldCharType="begin"/>
    </w:r>
    <w:r>
      <w:instrText xml:space="preserve"> PAGE   \* MERGEFORMAT </w:instrText>
    </w:r>
    <w:r>
      <w:fldChar w:fldCharType="separate"/>
    </w:r>
    <w:r w:rsidR="00C0296A">
      <w:rPr>
        <w:noProof/>
      </w:rPr>
      <w:t>34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2336B862" w:rsidR="00362D92" w:rsidRDefault="00362D92" w:rsidP="00674166">
    <w:pPr>
      <w:pStyle w:val="FooterRight"/>
    </w:pPr>
    <w:r>
      <w:fldChar w:fldCharType="begin"/>
    </w:r>
    <w:r>
      <w:instrText xml:space="preserve"> PAGE   \* MERGEFORMAT </w:instrText>
    </w:r>
    <w:r>
      <w:fldChar w:fldCharType="separate"/>
    </w:r>
    <w:r w:rsidR="00C0296A">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931B" w14:textId="77777777" w:rsidR="009D0427" w:rsidRDefault="009D0427" w:rsidP="0003785D">
      <w:r>
        <w:separator/>
      </w:r>
    </w:p>
  </w:footnote>
  <w:footnote w:type="continuationSeparator" w:id="0">
    <w:p w14:paraId="66CF8D07" w14:textId="77777777" w:rsidR="009D0427" w:rsidRDefault="009D0427" w:rsidP="0003785D">
      <w:r>
        <w:continuationSeparator/>
      </w:r>
    </w:p>
  </w:footnote>
  <w:footnote w:id="1">
    <w:p w14:paraId="1B5754AB" w14:textId="77777777" w:rsidR="00477574" w:rsidRPr="00B3389F" w:rsidRDefault="00477574" w:rsidP="00477574">
      <w:pPr>
        <w:pStyle w:val="FootnoteText"/>
        <w:rPr>
          <w:rFonts w:ascii="Calibri" w:hAnsi="Calibri"/>
        </w:rPr>
      </w:pPr>
      <w:r w:rsidRPr="00B3389F">
        <w:rPr>
          <w:rStyle w:val="FootnoteReference"/>
          <w:rFonts w:ascii="Calibri" w:hAnsi="Calibri"/>
        </w:rPr>
        <w:footnoteRef/>
      </w:r>
      <w:r w:rsidRPr="00B3389F">
        <w:rPr>
          <w:rFonts w:ascii="Calibri" w:hAnsi="Calibri"/>
        </w:rPr>
        <w:t xml:space="preserve"> See Digital Railway document 000000-NWR-DEL-EMF-000001, Digital Railway Toolkit Item: System Migration States Definition, Version 2.0, dated 14/02/2017.</w:t>
      </w:r>
    </w:p>
  </w:footnote>
  <w:footnote w:id="2">
    <w:p w14:paraId="0057E96F" w14:textId="77777777" w:rsidR="00477574" w:rsidRPr="004F4209" w:rsidRDefault="00477574" w:rsidP="00477574">
      <w:pPr>
        <w:pStyle w:val="FootnoteText"/>
        <w:rPr>
          <w:rFonts w:asciiTheme="minorHAnsi" w:hAnsiTheme="minorHAnsi"/>
        </w:rPr>
      </w:pPr>
      <w:r w:rsidRPr="00B3389F">
        <w:rPr>
          <w:rStyle w:val="FootnoteReference"/>
          <w:rFonts w:ascii="Calibri" w:hAnsi="Calibri"/>
        </w:rPr>
        <w:footnoteRef/>
      </w:r>
      <w:r w:rsidRPr="00B3389F">
        <w:rPr>
          <w:rFonts w:ascii="Calibri" w:hAnsi="Calibri"/>
        </w:rPr>
        <w:t xml:space="preserve"> RSSB (2017), T1013 Analysing the risk of having a mix of imperial and metric measures</w:t>
      </w:r>
    </w:p>
  </w:footnote>
  <w:footnote w:id="3">
    <w:p w14:paraId="47A2FB79" w14:textId="77777777" w:rsidR="00477574" w:rsidRPr="00B3389F" w:rsidRDefault="00477574" w:rsidP="00477574">
      <w:pPr>
        <w:pStyle w:val="FootnoteText"/>
        <w:rPr>
          <w:rFonts w:asciiTheme="minorHAnsi" w:hAnsiTheme="minorHAnsi"/>
        </w:rPr>
      </w:pPr>
      <w:r w:rsidRPr="00B3389F">
        <w:rPr>
          <w:rStyle w:val="FootnoteReference"/>
          <w:rFonts w:asciiTheme="minorHAnsi" w:hAnsiTheme="minorHAnsi"/>
        </w:rPr>
        <w:footnoteRef/>
      </w:r>
      <w:r w:rsidRPr="00B3389F">
        <w:rPr>
          <w:rFonts w:asciiTheme="minorHAnsi" w:hAnsiTheme="minorHAnsi"/>
        </w:rPr>
        <w:t xml:space="preserve"> The risk associated with overlay areas has been looked at previously in various RSSB projects </w:t>
      </w:r>
      <w:r w:rsidRPr="00B3389F">
        <w:rPr>
          <w:rFonts w:asciiTheme="minorHAnsi" w:hAnsiTheme="minorHAnsi"/>
          <w:b/>
          <w:i/>
        </w:rPr>
        <w:t>T1010 Analysing the risk of having a mix of imperial and metric measures</w:t>
      </w:r>
      <w:r w:rsidRPr="00B3389F">
        <w:rPr>
          <w:rFonts w:asciiTheme="minorHAnsi" w:hAnsiTheme="minorHAnsi"/>
        </w:rPr>
        <w:t xml:space="preserve"> and </w:t>
      </w:r>
      <w:r w:rsidRPr="00B3389F">
        <w:rPr>
          <w:rFonts w:asciiTheme="minorHAnsi" w:hAnsiTheme="minorHAnsi"/>
          <w:b/>
          <w:i/>
        </w:rPr>
        <w:t>T1091 Transitions to/ from ERTMS operation - impact on railway operations</w:t>
      </w:r>
      <w:r w:rsidRPr="00B3389F">
        <w:rPr>
          <w:rFonts w:asciiTheme="minorHAnsi" w:hAnsiTheme="minorHAnsi"/>
        </w:rPr>
        <w:t xml:space="preserve"> as well as internally by Thameslink and Crossrail.</w:t>
      </w:r>
    </w:p>
  </w:footnote>
  <w:footnote w:id="4">
    <w:p w14:paraId="52963AFB" w14:textId="77777777" w:rsidR="00477574" w:rsidRDefault="00477574" w:rsidP="00477574">
      <w:pPr>
        <w:pStyle w:val="FootnoteText"/>
      </w:pPr>
      <w:r w:rsidRPr="00B3389F">
        <w:rPr>
          <w:rStyle w:val="FootnoteReference"/>
          <w:rFonts w:asciiTheme="minorHAnsi" w:hAnsiTheme="minorHAnsi"/>
        </w:rPr>
        <w:footnoteRef/>
      </w:r>
      <w:r w:rsidRPr="00B3389F">
        <w:rPr>
          <w:rFonts w:asciiTheme="minorHAnsi" w:hAnsiTheme="minorHAnsi"/>
        </w:rPr>
        <w:t xml:space="preserve"> Higher here means higher than the conventional permissible speed by more than any rounding error introduced due to converting mph to km/h for transmission via ETCS packets and due to the conversion back to mph for display to the driver by the ETCS onboard.</w:t>
      </w:r>
    </w:p>
  </w:footnote>
  <w:footnote w:id="5">
    <w:p w14:paraId="6861983B" w14:textId="77777777" w:rsidR="00477574" w:rsidRPr="00B3389F" w:rsidRDefault="00477574" w:rsidP="00477574">
      <w:pPr>
        <w:pStyle w:val="FootnoteText"/>
        <w:rPr>
          <w:rFonts w:asciiTheme="minorHAnsi" w:hAnsiTheme="minorHAnsi"/>
        </w:rPr>
      </w:pPr>
      <w:r w:rsidRPr="00B3389F">
        <w:rPr>
          <w:rStyle w:val="FootnoteReference"/>
          <w:rFonts w:asciiTheme="minorHAnsi" w:hAnsiTheme="minorHAnsi"/>
        </w:rPr>
        <w:footnoteRef/>
      </w:r>
      <w:r w:rsidRPr="00B3389F">
        <w:rPr>
          <w:rFonts w:asciiTheme="minorHAnsi" w:hAnsiTheme="minorHAnsi"/>
        </w:rPr>
        <w:t xml:space="preserve"> </w:t>
      </w:r>
      <w:hyperlink r:id="rId1" w:history="1">
        <w:r w:rsidRPr="00B3389F">
          <w:rPr>
            <w:rStyle w:val="Hyperlink"/>
            <w:rFonts w:asciiTheme="minorHAnsi" w:eastAsia="Arial" w:hAnsiTheme="minorHAnsi"/>
          </w:rPr>
          <w:t>GEGN8646, Guidance on the Common Safety Method for Risk Evaluation and Assessment, Issue 1, December 2017</w:t>
        </w:r>
      </w:hyperlink>
    </w:p>
  </w:footnote>
  <w:footnote w:id="6">
    <w:p w14:paraId="031A029A" w14:textId="77777777" w:rsidR="00477574" w:rsidRPr="00B3389F" w:rsidRDefault="00477574" w:rsidP="00477574">
      <w:pPr>
        <w:pStyle w:val="FootnoteText"/>
        <w:rPr>
          <w:rFonts w:asciiTheme="minorHAnsi" w:hAnsiTheme="minorHAnsi"/>
        </w:rPr>
      </w:pPr>
      <w:r w:rsidRPr="00B3389F">
        <w:rPr>
          <w:rStyle w:val="FootnoteReference"/>
          <w:rFonts w:asciiTheme="minorHAnsi" w:hAnsiTheme="minorHAnsi"/>
        </w:rPr>
        <w:footnoteRef/>
      </w:r>
      <w:r w:rsidRPr="00B3389F">
        <w:rPr>
          <w:rFonts w:asciiTheme="minorHAnsi" w:hAnsiTheme="minorHAnsi"/>
        </w:rPr>
        <w:t xml:space="preserve"> </w:t>
      </w:r>
      <w:hyperlink r:id="rId2" w:history="1">
        <w:r w:rsidRPr="00B3389F">
          <w:rPr>
            <w:rStyle w:val="Hyperlink"/>
            <w:rFonts w:asciiTheme="minorHAnsi" w:eastAsia="Arial" w:hAnsiTheme="minorHAnsi"/>
          </w:rPr>
          <w:t>GERT8402, ERTMS/ETCS DMI National Requirements, Issue 2, June 2016</w:t>
        </w:r>
      </w:hyperlink>
    </w:p>
  </w:footnote>
  <w:footnote w:id="7">
    <w:p w14:paraId="17E28864" w14:textId="77777777" w:rsidR="00477574" w:rsidRDefault="00477574" w:rsidP="00477574">
      <w:pPr>
        <w:pStyle w:val="FootnoteText"/>
      </w:pPr>
      <w:r w:rsidRPr="00B3389F">
        <w:rPr>
          <w:rStyle w:val="FootnoteReference"/>
          <w:rFonts w:asciiTheme="minorHAnsi" w:hAnsiTheme="minorHAnsi"/>
        </w:rPr>
        <w:footnoteRef/>
      </w:r>
      <w:r w:rsidRPr="00B3389F">
        <w:rPr>
          <w:rFonts w:asciiTheme="minorHAnsi" w:hAnsiTheme="minorHAnsi"/>
        </w:rPr>
        <w:t xml:space="preserve"> This can be made available on request</w:t>
      </w:r>
    </w:p>
  </w:footnote>
  <w:footnote w:id="8">
    <w:p w14:paraId="383B7734" w14:textId="77777777" w:rsidR="00362D92" w:rsidRPr="00B13B50" w:rsidRDefault="00362D92"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362D92" w:rsidRDefault="00362D92">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362D92" w:rsidRDefault="00362D92"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362D92" w:rsidRDefault="00362D92"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362D92" w:rsidRPr="0003785D" w:rsidRDefault="00362D92"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9E344F"/>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07827"/>
    <w:multiLevelType w:val="hybridMultilevel"/>
    <w:tmpl w:val="9EC8C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DA2EFB"/>
    <w:multiLevelType w:val="hybridMultilevel"/>
    <w:tmpl w:val="00B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FB0A6A"/>
    <w:multiLevelType w:val="hybridMultilevel"/>
    <w:tmpl w:val="8DD0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BA70BD"/>
    <w:multiLevelType w:val="hybridMultilevel"/>
    <w:tmpl w:val="8A2E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5863B52"/>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6471981"/>
    <w:multiLevelType w:val="hybridMultilevel"/>
    <w:tmpl w:val="792E5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CE2242"/>
    <w:multiLevelType w:val="hybridMultilevel"/>
    <w:tmpl w:val="E316694C"/>
    <w:lvl w:ilvl="0" w:tplc="6366E006">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B20AE"/>
    <w:multiLevelType w:val="hybridMultilevel"/>
    <w:tmpl w:val="D08C15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6E6936"/>
    <w:multiLevelType w:val="hybridMultilevel"/>
    <w:tmpl w:val="0054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B5501"/>
    <w:multiLevelType w:val="hybridMultilevel"/>
    <w:tmpl w:val="B652DE1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C60A0B"/>
    <w:multiLevelType w:val="hybridMultilevel"/>
    <w:tmpl w:val="026E923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5" w15:restartNumberingAfterBreak="0">
    <w:nsid w:val="427C5ACD"/>
    <w:multiLevelType w:val="hybridMultilevel"/>
    <w:tmpl w:val="4F98D5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5B0D95"/>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15:restartNumberingAfterBreak="0">
    <w:nsid w:val="51EC0122"/>
    <w:multiLevelType w:val="hybridMultilevel"/>
    <w:tmpl w:val="3404D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15:restartNumberingAfterBreak="0">
    <w:nsid w:val="5FCF6118"/>
    <w:multiLevelType w:val="multilevel"/>
    <w:tmpl w:val="6360EEA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FC56D8"/>
    <w:multiLevelType w:val="hybridMultilevel"/>
    <w:tmpl w:val="5406BF5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1"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3" w15:restartNumberingAfterBreak="0">
    <w:nsid w:val="717D114B"/>
    <w:multiLevelType w:val="hybridMultilevel"/>
    <w:tmpl w:val="55DC4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9"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5"/>
  </w:num>
  <w:num w:numId="3">
    <w:abstractNumId w:val="16"/>
  </w:num>
  <w:num w:numId="4">
    <w:abstractNumId w:val="32"/>
  </w:num>
  <w:num w:numId="5">
    <w:abstractNumId w:val="51"/>
  </w:num>
  <w:num w:numId="6">
    <w:abstractNumId w:val="0"/>
  </w:num>
  <w:num w:numId="7">
    <w:abstractNumId w:val="56"/>
  </w:num>
  <w:num w:numId="8">
    <w:abstractNumId w:val="50"/>
  </w:num>
  <w:num w:numId="9">
    <w:abstractNumId w:val="1"/>
  </w:num>
  <w:num w:numId="10">
    <w:abstractNumId w:val="34"/>
  </w:num>
  <w:num w:numId="11">
    <w:abstractNumId w:val="58"/>
  </w:num>
  <w:num w:numId="12">
    <w:abstractNumId w:val="3"/>
  </w:num>
  <w:num w:numId="13">
    <w:abstractNumId w:val="57"/>
  </w:num>
  <w:num w:numId="14">
    <w:abstractNumId w:val="42"/>
  </w:num>
  <w:num w:numId="15">
    <w:abstractNumId w:val="37"/>
  </w:num>
  <w:num w:numId="16">
    <w:abstractNumId w:val="7"/>
  </w:num>
  <w:num w:numId="17">
    <w:abstractNumId w:val="9"/>
  </w:num>
  <w:num w:numId="18">
    <w:abstractNumId w:val="48"/>
  </w:num>
  <w:num w:numId="19">
    <w:abstractNumId w:val="12"/>
  </w:num>
  <w:num w:numId="20">
    <w:abstractNumId w:val="26"/>
  </w:num>
  <w:num w:numId="21">
    <w:abstractNumId w:val="29"/>
  </w:num>
  <w:num w:numId="22">
    <w:abstractNumId w:val="39"/>
  </w:num>
  <w:num w:numId="23">
    <w:abstractNumId w:val="4"/>
  </w:num>
  <w:num w:numId="24">
    <w:abstractNumId w:val="59"/>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55"/>
  </w:num>
  <w:num w:numId="34">
    <w:abstractNumId w:val="6"/>
  </w:num>
  <w:num w:numId="35">
    <w:abstractNumId w:val="46"/>
  </w:num>
  <w:num w:numId="36">
    <w:abstractNumId w:val="20"/>
  </w:num>
  <w:num w:numId="37">
    <w:abstractNumId w:val="10"/>
  </w:num>
  <w:num w:numId="38">
    <w:abstractNumId w:val="54"/>
  </w:num>
  <w:num w:numId="39">
    <w:abstractNumId w:val="18"/>
  </w:num>
  <w:num w:numId="40">
    <w:abstractNumId w:val="52"/>
  </w:num>
  <w:num w:numId="41">
    <w:abstractNumId w:val="41"/>
  </w:num>
  <w:num w:numId="42">
    <w:abstractNumId w:val="14"/>
  </w:num>
  <w:num w:numId="43">
    <w:abstractNumId w:val="30"/>
  </w:num>
  <w:num w:numId="44">
    <w:abstractNumId w:val="5"/>
  </w:num>
  <w:num w:numId="45">
    <w:abstractNumId w:val="38"/>
  </w:num>
  <w:num w:numId="46">
    <w:abstractNumId w:val="23"/>
  </w:num>
  <w:num w:numId="47">
    <w:abstractNumId w:val="11"/>
  </w:num>
  <w:num w:numId="48">
    <w:abstractNumId w:val="27"/>
  </w:num>
  <w:num w:numId="49">
    <w:abstractNumId w:val="31"/>
  </w:num>
  <w:num w:numId="50">
    <w:abstractNumId w:val="49"/>
  </w:num>
  <w:num w:numId="51">
    <w:abstractNumId w:val="35"/>
  </w:num>
  <w:num w:numId="52">
    <w:abstractNumId w:val="44"/>
  </w:num>
  <w:num w:numId="53">
    <w:abstractNumId w:val="53"/>
  </w:num>
  <w:num w:numId="54">
    <w:abstractNumId w:val="22"/>
  </w:num>
  <w:num w:numId="55">
    <w:abstractNumId w:val="33"/>
  </w:num>
  <w:num w:numId="56">
    <w:abstractNumId w:val="28"/>
  </w:num>
  <w:num w:numId="57">
    <w:abstractNumId w:val="24"/>
  </w:num>
  <w:num w:numId="58">
    <w:abstractNumId w:val="8"/>
  </w:num>
  <w:num w:numId="59">
    <w:abstractNumId w:val="21"/>
  </w:num>
  <w:num w:numId="60">
    <w:abstractNumId w:val="15"/>
  </w:num>
  <w:num w:numId="61">
    <w:abstractNumId w:val="19"/>
  </w:num>
  <w:num w:numId="62">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62D92"/>
    <w:rsid w:val="00396EDA"/>
    <w:rsid w:val="00397F46"/>
    <w:rsid w:val="003A7C7B"/>
    <w:rsid w:val="003E0CE2"/>
    <w:rsid w:val="004109CE"/>
    <w:rsid w:val="004236BB"/>
    <w:rsid w:val="00443FAF"/>
    <w:rsid w:val="004666E1"/>
    <w:rsid w:val="00477574"/>
    <w:rsid w:val="004C5BAF"/>
    <w:rsid w:val="004E70DE"/>
    <w:rsid w:val="005170FA"/>
    <w:rsid w:val="00517142"/>
    <w:rsid w:val="00523E0C"/>
    <w:rsid w:val="005257D3"/>
    <w:rsid w:val="005302A4"/>
    <w:rsid w:val="005356EB"/>
    <w:rsid w:val="00546361"/>
    <w:rsid w:val="00547F63"/>
    <w:rsid w:val="00565059"/>
    <w:rsid w:val="00573ED0"/>
    <w:rsid w:val="005748B3"/>
    <w:rsid w:val="005830C1"/>
    <w:rsid w:val="005C1DDB"/>
    <w:rsid w:val="005E0FA3"/>
    <w:rsid w:val="005F1D65"/>
    <w:rsid w:val="006064D2"/>
    <w:rsid w:val="00620FA0"/>
    <w:rsid w:val="0062110D"/>
    <w:rsid w:val="00674166"/>
    <w:rsid w:val="006C73E8"/>
    <w:rsid w:val="006D1C93"/>
    <w:rsid w:val="006E2708"/>
    <w:rsid w:val="00705233"/>
    <w:rsid w:val="007135E2"/>
    <w:rsid w:val="00721EA4"/>
    <w:rsid w:val="00722CCB"/>
    <w:rsid w:val="0072579B"/>
    <w:rsid w:val="0072709F"/>
    <w:rsid w:val="007B3B84"/>
    <w:rsid w:val="007C61C6"/>
    <w:rsid w:val="00801CC8"/>
    <w:rsid w:val="008234CC"/>
    <w:rsid w:val="00823AFA"/>
    <w:rsid w:val="00833C7A"/>
    <w:rsid w:val="00846110"/>
    <w:rsid w:val="00856404"/>
    <w:rsid w:val="00857AA1"/>
    <w:rsid w:val="00896506"/>
    <w:rsid w:val="008A1B60"/>
    <w:rsid w:val="008A76C3"/>
    <w:rsid w:val="008B6595"/>
    <w:rsid w:val="008C0F62"/>
    <w:rsid w:val="008D63D1"/>
    <w:rsid w:val="008F04B0"/>
    <w:rsid w:val="00902E89"/>
    <w:rsid w:val="00916E86"/>
    <w:rsid w:val="00923B5C"/>
    <w:rsid w:val="00936D92"/>
    <w:rsid w:val="009437FF"/>
    <w:rsid w:val="0095074C"/>
    <w:rsid w:val="0095659E"/>
    <w:rsid w:val="00971DFA"/>
    <w:rsid w:val="00986D30"/>
    <w:rsid w:val="009A43CE"/>
    <w:rsid w:val="009D0427"/>
    <w:rsid w:val="009E1F97"/>
    <w:rsid w:val="009E24D2"/>
    <w:rsid w:val="009E3560"/>
    <w:rsid w:val="00A12089"/>
    <w:rsid w:val="00A13EC8"/>
    <w:rsid w:val="00A24D23"/>
    <w:rsid w:val="00A41D4A"/>
    <w:rsid w:val="00A550EF"/>
    <w:rsid w:val="00A65E0A"/>
    <w:rsid w:val="00A675E0"/>
    <w:rsid w:val="00A85414"/>
    <w:rsid w:val="00A85B19"/>
    <w:rsid w:val="00A92A2B"/>
    <w:rsid w:val="00A9400A"/>
    <w:rsid w:val="00B24A32"/>
    <w:rsid w:val="00B25135"/>
    <w:rsid w:val="00B34E30"/>
    <w:rsid w:val="00B928F8"/>
    <w:rsid w:val="00B9637C"/>
    <w:rsid w:val="00BA0F7B"/>
    <w:rsid w:val="00BB37E9"/>
    <w:rsid w:val="00BC31A4"/>
    <w:rsid w:val="00BC4A28"/>
    <w:rsid w:val="00BE38C8"/>
    <w:rsid w:val="00C0296A"/>
    <w:rsid w:val="00C15913"/>
    <w:rsid w:val="00C411AA"/>
    <w:rsid w:val="00C51D63"/>
    <w:rsid w:val="00C574D8"/>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2A97"/>
    <w:rsid w:val="00E63F40"/>
    <w:rsid w:val="00E771A4"/>
    <w:rsid w:val="00E958C1"/>
    <w:rsid w:val="00EC2C5A"/>
    <w:rsid w:val="00F0516F"/>
    <w:rsid w:val="00F300B5"/>
    <w:rsid w:val="00F35CAF"/>
    <w:rsid w:val="00F47E34"/>
    <w:rsid w:val="00F62B1B"/>
    <w:rsid w:val="00F735CB"/>
    <w:rsid w:val="00FA1E73"/>
    <w:rsid w:val="00FB0CB8"/>
    <w:rsid w:val="00FD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paragraph" w:customStyle="1" w:styleId="Default">
    <w:name w:val="Default"/>
    <w:rsid w:val="0047757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733384150">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ssb.co.uk/rgs/standards/GERT8402%20Iss%202.pdf" TargetMode="External"/><Relationship Id="rId1" Type="http://schemas.openxmlformats.org/officeDocument/2006/relationships/hyperlink" Target="https://www.rssb.co.uk/rgs/standards/GEGN8646%20Iss%2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95902866-65EC-4574-BB1B-CB48F42D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37</Pages>
  <Words>8627</Words>
  <Characters>49174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2018-03-16T09:30:00Z</dcterms:created>
  <dcterms:modified xsi:type="dcterms:W3CDTF">2018-03-16T09:30:00Z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