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D0B55" w14:textId="53CEDD81" w:rsidR="009E5BA1" w:rsidRPr="009E5BA1" w:rsidRDefault="00D86BEE">
      <w:pPr>
        <w:rPr>
          <w:b/>
          <w:bCs/>
          <w:sz w:val="24"/>
          <w:szCs w:val="24"/>
          <w:u w:val="single"/>
        </w:rPr>
      </w:pPr>
      <w:bookmarkStart w:id="0" w:name="_Hlk182398765"/>
      <w:r>
        <w:rPr>
          <w:b/>
          <w:bCs/>
          <w:sz w:val="24"/>
          <w:szCs w:val="24"/>
          <w:u w:val="single"/>
        </w:rPr>
        <w:t>Supply and/or Design of Centrifugal Contactors and Associated Control System</w:t>
      </w:r>
      <w:r w:rsidR="009E5BA1" w:rsidRPr="009E5BA1">
        <w:rPr>
          <w:b/>
          <w:bCs/>
          <w:sz w:val="24"/>
          <w:szCs w:val="24"/>
          <w:u w:val="single"/>
        </w:rPr>
        <w:t xml:space="preserve"> </w:t>
      </w:r>
      <w:bookmarkEnd w:id="0"/>
      <w:r w:rsidR="009E5BA1" w:rsidRPr="009E5BA1">
        <w:rPr>
          <w:b/>
          <w:bCs/>
          <w:sz w:val="24"/>
          <w:szCs w:val="24"/>
          <w:u w:val="single"/>
        </w:rPr>
        <w:t>– Draft Specification</w:t>
      </w:r>
    </w:p>
    <w:p w14:paraId="3352053C" w14:textId="6D4E2ADB" w:rsidR="009E5BA1" w:rsidRDefault="009E5BA1">
      <w:r>
        <w:t xml:space="preserve">This draft specification is subject to change based on engagement with the supply chain. </w:t>
      </w:r>
    </w:p>
    <w:p w14:paraId="6F313EAC" w14:textId="2A8409DA" w:rsidR="009C2BA7" w:rsidRDefault="00D86BEE">
      <w:r>
        <w:t xml:space="preserve">NNL require </w:t>
      </w:r>
      <w:r>
        <w:t xml:space="preserve">the </w:t>
      </w:r>
      <w:r>
        <w:t>supply of centrifugal contactors and the associated control system</w:t>
      </w:r>
      <w:r>
        <w:t xml:space="preserve"> to support a</w:t>
      </w:r>
      <w:r w:rsidR="007E4C19">
        <w:t xml:space="preserve"> multi-stage centrifugal contactor rig </w:t>
      </w:r>
      <w:r w:rsidR="00874916">
        <w:t>for a</w:t>
      </w:r>
      <w:r w:rsidR="007E4C19">
        <w:t xml:space="preserve"> solvent extraction flowsheet</w:t>
      </w:r>
      <w:r>
        <w:t xml:space="preserve">. </w:t>
      </w:r>
      <w:r w:rsidR="00D949DF">
        <w:t>The general requirements for the centrifugal contactors and control system are summarised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9C2BA7" w14:paraId="1B08C6CB" w14:textId="77777777" w:rsidTr="009C2BA7">
        <w:tc>
          <w:tcPr>
            <w:tcW w:w="2972" w:type="dxa"/>
          </w:tcPr>
          <w:p w14:paraId="41F34C8D" w14:textId="39B4DC36" w:rsidR="009C2BA7" w:rsidRPr="00D56F01" w:rsidRDefault="00D56F01" w:rsidP="00D56F01">
            <w:pPr>
              <w:jc w:val="center"/>
              <w:rPr>
                <w:b/>
                <w:bCs/>
              </w:rPr>
            </w:pPr>
            <w:r w:rsidRPr="00D56F01">
              <w:rPr>
                <w:b/>
                <w:bCs/>
              </w:rPr>
              <w:t>Requirement</w:t>
            </w:r>
          </w:p>
        </w:tc>
        <w:tc>
          <w:tcPr>
            <w:tcW w:w="6044" w:type="dxa"/>
          </w:tcPr>
          <w:p w14:paraId="2DCC8B4D" w14:textId="2AC929B0" w:rsidR="009C2BA7" w:rsidRPr="00D56F01" w:rsidRDefault="00D56F01" w:rsidP="00D56F01">
            <w:pPr>
              <w:jc w:val="center"/>
              <w:rPr>
                <w:b/>
                <w:bCs/>
              </w:rPr>
            </w:pPr>
            <w:r w:rsidRPr="00D56F01">
              <w:rPr>
                <w:b/>
                <w:bCs/>
              </w:rPr>
              <w:t>Assumptions / Limits</w:t>
            </w:r>
          </w:p>
        </w:tc>
      </w:tr>
      <w:tr w:rsidR="009C2BA7" w14:paraId="2E7EFDD4" w14:textId="77777777" w:rsidTr="009C2BA7">
        <w:tc>
          <w:tcPr>
            <w:tcW w:w="2972" w:type="dxa"/>
          </w:tcPr>
          <w:p w14:paraId="3ABF079A" w14:textId="6485566B" w:rsidR="009C2BA7" w:rsidRDefault="009C2BA7">
            <w:r>
              <w:t>Maximum number of stages</w:t>
            </w:r>
          </w:p>
        </w:tc>
        <w:tc>
          <w:tcPr>
            <w:tcW w:w="6044" w:type="dxa"/>
          </w:tcPr>
          <w:p w14:paraId="4D937F14" w14:textId="4674AB60" w:rsidR="009C2BA7" w:rsidRDefault="009C2BA7">
            <w:r>
              <w:t>64</w:t>
            </w:r>
          </w:p>
        </w:tc>
      </w:tr>
      <w:tr w:rsidR="009C2BA7" w14:paraId="4DB974CA" w14:textId="77777777" w:rsidTr="009C2BA7">
        <w:tc>
          <w:tcPr>
            <w:tcW w:w="2972" w:type="dxa"/>
          </w:tcPr>
          <w:p w14:paraId="58DC8681" w14:textId="4847768B" w:rsidR="009C2BA7" w:rsidRDefault="009C2BA7">
            <w:r>
              <w:t>Rotor diameter</w:t>
            </w:r>
          </w:p>
        </w:tc>
        <w:tc>
          <w:tcPr>
            <w:tcW w:w="6044" w:type="dxa"/>
          </w:tcPr>
          <w:p w14:paraId="1F20F090" w14:textId="4273126D" w:rsidR="009C2BA7" w:rsidRDefault="009C2BA7">
            <w:r>
              <w:t>Between 1 – 2 cm</w:t>
            </w:r>
          </w:p>
        </w:tc>
      </w:tr>
      <w:tr w:rsidR="009C2BA7" w14:paraId="044F6F8E" w14:textId="77777777" w:rsidTr="009C2BA7">
        <w:tc>
          <w:tcPr>
            <w:tcW w:w="2972" w:type="dxa"/>
          </w:tcPr>
          <w:p w14:paraId="13015FF0" w14:textId="49F6FAA2" w:rsidR="009C2BA7" w:rsidRDefault="009C2BA7">
            <w:r>
              <w:t>Rotor speed control</w:t>
            </w:r>
          </w:p>
        </w:tc>
        <w:tc>
          <w:tcPr>
            <w:tcW w:w="6044" w:type="dxa"/>
          </w:tcPr>
          <w:p w14:paraId="36CA2738" w14:textId="411C9191" w:rsidR="009C2BA7" w:rsidRDefault="009C2BA7">
            <w:r>
              <w:t xml:space="preserve">The rig must provide control of </w:t>
            </w:r>
            <w:r w:rsidR="0020489F">
              <w:t xml:space="preserve">the </w:t>
            </w:r>
            <w:r>
              <w:t>r</w:t>
            </w:r>
            <w:r w:rsidR="0020489F">
              <w:t>o</w:t>
            </w:r>
            <w:r>
              <w:t>tor speed for each individual stage</w:t>
            </w:r>
            <w:r w:rsidR="0020489F">
              <w:t xml:space="preserve">. It must provide accurate and </w:t>
            </w:r>
            <w:r w:rsidR="00D33095">
              <w:t xml:space="preserve">stable </w:t>
            </w:r>
            <w:r>
              <w:t xml:space="preserve">control </w:t>
            </w:r>
            <w:r w:rsidR="00D33095">
              <w:t>of the rotor</w:t>
            </w:r>
            <w:r w:rsidR="0020489F">
              <w:t xml:space="preserve"> speed </w:t>
            </w:r>
            <w:r w:rsidR="00D33095">
              <w:t xml:space="preserve">during operation. </w:t>
            </w:r>
            <w:r w:rsidR="00D56F01">
              <w:t>It w</w:t>
            </w:r>
            <w:r>
              <w:t>ould be beneficial to provide a readout of the rotor speeds</w:t>
            </w:r>
            <w:r w:rsidR="00D56F01">
              <w:t xml:space="preserve"> so that this can be checked by operators.</w:t>
            </w:r>
          </w:p>
        </w:tc>
      </w:tr>
      <w:tr w:rsidR="009C2BA7" w14:paraId="6FF3DA6F" w14:textId="77777777" w:rsidTr="009C2BA7">
        <w:tc>
          <w:tcPr>
            <w:tcW w:w="2972" w:type="dxa"/>
          </w:tcPr>
          <w:p w14:paraId="5EC2573A" w14:textId="49A80630" w:rsidR="009C2BA7" w:rsidRDefault="009C2BA7">
            <w:r>
              <w:t>Total throughput (</w:t>
            </w:r>
            <w:proofErr w:type="spellStart"/>
            <w:r>
              <w:t>aq</w:t>
            </w:r>
            <w:proofErr w:type="spellEnd"/>
            <w:r>
              <w:t xml:space="preserve"> + org)</w:t>
            </w:r>
          </w:p>
        </w:tc>
        <w:tc>
          <w:tcPr>
            <w:tcW w:w="6044" w:type="dxa"/>
          </w:tcPr>
          <w:p w14:paraId="609930D9" w14:textId="2C128CE3" w:rsidR="009C2BA7" w:rsidRDefault="00465476">
            <w:r>
              <w:t xml:space="preserve">The contactors must be capable of operating over a range for flow rates. It is expected that the normal operating range will be between </w:t>
            </w:r>
            <w:r w:rsidR="00A72952">
              <w:t>2</w:t>
            </w:r>
            <w:r w:rsidR="009C2BA7">
              <w:t xml:space="preserve"> ml/min to</w:t>
            </w:r>
            <w:r w:rsidR="00A72952">
              <w:t xml:space="preserve"> 15 ml/min (120 ml/hr to 900 mml/hr)</w:t>
            </w:r>
          </w:p>
        </w:tc>
      </w:tr>
      <w:tr w:rsidR="009C2BA7" w14:paraId="14284646" w14:textId="77777777" w:rsidTr="009C2BA7">
        <w:tc>
          <w:tcPr>
            <w:tcW w:w="2972" w:type="dxa"/>
          </w:tcPr>
          <w:p w14:paraId="54D8C495" w14:textId="6090BB3D" w:rsidR="009C2BA7" w:rsidRDefault="009C2BA7">
            <w:r>
              <w:t xml:space="preserve">Flexible configuration </w:t>
            </w:r>
            <w:r w:rsidR="009C42E9">
              <w:t xml:space="preserve">of </w:t>
            </w:r>
            <w:r w:rsidR="00272F0E">
              <w:t>centrifugal contactors</w:t>
            </w:r>
          </w:p>
        </w:tc>
        <w:tc>
          <w:tcPr>
            <w:tcW w:w="6044" w:type="dxa"/>
          </w:tcPr>
          <w:p w14:paraId="1AFA6CAF" w14:textId="2AB8662A" w:rsidR="009C2BA7" w:rsidRDefault="009C2BA7">
            <w:r>
              <w:t xml:space="preserve">The </w:t>
            </w:r>
            <w:r w:rsidR="00272F0E">
              <w:t xml:space="preserve">centrifugal </w:t>
            </w:r>
            <w:r>
              <w:t>contactor</w:t>
            </w:r>
            <w:r w:rsidR="0020489F">
              <w:t>s</w:t>
            </w:r>
            <w:r w:rsidR="00272F0E">
              <w:t xml:space="preserve"> need to </w:t>
            </w:r>
            <w:r w:rsidR="0020489F">
              <w:t>allow</w:t>
            </w:r>
            <w:r w:rsidR="00272F0E">
              <w:t xml:space="preserve"> operators to change the point at which feeds are introduced and products remove</w:t>
            </w:r>
            <w:r w:rsidR="0020489F">
              <w:t>d.</w:t>
            </w:r>
            <w:r w:rsidR="00272F0E">
              <w:t xml:space="preserve"> </w:t>
            </w:r>
            <w:r>
              <w:t xml:space="preserve"> </w:t>
            </w:r>
            <w:r w:rsidR="003A3B54">
              <w:t>(</w:t>
            </w:r>
            <w:proofErr w:type="spellStart"/>
            <w:r>
              <w:t>i.e</w:t>
            </w:r>
            <w:proofErr w:type="spellEnd"/>
            <w:r>
              <w:t xml:space="preserve"> to provide the capability to change the number of stages in specific sections of the flowsheet.</w:t>
            </w:r>
            <w:r w:rsidR="003A3B54">
              <w:t>)</w:t>
            </w:r>
          </w:p>
        </w:tc>
      </w:tr>
      <w:tr w:rsidR="009C2BA7" w14:paraId="6CFAB4BD" w14:textId="77777777" w:rsidTr="009C2BA7">
        <w:tc>
          <w:tcPr>
            <w:tcW w:w="2972" w:type="dxa"/>
          </w:tcPr>
          <w:p w14:paraId="790FB9D9" w14:textId="0C29E16B" w:rsidR="009C2BA7" w:rsidRDefault="009C2BA7">
            <w:r>
              <w:t>Compatibility with chemicals</w:t>
            </w:r>
          </w:p>
        </w:tc>
        <w:tc>
          <w:tcPr>
            <w:tcW w:w="6044" w:type="dxa"/>
          </w:tcPr>
          <w:p w14:paraId="28541F5A" w14:textId="66CED8F4" w:rsidR="00B44FF9" w:rsidRDefault="009C2BA7">
            <w:r>
              <w:t xml:space="preserve">The materials of construction must be compatible with a range of aqueous and organic feed solutions. </w:t>
            </w:r>
            <w:proofErr w:type="gramStart"/>
            <w:r>
              <w:t>For the purpose of</w:t>
            </w:r>
            <w:proofErr w:type="gramEnd"/>
            <w:r>
              <w:t xml:space="preserve"> this initial expression of interest it can be assumed that the aqueous feeds will be in nitric acid</w:t>
            </w:r>
            <w:r w:rsidR="0020489F">
              <w:t xml:space="preserve"> solutions of the following composition</w:t>
            </w:r>
            <w:r w:rsidR="00B44FF9">
              <w:t>:</w:t>
            </w:r>
            <w:r>
              <w:t xml:space="preserve"> </w:t>
            </w:r>
          </w:p>
          <w:p w14:paraId="2B8D2613" w14:textId="2E6B86B2" w:rsidR="0023541D" w:rsidRDefault="00B44FF9" w:rsidP="00B44FF9">
            <w:pPr>
              <w:pStyle w:val="ListParagraph"/>
              <w:numPr>
                <w:ilvl w:val="0"/>
                <w:numId w:val="2"/>
              </w:numPr>
            </w:pPr>
            <w:r>
              <w:t>Nitric acid solution</w:t>
            </w:r>
            <w:r w:rsidR="00AB4750">
              <w:t>s</w:t>
            </w:r>
            <w:r>
              <w:t xml:space="preserve"> </w:t>
            </w:r>
            <w:r w:rsidR="009C2BA7">
              <w:t xml:space="preserve">(up to 8 M nitric acid) </w:t>
            </w:r>
          </w:p>
          <w:p w14:paraId="4555BAB8" w14:textId="77777777" w:rsidR="0023541D" w:rsidRDefault="009C2BA7">
            <w:r>
              <w:t>The organic feeds will be either</w:t>
            </w:r>
            <w:r w:rsidR="0023541D">
              <w:t>:</w:t>
            </w:r>
          </w:p>
          <w:p w14:paraId="640A7882" w14:textId="5D45830D" w:rsidR="00057FB4" w:rsidRDefault="00057FB4" w:rsidP="0023541D">
            <w:pPr>
              <w:pStyle w:val="ListParagraph"/>
              <w:numPr>
                <w:ilvl w:val="0"/>
                <w:numId w:val="1"/>
              </w:numPr>
            </w:pPr>
            <w:r>
              <w:t>Odourless kerosene (OK)</w:t>
            </w:r>
          </w:p>
          <w:p w14:paraId="6B59BED4" w14:textId="78DA6A77" w:rsidR="00057FB4" w:rsidRDefault="009C2BA7" w:rsidP="00874916">
            <w:pPr>
              <w:pStyle w:val="ListParagraph"/>
              <w:numPr>
                <w:ilvl w:val="0"/>
                <w:numId w:val="1"/>
              </w:numPr>
            </w:pPr>
            <w:r>
              <w:t xml:space="preserve">30 % </w:t>
            </w:r>
            <w:r w:rsidR="0023541D">
              <w:t>(v/v) tri-n-butyl phosphate</w:t>
            </w:r>
            <w:r w:rsidR="00B44FF9">
              <w:t xml:space="preserve"> (TBP)</w:t>
            </w:r>
            <w:r w:rsidR="0023541D">
              <w:t xml:space="preserve"> in </w:t>
            </w:r>
            <w:r w:rsidR="00057FB4">
              <w:t>OK.</w:t>
            </w:r>
          </w:p>
        </w:tc>
      </w:tr>
      <w:tr w:rsidR="009C2BA7" w14:paraId="15DA40A1" w14:textId="77777777" w:rsidTr="009C2BA7">
        <w:tc>
          <w:tcPr>
            <w:tcW w:w="2972" w:type="dxa"/>
          </w:tcPr>
          <w:p w14:paraId="68F49BE3" w14:textId="5AB07006" w:rsidR="009C2BA7" w:rsidRDefault="009C42E9">
            <w:r>
              <w:t>Operating e</w:t>
            </w:r>
            <w:r w:rsidR="00272F0E">
              <w:t>nvironment</w:t>
            </w:r>
          </w:p>
        </w:tc>
        <w:tc>
          <w:tcPr>
            <w:tcW w:w="6044" w:type="dxa"/>
          </w:tcPr>
          <w:p w14:paraId="0B0D3C98" w14:textId="3E8605BB" w:rsidR="009C2BA7" w:rsidRDefault="00272F0E">
            <w:r>
              <w:t>The centrifugal contactors will need to be installed in an inert atmosphere glovebox</w:t>
            </w:r>
            <w:r w:rsidR="005B0C6F">
              <w:t xml:space="preserve"> (the installation will be carried out by NNL)</w:t>
            </w:r>
            <w:r>
              <w:t xml:space="preserve">. Therefore, they will need to be capable of operating in a nitrogen or argon atmosphere. </w:t>
            </w:r>
            <w:r w:rsidR="0020489F">
              <w:t>It should be noted</w:t>
            </w:r>
            <w:r>
              <w:t xml:space="preserve"> that the controller will not be installed in the glovebox and there is no requirement for the controller to operate in an inert atmosphere.</w:t>
            </w:r>
          </w:p>
        </w:tc>
      </w:tr>
    </w:tbl>
    <w:p w14:paraId="209B7585" w14:textId="77777777" w:rsidR="009C2BA7" w:rsidRDefault="009C2BA7"/>
    <w:p w14:paraId="1F38196F" w14:textId="77777777" w:rsidR="007E4C19" w:rsidRDefault="007E4C19"/>
    <w:p w14:paraId="66F4697C" w14:textId="77777777" w:rsidR="007E4C19" w:rsidRDefault="007E4C19"/>
    <w:sectPr w:rsidR="007E4C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270293"/>
    <w:multiLevelType w:val="hybridMultilevel"/>
    <w:tmpl w:val="E256B5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E4190A"/>
    <w:multiLevelType w:val="hybridMultilevel"/>
    <w:tmpl w:val="8FCAD4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3480632">
    <w:abstractNumId w:val="0"/>
  </w:num>
  <w:num w:numId="2" w16cid:durableId="1217551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19"/>
    <w:rsid w:val="00013FBF"/>
    <w:rsid w:val="000300CA"/>
    <w:rsid w:val="00030C4D"/>
    <w:rsid w:val="00031477"/>
    <w:rsid w:val="00057FB4"/>
    <w:rsid w:val="00061DD2"/>
    <w:rsid w:val="00070BEF"/>
    <w:rsid w:val="0007316E"/>
    <w:rsid w:val="00075B98"/>
    <w:rsid w:val="00083E12"/>
    <w:rsid w:val="000972F0"/>
    <w:rsid w:val="000B16B9"/>
    <w:rsid w:val="000C1C26"/>
    <w:rsid w:val="00104E12"/>
    <w:rsid w:val="00112851"/>
    <w:rsid w:val="0012172A"/>
    <w:rsid w:val="001537C1"/>
    <w:rsid w:val="00170E16"/>
    <w:rsid w:val="001A7AB0"/>
    <w:rsid w:val="001B163D"/>
    <w:rsid w:val="001E1C2B"/>
    <w:rsid w:val="0020489F"/>
    <w:rsid w:val="0023541D"/>
    <w:rsid w:val="002523B2"/>
    <w:rsid w:val="00272409"/>
    <w:rsid w:val="00272F0E"/>
    <w:rsid w:val="00286C30"/>
    <w:rsid w:val="0029707A"/>
    <w:rsid w:val="002A2B6D"/>
    <w:rsid w:val="002C3685"/>
    <w:rsid w:val="002D3153"/>
    <w:rsid w:val="00311B61"/>
    <w:rsid w:val="00322F0D"/>
    <w:rsid w:val="00372B53"/>
    <w:rsid w:val="00385FFA"/>
    <w:rsid w:val="00395A46"/>
    <w:rsid w:val="003A3B54"/>
    <w:rsid w:val="003B02D9"/>
    <w:rsid w:val="003C320A"/>
    <w:rsid w:val="003C62DB"/>
    <w:rsid w:val="003C647E"/>
    <w:rsid w:val="003E1AA7"/>
    <w:rsid w:val="003E47D1"/>
    <w:rsid w:val="003E59CA"/>
    <w:rsid w:val="003F4CE0"/>
    <w:rsid w:val="00413302"/>
    <w:rsid w:val="00414CAE"/>
    <w:rsid w:val="00420C63"/>
    <w:rsid w:val="0045369B"/>
    <w:rsid w:val="00460C1F"/>
    <w:rsid w:val="004650D9"/>
    <w:rsid w:val="00465476"/>
    <w:rsid w:val="00485ED1"/>
    <w:rsid w:val="00487BFD"/>
    <w:rsid w:val="004E3F7A"/>
    <w:rsid w:val="004E45B5"/>
    <w:rsid w:val="00507900"/>
    <w:rsid w:val="00513FC4"/>
    <w:rsid w:val="00527D36"/>
    <w:rsid w:val="005579C0"/>
    <w:rsid w:val="00586621"/>
    <w:rsid w:val="00587F5F"/>
    <w:rsid w:val="005904B9"/>
    <w:rsid w:val="00591D9F"/>
    <w:rsid w:val="005A33F2"/>
    <w:rsid w:val="005B0C6F"/>
    <w:rsid w:val="005B1105"/>
    <w:rsid w:val="005D3153"/>
    <w:rsid w:val="005E49F3"/>
    <w:rsid w:val="005E61FE"/>
    <w:rsid w:val="00601ADE"/>
    <w:rsid w:val="00635025"/>
    <w:rsid w:val="00650842"/>
    <w:rsid w:val="006642E7"/>
    <w:rsid w:val="0066434A"/>
    <w:rsid w:val="00665CA5"/>
    <w:rsid w:val="00693CA9"/>
    <w:rsid w:val="006B10FB"/>
    <w:rsid w:val="006B6B9A"/>
    <w:rsid w:val="006D3D0A"/>
    <w:rsid w:val="006F3C60"/>
    <w:rsid w:val="006F3E48"/>
    <w:rsid w:val="006F4514"/>
    <w:rsid w:val="007175F2"/>
    <w:rsid w:val="007222DD"/>
    <w:rsid w:val="00732333"/>
    <w:rsid w:val="007353BF"/>
    <w:rsid w:val="007522E0"/>
    <w:rsid w:val="00761001"/>
    <w:rsid w:val="007625D9"/>
    <w:rsid w:val="00770EA4"/>
    <w:rsid w:val="00787F4E"/>
    <w:rsid w:val="0079511D"/>
    <w:rsid w:val="007A39AE"/>
    <w:rsid w:val="007B253A"/>
    <w:rsid w:val="007B3AA5"/>
    <w:rsid w:val="007C4824"/>
    <w:rsid w:val="007E033D"/>
    <w:rsid w:val="007E4C19"/>
    <w:rsid w:val="007E7306"/>
    <w:rsid w:val="007F13DA"/>
    <w:rsid w:val="007F13E4"/>
    <w:rsid w:val="007F6AED"/>
    <w:rsid w:val="007F746A"/>
    <w:rsid w:val="0080176D"/>
    <w:rsid w:val="00813C75"/>
    <w:rsid w:val="0082635F"/>
    <w:rsid w:val="00830834"/>
    <w:rsid w:val="00867641"/>
    <w:rsid w:val="00871E09"/>
    <w:rsid w:val="00874916"/>
    <w:rsid w:val="00881345"/>
    <w:rsid w:val="00883B2E"/>
    <w:rsid w:val="008C2591"/>
    <w:rsid w:val="008E55AC"/>
    <w:rsid w:val="008F263A"/>
    <w:rsid w:val="008F759C"/>
    <w:rsid w:val="0090228C"/>
    <w:rsid w:val="00945E93"/>
    <w:rsid w:val="00951AB4"/>
    <w:rsid w:val="00963808"/>
    <w:rsid w:val="0098059D"/>
    <w:rsid w:val="0098297E"/>
    <w:rsid w:val="00984FF8"/>
    <w:rsid w:val="00990A7C"/>
    <w:rsid w:val="009C2BA7"/>
    <w:rsid w:val="009C42E9"/>
    <w:rsid w:val="009C7C0D"/>
    <w:rsid w:val="009E5BA1"/>
    <w:rsid w:val="00A00CAC"/>
    <w:rsid w:val="00A340EE"/>
    <w:rsid w:val="00A352FB"/>
    <w:rsid w:val="00A57A75"/>
    <w:rsid w:val="00A7191E"/>
    <w:rsid w:val="00A72952"/>
    <w:rsid w:val="00A91754"/>
    <w:rsid w:val="00A91AD2"/>
    <w:rsid w:val="00AA70AE"/>
    <w:rsid w:val="00AB044F"/>
    <w:rsid w:val="00AB4750"/>
    <w:rsid w:val="00AC6EAB"/>
    <w:rsid w:val="00AD0C92"/>
    <w:rsid w:val="00AE0067"/>
    <w:rsid w:val="00B06B36"/>
    <w:rsid w:val="00B44FF9"/>
    <w:rsid w:val="00B45EB1"/>
    <w:rsid w:val="00B8003C"/>
    <w:rsid w:val="00BA4198"/>
    <w:rsid w:val="00BE56C7"/>
    <w:rsid w:val="00BF5A00"/>
    <w:rsid w:val="00C07B03"/>
    <w:rsid w:val="00C20CED"/>
    <w:rsid w:val="00C21A16"/>
    <w:rsid w:val="00C2599F"/>
    <w:rsid w:val="00C3372B"/>
    <w:rsid w:val="00C41E32"/>
    <w:rsid w:val="00C577A9"/>
    <w:rsid w:val="00C60C86"/>
    <w:rsid w:val="00C67E30"/>
    <w:rsid w:val="00C71F85"/>
    <w:rsid w:val="00C913D8"/>
    <w:rsid w:val="00CA59CF"/>
    <w:rsid w:val="00CB2E86"/>
    <w:rsid w:val="00CE2BCB"/>
    <w:rsid w:val="00CF476C"/>
    <w:rsid w:val="00D02B26"/>
    <w:rsid w:val="00D0341A"/>
    <w:rsid w:val="00D21254"/>
    <w:rsid w:val="00D23F39"/>
    <w:rsid w:val="00D33095"/>
    <w:rsid w:val="00D56F01"/>
    <w:rsid w:val="00D650E1"/>
    <w:rsid w:val="00D86BEE"/>
    <w:rsid w:val="00D9420D"/>
    <w:rsid w:val="00D949DF"/>
    <w:rsid w:val="00DA0784"/>
    <w:rsid w:val="00DB023A"/>
    <w:rsid w:val="00DB3ADF"/>
    <w:rsid w:val="00DB42A6"/>
    <w:rsid w:val="00DB532C"/>
    <w:rsid w:val="00DC4A03"/>
    <w:rsid w:val="00DC72EF"/>
    <w:rsid w:val="00DD669A"/>
    <w:rsid w:val="00DF2BB8"/>
    <w:rsid w:val="00E00254"/>
    <w:rsid w:val="00E03AC4"/>
    <w:rsid w:val="00E146B6"/>
    <w:rsid w:val="00E37D6F"/>
    <w:rsid w:val="00E52230"/>
    <w:rsid w:val="00E61F0B"/>
    <w:rsid w:val="00E859E2"/>
    <w:rsid w:val="00E93F77"/>
    <w:rsid w:val="00EA2443"/>
    <w:rsid w:val="00EB5E1B"/>
    <w:rsid w:val="00EB63F0"/>
    <w:rsid w:val="00EC6B32"/>
    <w:rsid w:val="00EE51C9"/>
    <w:rsid w:val="00EF56C7"/>
    <w:rsid w:val="00F11BB8"/>
    <w:rsid w:val="00F17D9F"/>
    <w:rsid w:val="00F5313F"/>
    <w:rsid w:val="00F712BC"/>
    <w:rsid w:val="00F75014"/>
    <w:rsid w:val="00F8064D"/>
    <w:rsid w:val="00F86102"/>
    <w:rsid w:val="00FB5B07"/>
    <w:rsid w:val="00FC12D2"/>
    <w:rsid w:val="00FC69EF"/>
    <w:rsid w:val="00FD22DC"/>
    <w:rsid w:val="00FE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44D47"/>
  <w15:chartTrackingRefBased/>
  <w15:docId w15:val="{47840500-EEC3-40CF-8434-2D5ABD59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C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C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C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C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2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338</Words>
  <Characters>1833</Characters>
  <Application>Microsoft Office Word</Application>
  <DocSecurity>0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Carrott</dc:creator>
  <cp:keywords/>
  <dc:description/>
  <cp:lastModifiedBy>Emma Kirkpatrick</cp:lastModifiedBy>
  <cp:revision>5</cp:revision>
  <dcterms:created xsi:type="dcterms:W3CDTF">2024-11-12T09:58:00Z</dcterms:created>
  <dcterms:modified xsi:type="dcterms:W3CDTF">2024-11-13T14:33:00Z</dcterms:modified>
</cp:coreProperties>
</file>