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E58" w:rsidRDefault="00C90B10">
      <w:pPr>
        <w:rPr>
          <w:b/>
          <w:sz w:val="28"/>
          <w:szCs w:val="28"/>
        </w:rPr>
      </w:pPr>
      <w:r w:rsidRPr="00C90B10">
        <w:rPr>
          <w:b/>
          <w:sz w:val="28"/>
          <w:szCs w:val="28"/>
        </w:rPr>
        <w:t>Response to second Group of Questions from Bidders 12/11/17</w:t>
      </w:r>
    </w:p>
    <w:p w:rsidR="00C90B10" w:rsidRPr="00614919" w:rsidRDefault="00614919" w:rsidP="00C90B10">
      <w:pPr>
        <w:rPr>
          <w:sz w:val="28"/>
          <w:szCs w:val="28"/>
        </w:rPr>
      </w:pPr>
      <w:r>
        <w:rPr>
          <w:b/>
          <w:sz w:val="28"/>
          <w:szCs w:val="28"/>
        </w:rPr>
        <w:t>Q 5</w:t>
      </w:r>
    </w:p>
    <w:p w:rsidR="00C90B10" w:rsidRDefault="00C90B10" w:rsidP="00C90B10">
      <w:r>
        <w:t xml:space="preserve">ITT states bidders must be </w:t>
      </w:r>
      <w:r>
        <w:rPr>
          <w:i/>
          <w:iCs/>
        </w:rPr>
        <w:t>qualified</w:t>
      </w:r>
      <w:r>
        <w:t xml:space="preserve"> to act as Principal Designer (PD). ITT does not identify that PD services are required under section 2 Project specifications.</w:t>
      </w:r>
    </w:p>
    <w:p w:rsidR="00C90B10" w:rsidRDefault="00C90B10" w:rsidP="00C90B10">
      <w:pPr>
        <w:numPr>
          <w:ilvl w:val="0"/>
          <w:numId w:val="1"/>
        </w:numPr>
        <w:spacing w:after="0" w:line="240" w:lineRule="auto"/>
      </w:pPr>
      <w:r>
        <w:t xml:space="preserve">Can we effectively read </w:t>
      </w:r>
      <w:r>
        <w:rPr>
          <w:i/>
          <w:iCs/>
        </w:rPr>
        <w:t>competent</w:t>
      </w:r>
      <w:r>
        <w:t xml:space="preserve"> in lieu of </w:t>
      </w:r>
      <w:r>
        <w:rPr>
          <w:i/>
          <w:iCs/>
        </w:rPr>
        <w:t>qualified</w:t>
      </w:r>
      <w:r>
        <w:t>, given that whilst relevant training is available there is no formal professional qualification for Principal Designers?</w:t>
      </w:r>
    </w:p>
    <w:p w:rsidR="00614919" w:rsidRDefault="00C90B10" w:rsidP="00614919">
      <w:pPr>
        <w:numPr>
          <w:ilvl w:val="0"/>
          <w:numId w:val="1"/>
        </w:numPr>
        <w:spacing w:after="0" w:line="240" w:lineRule="auto"/>
      </w:pPr>
      <w:r>
        <w:t>Is the Principal Designer role to be included in the Tender submission?</w:t>
      </w:r>
    </w:p>
    <w:p w:rsidR="00614919" w:rsidRPr="00614919" w:rsidRDefault="00614919" w:rsidP="00614919">
      <w:pPr>
        <w:spacing w:after="0" w:line="240" w:lineRule="auto"/>
        <w:rPr>
          <w:b/>
          <w:sz w:val="28"/>
          <w:szCs w:val="28"/>
        </w:rPr>
      </w:pPr>
      <w:r w:rsidRPr="00614919">
        <w:rPr>
          <w:b/>
          <w:sz w:val="28"/>
          <w:szCs w:val="28"/>
        </w:rPr>
        <w:t>A 5</w:t>
      </w:r>
    </w:p>
    <w:p w:rsidR="00C90B10" w:rsidRDefault="00614919" w:rsidP="00614919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An individual or individuals who are demonstrably competent would be acceptable</w:t>
      </w:r>
      <w:r w:rsidR="00893BD5">
        <w:t>.</w:t>
      </w:r>
    </w:p>
    <w:p w:rsidR="00893BD5" w:rsidRDefault="00893BD5" w:rsidP="00614919">
      <w:pPr>
        <w:pStyle w:val="ListParagraph"/>
        <w:numPr>
          <w:ilvl w:val="0"/>
          <w:numId w:val="2"/>
        </w:numPr>
      </w:pPr>
      <w:r>
        <w:t>The Principal Designer role shall be included in the Tender Submission.</w:t>
      </w:r>
    </w:p>
    <w:p w:rsidR="00893BD5" w:rsidRDefault="00893BD5" w:rsidP="00893BD5">
      <w:pPr>
        <w:pStyle w:val="ListParagraph"/>
      </w:pPr>
    </w:p>
    <w:p w:rsidR="00C90B10" w:rsidRDefault="00893BD5" w:rsidP="00C90B10">
      <w:r w:rsidRPr="00893BD5">
        <w:rPr>
          <w:b/>
          <w:sz w:val="28"/>
          <w:szCs w:val="28"/>
        </w:rPr>
        <w:t>Q 6</w:t>
      </w:r>
      <w:r>
        <w:t xml:space="preserve">   </w:t>
      </w:r>
      <w:r w:rsidR="00C90B10">
        <w:t>ITT 2.9 calls for £10m professional indemnity insurance cover. This seems excessive for the scale of project, and is likely to attract higher professional fees than a lower but still robust amount of cover. Would £5m PII cover (each and every claim) be acceptable?</w:t>
      </w:r>
    </w:p>
    <w:p w:rsidR="00893BD5" w:rsidRDefault="00893BD5" w:rsidP="00C90B10">
      <w:r w:rsidRPr="00893BD5">
        <w:rPr>
          <w:b/>
          <w:sz w:val="28"/>
          <w:szCs w:val="28"/>
        </w:rPr>
        <w:t>A 6</w:t>
      </w:r>
      <w:r>
        <w:rPr>
          <w:b/>
          <w:sz w:val="28"/>
          <w:szCs w:val="28"/>
        </w:rPr>
        <w:t xml:space="preserve"> </w:t>
      </w:r>
      <w:r w:rsidRPr="00995386">
        <w:t>The value of</w:t>
      </w:r>
      <w:r w:rsidR="00995386">
        <w:t xml:space="preserve"> PII</w:t>
      </w:r>
      <w:r w:rsidRPr="00995386">
        <w:t xml:space="preserve"> insurance cover</w:t>
      </w:r>
      <w:r w:rsidR="00995386">
        <w:t xml:space="preserve"> was taken into consideration together with the level of turnover and contractual arrangements for the lead member of the professional teams.   The value specified is considered appropriate. </w:t>
      </w:r>
    </w:p>
    <w:p w:rsidR="00C90B10" w:rsidRDefault="00995386" w:rsidP="00C90B10">
      <w:r w:rsidRPr="00995386">
        <w:rPr>
          <w:b/>
          <w:sz w:val="28"/>
          <w:szCs w:val="28"/>
        </w:rPr>
        <w:t>Q 7</w:t>
      </w:r>
      <w:r>
        <w:rPr>
          <w:b/>
          <w:sz w:val="28"/>
          <w:szCs w:val="28"/>
        </w:rPr>
        <w:t xml:space="preserve"> </w:t>
      </w:r>
      <w:r w:rsidR="00C90B10">
        <w:t>ITT 2.11 calls for Lead Consultant collateral warranty. We presume this relates to design services which will be completed post-Novation. We would consider that the Employer would be better protected by individual collateral warranties from all sub-consultants to the Lead Consultant, and presume this would be acceptable to the Employer.</w:t>
      </w:r>
    </w:p>
    <w:p w:rsidR="00995386" w:rsidRPr="00995386" w:rsidRDefault="00995386" w:rsidP="00C90B10">
      <w:r w:rsidRPr="00995386">
        <w:rPr>
          <w:b/>
          <w:sz w:val="28"/>
          <w:szCs w:val="28"/>
        </w:rPr>
        <w:t>A 7</w:t>
      </w:r>
      <w:r>
        <w:rPr>
          <w:b/>
          <w:sz w:val="28"/>
          <w:szCs w:val="28"/>
        </w:rPr>
        <w:t xml:space="preserve"> </w:t>
      </w:r>
      <w:r>
        <w:t>The ITT identified the “Lead Consultant” with whom WPT would contract. The Lead Consultant would have contractual arrangements with the other professional organisations providing service</w:t>
      </w:r>
      <w:r w:rsidR="0000449B">
        <w:t xml:space="preserve">s.  Hence the reason for specifying step in rights for WPT to the Lead Consultant.  This arrangement would be Novated to the successful Contractor. </w:t>
      </w:r>
    </w:p>
    <w:p w:rsidR="00C90B10" w:rsidRPr="00C90B10" w:rsidRDefault="00C90B10">
      <w:pPr>
        <w:rPr>
          <w:sz w:val="28"/>
          <w:szCs w:val="28"/>
        </w:rPr>
      </w:pPr>
    </w:p>
    <w:sectPr w:rsidR="00C90B10" w:rsidRPr="00C9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67C93"/>
    <w:multiLevelType w:val="hybridMultilevel"/>
    <w:tmpl w:val="7F5C7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F4BF6"/>
    <w:multiLevelType w:val="hybridMultilevel"/>
    <w:tmpl w:val="E9DA11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10"/>
    <w:rsid w:val="0000449B"/>
    <w:rsid w:val="00614919"/>
    <w:rsid w:val="00893BD5"/>
    <w:rsid w:val="00995386"/>
    <w:rsid w:val="00C90B10"/>
    <w:rsid w:val="00C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AD42"/>
  <w15:chartTrackingRefBased/>
  <w15:docId w15:val="{13201587-C066-4288-B054-F25881CA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Leece</dc:creator>
  <cp:keywords/>
  <dc:description/>
  <cp:lastModifiedBy>Mike Leece</cp:lastModifiedBy>
  <cp:revision>1</cp:revision>
  <dcterms:created xsi:type="dcterms:W3CDTF">2017-11-12T10:58:00Z</dcterms:created>
  <dcterms:modified xsi:type="dcterms:W3CDTF">2017-11-12T11:43:00Z</dcterms:modified>
</cp:coreProperties>
</file>