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EAD" w:rsidRPr="001C7E38" w:rsidRDefault="000C3EAD" w:rsidP="000C3EAD">
      <w:pPr>
        <w:jc w:val="right"/>
      </w:pPr>
      <w:bookmarkStart w:id="0" w:name="_GoBack"/>
      <w:bookmarkEnd w:id="0"/>
    </w:p>
    <w:p w:rsidR="000C3EAD" w:rsidRPr="00505D0D" w:rsidRDefault="000C3EAD" w:rsidP="000C3EAD">
      <w:pPr>
        <w:overflowPunct/>
        <w:autoSpaceDE/>
        <w:autoSpaceDN/>
        <w:adjustRightInd/>
        <w:jc w:val="both"/>
        <w:textAlignment w:val="auto"/>
        <w:rPr>
          <w:rFonts w:eastAsia="Calibri" w:cs="Arial"/>
          <w:kern w:val="0"/>
          <w:szCs w:val="22"/>
        </w:rPr>
      </w:pPr>
    </w:p>
    <w:p w:rsidR="000C3EAD" w:rsidRDefault="000C3EAD" w:rsidP="000C3EAD">
      <w:pPr>
        <w:jc w:val="center"/>
      </w:pPr>
      <w:bookmarkStart w:id="1" w:name="_Hlk2596699"/>
      <w:r w:rsidRPr="69D1710D">
        <w:rPr>
          <w:rFonts w:eastAsia="Arial" w:cs="Arial"/>
          <w:b/>
          <w:bCs/>
          <w:sz w:val="36"/>
          <w:szCs w:val="36"/>
        </w:rPr>
        <w:t>RFQ Evaluation Criteria</w:t>
      </w:r>
    </w:p>
    <w:p w:rsidR="000C3EAD" w:rsidRDefault="000C3EAD" w:rsidP="000C3EAD">
      <w:pPr>
        <w:jc w:val="both"/>
      </w:pPr>
      <w:r w:rsidRPr="69D1710D">
        <w:rPr>
          <w:rFonts w:eastAsia="Arial" w:cs="Arial"/>
          <w:b/>
          <w:bCs/>
          <w:szCs w:val="22"/>
        </w:rPr>
        <w:t xml:space="preserve"> </w:t>
      </w:r>
    </w:p>
    <w:p w:rsidR="000C3EAD" w:rsidRDefault="000C3EAD" w:rsidP="000C3EAD">
      <w:pPr>
        <w:jc w:val="both"/>
      </w:pPr>
      <w:r w:rsidRPr="69D1710D">
        <w:rPr>
          <w:rFonts w:eastAsia="Arial" w:cs="Arial"/>
          <w:b/>
          <w:bCs/>
          <w:szCs w:val="22"/>
        </w:rPr>
        <w:t xml:space="preserve">Award Criteria </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 xml:space="preserve">Evaluation Criteria </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It is the Authority’s intention to select the tender which represents the most economically advantageous tender (MEAT) regarding technical expertise and price against the evaluation criteria described below:</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b/>
          <w:bCs/>
          <w:szCs w:val="22"/>
        </w:rPr>
        <w:t>Ratio:</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 xml:space="preserve">The following ratio will determine the weightings of the scores elements of the evaluation: </w:t>
      </w:r>
    </w:p>
    <w:p w:rsidR="000C3EAD" w:rsidRDefault="000C3EAD" w:rsidP="000C3EAD">
      <w:pPr>
        <w:jc w:val="both"/>
      </w:pPr>
      <w:r w:rsidRPr="69D1710D">
        <w:rPr>
          <w:rFonts w:eastAsia="Arial" w:cs="Arial"/>
          <w:szCs w:val="22"/>
        </w:rPr>
        <w:t xml:space="preserve"> </w:t>
      </w:r>
    </w:p>
    <w:tbl>
      <w:tblPr>
        <w:tblStyle w:val="GridTable1Light-Accent1"/>
        <w:tblW w:w="0" w:type="auto"/>
        <w:tblLayout w:type="fixed"/>
        <w:tblLook w:val="06A0" w:firstRow="1" w:lastRow="0" w:firstColumn="1" w:lastColumn="0" w:noHBand="1" w:noVBand="1"/>
      </w:tblPr>
      <w:tblGrid>
        <w:gridCol w:w="3990"/>
        <w:gridCol w:w="5385"/>
      </w:tblGrid>
      <w:tr w:rsidR="000C3EAD"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0" w:type="dxa"/>
            <w:shd w:val="clear" w:color="auto" w:fill="C9C9C9" w:themeFill="accent3" w:themeFillTint="99"/>
          </w:tcPr>
          <w:p w:rsidR="000C3EAD" w:rsidRDefault="000C3EAD" w:rsidP="00E37CED">
            <w:pPr>
              <w:jc w:val="both"/>
            </w:pPr>
            <w:r w:rsidRPr="69D1710D">
              <w:rPr>
                <w:rFonts w:eastAsia="Arial" w:cs="Arial"/>
              </w:rPr>
              <w:t xml:space="preserve">Evaluation Criteria </w:t>
            </w:r>
          </w:p>
        </w:tc>
        <w:tc>
          <w:tcPr>
            <w:tcW w:w="5385" w:type="dxa"/>
            <w:shd w:val="clear" w:color="auto" w:fill="C9C9C9" w:themeFill="accent3" w:themeFillTint="99"/>
          </w:tcPr>
          <w:p w:rsidR="000C3EAD" w:rsidRDefault="000C3EAD" w:rsidP="00E37CED">
            <w:pPr>
              <w:jc w:val="both"/>
              <w:cnfStyle w:val="100000000000" w:firstRow="1" w:lastRow="0" w:firstColumn="0" w:lastColumn="0" w:oddVBand="0" w:evenVBand="0" w:oddHBand="0" w:evenHBand="0" w:firstRowFirstColumn="0" w:firstRowLastColumn="0" w:lastRowFirstColumn="0" w:lastRowLastColumn="0"/>
            </w:pPr>
            <w:r w:rsidRPr="69D1710D">
              <w:rPr>
                <w:rFonts w:eastAsia="Arial" w:cs="Arial"/>
              </w:rPr>
              <w:t xml:space="preserve">Criteria Weighting % </w:t>
            </w:r>
          </w:p>
        </w:tc>
      </w:tr>
      <w:tr w:rsidR="000C3EAD" w:rsidTr="00E37CED">
        <w:tc>
          <w:tcPr>
            <w:cnfStyle w:val="001000000000" w:firstRow="0" w:lastRow="0" w:firstColumn="1" w:lastColumn="0" w:oddVBand="0" w:evenVBand="0" w:oddHBand="0" w:evenHBand="0" w:firstRowFirstColumn="0" w:firstRowLastColumn="0" w:lastRowFirstColumn="0" w:lastRowLastColumn="0"/>
            <w:tcW w:w="3990" w:type="dxa"/>
          </w:tcPr>
          <w:p w:rsidR="000C3EAD" w:rsidRDefault="000C3EAD" w:rsidP="00E37CED">
            <w:pPr>
              <w:jc w:val="both"/>
            </w:pPr>
            <w:r w:rsidRPr="69D1710D">
              <w:rPr>
                <w:rFonts w:eastAsia="Arial" w:cs="Arial"/>
              </w:rPr>
              <w:t xml:space="preserve">Commercial </w:t>
            </w:r>
          </w:p>
        </w:tc>
        <w:tc>
          <w:tcPr>
            <w:tcW w:w="53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Compliant/Non-compliant</w:t>
            </w:r>
          </w:p>
        </w:tc>
      </w:tr>
      <w:tr w:rsidR="000C3EAD" w:rsidTr="00E37CED">
        <w:tc>
          <w:tcPr>
            <w:cnfStyle w:val="001000000000" w:firstRow="0" w:lastRow="0" w:firstColumn="1" w:lastColumn="0" w:oddVBand="0" w:evenVBand="0" w:oddHBand="0" w:evenHBand="0" w:firstRowFirstColumn="0" w:firstRowLastColumn="0" w:lastRowFirstColumn="0" w:lastRowLastColumn="0"/>
            <w:tcW w:w="3990" w:type="dxa"/>
          </w:tcPr>
          <w:p w:rsidR="000C3EAD" w:rsidRDefault="000C3EAD" w:rsidP="00E37CED">
            <w:pPr>
              <w:jc w:val="both"/>
            </w:pPr>
            <w:r w:rsidRPr="69D1710D">
              <w:rPr>
                <w:rFonts w:eastAsia="Arial" w:cs="Arial"/>
              </w:rPr>
              <w:t>Technical Part 1</w:t>
            </w:r>
          </w:p>
        </w:tc>
        <w:tc>
          <w:tcPr>
            <w:tcW w:w="53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19AC5EBC">
              <w:rPr>
                <w:rFonts w:eastAsia="Arial" w:cs="Arial"/>
              </w:rPr>
              <w:t>Compliant/Non-compliant</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19AC5EBC">
              <w:rPr>
                <w:rFonts w:eastAsia="Arial" w:cs="Arial"/>
              </w:rPr>
              <w:t>Full compliance against the non-scored questions in the Schedule of Requirements</w:t>
            </w:r>
          </w:p>
        </w:tc>
      </w:tr>
      <w:tr w:rsidR="000C3EAD" w:rsidTr="00E37CED">
        <w:tc>
          <w:tcPr>
            <w:cnfStyle w:val="001000000000" w:firstRow="0" w:lastRow="0" w:firstColumn="1" w:lastColumn="0" w:oddVBand="0" w:evenVBand="0" w:oddHBand="0" w:evenHBand="0" w:firstRowFirstColumn="0" w:firstRowLastColumn="0" w:lastRowFirstColumn="0" w:lastRowLastColumn="0"/>
            <w:tcW w:w="3990" w:type="dxa"/>
          </w:tcPr>
          <w:p w:rsidR="000C3EAD" w:rsidRDefault="000C3EAD" w:rsidP="00E37CED">
            <w:pPr>
              <w:jc w:val="both"/>
            </w:pPr>
            <w:r w:rsidRPr="69D1710D">
              <w:rPr>
                <w:rFonts w:eastAsia="Arial" w:cs="Arial"/>
              </w:rPr>
              <w:t>Technical Part 2</w:t>
            </w:r>
          </w:p>
        </w:tc>
        <w:tc>
          <w:tcPr>
            <w:tcW w:w="53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 xml:space="preserve"> 70%</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See Technical Evaluation Criteria below</w:t>
            </w:r>
          </w:p>
        </w:tc>
      </w:tr>
      <w:tr w:rsidR="000C3EAD" w:rsidTr="00E37CED">
        <w:tc>
          <w:tcPr>
            <w:cnfStyle w:val="001000000000" w:firstRow="0" w:lastRow="0" w:firstColumn="1" w:lastColumn="0" w:oddVBand="0" w:evenVBand="0" w:oddHBand="0" w:evenHBand="0" w:firstRowFirstColumn="0" w:firstRowLastColumn="0" w:lastRowFirstColumn="0" w:lastRowLastColumn="0"/>
            <w:tcW w:w="3990" w:type="dxa"/>
          </w:tcPr>
          <w:p w:rsidR="000C3EAD" w:rsidRDefault="000C3EAD" w:rsidP="00E37CED">
            <w:pPr>
              <w:jc w:val="both"/>
            </w:pPr>
            <w:r w:rsidRPr="69D1710D">
              <w:rPr>
                <w:rFonts w:eastAsia="Arial" w:cs="Arial"/>
              </w:rPr>
              <w:t xml:space="preserve">Financial </w:t>
            </w:r>
          </w:p>
        </w:tc>
        <w:tc>
          <w:tcPr>
            <w:tcW w:w="53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 xml:space="preserve"> 30% </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See Financial Evaluation Criteria below</w:t>
            </w:r>
          </w:p>
        </w:tc>
      </w:tr>
    </w:tbl>
    <w:p w:rsidR="000C3EAD" w:rsidRDefault="000C3EAD" w:rsidP="000C3EAD">
      <w:pPr>
        <w:jc w:val="both"/>
      </w:pPr>
      <w:r w:rsidRPr="69D1710D">
        <w:rPr>
          <w:rFonts w:eastAsia="Arial" w:cs="Arial"/>
          <w:i/>
          <w:iCs/>
          <w:szCs w:val="22"/>
        </w:rPr>
        <w:t xml:space="preserve"> </w:t>
      </w:r>
    </w:p>
    <w:p w:rsidR="000C3EAD" w:rsidRDefault="000C3EAD" w:rsidP="000C3EAD">
      <w:pPr>
        <w:jc w:val="both"/>
      </w:pPr>
      <w:r>
        <w:rPr>
          <w:rFonts w:eastAsia="Arial" w:cs="Arial"/>
          <w:i/>
          <w:iCs/>
          <w:szCs w:val="22"/>
        </w:rPr>
        <w:t xml:space="preserve">Annex B - </w:t>
      </w:r>
      <w:r w:rsidRPr="69D1710D">
        <w:rPr>
          <w:rFonts w:eastAsia="Arial" w:cs="Arial"/>
          <w:i/>
          <w:iCs/>
          <w:szCs w:val="22"/>
        </w:rPr>
        <w:t>Table 1: Evaluation Criteria and Weightings</w:t>
      </w:r>
      <w:r w:rsidRPr="69D1710D">
        <w:rPr>
          <w:rFonts w:eastAsia="Arial" w:cs="Arial"/>
          <w:szCs w:val="22"/>
        </w:rPr>
        <w:t xml:space="preserve"> </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 xml:space="preserve">Any tender that is not </w:t>
      </w:r>
      <w:r>
        <w:rPr>
          <w:rFonts w:eastAsia="Arial" w:cs="Arial"/>
          <w:szCs w:val="22"/>
        </w:rPr>
        <w:t>compliant</w:t>
      </w:r>
      <w:r w:rsidRPr="69D1710D">
        <w:rPr>
          <w:rFonts w:eastAsia="Arial" w:cs="Arial"/>
          <w:szCs w:val="22"/>
        </w:rPr>
        <w:t xml:space="preserve"> against </w:t>
      </w:r>
      <w:r w:rsidRPr="69D1710D">
        <w:rPr>
          <w:rFonts w:eastAsia="Arial" w:cs="Arial"/>
          <w:b/>
          <w:bCs/>
          <w:szCs w:val="22"/>
        </w:rPr>
        <w:t>all</w:t>
      </w:r>
      <w:r w:rsidRPr="69D1710D">
        <w:rPr>
          <w:rFonts w:eastAsia="Arial" w:cs="Arial"/>
          <w:szCs w:val="22"/>
        </w:rPr>
        <w:t xml:space="preserve"> mandatory criteria of the Commercial and Technical Part 1 evaluation will not be taken forward to the Technical Part 2 and Financial evaluation and </w:t>
      </w:r>
      <w:r w:rsidRPr="69D1710D">
        <w:rPr>
          <w:rFonts w:eastAsia="Arial" w:cs="Arial"/>
          <w:b/>
          <w:bCs/>
          <w:szCs w:val="22"/>
        </w:rPr>
        <w:t>will not receive a score</w:t>
      </w:r>
      <w:r w:rsidRPr="69D1710D">
        <w:rPr>
          <w:rFonts w:eastAsia="Arial" w:cs="Arial"/>
          <w:szCs w:val="22"/>
        </w:rPr>
        <w:t>.</w:t>
      </w:r>
    </w:p>
    <w:p w:rsidR="000C3EAD" w:rsidRDefault="000C3EAD" w:rsidP="000C3EAD">
      <w:pPr>
        <w:jc w:val="both"/>
      </w:pPr>
      <w:r w:rsidRPr="69D1710D">
        <w:rPr>
          <w:rFonts w:eastAsia="Arial" w:cs="Arial"/>
          <w:b/>
          <w:bCs/>
          <w:szCs w:val="22"/>
        </w:rPr>
        <w:t xml:space="preserve"> </w:t>
      </w:r>
    </w:p>
    <w:p w:rsidR="000C3EAD" w:rsidRDefault="000C3EAD" w:rsidP="000C3EAD">
      <w:pPr>
        <w:jc w:val="both"/>
        <w:rPr>
          <w:rFonts w:eastAsia="Arial" w:cs="Arial"/>
          <w:b/>
          <w:bCs/>
          <w:szCs w:val="22"/>
        </w:rPr>
      </w:pPr>
    </w:p>
    <w:p w:rsidR="000C3EAD" w:rsidRPr="00B3187F" w:rsidRDefault="000C3EAD" w:rsidP="000C3EAD">
      <w:pPr>
        <w:jc w:val="both"/>
        <w:rPr>
          <w:rFonts w:eastAsia="Arial" w:cs="Arial"/>
          <w:b/>
          <w:bCs/>
          <w:szCs w:val="22"/>
        </w:rPr>
      </w:pPr>
      <w:r w:rsidRPr="00B3187F">
        <w:rPr>
          <w:rFonts w:eastAsia="Arial" w:cs="Arial"/>
          <w:b/>
          <w:bCs/>
          <w:szCs w:val="22"/>
        </w:rPr>
        <w:t>Commercial Evaluation Criteria</w:t>
      </w:r>
    </w:p>
    <w:p w:rsidR="000C3EAD" w:rsidRPr="00B3187F" w:rsidRDefault="000C3EAD" w:rsidP="000C3EAD">
      <w:pPr>
        <w:jc w:val="both"/>
        <w:rPr>
          <w:rFonts w:eastAsia="Arial" w:cs="Arial"/>
          <w:b/>
          <w:bCs/>
          <w:szCs w:val="22"/>
        </w:rPr>
      </w:pPr>
      <w:r w:rsidRPr="00B3187F">
        <w:rPr>
          <w:rFonts w:eastAsia="Arial" w:cs="Arial"/>
          <w:b/>
          <w:bCs/>
          <w:szCs w:val="22"/>
        </w:rPr>
        <w:t xml:space="preserve"> </w:t>
      </w:r>
    </w:p>
    <w:p w:rsidR="000C3EAD" w:rsidRPr="00B3187F" w:rsidRDefault="000C3EAD" w:rsidP="000C3EAD">
      <w:pPr>
        <w:jc w:val="both"/>
        <w:rPr>
          <w:rFonts w:eastAsia="Arial" w:cs="Arial"/>
          <w:bCs/>
          <w:szCs w:val="22"/>
        </w:rPr>
      </w:pPr>
      <w:r>
        <w:rPr>
          <w:rFonts w:eastAsia="Arial" w:cs="Arial"/>
          <w:bCs/>
          <w:szCs w:val="22"/>
        </w:rPr>
        <w:t xml:space="preserve">Compliant/Non-compliant </w:t>
      </w:r>
      <w:r w:rsidRPr="00B3187F">
        <w:rPr>
          <w:rFonts w:eastAsia="Arial" w:cs="Arial"/>
          <w:bCs/>
          <w:szCs w:val="22"/>
        </w:rPr>
        <w:t>against unqualified acceptance of the MoD contract Terms and Conditions</w:t>
      </w:r>
      <w:r>
        <w:rPr>
          <w:rFonts w:eastAsia="Arial" w:cs="Arial"/>
          <w:bCs/>
          <w:szCs w:val="22"/>
        </w:rPr>
        <w:t xml:space="preserve"> SC1B</w:t>
      </w:r>
    </w:p>
    <w:p w:rsidR="000C3EAD" w:rsidRPr="00B3187F" w:rsidRDefault="000C3EAD" w:rsidP="000C3EAD">
      <w:pPr>
        <w:jc w:val="both"/>
        <w:rPr>
          <w:rFonts w:eastAsia="Arial" w:cs="Arial"/>
          <w:bCs/>
          <w:szCs w:val="22"/>
        </w:rPr>
      </w:pPr>
    </w:p>
    <w:p w:rsidR="000C3EAD" w:rsidRDefault="000C3EAD" w:rsidP="000C3EAD">
      <w:pPr>
        <w:jc w:val="both"/>
      </w:pPr>
      <w:r w:rsidRPr="69D1710D">
        <w:rPr>
          <w:rFonts w:eastAsia="Arial" w:cs="Arial"/>
          <w:b/>
          <w:bCs/>
          <w:szCs w:val="22"/>
        </w:rPr>
        <w:t>Calculation</w:t>
      </w:r>
    </w:p>
    <w:p w:rsidR="000C3EAD" w:rsidRDefault="000C3EAD" w:rsidP="000C3EAD">
      <w:pPr>
        <w:jc w:val="both"/>
      </w:pPr>
      <w:r w:rsidRPr="69D1710D">
        <w:rPr>
          <w:rFonts w:ascii="Times New Roman" w:hAnsi="Times New Roman"/>
          <w:sz w:val="24"/>
          <w:szCs w:val="24"/>
        </w:rPr>
        <w:t xml:space="preserve"> </w:t>
      </w:r>
    </w:p>
    <w:p w:rsidR="000C3EAD" w:rsidRDefault="000C3EAD" w:rsidP="000C3EAD">
      <w:pPr>
        <w:jc w:val="both"/>
      </w:pPr>
      <w:r w:rsidRPr="69D1710D">
        <w:rPr>
          <w:rFonts w:eastAsia="Arial" w:cs="Arial"/>
          <w:szCs w:val="22"/>
        </w:rPr>
        <w:t>Tenders will be technically evaluated by the DE&amp;S Project Professionals team.  The chosen Technical Evaluators will review un-priced elements of the tenders and score them based on methodology detailed below.</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There are scored</w:t>
      </w:r>
      <w:r>
        <w:rPr>
          <w:rFonts w:eastAsia="Arial" w:cs="Arial"/>
          <w:szCs w:val="22"/>
        </w:rPr>
        <w:t>, Compliant/Non-compliant and Pass/Fail</w:t>
      </w:r>
      <w:r w:rsidRPr="69D1710D">
        <w:rPr>
          <w:rFonts w:eastAsia="Arial" w:cs="Arial"/>
          <w:szCs w:val="22"/>
        </w:rPr>
        <w:t xml:space="preserve"> elements to the Evaluation criteria.  The Commercial and Technical Part 1 criteria are Compliant/Non-</w:t>
      </w:r>
      <w:r>
        <w:rPr>
          <w:rFonts w:eastAsia="Arial" w:cs="Arial"/>
          <w:szCs w:val="22"/>
        </w:rPr>
        <w:t>compliant</w:t>
      </w:r>
      <w:r w:rsidRPr="69D1710D">
        <w:rPr>
          <w:rFonts w:eastAsia="Arial" w:cs="Arial"/>
          <w:szCs w:val="22"/>
        </w:rPr>
        <w:t xml:space="preserve"> </w:t>
      </w:r>
      <w:r>
        <w:rPr>
          <w:rFonts w:eastAsia="Arial" w:cs="Arial"/>
          <w:szCs w:val="22"/>
        </w:rPr>
        <w:t xml:space="preserve">or Pass/Fail </w:t>
      </w:r>
      <w:r w:rsidRPr="69D1710D">
        <w:rPr>
          <w:rFonts w:eastAsia="Arial" w:cs="Arial"/>
          <w:szCs w:val="22"/>
        </w:rPr>
        <w:t xml:space="preserve">and the tender must be </w:t>
      </w:r>
      <w:r>
        <w:rPr>
          <w:rFonts w:eastAsia="Arial" w:cs="Arial"/>
          <w:szCs w:val="22"/>
        </w:rPr>
        <w:t>compliant</w:t>
      </w:r>
      <w:r w:rsidRPr="69D1710D">
        <w:rPr>
          <w:rFonts w:eastAsia="Arial" w:cs="Arial"/>
          <w:szCs w:val="22"/>
        </w:rPr>
        <w:t xml:space="preserve"> with these criteria to progress. The Technical Part 2 and Financial scores will be weighted according to the ratio</w:t>
      </w:r>
      <w:r>
        <w:rPr>
          <w:rFonts w:eastAsia="Arial" w:cs="Arial"/>
          <w:szCs w:val="22"/>
        </w:rPr>
        <w:t xml:space="preserve"> at Table 2 to Annex B</w:t>
      </w:r>
      <w:r w:rsidRPr="69D1710D">
        <w:rPr>
          <w:rFonts w:eastAsia="Arial" w:cs="Arial"/>
          <w:szCs w:val="22"/>
        </w:rPr>
        <w:t xml:space="preserve"> and added together to give the final score, from which the tenders will be ranked and the tenderer with the highest score will be deemed to be the Most Economically Advantageous tender and the contract award will proceed accordingly.</w:t>
      </w:r>
    </w:p>
    <w:p w:rsidR="000C3EAD" w:rsidRDefault="000C3EAD" w:rsidP="000C3EAD">
      <w:pPr>
        <w:jc w:val="both"/>
      </w:pPr>
      <w:r w:rsidRPr="69D1710D">
        <w:rPr>
          <w:rFonts w:eastAsia="Arial" w:cs="Arial"/>
          <w:szCs w:val="22"/>
        </w:rPr>
        <w:t xml:space="preserve"> </w:t>
      </w:r>
    </w:p>
    <w:p w:rsidR="000C3EAD" w:rsidRDefault="000C3EAD" w:rsidP="000C3EAD">
      <w:pPr>
        <w:jc w:val="both"/>
      </w:pPr>
      <w:proofErr w:type="gramStart"/>
      <w:r w:rsidRPr="69D1710D">
        <w:rPr>
          <w:rFonts w:eastAsia="Arial" w:cs="Arial"/>
          <w:szCs w:val="22"/>
        </w:rPr>
        <w:t>In the event that</w:t>
      </w:r>
      <w:proofErr w:type="gramEnd"/>
      <w:r w:rsidRPr="69D1710D">
        <w:rPr>
          <w:rFonts w:eastAsia="Arial" w:cs="Arial"/>
          <w:szCs w:val="22"/>
        </w:rPr>
        <w:t xml:space="preserve"> two or more fully compliant tenders receive the same score, the tender with the </w:t>
      </w:r>
      <w:r>
        <w:rPr>
          <w:rFonts w:eastAsia="Arial" w:cs="Arial"/>
          <w:szCs w:val="22"/>
        </w:rPr>
        <w:t xml:space="preserve">higher pass rate </w:t>
      </w:r>
      <w:r w:rsidRPr="69D1710D">
        <w:rPr>
          <w:rFonts w:eastAsia="Arial" w:cs="Arial"/>
          <w:szCs w:val="22"/>
        </w:rPr>
        <w:t>will be declared the winning bid.</w:t>
      </w:r>
    </w:p>
    <w:p w:rsidR="000C3EAD" w:rsidRDefault="000C3EAD" w:rsidP="000C3EAD">
      <w:pPr>
        <w:jc w:val="both"/>
      </w:pPr>
      <w:r w:rsidRPr="19AC5EBC">
        <w:rPr>
          <w:rFonts w:eastAsia="Arial" w:cs="Arial"/>
          <w:szCs w:val="22"/>
        </w:rPr>
        <w:t xml:space="preserve"> </w:t>
      </w:r>
    </w:p>
    <w:p w:rsidR="000C3EAD" w:rsidRDefault="000C3EAD" w:rsidP="000C3EAD">
      <w:pPr>
        <w:jc w:val="both"/>
      </w:pPr>
      <w:r w:rsidRPr="19AC5EBC">
        <w:rPr>
          <w:rFonts w:eastAsia="Arial" w:cs="Arial"/>
          <w:szCs w:val="22"/>
        </w:rPr>
        <w:t xml:space="preserve"> </w:t>
      </w:r>
      <w:r w:rsidRPr="69D1710D">
        <w:rPr>
          <w:rFonts w:eastAsia="Arial" w:cs="Arial"/>
          <w:b/>
          <w:bCs/>
          <w:szCs w:val="22"/>
        </w:rPr>
        <w:t>Technical Evaluation Criteria</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 xml:space="preserve">The </w:t>
      </w:r>
      <w:r>
        <w:rPr>
          <w:rFonts w:eastAsia="Arial" w:cs="Arial"/>
          <w:szCs w:val="22"/>
        </w:rPr>
        <w:t>Pass/Fail elements</w:t>
      </w:r>
      <w:r w:rsidRPr="69D1710D">
        <w:rPr>
          <w:rFonts w:eastAsia="Arial" w:cs="Arial"/>
          <w:szCs w:val="22"/>
        </w:rPr>
        <w:t xml:space="preserve"> are detailed </w:t>
      </w:r>
      <w:r>
        <w:rPr>
          <w:rFonts w:eastAsia="Arial" w:cs="Arial"/>
          <w:szCs w:val="22"/>
        </w:rPr>
        <w:t>in the Table on Page 6 – Pass</w:t>
      </w:r>
      <w:r w:rsidRPr="69D1710D">
        <w:rPr>
          <w:rFonts w:eastAsia="Arial" w:cs="Arial"/>
          <w:szCs w:val="22"/>
        </w:rPr>
        <w:t xml:space="preserve"> means fully able to deliver outputs against the requirement.   The scored Technical Part 2 will be judged by how well the tenderer’s response meets the </w:t>
      </w:r>
      <w:r w:rsidRPr="69D1710D">
        <w:rPr>
          <w:rFonts w:eastAsia="Arial" w:cs="Arial"/>
          <w:szCs w:val="22"/>
        </w:rPr>
        <w:lastRenderedPageBreak/>
        <w:t xml:space="preserve">stated criteria and will be awarded a </w:t>
      </w:r>
      <w:r>
        <w:rPr>
          <w:rFonts w:eastAsia="Arial" w:cs="Arial"/>
          <w:szCs w:val="22"/>
        </w:rPr>
        <w:t>score of 0-5</w:t>
      </w:r>
      <w:r w:rsidRPr="69D1710D">
        <w:rPr>
          <w:rFonts w:eastAsia="Arial" w:cs="Arial"/>
          <w:szCs w:val="22"/>
        </w:rPr>
        <w:t xml:space="preserve">, as shown </w:t>
      </w:r>
      <w:r>
        <w:rPr>
          <w:rFonts w:eastAsia="Arial" w:cs="Arial"/>
          <w:szCs w:val="22"/>
        </w:rPr>
        <w:t>in the example below</w:t>
      </w:r>
      <w:r w:rsidRPr="69D1710D">
        <w:rPr>
          <w:rFonts w:eastAsia="Arial" w:cs="Arial"/>
          <w:szCs w:val="22"/>
        </w:rPr>
        <w:t xml:space="preserve">.  That score will then be subject to the multiplier to reflect the percentage </w:t>
      </w:r>
      <w:r>
        <w:rPr>
          <w:rFonts w:eastAsia="Arial" w:cs="Arial"/>
          <w:szCs w:val="22"/>
        </w:rPr>
        <w:t>o</w:t>
      </w:r>
      <w:r w:rsidRPr="69D1710D">
        <w:rPr>
          <w:rFonts w:eastAsia="Arial" w:cs="Arial"/>
          <w:szCs w:val="22"/>
        </w:rPr>
        <w:t>f the evaluation criteria allocated to that question.</w:t>
      </w:r>
    </w:p>
    <w:p w:rsidR="000C3EAD" w:rsidRDefault="000C3EAD" w:rsidP="000C3EAD">
      <w:pPr>
        <w:jc w:val="both"/>
      </w:pPr>
      <w:r w:rsidRPr="69D1710D">
        <w:rPr>
          <w:rFonts w:eastAsia="Arial" w:cs="Arial"/>
          <w:szCs w:val="22"/>
        </w:rPr>
        <w:t xml:space="preserve"> </w:t>
      </w:r>
      <w:r w:rsidRPr="69D1710D">
        <w:rPr>
          <w:rFonts w:ascii="Times New Roman" w:hAnsi="Times New Roman"/>
          <w:sz w:val="24"/>
          <w:szCs w:val="24"/>
        </w:rPr>
        <w:t xml:space="preserve"> </w:t>
      </w:r>
    </w:p>
    <w:p w:rsidR="000C3EAD" w:rsidRDefault="000C3EAD" w:rsidP="000C3EAD">
      <w:pPr>
        <w:jc w:val="both"/>
      </w:pPr>
      <w:r w:rsidRPr="69D1710D">
        <w:rPr>
          <w:rFonts w:eastAsia="Arial" w:cs="Arial"/>
          <w:szCs w:val="22"/>
        </w:rPr>
        <w:t xml:space="preserve">Example: As the evaluation criterion is weighted at 70%, the </w:t>
      </w:r>
      <w:r>
        <w:rPr>
          <w:rFonts w:eastAsia="Arial" w:cs="Arial"/>
          <w:szCs w:val="22"/>
        </w:rPr>
        <w:t xml:space="preserve">total </w:t>
      </w:r>
      <w:r w:rsidRPr="69D1710D">
        <w:rPr>
          <w:rFonts w:eastAsia="Arial" w:cs="Arial"/>
          <w:szCs w:val="22"/>
        </w:rPr>
        <w:t xml:space="preserve">score achieved </w:t>
      </w:r>
      <w:r>
        <w:rPr>
          <w:rFonts w:eastAsia="Arial" w:cs="Arial"/>
          <w:szCs w:val="22"/>
        </w:rPr>
        <w:t xml:space="preserve">out of 20 </w:t>
      </w:r>
      <w:r w:rsidRPr="69D1710D">
        <w:rPr>
          <w:rFonts w:eastAsia="Arial" w:cs="Arial"/>
          <w:szCs w:val="22"/>
        </w:rPr>
        <w:t xml:space="preserve">will be divided by the total score multiplied by 70; </w:t>
      </w:r>
      <w:proofErr w:type="gramStart"/>
      <w:r w:rsidRPr="69D1710D">
        <w:rPr>
          <w:rFonts w:eastAsia="Arial" w:cs="Arial"/>
          <w:szCs w:val="22"/>
        </w:rPr>
        <w:t>so</w:t>
      </w:r>
      <w:proofErr w:type="gramEnd"/>
      <w:r w:rsidRPr="69D1710D">
        <w:rPr>
          <w:rFonts w:eastAsia="Arial" w:cs="Arial"/>
          <w:szCs w:val="22"/>
        </w:rPr>
        <w:t xml:space="preserve"> if a Provid</w:t>
      </w:r>
      <w:r>
        <w:rPr>
          <w:rFonts w:eastAsia="Arial" w:cs="Arial"/>
          <w:szCs w:val="22"/>
        </w:rPr>
        <w:t>er scores 8 (2 marks in each question) from the available 5 marks</w:t>
      </w:r>
      <w:r w:rsidRPr="69D1710D">
        <w:rPr>
          <w:rFonts w:eastAsia="Arial" w:cs="Arial"/>
          <w:szCs w:val="22"/>
        </w:rPr>
        <w:t xml:space="preserve"> t</w:t>
      </w:r>
      <w:r>
        <w:rPr>
          <w:rFonts w:eastAsia="Arial" w:cs="Arial"/>
          <w:szCs w:val="22"/>
        </w:rPr>
        <w:t>his will equate to a result of 28</w:t>
      </w:r>
      <w:r w:rsidRPr="69D1710D">
        <w:rPr>
          <w:rFonts w:eastAsia="Arial" w:cs="Arial"/>
          <w:szCs w:val="22"/>
        </w:rPr>
        <w:t xml:space="preserve"> by using the following calculation:</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w:t>
      </w:r>
      <w:r>
        <w:rPr>
          <w:rFonts w:eastAsia="Arial" w:cs="Arial"/>
          <w:szCs w:val="22"/>
        </w:rPr>
        <w:t xml:space="preserve">Total </w:t>
      </w:r>
      <w:r w:rsidRPr="69D1710D">
        <w:rPr>
          <w:rFonts w:eastAsia="Arial" w:cs="Arial"/>
          <w:szCs w:val="22"/>
        </w:rPr>
        <w:t>Score/Total Points Available) x Criterion We</w:t>
      </w:r>
      <w:r>
        <w:rPr>
          <w:rFonts w:eastAsia="Arial" w:cs="Arial"/>
          <w:szCs w:val="22"/>
        </w:rPr>
        <w:t>ighting ((8/20) x 70 = 28</w:t>
      </w:r>
      <w:r w:rsidRPr="69D1710D">
        <w:rPr>
          <w:rFonts w:eastAsia="Arial" w:cs="Arial"/>
          <w:szCs w:val="22"/>
        </w:rPr>
        <w:t xml:space="preserve">) </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b/>
          <w:bCs/>
          <w:szCs w:val="22"/>
        </w:rPr>
        <w:t>Compliant/Non-compliant Criteria</w:t>
      </w:r>
    </w:p>
    <w:p w:rsidR="000C3EAD" w:rsidRDefault="000C3EAD" w:rsidP="000C3EAD">
      <w:pPr>
        <w:jc w:val="both"/>
      </w:pPr>
      <w:r w:rsidRPr="69D1710D">
        <w:rPr>
          <w:rFonts w:eastAsia="Arial" w:cs="Arial"/>
          <w:b/>
          <w:bCs/>
          <w:szCs w:val="22"/>
        </w:rPr>
        <w:t xml:space="preserve"> </w:t>
      </w:r>
    </w:p>
    <w:p w:rsidR="000C3EAD" w:rsidRDefault="000C3EAD" w:rsidP="000C3EAD">
      <w:pPr>
        <w:jc w:val="both"/>
      </w:pPr>
      <w:r w:rsidRPr="69D1710D">
        <w:rPr>
          <w:rFonts w:eastAsia="Arial" w:cs="Arial"/>
          <w:szCs w:val="22"/>
        </w:rPr>
        <w:t xml:space="preserve">The following table sets out the mandatory </w:t>
      </w:r>
      <w:r>
        <w:rPr>
          <w:rFonts w:eastAsia="Arial" w:cs="Arial"/>
          <w:szCs w:val="22"/>
        </w:rPr>
        <w:t>Pass/Fail</w:t>
      </w:r>
      <w:r w:rsidRPr="69D1710D">
        <w:rPr>
          <w:rFonts w:eastAsia="Arial" w:cs="Arial"/>
          <w:szCs w:val="22"/>
        </w:rPr>
        <w:t xml:space="preserve"> Criteria for Technical Part 1 Evaluation that will be used to evaluate tenders.  The numbering below maps across to the EVM Foundation &amp; Practitioner training statement of requirement.</w:t>
      </w:r>
    </w:p>
    <w:p w:rsidR="000C3EAD" w:rsidRDefault="000C3EAD" w:rsidP="000C3EAD">
      <w:pPr>
        <w:jc w:val="both"/>
      </w:pPr>
      <w:r w:rsidRPr="69D1710D">
        <w:rPr>
          <w:rFonts w:eastAsia="Arial" w:cs="Arial"/>
          <w:szCs w:val="22"/>
        </w:rPr>
        <w:t xml:space="preserve"> </w:t>
      </w:r>
    </w:p>
    <w:p w:rsidR="000C3EAD" w:rsidRDefault="000C3EAD" w:rsidP="000C3EAD">
      <w:pPr>
        <w:jc w:val="both"/>
      </w:pPr>
      <w:r w:rsidRPr="69D1710D">
        <w:rPr>
          <w:rFonts w:eastAsia="Arial" w:cs="Arial"/>
          <w:szCs w:val="22"/>
        </w:rPr>
        <w:t>Please indicate your response to these criteria below:</w:t>
      </w:r>
    </w:p>
    <w:p w:rsidR="000C3EAD" w:rsidRDefault="000C3EAD" w:rsidP="000C3EAD">
      <w:pPr>
        <w:jc w:val="both"/>
      </w:pPr>
      <w:r w:rsidRPr="69D1710D">
        <w:rPr>
          <w:rFonts w:eastAsia="Arial" w:cs="Arial"/>
          <w:szCs w:val="22"/>
        </w:rPr>
        <w:t xml:space="preserve"> </w:t>
      </w:r>
    </w:p>
    <w:tbl>
      <w:tblPr>
        <w:tblStyle w:val="GridTable1Light-Accent1"/>
        <w:tblW w:w="10515" w:type="dxa"/>
        <w:tblLayout w:type="fixed"/>
        <w:tblLook w:val="06A0" w:firstRow="1" w:lastRow="0" w:firstColumn="1" w:lastColumn="0" w:noHBand="1" w:noVBand="1"/>
      </w:tblPr>
      <w:tblGrid>
        <w:gridCol w:w="3015"/>
        <w:gridCol w:w="3015"/>
        <w:gridCol w:w="4485"/>
      </w:tblGrid>
      <w:tr w:rsidR="000C3EAD"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69D1710D">
              <w:rPr>
                <w:rFonts w:eastAsia="Arial" w:cs="Arial"/>
              </w:rPr>
              <w:t>Task</w:t>
            </w:r>
          </w:p>
          <w:p w:rsidR="000C3EAD" w:rsidRDefault="000C3EAD" w:rsidP="00E37CED">
            <w:pPr>
              <w:jc w:val="both"/>
            </w:pPr>
            <w:r w:rsidRPr="69D1710D">
              <w:rPr>
                <w:rFonts w:eastAsia="Arial" w:cs="Arial"/>
              </w:rPr>
              <w:t xml:space="preserve"> </w:t>
            </w:r>
          </w:p>
        </w:tc>
        <w:tc>
          <w:tcPr>
            <w:tcW w:w="3015" w:type="dxa"/>
          </w:tcPr>
          <w:p w:rsidR="000C3EAD" w:rsidRDefault="000C3EAD" w:rsidP="00E37CED">
            <w:pPr>
              <w:jc w:val="both"/>
              <w:cnfStyle w:val="100000000000" w:firstRow="1" w:lastRow="0" w:firstColumn="0" w:lastColumn="0" w:oddVBand="0" w:evenVBand="0" w:oddHBand="0" w:evenHBand="0" w:firstRowFirstColumn="0" w:firstRowLastColumn="0" w:lastRowFirstColumn="0" w:lastRowLastColumn="0"/>
            </w:pPr>
            <w:r w:rsidRPr="69D1710D">
              <w:rPr>
                <w:rFonts w:eastAsia="Arial" w:cs="Arial"/>
              </w:rPr>
              <w:t xml:space="preserve"> </w:t>
            </w:r>
          </w:p>
        </w:tc>
        <w:tc>
          <w:tcPr>
            <w:tcW w:w="4485" w:type="dxa"/>
          </w:tcPr>
          <w:p w:rsidR="000C3EAD" w:rsidRDefault="000C3EAD" w:rsidP="00E37CED">
            <w:pPr>
              <w:jc w:val="both"/>
              <w:cnfStyle w:val="100000000000" w:firstRow="1" w:lastRow="0" w:firstColumn="0" w:lastColumn="0" w:oddVBand="0" w:evenVBand="0" w:oddHBand="0" w:evenHBand="0" w:firstRowFirstColumn="0" w:firstRowLastColumn="0" w:lastRowFirstColumn="0" w:lastRowLastColumn="0"/>
            </w:pPr>
            <w:r w:rsidRPr="69D1710D">
              <w:rPr>
                <w:rFonts w:eastAsia="Arial" w:cs="Arial"/>
              </w:rPr>
              <w:t>Evidence Required</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69D1710D">
              <w:rPr>
                <w:rFonts w:eastAsia="Arial" w:cs="Arial"/>
              </w:rPr>
              <w:t>1.Background</w:t>
            </w:r>
          </w:p>
        </w:tc>
        <w:tc>
          <w:tcPr>
            <w:tcW w:w="301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 xml:space="preserve"> </w:t>
            </w:r>
          </w:p>
        </w:tc>
        <w:tc>
          <w:tcPr>
            <w:tcW w:w="44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N/A</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69D1710D">
              <w:rPr>
                <w:rFonts w:eastAsia="Arial" w:cs="Arial"/>
              </w:rPr>
              <w:t>2. Scope of Requirement</w:t>
            </w:r>
          </w:p>
        </w:tc>
        <w:tc>
          <w:tcPr>
            <w:tcW w:w="301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 xml:space="preserve"> </w:t>
            </w:r>
          </w:p>
        </w:tc>
        <w:tc>
          <w:tcPr>
            <w:tcW w:w="44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rPr>
              <w:t>N/A</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003A7CC8">
              <w:rPr>
                <w:rFonts w:eastAsia="Arial" w:cs="Arial"/>
              </w:rPr>
              <w:t>3. Affiliation</w:t>
            </w:r>
          </w:p>
        </w:tc>
        <w:tc>
          <w:tcPr>
            <w:tcW w:w="3015" w:type="dxa"/>
          </w:tcPr>
          <w:p w:rsidR="000C3EAD" w:rsidRPr="003A7CC8" w:rsidRDefault="000C3EAD" w:rsidP="00E37CED">
            <w:pPr>
              <w:cnfStyle w:val="000000000000" w:firstRow="0" w:lastRow="0" w:firstColumn="0" w:lastColumn="0" w:oddVBand="0" w:evenVBand="0" w:oddHBand="0" w:evenHBand="0" w:firstRowFirstColumn="0" w:firstRowLastColumn="0" w:lastRowFirstColumn="0" w:lastRowLastColumn="0"/>
              <w:rPr>
                <w:sz w:val="20"/>
              </w:rPr>
            </w:pPr>
            <w:r w:rsidRPr="003A7CC8">
              <w:rPr>
                <w:rFonts w:eastAsia="Arial" w:cs="Arial"/>
                <w:sz w:val="20"/>
              </w:rPr>
              <w:t xml:space="preserve">The provider must be an Accredited Training Organisation (ATO) (or an affiliate of) for APMG International </w:t>
            </w:r>
            <w:proofErr w:type="gramStart"/>
            <w:r w:rsidRPr="003A7CC8">
              <w:rPr>
                <w:rFonts w:eastAsia="Arial" w:cs="Arial"/>
                <w:sz w:val="20"/>
              </w:rPr>
              <w:t>in order to</w:t>
            </w:r>
            <w:proofErr w:type="gramEnd"/>
            <w:r w:rsidRPr="003A7CC8">
              <w:rPr>
                <w:rFonts w:eastAsia="Arial" w:cs="Arial"/>
                <w:sz w:val="20"/>
              </w:rPr>
              <w:t xml:space="preserve"> provide courses and exams in APMG International qualification schemes</w:t>
            </w:r>
          </w:p>
        </w:tc>
        <w:tc>
          <w:tcPr>
            <w:tcW w:w="44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3A7CC8">
              <w:rPr>
                <w:rFonts w:eastAsia="Arial" w:cs="Arial"/>
                <w:sz w:val="20"/>
              </w:rPr>
              <w:t xml:space="preserve">Please confirm you are an Accredited Training Organisation (ATO) (or an affiliate of) for APMG International </w:t>
            </w:r>
            <w:proofErr w:type="gramStart"/>
            <w:r w:rsidRPr="003A7CC8">
              <w:rPr>
                <w:rFonts w:eastAsia="Arial" w:cs="Arial"/>
                <w:sz w:val="20"/>
              </w:rPr>
              <w:t>in order to</w:t>
            </w:r>
            <w:proofErr w:type="gramEnd"/>
            <w:r w:rsidRPr="003A7CC8">
              <w:rPr>
                <w:rFonts w:eastAsia="Arial" w:cs="Arial"/>
                <w:sz w:val="20"/>
              </w:rPr>
              <w:t xml:space="preserve"> provide courses and exams in APMG International qualification schemes</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Pr>
                <w:sz w:val="20"/>
              </w:rPr>
              <w:t>a.</w:t>
            </w:r>
            <w:r>
              <w:rPr>
                <w:sz w:val="20"/>
              </w:rPr>
              <w:tab/>
              <w:t xml:space="preserve">Pass </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b.</w:t>
            </w:r>
            <w:r w:rsidRPr="003A7CC8">
              <w:rPr>
                <w:sz w:val="20"/>
              </w:rPr>
              <w:tab/>
            </w:r>
            <w:r>
              <w:rPr>
                <w:sz w:val="20"/>
              </w:rPr>
              <w:t>Fail</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003A7CC8">
              <w:t>4. Timing</w:t>
            </w:r>
          </w:p>
        </w:tc>
        <w:tc>
          <w:tcPr>
            <w:tcW w:w="301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Pr>
                <w:sz w:val="20"/>
              </w:rPr>
              <w:t>Maximum of 12</w:t>
            </w:r>
            <w:r w:rsidRPr="003A7CC8">
              <w:rPr>
                <w:sz w:val="20"/>
              </w:rPr>
              <w:t xml:space="preserve"> </w:t>
            </w:r>
            <w:proofErr w:type="gramStart"/>
            <w:r w:rsidRPr="003A7CC8">
              <w:rPr>
                <w:sz w:val="20"/>
              </w:rPr>
              <w:t>classroom based</w:t>
            </w:r>
            <w:proofErr w:type="gramEnd"/>
            <w:r w:rsidRPr="003A7CC8">
              <w:rPr>
                <w:sz w:val="20"/>
              </w:rPr>
              <w:t xml:space="preserve"> t</w:t>
            </w:r>
            <w:r>
              <w:rPr>
                <w:sz w:val="20"/>
              </w:rPr>
              <w:t>raining events until 31 Mar 2020</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Courses are scheduled for:</w:t>
            </w:r>
          </w:p>
          <w:p w:rsidR="000C3EAD" w:rsidRPr="00B3187F"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3187F">
              <w:rPr>
                <w:rFonts w:eastAsia="Arial" w:cs="Arial"/>
                <w:sz w:val="20"/>
              </w:rPr>
              <w:t>Courses are scheduled for:</w:t>
            </w:r>
          </w:p>
          <w:p w:rsidR="000C3EAD" w:rsidRPr="00B3187F"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Pr>
                <w:rFonts w:eastAsia="Arial" w:cs="Arial"/>
                <w:sz w:val="20"/>
              </w:rPr>
              <w:t>1st</w:t>
            </w:r>
            <w:r w:rsidRPr="00B3187F">
              <w:rPr>
                <w:rFonts w:eastAsia="Arial" w:cs="Arial"/>
                <w:sz w:val="20"/>
              </w:rPr>
              <w:t xml:space="preserve"> </w:t>
            </w:r>
            <w:r>
              <w:rPr>
                <w:rFonts w:eastAsia="Arial" w:cs="Arial"/>
                <w:sz w:val="20"/>
              </w:rPr>
              <w:t>July- 5</w:t>
            </w:r>
            <w:r w:rsidRPr="00B3187F">
              <w:rPr>
                <w:rFonts w:eastAsia="Arial" w:cs="Arial"/>
                <w:sz w:val="20"/>
              </w:rPr>
              <w:t xml:space="preserve">nd </w:t>
            </w:r>
            <w:r>
              <w:rPr>
                <w:rFonts w:eastAsia="Arial" w:cs="Arial"/>
                <w:sz w:val="20"/>
              </w:rPr>
              <w:t>July 2019</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Pr>
                <w:rFonts w:eastAsia="Arial" w:cs="Arial"/>
                <w:sz w:val="20"/>
              </w:rPr>
              <w:t>19th-23rd August 2019</w:t>
            </w:r>
          </w:p>
          <w:p w:rsidR="000C3EAD" w:rsidRPr="00B3187F"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3187F">
              <w:rPr>
                <w:rFonts w:eastAsia="Arial" w:cs="Arial"/>
                <w:sz w:val="20"/>
              </w:rPr>
              <w:t xml:space="preserve"> </w:t>
            </w:r>
          </w:p>
          <w:p w:rsidR="000C3EAD" w:rsidRPr="00B3187F"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3187F">
              <w:rPr>
                <w:rFonts w:eastAsia="Arial" w:cs="Arial"/>
                <w:sz w:val="20"/>
              </w:rPr>
              <w:t>A</w:t>
            </w:r>
            <w:r>
              <w:rPr>
                <w:rFonts w:eastAsia="Arial" w:cs="Arial"/>
                <w:sz w:val="20"/>
              </w:rPr>
              <w:t xml:space="preserve"> further 10</w:t>
            </w:r>
            <w:r w:rsidRPr="00B3187F">
              <w:rPr>
                <w:rFonts w:eastAsia="Arial" w:cs="Arial"/>
                <w:sz w:val="20"/>
              </w:rPr>
              <w:t xml:space="preserve"> courses between </w:t>
            </w:r>
            <w:r>
              <w:rPr>
                <w:rFonts w:eastAsia="Arial" w:cs="Arial"/>
                <w:sz w:val="20"/>
              </w:rPr>
              <w:t>contract award -31st March 2020</w:t>
            </w:r>
            <w:r w:rsidRPr="00B3187F">
              <w:rPr>
                <w:rFonts w:eastAsia="Arial" w:cs="Arial"/>
                <w:sz w:val="20"/>
              </w:rPr>
              <w:t xml:space="preserve"> as agreed between the parties</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Option Years</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 xml:space="preserve">(Should the Authority exercise the option for the further 2 x 1 year) with a schedule to determine by the Authority – this may be at short notice </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Option Year 1</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Pr>
                <w:sz w:val="20"/>
              </w:rPr>
              <w:t>Maximum of 12</w:t>
            </w:r>
            <w:r w:rsidRPr="003A7CC8">
              <w:rPr>
                <w:sz w:val="20"/>
              </w:rPr>
              <w:t xml:space="preserve"> </w:t>
            </w:r>
            <w:proofErr w:type="gramStart"/>
            <w:r w:rsidRPr="003A7CC8">
              <w:rPr>
                <w:sz w:val="20"/>
              </w:rPr>
              <w:t>classroom based</w:t>
            </w:r>
            <w:proofErr w:type="gramEnd"/>
            <w:r w:rsidRPr="003A7CC8">
              <w:rPr>
                <w:sz w:val="20"/>
              </w:rPr>
              <w:t xml:space="preserve"> training events - 1 A</w:t>
            </w:r>
            <w:r>
              <w:rPr>
                <w:sz w:val="20"/>
              </w:rPr>
              <w:t>pr 20 – 31 Mar 21</w:t>
            </w:r>
            <w:r w:rsidRPr="003A7CC8">
              <w:rPr>
                <w:sz w:val="20"/>
              </w:rPr>
              <w:t xml:space="preserve">, </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Option Year 2</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3A7CC8">
              <w:rPr>
                <w:sz w:val="20"/>
              </w:rPr>
              <w:t>Maximum</w:t>
            </w:r>
            <w:r>
              <w:rPr>
                <w:sz w:val="20"/>
              </w:rPr>
              <w:t xml:space="preserve"> of 12</w:t>
            </w:r>
            <w:r w:rsidRPr="003A7CC8">
              <w:rPr>
                <w:sz w:val="20"/>
              </w:rPr>
              <w:t xml:space="preserve"> </w:t>
            </w:r>
            <w:proofErr w:type="gramStart"/>
            <w:r w:rsidRPr="003A7CC8">
              <w:rPr>
                <w:sz w:val="20"/>
              </w:rPr>
              <w:t>classroo</w:t>
            </w:r>
            <w:r>
              <w:rPr>
                <w:sz w:val="20"/>
              </w:rPr>
              <w:t>m based</w:t>
            </w:r>
            <w:proofErr w:type="gramEnd"/>
            <w:r>
              <w:rPr>
                <w:sz w:val="20"/>
              </w:rPr>
              <w:t xml:space="preserve"> training events 1 Apr 21 – 31 Mar 22</w:t>
            </w:r>
            <w:r w:rsidRPr="003A7CC8">
              <w:rPr>
                <w:sz w:val="20"/>
              </w:rPr>
              <w:t xml:space="preserve">  </w:t>
            </w:r>
          </w:p>
        </w:tc>
        <w:tc>
          <w:tcPr>
            <w:tcW w:w="4485" w:type="dxa"/>
          </w:tcPr>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A7CC8">
              <w:rPr>
                <w:rFonts w:eastAsiaTheme="minorEastAsia" w:cs="Arial"/>
                <w:sz w:val="20"/>
              </w:rPr>
              <w:t xml:space="preserve">Please confirm you </w:t>
            </w:r>
            <w:proofErr w:type="gramStart"/>
            <w:r w:rsidRPr="003A7CC8">
              <w:rPr>
                <w:rFonts w:eastAsiaTheme="minorEastAsia" w:cs="Arial"/>
                <w:sz w:val="20"/>
              </w:rPr>
              <w:t>are able to</w:t>
            </w:r>
            <w:proofErr w:type="gramEnd"/>
            <w:r w:rsidRPr="003A7CC8">
              <w:rPr>
                <w:rFonts w:eastAsiaTheme="minorEastAsia" w:cs="Arial"/>
                <w:sz w:val="20"/>
              </w:rPr>
              <w:t xml:space="preserve"> meet the timelines of the requirement.</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A7CC8">
              <w:rPr>
                <w:rFonts w:eastAsiaTheme="minorEastAsia" w:cs="Arial"/>
                <w:sz w:val="20"/>
              </w:rPr>
              <w:t>a.</w:t>
            </w:r>
            <w:r w:rsidRPr="003A7CC8">
              <w:rPr>
                <w:rFonts w:eastAsiaTheme="minorEastAsia" w:cs="Arial"/>
                <w:sz w:val="20"/>
              </w:rPr>
              <w:tab/>
              <w:t xml:space="preserve">Pass </w:t>
            </w:r>
          </w:p>
          <w:p w:rsidR="000C3EAD" w:rsidRPr="003A7CC8"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A7CC8">
              <w:rPr>
                <w:rFonts w:eastAsiaTheme="minorEastAsia" w:cs="Arial"/>
                <w:sz w:val="20"/>
              </w:rPr>
              <w:t>b.</w:t>
            </w:r>
            <w:r w:rsidRPr="003A7CC8">
              <w:rPr>
                <w:rFonts w:eastAsiaTheme="minorEastAsia" w:cs="Arial"/>
                <w:sz w:val="20"/>
              </w:rPr>
              <w:tab/>
              <w:t>Fail</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Pr="002740A5" w:rsidRDefault="000C3EAD" w:rsidP="00E37CED">
            <w:pPr>
              <w:jc w:val="both"/>
              <w:rPr>
                <w:szCs w:val="22"/>
              </w:rPr>
            </w:pPr>
            <w:r w:rsidRPr="002740A5">
              <w:rPr>
                <w:rFonts w:eastAsia="Arial" w:cs="Arial"/>
                <w:szCs w:val="22"/>
              </w:rPr>
              <w:lastRenderedPageBreak/>
              <w:t>5. Class size</w:t>
            </w:r>
          </w:p>
        </w:tc>
        <w:tc>
          <w:tcPr>
            <w:tcW w:w="301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The Provider s</w:t>
            </w:r>
            <w:r>
              <w:rPr>
                <w:rFonts w:eastAsia="Arial" w:cs="Arial"/>
                <w:sz w:val="20"/>
              </w:rPr>
              <w:t>hall make provision for up to 14</w:t>
            </w:r>
            <w:r w:rsidRPr="69D1710D">
              <w:rPr>
                <w:rFonts w:eastAsia="Arial" w:cs="Arial"/>
                <w:sz w:val="20"/>
              </w:rPr>
              <w:t xml:space="preserve"> students per class</w:t>
            </w:r>
            <w:r>
              <w:rPr>
                <w:rFonts w:eastAsia="Arial" w:cs="Arial"/>
                <w:sz w:val="20"/>
              </w:rPr>
              <w:t xml:space="preserve"> </w:t>
            </w:r>
          </w:p>
        </w:tc>
        <w:tc>
          <w:tcPr>
            <w:tcW w:w="4485"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Please confirm </w:t>
            </w:r>
            <w:r>
              <w:rPr>
                <w:rFonts w:eastAsia="Arial" w:cs="Arial"/>
                <w:sz w:val="20"/>
              </w:rPr>
              <w:t>that 14 delegates can be accommodated per class</w:t>
            </w:r>
            <w:r w:rsidRPr="69D1710D">
              <w:rPr>
                <w:rFonts w:eastAsia="Arial" w:cs="Arial"/>
                <w:sz w:val="20"/>
              </w:rPr>
              <w:t>:</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a.</w:t>
            </w:r>
            <w:r w:rsidRPr="002740A5">
              <w:rPr>
                <w:rFonts w:eastAsia="Arial" w:cs="Arial"/>
                <w:sz w:val="20"/>
              </w:rPr>
              <w:tab/>
              <w:t xml:space="preserve">Pass </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002740A5">
              <w:rPr>
                <w:rFonts w:eastAsia="Arial" w:cs="Arial"/>
                <w:sz w:val="20"/>
              </w:rPr>
              <w:t>b.</w:t>
            </w:r>
            <w:r w:rsidRPr="002740A5">
              <w:rPr>
                <w:rFonts w:eastAsia="Arial" w:cs="Arial"/>
                <w:sz w:val="20"/>
              </w:rPr>
              <w:tab/>
              <w:t>Fail</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002740A5">
              <w:t>6.  Location</w:t>
            </w:r>
          </w:p>
        </w:tc>
        <w:tc>
          <w:tcPr>
            <w:tcW w:w="3015" w:type="dxa"/>
          </w:tcPr>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sz w:val="20"/>
              </w:rPr>
            </w:pPr>
            <w:r w:rsidRPr="002740A5">
              <w:rPr>
                <w:sz w:val="20"/>
              </w:rPr>
              <w:t xml:space="preserve">The Authority will provide a classroom environment at either MoD Abbey wood or within a </w:t>
            </w:r>
            <w:proofErr w:type="gramStart"/>
            <w:r w:rsidRPr="002740A5">
              <w:rPr>
                <w:sz w:val="20"/>
              </w:rPr>
              <w:t>5 mile</w:t>
            </w:r>
            <w:proofErr w:type="gramEnd"/>
            <w:r w:rsidRPr="002740A5">
              <w:rPr>
                <w:sz w:val="20"/>
              </w:rPr>
              <w:t xml:space="preserve"> radius for the delivery of the training course</w:t>
            </w:r>
          </w:p>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002740A5">
              <w:rPr>
                <w:sz w:val="20"/>
              </w:rPr>
              <w:t xml:space="preserve">It may be necessary to carry out courses at other UK locations although this is rare and subject to demand; </w:t>
            </w:r>
            <w:proofErr w:type="gramStart"/>
            <w:r w:rsidRPr="002740A5">
              <w:rPr>
                <w:sz w:val="20"/>
              </w:rPr>
              <w:t>the majority of</w:t>
            </w:r>
            <w:proofErr w:type="gramEnd"/>
            <w:r w:rsidRPr="002740A5">
              <w:rPr>
                <w:sz w:val="20"/>
              </w:rPr>
              <w:t xml:space="preserve"> training will be at MoD Abbey Wood</w:t>
            </w:r>
          </w:p>
        </w:tc>
        <w:tc>
          <w:tcPr>
            <w:tcW w:w="44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t>N/A</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r w:rsidRPr="002740A5">
              <w:t>7.Course Administration and Deliverables</w:t>
            </w:r>
          </w:p>
        </w:tc>
        <w:tc>
          <w:tcPr>
            <w:tcW w:w="3015" w:type="dxa"/>
          </w:tcPr>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69D1710D">
              <w:rPr>
                <w:rFonts w:eastAsia="Arial" w:cs="Arial"/>
                <w:sz w:val="20"/>
              </w:rPr>
              <w:t xml:space="preserve"> </w:t>
            </w:r>
            <w:r w:rsidRPr="002740A5">
              <w:rPr>
                <w:rFonts w:eastAsia="Arial" w:cs="Arial"/>
                <w:sz w:val="20"/>
              </w:rPr>
              <w:t>The provider will deliver all pre- course reading to a nominated point of contact</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The provider will deliver all course learning materials and accompanying structured course notes for each course. </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The provider will provide student evaluations, course feedback and exam outcomes</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The provider shall maintain a pass rate no less than 80%.  </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If 80% is not met, the Authority will hold a review with the provider invoking the reduction to the maximum cost in line with the RFQ.  </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The Authority reserves the right to terminate the contract should pass rates not improve.</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The provider is to provide a copy of APM </w:t>
            </w:r>
            <w:r>
              <w:rPr>
                <w:rFonts w:eastAsia="Arial" w:cs="Arial"/>
                <w:sz w:val="20"/>
              </w:rPr>
              <w:t>Planning, Scheduling, Monitoring and Control – the Practical Project Management of Time, Cost and Risk (ISBN 978-1-903494-44-8</w:t>
            </w:r>
            <w:r w:rsidRPr="002740A5">
              <w:rPr>
                <w:rFonts w:eastAsia="Arial" w:cs="Arial"/>
                <w:sz w:val="20"/>
              </w:rPr>
              <w:t>) per attendee to be delivered in conjunction with pre-course reading material</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p>
        </w:tc>
        <w:tc>
          <w:tcPr>
            <w:tcW w:w="4485"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Please confirm whether you </w:t>
            </w:r>
            <w:proofErr w:type="gramStart"/>
            <w:r w:rsidRPr="69D1710D">
              <w:rPr>
                <w:rFonts w:eastAsia="Arial" w:cs="Arial"/>
                <w:sz w:val="20"/>
              </w:rPr>
              <w:t>are</w:t>
            </w:r>
            <w:r>
              <w:rPr>
                <w:rFonts w:eastAsia="Arial" w:cs="Arial"/>
                <w:sz w:val="20"/>
              </w:rPr>
              <w:t xml:space="preserve"> able to</w:t>
            </w:r>
            <w:proofErr w:type="gramEnd"/>
            <w:r>
              <w:rPr>
                <w:rFonts w:eastAsia="Arial" w:cs="Arial"/>
                <w:sz w:val="20"/>
              </w:rPr>
              <w:t xml:space="preserve"> meet the Course Administration and Deliverables</w:t>
            </w:r>
            <w:r w:rsidRPr="69D1710D">
              <w:rPr>
                <w:rFonts w:eastAsia="Arial" w:cs="Arial"/>
                <w:sz w:val="20"/>
              </w:rPr>
              <w:t>:</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a)         </w:t>
            </w:r>
            <w:r>
              <w:rPr>
                <w:rFonts w:eastAsia="Arial" w:cs="Arial"/>
                <w:sz w:val="20"/>
              </w:rPr>
              <w:t>Pass</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b)         </w:t>
            </w:r>
            <w:r>
              <w:rPr>
                <w:rFonts w:eastAsia="Arial" w:cs="Arial"/>
                <w:sz w:val="20"/>
              </w:rPr>
              <w:t>Fail</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r w:rsidRPr="002740A5">
              <w:t>8.Management Information</w:t>
            </w:r>
          </w:p>
        </w:tc>
        <w:tc>
          <w:tcPr>
            <w:tcW w:w="3015"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002740A5">
              <w:rPr>
                <w:rFonts w:eastAsia="Arial" w:cs="Arial"/>
                <w:sz w:val="20"/>
              </w:rPr>
              <w:t>The provider shall issue a copy of the examination results and success rate metrics after every course to the nominated point of contact</w:t>
            </w:r>
          </w:p>
        </w:tc>
        <w:tc>
          <w:tcPr>
            <w:tcW w:w="4485" w:type="dxa"/>
          </w:tcPr>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 xml:space="preserve">Please confirm whether you </w:t>
            </w:r>
            <w:proofErr w:type="gramStart"/>
            <w:r w:rsidRPr="002740A5">
              <w:rPr>
                <w:sz w:val="20"/>
              </w:rPr>
              <w:t>are able to</w:t>
            </w:r>
            <w:proofErr w:type="gramEnd"/>
            <w:r w:rsidRPr="002740A5">
              <w:rPr>
                <w:sz w:val="20"/>
              </w:rPr>
              <w:t xml:space="preserve"> meet the Management Information deliverables:</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 xml:space="preserve"> </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a)         Pass</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b)         Fail</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r w:rsidRPr="002740A5">
              <w:t>9. Alternative Venue</w:t>
            </w:r>
          </w:p>
        </w:tc>
        <w:tc>
          <w:tcPr>
            <w:tcW w:w="3015" w:type="dxa"/>
          </w:tcPr>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The provider may be asked to source a venue within a </w:t>
            </w:r>
            <w:proofErr w:type="gramStart"/>
            <w:r w:rsidRPr="002740A5">
              <w:rPr>
                <w:rFonts w:eastAsia="Arial" w:cs="Arial"/>
                <w:sz w:val="20"/>
              </w:rPr>
              <w:t>5 mile</w:t>
            </w:r>
            <w:proofErr w:type="gramEnd"/>
            <w:r w:rsidRPr="002740A5">
              <w:rPr>
                <w:rFonts w:eastAsia="Arial" w:cs="Arial"/>
                <w:sz w:val="20"/>
              </w:rPr>
              <w:t xml:space="preserve"> radius on MoD Abbey Wood should facilities be unavailable.  </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The Authority will inform the provider </w:t>
            </w:r>
            <w:proofErr w:type="gramStart"/>
            <w:r w:rsidRPr="002740A5">
              <w:rPr>
                <w:rFonts w:eastAsia="Arial" w:cs="Arial"/>
                <w:sz w:val="20"/>
              </w:rPr>
              <w:t>whether or not</w:t>
            </w:r>
            <w:proofErr w:type="gramEnd"/>
            <w:r w:rsidRPr="002740A5">
              <w:rPr>
                <w:rFonts w:eastAsia="Arial" w:cs="Arial"/>
                <w:sz w:val="20"/>
              </w:rPr>
              <w:t xml:space="preserve"> </w:t>
            </w:r>
            <w:r w:rsidRPr="002740A5">
              <w:rPr>
                <w:rFonts w:eastAsia="Arial" w:cs="Arial"/>
                <w:sz w:val="20"/>
              </w:rPr>
              <w:lastRenderedPageBreak/>
              <w:t>provision of venue is required on a course by course basis.</w:t>
            </w:r>
          </w:p>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 xml:space="preserve"> </w:t>
            </w:r>
          </w:p>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2740A5">
              <w:rPr>
                <w:rFonts w:eastAsia="Arial" w:cs="Arial"/>
                <w:sz w:val="20"/>
              </w:rPr>
              <w:t>The provider shall ensure that the venue provides an acceptable classroom training environment</w:t>
            </w:r>
          </w:p>
          <w:p w:rsidR="000C3EAD" w:rsidRPr="002740A5"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002740A5">
              <w:rPr>
                <w:rFonts w:eastAsia="Arial" w:cs="Arial"/>
                <w:sz w:val="20"/>
              </w:rPr>
              <w:t>Venue costs will be firm for each year and will be taken from the providers response to the RFQ</w:t>
            </w:r>
          </w:p>
        </w:tc>
        <w:tc>
          <w:tcPr>
            <w:tcW w:w="4485" w:type="dxa"/>
          </w:tcPr>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A firm price has been provided against venue hire if required</w:t>
            </w:r>
            <w:r w:rsidRPr="002740A5">
              <w:rPr>
                <w:sz w:val="20"/>
              </w:rPr>
              <w:t>:</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 xml:space="preserve"> </w:t>
            </w:r>
          </w:p>
          <w:p w:rsidR="000C3EAD" w:rsidRPr="002740A5"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a)         Pass</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r w:rsidRPr="002740A5">
              <w:rPr>
                <w:sz w:val="20"/>
              </w:rPr>
              <w:t>b)         Fail</w:t>
            </w: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rPr>
                <w:sz w:val="20"/>
              </w:rPr>
            </w:pPr>
          </w:p>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Pr>
                <w:sz w:val="20"/>
              </w:rPr>
              <w:lastRenderedPageBreak/>
              <w:t>The price will not be evaluated during the financial evaluation</w:t>
            </w:r>
          </w:p>
        </w:tc>
      </w:tr>
    </w:tbl>
    <w:p w:rsidR="000C3EAD" w:rsidRDefault="000C3EAD" w:rsidP="000C3EAD">
      <w:pPr>
        <w:jc w:val="both"/>
      </w:pPr>
      <w:r w:rsidRPr="69D1710D">
        <w:rPr>
          <w:rFonts w:eastAsia="Arial" w:cs="Arial"/>
          <w:szCs w:val="22"/>
        </w:rPr>
        <w:lastRenderedPageBreak/>
        <w:t xml:space="preserve"> </w:t>
      </w:r>
    </w:p>
    <w:p w:rsidR="000C3EAD" w:rsidRDefault="000C3EAD" w:rsidP="000C3EAD">
      <w:pPr>
        <w:jc w:val="both"/>
      </w:pPr>
      <w:r w:rsidRPr="69D1710D">
        <w:rPr>
          <w:rFonts w:ascii="Calibri" w:eastAsia="Calibri" w:hAnsi="Calibri" w:cs="Calibri"/>
          <w:b/>
          <w:bCs/>
          <w:szCs w:val="22"/>
        </w:rPr>
        <w:t>Scored Technical Criteria</w:t>
      </w:r>
    </w:p>
    <w:p w:rsidR="000C3EAD" w:rsidRDefault="000C3EAD" w:rsidP="000C3EAD">
      <w:pPr>
        <w:jc w:val="both"/>
      </w:pPr>
      <w:r w:rsidRPr="69D1710D">
        <w:rPr>
          <w:rFonts w:ascii="Calibri" w:eastAsia="Calibri" w:hAnsi="Calibri" w:cs="Calibri"/>
          <w:szCs w:val="22"/>
        </w:rPr>
        <w:t>The following table sets out the scored element of the technical Part 2 evaluation:</w:t>
      </w:r>
    </w:p>
    <w:tbl>
      <w:tblPr>
        <w:tblStyle w:val="GridTable1Light-Accent1"/>
        <w:tblW w:w="10470" w:type="dxa"/>
        <w:tblLayout w:type="fixed"/>
        <w:tblLook w:val="06A0" w:firstRow="1" w:lastRow="0" w:firstColumn="1" w:lastColumn="0" w:noHBand="1" w:noVBand="1"/>
      </w:tblPr>
      <w:tblGrid>
        <w:gridCol w:w="3015"/>
        <w:gridCol w:w="3015"/>
        <w:gridCol w:w="4440"/>
      </w:tblGrid>
      <w:tr w:rsidR="000C3EAD"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pPr>
              <w:jc w:val="both"/>
            </w:pPr>
            <w:r w:rsidRPr="69D1710D">
              <w:rPr>
                <w:rFonts w:eastAsia="Arial" w:cs="Arial"/>
                <w:sz w:val="20"/>
              </w:rPr>
              <w:t>Contractors Personnel</w:t>
            </w:r>
          </w:p>
        </w:tc>
        <w:tc>
          <w:tcPr>
            <w:tcW w:w="3015" w:type="dxa"/>
          </w:tcPr>
          <w:p w:rsidR="000C3EAD" w:rsidRDefault="000C3EAD" w:rsidP="00E37CED">
            <w:pPr>
              <w:jc w:val="both"/>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c>
          <w:tcPr>
            <w:tcW w:w="4440" w:type="dxa"/>
          </w:tcPr>
          <w:p w:rsidR="000C3EAD" w:rsidRDefault="000C3EAD" w:rsidP="00E37CED">
            <w:pPr>
              <w:jc w:val="both"/>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r>
      <w:tr w:rsidR="000C3EAD" w:rsidTr="00E37CED">
        <w:tc>
          <w:tcPr>
            <w:cnfStyle w:val="001000000000" w:firstRow="0" w:lastRow="0" w:firstColumn="1" w:lastColumn="0" w:oddVBand="0" w:evenVBand="0" w:oddHBand="0" w:evenHBand="0" w:firstRowFirstColumn="0" w:firstRowLastColumn="0" w:lastRowFirstColumn="0" w:lastRowLastColumn="0"/>
            <w:tcW w:w="3015" w:type="dxa"/>
          </w:tcPr>
          <w:p w:rsidR="000C3EAD" w:rsidRDefault="000C3EAD" w:rsidP="00E37CED">
            <w:r w:rsidRPr="69D1710D">
              <w:rPr>
                <w:rFonts w:eastAsia="Arial" w:cs="Arial"/>
                <w:sz w:val="20"/>
              </w:rPr>
              <w:t>Trainers</w:t>
            </w:r>
          </w:p>
        </w:tc>
        <w:tc>
          <w:tcPr>
            <w:tcW w:w="3015"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The provider shall provide suitably qualified and experienced personnel to deliver the training.  The provider must demonstrate knowledge and e</w:t>
            </w:r>
            <w:r>
              <w:rPr>
                <w:rFonts w:eastAsia="Arial" w:cs="Arial"/>
                <w:sz w:val="20"/>
              </w:rPr>
              <w:t>xperience of delivering APMG Project Planning and Control</w:t>
            </w:r>
            <w:r w:rsidRPr="69D1710D">
              <w:rPr>
                <w:rFonts w:eastAsia="Arial" w:cs="Arial"/>
                <w:sz w:val="20"/>
              </w:rPr>
              <w:t xml:space="preserve"> Foundation and Practitioner level training through the provision of Curriculum Vitae’s (CV’s)</w:t>
            </w: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c>
          <w:tcPr>
            <w:tcW w:w="4440"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Please provide details of the trainers that you propose to deliver the training.  You should provide a CV for each proposed trainer.  In addition, please ensure that the following are included:</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69D1710D">
              <w:rPr>
                <w:rFonts w:eastAsia="Arial" w:cs="Arial"/>
                <w:sz w:val="20"/>
              </w:rPr>
              <w:t xml:space="preserve"> </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Pr>
                <w:rFonts w:eastAsia="Arial" w:cs="Arial"/>
                <w:sz w:val="20"/>
              </w:rPr>
              <w:t>1)</w:t>
            </w:r>
            <w:r w:rsidRPr="69D1710D">
              <w:rPr>
                <w:rFonts w:eastAsia="Arial" w:cs="Arial"/>
                <w:sz w:val="20"/>
              </w:rPr>
              <w:t xml:space="preserve"> </w:t>
            </w:r>
            <w:r>
              <w:rPr>
                <w:rFonts w:eastAsia="Arial" w:cs="Arial"/>
                <w:sz w:val="20"/>
              </w:rPr>
              <w:t xml:space="preserve">[5 marks] </w:t>
            </w:r>
            <w:r w:rsidRPr="69D1710D">
              <w:rPr>
                <w:rFonts w:eastAsia="Arial" w:cs="Arial"/>
                <w:sz w:val="20"/>
              </w:rPr>
              <w:t>The trainer’s previous professional e</w:t>
            </w:r>
            <w:r>
              <w:rPr>
                <w:rFonts w:eastAsia="Arial" w:cs="Arial"/>
                <w:sz w:val="20"/>
              </w:rPr>
              <w:t>xperience of delivering APMG PPC</w:t>
            </w:r>
            <w:r w:rsidRPr="69D1710D">
              <w:rPr>
                <w:rFonts w:eastAsia="Arial" w:cs="Arial"/>
                <w:sz w:val="20"/>
              </w:rPr>
              <w:t xml:space="preserve"> Foundation and Practitioner training.</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2.  The trainers ex</w:t>
            </w:r>
            <w:r>
              <w:rPr>
                <w:rFonts w:eastAsia="Arial" w:cs="Arial"/>
                <w:sz w:val="20"/>
              </w:rPr>
              <w:t>perience in delivery of APMG PPC</w:t>
            </w:r>
            <w:r w:rsidRPr="69D1710D">
              <w:rPr>
                <w:rFonts w:eastAsia="Arial" w:cs="Arial"/>
                <w:sz w:val="20"/>
              </w:rPr>
              <w:t xml:space="preserve"> training courses, including:</w:t>
            </w:r>
          </w:p>
          <w:p w:rsidR="000C3EAD" w:rsidRDefault="000C3EAD" w:rsidP="000C3EA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Cs w:val="22"/>
              </w:rPr>
            </w:pPr>
            <w:r w:rsidRPr="69D1710D">
              <w:rPr>
                <w:rFonts w:eastAsia="Arial" w:cs="Arial"/>
                <w:sz w:val="20"/>
                <w:szCs w:val="20"/>
              </w:rPr>
              <w:t>How many times the trainer has delivered the required course at Foundation &amp; Practitioner l</w:t>
            </w:r>
            <w:r>
              <w:rPr>
                <w:rFonts w:eastAsia="Arial" w:cs="Arial"/>
                <w:sz w:val="20"/>
                <w:szCs w:val="20"/>
              </w:rPr>
              <w:t>evel in the last 12 months (March</w:t>
            </w:r>
            <w:r w:rsidRPr="69D1710D">
              <w:rPr>
                <w:rFonts w:eastAsia="Arial" w:cs="Arial"/>
                <w:sz w:val="20"/>
                <w:szCs w:val="20"/>
              </w:rPr>
              <w:t xml:space="preserve"> 1</w:t>
            </w:r>
            <w:r>
              <w:rPr>
                <w:rFonts w:eastAsia="Arial" w:cs="Arial"/>
                <w:sz w:val="20"/>
                <w:szCs w:val="20"/>
              </w:rPr>
              <w:t>8 - March 19</w:t>
            </w:r>
            <w:r w:rsidRPr="69D1710D">
              <w:rPr>
                <w:rFonts w:eastAsia="Arial" w:cs="Arial"/>
                <w:sz w:val="20"/>
                <w:szCs w:val="20"/>
              </w:rPr>
              <w:t>) and,</w:t>
            </w:r>
          </w:p>
          <w:p w:rsidR="000C3EAD" w:rsidRDefault="000C3EAD" w:rsidP="000C3EA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Cs w:val="22"/>
              </w:rPr>
            </w:pPr>
            <w:r w:rsidRPr="69D1710D">
              <w:rPr>
                <w:rFonts w:eastAsia="Arial" w:cs="Arial"/>
                <w:sz w:val="20"/>
                <w:szCs w:val="20"/>
              </w:rPr>
              <w:t>The average pass rate achieved for those courses.</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3. Whether the proposed trainer holds</w:t>
            </w:r>
            <w:r>
              <w:rPr>
                <w:rFonts w:eastAsia="Arial" w:cs="Arial"/>
                <w:sz w:val="20"/>
              </w:rPr>
              <w:t xml:space="preserve"> the desired </w:t>
            </w:r>
            <w:r w:rsidRPr="69D1710D">
              <w:rPr>
                <w:rFonts w:eastAsia="Arial" w:cs="Arial"/>
                <w:sz w:val="20"/>
              </w:rPr>
              <w:t>Baseline or Security Clearance and when it expires</w:t>
            </w:r>
            <w:r>
              <w:rPr>
                <w:rFonts w:eastAsia="Arial" w:cs="Arial"/>
                <w:sz w:val="20"/>
              </w:rPr>
              <w:t xml:space="preserve"> or is willing to obtain it</w:t>
            </w:r>
            <w:r w:rsidRPr="69D1710D">
              <w:rPr>
                <w:rFonts w:eastAsia="Arial" w:cs="Arial"/>
                <w:sz w:val="20"/>
              </w:rPr>
              <w:t>.</w:t>
            </w:r>
          </w:p>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4. At least two contacts who can be approached to provide references on the trainer’s behalf.</w:t>
            </w: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A CV should be supplied for each proposed trainer on no more than two sides of A4 paper each in size ten </w:t>
            </w:r>
            <w:proofErr w:type="spellStart"/>
            <w:r w:rsidRPr="69D1710D">
              <w:rPr>
                <w:rFonts w:eastAsia="Arial" w:cs="Arial"/>
                <w:sz w:val="20"/>
              </w:rPr>
              <w:t>arial</w:t>
            </w:r>
            <w:proofErr w:type="spellEnd"/>
            <w:r w:rsidRPr="69D1710D">
              <w:rPr>
                <w:rFonts w:eastAsia="Arial" w:cs="Arial"/>
                <w:sz w:val="20"/>
              </w:rPr>
              <w:t xml:space="preserve"> font along with a summary paper (adhering to the page limit set out above)</w:t>
            </w: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r>
    </w:tbl>
    <w:p w:rsidR="000C3EAD" w:rsidRDefault="000C3EAD" w:rsidP="000C3EAD">
      <w:r w:rsidRPr="69D1710D">
        <w:rPr>
          <w:rFonts w:ascii="Calibri" w:eastAsia="Calibri" w:hAnsi="Calibri" w:cs="Calibri"/>
          <w:szCs w:val="22"/>
        </w:rPr>
        <w:t xml:space="preserve"> </w:t>
      </w: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pPr>
      <w:r w:rsidRPr="69D1710D">
        <w:rPr>
          <w:rFonts w:ascii="Calibri" w:eastAsia="Calibri" w:hAnsi="Calibri" w:cs="Calibri"/>
          <w:szCs w:val="22"/>
        </w:rPr>
        <w:t>The criteria for assessing the tender response to this scored question as follows:</w:t>
      </w:r>
    </w:p>
    <w:p w:rsidR="000C3EAD" w:rsidRDefault="000C3EAD" w:rsidP="000C3EAD">
      <w:pPr>
        <w:jc w:val="both"/>
      </w:pPr>
      <w:r w:rsidRPr="69D1710D">
        <w:rPr>
          <w:rFonts w:ascii="Calibri" w:eastAsia="Calibri" w:hAnsi="Calibri" w:cs="Calibri"/>
          <w:szCs w:val="22"/>
        </w:rPr>
        <w:t xml:space="preserve"> </w:t>
      </w:r>
    </w:p>
    <w:tbl>
      <w:tblPr>
        <w:tblStyle w:val="GridTable1Light-Accent1"/>
        <w:tblW w:w="10570" w:type="dxa"/>
        <w:tblLayout w:type="fixed"/>
        <w:tblLook w:val="06A0" w:firstRow="1" w:lastRow="0" w:firstColumn="1" w:lastColumn="0" w:noHBand="1" w:noVBand="1"/>
      </w:tblPr>
      <w:tblGrid>
        <w:gridCol w:w="2265"/>
        <w:gridCol w:w="2692"/>
        <w:gridCol w:w="2551"/>
        <w:gridCol w:w="3062"/>
      </w:tblGrid>
      <w:tr w:rsidR="000C3EAD" w:rsidTr="00E37CE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265" w:type="dxa"/>
          </w:tcPr>
          <w:p w:rsidR="000C3EAD" w:rsidRDefault="000C3EAD" w:rsidP="00E37CED">
            <w:pPr>
              <w:jc w:val="both"/>
              <w:rPr>
                <w:rFonts w:eastAsia="Arial" w:cs="Arial"/>
                <w:sz w:val="20"/>
              </w:rPr>
            </w:pPr>
            <w:r w:rsidRPr="69D1710D">
              <w:rPr>
                <w:rFonts w:eastAsia="Arial" w:cs="Arial"/>
                <w:sz w:val="20"/>
              </w:rPr>
              <w:t>Evaluation Criteria</w:t>
            </w:r>
          </w:p>
          <w:p w:rsidR="000C3EAD" w:rsidRDefault="000C3EAD" w:rsidP="00E37CED">
            <w:pPr>
              <w:jc w:val="both"/>
            </w:pPr>
            <w:r>
              <w:rPr>
                <w:rFonts w:eastAsia="Arial" w:cs="Arial"/>
                <w:sz w:val="20"/>
              </w:rPr>
              <w:t>70%</w:t>
            </w:r>
          </w:p>
        </w:tc>
        <w:tc>
          <w:tcPr>
            <w:tcW w:w="2692" w:type="dxa"/>
          </w:tcPr>
          <w:p w:rsidR="000C3EAD" w:rsidRDefault="000C3EAD" w:rsidP="00E37CED">
            <w:pPr>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 xml:space="preserve">“No Evidence/Limited Confidence” </w:t>
            </w:r>
          </w:p>
          <w:p w:rsidR="000C3EAD" w:rsidRDefault="000C3EAD" w:rsidP="00E37CED">
            <w:pPr>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RFQ Response</w:t>
            </w:r>
          </w:p>
        </w:tc>
        <w:tc>
          <w:tcPr>
            <w:tcW w:w="2551" w:type="dxa"/>
          </w:tcPr>
          <w:p w:rsidR="000C3EAD" w:rsidRDefault="000C3EAD" w:rsidP="00E37CED">
            <w:pPr>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 xml:space="preserve">“Good Confidence” </w:t>
            </w:r>
          </w:p>
          <w:p w:rsidR="000C3EAD" w:rsidRDefault="000C3EAD" w:rsidP="00E37CED">
            <w:pPr>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RFQ Response</w:t>
            </w:r>
          </w:p>
        </w:tc>
        <w:tc>
          <w:tcPr>
            <w:tcW w:w="3062" w:type="dxa"/>
          </w:tcPr>
          <w:p w:rsidR="000C3EAD" w:rsidRDefault="000C3EAD" w:rsidP="00E37CED">
            <w:pPr>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 xml:space="preserve">“High Confidence”  </w:t>
            </w:r>
          </w:p>
          <w:p w:rsidR="000C3EAD" w:rsidRDefault="000C3EAD" w:rsidP="00E37CED">
            <w:pPr>
              <w:cnfStyle w:val="100000000000" w:firstRow="1" w:lastRow="0" w:firstColumn="0" w:lastColumn="0" w:oddVBand="0" w:evenVBand="0" w:oddHBand="0" w:evenHBand="0" w:firstRowFirstColumn="0" w:firstRowLastColumn="0" w:lastRowFirstColumn="0" w:lastRowLastColumn="0"/>
            </w:pPr>
            <w:r w:rsidRPr="69D1710D">
              <w:rPr>
                <w:rFonts w:eastAsia="Arial" w:cs="Arial"/>
                <w:sz w:val="20"/>
              </w:rPr>
              <w:t>RFQ Response</w:t>
            </w:r>
          </w:p>
        </w:tc>
      </w:tr>
      <w:tr w:rsidR="000C3EAD" w:rsidTr="00E37CED">
        <w:tc>
          <w:tcPr>
            <w:cnfStyle w:val="001000000000" w:firstRow="0" w:lastRow="0" w:firstColumn="1" w:lastColumn="0" w:oddVBand="0" w:evenVBand="0" w:oddHBand="0" w:evenHBand="0" w:firstRowFirstColumn="0" w:firstRowLastColumn="0" w:lastRowFirstColumn="0" w:lastRowLastColumn="0"/>
            <w:tcW w:w="2265" w:type="dxa"/>
          </w:tcPr>
          <w:p w:rsidR="000C3EAD" w:rsidRPr="69D1710D" w:rsidRDefault="000C3EAD" w:rsidP="00E37CED">
            <w:pPr>
              <w:jc w:val="both"/>
              <w:rPr>
                <w:rFonts w:eastAsia="Arial" w:cs="Arial"/>
                <w:sz w:val="20"/>
              </w:rPr>
            </w:pPr>
            <w:r>
              <w:rPr>
                <w:rFonts w:eastAsia="Arial" w:cs="Arial"/>
                <w:sz w:val="20"/>
              </w:rPr>
              <w:t>SCORE</w:t>
            </w:r>
          </w:p>
        </w:tc>
        <w:tc>
          <w:tcPr>
            <w:tcW w:w="2692" w:type="dxa"/>
          </w:tcPr>
          <w:p w:rsidR="000C3EAD" w:rsidRPr="69D1710D"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Arial" w:cs="Arial"/>
                <w:sz w:val="20"/>
              </w:rPr>
            </w:pPr>
            <w:r>
              <w:rPr>
                <w:rFonts w:eastAsia="Arial" w:cs="Arial"/>
                <w:sz w:val="20"/>
              </w:rPr>
              <w:t>0</w:t>
            </w:r>
          </w:p>
        </w:tc>
        <w:tc>
          <w:tcPr>
            <w:tcW w:w="2551" w:type="dxa"/>
          </w:tcPr>
          <w:p w:rsidR="000C3EAD" w:rsidRPr="69D1710D"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Arial" w:cs="Arial"/>
                <w:sz w:val="20"/>
              </w:rPr>
            </w:pPr>
            <w:r>
              <w:rPr>
                <w:rFonts w:eastAsia="Arial" w:cs="Arial"/>
                <w:sz w:val="20"/>
              </w:rPr>
              <w:t>2</w:t>
            </w:r>
          </w:p>
        </w:tc>
        <w:tc>
          <w:tcPr>
            <w:tcW w:w="3062" w:type="dxa"/>
          </w:tcPr>
          <w:p w:rsidR="000C3EAD" w:rsidRPr="69D1710D"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Arial" w:cs="Arial"/>
                <w:sz w:val="20"/>
              </w:rPr>
            </w:pPr>
            <w:r>
              <w:rPr>
                <w:rFonts w:eastAsia="Arial" w:cs="Arial"/>
                <w:sz w:val="20"/>
              </w:rPr>
              <w:t>5</w:t>
            </w:r>
          </w:p>
        </w:tc>
      </w:tr>
      <w:tr w:rsidR="000C3EAD" w:rsidTr="00E37CED">
        <w:tc>
          <w:tcPr>
            <w:cnfStyle w:val="001000000000" w:firstRow="0" w:lastRow="0" w:firstColumn="1" w:lastColumn="0" w:oddVBand="0" w:evenVBand="0" w:oddHBand="0" w:evenHBand="0" w:firstRowFirstColumn="0" w:firstRowLastColumn="0" w:lastRowFirstColumn="0" w:lastRowLastColumn="0"/>
            <w:tcW w:w="2265" w:type="dxa"/>
          </w:tcPr>
          <w:p w:rsidR="000C3EAD" w:rsidRDefault="000C3EAD" w:rsidP="00E37CED">
            <w:r w:rsidRPr="69D1710D">
              <w:rPr>
                <w:rFonts w:eastAsia="Arial" w:cs="Arial"/>
                <w:sz w:val="20"/>
              </w:rPr>
              <w:t>The provider’s response demonstrates that the proposed trainer(s):</w:t>
            </w:r>
          </w:p>
        </w:tc>
        <w:tc>
          <w:tcPr>
            <w:tcW w:w="2692"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c>
          <w:tcPr>
            <w:tcW w:w="2551"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c>
          <w:tcPr>
            <w:tcW w:w="3062" w:type="dxa"/>
          </w:tcPr>
          <w:p w:rsidR="000C3EAD" w:rsidRDefault="000C3EAD" w:rsidP="00E37CED">
            <w:pPr>
              <w:jc w:val="both"/>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r>
      <w:tr w:rsidR="000C3EAD" w:rsidTr="00E37CED">
        <w:tc>
          <w:tcPr>
            <w:cnfStyle w:val="001000000000" w:firstRow="0" w:lastRow="0" w:firstColumn="1" w:lastColumn="0" w:oddVBand="0" w:evenVBand="0" w:oddHBand="0" w:evenHBand="0" w:firstRowFirstColumn="0" w:firstRowLastColumn="0" w:lastRowFirstColumn="0" w:lastRowLastColumn="0"/>
            <w:tcW w:w="2265" w:type="dxa"/>
          </w:tcPr>
          <w:p w:rsidR="000C3EAD" w:rsidRPr="001A46DB" w:rsidRDefault="000C3EAD" w:rsidP="00E37CED">
            <w:pPr>
              <w:rPr>
                <w:rFonts w:asciiTheme="minorHAnsi" w:eastAsiaTheme="minorEastAsia" w:hAnsiTheme="minorHAnsi" w:cstheme="minorBidi"/>
                <w:szCs w:val="22"/>
              </w:rPr>
            </w:pPr>
            <w:r>
              <w:rPr>
                <w:rFonts w:asciiTheme="minorHAnsi" w:eastAsiaTheme="minorEastAsia" w:hAnsiTheme="minorHAnsi" w:cstheme="minorBidi"/>
                <w:szCs w:val="22"/>
              </w:rPr>
              <w:t>1.</w:t>
            </w:r>
          </w:p>
          <w:p w:rsidR="000C3EAD" w:rsidRDefault="000C3EAD" w:rsidP="00E37CED">
            <w:pPr>
              <w:rPr>
                <w:rFonts w:eastAsia="Arial" w:cs="Arial"/>
                <w:sz w:val="20"/>
              </w:rPr>
            </w:pPr>
            <w:r w:rsidRPr="00F46350">
              <w:rPr>
                <w:rFonts w:eastAsia="Arial" w:cs="Arial"/>
                <w:sz w:val="20"/>
              </w:rPr>
              <w:t>Are SQEP</w:t>
            </w:r>
            <w:r>
              <w:rPr>
                <w:rFonts w:eastAsia="Arial" w:cs="Arial"/>
                <w:sz w:val="20"/>
              </w:rPr>
              <w:t xml:space="preserve"> to provide training on APMG Project Planning and Control</w:t>
            </w:r>
            <w:r w:rsidRPr="00F46350">
              <w:rPr>
                <w:rFonts w:eastAsia="Arial" w:cs="Arial"/>
                <w:sz w:val="20"/>
              </w:rPr>
              <w:t xml:space="preserve"> training courses at</w:t>
            </w:r>
            <w:r>
              <w:rPr>
                <w:rFonts w:eastAsia="Arial" w:cs="Arial"/>
                <w:sz w:val="20"/>
              </w:rPr>
              <w:t xml:space="preserve"> </w:t>
            </w:r>
            <w:r w:rsidRPr="00F46350">
              <w:rPr>
                <w:rFonts w:eastAsia="Arial" w:cs="Arial"/>
                <w:sz w:val="20"/>
              </w:rPr>
              <w:t>Foundation and Practitioner level</w:t>
            </w:r>
          </w:p>
          <w:p w:rsidR="000C3EAD" w:rsidRDefault="000C3EAD" w:rsidP="00E37CED">
            <w:pPr>
              <w:rPr>
                <w:rFonts w:eastAsia="Arial" w:cs="Arial"/>
                <w:sz w:val="20"/>
              </w:rPr>
            </w:pPr>
          </w:p>
          <w:p w:rsidR="000C3EAD" w:rsidRPr="00F46350" w:rsidRDefault="000C3EAD" w:rsidP="00E37CED">
            <w:pPr>
              <w:rPr>
                <w:rFonts w:asciiTheme="minorHAnsi" w:eastAsiaTheme="minorEastAsia" w:hAnsiTheme="minorHAnsi" w:cstheme="minorBidi"/>
                <w:szCs w:val="22"/>
              </w:rPr>
            </w:pPr>
            <w:r>
              <w:rPr>
                <w:rFonts w:eastAsia="Arial" w:cs="Arial"/>
                <w:sz w:val="20"/>
              </w:rPr>
              <w:t>30%</w:t>
            </w:r>
          </w:p>
        </w:tc>
        <w:tc>
          <w:tcPr>
            <w:tcW w:w="269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No evidence, or evidence does not demonstrate that the trainer has the necessary skills and ability to provide the required training</w:t>
            </w: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 </w:t>
            </w:r>
          </w:p>
        </w:tc>
        <w:tc>
          <w:tcPr>
            <w:tcW w:w="2551"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Response demonstrates that the trainer has the skills and ability to deliver the training required at an acceptable standard</w:t>
            </w:r>
          </w:p>
        </w:tc>
        <w:tc>
          <w:tcPr>
            <w:tcW w:w="306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Response demonstrates that the trainer has the skills and ability to deliver the training required above the acceptable standard</w:t>
            </w:r>
          </w:p>
        </w:tc>
      </w:tr>
      <w:tr w:rsidR="000C3EAD" w:rsidTr="00E37CED">
        <w:tc>
          <w:tcPr>
            <w:cnfStyle w:val="001000000000" w:firstRow="0" w:lastRow="0" w:firstColumn="1" w:lastColumn="0" w:oddVBand="0" w:evenVBand="0" w:oddHBand="0" w:evenHBand="0" w:firstRowFirstColumn="0" w:firstRowLastColumn="0" w:lastRowFirstColumn="0" w:lastRowLastColumn="0"/>
            <w:tcW w:w="2265" w:type="dxa"/>
          </w:tcPr>
          <w:p w:rsidR="000C3EAD" w:rsidRPr="001A46DB" w:rsidRDefault="000C3EAD" w:rsidP="00E37CED">
            <w:pPr>
              <w:jc w:val="both"/>
              <w:rPr>
                <w:rFonts w:asciiTheme="minorHAnsi" w:eastAsiaTheme="minorEastAsia" w:hAnsiTheme="minorHAnsi" w:cstheme="minorBidi"/>
                <w:szCs w:val="22"/>
              </w:rPr>
            </w:pPr>
            <w:r>
              <w:rPr>
                <w:rFonts w:asciiTheme="minorHAnsi" w:eastAsiaTheme="minorEastAsia" w:hAnsiTheme="minorHAnsi" w:cstheme="minorBidi"/>
                <w:szCs w:val="22"/>
              </w:rPr>
              <w:t>2.</w:t>
            </w:r>
          </w:p>
          <w:p w:rsidR="000C3EAD" w:rsidRDefault="000C3EAD" w:rsidP="00E37CED">
            <w:pPr>
              <w:rPr>
                <w:rFonts w:eastAsia="Arial" w:cs="Arial"/>
                <w:sz w:val="20"/>
              </w:rPr>
            </w:pPr>
            <w:r w:rsidRPr="00F46350">
              <w:rPr>
                <w:rFonts w:eastAsia="Arial" w:cs="Arial"/>
                <w:sz w:val="20"/>
              </w:rPr>
              <w:t>Are SQEP to deliver quality outputs</w:t>
            </w:r>
          </w:p>
          <w:p w:rsidR="000C3EAD" w:rsidRDefault="000C3EAD" w:rsidP="00E37CED">
            <w:pPr>
              <w:rPr>
                <w:rFonts w:eastAsia="Arial" w:cs="Arial"/>
                <w:sz w:val="20"/>
              </w:rPr>
            </w:pPr>
          </w:p>
          <w:p w:rsidR="000C3EAD" w:rsidRPr="00F46350" w:rsidRDefault="000C3EAD" w:rsidP="00E37CED">
            <w:pPr>
              <w:rPr>
                <w:rFonts w:asciiTheme="minorHAnsi" w:eastAsiaTheme="minorEastAsia" w:hAnsiTheme="minorHAnsi" w:cstheme="minorBidi"/>
                <w:szCs w:val="22"/>
              </w:rPr>
            </w:pPr>
            <w:r>
              <w:rPr>
                <w:rFonts w:eastAsia="Arial" w:cs="Arial"/>
                <w:sz w:val="20"/>
              </w:rPr>
              <w:t>15%</w:t>
            </w:r>
          </w:p>
        </w:tc>
        <w:tc>
          <w:tcPr>
            <w:tcW w:w="269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19AC5EBC">
              <w:rPr>
                <w:rFonts w:eastAsia="Arial" w:cs="Arial"/>
                <w:sz w:val="20"/>
              </w:rPr>
              <w:t>No evidence, or evidence does not demonstrate that the trainer has the necessary skills and ability to deliver training</w:t>
            </w:r>
          </w:p>
        </w:tc>
        <w:tc>
          <w:tcPr>
            <w:tcW w:w="2551"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Response demonstrates delivery of the required courses within the last twelve months </w:t>
            </w:r>
            <w:r>
              <w:rPr>
                <w:rFonts w:eastAsia="Arial" w:cs="Arial"/>
                <w:sz w:val="20"/>
              </w:rPr>
              <w:t>with an average of 80%+ of delegates achieving a pass rate</w:t>
            </w:r>
          </w:p>
        </w:tc>
        <w:tc>
          <w:tcPr>
            <w:tcW w:w="306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Response demonstrates the required</w:t>
            </w:r>
            <w:r>
              <w:rPr>
                <w:rFonts w:eastAsia="Arial" w:cs="Arial"/>
                <w:sz w:val="20"/>
              </w:rPr>
              <w:t xml:space="preserve"> courses within the last twelve months with an average of 90%+ of delegated achieving a pass rate </w:t>
            </w:r>
          </w:p>
        </w:tc>
      </w:tr>
      <w:tr w:rsidR="000C3EAD" w:rsidTr="00E37CED">
        <w:trPr>
          <w:trHeight w:val="1656"/>
        </w:trPr>
        <w:tc>
          <w:tcPr>
            <w:cnfStyle w:val="001000000000" w:firstRow="0" w:lastRow="0" w:firstColumn="1" w:lastColumn="0" w:oddVBand="0" w:evenVBand="0" w:oddHBand="0" w:evenHBand="0" w:firstRowFirstColumn="0" w:firstRowLastColumn="0" w:lastRowFirstColumn="0" w:lastRowLastColumn="0"/>
            <w:tcW w:w="2265" w:type="dxa"/>
          </w:tcPr>
          <w:p w:rsidR="000C3EAD" w:rsidRPr="001A46DB" w:rsidRDefault="000C3EAD" w:rsidP="00E37CED">
            <w:pPr>
              <w:jc w:val="both"/>
              <w:rPr>
                <w:rFonts w:eastAsia="Arial" w:cs="Arial"/>
                <w:sz w:val="20"/>
              </w:rPr>
            </w:pPr>
            <w:bookmarkStart w:id="2" w:name="_Hlk520372442"/>
            <w:r>
              <w:rPr>
                <w:rFonts w:eastAsia="Arial" w:cs="Arial"/>
                <w:sz w:val="20"/>
              </w:rPr>
              <w:t>3.</w:t>
            </w:r>
          </w:p>
          <w:p w:rsidR="000C3EAD" w:rsidRDefault="000C3EAD" w:rsidP="00E37CED">
            <w:pPr>
              <w:rPr>
                <w:rFonts w:eastAsia="Arial" w:cs="Arial"/>
                <w:sz w:val="20"/>
              </w:rPr>
            </w:pPr>
            <w:r w:rsidRPr="00C41F48">
              <w:rPr>
                <w:rFonts w:eastAsia="Arial" w:cs="Arial"/>
                <w:sz w:val="20"/>
              </w:rPr>
              <w:t>Pass rate committing to achieve</w:t>
            </w:r>
          </w:p>
          <w:p w:rsidR="000C3EAD" w:rsidRDefault="000C3EAD" w:rsidP="00E37CED">
            <w:pPr>
              <w:rPr>
                <w:rFonts w:eastAsia="Arial" w:cs="Arial"/>
                <w:sz w:val="20"/>
              </w:rPr>
            </w:pPr>
          </w:p>
          <w:p w:rsidR="000C3EAD" w:rsidRPr="00C41F48" w:rsidRDefault="000C3EAD" w:rsidP="00E37CED">
            <w:pPr>
              <w:rPr>
                <w:rFonts w:eastAsia="Arial" w:cs="Arial"/>
                <w:sz w:val="20"/>
              </w:rPr>
            </w:pPr>
            <w:r>
              <w:rPr>
                <w:rFonts w:eastAsia="Arial" w:cs="Arial"/>
                <w:sz w:val="20"/>
              </w:rPr>
              <w:t>15%</w:t>
            </w:r>
          </w:p>
        </w:tc>
        <w:tc>
          <w:tcPr>
            <w:tcW w:w="269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19AC5EBC"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F46350">
              <w:rPr>
                <w:rFonts w:eastAsia="Arial" w:cs="Arial"/>
                <w:sz w:val="20"/>
              </w:rPr>
              <w:t>No evidence, or evidenc</w:t>
            </w:r>
            <w:r>
              <w:rPr>
                <w:rFonts w:eastAsia="Arial" w:cs="Arial"/>
                <w:sz w:val="20"/>
              </w:rPr>
              <w:t>e does not demonstrate a commitment to achieve pass rates in the future</w:t>
            </w:r>
          </w:p>
        </w:tc>
        <w:tc>
          <w:tcPr>
            <w:tcW w:w="2551"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69D1710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F46350">
              <w:rPr>
                <w:rFonts w:eastAsia="Arial" w:cs="Arial"/>
                <w:sz w:val="20"/>
              </w:rPr>
              <w:t xml:space="preserve">Response demonstrates </w:t>
            </w:r>
            <w:r>
              <w:rPr>
                <w:rFonts w:eastAsia="Arial" w:cs="Arial"/>
                <w:sz w:val="20"/>
              </w:rPr>
              <w:t xml:space="preserve">a commitment to </w:t>
            </w:r>
            <w:r w:rsidRPr="00F46350">
              <w:rPr>
                <w:rFonts w:eastAsia="Arial" w:cs="Arial"/>
                <w:sz w:val="20"/>
              </w:rPr>
              <w:t>deliver</w:t>
            </w:r>
            <w:r>
              <w:rPr>
                <w:rFonts w:eastAsia="Arial" w:cs="Arial"/>
                <w:sz w:val="20"/>
              </w:rPr>
              <w:t xml:space="preserve"> </w:t>
            </w:r>
            <w:r w:rsidRPr="00F46350">
              <w:rPr>
                <w:rFonts w:eastAsia="Arial" w:cs="Arial"/>
                <w:sz w:val="20"/>
              </w:rPr>
              <w:t xml:space="preserve">the required courses </w:t>
            </w:r>
            <w:r>
              <w:rPr>
                <w:rFonts w:eastAsia="Arial" w:cs="Arial"/>
                <w:sz w:val="20"/>
              </w:rPr>
              <w:t xml:space="preserve">moving forward </w:t>
            </w:r>
            <w:r w:rsidRPr="00F46350">
              <w:rPr>
                <w:rFonts w:eastAsia="Arial" w:cs="Arial"/>
                <w:sz w:val="20"/>
              </w:rPr>
              <w:t>with an average of 80%+ of delegates achieving a pass rate</w:t>
            </w:r>
          </w:p>
        </w:tc>
        <w:tc>
          <w:tcPr>
            <w:tcW w:w="306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Pr="69D1710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F46350">
              <w:rPr>
                <w:rFonts w:eastAsia="Arial" w:cs="Arial"/>
                <w:sz w:val="20"/>
              </w:rPr>
              <w:t xml:space="preserve">Response demonstrates </w:t>
            </w:r>
            <w:r>
              <w:rPr>
                <w:rFonts w:eastAsia="Arial" w:cs="Arial"/>
                <w:sz w:val="20"/>
              </w:rPr>
              <w:t>a commitment to deliver the</w:t>
            </w:r>
            <w:r w:rsidRPr="00F46350">
              <w:rPr>
                <w:rFonts w:eastAsia="Arial" w:cs="Arial"/>
                <w:sz w:val="20"/>
              </w:rPr>
              <w:t xml:space="preserve"> required courses </w:t>
            </w:r>
            <w:r>
              <w:rPr>
                <w:rFonts w:eastAsia="Arial" w:cs="Arial"/>
                <w:sz w:val="20"/>
              </w:rPr>
              <w:t>moving forward w</w:t>
            </w:r>
            <w:r w:rsidRPr="00F46350">
              <w:rPr>
                <w:rFonts w:eastAsia="Arial" w:cs="Arial"/>
                <w:sz w:val="20"/>
              </w:rPr>
              <w:t xml:space="preserve">ith an average of 90%+ </w:t>
            </w:r>
            <w:r>
              <w:rPr>
                <w:rFonts w:eastAsia="Arial" w:cs="Arial"/>
                <w:sz w:val="20"/>
              </w:rPr>
              <w:t>delegates</w:t>
            </w:r>
            <w:r w:rsidRPr="00F46350">
              <w:rPr>
                <w:rFonts w:eastAsia="Arial" w:cs="Arial"/>
                <w:sz w:val="20"/>
              </w:rPr>
              <w:t xml:space="preserve"> achieving a pass rate</w:t>
            </w:r>
          </w:p>
        </w:tc>
      </w:tr>
      <w:bookmarkEnd w:id="2"/>
      <w:tr w:rsidR="000C3EAD" w:rsidTr="00E37CED">
        <w:trPr>
          <w:trHeight w:val="1977"/>
        </w:trPr>
        <w:tc>
          <w:tcPr>
            <w:cnfStyle w:val="001000000000" w:firstRow="0" w:lastRow="0" w:firstColumn="1" w:lastColumn="0" w:oddVBand="0" w:evenVBand="0" w:oddHBand="0" w:evenHBand="0" w:firstRowFirstColumn="0" w:firstRowLastColumn="0" w:lastRowFirstColumn="0" w:lastRowLastColumn="0"/>
            <w:tcW w:w="2265" w:type="dxa"/>
          </w:tcPr>
          <w:p w:rsidR="000C3EAD" w:rsidRPr="001A46DB" w:rsidRDefault="000C3EAD" w:rsidP="00E37CED">
            <w:pPr>
              <w:jc w:val="both"/>
              <w:rPr>
                <w:rFonts w:asciiTheme="minorHAnsi" w:eastAsiaTheme="minorEastAsia" w:hAnsiTheme="minorHAnsi" w:cstheme="minorBidi"/>
                <w:szCs w:val="22"/>
              </w:rPr>
            </w:pPr>
            <w:r>
              <w:rPr>
                <w:rFonts w:asciiTheme="minorHAnsi" w:eastAsiaTheme="minorEastAsia" w:hAnsiTheme="minorHAnsi" w:cstheme="minorBidi"/>
                <w:szCs w:val="22"/>
              </w:rPr>
              <w:t>4.</w:t>
            </w:r>
          </w:p>
          <w:p w:rsidR="000C3EAD" w:rsidRDefault="000C3EAD" w:rsidP="00E37CED">
            <w:pPr>
              <w:rPr>
                <w:rFonts w:eastAsia="Arial" w:cs="Arial"/>
                <w:sz w:val="20"/>
              </w:rPr>
            </w:pPr>
            <w:r w:rsidRPr="00C41F48">
              <w:rPr>
                <w:rFonts w:eastAsia="Arial" w:cs="Arial"/>
                <w:sz w:val="20"/>
              </w:rPr>
              <w:t xml:space="preserve">Current level of security clearance </w:t>
            </w:r>
          </w:p>
          <w:p w:rsidR="000C3EAD" w:rsidRDefault="000C3EAD" w:rsidP="00E37CED">
            <w:pPr>
              <w:rPr>
                <w:rFonts w:eastAsia="Arial" w:cs="Arial"/>
                <w:sz w:val="20"/>
              </w:rPr>
            </w:pPr>
          </w:p>
          <w:p w:rsidR="000C3EAD" w:rsidRPr="00C41F48" w:rsidRDefault="000C3EAD" w:rsidP="00E37CED">
            <w:pPr>
              <w:rPr>
                <w:rFonts w:asciiTheme="minorHAnsi" w:eastAsiaTheme="minorEastAsia" w:hAnsiTheme="minorHAnsi" w:cstheme="minorBidi"/>
                <w:szCs w:val="22"/>
              </w:rPr>
            </w:pPr>
            <w:r>
              <w:rPr>
                <w:rFonts w:eastAsia="Arial" w:cs="Arial"/>
                <w:sz w:val="20"/>
              </w:rPr>
              <w:t>10%</w:t>
            </w:r>
          </w:p>
        </w:tc>
        <w:tc>
          <w:tcPr>
            <w:tcW w:w="269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No evidence, or trainer not willing to gain any security clearance </w:t>
            </w:r>
          </w:p>
        </w:tc>
        <w:tc>
          <w:tcPr>
            <w:tcW w:w="2551"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 xml:space="preserve">Currently holds ‘Baseline Personnel Security Standard’ (that does </w:t>
            </w:r>
            <w:r>
              <w:rPr>
                <w:rFonts w:eastAsia="Arial" w:cs="Arial"/>
                <w:sz w:val="20"/>
              </w:rPr>
              <w:t>not expire before 31</w:t>
            </w:r>
            <w:r w:rsidRPr="00470515">
              <w:rPr>
                <w:rFonts w:eastAsia="Arial" w:cs="Arial"/>
                <w:sz w:val="20"/>
                <w:vertAlign w:val="superscript"/>
              </w:rPr>
              <w:t>st</w:t>
            </w:r>
            <w:r>
              <w:rPr>
                <w:rFonts w:eastAsia="Arial" w:cs="Arial"/>
                <w:sz w:val="20"/>
              </w:rPr>
              <w:t xml:space="preserve"> March 2020</w:t>
            </w:r>
            <w:r w:rsidRPr="69D1710D">
              <w:rPr>
                <w:rFonts w:eastAsia="Arial" w:cs="Arial"/>
                <w:sz w:val="20"/>
              </w:rPr>
              <w:t>) and is willing to gain Security Clearance</w:t>
            </w:r>
          </w:p>
        </w:tc>
        <w:tc>
          <w:tcPr>
            <w:tcW w:w="3062" w:type="dxa"/>
          </w:tcPr>
          <w:p w:rsidR="000C3EAD" w:rsidRDefault="000C3EAD" w:rsidP="00E37CED">
            <w:pPr>
              <w:cnfStyle w:val="000000000000" w:firstRow="0" w:lastRow="0" w:firstColumn="0" w:lastColumn="0" w:oddVBand="0" w:evenVBand="0" w:oddHBand="0" w:evenHBand="0" w:firstRowFirstColumn="0" w:firstRowLastColumn="0" w:lastRowFirstColumn="0" w:lastRowLastColumn="0"/>
              <w:rPr>
                <w:rFonts w:eastAsia="Arial" w:cs="Arial"/>
                <w:sz w:val="20"/>
              </w:rPr>
            </w:pPr>
          </w:p>
          <w:p w:rsidR="000C3EAD" w:rsidRDefault="000C3EAD" w:rsidP="00E37CED">
            <w:pPr>
              <w:cnfStyle w:val="000000000000" w:firstRow="0" w:lastRow="0" w:firstColumn="0" w:lastColumn="0" w:oddVBand="0" w:evenVBand="0" w:oddHBand="0" w:evenHBand="0" w:firstRowFirstColumn="0" w:firstRowLastColumn="0" w:lastRowFirstColumn="0" w:lastRowLastColumn="0"/>
            </w:pPr>
            <w:r w:rsidRPr="69D1710D">
              <w:rPr>
                <w:rFonts w:eastAsia="Arial" w:cs="Arial"/>
                <w:sz w:val="20"/>
              </w:rPr>
              <w:t>Currently holds ‘Security c</w:t>
            </w:r>
            <w:r>
              <w:rPr>
                <w:rFonts w:eastAsia="Arial" w:cs="Arial"/>
                <w:sz w:val="20"/>
              </w:rPr>
              <w:t>learance’ (that does not expire</w:t>
            </w:r>
            <w:r w:rsidRPr="69D1710D">
              <w:rPr>
                <w:rFonts w:eastAsia="Arial" w:cs="Arial"/>
                <w:sz w:val="20"/>
              </w:rPr>
              <w:t xml:space="preserve"> before </w:t>
            </w:r>
            <w:r>
              <w:rPr>
                <w:rFonts w:eastAsia="Arial" w:cs="Arial"/>
                <w:sz w:val="20"/>
              </w:rPr>
              <w:t>31 March 2020</w:t>
            </w:r>
            <w:r w:rsidRPr="69D1710D">
              <w:rPr>
                <w:rFonts w:eastAsia="Arial" w:cs="Arial"/>
                <w:sz w:val="20"/>
              </w:rPr>
              <w:t>)</w:t>
            </w:r>
          </w:p>
        </w:tc>
      </w:tr>
    </w:tbl>
    <w:p w:rsidR="000C3EAD" w:rsidRDefault="000C3EAD" w:rsidP="000C3EAD">
      <w:pPr>
        <w:jc w:val="both"/>
        <w:rPr>
          <w:rFonts w:ascii="Calibri" w:eastAsia="Calibri" w:hAnsi="Calibri" w:cs="Calibri"/>
          <w:szCs w:val="22"/>
        </w:rPr>
      </w:pPr>
      <w:r w:rsidRPr="19AC5EBC">
        <w:rPr>
          <w:rFonts w:ascii="Calibri" w:eastAsia="Calibri" w:hAnsi="Calibri" w:cs="Calibri"/>
          <w:szCs w:val="22"/>
        </w:rPr>
        <w:t xml:space="preserve"> </w:t>
      </w:r>
    </w:p>
    <w:p w:rsidR="000C3EAD" w:rsidRDefault="000C3EAD" w:rsidP="000C3EAD">
      <w:pPr>
        <w:jc w:val="both"/>
        <w:rPr>
          <w:rFonts w:ascii="Calibri" w:eastAsia="Calibri" w:hAnsi="Calibri" w:cs="Calibri"/>
          <w:szCs w:val="22"/>
        </w:rPr>
      </w:pPr>
    </w:p>
    <w:p w:rsidR="000C3EAD" w:rsidRPr="009C16FF" w:rsidRDefault="000C3EAD" w:rsidP="000C3EAD">
      <w:pPr>
        <w:jc w:val="both"/>
        <w:rPr>
          <w:rFonts w:ascii="Calibri" w:eastAsia="Calibri" w:hAnsi="Calibri" w:cs="Calibri"/>
          <w:i/>
          <w:szCs w:val="22"/>
        </w:rPr>
      </w:pPr>
      <w:r w:rsidRPr="009C16FF">
        <w:rPr>
          <w:rFonts w:ascii="Calibri" w:eastAsia="Calibri" w:hAnsi="Calibri" w:cs="Calibri"/>
          <w:i/>
          <w:szCs w:val="22"/>
        </w:rPr>
        <w:t>Annex B – Table 2</w:t>
      </w: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pPr>
      <w:r w:rsidRPr="69D1710D">
        <w:rPr>
          <w:rFonts w:eastAsia="Arial" w:cs="Arial"/>
          <w:b/>
          <w:bCs/>
          <w:sz w:val="20"/>
        </w:rPr>
        <w:t>Financial Evaluation Criteria – 30%</w:t>
      </w:r>
    </w:p>
    <w:p w:rsidR="000C3EAD" w:rsidRDefault="000C3EAD" w:rsidP="000C3EAD">
      <w:pPr>
        <w:jc w:val="both"/>
        <w:rPr>
          <w:rFonts w:eastAsia="Arial" w:cs="Arial"/>
          <w:sz w:val="20"/>
        </w:rPr>
      </w:pPr>
    </w:p>
    <w:p w:rsidR="000C3EAD" w:rsidRDefault="000C3EAD" w:rsidP="000C3EAD">
      <w:pPr>
        <w:jc w:val="both"/>
      </w:pPr>
      <w:r w:rsidRPr="69D1710D">
        <w:rPr>
          <w:rFonts w:eastAsia="Arial" w:cs="Arial"/>
          <w:sz w:val="20"/>
        </w:rPr>
        <w:t>The Financial Evaluation Criteria will be scored out of 30%.  The lowest Maximum Price for the delivery receiving 30% of the marks, the remaining quotes will then be marked on a pro-rata basis.</w:t>
      </w:r>
    </w:p>
    <w:p w:rsidR="000C3EAD" w:rsidRDefault="000C3EAD" w:rsidP="000C3EAD">
      <w:pPr>
        <w:jc w:val="both"/>
      </w:pPr>
      <w:r w:rsidRPr="69D1710D">
        <w:rPr>
          <w:rFonts w:ascii="Calibri" w:eastAsia="Calibri" w:hAnsi="Calibri" w:cs="Calibri"/>
          <w:szCs w:val="22"/>
        </w:rPr>
        <w:t xml:space="preserve"> </w:t>
      </w:r>
    </w:p>
    <w:p w:rsidR="000C3EAD" w:rsidRPr="00FA3D46" w:rsidRDefault="000C3EAD" w:rsidP="000C3EAD">
      <w:pPr>
        <w:jc w:val="both"/>
        <w:rPr>
          <w:sz w:val="20"/>
        </w:rPr>
      </w:pPr>
      <w:r w:rsidRPr="00FA3D46">
        <w:rPr>
          <w:sz w:val="20"/>
        </w:rPr>
        <w:t xml:space="preserve">Financial Response </w:t>
      </w:r>
    </w:p>
    <w:p w:rsidR="000C3EAD" w:rsidRPr="00FA3D46" w:rsidRDefault="000C3EAD" w:rsidP="000C3EAD">
      <w:pPr>
        <w:jc w:val="both"/>
        <w:rPr>
          <w:sz w:val="20"/>
        </w:rPr>
      </w:pPr>
    </w:p>
    <w:p w:rsidR="000C3EAD" w:rsidRPr="00FA3D46" w:rsidRDefault="000C3EAD" w:rsidP="000C3EAD">
      <w:pPr>
        <w:jc w:val="both"/>
        <w:rPr>
          <w:sz w:val="20"/>
        </w:rPr>
      </w:pPr>
      <w:r w:rsidRPr="00FA3D46">
        <w:rPr>
          <w:sz w:val="20"/>
        </w:rPr>
        <w:t>All figures should be provided in £GBP and Excluding VAT</w:t>
      </w:r>
    </w:p>
    <w:p w:rsidR="000C3EAD" w:rsidRDefault="000C3EAD" w:rsidP="000C3EAD">
      <w:pPr>
        <w:jc w:val="both"/>
      </w:pPr>
    </w:p>
    <w:p w:rsidR="000C3EAD" w:rsidRDefault="000C3EAD" w:rsidP="000C3EAD">
      <w:pPr>
        <w:jc w:val="both"/>
      </w:pPr>
    </w:p>
    <w:tbl>
      <w:tblPr>
        <w:tblStyle w:val="GridTable1Light-Accent1"/>
        <w:tblW w:w="0" w:type="auto"/>
        <w:tblLayout w:type="fixed"/>
        <w:tblLook w:val="06A0" w:firstRow="1" w:lastRow="0" w:firstColumn="1" w:lastColumn="0" w:noHBand="1" w:noVBand="1"/>
      </w:tblPr>
      <w:tblGrid>
        <w:gridCol w:w="4710"/>
        <w:gridCol w:w="5250"/>
      </w:tblGrid>
      <w:tr w:rsidR="000C3EAD" w:rsidRPr="00113428"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jc w:val="center"/>
              <w:rPr>
                <w:rFonts w:cs="Arial"/>
                <w:szCs w:val="22"/>
              </w:rPr>
            </w:pPr>
            <w:r w:rsidRPr="00113428">
              <w:rPr>
                <w:rFonts w:eastAsia="Calibri" w:cs="Arial"/>
                <w:szCs w:val="22"/>
              </w:rPr>
              <w:t>Financial Evaluation Response</w:t>
            </w:r>
          </w:p>
        </w:tc>
        <w:tc>
          <w:tcPr>
            <w:tcW w:w="5250" w:type="dxa"/>
            <w:vAlign w:val="center"/>
          </w:tcPr>
          <w:p w:rsidR="000C3EAD" w:rsidRPr="00113428" w:rsidRDefault="000C3EAD" w:rsidP="00E37CED">
            <w:pPr>
              <w:cnfStyle w:val="100000000000" w:firstRow="1" w:lastRow="0" w:firstColumn="0" w:lastColumn="0" w:oddVBand="0" w:evenVBand="0" w:oddHBand="0" w:evenHBand="0" w:firstRowFirstColumn="0" w:firstRowLastColumn="0" w:lastRowFirstColumn="0" w:lastRowLastColumn="0"/>
              <w:rPr>
                <w:rFonts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jc w:val="both"/>
              <w:rPr>
                <w:rFonts w:cs="Arial"/>
                <w:szCs w:val="22"/>
              </w:rPr>
            </w:pPr>
            <w:r w:rsidRPr="00113428">
              <w:rPr>
                <w:rFonts w:eastAsia="Calibri" w:cs="Arial"/>
                <w:szCs w:val="22"/>
              </w:rPr>
              <w:t>The score relating to the Financial Evaluation Criteria carries a weighting of 30% for the overall tender evaluation</w:t>
            </w:r>
            <w:r>
              <w:rPr>
                <w:rFonts w:eastAsia="Calibri" w:cs="Arial"/>
                <w:szCs w:val="22"/>
              </w:rPr>
              <w:t xml:space="preserve"> based on all 3 years</w:t>
            </w:r>
          </w:p>
        </w:tc>
        <w:tc>
          <w:tcPr>
            <w:tcW w:w="5250" w:type="dxa"/>
            <w:vAlign w:val="center"/>
          </w:tcPr>
          <w:p w:rsidR="000C3EAD" w:rsidRPr="00113428" w:rsidRDefault="000C3EAD" w:rsidP="00E37CED">
            <w:pPr>
              <w:cnfStyle w:val="000000000000" w:firstRow="0" w:lastRow="0" w:firstColumn="0" w:lastColumn="0" w:oddVBand="0" w:evenVBand="0" w:oddHBand="0" w:evenHBand="0" w:firstRowFirstColumn="0" w:firstRowLastColumn="0" w:lastRowFirstColumn="0" w:lastRowLastColumn="0"/>
              <w:rPr>
                <w:rFonts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Pr>
                <w:rFonts w:eastAsia="Calibri" w:cs="Arial"/>
                <w:szCs w:val="22"/>
              </w:rPr>
              <w:t>Ending 31 March 2020</w:t>
            </w:r>
          </w:p>
        </w:tc>
        <w:tc>
          <w:tcPr>
            <w:tcW w:w="5250" w:type="dxa"/>
            <w:vAlign w:val="center"/>
          </w:tcPr>
          <w:p w:rsidR="000C3EAD" w:rsidRPr="00113428" w:rsidRDefault="000C3EAD" w:rsidP="00E37CED">
            <w:pPr>
              <w:cnfStyle w:val="000000000000" w:firstRow="0" w:lastRow="0" w:firstColumn="0" w:lastColumn="0" w:oddVBand="0" w:evenVBand="0" w:oddHBand="0" w:evenHBand="0" w:firstRowFirstColumn="0" w:firstRowLastColumn="0" w:lastRowFirstColumn="0" w:lastRowLastColumn="0"/>
              <w:rPr>
                <w:rFonts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113428">
              <w:rPr>
                <w:rFonts w:eastAsia="Calibri" w:cs="Arial"/>
                <w:szCs w:val="22"/>
              </w:rPr>
              <w:t>Course Element</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b/>
                <w:bCs/>
                <w:szCs w:val="22"/>
              </w:rPr>
              <w:t>Cost</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Pr>
                <w:rFonts w:eastAsia="Calibri" w:cs="Arial"/>
                <w:szCs w:val="22"/>
              </w:rPr>
              <w:t xml:space="preserve">Maximum Price Per course </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Pr>
                <w:rFonts w:eastAsia="Calibri" w:cs="Arial"/>
                <w:szCs w:val="22"/>
              </w:rPr>
              <w:t>Cost per additional courses</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113428">
              <w:rPr>
                <w:rFonts w:eastAsia="Calibri" w:cs="Arial"/>
                <w:szCs w:val="22"/>
              </w:rPr>
              <w:t xml:space="preserve">Maximum Number of Courses </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eastAsia="Calibri" w:cs="Arial"/>
                <w:szCs w:val="22"/>
              </w:rPr>
              <w:t>12</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113428">
              <w:rPr>
                <w:rFonts w:eastAsia="Calibri" w:cs="Arial"/>
                <w:szCs w:val="22"/>
              </w:rPr>
              <w:t>Maximum Price (all courses until March 20</w:t>
            </w:r>
            <w:r>
              <w:rPr>
                <w:rFonts w:eastAsia="Calibri" w:cs="Arial"/>
                <w:szCs w:val="22"/>
              </w:rPr>
              <w:t>20</w:t>
            </w:r>
            <w:r w:rsidRPr="00113428">
              <w:rPr>
                <w:rFonts w:eastAsia="Calibri" w:cs="Arial"/>
                <w:szCs w:val="22"/>
              </w:rPr>
              <w:t>)</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eastAsia="Calibri" w:cs="Arial"/>
                <w:szCs w:val="22"/>
              </w:rPr>
            </w:pPr>
            <w:r w:rsidRPr="00113428">
              <w:rPr>
                <w:rFonts w:eastAsia="Calibri" w:cs="Arial"/>
                <w:szCs w:val="22"/>
              </w:rPr>
              <w:t xml:space="preserve">Venue – Firm </w:t>
            </w:r>
            <w:r>
              <w:rPr>
                <w:rFonts w:eastAsia="Calibri" w:cs="Arial"/>
                <w:szCs w:val="22"/>
              </w:rPr>
              <w:t>Price cost (not evaluated)</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eastAsia="Calibri" w:cs="Arial"/>
                <w:szCs w:val="22"/>
              </w:rPr>
            </w:pPr>
            <w:r>
              <w:rPr>
                <w:rFonts w:eastAsia="Calibri" w:cs="Arial"/>
                <w:szCs w:val="22"/>
              </w:rPr>
              <w:t xml:space="preserve">Travel and Subsistence  </w:t>
            </w:r>
          </w:p>
        </w:tc>
        <w:tc>
          <w:tcPr>
            <w:tcW w:w="525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bl>
    <w:p w:rsidR="000C3EAD" w:rsidRPr="00113428" w:rsidRDefault="000C3EAD" w:rsidP="000C3EAD">
      <w:pPr>
        <w:jc w:val="both"/>
        <w:rPr>
          <w:rFonts w:cs="Arial"/>
          <w:szCs w:val="22"/>
        </w:rPr>
      </w:pPr>
      <w:r w:rsidRPr="00113428">
        <w:rPr>
          <w:rFonts w:eastAsia="Calibri" w:cs="Arial"/>
          <w:szCs w:val="22"/>
        </w:rPr>
        <w:t xml:space="preserve"> </w:t>
      </w:r>
    </w:p>
    <w:tbl>
      <w:tblPr>
        <w:tblStyle w:val="GridTable1Light-Accent1"/>
        <w:tblW w:w="0" w:type="auto"/>
        <w:tblLayout w:type="fixed"/>
        <w:tblLook w:val="06A0" w:firstRow="1" w:lastRow="0" w:firstColumn="1" w:lastColumn="0" w:noHBand="1" w:noVBand="1"/>
      </w:tblPr>
      <w:tblGrid>
        <w:gridCol w:w="4725"/>
        <w:gridCol w:w="5310"/>
      </w:tblGrid>
      <w:tr w:rsidR="000C3EAD" w:rsidRPr="00113428"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cs="Arial"/>
                <w:szCs w:val="22"/>
              </w:rPr>
            </w:pPr>
            <w:r w:rsidRPr="00113428">
              <w:rPr>
                <w:rFonts w:eastAsia="Calibri" w:cs="Arial"/>
                <w:szCs w:val="22"/>
              </w:rPr>
              <w:t>Opti</w:t>
            </w:r>
            <w:r>
              <w:rPr>
                <w:rFonts w:eastAsia="Calibri" w:cs="Arial"/>
                <w:szCs w:val="22"/>
              </w:rPr>
              <w:t>on Year 1 - Ending 31 March 2021</w:t>
            </w:r>
          </w:p>
        </w:tc>
        <w:tc>
          <w:tcPr>
            <w:tcW w:w="5310" w:type="dxa"/>
            <w:vAlign w:val="center"/>
          </w:tcPr>
          <w:p w:rsidR="000C3EAD" w:rsidRPr="00113428" w:rsidRDefault="000C3EAD" w:rsidP="00E37CED">
            <w:pPr>
              <w:cnfStyle w:val="100000000000" w:firstRow="1" w:lastRow="0" w:firstColumn="0" w:lastColumn="0" w:oddVBand="0" w:evenVBand="0" w:oddHBand="0" w:evenHBand="0" w:firstRowFirstColumn="0" w:firstRowLastColumn="0" w:lastRowFirstColumn="0" w:lastRowLastColumn="0"/>
              <w:rPr>
                <w:rFonts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cs="Arial"/>
                <w:szCs w:val="22"/>
              </w:rPr>
            </w:pPr>
            <w:r w:rsidRPr="00113428">
              <w:rPr>
                <w:rFonts w:eastAsia="Calibri" w:cs="Arial"/>
                <w:szCs w:val="22"/>
              </w:rPr>
              <w:t>Course Element</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b/>
                <w:bCs/>
                <w:szCs w:val="22"/>
              </w:rPr>
              <w:t>Cost</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cs="Arial"/>
                <w:szCs w:val="22"/>
              </w:rPr>
            </w:pPr>
            <w:r>
              <w:rPr>
                <w:rFonts w:eastAsia="Calibri" w:cs="Arial"/>
                <w:szCs w:val="22"/>
              </w:rPr>
              <w:t xml:space="preserve">Maximum Price Per course </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cs="Arial"/>
                <w:szCs w:val="22"/>
              </w:rPr>
            </w:pPr>
            <w:r w:rsidRPr="005D3078">
              <w:rPr>
                <w:rFonts w:cs="Arial"/>
                <w:szCs w:val="22"/>
              </w:rPr>
              <w:t>Cost per additional courses</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cs="Arial"/>
                <w:szCs w:val="22"/>
              </w:rPr>
            </w:pPr>
            <w:r w:rsidRPr="00113428">
              <w:rPr>
                <w:rFonts w:eastAsia="Calibri" w:cs="Arial"/>
                <w:szCs w:val="22"/>
              </w:rPr>
              <w:t xml:space="preserve">Maximum Number of Courses </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eastAsia="Calibri" w:cs="Arial"/>
                <w:szCs w:val="22"/>
              </w:rPr>
              <w:t>12</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cs="Arial"/>
                <w:szCs w:val="22"/>
              </w:rPr>
            </w:pPr>
            <w:r w:rsidRPr="00113428">
              <w:rPr>
                <w:rFonts w:eastAsia="Calibri" w:cs="Arial"/>
                <w:szCs w:val="22"/>
              </w:rPr>
              <w:t xml:space="preserve">Maximum Price (all courses </w:t>
            </w:r>
            <w:r>
              <w:rPr>
                <w:rFonts w:eastAsia="Calibri" w:cs="Arial"/>
                <w:szCs w:val="22"/>
              </w:rPr>
              <w:t>until March 2021</w:t>
            </w:r>
            <w:r w:rsidRPr="00113428">
              <w:rPr>
                <w:rFonts w:eastAsia="Calibri" w:cs="Arial"/>
                <w:szCs w:val="22"/>
              </w:rPr>
              <w:t>)</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eastAsia="Calibri" w:cs="Arial"/>
                <w:szCs w:val="22"/>
              </w:rPr>
            </w:pPr>
            <w:r w:rsidRPr="00113428">
              <w:rPr>
                <w:rFonts w:eastAsia="Calibri" w:cs="Arial"/>
                <w:szCs w:val="22"/>
              </w:rPr>
              <w:t>Venue – Firm Price cost</w:t>
            </w:r>
            <w:r>
              <w:rPr>
                <w:rFonts w:eastAsia="Calibri" w:cs="Arial"/>
                <w:szCs w:val="22"/>
              </w:rPr>
              <w:t xml:space="preserve"> (not evaluated)</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25" w:type="dxa"/>
          </w:tcPr>
          <w:p w:rsidR="000C3EAD" w:rsidRPr="00113428" w:rsidRDefault="000C3EAD" w:rsidP="00E37CED">
            <w:pPr>
              <w:rPr>
                <w:rFonts w:eastAsia="Calibri" w:cs="Arial"/>
                <w:szCs w:val="22"/>
              </w:rPr>
            </w:pPr>
            <w:r>
              <w:rPr>
                <w:rFonts w:eastAsia="Calibri" w:cs="Arial"/>
                <w:szCs w:val="22"/>
              </w:rPr>
              <w:t>Travel and Subsistence</w:t>
            </w:r>
          </w:p>
        </w:tc>
        <w:tc>
          <w:tcPr>
            <w:tcW w:w="53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bl>
    <w:p w:rsidR="000C3EAD" w:rsidRPr="00113428" w:rsidRDefault="000C3EAD" w:rsidP="000C3EAD">
      <w:pPr>
        <w:jc w:val="both"/>
        <w:rPr>
          <w:rFonts w:cs="Arial"/>
          <w:szCs w:val="22"/>
        </w:rPr>
      </w:pPr>
      <w:r w:rsidRPr="00113428">
        <w:rPr>
          <w:rFonts w:eastAsia="Calibri" w:cs="Arial"/>
          <w:szCs w:val="22"/>
        </w:rPr>
        <w:t xml:space="preserve"> </w:t>
      </w:r>
    </w:p>
    <w:tbl>
      <w:tblPr>
        <w:tblStyle w:val="GridTable1Light-Accent1"/>
        <w:tblW w:w="0" w:type="auto"/>
        <w:tblLayout w:type="fixed"/>
        <w:tblLook w:val="06A0" w:firstRow="1" w:lastRow="0" w:firstColumn="1" w:lastColumn="0" w:noHBand="1" w:noVBand="1"/>
      </w:tblPr>
      <w:tblGrid>
        <w:gridCol w:w="4710"/>
        <w:gridCol w:w="5385"/>
      </w:tblGrid>
      <w:tr w:rsidR="000C3EAD" w:rsidRPr="00113428"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113428">
              <w:rPr>
                <w:rFonts w:eastAsia="Calibri" w:cs="Arial"/>
                <w:szCs w:val="22"/>
              </w:rPr>
              <w:t>Option Year 2 - Ending 31 March 202</w:t>
            </w:r>
            <w:r>
              <w:rPr>
                <w:rFonts w:eastAsia="Calibri" w:cs="Arial"/>
                <w:szCs w:val="22"/>
              </w:rPr>
              <w:t>2</w:t>
            </w:r>
          </w:p>
        </w:tc>
        <w:tc>
          <w:tcPr>
            <w:tcW w:w="5385" w:type="dxa"/>
            <w:vAlign w:val="center"/>
          </w:tcPr>
          <w:p w:rsidR="000C3EAD" w:rsidRPr="00113428" w:rsidRDefault="000C3EAD" w:rsidP="00E37CED">
            <w:pPr>
              <w:cnfStyle w:val="100000000000" w:firstRow="1" w:lastRow="0" w:firstColumn="0" w:lastColumn="0" w:oddVBand="0" w:evenVBand="0" w:oddHBand="0" w:evenHBand="0" w:firstRowFirstColumn="0" w:firstRowLastColumn="0" w:lastRowFirstColumn="0" w:lastRowLastColumn="0"/>
              <w:rPr>
                <w:rFonts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113428">
              <w:rPr>
                <w:rFonts w:eastAsia="Calibri" w:cs="Arial"/>
                <w:szCs w:val="22"/>
              </w:rPr>
              <w:t>Course Element</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b/>
                <w:bCs/>
                <w:szCs w:val="22"/>
              </w:rPr>
              <w:t>Cost</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Pr>
                <w:rFonts w:eastAsia="Calibri" w:cs="Arial"/>
                <w:szCs w:val="22"/>
              </w:rPr>
              <w:t xml:space="preserve">Maximum Price Per course </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5D3078">
              <w:rPr>
                <w:rFonts w:eastAsia="Calibri" w:cs="Arial"/>
                <w:szCs w:val="22"/>
              </w:rPr>
              <w:t>Cost per additional courses</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r w:rsidRPr="00113428">
              <w:rPr>
                <w:rFonts w:eastAsia="Calibri" w:cs="Arial"/>
                <w:szCs w:val="22"/>
              </w:rPr>
              <w:t xml:space="preserve">Maximum Number of Courses </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eastAsia="Calibri" w:cs="Arial"/>
                <w:szCs w:val="22"/>
              </w:rPr>
              <w:t>12</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cs="Arial"/>
                <w:szCs w:val="22"/>
              </w:rPr>
            </w:pPr>
            <w:bookmarkStart w:id="3" w:name="_Hlk520819841"/>
            <w:r w:rsidRPr="00113428">
              <w:rPr>
                <w:rFonts w:eastAsia="Calibri" w:cs="Arial"/>
                <w:szCs w:val="22"/>
              </w:rPr>
              <w:t>Maximum Price (</w:t>
            </w:r>
            <w:r>
              <w:rPr>
                <w:rFonts w:eastAsia="Calibri" w:cs="Arial"/>
                <w:szCs w:val="22"/>
              </w:rPr>
              <w:t>all courses until March 2022</w:t>
            </w:r>
            <w:r w:rsidRPr="00113428">
              <w:rPr>
                <w:rFonts w:eastAsia="Calibri" w:cs="Arial"/>
                <w:szCs w:val="22"/>
              </w:rPr>
              <w:t>)</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eastAsia="Calibri" w:cs="Arial"/>
                <w:szCs w:val="22"/>
              </w:rPr>
            </w:pPr>
            <w:r w:rsidRPr="00113428">
              <w:rPr>
                <w:rFonts w:eastAsia="Calibri" w:cs="Arial"/>
                <w:szCs w:val="22"/>
              </w:rPr>
              <w:t>Venue – Firm Price cost</w:t>
            </w:r>
            <w:r>
              <w:rPr>
                <w:rFonts w:eastAsia="Calibri" w:cs="Arial"/>
                <w:szCs w:val="22"/>
              </w:rPr>
              <w:t xml:space="preserve"> (not evaluated)</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4710" w:type="dxa"/>
          </w:tcPr>
          <w:p w:rsidR="000C3EAD" w:rsidRPr="00113428" w:rsidRDefault="000C3EAD" w:rsidP="00E37CED">
            <w:pPr>
              <w:rPr>
                <w:rFonts w:eastAsia="Calibri" w:cs="Arial"/>
                <w:szCs w:val="22"/>
              </w:rPr>
            </w:pPr>
            <w:r>
              <w:rPr>
                <w:rFonts w:eastAsia="Calibri" w:cs="Arial"/>
                <w:szCs w:val="22"/>
              </w:rPr>
              <w:t xml:space="preserve">Travel and Subsistence </w:t>
            </w:r>
          </w:p>
        </w:tc>
        <w:tc>
          <w:tcPr>
            <w:tcW w:w="5385"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bl>
    <w:p w:rsidR="000C3EAD" w:rsidRPr="00113428" w:rsidRDefault="000C3EAD" w:rsidP="000C3EAD">
      <w:pPr>
        <w:jc w:val="both"/>
        <w:rPr>
          <w:rFonts w:cs="Arial"/>
          <w:szCs w:val="22"/>
        </w:rPr>
      </w:pPr>
      <w:r w:rsidRPr="00113428">
        <w:rPr>
          <w:rFonts w:eastAsia="Calibri" w:cs="Arial"/>
          <w:szCs w:val="22"/>
        </w:rPr>
        <w:t xml:space="preserve"> </w:t>
      </w:r>
    </w:p>
    <w:tbl>
      <w:tblPr>
        <w:tblStyle w:val="GridTable1Light-Accent1"/>
        <w:tblW w:w="0" w:type="auto"/>
        <w:tblLayout w:type="fixed"/>
        <w:tblLook w:val="06A0" w:firstRow="1" w:lastRow="0" w:firstColumn="1" w:lastColumn="0" w:noHBand="1" w:noVBand="1"/>
      </w:tblPr>
      <w:tblGrid>
        <w:gridCol w:w="4770"/>
        <w:gridCol w:w="5325"/>
      </w:tblGrid>
      <w:tr w:rsidR="000C3EAD" w:rsidRPr="00113428"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bookmarkEnd w:id="3"/>
          <w:p w:rsidR="000C3EAD" w:rsidRPr="00113428" w:rsidRDefault="000C3EAD" w:rsidP="00E37CED">
            <w:pPr>
              <w:jc w:val="both"/>
              <w:rPr>
                <w:rFonts w:cs="Arial"/>
                <w:szCs w:val="22"/>
              </w:rPr>
            </w:pPr>
            <w:r w:rsidRPr="00113428">
              <w:rPr>
                <w:rFonts w:eastAsia="Calibri" w:cs="Arial"/>
                <w:szCs w:val="22"/>
              </w:rPr>
              <w:lastRenderedPageBreak/>
              <w:t xml:space="preserve">TOTAL Maximum Price </w:t>
            </w:r>
            <w:r>
              <w:rPr>
                <w:rFonts w:eastAsia="Calibri" w:cs="Arial"/>
                <w:szCs w:val="22"/>
              </w:rPr>
              <w:t xml:space="preserve">for 12 courses per </w:t>
            </w:r>
            <w:proofErr w:type="gramStart"/>
            <w:r>
              <w:rPr>
                <w:rFonts w:eastAsia="Calibri" w:cs="Arial"/>
                <w:szCs w:val="22"/>
              </w:rPr>
              <w:t>annum  including</w:t>
            </w:r>
            <w:proofErr w:type="gramEnd"/>
            <w:r>
              <w:rPr>
                <w:rFonts w:eastAsia="Calibri" w:cs="Arial"/>
                <w:szCs w:val="22"/>
              </w:rPr>
              <w:t xml:space="preserve"> Exam Fees </w:t>
            </w:r>
          </w:p>
        </w:tc>
        <w:tc>
          <w:tcPr>
            <w:tcW w:w="5325" w:type="dxa"/>
          </w:tcPr>
          <w:p w:rsidR="000C3EAD" w:rsidRPr="00113428" w:rsidRDefault="000C3EAD" w:rsidP="00E37CED">
            <w:pPr>
              <w:jc w:val="both"/>
              <w:cnfStyle w:val="100000000000" w:firstRow="1" w:lastRow="0" w:firstColumn="0" w:lastColumn="0" w:oddVBand="0" w:evenVBand="0" w:oddHBand="0" w:evenHBand="0" w:firstRowFirstColumn="0" w:firstRowLastColumn="0" w:lastRowFirstColumn="0" w:lastRowLastColumn="0"/>
              <w:rPr>
                <w:rFonts w:cs="Arial"/>
                <w:szCs w:val="22"/>
              </w:rPr>
            </w:pPr>
            <w:r w:rsidRPr="00113428">
              <w:rPr>
                <w:rFonts w:eastAsia="Calibri" w:cs="Arial"/>
                <w:szCs w:val="22"/>
              </w:rPr>
              <w:t xml:space="preserve"> </w:t>
            </w:r>
          </w:p>
        </w:tc>
      </w:tr>
    </w:tbl>
    <w:p w:rsidR="000C3EAD" w:rsidRDefault="000C3EAD" w:rsidP="000C3EAD">
      <w:pPr>
        <w:jc w:val="both"/>
        <w:rPr>
          <w:rFonts w:eastAsia="Calibri" w:cs="Arial"/>
          <w:szCs w:val="22"/>
        </w:rPr>
      </w:pPr>
      <w:r w:rsidRPr="00113428">
        <w:rPr>
          <w:rFonts w:eastAsia="Calibri" w:cs="Arial"/>
          <w:szCs w:val="22"/>
        </w:rPr>
        <w:t xml:space="preserve"> </w:t>
      </w:r>
    </w:p>
    <w:p w:rsidR="000C3EAD" w:rsidRDefault="000C3EAD" w:rsidP="000C3EAD">
      <w:pPr>
        <w:jc w:val="both"/>
        <w:rPr>
          <w:rFonts w:eastAsia="Calibri" w:cs="Arial"/>
          <w:szCs w:val="22"/>
        </w:rPr>
      </w:pPr>
      <w:r>
        <w:rPr>
          <w:rFonts w:eastAsia="Calibri" w:cs="Arial"/>
          <w:szCs w:val="22"/>
        </w:rPr>
        <w:t>Annex B – Table 3</w:t>
      </w:r>
    </w:p>
    <w:p w:rsidR="000C3EAD" w:rsidRPr="00113428" w:rsidRDefault="000C3EAD" w:rsidP="000C3EAD">
      <w:pPr>
        <w:jc w:val="both"/>
        <w:rPr>
          <w:rFonts w:cs="Arial"/>
          <w:szCs w:val="22"/>
        </w:rPr>
      </w:pPr>
    </w:p>
    <w:p w:rsidR="000C3EAD" w:rsidRPr="00113428" w:rsidRDefault="000C3EAD" w:rsidP="000C3EAD">
      <w:pPr>
        <w:jc w:val="both"/>
        <w:rPr>
          <w:rFonts w:eastAsia="Calibri" w:cs="Arial"/>
          <w:szCs w:val="22"/>
        </w:rPr>
      </w:pPr>
      <w:r w:rsidRPr="00113428">
        <w:rPr>
          <w:rFonts w:eastAsia="Calibri" w:cs="Arial"/>
          <w:szCs w:val="22"/>
        </w:rPr>
        <w:t xml:space="preserve">Reduction to Maximum Price should </w:t>
      </w:r>
      <w:r>
        <w:rPr>
          <w:rFonts w:eastAsia="Calibri" w:cs="Arial"/>
          <w:szCs w:val="22"/>
        </w:rPr>
        <w:t>the pass rate per course of 80% not be met</w:t>
      </w:r>
    </w:p>
    <w:p w:rsidR="000C3EAD" w:rsidRPr="00113428" w:rsidRDefault="000C3EAD" w:rsidP="000C3EAD">
      <w:pPr>
        <w:jc w:val="both"/>
        <w:rPr>
          <w:rFonts w:eastAsia="Calibri" w:cs="Arial"/>
          <w:szCs w:val="22"/>
        </w:rPr>
      </w:pPr>
    </w:p>
    <w:p w:rsidR="000C3EAD" w:rsidRDefault="000C3EAD" w:rsidP="000C3EAD">
      <w:pPr>
        <w:jc w:val="both"/>
        <w:rPr>
          <w:rFonts w:ascii="Calibri" w:eastAsia="Calibri" w:hAnsi="Calibri" w:cs="Calibri"/>
          <w:szCs w:val="22"/>
        </w:rPr>
      </w:pPr>
    </w:p>
    <w:tbl>
      <w:tblPr>
        <w:tblStyle w:val="GridTable1Light-Accent1"/>
        <w:tblW w:w="0" w:type="auto"/>
        <w:tblLayout w:type="fixed"/>
        <w:tblLook w:val="06A0" w:firstRow="1" w:lastRow="0" w:firstColumn="1" w:lastColumn="0" w:noHBand="1" w:noVBand="1"/>
      </w:tblPr>
      <w:tblGrid>
        <w:gridCol w:w="2263"/>
        <w:gridCol w:w="2410"/>
        <w:gridCol w:w="2410"/>
        <w:gridCol w:w="2977"/>
      </w:tblGrid>
      <w:tr w:rsidR="000C3EAD" w:rsidRPr="00113428" w:rsidTr="00E37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0C3EAD" w:rsidRPr="00113428" w:rsidRDefault="000C3EAD" w:rsidP="00E37CED">
            <w:pPr>
              <w:jc w:val="center"/>
              <w:rPr>
                <w:rFonts w:cs="Arial"/>
                <w:szCs w:val="22"/>
              </w:rPr>
            </w:pPr>
            <w:bookmarkStart w:id="4" w:name="_Hlk520819947"/>
            <w:r>
              <w:rPr>
                <w:rFonts w:eastAsia="Calibri" w:cs="Arial"/>
                <w:szCs w:val="22"/>
              </w:rPr>
              <w:t>80%</w:t>
            </w:r>
          </w:p>
        </w:tc>
        <w:tc>
          <w:tcPr>
            <w:tcW w:w="2410" w:type="dxa"/>
          </w:tcPr>
          <w:p w:rsidR="000C3EAD" w:rsidRPr="00113428" w:rsidRDefault="000C3EAD" w:rsidP="00E37CED">
            <w:pPr>
              <w:jc w:val="center"/>
              <w:cnfStyle w:val="100000000000" w:firstRow="1" w:lastRow="0" w:firstColumn="0" w:lastColumn="0" w:oddVBand="0" w:evenVBand="0" w:oddHBand="0" w:evenHBand="0" w:firstRowFirstColumn="0" w:firstRowLastColumn="0" w:lastRowFirstColumn="0" w:lastRowLastColumn="0"/>
              <w:rPr>
                <w:rFonts w:eastAsia="Calibri" w:cs="Arial"/>
                <w:szCs w:val="22"/>
              </w:rPr>
            </w:pPr>
            <w:r>
              <w:rPr>
                <w:rFonts w:eastAsia="Calibri" w:cs="Arial"/>
                <w:szCs w:val="22"/>
              </w:rPr>
              <w:t>70%-79%</w:t>
            </w:r>
          </w:p>
        </w:tc>
        <w:tc>
          <w:tcPr>
            <w:tcW w:w="2410" w:type="dxa"/>
          </w:tcPr>
          <w:p w:rsidR="000C3EAD" w:rsidRPr="00113428" w:rsidRDefault="000C3EAD" w:rsidP="00E37CED">
            <w:pPr>
              <w:jc w:val="center"/>
              <w:cnfStyle w:val="100000000000" w:firstRow="1" w:lastRow="0" w:firstColumn="0" w:lastColumn="0" w:oddVBand="0" w:evenVBand="0" w:oddHBand="0" w:evenHBand="0" w:firstRowFirstColumn="0" w:firstRowLastColumn="0" w:lastRowFirstColumn="0" w:lastRowLastColumn="0"/>
              <w:rPr>
                <w:rFonts w:cs="Arial"/>
                <w:szCs w:val="22"/>
              </w:rPr>
            </w:pPr>
            <w:r>
              <w:rPr>
                <w:rFonts w:eastAsia="Calibri" w:cs="Arial"/>
                <w:szCs w:val="22"/>
              </w:rPr>
              <w:t>60%-69%</w:t>
            </w:r>
          </w:p>
        </w:tc>
        <w:tc>
          <w:tcPr>
            <w:tcW w:w="2977" w:type="dxa"/>
          </w:tcPr>
          <w:p w:rsidR="000C3EAD" w:rsidRPr="00113428" w:rsidRDefault="000C3EAD" w:rsidP="00E37CED">
            <w:pPr>
              <w:jc w:val="center"/>
              <w:cnfStyle w:val="100000000000" w:firstRow="1" w:lastRow="0" w:firstColumn="0" w:lastColumn="0" w:oddVBand="0" w:evenVBand="0" w:oddHBand="0" w:evenHBand="0" w:firstRowFirstColumn="0" w:firstRowLastColumn="0" w:lastRowFirstColumn="0" w:lastRowLastColumn="0"/>
              <w:rPr>
                <w:rFonts w:eastAsia="Calibri" w:cs="Arial"/>
                <w:szCs w:val="22"/>
              </w:rPr>
            </w:pPr>
            <w:r>
              <w:rPr>
                <w:rFonts w:eastAsia="Calibri" w:cs="Arial"/>
                <w:szCs w:val="22"/>
              </w:rPr>
              <w:t>Less than 60%</w:t>
            </w:r>
          </w:p>
        </w:tc>
      </w:tr>
      <w:tr w:rsidR="000C3EAD" w:rsidRPr="00113428" w:rsidTr="00E37CED">
        <w:tc>
          <w:tcPr>
            <w:cnfStyle w:val="001000000000" w:firstRow="0" w:lastRow="0" w:firstColumn="1" w:lastColumn="0" w:oddVBand="0" w:evenVBand="0" w:oddHBand="0" w:evenHBand="0" w:firstRowFirstColumn="0" w:firstRowLastColumn="0" w:lastRowFirstColumn="0" w:lastRowLastColumn="0"/>
            <w:tcW w:w="2263" w:type="dxa"/>
          </w:tcPr>
          <w:p w:rsidR="000C3EAD" w:rsidRPr="00113428" w:rsidRDefault="000C3EAD" w:rsidP="00E37CED">
            <w:pPr>
              <w:jc w:val="center"/>
              <w:rPr>
                <w:rFonts w:eastAsia="Calibri" w:cs="Arial"/>
                <w:szCs w:val="22"/>
              </w:rPr>
            </w:pPr>
            <w:r>
              <w:rPr>
                <w:rFonts w:eastAsia="Calibri" w:cs="Arial"/>
                <w:szCs w:val="22"/>
              </w:rPr>
              <w:t>No reduction</w:t>
            </w:r>
          </w:p>
        </w:tc>
        <w:tc>
          <w:tcPr>
            <w:tcW w:w="24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r w:rsidRPr="00113428">
              <w:rPr>
                <w:rFonts w:eastAsia="Calibri" w:cs="Arial"/>
                <w:szCs w:val="22"/>
              </w:rPr>
              <w:t>Minus</w:t>
            </w:r>
            <w:r>
              <w:rPr>
                <w:rFonts w:eastAsia="Calibri" w:cs="Arial"/>
                <w:szCs w:val="22"/>
              </w:rPr>
              <w:t xml:space="preserve"> </w:t>
            </w:r>
            <w:r w:rsidRPr="00FA3D46">
              <w:rPr>
                <w:rFonts w:eastAsia="Calibri" w:cs="Arial"/>
                <w:szCs w:val="22"/>
                <w:bdr w:val="single" w:sz="4" w:space="0" w:color="auto"/>
              </w:rPr>
              <w:t>__</w:t>
            </w:r>
            <w:r w:rsidRPr="00113428">
              <w:rPr>
                <w:rFonts w:eastAsia="Calibri" w:cs="Arial"/>
                <w:szCs w:val="22"/>
              </w:rPr>
              <w:t>%</w:t>
            </w:r>
          </w:p>
        </w:tc>
        <w:tc>
          <w:tcPr>
            <w:tcW w:w="2410"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r w:rsidRPr="00113428">
              <w:rPr>
                <w:rFonts w:eastAsia="Calibri" w:cs="Arial"/>
                <w:szCs w:val="22"/>
              </w:rPr>
              <w:t xml:space="preserve">Minus </w:t>
            </w:r>
            <w:r w:rsidRPr="00FA3D46">
              <w:rPr>
                <w:rFonts w:eastAsia="Calibri" w:cs="Arial"/>
                <w:szCs w:val="22"/>
                <w:bdr w:val="single" w:sz="4" w:space="0" w:color="auto"/>
              </w:rPr>
              <w:t>__</w:t>
            </w:r>
            <w:r w:rsidRPr="00113428">
              <w:rPr>
                <w:rFonts w:eastAsia="Calibri" w:cs="Arial"/>
                <w:szCs w:val="22"/>
              </w:rPr>
              <w:t>%</w:t>
            </w:r>
          </w:p>
        </w:tc>
        <w:tc>
          <w:tcPr>
            <w:tcW w:w="2977" w:type="dxa"/>
          </w:tcPr>
          <w:p w:rsidR="000C3EAD" w:rsidRPr="00113428" w:rsidRDefault="000C3EAD" w:rsidP="00E37CED">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r w:rsidRPr="00113428">
              <w:rPr>
                <w:rFonts w:eastAsia="Calibri" w:cs="Arial"/>
                <w:szCs w:val="22"/>
              </w:rPr>
              <w:t xml:space="preserve">Minus </w:t>
            </w:r>
            <w:r w:rsidRPr="00FA3D46">
              <w:rPr>
                <w:rFonts w:eastAsia="Calibri" w:cs="Arial"/>
                <w:szCs w:val="22"/>
                <w:bdr w:val="single" w:sz="4" w:space="0" w:color="auto"/>
              </w:rPr>
              <w:t xml:space="preserve"> </w:t>
            </w:r>
            <w:r>
              <w:rPr>
                <w:rFonts w:eastAsia="Calibri" w:cs="Arial"/>
                <w:szCs w:val="22"/>
                <w:bdr w:val="single" w:sz="4" w:space="0" w:color="auto"/>
              </w:rPr>
              <w:t xml:space="preserve"> </w:t>
            </w:r>
            <w:r w:rsidRPr="00FA3D46">
              <w:rPr>
                <w:rFonts w:eastAsia="Calibri" w:cs="Arial"/>
                <w:szCs w:val="22"/>
                <w:bdr w:val="single" w:sz="4" w:space="0" w:color="auto"/>
              </w:rPr>
              <w:t xml:space="preserve">  </w:t>
            </w:r>
            <w:r w:rsidRPr="00113428">
              <w:rPr>
                <w:rFonts w:eastAsia="Calibri" w:cs="Arial"/>
                <w:szCs w:val="22"/>
              </w:rPr>
              <w:t>%</w:t>
            </w:r>
          </w:p>
        </w:tc>
      </w:tr>
    </w:tbl>
    <w:bookmarkEnd w:id="4"/>
    <w:p w:rsidR="000C3EAD" w:rsidRPr="00113428" w:rsidRDefault="000C3EAD" w:rsidP="000C3EAD">
      <w:pPr>
        <w:jc w:val="both"/>
        <w:rPr>
          <w:rFonts w:cs="Arial"/>
          <w:szCs w:val="22"/>
        </w:rPr>
      </w:pPr>
      <w:r w:rsidRPr="00113428">
        <w:rPr>
          <w:rFonts w:eastAsia="Calibri" w:cs="Arial"/>
          <w:szCs w:val="22"/>
        </w:rPr>
        <w:t xml:space="preserve"> </w:t>
      </w:r>
    </w:p>
    <w:p w:rsidR="000C3EAD" w:rsidRDefault="000C3EAD" w:rsidP="000C3EAD">
      <w:pPr>
        <w:jc w:val="both"/>
        <w:rPr>
          <w:rFonts w:ascii="Calibri" w:eastAsia="Calibri" w:hAnsi="Calibri" w:cs="Calibri"/>
          <w:szCs w:val="22"/>
        </w:rPr>
      </w:pPr>
    </w:p>
    <w:p w:rsidR="000C3EAD" w:rsidRDefault="000C3EAD" w:rsidP="000C3EAD">
      <w:pPr>
        <w:jc w:val="both"/>
        <w:rPr>
          <w:rFonts w:ascii="Calibri" w:eastAsia="Calibri" w:hAnsi="Calibri" w:cs="Calibri"/>
          <w:szCs w:val="22"/>
        </w:rPr>
      </w:pPr>
    </w:p>
    <w:p w:rsidR="000C3EAD" w:rsidRDefault="000C3EAD" w:rsidP="000C3EAD">
      <w:pPr>
        <w:jc w:val="both"/>
      </w:pPr>
      <w:r w:rsidRPr="19AC5EBC">
        <w:rPr>
          <w:rFonts w:ascii="Calibri" w:eastAsia="Calibri" w:hAnsi="Calibri" w:cs="Calibri"/>
          <w:szCs w:val="22"/>
        </w:rPr>
        <w:t>Notes</w:t>
      </w:r>
    </w:p>
    <w:p w:rsidR="000C3EAD" w:rsidRDefault="000C3EAD" w:rsidP="000C3EAD">
      <w:pPr>
        <w:jc w:val="both"/>
      </w:pPr>
      <w:r w:rsidRPr="19AC5EBC">
        <w:rPr>
          <w:rFonts w:ascii="Calibri" w:eastAsia="Calibri" w:hAnsi="Calibri" w:cs="Calibri"/>
          <w:szCs w:val="22"/>
        </w:rPr>
        <w:t xml:space="preserve">1 – The number of delegates per course will be variable by agreement. </w:t>
      </w:r>
      <w:r>
        <w:rPr>
          <w:rFonts w:ascii="Calibri" w:eastAsia="Calibri" w:hAnsi="Calibri" w:cs="Calibri"/>
          <w:szCs w:val="22"/>
        </w:rPr>
        <w:t xml:space="preserve"> </w:t>
      </w:r>
      <w:r w:rsidRPr="19AC5EBC">
        <w:rPr>
          <w:rFonts w:ascii="Calibri" w:eastAsia="Calibri" w:hAnsi="Calibri" w:cs="Calibri"/>
          <w:szCs w:val="22"/>
        </w:rPr>
        <w:t xml:space="preserve">The table above should be completed with your pricing offer per course to give a maximum price, and then the amount by which that price would be reduced </w:t>
      </w:r>
      <w:r>
        <w:rPr>
          <w:rFonts w:ascii="Calibri" w:eastAsia="Calibri" w:hAnsi="Calibri" w:cs="Calibri"/>
          <w:szCs w:val="22"/>
        </w:rPr>
        <w:t>should a pass mark of 80% per course not be reached</w:t>
      </w:r>
      <w:r w:rsidRPr="19AC5EBC">
        <w:rPr>
          <w:rFonts w:ascii="Calibri" w:eastAsia="Calibri" w:hAnsi="Calibri" w:cs="Calibri"/>
          <w:szCs w:val="22"/>
        </w:rPr>
        <w:t>.</w:t>
      </w:r>
    </w:p>
    <w:p w:rsidR="000C3EAD" w:rsidRDefault="000C3EAD" w:rsidP="000C3EAD">
      <w:pPr>
        <w:jc w:val="both"/>
      </w:pPr>
      <w:r w:rsidRPr="19AC5EBC">
        <w:rPr>
          <w:rFonts w:ascii="Calibri" w:eastAsia="Calibri" w:hAnsi="Calibri" w:cs="Calibri"/>
          <w:szCs w:val="22"/>
        </w:rPr>
        <w:t>2 -   Th</w:t>
      </w:r>
      <w:r>
        <w:rPr>
          <w:rFonts w:ascii="Calibri" w:eastAsia="Calibri" w:hAnsi="Calibri" w:cs="Calibri"/>
          <w:szCs w:val="22"/>
        </w:rPr>
        <w:t>e option years April 2020 - March 2021 and April 2021 – March 2022</w:t>
      </w:r>
      <w:r w:rsidRPr="19AC5EBC">
        <w:rPr>
          <w:rFonts w:ascii="Calibri" w:eastAsia="Calibri" w:hAnsi="Calibri" w:cs="Calibri"/>
          <w:szCs w:val="22"/>
        </w:rPr>
        <w:t xml:space="preserve"> will be exercised at the sole discretion of the Authority.</w:t>
      </w:r>
    </w:p>
    <w:p w:rsidR="000C3EAD" w:rsidRDefault="000C3EAD" w:rsidP="000C3EAD">
      <w:pPr>
        <w:jc w:val="both"/>
      </w:pPr>
      <w:r w:rsidRPr="19AC5EBC">
        <w:rPr>
          <w:rFonts w:ascii="Calibri" w:eastAsia="Calibri" w:hAnsi="Calibri" w:cs="Calibri"/>
          <w:szCs w:val="22"/>
        </w:rPr>
        <w:t xml:space="preserve">3 – The maximum price for all courses is the only scored element </w:t>
      </w:r>
      <w:r>
        <w:rPr>
          <w:rFonts w:ascii="Calibri" w:eastAsia="Calibri" w:hAnsi="Calibri" w:cs="Calibri"/>
          <w:szCs w:val="22"/>
        </w:rPr>
        <w:t xml:space="preserve">of the Financial Criteria.  </w:t>
      </w:r>
    </w:p>
    <w:p w:rsidR="000C3EAD" w:rsidRDefault="000C3EAD" w:rsidP="000C3EAD">
      <w:pPr>
        <w:jc w:val="both"/>
      </w:pPr>
    </w:p>
    <w:p w:rsidR="000C3EAD" w:rsidRDefault="000C3EAD" w:rsidP="000C3EAD">
      <w:pPr>
        <w:jc w:val="both"/>
      </w:pPr>
      <w:r w:rsidRPr="69D1710D">
        <w:rPr>
          <w:rFonts w:eastAsia="Arial" w:cs="Arial"/>
          <w:sz w:val="16"/>
          <w:szCs w:val="16"/>
        </w:rPr>
        <w:t xml:space="preserve">                                              </w:t>
      </w:r>
    </w:p>
    <w:p w:rsidR="000C3EAD" w:rsidRDefault="000C3EAD" w:rsidP="000C3EAD">
      <w:pPr>
        <w:jc w:val="both"/>
        <w:rPr>
          <w:rFonts w:ascii="Arial,Calibri" w:eastAsia="Arial,Calibri" w:hAnsi="Arial,Calibri" w:cs="Arial,Calibri"/>
        </w:rPr>
      </w:pPr>
    </w:p>
    <w:bookmarkEnd w:id="1"/>
    <w:p w:rsidR="000C3EAD" w:rsidRDefault="000C3EAD" w:rsidP="000C3EAD">
      <w:pPr>
        <w:pStyle w:val="NoSpacing"/>
        <w:rPr>
          <w:rStyle w:val="DWHdgSubject"/>
        </w:rPr>
      </w:pPr>
    </w:p>
    <w:p w:rsidR="000C3EAD" w:rsidRDefault="000C3EAD"/>
    <w:sectPr w:rsidR="000C3EAD" w:rsidSect="002D0424">
      <w:headerReference w:type="default" r:id="rId5"/>
      <w:footerReference w:type="default" r:id="rId6"/>
      <w:endnotePr>
        <w:numFmt w:val="decimal"/>
      </w:endnotePr>
      <w:pgSz w:w="11907" w:h="16840" w:code="9"/>
      <w:pgMar w:top="720" w:right="720" w:bottom="720" w:left="720" w:header="539" w:footer="5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Calibri">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15" w:rsidRDefault="00AC4F4C" w:rsidP="00840E6F">
    <w:pPr>
      <w:pStyle w:val="Footer"/>
      <w:tabs>
        <w:tab w:val="left" w:pos="8585"/>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rsidR="00470515" w:rsidRPr="00F92B94" w:rsidRDefault="00AC4F4C" w:rsidP="00840E6F">
    <w:pPr>
      <w:pStyle w:val="Footer"/>
      <w:spacing w:before="120"/>
      <w:jc w:val="center"/>
      <w:rPr>
        <w:rStyle w:val="ProtectiveMarking"/>
      </w:rPr>
    </w:pPr>
    <w:r>
      <w:rPr>
        <w:rStyle w:val="ProtectiveMarking"/>
      </w:rPr>
      <w:t>OFFICIAL-SENSITIVE-COMMERICAL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15" w:rsidRPr="00F92B94" w:rsidRDefault="00AC4F4C" w:rsidP="45A14541">
    <w:pPr>
      <w:pStyle w:val="Header"/>
      <w:spacing w:after="0"/>
      <w:jc w:val="center"/>
      <w:rPr>
        <w:rStyle w:val="ProtectiveMarki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06252"/>
    <w:multiLevelType w:val="hybridMultilevel"/>
    <w:tmpl w:val="657E14D4"/>
    <w:lvl w:ilvl="0" w:tplc="5290BE86">
      <w:start w:val="1"/>
      <w:numFmt w:val="lowerLetter"/>
      <w:lvlText w:val="%1."/>
      <w:lvlJc w:val="left"/>
      <w:pPr>
        <w:ind w:left="720" w:hanging="360"/>
      </w:pPr>
    </w:lvl>
    <w:lvl w:ilvl="1" w:tplc="8D3E241A">
      <w:start w:val="1"/>
      <w:numFmt w:val="lowerLetter"/>
      <w:lvlText w:val="%2."/>
      <w:lvlJc w:val="left"/>
      <w:pPr>
        <w:ind w:left="1440" w:hanging="360"/>
      </w:pPr>
    </w:lvl>
    <w:lvl w:ilvl="2" w:tplc="5EB6EBFC">
      <w:start w:val="1"/>
      <w:numFmt w:val="lowerRoman"/>
      <w:lvlText w:val="%3."/>
      <w:lvlJc w:val="right"/>
      <w:pPr>
        <w:ind w:left="2160" w:hanging="180"/>
      </w:pPr>
    </w:lvl>
    <w:lvl w:ilvl="3" w:tplc="DE7CE48C">
      <w:start w:val="1"/>
      <w:numFmt w:val="decimal"/>
      <w:lvlText w:val="%4."/>
      <w:lvlJc w:val="left"/>
      <w:pPr>
        <w:ind w:left="2880" w:hanging="360"/>
      </w:pPr>
    </w:lvl>
    <w:lvl w:ilvl="4" w:tplc="6DC23458">
      <w:start w:val="1"/>
      <w:numFmt w:val="lowerLetter"/>
      <w:lvlText w:val="%5."/>
      <w:lvlJc w:val="left"/>
      <w:pPr>
        <w:ind w:left="3600" w:hanging="360"/>
      </w:pPr>
    </w:lvl>
    <w:lvl w:ilvl="5" w:tplc="5D42086C">
      <w:start w:val="1"/>
      <w:numFmt w:val="lowerRoman"/>
      <w:lvlText w:val="%6."/>
      <w:lvlJc w:val="right"/>
      <w:pPr>
        <w:ind w:left="4320" w:hanging="180"/>
      </w:pPr>
    </w:lvl>
    <w:lvl w:ilvl="6" w:tplc="8ECA6862">
      <w:start w:val="1"/>
      <w:numFmt w:val="decimal"/>
      <w:lvlText w:val="%7."/>
      <w:lvlJc w:val="left"/>
      <w:pPr>
        <w:ind w:left="5040" w:hanging="360"/>
      </w:pPr>
    </w:lvl>
    <w:lvl w:ilvl="7" w:tplc="057CBA3C">
      <w:start w:val="1"/>
      <w:numFmt w:val="lowerLetter"/>
      <w:lvlText w:val="%8."/>
      <w:lvlJc w:val="left"/>
      <w:pPr>
        <w:ind w:left="5760" w:hanging="360"/>
      </w:pPr>
    </w:lvl>
    <w:lvl w:ilvl="8" w:tplc="27EA8CF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AD"/>
    <w:rsid w:val="000C3EAD"/>
    <w:rsid w:val="00443D56"/>
    <w:rsid w:val="00AC4F4C"/>
    <w:rsid w:val="00F65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03FB"/>
  <w15:chartTrackingRefBased/>
  <w15:docId w15:val="{333B27B4-57A7-4024-B726-CD53B61E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EAD"/>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3EAD"/>
    <w:pPr>
      <w:tabs>
        <w:tab w:val="center" w:pos="4819"/>
        <w:tab w:val="right" w:pos="9638"/>
      </w:tabs>
      <w:spacing w:before="220"/>
    </w:pPr>
  </w:style>
  <w:style w:type="character" w:customStyle="1" w:styleId="FooterChar">
    <w:name w:val="Footer Char"/>
    <w:basedOn w:val="DefaultParagraphFont"/>
    <w:link w:val="Footer"/>
    <w:rsid w:val="000C3EAD"/>
    <w:rPr>
      <w:rFonts w:ascii="Arial" w:eastAsia="Times New Roman" w:hAnsi="Arial" w:cs="Times New Roman"/>
      <w:kern w:val="22"/>
      <w:szCs w:val="20"/>
    </w:rPr>
  </w:style>
  <w:style w:type="paragraph" w:styleId="Header">
    <w:name w:val="header"/>
    <w:basedOn w:val="Normal"/>
    <w:link w:val="HeaderChar"/>
    <w:rsid w:val="000C3EAD"/>
    <w:pPr>
      <w:tabs>
        <w:tab w:val="center" w:pos="4819"/>
        <w:tab w:val="right" w:pos="9638"/>
      </w:tabs>
      <w:spacing w:after="220"/>
    </w:pPr>
  </w:style>
  <w:style w:type="character" w:customStyle="1" w:styleId="HeaderChar">
    <w:name w:val="Header Char"/>
    <w:basedOn w:val="DefaultParagraphFont"/>
    <w:link w:val="Header"/>
    <w:rsid w:val="000C3EAD"/>
    <w:rPr>
      <w:rFonts w:ascii="Arial" w:eastAsia="Times New Roman" w:hAnsi="Arial" w:cs="Times New Roman"/>
      <w:kern w:val="22"/>
      <w:szCs w:val="20"/>
    </w:rPr>
  </w:style>
  <w:style w:type="character" w:customStyle="1" w:styleId="ProtectiveMarking">
    <w:name w:val="Protective Marking"/>
    <w:basedOn w:val="DefaultParagraphFont"/>
    <w:rsid w:val="000C3EAD"/>
    <w:rPr>
      <w:b/>
      <w:caps/>
    </w:rPr>
  </w:style>
  <w:style w:type="character" w:customStyle="1" w:styleId="DWHdgSubject">
    <w:name w:val="DW Hdg Subject"/>
    <w:basedOn w:val="DefaultParagraphFont"/>
    <w:qFormat/>
    <w:rsid w:val="000C3EAD"/>
    <w:rPr>
      <w:caps/>
      <w:u w:val="none"/>
    </w:rPr>
  </w:style>
  <w:style w:type="character" w:styleId="PageNumber">
    <w:name w:val="page number"/>
    <w:basedOn w:val="DefaultParagraphFont"/>
    <w:rsid w:val="000C3EAD"/>
  </w:style>
  <w:style w:type="paragraph" w:styleId="NoSpacing">
    <w:name w:val="No Spacing"/>
    <w:uiPriority w:val="1"/>
    <w:qFormat/>
    <w:rsid w:val="000C3EAD"/>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ListParagraph">
    <w:name w:val="List Paragraph"/>
    <w:basedOn w:val="Normal"/>
    <w:uiPriority w:val="34"/>
    <w:qFormat/>
    <w:rsid w:val="000C3EAD"/>
    <w:pPr>
      <w:overflowPunct/>
      <w:autoSpaceDE/>
      <w:autoSpaceDN/>
      <w:adjustRightInd/>
      <w:ind w:left="720"/>
      <w:contextualSpacing/>
      <w:textAlignment w:val="auto"/>
    </w:pPr>
    <w:rPr>
      <w:kern w:val="0"/>
      <w:szCs w:val="24"/>
    </w:rPr>
  </w:style>
  <w:style w:type="table" w:styleId="GridTable1Light-Accent1">
    <w:name w:val="Grid Table 1 Light Accent 1"/>
    <w:basedOn w:val="TableNormal"/>
    <w:uiPriority w:val="46"/>
    <w:rsid w:val="000C3E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 Jonathan E1 (DES Comrcl-ICAF1a)</dc:creator>
  <cp:keywords/>
  <dc:description/>
  <cp:lastModifiedBy>Stringer, Jonathan E1 (DES Comrcl-ICAF1a)</cp:lastModifiedBy>
  <cp:revision>2</cp:revision>
  <dcterms:created xsi:type="dcterms:W3CDTF">2019-03-08T15:45:00Z</dcterms:created>
  <dcterms:modified xsi:type="dcterms:W3CDTF">2019-03-08T15:45:00Z</dcterms:modified>
</cp:coreProperties>
</file>