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0CAE257B" w:rsidR="004A4734" w:rsidRPr="00A97C25" w:rsidRDefault="003B1167" w:rsidP="00A97C25">
      <w:pPr>
        <w:spacing w:after="0" w:line="259" w:lineRule="auto"/>
        <w:ind w:left="3600" w:hanging="36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bookmarkStart w:id="0" w:name="_Hlk57109244"/>
      <w:r w:rsidR="00A97C25" w:rsidRPr="00A97C25">
        <w:rPr>
          <w:rFonts w:ascii="Arial" w:hAnsi="Arial" w:cs="Arial"/>
          <w:bCs/>
          <w:sz w:val="24"/>
          <w:szCs w:val="24"/>
          <w:lang w:val="fr-FR"/>
        </w:rPr>
        <w:t>PNC MAINFRAME and OPEN SYSTEMS BROCADE SAN SWITCH REPLACEMENT</w:t>
      </w:r>
      <w:r w:rsidR="00A97C25" w:rsidRPr="00A97C25">
        <w:rPr>
          <w:rFonts w:ascii="Arial" w:hAnsi="Arial" w:cs="Arial"/>
          <w:bCs/>
          <w:sz w:val="24"/>
          <w:szCs w:val="24"/>
        </w:rPr>
        <w:t xml:space="preserve"> </w:t>
      </w:r>
      <w:r w:rsidR="007754B8" w:rsidRPr="00A97C25">
        <w:rPr>
          <w:rFonts w:ascii="Arial" w:hAnsi="Arial" w:cs="Arial"/>
          <w:bCs/>
          <w:sz w:val="24"/>
          <w:szCs w:val="24"/>
        </w:rPr>
        <w:t xml:space="preserve">CONTRACT </w:t>
      </w:r>
    </w:p>
    <w:bookmarkEnd w:id="0"/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213A870B" w:rsidR="00FE264D" w:rsidRPr="009F273E" w:rsidRDefault="00D500B0" w:rsidP="007754B8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7754B8">
        <w:rPr>
          <w:rFonts w:ascii="Arial" w:hAnsi="Arial" w:cs="Arial"/>
          <w:sz w:val="24"/>
          <w:szCs w:val="24"/>
        </w:rPr>
        <w:t xml:space="preserve">Home Office, </w:t>
      </w:r>
      <w:r w:rsidR="007754B8" w:rsidRPr="007754B8">
        <w:rPr>
          <w:rFonts w:ascii="Arial" w:hAnsi="Arial" w:cs="Arial"/>
          <w:sz w:val="24"/>
          <w:szCs w:val="24"/>
        </w:rPr>
        <w:t>Hendon Data Centre</w:t>
      </w:r>
      <w:r w:rsidR="007754B8">
        <w:rPr>
          <w:rFonts w:ascii="Arial" w:hAnsi="Arial" w:cs="Arial"/>
          <w:sz w:val="24"/>
          <w:szCs w:val="24"/>
        </w:rPr>
        <w:t>,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C75F101" w14:textId="77777777" w:rsidR="007754B8" w:rsidRDefault="00FE264D" w:rsidP="007754B8">
      <w:pPr>
        <w:spacing w:after="0" w:line="259" w:lineRule="auto"/>
        <w:ind w:left="720" w:hanging="72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754B8" w:rsidRPr="007754B8">
        <w:rPr>
          <w:rFonts w:ascii="Arial" w:hAnsi="Arial" w:cs="Arial"/>
          <w:sz w:val="24"/>
          <w:szCs w:val="24"/>
        </w:rPr>
        <w:t xml:space="preserve">1 Peel Square, Aerodrome Road, </w:t>
      </w:r>
    </w:p>
    <w:p w14:paraId="1B3868CC" w14:textId="76EB4261" w:rsidR="00FE264D" w:rsidRPr="009F273E" w:rsidRDefault="007754B8" w:rsidP="007754B8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7754B8">
        <w:rPr>
          <w:rFonts w:ascii="Arial" w:hAnsi="Arial" w:cs="Arial"/>
          <w:sz w:val="24"/>
          <w:szCs w:val="24"/>
        </w:rPr>
        <w:t>London NW9</w:t>
      </w:r>
      <w:r>
        <w:rPr>
          <w:rFonts w:ascii="Arial" w:hAnsi="Arial" w:cs="Arial"/>
          <w:sz w:val="24"/>
          <w:szCs w:val="24"/>
        </w:rPr>
        <w:t xml:space="preserve"> </w:t>
      </w:r>
      <w:r w:rsidRPr="007754B8">
        <w:rPr>
          <w:rFonts w:ascii="Arial" w:hAnsi="Arial" w:cs="Arial"/>
          <w:sz w:val="24"/>
          <w:szCs w:val="24"/>
        </w:rPr>
        <w:t>5JE</w:t>
      </w:r>
      <w:r w:rsidR="00FE264D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6543CFA3" w:rsidR="004A4734" w:rsidRPr="00A97C25" w:rsidRDefault="00D500B0" w:rsidP="000142CB">
      <w:pPr>
        <w:spacing w:line="240" w:lineRule="auto"/>
        <w:ind w:left="3600" w:hanging="3600"/>
        <w:rPr>
          <w:rFonts w:ascii="Arial" w:hAnsi="Arial" w:cs="Arial"/>
          <w:sz w:val="24"/>
          <w:szCs w:val="24"/>
          <w:highlight w:val="yellow"/>
        </w:rPr>
      </w:pPr>
      <w:r w:rsidRPr="00C811F4">
        <w:rPr>
          <w:rFonts w:ascii="Arial" w:hAnsi="Arial" w:cs="Arial"/>
          <w:sz w:val="24"/>
          <w:szCs w:val="24"/>
        </w:rPr>
        <w:t>THE SUPPLIER</w:t>
      </w:r>
      <w:r w:rsidR="00563DA5" w:rsidRPr="00C811F4">
        <w:rPr>
          <w:rFonts w:ascii="Arial" w:hAnsi="Arial" w:cs="Arial"/>
          <w:sz w:val="24"/>
          <w:szCs w:val="24"/>
        </w:rPr>
        <w:t xml:space="preserve">: </w:t>
      </w:r>
      <w:r w:rsidRPr="00C811F4">
        <w:rPr>
          <w:rFonts w:ascii="Arial" w:hAnsi="Arial" w:cs="Arial"/>
          <w:sz w:val="24"/>
          <w:szCs w:val="24"/>
        </w:rPr>
        <w:tab/>
      </w:r>
      <w:r w:rsidR="00F249AC" w:rsidRPr="00F249AC">
        <w:rPr>
          <w:rFonts w:ascii="Arial" w:hAnsi="Arial" w:cs="Arial"/>
          <w:b/>
          <w:bCs/>
          <w:color w:val="0070C0"/>
          <w:sz w:val="24"/>
          <w:szCs w:val="24"/>
        </w:rPr>
        <w:t>b</w:t>
      </w:r>
      <w:r w:rsidR="00C811F4" w:rsidRPr="00F249AC">
        <w:rPr>
          <w:rFonts w:ascii="Arial" w:hAnsi="Arial" w:cs="Arial"/>
          <w:b/>
          <w:bCs/>
          <w:color w:val="0070C0"/>
          <w:sz w:val="24"/>
          <w:szCs w:val="24"/>
        </w:rPr>
        <w:t>oxxe Limited</w:t>
      </w:r>
      <w:r w:rsidR="007D2E98" w:rsidRPr="00F249AC">
        <w:rPr>
          <w:rFonts w:ascii="Arial" w:hAnsi="Arial" w:cs="Arial"/>
          <w:b/>
          <w:color w:val="0070C0"/>
          <w:sz w:val="24"/>
          <w:szCs w:val="24"/>
          <w:highlight w:val="yellow"/>
        </w:rPr>
        <w:t xml:space="preserve"> </w:t>
      </w:r>
    </w:p>
    <w:p w14:paraId="1B6A5052" w14:textId="36AB936D" w:rsidR="004A4734" w:rsidRPr="006F025B" w:rsidRDefault="00D500B0" w:rsidP="000142CB">
      <w:pPr>
        <w:spacing w:line="240" w:lineRule="auto"/>
        <w:ind w:left="3600" w:hanging="360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249AC">
        <w:rPr>
          <w:rFonts w:ascii="Arial" w:hAnsi="Arial" w:cs="Arial"/>
          <w:sz w:val="24"/>
          <w:szCs w:val="24"/>
        </w:rPr>
        <w:t>SUPPLIER ADDRESS</w:t>
      </w:r>
      <w:r w:rsidR="00CB39A4" w:rsidRPr="00F249AC">
        <w:rPr>
          <w:rFonts w:ascii="Arial" w:hAnsi="Arial" w:cs="Arial"/>
          <w:sz w:val="24"/>
          <w:szCs w:val="24"/>
        </w:rPr>
        <w:t xml:space="preserve">: </w:t>
      </w:r>
      <w:r w:rsidRPr="00F249AC">
        <w:rPr>
          <w:rFonts w:ascii="Arial" w:hAnsi="Arial" w:cs="Arial"/>
          <w:sz w:val="24"/>
          <w:szCs w:val="24"/>
        </w:rPr>
        <w:tab/>
      </w:r>
      <w:r w:rsidR="006F025B" w:rsidRPr="006F025B">
        <w:rPr>
          <w:rFonts w:ascii="Arial" w:hAnsi="Arial" w:cs="Arial"/>
          <w:b/>
          <w:bCs/>
          <w:sz w:val="24"/>
          <w:szCs w:val="24"/>
        </w:rPr>
        <w:t>REDACTED</w:t>
      </w:r>
    </w:p>
    <w:p w14:paraId="58981C2D" w14:textId="7996663B" w:rsidR="004A4734" w:rsidRPr="006F025B" w:rsidRDefault="006C1CB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249AC">
        <w:rPr>
          <w:rFonts w:ascii="Arial" w:hAnsi="Arial" w:cs="Arial"/>
          <w:sz w:val="24"/>
          <w:szCs w:val="24"/>
        </w:rPr>
        <w:t>REGISTRATION NUMBER</w:t>
      </w:r>
      <w:r w:rsidR="00CB39A4" w:rsidRPr="00F249AC">
        <w:rPr>
          <w:rFonts w:ascii="Arial" w:hAnsi="Arial" w:cs="Arial"/>
          <w:sz w:val="24"/>
          <w:szCs w:val="24"/>
        </w:rPr>
        <w:t xml:space="preserve">: </w:t>
      </w:r>
      <w:r w:rsidR="00D500B0" w:rsidRPr="00F249AC">
        <w:rPr>
          <w:rFonts w:ascii="Arial" w:hAnsi="Arial" w:cs="Arial"/>
          <w:sz w:val="24"/>
          <w:szCs w:val="24"/>
        </w:rPr>
        <w:tab/>
      </w:r>
      <w:r w:rsidR="006F025B" w:rsidRPr="006F025B">
        <w:rPr>
          <w:rFonts w:ascii="Arial" w:hAnsi="Arial" w:cs="Arial"/>
          <w:b/>
          <w:bCs/>
          <w:sz w:val="24"/>
          <w:szCs w:val="24"/>
        </w:rPr>
        <w:t>REDACTED</w:t>
      </w:r>
    </w:p>
    <w:p w14:paraId="5E7DC1A3" w14:textId="33A874DD" w:rsidR="004A4734" w:rsidRPr="006F025B" w:rsidRDefault="008A799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249AC">
        <w:rPr>
          <w:rFonts w:ascii="Arial" w:hAnsi="Arial" w:cs="Arial"/>
          <w:sz w:val="24"/>
          <w:szCs w:val="24"/>
        </w:rPr>
        <w:t xml:space="preserve">DUNS </w:t>
      </w:r>
      <w:r w:rsidR="003E73F1" w:rsidRPr="00F249AC">
        <w:rPr>
          <w:rFonts w:ascii="Arial" w:hAnsi="Arial" w:cs="Arial"/>
          <w:sz w:val="24"/>
          <w:szCs w:val="24"/>
        </w:rPr>
        <w:t>NUMBER</w:t>
      </w:r>
      <w:r w:rsidR="00CB39A4" w:rsidRPr="00F249AC">
        <w:rPr>
          <w:rFonts w:ascii="Arial" w:hAnsi="Arial" w:cs="Arial"/>
          <w:sz w:val="24"/>
          <w:szCs w:val="24"/>
        </w:rPr>
        <w:t xml:space="preserve">: </w:t>
      </w:r>
      <w:r w:rsidR="00FE264D" w:rsidRPr="00F249AC">
        <w:rPr>
          <w:rFonts w:ascii="Arial" w:hAnsi="Arial" w:cs="Arial"/>
          <w:sz w:val="24"/>
          <w:szCs w:val="24"/>
        </w:rPr>
        <w:t xml:space="preserve">      </w:t>
      </w:r>
      <w:r w:rsidR="003E73F1" w:rsidRPr="00F249AC">
        <w:rPr>
          <w:rFonts w:ascii="Arial" w:hAnsi="Arial" w:cs="Arial"/>
          <w:sz w:val="24"/>
          <w:szCs w:val="24"/>
        </w:rPr>
        <w:tab/>
      </w:r>
      <w:r w:rsidR="003E73F1" w:rsidRPr="00F249AC">
        <w:rPr>
          <w:rFonts w:ascii="Arial" w:hAnsi="Arial" w:cs="Arial"/>
          <w:sz w:val="24"/>
          <w:szCs w:val="24"/>
        </w:rPr>
        <w:tab/>
      </w:r>
      <w:r w:rsidR="006F025B" w:rsidRPr="006F025B">
        <w:rPr>
          <w:rFonts w:ascii="Arial" w:hAnsi="Arial" w:cs="Arial"/>
          <w:b/>
          <w:bCs/>
          <w:sz w:val="24"/>
          <w:szCs w:val="24"/>
        </w:rPr>
        <w:t>REDACTED</w:t>
      </w:r>
    </w:p>
    <w:p w14:paraId="0AE0F648" w14:textId="21640F61" w:rsidR="004A4734" w:rsidRPr="006F025B" w:rsidRDefault="003676A4" w:rsidP="00882DE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249AC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6F025B" w:rsidRPr="006F025B">
        <w:rPr>
          <w:rFonts w:ascii="Arial" w:hAnsi="Arial" w:cs="Arial"/>
          <w:b/>
          <w:bCs/>
          <w:sz w:val="24"/>
          <w:szCs w:val="24"/>
        </w:rPr>
        <w:t>REDACTED</w:t>
      </w:r>
    </w:p>
    <w:p w14:paraId="2F9712D5" w14:textId="77777777" w:rsidR="00882DE7" w:rsidRPr="009F273E" w:rsidRDefault="00882DE7" w:rsidP="00882DE7">
      <w:pPr>
        <w:spacing w:line="240" w:lineRule="auto"/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5CF5D216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456675">
        <w:rPr>
          <w:rFonts w:ascii="Arial" w:hAnsi="Arial" w:cs="Arial"/>
          <w:sz w:val="24"/>
          <w:szCs w:val="24"/>
        </w:rPr>
        <w:t xml:space="preserve"> </w:t>
      </w:r>
      <w:r w:rsidR="00C811F4">
        <w:rPr>
          <w:rFonts w:ascii="Arial" w:hAnsi="Arial" w:cs="Arial"/>
          <w:sz w:val="24"/>
          <w:szCs w:val="24"/>
        </w:rPr>
        <w:t>11/05/2021.</w:t>
      </w:r>
      <w:r w:rsidR="003E73F1">
        <w:rPr>
          <w:rFonts w:ascii="Arial" w:hAnsi="Arial" w:cs="Arial"/>
          <w:sz w:val="24"/>
          <w:szCs w:val="24"/>
        </w:rPr>
        <w:t xml:space="preserve">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2D6C5574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30170BE6" w14:textId="77777777" w:rsidR="0068598D" w:rsidRDefault="0068598D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38CB1F9" w14:textId="77777777" w:rsidR="002315F2" w:rsidRPr="0068598D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68598D">
        <w:rPr>
          <w:rFonts w:ascii="Arial" w:eastAsia="STZhongsong" w:hAnsi="Arial" w:cs="Arial"/>
          <w:sz w:val="24"/>
          <w:szCs w:val="24"/>
          <w:lang w:eastAsia="zh-CN"/>
        </w:rPr>
        <w:t>Lot 2 Hardware &amp; Associated Services</w:t>
      </w: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1FE3EA38" w:rsid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059D29C8" w14:textId="77777777" w:rsidR="0068598D" w:rsidRPr="005B7837" w:rsidRDefault="0068598D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0BB24B4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76EF38C0" w14:textId="0BF5964D" w:rsidR="005C0DB5" w:rsidRPr="000A58CD" w:rsidRDefault="00CB39A4" w:rsidP="000A58C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  <w:r w:rsidR="009F273E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20167F5" w14:textId="77777777" w:rsidR="0068598D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73AE550A" w:rsidR="0054312C" w:rsidRDefault="005C0DB5" w:rsidP="0068598D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11A2FB5" w14:textId="6A26D40F" w:rsidR="005C0DB5" w:rsidRPr="0054312C" w:rsidRDefault="0054312C" w:rsidP="00A97C25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A97C25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97C25" w:rsidRPr="00A97C25">
        <w:rPr>
          <w:rFonts w:ascii="Arial" w:hAnsi="Arial" w:cs="Arial"/>
          <w:bCs/>
          <w:iCs/>
          <w:sz w:val="24"/>
          <w:szCs w:val="24"/>
          <w:lang w:val="fr-FR"/>
        </w:rPr>
        <w:t>PNC M</w:t>
      </w:r>
      <w:r w:rsidR="00A97C25">
        <w:rPr>
          <w:rFonts w:ascii="Arial" w:hAnsi="Arial" w:cs="Arial"/>
          <w:bCs/>
          <w:iCs/>
          <w:sz w:val="24"/>
          <w:szCs w:val="24"/>
          <w:lang w:val="fr-FR"/>
        </w:rPr>
        <w:t>ainframe</w:t>
      </w:r>
      <w:r w:rsidR="00A97C25" w:rsidRPr="00A97C25">
        <w:rPr>
          <w:rFonts w:ascii="Arial" w:hAnsi="Arial" w:cs="Arial"/>
          <w:bCs/>
          <w:iCs/>
          <w:sz w:val="24"/>
          <w:szCs w:val="24"/>
          <w:lang w:val="fr-FR"/>
        </w:rPr>
        <w:t xml:space="preserve"> and O</w:t>
      </w:r>
      <w:r w:rsidR="00A97C25">
        <w:rPr>
          <w:rFonts w:ascii="Arial" w:hAnsi="Arial" w:cs="Arial"/>
          <w:bCs/>
          <w:iCs/>
          <w:sz w:val="24"/>
          <w:szCs w:val="24"/>
          <w:lang w:val="fr-FR"/>
        </w:rPr>
        <w:t>pen</w:t>
      </w:r>
      <w:r w:rsidR="00A97C25" w:rsidRPr="00A97C25">
        <w:rPr>
          <w:rFonts w:ascii="Arial" w:hAnsi="Arial" w:cs="Arial"/>
          <w:bCs/>
          <w:iCs/>
          <w:sz w:val="24"/>
          <w:szCs w:val="24"/>
          <w:lang w:val="fr-FR"/>
        </w:rPr>
        <w:t xml:space="preserve"> S</w:t>
      </w:r>
      <w:r w:rsidR="00A97C25">
        <w:rPr>
          <w:rFonts w:ascii="Arial" w:hAnsi="Arial" w:cs="Arial"/>
          <w:bCs/>
          <w:iCs/>
          <w:sz w:val="24"/>
          <w:szCs w:val="24"/>
          <w:lang w:val="fr-FR"/>
        </w:rPr>
        <w:t>ystems</w:t>
      </w:r>
      <w:r w:rsidR="00A97C25" w:rsidRPr="00A97C25">
        <w:rPr>
          <w:rFonts w:ascii="Arial" w:hAnsi="Arial" w:cs="Arial"/>
          <w:bCs/>
          <w:iCs/>
          <w:sz w:val="24"/>
          <w:szCs w:val="24"/>
          <w:lang w:val="fr-FR"/>
        </w:rPr>
        <w:t xml:space="preserve"> B</w:t>
      </w:r>
      <w:r w:rsidR="00A97C25">
        <w:rPr>
          <w:rFonts w:ascii="Arial" w:hAnsi="Arial" w:cs="Arial"/>
          <w:bCs/>
          <w:iCs/>
          <w:sz w:val="24"/>
          <w:szCs w:val="24"/>
          <w:lang w:val="fr-FR"/>
        </w:rPr>
        <w:t>rocade</w:t>
      </w:r>
      <w:r w:rsidR="00A97C25" w:rsidRPr="00A97C25">
        <w:rPr>
          <w:rFonts w:ascii="Arial" w:hAnsi="Arial" w:cs="Arial"/>
          <w:bCs/>
          <w:iCs/>
          <w:sz w:val="24"/>
          <w:szCs w:val="24"/>
          <w:lang w:val="fr-FR"/>
        </w:rPr>
        <w:t xml:space="preserve"> SAN S</w:t>
      </w:r>
      <w:r w:rsidR="00A97C25">
        <w:rPr>
          <w:rFonts w:ascii="Arial" w:hAnsi="Arial" w:cs="Arial"/>
          <w:bCs/>
          <w:iCs/>
          <w:sz w:val="24"/>
          <w:szCs w:val="24"/>
          <w:lang w:val="fr-FR"/>
        </w:rPr>
        <w:t>witch</w:t>
      </w:r>
      <w:r w:rsidR="00A97C25" w:rsidRPr="00A97C25">
        <w:rPr>
          <w:rFonts w:ascii="Arial" w:hAnsi="Arial" w:cs="Arial"/>
          <w:bCs/>
          <w:iCs/>
          <w:sz w:val="24"/>
          <w:szCs w:val="24"/>
          <w:lang w:val="fr-FR"/>
        </w:rPr>
        <w:t xml:space="preserve"> R</w:t>
      </w:r>
      <w:r w:rsidR="00A97C25">
        <w:rPr>
          <w:rFonts w:ascii="Arial" w:hAnsi="Arial" w:cs="Arial"/>
          <w:bCs/>
          <w:iCs/>
          <w:sz w:val="24"/>
          <w:szCs w:val="24"/>
          <w:lang w:val="fr-FR"/>
        </w:rPr>
        <w:t>eplacement</w:t>
      </w:r>
      <w:r w:rsidR="00A97C25">
        <w:rPr>
          <w:rStyle w:val="Emphasis"/>
          <w:rFonts w:ascii="Arial" w:hAnsi="Arial" w:cs="Arial"/>
          <w:i w:val="0"/>
          <w:sz w:val="24"/>
          <w:szCs w:val="24"/>
        </w:rPr>
        <w:t xml:space="preserve"> Contract</w:t>
      </w:r>
    </w:p>
    <w:p w14:paraId="49AFB4E1" w14:textId="1896E64F" w:rsidR="003D7714" w:rsidRPr="000A58CD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8 (Business Continuity </w:t>
      </w:r>
      <w:r w:rsidR="00A82F1C"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&amp; </w:t>
      </w:r>
      <w:r w:rsidRPr="000A58CD">
        <w:rPr>
          <w:rStyle w:val="Emphasis"/>
          <w:rFonts w:ascii="Arial" w:hAnsi="Arial" w:cs="Arial"/>
          <w:i w:val="0"/>
          <w:sz w:val="24"/>
          <w:szCs w:val="24"/>
        </w:rPr>
        <w:t>Disaster Recovery)</w:t>
      </w:r>
      <w:r w:rsidR="00CE6859"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 Part B</w:t>
      </w:r>
    </w:p>
    <w:p w14:paraId="4FFD5BD1" w14:textId="390985EB" w:rsidR="004A4734" w:rsidRPr="000A58CD" w:rsidRDefault="003D7714" w:rsidP="000A58C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0A58CD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5B83CDD" w14:textId="3F0AA3A7" w:rsidR="004A473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0A58CD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0A58CD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0A58CD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0A58CD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0A58C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6350946" w14:textId="77777777" w:rsidR="000A58CD" w:rsidRPr="000A58CD" w:rsidRDefault="000A58CD" w:rsidP="000A58CD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0DEB1FC8" w14:textId="77777777" w:rsidR="009879F9" w:rsidRDefault="009879F9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7E894BD3" w14:textId="6EA23051" w:rsidR="009879F9" w:rsidRPr="009879F9" w:rsidRDefault="00CB39A4" w:rsidP="00A97C25">
      <w:pPr>
        <w:spacing w:after="0"/>
        <w:ind w:right="936"/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  <w:r w:rsidR="009879F9">
        <w:rPr>
          <w:rFonts w:ascii="Arial" w:hAnsi="Arial" w:cs="Arial"/>
          <w:sz w:val="24"/>
          <w:szCs w:val="24"/>
        </w:rPr>
        <w:t xml:space="preserve"> </w:t>
      </w:r>
    </w:p>
    <w:p w14:paraId="63BBE922" w14:textId="77777777" w:rsidR="009879F9" w:rsidRDefault="009879F9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4E61396B" w14:textId="18D03E3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879F9">
        <w:rPr>
          <w:rFonts w:ascii="Arial" w:hAnsi="Arial" w:cs="Arial"/>
          <w:sz w:val="24"/>
          <w:szCs w:val="24"/>
        </w:rPr>
        <w:t>01/0</w:t>
      </w:r>
      <w:r w:rsidR="00A97C25">
        <w:rPr>
          <w:rFonts w:ascii="Arial" w:hAnsi="Arial" w:cs="Arial"/>
          <w:sz w:val="24"/>
          <w:szCs w:val="24"/>
        </w:rPr>
        <w:t>6</w:t>
      </w:r>
      <w:r w:rsidR="009879F9">
        <w:rPr>
          <w:rFonts w:ascii="Arial" w:hAnsi="Arial" w:cs="Arial"/>
          <w:sz w:val="24"/>
          <w:szCs w:val="24"/>
        </w:rPr>
        <w:t>/2021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7E4CADD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879F9">
        <w:rPr>
          <w:rFonts w:ascii="Arial" w:hAnsi="Arial" w:cs="Arial"/>
          <w:sz w:val="24"/>
          <w:szCs w:val="24"/>
        </w:rPr>
        <w:t>31</w:t>
      </w:r>
      <w:r w:rsidR="000469C4">
        <w:rPr>
          <w:rFonts w:ascii="Arial" w:hAnsi="Arial" w:cs="Arial"/>
          <w:sz w:val="24"/>
          <w:szCs w:val="24"/>
        </w:rPr>
        <w:t>/0</w:t>
      </w:r>
      <w:r w:rsidR="00A97C25">
        <w:rPr>
          <w:rFonts w:ascii="Arial" w:hAnsi="Arial" w:cs="Arial"/>
          <w:sz w:val="24"/>
          <w:szCs w:val="24"/>
        </w:rPr>
        <w:t>5</w:t>
      </w:r>
      <w:r w:rsidR="000469C4">
        <w:rPr>
          <w:rFonts w:ascii="Arial" w:hAnsi="Arial" w:cs="Arial"/>
          <w:sz w:val="24"/>
          <w:szCs w:val="24"/>
        </w:rPr>
        <w:t>/2024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1D818F30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0469C4">
        <w:rPr>
          <w:rFonts w:ascii="Arial" w:hAnsi="Arial" w:cs="Arial"/>
          <w:sz w:val="24"/>
          <w:szCs w:val="24"/>
        </w:rPr>
        <w:t>Three (3) Years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A389A1B" w14:textId="77777777" w:rsidR="00175A53" w:rsidRDefault="00FB6CC0" w:rsidP="00175A53">
      <w:pPr>
        <w:spacing w:after="0" w:line="259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 w:rsidR="00175A53">
        <w:rPr>
          <w:rFonts w:ascii="Arial" w:hAnsi="Arial" w:cs="Arial"/>
          <w:sz w:val="24"/>
          <w:szCs w:val="24"/>
        </w:rPr>
        <w:t xml:space="preserve"> </w:t>
      </w:r>
    </w:p>
    <w:p w14:paraId="02071B96" w14:textId="77777777" w:rsidR="00175A53" w:rsidRDefault="00175A53" w:rsidP="00175A53">
      <w:pPr>
        <w:spacing w:after="0" w:line="259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PERIOD:                                                  </w:t>
      </w:r>
      <w:r w:rsidRPr="00175A53">
        <w:rPr>
          <w:rFonts w:ascii="Arial" w:hAnsi="Arial" w:cs="Arial"/>
          <w:sz w:val="24"/>
          <w:szCs w:val="24"/>
        </w:rPr>
        <w:t>Two (2) Years on a One (1) Year + One (1)</w:t>
      </w:r>
    </w:p>
    <w:p w14:paraId="4D23D5A3" w14:textId="1D69E1C6" w:rsidR="00175A53" w:rsidRPr="00175A53" w:rsidRDefault="00175A53" w:rsidP="00175A53">
      <w:pPr>
        <w:spacing w:after="0" w:line="259" w:lineRule="auto"/>
        <w:ind w:left="5040" w:hanging="720"/>
        <w:rPr>
          <w:rFonts w:ascii="Arial" w:hAnsi="Arial" w:cs="Arial"/>
          <w:sz w:val="24"/>
          <w:szCs w:val="24"/>
        </w:rPr>
      </w:pPr>
      <w:r w:rsidRPr="00175A53">
        <w:rPr>
          <w:rFonts w:ascii="Arial" w:hAnsi="Arial" w:cs="Arial"/>
          <w:sz w:val="24"/>
          <w:szCs w:val="24"/>
        </w:rPr>
        <w:t>Year basis</w:t>
      </w:r>
    </w:p>
    <w:p w14:paraId="02C3988E" w14:textId="72C7AA73" w:rsidR="00175A53" w:rsidRDefault="00FB6CC0" w:rsidP="00175A53">
      <w:pPr>
        <w:spacing w:after="0" w:line="259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770E7F49" w14:textId="1F0A6F0F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</w:t>
      </w: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1CA1EC4E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038F0C4A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Hendon Data Centre </w:t>
      </w:r>
    </w:p>
    <w:p w14:paraId="21D720AB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1 Peel Square </w:t>
      </w:r>
    </w:p>
    <w:p w14:paraId="550CF2EC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Aerodrome Road</w:t>
      </w:r>
    </w:p>
    <w:p w14:paraId="6CD0276A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London </w:t>
      </w:r>
    </w:p>
    <w:p w14:paraId="08850BFE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NW9 5JE</w:t>
      </w:r>
    </w:p>
    <w:p w14:paraId="7329B3C3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1E22B4A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lastRenderedPageBreak/>
        <w:t>And:</w:t>
      </w:r>
    </w:p>
    <w:p w14:paraId="7CA37BA3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BB70663" w14:textId="26CB208A" w:rsid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At our Watford site.  Address to be provided to winning provider</w:t>
      </w:r>
    </w:p>
    <w:p w14:paraId="54AD91B5" w14:textId="77777777" w:rsidR="000469C4" w:rsidRPr="00ED3390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37D72D64" w14:textId="77777777" w:rsidR="000469C4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B9C4BC" w14:textId="29F415BD" w:rsidR="006635AE" w:rsidRPr="009F273E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01/0</w:t>
      </w:r>
      <w:r w:rsidR="00175A5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/2021</w:t>
      </w:r>
    </w:p>
    <w:p w14:paraId="6BA7B12D" w14:textId="77777777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60DF855E" w14:textId="77777777" w:rsidR="000469C4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07579C8" w14:textId="4E8CEDF5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3E747276" w14:textId="7777777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A536C67" w14:textId="059117DF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2A4D8314" w14:textId="77777777" w:rsidR="000469C4" w:rsidRPr="006635AE" w:rsidRDefault="000469C4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073449" w14:textId="711674F0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Pr="00E37129">
        <w:rPr>
          <w:rFonts w:ascii="Arial" w:hAnsi="Arial" w:cs="Arial"/>
          <w:sz w:val="24"/>
          <w:szCs w:val="24"/>
        </w:rPr>
        <w:t>90 days</w:t>
      </w:r>
    </w:p>
    <w:p w14:paraId="626DA42B" w14:textId="7AAA7186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5DADF783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75FD4350" w14:textId="77777777" w:rsidR="000469C4" w:rsidRPr="00710B03" w:rsidRDefault="000469C4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F40F615" w14:textId="78F27B04" w:rsidR="00882DE7" w:rsidRPr="001B23DA" w:rsidRDefault="00882DE7" w:rsidP="00882DE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B23DA">
        <w:rPr>
          <w:rFonts w:ascii="Arial" w:hAnsi="Arial" w:cs="Arial"/>
          <w:sz w:val="24"/>
          <w:szCs w:val="24"/>
        </w:rPr>
        <w:t>The Estimated Year 1 Charges used to calculate liability in the first Contract Year is</w:t>
      </w:r>
      <w:r w:rsidRPr="001B23DA">
        <w:rPr>
          <w:rFonts w:ascii="Arial" w:hAnsi="Arial" w:cs="Arial"/>
          <w:b/>
          <w:sz w:val="24"/>
          <w:szCs w:val="24"/>
        </w:rPr>
        <w:t xml:space="preserve"> </w:t>
      </w:r>
      <w:r w:rsidRPr="001B23DA">
        <w:rPr>
          <w:rFonts w:ascii="Arial" w:hAnsi="Arial" w:cs="Arial"/>
          <w:sz w:val="24"/>
          <w:szCs w:val="24"/>
        </w:rPr>
        <w:t>£</w:t>
      </w:r>
      <w:r w:rsidR="001B23DA" w:rsidRPr="001B23DA">
        <w:rPr>
          <w:rFonts w:ascii="Arial" w:hAnsi="Arial" w:cs="Arial"/>
          <w:sz w:val="24"/>
          <w:szCs w:val="24"/>
        </w:rPr>
        <w:t>23</w:t>
      </w:r>
      <w:r w:rsidR="001B23DA">
        <w:rPr>
          <w:rFonts w:ascii="Arial" w:hAnsi="Arial" w:cs="Arial"/>
          <w:sz w:val="24"/>
          <w:szCs w:val="24"/>
        </w:rPr>
        <w:t>5</w:t>
      </w:r>
      <w:r w:rsidR="001B23DA" w:rsidRPr="001B23DA">
        <w:rPr>
          <w:rFonts w:ascii="Arial" w:hAnsi="Arial" w:cs="Arial"/>
          <w:sz w:val="24"/>
          <w:szCs w:val="24"/>
        </w:rPr>
        <w:t>,949.00</w:t>
      </w:r>
      <w:r w:rsidRPr="001B23DA">
        <w:rPr>
          <w:rFonts w:ascii="Arial" w:hAnsi="Arial" w:cs="Arial"/>
          <w:sz w:val="24"/>
          <w:szCs w:val="24"/>
        </w:rPr>
        <w:t xml:space="preserve"> Excl VAT.  Estimated Charges in the first 12 months of the Contract.</w:t>
      </w:r>
    </w:p>
    <w:p w14:paraId="3A2D5AC5" w14:textId="77777777" w:rsidR="00882DE7" w:rsidRPr="001B23DA" w:rsidRDefault="00882DE7" w:rsidP="00882DE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1B23DA">
        <w:rPr>
          <w:rFonts w:ascii="Arial" w:hAnsi="Arial" w:cs="Arial"/>
          <w:b/>
          <w:sz w:val="24"/>
          <w:szCs w:val="24"/>
        </w:rPr>
        <w:t xml:space="preserve"> </w:t>
      </w:r>
    </w:p>
    <w:p w14:paraId="79001AEB" w14:textId="77777777" w:rsidR="00882DE7" w:rsidRPr="001B23DA" w:rsidRDefault="00882DE7" w:rsidP="00882DE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B23DA">
        <w:rPr>
          <w:rFonts w:ascii="Arial" w:hAnsi="Arial" w:cs="Arial"/>
          <w:sz w:val="24"/>
          <w:szCs w:val="24"/>
        </w:rPr>
        <w:t>CALL-OFF CHARGES</w:t>
      </w:r>
    </w:p>
    <w:p w14:paraId="1415A408" w14:textId="77777777" w:rsidR="00882DE7" w:rsidRPr="001B23DA" w:rsidRDefault="00882DE7" w:rsidP="00882DE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D4287B9" w14:textId="67631CAD" w:rsidR="00882DE7" w:rsidRPr="001B23DA" w:rsidRDefault="00882DE7" w:rsidP="001B23D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B23DA">
        <w:rPr>
          <w:rFonts w:ascii="Arial" w:hAnsi="Arial" w:cs="Arial"/>
          <w:sz w:val="24"/>
          <w:szCs w:val="24"/>
        </w:rPr>
        <w:t>£</w:t>
      </w:r>
      <w:r w:rsidR="001B23DA" w:rsidRPr="001B23DA">
        <w:rPr>
          <w:rFonts w:ascii="Arial" w:hAnsi="Arial" w:cs="Arial"/>
          <w:sz w:val="24"/>
          <w:szCs w:val="24"/>
        </w:rPr>
        <w:t>235,949.00</w:t>
      </w:r>
      <w:r w:rsidRPr="001B23DA">
        <w:rPr>
          <w:rFonts w:ascii="Arial" w:hAnsi="Arial" w:cs="Arial"/>
          <w:sz w:val="24"/>
          <w:szCs w:val="24"/>
        </w:rPr>
        <w:t xml:space="preserve"> Excl VAT  the Charges for the Deliverables</w:t>
      </w:r>
      <w:r w:rsidR="001B23DA">
        <w:rPr>
          <w:rFonts w:ascii="Arial" w:hAnsi="Arial" w:cs="Arial"/>
          <w:sz w:val="24"/>
          <w:szCs w:val="24"/>
        </w:rPr>
        <w:t xml:space="preserve"> (Including SanNav – Fabric Management and 5 X </w:t>
      </w:r>
      <w:r w:rsidR="001B23DA" w:rsidRPr="001B23DA">
        <w:rPr>
          <w:rFonts w:ascii="Arial" w:hAnsi="Arial" w:cs="Arial"/>
          <w:sz w:val="24"/>
          <w:szCs w:val="24"/>
        </w:rPr>
        <w:t>BASE,SVC,PRODEPLOY,DELL</w:t>
      </w:r>
      <w:r w:rsidR="001B23DA">
        <w:rPr>
          <w:rFonts w:ascii="Arial" w:hAnsi="Arial" w:cs="Arial"/>
          <w:sz w:val="24"/>
          <w:szCs w:val="24"/>
        </w:rPr>
        <w:t xml:space="preserve"> </w:t>
      </w:r>
      <w:r w:rsidR="001B23DA" w:rsidRPr="001B23DA">
        <w:rPr>
          <w:rFonts w:ascii="Arial" w:hAnsi="Arial" w:cs="Arial"/>
          <w:sz w:val="24"/>
          <w:szCs w:val="24"/>
        </w:rPr>
        <w:t>Optional Help to install SANAV</w:t>
      </w:r>
      <w:r w:rsidR="001B23DA">
        <w:rPr>
          <w:rFonts w:ascii="Arial" w:hAnsi="Arial" w:cs="Arial"/>
          <w:sz w:val="24"/>
          <w:szCs w:val="24"/>
        </w:rPr>
        <w:t>)</w:t>
      </w:r>
    </w:p>
    <w:p w14:paraId="00C35A60" w14:textId="77777777" w:rsidR="00882DE7" w:rsidRDefault="00882DE7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BAD6662" w14:textId="7EDEF6D4" w:rsidR="001D084D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4AB02B29" w14:textId="77777777" w:rsidR="000469C4" w:rsidRPr="000851C3" w:rsidRDefault="000469C4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6A21C4C" w14:textId="7C732230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0C134421" w14:textId="77777777" w:rsidR="000469C4" w:rsidRPr="00B714E9" w:rsidRDefault="000469C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4246507" w14:textId="48945DCA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None 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5A294B14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7D3214BB" w14:textId="05523B4E" w:rsidR="000469C4" w:rsidRDefault="000469C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269F7B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Method of payment:  BACS</w:t>
      </w:r>
    </w:p>
    <w:p w14:paraId="5FC0FF28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A099AB2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Before payment can be considered, each invoice MUST state a valid PO a number as issued by the Authority. </w:t>
      </w:r>
    </w:p>
    <w:p w14:paraId="2D804720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D3573C3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Invoice should include a detailed elemental breakdown of work completed and the associated costs.  </w:t>
      </w:r>
    </w:p>
    <w:p w14:paraId="76A6D135" w14:textId="77777777" w:rsidR="000469C4" w:rsidRP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0FE9F9D" w14:textId="77777777" w:rsid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Payment will be made 30 days following receipt of a correctly submitted invoice. The Authority will raise a purchase order on award of the contract.</w:t>
      </w:r>
    </w:p>
    <w:p w14:paraId="02605523" w14:textId="77777777" w:rsidR="000469C4" w:rsidRDefault="000469C4" w:rsidP="000469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CA770C5" w14:textId="5F80A0D0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64A63B47" w14:textId="583D0C53" w:rsidR="009E7AC0" w:rsidRDefault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7D4567" w14:textId="77777777" w:rsidR="009E7AC0" w:rsidRPr="009E7AC0" w:rsidRDefault="009E7AC0" w:rsidP="009E7AC0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Home Office Shared Service Centre</w:t>
      </w:r>
    </w:p>
    <w:p w14:paraId="2DDC4F2B" w14:textId="77777777" w:rsidR="009E7AC0" w:rsidRPr="009E7AC0" w:rsidRDefault="009E7AC0" w:rsidP="009E7AC0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 Box 5015</w:t>
      </w:r>
    </w:p>
    <w:p w14:paraId="77D5FAC9" w14:textId="77777777" w:rsidR="009E7AC0" w:rsidRPr="009E7AC0" w:rsidRDefault="009E7AC0" w:rsidP="009E7AC0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Newport</w:t>
      </w:r>
    </w:p>
    <w:p w14:paraId="6702ECE0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Gwent NP20 9BB</w:t>
      </w:r>
    </w:p>
    <w:p w14:paraId="390EBDD2" w14:textId="77777777" w:rsidR="009E7AC0" w:rsidRPr="00BC41BF" w:rsidRDefault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52A7B7D8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0744B21D" w14:textId="77777777" w:rsidR="009E7AC0" w:rsidRPr="00BC41BF" w:rsidRDefault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90E85CF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Steve Butler</w:t>
      </w:r>
    </w:p>
    <w:p w14:paraId="2D30221A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 xml:space="preserve">Commercial Manager </w:t>
      </w:r>
    </w:p>
    <w:p w14:paraId="2A99195C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stephencharles.butler1@homeoffice.gov.uk</w:t>
      </w:r>
    </w:p>
    <w:p w14:paraId="4E6EB710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Home Office Commercial Directorate</w:t>
      </w:r>
    </w:p>
    <w:p w14:paraId="0871B616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Southern House</w:t>
      </w:r>
    </w:p>
    <w:p w14:paraId="0D63123B" w14:textId="77777777" w:rsidR="009E7AC0" w:rsidRP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Wellesley Grove</w:t>
      </w:r>
    </w:p>
    <w:p w14:paraId="5A66AEAE" w14:textId="0618BDA4" w:rsidR="009E7AC0" w:rsidRDefault="009E7AC0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Croydon CR0 1XG</w:t>
      </w:r>
    </w:p>
    <w:p w14:paraId="7E2FE962" w14:textId="0F194645" w:rsidR="00ED4568" w:rsidRDefault="00ED4568" w:rsidP="009E7AC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0B78DCAE" w:rsidR="006D0F65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249AC">
        <w:rPr>
          <w:rFonts w:ascii="Arial" w:hAnsi="Arial" w:cs="Arial"/>
          <w:sz w:val="24"/>
          <w:szCs w:val="24"/>
        </w:rPr>
        <w:t>SUPP</w:t>
      </w:r>
      <w:r w:rsidR="00BC41BF" w:rsidRPr="00F249AC">
        <w:rPr>
          <w:rFonts w:ascii="Arial" w:hAnsi="Arial" w:cs="Arial"/>
          <w:sz w:val="24"/>
          <w:szCs w:val="24"/>
        </w:rPr>
        <w:t>LIER’S</w:t>
      </w:r>
      <w:r w:rsidR="00A340BA" w:rsidRPr="00F249AC">
        <w:rPr>
          <w:rFonts w:ascii="Arial" w:hAnsi="Arial" w:cs="Arial"/>
          <w:sz w:val="24"/>
          <w:szCs w:val="24"/>
        </w:rPr>
        <w:t xml:space="preserve"> AUTHORISED REPRESENTATIVE</w:t>
      </w:r>
    </w:p>
    <w:p w14:paraId="36B6ABA5" w14:textId="18E3A7C5" w:rsidR="00055DB1" w:rsidRDefault="00055DB1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CC7FB94" w14:textId="1EB61620" w:rsidR="008B5AA5" w:rsidRPr="006F025B" w:rsidRDefault="006F025B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6F025B">
        <w:rPr>
          <w:rFonts w:ascii="Arial" w:hAnsi="Arial" w:cs="Arial"/>
          <w:b/>
          <w:bCs/>
          <w:sz w:val="24"/>
          <w:szCs w:val="24"/>
        </w:rPr>
        <w:t>REDACTED</w:t>
      </w:r>
    </w:p>
    <w:p w14:paraId="4A7B93A7" w14:textId="77777777" w:rsidR="006F025B" w:rsidRPr="006F025B" w:rsidRDefault="006F025B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6F0B2080" w14:textId="77777777" w:rsidR="006D0F65" w:rsidRPr="00F249AC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249AC">
        <w:rPr>
          <w:rFonts w:ascii="Arial" w:hAnsi="Arial" w:cs="Arial"/>
          <w:sz w:val="24"/>
          <w:szCs w:val="24"/>
        </w:rPr>
        <w:t>SUPPLIER’S CONTRACT MANAGER</w:t>
      </w:r>
    </w:p>
    <w:p w14:paraId="60198ED7" w14:textId="56B955FE" w:rsidR="00175A53" w:rsidRDefault="00175A5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5AB2282" w14:textId="5F05390F" w:rsidR="00055DB1" w:rsidRPr="006F025B" w:rsidRDefault="006F025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6F025B">
        <w:rPr>
          <w:rFonts w:ascii="Arial" w:hAnsi="Arial" w:cs="Arial"/>
          <w:b/>
          <w:bCs/>
          <w:sz w:val="24"/>
          <w:szCs w:val="24"/>
        </w:rPr>
        <w:t>REDACTED</w:t>
      </w:r>
    </w:p>
    <w:p w14:paraId="666AEB6F" w14:textId="77777777" w:rsidR="006F025B" w:rsidRDefault="006F025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790752" w14:textId="0519B115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249AC">
        <w:rPr>
          <w:rFonts w:ascii="Arial" w:hAnsi="Arial" w:cs="Arial"/>
          <w:sz w:val="24"/>
          <w:szCs w:val="24"/>
        </w:rPr>
        <w:t>KEY STAFF</w:t>
      </w:r>
    </w:p>
    <w:p w14:paraId="6CB33493" w14:textId="31F4CD43" w:rsidR="00F249AC" w:rsidRDefault="00F249A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733F83" w14:textId="3EA92791" w:rsidR="00F249AC" w:rsidRPr="00F249AC" w:rsidRDefault="00F249AC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F249AC">
        <w:rPr>
          <w:rFonts w:ascii="Arial" w:hAnsi="Arial" w:cs="Arial"/>
          <w:b/>
          <w:bCs/>
          <w:color w:val="0070C0"/>
          <w:sz w:val="24"/>
          <w:szCs w:val="24"/>
        </w:rPr>
        <w:t>As abo</w:t>
      </w:r>
      <w:r w:rsidR="00055DB1">
        <w:rPr>
          <w:rFonts w:ascii="Arial" w:hAnsi="Arial" w:cs="Arial"/>
          <w:b/>
          <w:bCs/>
          <w:color w:val="0070C0"/>
          <w:sz w:val="24"/>
          <w:szCs w:val="24"/>
        </w:rPr>
        <w:t>ve</w:t>
      </w:r>
    </w:p>
    <w:p w14:paraId="214784EB" w14:textId="7FFBB444" w:rsidR="00ED4568" w:rsidRPr="00F249AC" w:rsidRDefault="00ED4568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446ADE0B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249AC">
        <w:rPr>
          <w:rFonts w:ascii="Arial" w:hAnsi="Arial" w:cs="Arial"/>
          <w:sz w:val="24"/>
          <w:szCs w:val="24"/>
        </w:rPr>
        <w:t>KEY SUBCONTRACTOR</w:t>
      </w:r>
      <w:r w:rsidR="00BC41BF" w:rsidRPr="00F249AC">
        <w:rPr>
          <w:rFonts w:ascii="Arial" w:hAnsi="Arial" w:cs="Arial"/>
          <w:sz w:val="24"/>
          <w:szCs w:val="24"/>
        </w:rPr>
        <w:t>(</w:t>
      </w:r>
      <w:r w:rsidRPr="00F249AC">
        <w:rPr>
          <w:rFonts w:ascii="Arial" w:hAnsi="Arial" w:cs="Arial"/>
          <w:sz w:val="24"/>
          <w:szCs w:val="24"/>
        </w:rPr>
        <w:t>S</w:t>
      </w:r>
      <w:r w:rsidR="00BC41BF" w:rsidRPr="00F249AC">
        <w:rPr>
          <w:rFonts w:ascii="Arial" w:hAnsi="Arial" w:cs="Arial"/>
          <w:sz w:val="24"/>
          <w:szCs w:val="24"/>
        </w:rPr>
        <w:t>)</w:t>
      </w:r>
    </w:p>
    <w:p w14:paraId="52D51400" w14:textId="536D3331" w:rsidR="00F249AC" w:rsidRDefault="00F249A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F51CDEC" w14:textId="6E932CBE" w:rsidR="00F249AC" w:rsidRPr="00F249AC" w:rsidRDefault="00F249AC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F249AC">
        <w:rPr>
          <w:rFonts w:ascii="Arial" w:hAnsi="Arial" w:cs="Arial"/>
          <w:b/>
          <w:bCs/>
          <w:color w:val="0070C0"/>
          <w:sz w:val="24"/>
          <w:szCs w:val="24"/>
        </w:rPr>
        <w:t xml:space="preserve">Professional </w:t>
      </w:r>
      <w:r>
        <w:rPr>
          <w:rFonts w:ascii="Arial" w:hAnsi="Arial" w:cs="Arial"/>
          <w:b/>
          <w:bCs/>
          <w:color w:val="0070C0"/>
          <w:sz w:val="24"/>
          <w:szCs w:val="24"/>
        </w:rPr>
        <w:t>s</w:t>
      </w:r>
      <w:r w:rsidRPr="00F249AC">
        <w:rPr>
          <w:rFonts w:ascii="Arial" w:hAnsi="Arial" w:cs="Arial"/>
          <w:b/>
          <w:bCs/>
          <w:color w:val="0070C0"/>
          <w:sz w:val="24"/>
          <w:szCs w:val="24"/>
        </w:rPr>
        <w:t>ervices to be delivered by Dell EMC</w:t>
      </w:r>
    </w:p>
    <w:p w14:paraId="0BD95EDA" w14:textId="77777777" w:rsidR="00ED4568" w:rsidRPr="00F249AC" w:rsidRDefault="00ED456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05B50B32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249AC">
        <w:rPr>
          <w:rFonts w:ascii="Arial" w:hAnsi="Arial" w:cs="Arial"/>
          <w:sz w:val="24"/>
          <w:szCs w:val="24"/>
        </w:rPr>
        <w:t>COM</w:t>
      </w:r>
      <w:r w:rsidR="00A340BA" w:rsidRPr="00F249AC">
        <w:rPr>
          <w:rFonts w:ascii="Arial" w:hAnsi="Arial" w:cs="Arial"/>
          <w:sz w:val="24"/>
          <w:szCs w:val="24"/>
        </w:rPr>
        <w:t>MERCIALLY SENSITIVE INFORMATION</w:t>
      </w:r>
    </w:p>
    <w:p w14:paraId="7E01C278" w14:textId="1AF723FE" w:rsidR="00F249AC" w:rsidRDefault="00F249A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2C8159" w14:textId="0B5F2735" w:rsidR="00F249AC" w:rsidRPr="00F249AC" w:rsidRDefault="00F249AC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F249AC">
        <w:rPr>
          <w:rFonts w:ascii="Arial" w:hAnsi="Arial" w:cs="Arial"/>
          <w:b/>
          <w:bCs/>
          <w:color w:val="0070C0"/>
          <w:sz w:val="24"/>
          <w:szCs w:val="24"/>
        </w:rPr>
        <w:t>Pricin</w:t>
      </w:r>
      <w:r w:rsidR="00055DB1">
        <w:rPr>
          <w:rFonts w:ascii="Arial" w:hAnsi="Arial" w:cs="Arial"/>
          <w:b/>
          <w:bCs/>
          <w:color w:val="0070C0"/>
          <w:sz w:val="24"/>
          <w:szCs w:val="24"/>
        </w:rPr>
        <w:t>g</w:t>
      </w:r>
    </w:p>
    <w:p w14:paraId="6828762D" w14:textId="77777777" w:rsidR="00ED4568" w:rsidRPr="00A340BA" w:rsidRDefault="00ED45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01C3BE52" w14:textId="77777777" w:rsidR="00ED4568" w:rsidRDefault="00ED4568" w:rsidP="00563D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D7B3363" w14:textId="7A561AC3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6F6FD179" w14:textId="77777777" w:rsidR="00ED4568" w:rsidRDefault="00ED4568" w:rsidP="00D24C8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1826DB0" w14:textId="5F0C218C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0B2B1BD3" w14:textId="77777777" w:rsidR="00ED4568" w:rsidRDefault="00ED4568" w:rsidP="00AA20E4">
      <w:p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A18EBA5" w14:textId="4F9AF0E7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0D3CE33D" w14:textId="77777777" w:rsidR="00ED4568" w:rsidRDefault="00ED4568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D3E62EA" w14:textId="2CE3617F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10065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4003"/>
      </w:tblGrid>
      <w:tr w:rsidR="004A4734" w:rsidRPr="009F273E" w14:paraId="7D6CFEA8" w14:textId="77777777" w:rsidTr="004D0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5559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D0DC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266CB3BF" w:rsidR="00100BCC" w:rsidRPr="006F025B" w:rsidRDefault="006F025B" w:rsidP="00B96508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6F025B">
              <w:rPr>
                <w:b/>
                <w:b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4003" w:type="dxa"/>
          </w:tcPr>
          <w:p w14:paraId="0254F5FE" w14:textId="1739B7E0" w:rsidR="004A4734" w:rsidRPr="009F273E" w:rsidRDefault="004D0DC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C4FC912" wp14:editId="3BE16FF6">
                  <wp:extent cx="2425065" cy="437515"/>
                  <wp:effectExtent l="1905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734" w:rsidRPr="009F273E" w14:paraId="7A3B755B" w14:textId="77777777" w:rsidTr="004D0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4D071D81" w:rsidR="004A4734" w:rsidRPr="00F249AC" w:rsidRDefault="006F025B" w:rsidP="00B96508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70C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4003" w:type="dxa"/>
          </w:tcPr>
          <w:p w14:paraId="66482EE2" w14:textId="6E17730B" w:rsidR="004A4734" w:rsidRPr="009F273E" w:rsidRDefault="004D0DC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Steve Butler</w:t>
            </w:r>
          </w:p>
        </w:tc>
      </w:tr>
      <w:tr w:rsidR="004A4734" w:rsidRPr="009F273E" w14:paraId="18C3E910" w14:textId="77777777" w:rsidTr="004D0DC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318B8590" w:rsidR="004A4734" w:rsidRPr="00055DB1" w:rsidRDefault="006F025B" w:rsidP="00B96508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70C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4003" w:type="dxa"/>
          </w:tcPr>
          <w:p w14:paraId="212EBAE0" w14:textId="5673BFC2" w:rsidR="004A4734" w:rsidRPr="009F273E" w:rsidRDefault="004D0DC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Commercial Manager</w:t>
            </w:r>
          </w:p>
        </w:tc>
      </w:tr>
      <w:tr w:rsidR="004A4734" w:rsidRPr="009F273E" w14:paraId="37AF7717" w14:textId="77777777" w:rsidTr="004D0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6E236186" w:rsidR="004A4734" w:rsidRPr="00055DB1" w:rsidRDefault="00055DB1" w:rsidP="00B96508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055DB1">
              <w:rPr>
                <w:rFonts w:cs="Arial"/>
                <w:b/>
                <w:bCs/>
                <w:color w:val="0070C0"/>
                <w:sz w:val="24"/>
                <w:szCs w:val="24"/>
              </w:rPr>
              <w:t>11/05/2021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4003" w:type="dxa"/>
          </w:tcPr>
          <w:p w14:paraId="2694DB58" w14:textId="0B520B5D" w:rsidR="004A4734" w:rsidRPr="009F273E" w:rsidRDefault="004D0DC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12/05/2021</w:t>
            </w: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7C0D6737" w14:textId="77777777" w:rsidR="00ED4568" w:rsidRDefault="00ED4568" w:rsidP="00B87349">
      <w:pPr>
        <w:rPr>
          <w:rFonts w:ascii="Arial" w:hAnsi="Arial" w:cs="Arial"/>
          <w:b/>
          <w:sz w:val="24"/>
          <w:szCs w:val="24"/>
        </w:rPr>
      </w:pPr>
    </w:p>
    <w:sectPr w:rsidR="00ED4568" w:rsidSect="00623E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7C0C0" w14:textId="77777777" w:rsidR="006D6C0A" w:rsidRDefault="006D6C0A">
      <w:pPr>
        <w:spacing w:after="0" w:line="240" w:lineRule="auto"/>
      </w:pPr>
      <w:r>
        <w:separator/>
      </w:r>
    </w:p>
  </w:endnote>
  <w:endnote w:type="continuationSeparator" w:id="0">
    <w:p w14:paraId="1C561F07" w14:textId="77777777" w:rsidR="006D6C0A" w:rsidRDefault="006D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2A999FFE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ED3390">
      <w:rPr>
        <w:rFonts w:ascii="Arial" w:hAnsi="Arial" w:cs="Arial"/>
        <w:noProof/>
        <w:sz w:val="20"/>
        <w:szCs w:val="20"/>
      </w:rPr>
      <w:t>2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BC4EB" w14:textId="77777777" w:rsidR="006D6C0A" w:rsidRDefault="006D6C0A">
      <w:pPr>
        <w:spacing w:after="0" w:line="240" w:lineRule="auto"/>
      </w:pPr>
      <w:r>
        <w:separator/>
      </w:r>
    </w:p>
  </w:footnote>
  <w:footnote w:type="continuationSeparator" w:id="0">
    <w:p w14:paraId="6866D1D3" w14:textId="77777777" w:rsidR="006D6C0A" w:rsidRDefault="006D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42CB"/>
    <w:rsid w:val="00015276"/>
    <w:rsid w:val="000434E4"/>
    <w:rsid w:val="0004550C"/>
    <w:rsid w:val="000469C4"/>
    <w:rsid w:val="00051257"/>
    <w:rsid w:val="00055DB1"/>
    <w:rsid w:val="00057E65"/>
    <w:rsid w:val="00063AF2"/>
    <w:rsid w:val="00066570"/>
    <w:rsid w:val="000741A2"/>
    <w:rsid w:val="000851C3"/>
    <w:rsid w:val="000851E7"/>
    <w:rsid w:val="000978E0"/>
    <w:rsid w:val="0009790D"/>
    <w:rsid w:val="000A58CD"/>
    <w:rsid w:val="000C6319"/>
    <w:rsid w:val="000C665A"/>
    <w:rsid w:val="00100BCC"/>
    <w:rsid w:val="00110B3B"/>
    <w:rsid w:val="00126B1A"/>
    <w:rsid w:val="001320FC"/>
    <w:rsid w:val="00162E55"/>
    <w:rsid w:val="00175A53"/>
    <w:rsid w:val="00183C8E"/>
    <w:rsid w:val="0019744D"/>
    <w:rsid w:val="001B23DA"/>
    <w:rsid w:val="001D084D"/>
    <w:rsid w:val="001D1CA4"/>
    <w:rsid w:val="001E0368"/>
    <w:rsid w:val="001E4597"/>
    <w:rsid w:val="001F5BDD"/>
    <w:rsid w:val="00225271"/>
    <w:rsid w:val="002315F2"/>
    <w:rsid w:val="002322D4"/>
    <w:rsid w:val="00232CB2"/>
    <w:rsid w:val="00297896"/>
    <w:rsid w:val="002B3C24"/>
    <w:rsid w:val="002B7731"/>
    <w:rsid w:val="002C3D52"/>
    <w:rsid w:val="002C5708"/>
    <w:rsid w:val="002C6E98"/>
    <w:rsid w:val="002D516A"/>
    <w:rsid w:val="003270FC"/>
    <w:rsid w:val="003321CB"/>
    <w:rsid w:val="0033393C"/>
    <w:rsid w:val="003676A4"/>
    <w:rsid w:val="00377A85"/>
    <w:rsid w:val="003809EC"/>
    <w:rsid w:val="00381C96"/>
    <w:rsid w:val="003A2178"/>
    <w:rsid w:val="003B1167"/>
    <w:rsid w:val="003B6DBC"/>
    <w:rsid w:val="003C50AE"/>
    <w:rsid w:val="003D7714"/>
    <w:rsid w:val="003E73F1"/>
    <w:rsid w:val="003E7CBB"/>
    <w:rsid w:val="003F397E"/>
    <w:rsid w:val="003F4954"/>
    <w:rsid w:val="003F583A"/>
    <w:rsid w:val="00400E8E"/>
    <w:rsid w:val="00422D16"/>
    <w:rsid w:val="004304AB"/>
    <w:rsid w:val="0043710D"/>
    <w:rsid w:val="00456675"/>
    <w:rsid w:val="00463599"/>
    <w:rsid w:val="004644AC"/>
    <w:rsid w:val="00475B07"/>
    <w:rsid w:val="00486B15"/>
    <w:rsid w:val="004A3795"/>
    <w:rsid w:val="004A4734"/>
    <w:rsid w:val="004B2DEC"/>
    <w:rsid w:val="004B7595"/>
    <w:rsid w:val="004D0DCB"/>
    <w:rsid w:val="004F26E1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0660"/>
    <w:rsid w:val="00633EE5"/>
    <w:rsid w:val="00641086"/>
    <w:rsid w:val="006451C4"/>
    <w:rsid w:val="006472C5"/>
    <w:rsid w:val="006635AE"/>
    <w:rsid w:val="00664398"/>
    <w:rsid w:val="006655E9"/>
    <w:rsid w:val="00667337"/>
    <w:rsid w:val="0068598D"/>
    <w:rsid w:val="00695ED8"/>
    <w:rsid w:val="006B3A24"/>
    <w:rsid w:val="006C1CBB"/>
    <w:rsid w:val="006D021B"/>
    <w:rsid w:val="006D0226"/>
    <w:rsid w:val="006D0F65"/>
    <w:rsid w:val="006D4FE2"/>
    <w:rsid w:val="006D6C0A"/>
    <w:rsid w:val="006E18A6"/>
    <w:rsid w:val="006F025B"/>
    <w:rsid w:val="00702E70"/>
    <w:rsid w:val="00710B03"/>
    <w:rsid w:val="00711829"/>
    <w:rsid w:val="007202F6"/>
    <w:rsid w:val="00741E22"/>
    <w:rsid w:val="0074419D"/>
    <w:rsid w:val="007619A9"/>
    <w:rsid w:val="00770631"/>
    <w:rsid w:val="007733CD"/>
    <w:rsid w:val="007754B8"/>
    <w:rsid w:val="007763FC"/>
    <w:rsid w:val="00783044"/>
    <w:rsid w:val="007941E3"/>
    <w:rsid w:val="00796FC9"/>
    <w:rsid w:val="007C6148"/>
    <w:rsid w:val="007D2E98"/>
    <w:rsid w:val="007E02C8"/>
    <w:rsid w:val="00802637"/>
    <w:rsid w:val="00825518"/>
    <w:rsid w:val="00853A9B"/>
    <w:rsid w:val="00873886"/>
    <w:rsid w:val="00882DE7"/>
    <w:rsid w:val="008861B9"/>
    <w:rsid w:val="008925D4"/>
    <w:rsid w:val="00895069"/>
    <w:rsid w:val="008A2560"/>
    <w:rsid w:val="008A7999"/>
    <w:rsid w:val="008B5AA5"/>
    <w:rsid w:val="008B7262"/>
    <w:rsid w:val="008C1605"/>
    <w:rsid w:val="008C5D8E"/>
    <w:rsid w:val="008D4A20"/>
    <w:rsid w:val="008D5AF0"/>
    <w:rsid w:val="008D6250"/>
    <w:rsid w:val="008E3131"/>
    <w:rsid w:val="0090151D"/>
    <w:rsid w:val="009437E0"/>
    <w:rsid w:val="00957E10"/>
    <w:rsid w:val="00957FC0"/>
    <w:rsid w:val="0096468C"/>
    <w:rsid w:val="00983172"/>
    <w:rsid w:val="009879F9"/>
    <w:rsid w:val="009A32AB"/>
    <w:rsid w:val="009B0D98"/>
    <w:rsid w:val="009B52EA"/>
    <w:rsid w:val="009E0D6A"/>
    <w:rsid w:val="009E7AC0"/>
    <w:rsid w:val="009F273E"/>
    <w:rsid w:val="009F27E0"/>
    <w:rsid w:val="00A33B01"/>
    <w:rsid w:val="00A340BA"/>
    <w:rsid w:val="00A4458B"/>
    <w:rsid w:val="00A56C49"/>
    <w:rsid w:val="00A621D7"/>
    <w:rsid w:val="00A70226"/>
    <w:rsid w:val="00A82F1C"/>
    <w:rsid w:val="00A97C25"/>
    <w:rsid w:val="00AA20E4"/>
    <w:rsid w:val="00AB0BC2"/>
    <w:rsid w:val="00AB4ED6"/>
    <w:rsid w:val="00AC0970"/>
    <w:rsid w:val="00AC1004"/>
    <w:rsid w:val="00AE585A"/>
    <w:rsid w:val="00B05637"/>
    <w:rsid w:val="00B16AD6"/>
    <w:rsid w:val="00B25F4F"/>
    <w:rsid w:val="00B52B7A"/>
    <w:rsid w:val="00B539D9"/>
    <w:rsid w:val="00B6655A"/>
    <w:rsid w:val="00B714E9"/>
    <w:rsid w:val="00B87349"/>
    <w:rsid w:val="00B87C37"/>
    <w:rsid w:val="00B87D1B"/>
    <w:rsid w:val="00B9523A"/>
    <w:rsid w:val="00B96508"/>
    <w:rsid w:val="00BA15CD"/>
    <w:rsid w:val="00BB1B63"/>
    <w:rsid w:val="00BC41BF"/>
    <w:rsid w:val="00BE0FD9"/>
    <w:rsid w:val="00BE671C"/>
    <w:rsid w:val="00BE704D"/>
    <w:rsid w:val="00C41001"/>
    <w:rsid w:val="00C42BF4"/>
    <w:rsid w:val="00C543F9"/>
    <w:rsid w:val="00C811F4"/>
    <w:rsid w:val="00C92729"/>
    <w:rsid w:val="00CA7772"/>
    <w:rsid w:val="00CB23C3"/>
    <w:rsid w:val="00CB39A4"/>
    <w:rsid w:val="00CD7897"/>
    <w:rsid w:val="00CE6859"/>
    <w:rsid w:val="00CF2A02"/>
    <w:rsid w:val="00D17FF8"/>
    <w:rsid w:val="00D2166E"/>
    <w:rsid w:val="00D24C81"/>
    <w:rsid w:val="00D32B9B"/>
    <w:rsid w:val="00D3696B"/>
    <w:rsid w:val="00D409B8"/>
    <w:rsid w:val="00D500B0"/>
    <w:rsid w:val="00D51727"/>
    <w:rsid w:val="00D52B71"/>
    <w:rsid w:val="00D91FF4"/>
    <w:rsid w:val="00DB361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9588A"/>
    <w:rsid w:val="00EC0702"/>
    <w:rsid w:val="00ED3177"/>
    <w:rsid w:val="00ED3390"/>
    <w:rsid w:val="00ED4568"/>
    <w:rsid w:val="00ED6C41"/>
    <w:rsid w:val="00EF40A2"/>
    <w:rsid w:val="00EF4C20"/>
    <w:rsid w:val="00EF7498"/>
    <w:rsid w:val="00F00201"/>
    <w:rsid w:val="00F249AC"/>
    <w:rsid w:val="00F255B3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014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4080-1C0D-4E21-95A3-CAB652F4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2021-05-12T11:57:00Z</dcterms:created>
  <dcterms:modified xsi:type="dcterms:W3CDTF">2021-05-12T12:00:00Z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TitusGUID">
    <vt:lpwstr>1cf0fab3-fa28-4fba-964f-d307132885ed</vt:lpwstr>
  </property>
</Properties>
</file>