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62EF7" w14:textId="77777777" w:rsidR="00A04726" w:rsidRDefault="00A04726"/>
    <w:p w14:paraId="287FD129" w14:textId="77777777" w:rsidR="0085284F" w:rsidRDefault="004C1AB2" w:rsidP="0085284F">
      <w:pPr>
        <w:spacing w:before="100" w:beforeAutospacing="1" w:after="100" w:afterAutospacing="1"/>
        <w:outlineLvl w:val="1"/>
        <w:rPr>
          <w:rFonts w:eastAsia="Times New Roman"/>
          <w:b/>
          <w:bCs/>
          <w:kern w:val="36"/>
          <w:sz w:val="36"/>
          <w:szCs w:val="36"/>
        </w:rPr>
      </w:pPr>
      <w:hyperlink r:id="rId5" w:history="1">
        <w:r w:rsidR="0085284F">
          <w:rPr>
            <w:rStyle w:val="Hyperlink"/>
            <w:rFonts w:eastAsia="Times New Roman"/>
            <w:b/>
            <w:bCs/>
            <w:color w:val="005EA5"/>
            <w:kern w:val="36"/>
            <w:sz w:val="36"/>
            <w:szCs w:val="36"/>
          </w:rPr>
          <w:t>Green Infrastructure Mapping Database. Urban Habitat and Naturalness Mapping Phase 3</w:t>
        </w:r>
      </w:hyperlink>
    </w:p>
    <w:p w14:paraId="6DF09813" w14:textId="3831558C" w:rsidR="0085284F" w:rsidRDefault="0085284F">
      <w:r>
        <w:t xml:space="preserve">Clarification questions </w:t>
      </w:r>
      <w:proofErr w:type="gramStart"/>
      <w:r>
        <w:t>raised;</w:t>
      </w:r>
      <w:proofErr w:type="gramEnd"/>
    </w:p>
    <w:p w14:paraId="6E6CA7F8" w14:textId="77777777" w:rsidR="0085284F" w:rsidRDefault="0085284F"/>
    <w:p w14:paraId="6F059A5C" w14:textId="336EA7B2" w:rsidR="0085284F" w:rsidRDefault="0085284F">
      <w:r>
        <w:t>As at 25/07/24</w:t>
      </w:r>
    </w:p>
    <w:p w14:paraId="7F2ABA75" w14:textId="77777777" w:rsidR="0085284F" w:rsidRDefault="0085284F"/>
    <w:tbl>
      <w:tblPr>
        <w:tblStyle w:val="TableGrid"/>
        <w:tblW w:w="0" w:type="auto"/>
        <w:tblLook w:val="04A0" w:firstRow="1" w:lastRow="0" w:firstColumn="1" w:lastColumn="0" w:noHBand="0" w:noVBand="1"/>
      </w:tblPr>
      <w:tblGrid>
        <w:gridCol w:w="4508"/>
        <w:gridCol w:w="4508"/>
      </w:tblGrid>
      <w:tr w:rsidR="0085284F" w14:paraId="46B5CB28" w14:textId="77777777" w:rsidTr="0085284F">
        <w:tc>
          <w:tcPr>
            <w:tcW w:w="4508" w:type="dxa"/>
          </w:tcPr>
          <w:p w14:paraId="68F82F62" w14:textId="6DCD0C0A" w:rsidR="0085284F" w:rsidRDefault="0085284F">
            <w:r>
              <w:t>Question</w:t>
            </w:r>
          </w:p>
        </w:tc>
        <w:tc>
          <w:tcPr>
            <w:tcW w:w="4508" w:type="dxa"/>
          </w:tcPr>
          <w:p w14:paraId="143EC26F" w14:textId="093E7F2E" w:rsidR="0085284F" w:rsidRDefault="0085284F">
            <w:r>
              <w:t>Answer</w:t>
            </w:r>
          </w:p>
        </w:tc>
      </w:tr>
      <w:tr w:rsidR="0085284F" w14:paraId="578E0608" w14:textId="77777777" w:rsidTr="0085284F">
        <w:tc>
          <w:tcPr>
            <w:tcW w:w="4508" w:type="dxa"/>
          </w:tcPr>
          <w:p w14:paraId="473F852A" w14:textId="70C54013" w:rsidR="0085284F" w:rsidRDefault="0085284F">
            <w:r>
              <w:t>Where is Annex 3?</w:t>
            </w:r>
          </w:p>
        </w:tc>
        <w:tc>
          <w:tcPr>
            <w:tcW w:w="4508" w:type="dxa"/>
          </w:tcPr>
          <w:p w14:paraId="6AE4689C" w14:textId="2D4ADB5F" w:rsidR="0085284F" w:rsidRDefault="0085284F">
            <w:r>
              <w:t xml:space="preserve">Annex 3 was accidently omitted from the original invitation but is now to be found at the bottom of the </w:t>
            </w:r>
            <w:proofErr w:type="spellStart"/>
            <w:r>
              <w:t>RfQ</w:t>
            </w:r>
            <w:proofErr w:type="spellEnd"/>
            <w:r>
              <w:t xml:space="preserve"> Template.</w:t>
            </w:r>
          </w:p>
        </w:tc>
      </w:tr>
      <w:tr w:rsidR="0085284F" w14:paraId="2B722D9F" w14:textId="77777777" w:rsidTr="0085284F">
        <w:tc>
          <w:tcPr>
            <w:tcW w:w="4508" w:type="dxa"/>
          </w:tcPr>
          <w:p w14:paraId="7E8A4754" w14:textId="14415E41" w:rsidR="0085284F" w:rsidRDefault="0085284F">
            <w:r>
              <w:t>What are the Areas of Interest.</w:t>
            </w:r>
          </w:p>
        </w:tc>
        <w:tc>
          <w:tcPr>
            <w:tcW w:w="4508" w:type="dxa"/>
          </w:tcPr>
          <w:p w14:paraId="698F356A" w14:textId="77777777" w:rsidR="0085284F" w:rsidRDefault="0085284F">
            <w:r>
              <w:t xml:space="preserve">The Areas of Interest are the following Local Authority </w:t>
            </w:r>
            <w:proofErr w:type="gramStart"/>
            <w:r>
              <w:t>Areas;</w:t>
            </w:r>
            <w:proofErr w:type="gramEnd"/>
          </w:p>
          <w:p w14:paraId="63CC99E9" w14:textId="77777777" w:rsidR="0085284F" w:rsidRDefault="0085284F"/>
          <w:p w14:paraId="18E0778D" w14:textId="77777777" w:rsidR="0085284F" w:rsidRDefault="0085284F">
            <w:r>
              <w:t>East Midlands = Cities of Nottingham, Derby and Leicester only.</w:t>
            </w:r>
          </w:p>
          <w:p w14:paraId="2D023FB2" w14:textId="77777777" w:rsidR="0085284F" w:rsidRDefault="0085284F">
            <w:proofErr w:type="spellStart"/>
            <w:r>
              <w:t>Teeside</w:t>
            </w:r>
            <w:proofErr w:type="spellEnd"/>
            <w:r>
              <w:t xml:space="preserve"> = Local Authority areas of Darlington, Stockton on Tees, Middlesborough, Hartlepool, Redcar and Cleveland.</w:t>
            </w:r>
          </w:p>
          <w:p w14:paraId="6793396F" w14:textId="77777777" w:rsidR="0085284F" w:rsidRDefault="0085284F">
            <w:r>
              <w:t>Stock on Trent and Newcastle under Lyme – adjacent authorities creating 1 urban area.</w:t>
            </w:r>
          </w:p>
          <w:p w14:paraId="0076FD35" w14:textId="77777777" w:rsidR="0085284F" w:rsidRDefault="0085284F">
            <w:r>
              <w:t>Dartford and Gravesham – adjacent Thames estuary in North Kent.</w:t>
            </w:r>
          </w:p>
          <w:p w14:paraId="19DF6D56" w14:textId="0CFC6E95" w:rsidR="0085284F" w:rsidRDefault="0085284F">
            <w:r>
              <w:t>Sheffield and Rotherham – adjacent local authorities in South Yorkshire.</w:t>
            </w:r>
          </w:p>
        </w:tc>
      </w:tr>
      <w:tr w:rsidR="006B6A38" w14:paraId="3D5249AB" w14:textId="77777777" w:rsidTr="0085284F">
        <w:tc>
          <w:tcPr>
            <w:tcW w:w="4508" w:type="dxa"/>
          </w:tcPr>
          <w:p w14:paraId="7A265417" w14:textId="168B496A" w:rsidR="006B6A38" w:rsidRDefault="006B6A38">
            <w:r>
              <w:t>How many data tiles are likely to be involved in the processing.</w:t>
            </w:r>
          </w:p>
        </w:tc>
        <w:tc>
          <w:tcPr>
            <w:tcW w:w="4508" w:type="dxa"/>
          </w:tcPr>
          <w:p w14:paraId="2B74DD15" w14:textId="145498EC" w:rsidR="006B6A38" w:rsidRDefault="006B6A38">
            <w:r>
              <w:t xml:space="preserve">We do not have a specific figure but estimate the total area intended to be mapped to be around 1500 </w:t>
            </w:r>
            <w:proofErr w:type="spellStart"/>
            <w:r>
              <w:t>sqkm</w:t>
            </w:r>
            <w:proofErr w:type="spellEnd"/>
            <w:r>
              <w:t xml:space="preserve">. </w:t>
            </w:r>
            <w:r w:rsidR="00445ACE">
              <w:t>APGB and Lidar data tiles come in different sizes.</w:t>
            </w:r>
          </w:p>
        </w:tc>
      </w:tr>
      <w:tr w:rsidR="00445ACE" w14:paraId="513928C8" w14:textId="77777777" w:rsidTr="0085284F">
        <w:tc>
          <w:tcPr>
            <w:tcW w:w="4508" w:type="dxa"/>
          </w:tcPr>
          <w:p w14:paraId="66F5203C" w14:textId="77777777" w:rsidR="0078651D" w:rsidRPr="00B02F1E" w:rsidRDefault="0078651D" w:rsidP="00B02F1E">
            <w:pPr>
              <w:rPr>
                <w:rFonts w:eastAsia="Times New Roman"/>
                <w:sz w:val="22"/>
                <w:szCs w:val="22"/>
              </w:rPr>
            </w:pPr>
            <w:r w:rsidRPr="00B02F1E">
              <w:rPr>
                <w:rFonts w:eastAsia="Times New Roman"/>
              </w:rPr>
              <w:t xml:space="preserve">Will the successful candidate be put in contact with a representative from 2EXCEL GEO (or NE on behalf of 2EXCEL GEO) </w:t>
            </w:r>
            <w:proofErr w:type="gramStart"/>
            <w:r w:rsidRPr="00B02F1E">
              <w:rPr>
                <w:rFonts w:eastAsia="Times New Roman"/>
              </w:rPr>
              <w:t>in the event that</w:t>
            </w:r>
            <w:proofErr w:type="gramEnd"/>
            <w:r w:rsidRPr="00B02F1E">
              <w:rPr>
                <w:rFonts w:eastAsia="Times New Roman"/>
              </w:rPr>
              <w:t xml:space="preserve"> any technical troubleshooting is required when performing the analysis workflow described in Appendix 5?</w:t>
            </w:r>
          </w:p>
          <w:p w14:paraId="3AC8F429" w14:textId="77777777" w:rsidR="00445ACE" w:rsidRDefault="00445ACE"/>
        </w:tc>
        <w:tc>
          <w:tcPr>
            <w:tcW w:w="4508" w:type="dxa"/>
          </w:tcPr>
          <w:p w14:paraId="3E230988" w14:textId="77777777" w:rsidR="00B02F1E" w:rsidRDefault="00B02F1E" w:rsidP="00B02F1E">
            <w:pPr>
              <w:rPr>
                <w:rFonts w:asciiTheme="minorHAnsi" w:hAnsiTheme="minorHAnsi" w:cstheme="minorBidi"/>
                <w:sz w:val="22"/>
                <w:szCs w:val="22"/>
              </w:rPr>
            </w:pPr>
            <w:r>
              <w:rPr>
                <w:rFonts w:asciiTheme="minorHAnsi" w:hAnsiTheme="minorHAnsi" w:cstheme="minorBidi"/>
              </w:rPr>
              <w:t>The project is subject to an open procurement and no contractual arrangements now exist with any 3</w:t>
            </w:r>
            <w:r>
              <w:rPr>
                <w:rFonts w:asciiTheme="minorHAnsi" w:hAnsiTheme="minorHAnsi" w:cstheme="minorBidi"/>
                <w:vertAlign w:val="superscript"/>
              </w:rPr>
              <w:t>rd</w:t>
            </w:r>
            <w:r>
              <w:rPr>
                <w:rFonts w:asciiTheme="minorHAnsi" w:hAnsiTheme="minorHAnsi" w:cstheme="minorBidi"/>
              </w:rPr>
              <w:t xml:space="preserve"> parties that have been involved in previous phases of the work.  If issues were to emerge with the analysis </w:t>
            </w:r>
            <w:proofErr w:type="gramStart"/>
            <w:r>
              <w:rPr>
                <w:rFonts w:asciiTheme="minorHAnsi" w:hAnsiTheme="minorHAnsi" w:cstheme="minorBidi"/>
              </w:rPr>
              <w:t>workflow</w:t>
            </w:r>
            <w:proofErr w:type="gramEnd"/>
            <w:r>
              <w:rPr>
                <w:rFonts w:asciiTheme="minorHAnsi" w:hAnsiTheme="minorHAnsi" w:cstheme="minorBidi"/>
              </w:rPr>
              <w:t xml:space="preserve"> then they would need to be resolved as part of the contract.</w:t>
            </w:r>
          </w:p>
          <w:p w14:paraId="4A4B98FE" w14:textId="77777777" w:rsidR="00445ACE" w:rsidRDefault="00445ACE"/>
        </w:tc>
      </w:tr>
      <w:tr w:rsidR="00B02F1E" w14:paraId="5B7F9F5B" w14:textId="77777777" w:rsidTr="0085284F">
        <w:tc>
          <w:tcPr>
            <w:tcW w:w="4508" w:type="dxa"/>
          </w:tcPr>
          <w:p w14:paraId="60DBADF8" w14:textId="77777777" w:rsidR="001F25AC" w:rsidRPr="001F25AC" w:rsidRDefault="001F25AC" w:rsidP="001F25AC">
            <w:pPr>
              <w:rPr>
                <w:rFonts w:eastAsia="Times New Roman"/>
                <w:sz w:val="22"/>
                <w:szCs w:val="22"/>
              </w:rPr>
            </w:pPr>
            <w:r w:rsidRPr="001F25AC">
              <w:rPr>
                <w:rFonts w:eastAsia="Times New Roman"/>
              </w:rPr>
              <w:t xml:space="preserve">Beyond the mention of error processing Lidar tiles in relation to server spec used by 2Excel Geo (in Annex 5 page 44) could </w:t>
            </w:r>
            <w:r w:rsidRPr="001F25AC">
              <w:rPr>
                <w:rFonts w:eastAsia="Times New Roman"/>
              </w:rPr>
              <w:lastRenderedPageBreak/>
              <w:t>you share any other examples of ideal computing specifications from the previous phases of the project? Whether for the server or for individual workstations, please?</w:t>
            </w:r>
          </w:p>
          <w:p w14:paraId="7154601B" w14:textId="77777777" w:rsidR="00B02F1E" w:rsidRPr="00B02F1E" w:rsidRDefault="00B02F1E" w:rsidP="00B02F1E">
            <w:pPr>
              <w:rPr>
                <w:rFonts w:eastAsia="Times New Roman"/>
              </w:rPr>
            </w:pPr>
          </w:p>
        </w:tc>
        <w:tc>
          <w:tcPr>
            <w:tcW w:w="4508" w:type="dxa"/>
          </w:tcPr>
          <w:p w14:paraId="07B90335" w14:textId="67D6AA2E" w:rsidR="00261DDE" w:rsidRDefault="00261DDE" w:rsidP="00261DDE">
            <w:pPr>
              <w:rPr>
                <w:rFonts w:asciiTheme="minorHAnsi" w:hAnsiTheme="minorHAnsi" w:cstheme="minorBidi"/>
                <w:sz w:val="22"/>
                <w:szCs w:val="22"/>
              </w:rPr>
            </w:pPr>
            <w:r>
              <w:rPr>
                <w:rFonts w:asciiTheme="minorHAnsi" w:hAnsiTheme="minorHAnsi" w:cstheme="minorBidi"/>
              </w:rPr>
              <w:lastRenderedPageBreak/>
              <w:t xml:space="preserve">we don’t have any ideal computing specifications to share.  The method is still developmental and has only been </w:t>
            </w:r>
            <w:r>
              <w:rPr>
                <w:rFonts w:asciiTheme="minorHAnsi" w:hAnsiTheme="minorHAnsi" w:cstheme="minorBidi"/>
              </w:rPr>
              <w:lastRenderedPageBreak/>
              <w:t>applied a few times – this would be the third trial. The User Guide provided by 2Excel was from the initial work and whilst we wish to ensure as much complementarity between the different phases, in practice some amendments have proved necessary.</w:t>
            </w:r>
          </w:p>
          <w:p w14:paraId="5FBCBC8D" w14:textId="77777777" w:rsidR="00261DDE" w:rsidRDefault="00261DDE" w:rsidP="00261DDE">
            <w:pPr>
              <w:rPr>
                <w:rFonts w:asciiTheme="minorHAnsi" w:hAnsiTheme="minorHAnsi" w:cstheme="minorBidi"/>
              </w:rPr>
            </w:pPr>
          </w:p>
          <w:p w14:paraId="669A652E" w14:textId="13C05FD1" w:rsidR="00261DDE" w:rsidRDefault="00E04F42" w:rsidP="00261DDE">
            <w:pPr>
              <w:rPr>
                <w:rFonts w:asciiTheme="minorHAnsi" w:hAnsiTheme="minorHAnsi" w:cstheme="minorBidi"/>
              </w:rPr>
            </w:pPr>
            <w:r>
              <w:rPr>
                <w:rFonts w:asciiTheme="minorHAnsi" w:hAnsiTheme="minorHAnsi" w:cstheme="minorBidi"/>
              </w:rPr>
              <w:t>P</w:t>
            </w:r>
            <w:r w:rsidR="00261DDE">
              <w:rPr>
                <w:rFonts w:asciiTheme="minorHAnsi" w:hAnsiTheme="minorHAnsi" w:cstheme="minorBidi"/>
              </w:rPr>
              <w:t xml:space="preserve">revious contractors have experienced issues when faced with processing large date tiles.  This it appears requires either higher level computing power or a need to split tiles down to more manageable sizes.  </w:t>
            </w:r>
          </w:p>
          <w:p w14:paraId="4CF7DA54" w14:textId="77777777" w:rsidR="00B02F1E" w:rsidRDefault="00B02F1E" w:rsidP="00B02F1E">
            <w:pPr>
              <w:rPr>
                <w:rFonts w:asciiTheme="minorHAnsi" w:hAnsiTheme="minorHAnsi" w:cstheme="minorBidi"/>
              </w:rPr>
            </w:pPr>
          </w:p>
        </w:tc>
      </w:tr>
    </w:tbl>
    <w:p w14:paraId="2927AE17" w14:textId="77777777" w:rsidR="0085284F" w:rsidRDefault="0085284F"/>
    <w:sectPr w:rsidR="00852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B55A5"/>
    <w:multiLevelType w:val="hybridMultilevel"/>
    <w:tmpl w:val="AA865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6042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4F"/>
    <w:rsid w:val="001F25AC"/>
    <w:rsid w:val="00261DDE"/>
    <w:rsid w:val="00445ACE"/>
    <w:rsid w:val="004833CC"/>
    <w:rsid w:val="006B6A38"/>
    <w:rsid w:val="0078651D"/>
    <w:rsid w:val="0085284F"/>
    <w:rsid w:val="00990ECE"/>
    <w:rsid w:val="00A04726"/>
    <w:rsid w:val="00B02F1E"/>
    <w:rsid w:val="00E04F42"/>
    <w:rsid w:val="00E9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5D29"/>
  <w15:chartTrackingRefBased/>
  <w15:docId w15:val="{F9EBDB14-E6DA-4842-9F58-3D004E27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84F"/>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85284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5284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5284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5284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5284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5284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5284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5284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5284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84F"/>
    <w:rPr>
      <w:rFonts w:eastAsiaTheme="majorEastAsia" w:cstheme="majorBidi"/>
      <w:color w:val="272727" w:themeColor="text1" w:themeTint="D8"/>
    </w:rPr>
  </w:style>
  <w:style w:type="paragraph" w:styleId="Title">
    <w:name w:val="Title"/>
    <w:basedOn w:val="Normal"/>
    <w:next w:val="Normal"/>
    <w:link w:val="TitleChar"/>
    <w:uiPriority w:val="10"/>
    <w:qFormat/>
    <w:rsid w:val="0085284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52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84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5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84F"/>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5284F"/>
    <w:rPr>
      <w:i/>
      <w:iCs/>
      <w:color w:val="404040" w:themeColor="text1" w:themeTint="BF"/>
    </w:rPr>
  </w:style>
  <w:style w:type="paragraph" w:styleId="ListParagraph">
    <w:name w:val="List Paragraph"/>
    <w:basedOn w:val="Normal"/>
    <w:uiPriority w:val="34"/>
    <w:qFormat/>
    <w:rsid w:val="0085284F"/>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5284F"/>
    <w:rPr>
      <w:i/>
      <w:iCs/>
      <w:color w:val="0F4761" w:themeColor="accent1" w:themeShade="BF"/>
    </w:rPr>
  </w:style>
  <w:style w:type="paragraph" w:styleId="IntenseQuote">
    <w:name w:val="Intense Quote"/>
    <w:basedOn w:val="Normal"/>
    <w:next w:val="Normal"/>
    <w:link w:val="IntenseQuoteChar"/>
    <w:uiPriority w:val="30"/>
    <w:qFormat/>
    <w:rsid w:val="008528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5284F"/>
    <w:rPr>
      <w:i/>
      <w:iCs/>
      <w:color w:val="0F4761" w:themeColor="accent1" w:themeShade="BF"/>
    </w:rPr>
  </w:style>
  <w:style w:type="character" w:styleId="IntenseReference">
    <w:name w:val="Intense Reference"/>
    <w:basedOn w:val="DefaultParagraphFont"/>
    <w:uiPriority w:val="32"/>
    <w:qFormat/>
    <w:rsid w:val="0085284F"/>
    <w:rPr>
      <w:b/>
      <w:bCs/>
      <w:smallCaps/>
      <w:color w:val="0F4761" w:themeColor="accent1" w:themeShade="BF"/>
      <w:spacing w:val="5"/>
    </w:rPr>
  </w:style>
  <w:style w:type="character" w:styleId="Hyperlink">
    <w:name w:val="Hyperlink"/>
    <w:basedOn w:val="DefaultParagraphFont"/>
    <w:uiPriority w:val="99"/>
    <w:semiHidden/>
    <w:unhideWhenUsed/>
    <w:rsid w:val="0085284F"/>
    <w:rPr>
      <w:color w:val="0000FF"/>
      <w:u w:val="single"/>
    </w:rPr>
  </w:style>
  <w:style w:type="table" w:styleId="TableGrid">
    <w:name w:val="Table Grid"/>
    <w:basedOn w:val="TableNormal"/>
    <w:uiPriority w:val="39"/>
    <w:rsid w:val="0085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8133">
      <w:bodyDiv w:val="1"/>
      <w:marLeft w:val="0"/>
      <w:marRight w:val="0"/>
      <w:marTop w:val="0"/>
      <w:marBottom w:val="0"/>
      <w:divBdr>
        <w:top w:val="none" w:sz="0" w:space="0" w:color="auto"/>
        <w:left w:val="none" w:sz="0" w:space="0" w:color="auto"/>
        <w:bottom w:val="none" w:sz="0" w:space="0" w:color="auto"/>
        <w:right w:val="none" w:sz="0" w:space="0" w:color="auto"/>
      </w:divBdr>
    </w:div>
    <w:div w:id="386033700">
      <w:bodyDiv w:val="1"/>
      <w:marLeft w:val="0"/>
      <w:marRight w:val="0"/>
      <w:marTop w:val="0"/>
      <w:marBottom w:val="0"/>
      <w:divBdr>
        <w:top w:val="none" w:sz="0" w:space="0" w:color="auto"/>
        <w:left w:val="none" w:sz="0" w:space="0" w:color="auto"/>
        <w:bottom w:val="none" w:sz="0" w:space="0" w:color="auto"/>
        <w:right w:val="none" w:sz="0" w:space="0" w:color="auto"/>
      </w:divBdr>
    </w:div>
    <w:div w:id="534120985">
      <w:bodyDiv w:val="1"/>
      <w:marLeft w:val="0"/>
      <w:marRight w:val="0"/>
      <w:marTop w:val="0"/>
      <w:marBottom w:val="0"/>
      <w:divBdr>
        <w:top w:val="none" w:sz="0" w:space="0" w:color="auto"/>
        <w:left w:val="none" w:sz="0" w:space="0" w:color="auto"/>
        <w:bottom w:val="none" w:sz="0" w:space="0" w:color="auto"/>
        <w:right w:val="none" w:sz="0" w:space="0" w:color="auto"/>
      </w:divBdr>
    </w:div>
    <w:div w:id="1326132878">
      <w:bodyDiv w:val="1"/>
      <w:marLeft w:val="0"/>
      <w:marRight w:val="0"/>
      <w:marTop w:val="0"/>
      <w:marBottom w:val="0"/>
      <w:divBdr>
        <w:top w:val="none" w:sz="0" w:space="0" w:color="auto"/>
        <w:left w:val="none" w:sz="0" w:space="0" w:color="auto"/>
        <w:bottom w:val="none" w:sz="0" w:space="0" w:color="auto"/>
        <w:right w:val="none" w:sz="0" w:space="0" w:color="auto"/>
      </w:divBdr>
    </w:div>
    <w:div w:id="135272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s%3A%2F%2Fwww.contractsfinder.service.gov.uk%2FNotice%2Fa2c294e8-cc14-4ee9-b067-7b58a89fe207&amp;data=05%7C02%7Cmartin.moss%40naturalengland.org.uk%7C59a849cb01ee4d0cd73908dcabec1a2c%7C770a245002274c6290c74e38537f1102%7C0%7C0%7C638574277741464085%7CUnknown%7CTWFpbGZsb3d8eyJWIjoiMC4wLjAwMDAiLCJQIjoiV2luMzIiLCJBTiI6Ik1haWwiLCJXVCI6Mn0%3D%7C0%7C%7C%7C&amp;sdata=0r5yoeSgdwayNi4OgIzCKoQNqI1igLV24O4uqRzHYzw%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Application>Microsoft Office Word</Application>
  <DocSecurity>0</DocSecurity>
  <Lines>20</Lines>
  <Paragraphs>5</Paragraphs>
  <ScaleCrop>false</ScaleCrop>
  <Company>Defra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 Martin</dc:creator>
  <cp:keywords/>
  <dc:description/>
  <cp:lastModifiedBy>Martin Moss</cp:lastModifiedBy>
  <cp:revision>2</cp:revision>
  <dcterms:created xsi:type="dcterms:W3CDTF">2024-08-02T15:03:00Z</dcterms:created>
  <dcterms:modified xsi:type="dcterms:W3CDTF">2024-08-02T15:03:00Z</dcterms:modified>
</cp:coreProperties>
</file>