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C2" w:rsidRPr="008A15C2" w:rsidRDefault="008A15C2" w:rsidP="008A15C2"/>
    <w:p w:rsidR="00EB4BF9" w:rsidRDefault="00E80A82" w:rsidP="00EB4BF9">
      <w:pPr>
        <w:rPr>
          <w:b/>
          <w:bCs/>
        </w:rPr>
      </w:pPr>
      <w:r>
        <w:rPr>
          <w:b/>
          <w:bCs/>
        </w:rPr>
        <w:t xml:space="preserve">Briefing Document </w:t>
      </w:r>
      <w:r w:rsidR="008A15C2" w:rsidRPr="008A15C2">
        <w:rPr>
          <w:b/>
          <w:bCs/>
        </w:rPr>
        <w:t xml:space="preserve">for </w:t>
      </w:r>
      <w:r>
        <w:rPr>
          <w:b/>
          <w:bCs/>
        </w:rPr>
        <w:t xml:space="preserve">Specialist </w:t>
      </w:r>
      <w:r w:rsidR="008A15C2" w:rsidRPr="008A15C2">
        <w:rPr>
          <w:b/>
          <w:bCs/>
        </w:rPr>
        <w:t>Consultancy Services</w:t>
      </w:r>
      <w:r>
        <w:rPr>
          <w:b/>
          <w:bCs/>
        </w:rPr>
        <w:t xml:space="preserve"> to produce at least an initial </w:t>
      </w:r>
      <w:r w:rsidR="003C2312">
        <w:rPr>
          <w:b/>
          <w:bCs/>
        </w:rPr>
        <w:t>Interpretation</w:t>
      </w:r>
      <w:r w:rsidR="00EB4BF9">
        <w:rPr>
          <w:b/>
          <w:bCs/>
        </w:rPr>
        <w:t xml:space="preserve"> Plan for:</w:t>
      </w:r>
    </w:p>
    <w:p w:rsidR="008A15C2" w:rsidRPr="00EB4BF9" w:rsidRDefault="00E80A82" w:rsidP="008A15C2">
      <w:pPr>
        <w:rPr>
          <w:b/>
          <w:bCs/>
        </w:rPr>
      </w:pPr>
      <w:proofErr w:type="gramStart"/>
      <w:r>
        <w:rPr>
          <w:b/>
          <w:bCs/>
        </w:rPr>
        <w:t>“</w:t>
      </w:r>
      <w:r w:rsidR="00EB4BF9" w:rsidRPr="00EB4BF9">
        <w:rPr>
          <w:b/>
          <w:bCs/>
        </w:rPr>
        <w:t>Bridging the Tamar</w:t>
      </w:r>
      <w:r>
        <w:rPr>
          <w:b/>
          <w:bCs/>
        </w:rPr>
        <w:t>”</w:t>
      </w:r>
      <w:r w:rsidR="00EB4BF9" w:rsidRPr="00EB4BF9">
        <w:rPr>
          <w:b/>
          <w:bCs/>
        </w:rPr>
        <w:t>:</w:t>
      </w:r>
      <w:r>
        <w:rPr>
          <w:b/>
          <w:bCs/>
        </w:rPr>
        <w:t xml:space="preserve"> </w:t>
      </w:r>
      <w:bookmarkStart w:id="0" w:name="_GoBack"/>
      <w:bookmarkEnd w:id="0"/>
      <w:r w:rsidR="00EB4BF9" w:rsidRPr="00EB4BF9">
        <w:rPr>
          <w:b/>
          <w:bCs/>
        </w:rPr>
        <w:t xml:space="preserve"> a Learning Centre and STEAM Hub to explore Tamar’s two key bridges</w:t>
      </w:r>
      <w:r>
        <w:rPr>
          <w:b/>
          <w:bCs/>
        </w:rPr>
        <w:t>.</w:t>
      </w:r>
      <w:proofErr w:type="gramEnd"/>
    </w:p>
    <w:p w:rsidR="008A15C2" w:rsidRPr="008A15C2" w:rsidRDefault="008654AC" w:rsidP="008A15C2">
      <w:r>
        <w:rPr>
          <w:b/>
          <w:bCs/>
        </w:rPr>
        <w:t xml:space="preserve">April </w:t>
      </w:r>
      <w:r w:rsidR="003C2312">
        <w:rPr>
          <w:b/>
          <w:bCs/>
        </w:rPr>
        <w:t>2017</w:t>
      </w:r>
      <w:r w:rsidR="008A15C2" w:rsidRPr="008A15C2">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6391"/>
      </w:tblGrid>
      <w:tr w:rsidR="008A15C2" w:rsidRPr="008A15C2">
        <w:trPr>
          <w:trHeight w:val="200"/>
        </w:trPr>
        <w:tc>
          <w:tcPr>
            <w:tcW w:w="7775" w:type="dxa"/>
            <w:gridSpan w:val="2"/>
          </w:tcPr>
          <w:p w:rsidR="008A15C2" w:rsidRPr="008A15C2" w:rsidRDefault="008A15C2" w:rsidP="008A15C2">
            <w:pPr>
              <w:spacing w:after="0"/>
            </w:pPr>
            <w:r w:rsidRPr="008A15C2">
              <w:rPr>
                <w:b/>
                <w:bCs/>
              </w:rPr>
              <w:t xml:space="preserve">Contents </w:t>
            </w:r>
          </w:p>
        </w:tc>
      </w:tr>
      <w:tr w:rsidR="008A15C2" w:rsidRPr="008A15C2" w:rsidTr="008A15C2">
        <w:trPr>
          <w:trHeight w:val="646"/>
        </w:trPr>
        <w:tc>
          <w:tcPr>
            <w:tcW w:w="1384" w:type="dxa"/>
          </w:tcPr>
          <w:p w:rsidR="008A15C2" w:rsidRPr="008A15C2" w:rsidRDefault="008A15C2" w:rsidP="008A15C2">
            <w:pPr>
              <w:spacing w:after="0"/>
            </w:pPr>
            <w:r w:rsidRPr="008A15C2">
              <w:t xml:space="preserve">1.0 </w:t>
            </w:r>
          </w:p>
        </w:tc>
        <w:tc>
          <w:tcPr>
            <w:tcW w:w="6391" w:type="dxa"/>
          </w:tcPr>
          <w:p w:rsidR="008A15C2" w:rsidRPr="008A15C2" w:rsidRDefault="008A15C2" w:rsidP="008A15C2">
            <w:pPr>
              <w:spacing w:after="0"/>
            </w:pPr>
            <w:r w:rsidRPr="008A15C2">
              <w:rPr>
                <w:b/>
                <w:bCs/>
              </w:rPr>
              <w:t xml:space="preserve">INTRODUCTION </w:t>
            </w:r>
          </w:p>
          <w:p w:rsidR="008A15C2" w:rsidRPr="008A15C2" w:rsidRDefault="008A15C2" w:rsidP="008A15C2">
            <w:pPr>
              <w:spacing w:after="0"/>
            </w:pPr>
            <w:r w:rsidRPr="008A15C2">
              <w:t xml:space="preserve">1.1 This Brief </w:t>
            </w:r>
          </w:p>
          <w:p w:rsidR="008A15C2" w:rsidRPr="008A15C2" w:rsidRDefault="008A15C2" w:rsidP="008A15C2">
            <w:pPr>
              <w:spacing w:after="0"/>
            </w:pPr>
            <w:r w:rsidRPr="008A15C2">
              <w:t xml:space="preserve">1.2 The </w:t>
            </w:r>
            <w:r w:rsidR="000E3C1D">
              <w:t>Tamar Bridges and our project</w:t>
            </w:r>
          </w:p>
          <w:p w:rsidR="00B76E51" w:rsidRDefault="00B76E51" w:rsidP="008A15C2">
            <w:pPr>
              <w:spacing w:after="0"/>
            </w:pPr>
            <w:r>
              <w:t>1.3 Meeting HLF outcomes</w:t>
            </w:r>
          </w:p>
          <w:p w:rsidR="008A15C2" w:rsidRPr="008A15C2" w:rsidRDefault="00B76E51" w:rsidP="008A15C2">
            <w:pPr>
              <w:spacing w:after="0"/>
            </w:pPr>
            <w:r>
              <w:t>1.4 Context</w:t>
            </w:r>
            <w:r w:rsidR="008A15C2" w:rsidRPr="008A15C2">
              <w:t xml:space="preserve"> </w:t>
            </w:r>
          </w:p>
        </w:tc>
      </w:tr>
      <w:tr w:rsidR="008A15C2" w:rsidRPr="008A15C2" w:rsidTr="008A15C2">
        <w:trPr>
          <w:trHeight w:val="782"/>
        </w:trPr>
        <w:tc>
          <w:tcPr>
            <w:tcW w:w="1384" w:type="dxa"/>
          </w:tcPr>
          <w:p w:rsidR="008A15C2" w:rsidRPr="008A15C2" w:rsidRDefault="008A15C2" w:rsidP="008A15C2">
            <w:pPr>
              <w:spacing w:after="0"/>
            </w:pPr>
            <w:r w:rsidRPr="008A15C2">
              <w:t xml:space="preserve">2.0 </w:t>
            </w:r>
          </w:p>
        </w:tc>
        <w:tc>
          <w:tcPr>
            <w:tcW w:w="6391" w:type="dxa"/>
          </w:tcPr>
          <w:p w:rsidR="008A15C2" w:rsidRPr="008A15C2" w:rsidRDefault="008A15C2" w:rsidP="008A15C2">
            <w:pPr>
              <w:spacing w:after="0"/>
            </w:pPr>
            <w:r w:rsidRPr="008A15C2">
              <w:rPr>
                <w:b/>
                <w:bCs/>
              </w:rPr>
              <w:t xml:space="preserve">THE PROJECT </w:t>
            </w:r>
          </w:p>
          <w:p w:rsidR="008A15C2" w:rsidRPr="008A15C2" w:rsidRDefault="00B76E51" w:rsidP="008A15C2">
            <w:pPr>
              <w:spacing w:after="0"/>
            </w:pPr>
            <w:r>
              <w:t>2.1</w:t>
            </w:r>
            <w:r w:rsidR="008A15C2" w:rsidRPr="008A15C2">
              <w:t xml:space="preserve"> Project Timetable </w:t>
            </w:r>
          </w:p>
          <w:p w:rsidR="008A15C2" w:rsidRPr="008A15C2" w:rsidRDefault="00B76E51" w:rsidP="008A15C2">
            <w:pPr>
              <w:spacing w:after="0"/>
            </w:pPr>
            <w:r>
              <w:t>2.2</w:t>
            </w:r>
            <w:r w:rsidR="008A15C2" w:rsidRPr="008A15C2">
              <w:t xml:space="preserve"> Project Adjacencies </w:t>
            </w:r>
          </w:p>
          <w:p w:rsidR="008A15C2" w:rsidRPr="008A15C2" w:rsidRDefault="00B76E51" w:rsidP="008A15C2">
            <w:pPr>
              <w:spacing w:after="0"/>
            </w:pPr>
            <w:r>
              <w:t>2.3</w:t>
            </w:r>
            <w:r w:rsidR="008A15C2" w:rsidRPr="008A15C2">
              <w:t xml:space="preserve"> Target Audiences </w:t>
            </w:r>
            <w:r>
              <w:t>and current themes</w:t>
            </w:r>
          </w:p>
        </w:tc>
      </w:tr>
      <w:tr w:rsidR="008A15C2" w:rsidRPr="008A15C2" w:rsidTr="008A15C2">
        <w:trPr>
          <w:trHeight w:val="513"/>
        </w:trPr>
        <w:tc>
          <w:tcPr>
            <w:tcW w:w="1384" w:type="dxa"/>
          </w:tcPr>
          <w:p w:rsidR="008A15C2" w:rsidRPr="008A15C2" w:rsidRDefault="008A15C2" w:rsidP="008A15C2">
            <w:pPr>
              <w:spacing w:after="0"/>
            </w:pPr>
            <w:r w:rsidRPr="008A15C2">
              <w:t xml:space="preserve">3.0 </w:t>
            </w:r>
          </w:p>
        </w:tc>
        <w:tc>
          <w:tcPr>
            <w:tcW w:w="6391" w:type="dxa"/>
          </w:tcPr>
          <w:p w:rsidR="008A15C2" w:rsidRPr="008A15C2" w:rsidRDefault="00B76E51" w:rsidP="008A15C2">
            <w:pPr>
              <w:spacing w:after="0"/>
            </w:pPr>
            <w:r>
              <w:rPr>
                <w:b/>
                <w:bCs/>
              </w:rPr>
              <w:t>INTERPRETATION</w:t>
            </w:r>
            <w:r w:rsidR="008A15C2" w:rsidRPr="008A15C2">
              <w:rPr>
                <w:b/>
                <w:bCs/>
              </w:rPr>
              <w:t xml:space="preserve"> PLAN CONTENT </w:t>
            </w:r>
          </w:p>
          <w:p w:rsidR="008A15C2" w:rsidRPr="008A15C2" w:rsidRDefault="00B76E51" w:rsidP="008A15C2">
            <w:pPr>
              <w:spacing w:after="0"/>
            </w:pPr>
            <w:r>
              <w:t>3.1 Outputs</w:t>
            </w:r>
            <w:r w:rsidR="008A15C2" w:rsidRPr="008A15C2">
              <w:t xml:space="preserve"> </w:t>
            </w:r>
          </w:p>
          <w:p w:rsidR="008A15C2" w:rsidRPr="008A15C2" w:rsidRDefault="00B76E51" w:rsidP="008A15C2">
            <w:pPr>
              <w:spacing w:after="0"/>
            </w:pPr>
            <w:r>
              <w:t>3.2 Development Phase details</w:t>
            </w:r>
            <w:r w:rsidR="008A15C2" w:rsidRPr="008A15C2">
              <w:t xml:space="preserve"> </w:t>
            </w:r>
          </w:p>
          <w:p w:rsidR="008A15C2" w:rsidRPr="008A15C2" w:rsidRDefault="00B76E51" w:rsidP="008A15C2">
            <w:pPr>
              <w:spacing w:after="0"/>
            </w:pPr>
            <w:r>
              <w:t>3.3 Outline Delivery Phase</w:t>
            </w:r>
            <w:r w:rsidR="008A15C2" w:rsidRPr="008A15C2">
              <w:t xml:space="preserve"> requirements </w:t>
            </w:r>
          </w:p>
        </w:tc>
      </w:tr>
      <w:tr w:rsidR="008A15C2" w:rsidRPr="008A15C2" w:rsidTr="008A15C2">
        <w:trPr>
          <w:trHeight w:val="110"/>
        </w:trPr>
        <w:tc>
          <w:tcPr>
            <w:tcW w:w="1384" w:type="dxa"/>
          </w:tcPr>
          <w:p w:rsidR="008A15C2" w:rsidRPr="008A15C2" w:rsidRDefault="008A15C2" w:rsidP="008A15C2">
            <w:pPr>
              <w:spacing w:after="0"/>
            </w:pPr>
            <w:r w:rsidRPr="008A15C2">
              <w:t xml:space="preserve">4.0 </w:t>
            </w:r>
          </w:p>
        </w:tc>
        <w:tc>
          <w:tcPr>
            <w:tcW w:w="6391" w:type="dxa"/>
          </w:tcPr>
          <w:p w:rsidR="008A15C2" w:rsidRPr="008A15C2" w:rsidRDefault="008A15C2" w:rsidP="008A15C2">
            <w:pPr>
              <w:spacing w:after="0"/>
            </w:pPr>
            <w:r w:rsidRPr="008A15C2">
              <w:rPr>
                <w:b/>
                <w:bCs/>
              </w:rPr>
              <w:t xml:space="preserve">BUDGET </w:t>
            </w:r>
          </w:p>
        </w:tc>
      </w:tr>
      <w:tr w:rsidR="008A15C2" w:rsidRPr="008A15C2" w:rsidTr="008A15C2">
        <w:trPr>
          <w:trHeight w:val="110"/>
        </w:trPr>
        <w:tc>
          <w:tcPr>
            <w:tcW w:w="1384" w:type="dxa"/>
          </w:tcPr>
          <w:p w:rsidR="008A15C2" w:rsidRPr="008A15C2" w:rsidRDefault="008A15C2" w:rsidP="008A15C2">
            <w:pPr>
              <w:spacing w:after="0"/>
            </w:pPr>
            <w:r w:rsidRPr="008A15C2">
              <w:t xml:space="preserve">5.0 </w:t>
            </w:r>
          </w:p>
        </w:tc>
        <w:tc>
          <w:tcPr>
            <w:tcW w:w="6391" w:type="dxa"/>
          </w:tcPr>
          <w:p w:rsidR="008A15C2" w:rsidRPr="008A15C2" w:rsidRDefault="008A15C2" w:rsidP="008A15C2">
            <w:pPr>
              <w:spacing w:after="0"/>
            </w:pPr>
            <w:r w:rsidRPr="008A15C2">
              <w:rPr>
                <w:b/>
                <w:bCs/>
              </w:rPr>
              <w:t xml:space="preserve">TENDER PROCESS </w:t>
            </w:r>
          </w:p>
        </w:tc>
      </w:tr>
      <w:tr w:rsidR="008A15C2" w:rsidRPr="008A15C2" w:rsidTr="008A15C2">
        <w:trPr>
          <w:trHeight w:val="110"/>
        </w:trPr>
        <w:tc>
          <w:tcPr>
            <w:tcW w:w="1384" w:type="dxa"/>
          </w:tcPr>
          <w:p w:rsidR="008A15C2" w:rsidRPr="008A15C2" w:rsidRDefault="008A15C2" w:rsidP="008A15C2">
            <w:pPr>
              <w:spacing w:after="0"/>
            </w:pPr>
          </w:p>
        </w:tc>
        <w:tc>
          <w:tcPr>
            <w:tcW w:w="6391" w:type="dxa"/>
          </w:tcPr>
          <w:p w:rsidR="008A15C2" w:rsidRPr="008A15C2" w:rsidRDefault="008A15C2" w:rsidP="008A15C2">
            <w:pPr>
              <w:spacing w:after="0"/>
            </w:pPr>
          </w:p>
        </w:tc>
      </w:tr>
      <w:tr w:rsidR="008A15C2" w:rsidRPr="008A15C2" w:rsidTr="008A15C2">
        <w:trPr>
          <w:trHeight w:val="110"/>
        </w:trPr>
        <w:tc>
          <w:tcPr>
            <w:tcW w:w="1384" w:type="dxa"/>
          </w:tcPr>
          <w:p w:rsidR="008A15C2" w:rsidRPr="008A15C2" w:rsidRDefault="008A15C2" w:rsidP="008A15C2">
            <w:pPr>
              <w:spacing w:after="0"/>
            </w:pPr>
          </w:p>
        </w:tc>
        <w:tc>
          <w:tcPr>
            <w:tcW w:w="6391" w:type="dxa"/>
          </w:tcPr>
          <w:p w:rsidR="008A15C2" w:rsidRPr="008A15C2" w:rsidRDefault="008A15C2" w:rsidP="008A15C2">
            <w:pPr>
              <w:spacing w:after="0"/>
            </w:pPr>
          </w:p>
        </w:tc>
      </w:tr>
    </w:tbl>
    <w:p w:rsidR="008A15C2" w:rsidRDefault="008A15C2"/>
    <w:tbl>
      <w:tblPr>
        <w:tblW w:w="19064" w:type="dxa"/>
        <w:tblInd w:w="-102" w:type="dxa"/>
        <w:tblBorders>
          <w:top w:val="nil"/>
          <w:left w:val="nil"/>
          <w:bottom w:val="nil"/>
          <w:right w:val="nil"/>
        </w:tblBorders>
        <w:tblLayout w:type="fixed"/>
        <w:tblLook w:val="0000" w:firstRow="0" w:lastRow="0" w:firstColumn="0" w:lastColumn="0" w:noHBand="0" w:noVBand="0"/>
      </w:tblPr>
      <w:tblGrid>
        <w:gridCol w:w="284"/>
        <w:gridCol w:w="34"/>
        <w:gridCol w:w="250"/>
        <w:gridCol w:w="709"/>
        <w:gridCol w:w="101"/>
        <w:gridCol w:w="41"/>
        <w:gridCol w:w="1377"/>
        <w:gridCol w:w="708"/>
        <w:gridCol w:w="6204"/>
        <w:gridCol w:w="108"/>
        <w:gridCol w:w="851"/>
        <w:gridCol w:w="8397"/>
      </w:tblGrid>
      <w:tr w:rsidR="00A1160F" w:rsidRPr="008A15C2" w:rsidTr="00B76E51">
        <w:trPr>
          <w:gridAfter w:val="3"/>
          <w:wAfter w:w="9356" w:type="dxa"/>
          <w:trHeight w:val="94"/>
        </w:trPr>
        <w:tc>
          <w:tcPr>
            <w:tcW w:w="284" w:type="dxa"/>
          </w:tcPr>
          <w:p w:rsidR="00A1160F" w:rsidRPr="007A4973" w:rsidRDefault="00A1160F" w:rsidP="007A4973">
            <w:pPr>
              <w:rPr>
                <w:b/>
              </w:rPr>
            </w:pPr>
          </w:p>
        </w:tc>
        <w:tc>
          <w:tcPr>
            <w:tcW w:w="9424" w:type="dxa"/>
            <w:gridSpan w:val="8"/>
          </w:tcPr>
          <w:p w:rsidR="00A1160F" w:rsidRPr="007A4973" w:rsidRDefault="00A1160F" w:rsidP="007A4973">
            <w:pPr>
              <w:rPr>
                <w:b/>
              </w:rPr>
            </w:pPr>
            <w:r w:rsidRPr="007A4973">
              <w:rPr>
                <w:b/>
              </w:rPr>
              <w:t>1.0              INTRODUCTION</w:t>
            </w:r>
          </w:p>
        </w:tc>
      </w:tr>
      <w:tr w:rsidR="00A1160F" w:rsidRPr="008A15C2" w:rsidTr="00B76E51">
        <w:trPr>
          <w:gridAfter w:val="3"/>
          <w:wAfter w:w="9356" w:type="dxa"/>
          <w:trHeight w:val="110"/>
        </w:trPr>
        <w:tc>
          <w:tcPr>
            <w:tcW w:w="284" w:type="dxa"/>
          </w:tcPr>
          <w:p w:rsidR="00A1160F" w:rsidRPr="008A15C2" w:rsidRDefault="00A1160F" w:rsidP="008A15C2">
            <w:pPr>
              <w:rPr>
                <w:b/>
                <w:bCs/>
              </w:rPr>
            </w:pPr>
          </w:p>
        </w:tc>
        <w:tc>
          <w:tcPr>
            <w:tcW w:w="993" w:type="dxa"/>
            <w:gridSpan w:val="3"/>
          </w:tcPr>
          <w:p w:rsidR="00A1160F" w:rsidRPr="008A15C2" w:rsidRDefault="00A1160F" w:rsidP="008A15C2">
            <w:r w:rsidRPr="008A15C2">
              <w:rPr>
                <w:b/>
                <w:bCs/>
              </w:rPr>
              <w:t xml:space="preserve">1.1 </w:t>
            </w:r>
          </w:p>
        </w:tc>
        <w:tc>
          <w:tcPr>
            <w:tcW w:w="8431" w:type="dxa"/>
            <w:gridSpan w:val="5"/>
          </w:tcPr>
          <w:p w:rsidR="00A1160F" w:rsidRPr="008A15C2" w:rsidRDefault="00A1160F" w:rsidP="008A15C2">
            <w:r w:rsidRPr="008A15C2">
              <w:rPr>
                <w:b/>
                <w:bCs/>
              </w:rPr>
              <w:t xml:space="preserve">This Brief </w:t>
            </w:r>
          </w:p>
        </w:tc>
      </w:tr>
      <w:tr w:rsidR="00A1160F" w:rsidRPr="008A15C2" w:rsidTr="00B76E51">
        <w:trPr>
          <w:gridAfter w:val="3"/>
          <w:wAfter w:w="9356" w:type="dxa"/>
          <w:trHeight w:val="1051"/>
        </w:trPr>
        <w:tc>
          <w:tcPr>
            <w:tcW w:w="284" w:type="dxa"/>
          </w:tcPr>
          <w:p w:rsidR="00A1160F" w:rsidRPr="008A15C2" w:rsidRDefault="00A1160F" w:rsidP="008A15C2"/>
        </w:tc>
        <w:tc>
          <w:tcPr>
            <w:tcW w:w="9424" w:type="dxa"/>
            <w:gridSpan w:val="8"/>
          </w:tcPr>
          <w:p w:rsidR="00A1160F" w:rsidRPr="008A15C2" w:rsidRDefault="007F025E" w:rsidP="008A15C2">
            <w:r>
              <w:t>The Tamar Bridge and Torpoint Ferry</w:t>
            </w:r>
            <w:r w:rsidR="00A1160F" w:rsidRPr="008A15C2">
              <w:t xml:space="preserve"> seeks to employ consultants with relevant</w:t>
            </w:r>
            <w:r w:rsidR="00A1160F">
              <w:t xml:space="preserve"> experience to produce our interpretation plan for our round 2 HLF application and</w:t>
            </w:r>
            <w:r w:rsidR="00A1160F" w:rsidRPr="008A15C2">
              <w:t xml:space="preserve">, </w:t>
            </w:r>
            <w:r w:rsidR="00A1160F">
              <w:t>should we achieve success, to deliver the interpretation materials for our project.</w:t>
            </w:r>
            <w:r w:rsidR="00A1160F" w:rsidRPr="008A15C2">
              <w:t xml:space="preserve"> This brief provides the context, requirements and process for procuring such services. </w:t>
            </w:r>
          </w:p>
          <w:p w:rsidR="00A1160F" w:rsidRPr="008A15C2" w:rsidRDefault="00A1160F" w:rsidP="00550D82">
            <w:r>
              <w:t>The Interpretation</w:t>
            </w:r>
            <w:r w:rsidRPr="008A15C2">
              <w:t xml:space="preserve"> Plan consultant will be expected to communicate with the </w:t>
            </w:r>
            <w:r>
              <w:t xml:space="preserve">Activity, </w:t>
            </w:r>
            <w:r w:rsidRPr="008A15C2">
              <w:t xml:space="preserve">Design </w:t>
            </w:r>
            <w:r>
              <w:t xml:space="preserve">and </w:t>
            </w:r>
            <w:r w:rsidR="00550D82">
              <w:t>B</w:t>
            </w:r>
            <w:r>
              <w:t xml:space="preserve">usiness </w:t>
            </w:r>
            <w:r w:rsidRPr="008A15C2">
              <w:t>consultant</w:t>
            </w:r>
            <w:r>
              <w:t>s</w:t>
            </w:r>
            <w:r w:rsidRPr="008A15C2">
              <w:t xml:space="preserve"> regularly throughout the process. </w:t>
            </w:r>
          </w:p>
        </w:tc>
      </w:tr>
      <w:tr w:rsidR="00A1160F" w:rsidRPr="008A15C2" w:rsidTr="00B76E51">
        <w:trPr>
          <w:gridAfter w:val="3"/>
          <w:wAfter w:w="9356" w:type="dxa"/>
        </w:trPr>
        <w:tc>
          <w:tcPr>
            <w:tcW w:w="284" w:type="dxa"/>
          </w:tcPr>
          <w:p w:rsidR="00A1160F" w:rsidRPr="008A15C2" w:rsidRDefault="00A1160F" w:rsidP="008820AF">
            <w:pPr>
              <w:spacing w:after="0"/>
              <w:rPr>
                <w:b/>
                <w:bCs/>
              </w:rPr>
            </w:pPr>
          </w:p>
        </w:tc>
        <w:tc>
          <w:tcPr>
            <w:tcW w:w="1094" w:type="dxa"/>
            <w:gridSpan w:val="4"/>
          </w:tcPr>
          <w:p w:rsidR="008820AF" w:rsidRPr="008820AF" w:rsidRDefault="00A1160F" w:rsidP="008820AF">
            <w:pPr>
              <w:spacing w:after="0"/>
              <w:rPr>
                <w:b/>
                <w:bCs/>
              </w:rPr>
            </w:pPr>
            <w:r w:rsidRPr="008A15C2">
              <w:rPr>
                <w:b/>
                <w:bCs/>
              </w:rPr>
              <w:t xml:space="preserve">1.2 </w:t>
            </w:r>
          </w:p>
        </w:tc>
        <w:tc>
          <w:tcPr>
            <w:tcW w:w="8330" w:type="dxa"/>
            <w:gridSpan w:val="4"/>
          </w:tcPr>
          <w:p w:rsidR="00A1160F" w:rsidRPr="008820AF" w:rsidRDefault="008820AF" w:rsidP="008820AF">
            <w:pPr>
              <w:spacing w:after="0"/>
              <w:rPr>
                <w:b/>
                <w:bCs/>
              </w:rPr>
            </w:pPr>
            <w:r w:rsidRPr="008820AF">
              <w:rPr>
                <w:b/>
                <w:bCs/>
              </w:rPr>
              <w:t>Bridging the Tamar: a Learning Centre and STEAM Hub to explore Tamar’s two key bridges</w:t>
            </w:r>
          </w:p>
        </w:tc>
      </w:tr>
      <w:tr w:rsidR="008820AF" w:rsidRPr="008A15C2" w:rsidTr="00B76E51">
        <w:trPr>
          <w:gridAfter w:val="3"/>
          <w:wAfter w:w="9356" w:type="dxa"/>
        </w:trPr>
        <w:tc>
          <w:tcPr>
            <w:tcW w:w="284" w:type="dxa"/>
          </w:tcPr>
          <w:p w:rsidR="008820AF" w:rsidRPr="008A15C2" w:rsidRDefault="008820AF" w:rsidP="008A15C2">
            <w:pPr>
              <w:rPr>
                <w:b/>
                <w:bCs/>
              </w:rPr>
            </w:pPr>
          </w:p>
        </w:tc>
        <w:tc>
          <w:tcPr>
            <w:tcW w:w="9424" w:type="dxa"/>
            <w:gridSpan w:val="8"/>
          </w:tcPr>
          <w:p w:rsidR="008820AF" w:rsidRDefault="008820AF" w:rsidP="003C2312">
            <w:pPr>
              <w:rPr>
                <w:bCs/>
              </w:rPr>
            </w:pPr>
            <w:r w:rsidRPr="008820AF">
              <w:rPr>
                <w:bCs/>
              </w:rPr>
              <w:t xml:space="preserve">Our project will create a new learning centre focusing on the heritage of both the Tamar Bridge and Brunel’s Royal Albert Bridge. We will develop a STEAM (Science, Technology, Engineering, Art and Mathematics) hub on the site of redundant offices of the Tamar Bridge and Torpoint Ferry, and deliver a programme of events and learning activities through the creation of a new Community, Learning and Volunteering (CLV) post: this post will continue after the HLF funded project finishes. The HLF project will be organised around outcomes that will be of direct public benefit and in liaison with partners such as Plymouth History Centre, schools, universities and local community organisations. With a successful HLF application the learning centre will open in </w:t>
            </w:r>
            <w:r w:rsidR="00A25270">
              <w:rPr>
                <w:bCs/>
              </w:rPr>
              <w:t>January</w:t>
            </w:r>
            <w:r w:rsidRPr="008820AF">
              <w:rPr>
                <w:bCs/>
              </w:rPr>
              <w:t xml:space="preserve"> 201</w:t>
            </w:r>
            <w:r w:rsidR="00A25270">
              <w:rPr>
                <w:bCs/>
              </w:rPr>
              <w:t>9</w:t>
            </w:r>
            <w:r w:rsidRPr="008820AF">
              <w:rPr>
                <w:bCs/>
              </w:rPr>
              <w:t xml:space="preserve"> and will attract approximately 35,000 visitors a year to the internal displays, and an additional 75,000 to the enhanced outdoor area, </w:t>
            </w:r>
            <w:r w:rsidRPr="008820AF">
              <w:rPr>
                <w:bCs/>
              </w:rPr>
              <w:lastRenderedPageBreak/>
              <w:t xml:space="preserve">with a mixture of school groups, pre-booked coach groups and individual visitors. The learning centre is supported by key stakeholders including Plymouth City Council, Cornwall Council and Network Rail. </w:t>
            </w:r>
          </w:p>
          <w:p w:rsidR="008820AF" w:rsidRDefault="008820AF" w:rsidP="003C2312">
            <w:pPr>
              <w:rPr>
                <w:bCs/>
              </w:rPr>
            </w:pPr>
            <w:r w:rsidRPr="008820AF">
              <w:rPr>
                <w:bCs/>
              </w:rPr>
              <w:t xml:space="preserve">The project will focus on the heritage of two world class bridges: the Tamar Bridge and Brunel’s Royal Albert Bridge. Although supported and encouraged by Network Rail, the project will be managed and then operated by the Tamar Bridge and Torpoint Ferry. </w:t>
            </w:r>
          </w:p>
          <w:p w:rsid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 xml:space="preserve">The </w:t>
            </w:r>
            <w:r w:rsidR="008654AC">
              <w:rPr>
                <w:rFonts w:ascii="Calibri" w:eastAsia="MS Mincho" w:hAnsi="Calibri" w:cs="Times New Roman"/>
                <w:sz w:val="21"/>
                <w:szCs w:val="21"/>
                <w:lang w:eastAsia="ja-JP"/>
              </w:rPr>
              <w:t xml:space="preserve">overall </w:t>
            </w:r>
            <w:r w:rsidRPr="008820AF">
              <w:rPr>
                <w:rFonts w:ascii="Calibri" w:eastAsia="MS Mincho" w:hAnsi="Calibri" w:cs="Times New Roman"/>
                <w:sz w:val="21"/>
                <w:szCs w:val="21"/>
                <w:lang w:eastAsia="ja-JP"/>
              </w:rPr>
              <w:t>delivery of the project will cost £363, 600, with a proposed HLF grant of £272,700. All match funding is in place, and planning permission is already secured.</w:t>
            </w:r>
          </w:p>
          <w:p w:rsidR="008820AF" w:rsidRPr="008820AF" w:rsidRDefault="008820AF" w:rsidP="008820AF">
            <w:pPr>
              <w:spacing w:after="0"/>
              <w:rPr>
                <w:rFonts w:ascii="Calibri" w:eastAsia="MS Mincho" w:hAnsi="Calibri" w:cs="Times New Roman"/>
                <w:sz w:val="21"/>
                <w:szCs w:val="21"/>
                <w:lang w:eastAsia="ja-JP"/>
              </w:rPr>
            </w:pPr>
          </w:p>
        </w:tc>
      </w:tr>
      <w:tr w:rsidR="00A1160F" w:rsidRPr="008A15C2" w:rsidTr="00B76E51">
        <w:trPr>
          <w:gridAfter w:val="3"/>
          <w:wAfter w:w="9356" w:type="dxa"/>
          <w:trHeight w:val="110"/>
        </w:trPr>
        <w:tc>
          <w:tcPr>
            <w:tcW w:w="284" w:type="dxa"/>
          </w:tcPr>
          <w:p w:rsidR="00A1160F" w:rsidRPr="008A15C2" w:rsidRDefault="00A1160F" w:rsidP="008A15C2">
            <w:pPr>
              <w:rPr>
                <w:b/>
                <w:bCs/>
              </w:rPr>
            </w:pPr>
          </w:p>
        </w:tc>
        <w:tc>
          <w:tcPr>
            <w:tcW w:w="993" w:type="dxa"/>
            <w:gridSpan w:val="3"/>
          </w:tcPr>
          <w:p w:rsidR="00A1160F" w:rsidRPr="008A15C2" w:rsidRDefault="00A1160F" w:rsidP="008A15C2">
            <w:r w:rsidRPr="008A15C2">
              <w:rPr>
                <w:b/>
                <w:bCs/>
              </w:rPr>
              <w:t xml:space="preserve">1.3 </w:t>
            </w:r>
          </w:p>
        </w:tc>
        <w:tc>
          <w:tcPr>
            <w:tcW w:w="8431" w:type="dxa"/>
            <w:gridSpan w:val="5"/>
          </w:tcPr>
          <w:p w:rsidR="00A1160F" w:rsidRPr="008A15C2" w:rsidRDefault="008820AF" w:rsidP="008A15C2">
            <w:r>
              <w:rPr>
                <w:b/>
                <w:bCs/>
              </w:rPr>
              <w:t>HLF Outcomes</w:t>
            </w:r>
            <w:r w:rsidR="00A1160F" w:rsidRPr="008A15C2">
              <w:rPr>
                <w:b/>
                <w:bCs/>
              </w:rPr>
              <w:t xml:space="preserve"> </w:t>
            </w:r>
          </w:p>
        </w:tc>
      </w:tr>
      <w:tr w:rsidR="00A1160F" w:rsidRPr="008A15C2" w:rsidTr="00B76E51">
        <w:trPr>
          <w:gridAfter w:val="3"/>
          <w:wAfter w:w="9356" w:type="dxa"/>
          <w:trHeight w:val="379"/>
        </w:trPr>
        <w:tc>
          <w:tcPr>
            <w:tcW w:w="284" w:type="dxa"/>
          </w:tcPr>
          <w:p w:rsidR="00A1160F" w:rsidRDefault="00A1160F" w:rsidP="008820AF">
            <w:pPr>
              <w:spacing w:after="0"/>
            </w:pPr>
          </w:p>
        </w:tc>
        <w:tc>
          <w:tcPr>
            <w:tcW w:w="9424" w:type="dxa"/>
            <w:gridSpan w:val="8"/>
          </w:tcPr>
          <w:p w:rsidR="008820AF" w:rsidRPr="008820AF" w:rsidRDefault="008820AF" w:rsidP="008820AF">
            <w:pPr>
              <w:spacing w:after="0"/>
              <w:rPr>
                <w:rFonts w:ascii="Calibri" w:eastAsia="MS Mincho" w:hAnsi="Calibri" w:cs="Times New Roman"/>
                <w:sz w:val="21"/>
                <w:szCs w:val="21"/>
                <w:lang w:eastAsia="ja-JP"/>
              </w:rPr>
            </w:pP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Benefits to Heritage:</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Better interpreted and explained through displays throughout the site, including external interpretation, the learning centre, activities and tours;</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Identified and recorded through bringing the information for both bridges together on public display, and recording of reminiscences.</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Benefits to Individuals: people will</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Learn about the social and economic history as well as the engineering significance of the two bridges;</w:t>
            </w:r>
          </w:p>
          <w:p w:rsidR="008820AF" w:rsidRDefault="008820AF" w:rsidP="008820AF">
            <w:pPr>
              <w:numPr>
                <w:ilvl w:val="0"/>
                <w:numId w:val="20"/>
              </w:numPr>
              <w:spacing w:after="0" w:line="276" w:lineRule="auto"/>
              <w:contextualSpacing/>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 xml:space="preserve">       Take part in lifelong learning programmes for primary/ secondary schools; colleges and</w:t>
            </w:r>
            <w:r>
              <w:rPr>
                <w:rFonts w:ascii="Calibri" w:eastAsia="MS Mincho" w:hAnsi="Calibri" w:cs="Times New Roman"/>
                <w:sz w:val="21"/>
                <w:szCs w:val="21"/>
                <w:lang w:eastAsia="ja-JP"/>
              </w:rPr>
              <w:t xml:space="preserve"> universities;</w:t>
            </w:r>
          </w:p>
          <w:p w:rsidR="008820AF" w:rsidRPr="008820AF" w:rsidRDefault="008820AF" w:rsidP="008820AF">
            <w:pPr>
              <w:spacing w:after="0" w:line="276" w:lineRule="auto"/>
              <w:ind w:left="360"/>
              <w:contextualSpacing/>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professional development; and informal adult education;</w:t>
            </w:r>
          </w:p>
          <w:p w:rsid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Develop skills through research, co-creation of interpretation a</w:t>
            </w:r>
            <w:r>
              <w:rPr>
                <w:rFonts w:ascii="Calibri" w:eastAsia="MS Mincho" w:hAnsi="Calibri" w:cs="Times New Roman"/>
                <w:sz w:val="21"/>
                <w:szCs w:val="21"/>
                <w:lang w:eastAsia="ja-JP"/>
              </w:rPr>
              <w:t>nd on-line media, and volunteer</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development;</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Change their attitude towards the bridges and discover the potential fascination of engineering;</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Have an enjoyable experience through participation and/or through visiting the centre;</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Volunteer time through the delivery phase, or as centre learning assistants.</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Benefits for Communities/Society:</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More people and a wider range of people will have engaged with heritage;</w:t>
            </w:r>
          </w:p>
          <w:p w:rsidR="008820AF" w:rsidRPr="008820AF" w:rsidRDefault="008820AF" w:rsidP="008820AF">
            <w:pPr>
              <w:numPr>
                <w:ilvl w:val="0"/>
                <w:numId w:val="20"/>
              </w:numPr>
              <w:spacing w:after="0" w:line="276" w:lineRule="auto"/>
              <w:contextualSpacing/>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 xml:space="preserve">        Permanent CLV post created;</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The local area will have a new learning facility and destination, to make it a better place to live, work and visit;</w:t>
            </w:r>
          </w:p>
          <w:p w:rsidR="008820AF" w:rsidRPr="008820AF" w:rsidRDefault="008820AF" w:rsidP="008820AF">
            <w:pPr>
              <w:spacing w:after="0"/>
              <w:rPr>
                <w:rFonts w:ascii="Calibri" w:eastAsia="MS Mincho" w:hAnsi="Calibri" w:cs="Times New Roman"/>
                <w:sz w:val="21"/>
                <w:szCs w:val="21"/>
                <w:lang w:eastAsia="ja-JP"/>
              </w:rPr>
            </w:pPr>
            <w:r w:rsidRPr="008820AF">
              <w:rPr>
                <w:rFonts w:ascii="Calibri" w:eastAsia="MS Mincho" w:hAnsi="Calibri" w:cs="Times New Roman"/>
                <w:sz w:val="21"/>
                <w:szCs w:val="21"/>
                <w:lang w:eastAsia="ja-JP"/>
              </w:rPr>
              <w:t>•</w:t>
            </w:r>
            <w:r w:rsidRPr="008820AF">
              <w:rPr>
                <w:rFonts w:ascii="Calibri" w:eastAsia="MS Mincho" w:hAnsi="Calibri" w:cs="Times New Roman"/>
                <w:sz w:val="21"/>
                <w:szCs w:val="21"/>
                <w:lang w:eastAsia="ja-JP"/>
              </w:rPr>
              <w:tab/>
              <w:t xml:space="preserve">Landscaping will make the site more attractive and welcoming, and provide outside learning spaces and picnic areas </w:t>
            </w:r>
          </w:p>
          <w:p w:rsidR="00A1160F" w:rsidRPr="008A15C2" w:rsidRDefault="00A1160F" w:rsidP="008820AF">
            <w:pPr>
              <w:spacing w:after="0"/>
            </w:pPr>
          </w:p>
        </w:tc>
      </w:tr>
      <w:tr w:rsidR="00B76E51" w:rsidRPr="008A15C2" w:rsidTr="00B76E51">
        <w:trPr>
          <w:gridBefore w:val="2"/>
          <w:gridAfter w:val="2"/>
          <w:wBefore w:w="318" w:type="dxa"/>
          <w:wAfter w:w="9248" w:type="dxa"/>
          <w:trHeight w:val="123"/>
        </w:trPr>
        <w:tc>
          <w:tcPr>
            <w:tcW w:w="1101" w:type="dxa"/>
            <w:gridSpan w:val="4"/>
          </w:tcPr>
          <w:p w:rsidR="00B76E51" w:rsidRPr="008A15C2" w:rsidRDefault="00B76E51" w:rsidP="008A15C2">
            <w:pPr>
              <w:rPr>
                <w:b/>
                <w:bCs/>
              </w:rPr>
            </w:pPr>
            <w:r>
              <w:rPr>
                <w:b/>
                <w:bCs/>
              </w:rPr>
              <w:t>1.4</w:t>
            </w:r>
          </w:p>
        </w:tc>
        <w:tc>
          <w:tcPr>
            <w:tcW w:w="8397" w:type="dxa"/>
            <w:gridSpan w:val="4"/>
          </w:tcPr>
          <w:p w:rsidR="00B76E51" w:rsidRPr="008A15C2" w:rsidRDefault="00B76E51" w:rsidP="008A15C2">
            <w:pPr>
              <w:rPr>
                <w:b/>
                <w:bCs/>
              </w:rPr>
            </w:pPr>
            <w:r>
              <w:rPr>
                <w:b/>
                <w:bCs/>
              </w:rPr>
              <w:t>Context</w:t>
            </w:r>
          </w:p>
        </w:tc>
      </w:tr>
      <w:tr w:rsidR="00B76E51" w:rsidRPr="008A15C2" w:rsidTr="00B76E51">
        <w:trPr>
          <w:gridBefore w:val="2"/>
          <w:gridAfter w:val="2"/>
          <w:wBefore w:w="318" w:type="dxa"/>
          <w:wAfter w:w="9248" w:type="dxa"/>
          <w:trHeight w:val="123"/>
        </w:trPr>
        <w:tc>
          <w:tcPr>
            <w:tcW w:w="9498" w:type="dxa"/>
            <w:gridSpan w:val="8"/>
          </w:tcPr>
          <w:p w:rsidR="00B76E51" w:rsidRPr="00B76E51" w:rsidRDefault="00B76E51" w:rsidP="00B76E51">
            <w:pPr>
              <w:rPr>
                <w:bCs/>
              </w:rPr>
            </w:pPr>
            <w:r w:rsidRPr="00B76E51">
              <w:rPr>
                <w:bCs/>
              </w:rPr>
              <w:t>The Tamar Bridge is owned and operated jointly by Cornwall Council and Plymouth City Council. These Joint Authorities formed a special partnership in 1950 to lobby national government to fund a fixed crossing of the Tamar, but in the face of government inaction, decided in 1955 to go forward with the scheme themselves as a local enterprise financed from tolls. As a result, the bridge is an important source of local pride, and consultation has consistently showed enthusiasm for this project.</w:t>
            </w:r>
          </w:p>
          <w:p w:rsidR="00B76E51" w:rsidRPr="00B76E51" w:rsidRDefault="00B76E51" w:rsidP="00B76E51">
            <w:pPr>
              <w:rPr>
                <w:bCs/>
              </w:rPr>
            </w:pPr>
            <w:r w:rsidRPr="00B76E51">
              <w:rPr>
                <w:bCs/>
              </w:rPr>
              <w:t xml:space="preserve">Parliamentary powers were needed for compulsory purchase of land, construction of towers in navigable waters, closure of existing roads and then to subsequently charge tolls. The Tamar Bridge Act gained Royal Assent on 27th July 1957, provided these powers and also created the Tamar Bridge and Torpoint Ferry Joint Committee, which was charged with the subsequent operation, maintenance and improvement of both the planned Tamar Bridge and the existing chain ferry operation at Torpoint. </w:t>
            </w:r>
          </w:p>
          <w:p w:rsidR="00B76E51" w:rsidRPr="00B76E51" w:rsidRDefault="00B76E51" w:rsidP="00B76E51">
            <w:pPr>
              <w:rPr>
                <w:bCs/>
              </w:rPr>
            </w:pPr>
            <w:r w:rsidRPr="00B76E51">
              <w:rPr>
                <w:bCs/>
              </w:rPr>
              <w:t xml:space="preserve">The Bridge now carries over 16 million vehicles a year – over ten times that carried in the early years, </w:t>
            </w:r>
            <w:r w:rsidRPr="00B76E51">
              <w:rPr>
                <w:bCs/>
              </w:rPr>
              <w:lastRenderedPageBreak/>
              <w:t>and on a busy weekday over 50,000 vehicles use the crossing. The construction, operation, maintenance and improvement of the crossing have all been financed from toll income, and toll charges remain amongst the lowest for a major estuarial crossing in the UK.</w:t>
            </w:r>
          </w:p>
          <w:p w:rsidR="00B76E51" w:rsidRPr="00B76E51" w:rsidRDefault="00B76E51" w:rsidP="00B76E51">
            <w:pPr>
              <w:rPr>
                <w:bCs/>
              </w:rPr>
            </w:pPr>
            <w:r w:rsidRPr="00B76E51">
              <w:rPr>
                <w:bCs/>
              </w:rPr>
              <w:t>This HLF project will follow another major project, the completion of new offices for the organisation, which in turn will release old 1960s office buildings that will be converted into our proposed learning centre. This project focuses on the activities and learning enabled by the earlier capital works.</w:t>
            </w:r>
          </w:p>
          <w:p w:rsidR="00B76E51" w:rsidRPr="00B76E51" w:rsidRDefault="00B76E51" w:rsidP="008A15C2">
            <w:pPr>
              <w:rPr>
                <w:bCs/>
              </w:rPr>
            </w:pPr>
          </w:p>
        </w:tc>
      </w:tr>
      <w:tr w:rsidR="00B76E51" w:rsidRPr="008A15C2" w:rsidTr="00B76E51">
        <w:trPr>
          <w:gridBefore w:val="2"/>
          <w:gridAfter w:val="2"/>
          <w:wBefore w:w="318" w:type="dxa"/>
          <w:wAfter w:w="9248" w:type="dxa"/>
          <w:trHeight w:val="123"/>
        </w:trPr>
        <w:tc>
          <w:tcPr>
            <w:tcW w:w="1101" w:type="dxa"/>
            <w:gridSpan w:val="4"/>
          </w:tcPr>
          <w:p w:rsidR="00B76E51" w:rsidRPr="008A15C2" w:rsidRDefault="00B76E51" w:rsidP="008A15C2">
            <w:r w:rsidRPr="008A15C2">
              <w:rPr>
                <w:b/>
                <w:bCs/>
              </w:rPr>
              <w:lastRenderedPageBreak/>
              <w:t xml:space="preserve">2.0 </w:t>
            </w:r>
          </w:p>
        </w:tc>
        <w:tc>
          <w:tcPr>
            <w:tcW w:w="8397" w:type="dxa"/>
            <w:gridSpan w:val="4"/>
          </w:tcPr>
          <w:p w:rsidR="00B76E51" w:rsidRPr="008A15C2" w:rsidRDefault="00B76E51" w:rsidP="008A15C2">
            <w:r w:rsidRPr="008A15C2">
              <w:rPr>
                <w:b/>
                <w:bCs/>
              </w:rPr>
              <w:t xml:space="preserve">THE PROJECT </w:t>
            </w:r>
          </w:p>
        </w:tc>
      </w:tr>
      <w:tr w:rsidR="00B76E51" w:rsidRPr="008A15C2" w:rsidTr="00B76E51">
        <w:trPr>
          <w:gridBefore w:val="2"/>
          <w:gridAfter w:val="2"/>
          <w:wBefore w:w="318" w:type="dxa"/>
          <w:wAfter w:w="9248" w:type="dxa"/>
          <w:trHeight w:val="123"/>
        </w:trPr>
        <w:tc>
          <w:tcPr>
            <w:tcW w:w="9498" w:type="dxa"/>
            <w:gridSpan w:val="8"/>
          </w:tcPr>
          <w:p w:rsidR="00B76E51" w:rsidRPr="00B76E51" w:rsidRDefault="00B76E51" w:rsidP="00B76E51">
            <w:pPr>
              <w:numPr>
                <w:ilvl w:val="0"/>
                <w:numId w:val="21"/>
              </w:numPr>
              <w:spacing w:after="0" w:line="240" w:lineRule="auto"/>
              <w:rPr>
                <w:bCs/>
              </w:rPr>
            </w:pPr>
            <w:r w:rsidRPr="00B76E51">
              <w:rPr>
                <w:bCs/>
              </w:rPr>
              <w:t>Transforming refurbished office space into a learning centre and STEAM (Science, Technology, Engineering, Art and Mathematics) hub, to provide a display and exhibition room that can be screened off to provide a space for groups and schools, as well as a kitchenette and toilets. The learning centre will be physically linked to our office facilities with a lift to ensure DDA compliancy and integrated approach – the offices are being built with a viewing platform overlooking the bridges</w:t>
            </w:r>
          </w:p>
          <w:p w:rsidR="00B76E51" w:rsidRPr="00B76E51" w:rsidRDefault="00B76E51" w:rsidP="00B76E51">
            <w:pPr>
              <w:numPr>
                <w:ilvl w:val="0"/>
                <w:numId w:val="21"/>
              </w:numPr>
              <w:spacing w:after="0" w:line="240" w:lineRule="auto"/>
              <w:rPr>
                <w:bCs/>
              </w:rPr>
            </w:pPr>
            <w:r w:rsidRPr="00B76E51">
              <w:rPr>
                <w:bCs/>
              </w:rPr>
              <w:t>Celebrate and interpret the engineering and social histories of two iconic structures: the Royal Albert Bridge and the Tamar Bridge</w:t>
            </w:r>
          </w:p>
          <w:p w:rsidR="00B76E51" w:rsidRPr="00B76E51" w:rsidRDefault="00B76E51" w:rsidP="00B76E51">
            <w:pPr>
              <w:numPr>
                <w:ilvl w:val="0"/>
                <w:numId w:val="21"/>
              </w:numPr>
              <w:spacing w:after="0" w:line="240" w:lineRule="auto"/>
              <w:rPr>
                <w:bCs/>
              </w:rPr>
            </w:pPr>
            <w:r w:rsidRPr="00B76E51">
              <w:rPr>
                <w:bCs/>
              </w:rPr>
              <w:t xml:space="preserve">Deliver landscape work to improve the attractiveness of the site, including outdoor classroom, enhanced views of the bridges, picnic areas </w:t>
            </w:r>
          </w:p>
          <w:p w:rsidR="00B76E51" w:rsidRPr="00B76E51" w:rsidRDefault="00B76E51" w:rsidP="00B76E51">
            <w:pPr>
              <w:numPr>
                <w:ilvl w:val="0"/>
                <w:numId w:val="21"/>
              </w:numPr>
              <w:spacing w:after="0" w:line="240" w:lineRule="auto"/>
              <w:rPr>
                <w:bCs/>
              </w:rPr>
            </w:pPr>
            <w:r w:rsidRPr="00B76E51">
              <w:rPr>
                <w:bCs/>
              </w:rPr>
              <w:t>Offer an attractive welcome, stopping point and new heritage destination for people on the Devon/Cornwall border</w:t>
            </w:r>
          </w:p>
          <w:p w:rsidR="00B76E51" w:rsidRPr="00B76E51" w:rsidRDefault="00B76E51" w:rsidP="00B76E51">
            <w:pPr>
              <w:numPr>
                <w:ilvl w:val="0"/>
                <w:numId w:val="21"/>
              </w:numPr>
              <w:spacing w:after="0" w:line="240" w:lineRule="auto"/>
              <w:rPr>
                <w:bCs/>
              </w:rPr>
            </w:pPr>
            <w:r w:rsidRPr="00B76E51">
              <w:rPr>
                <w:bCs/>
              </w:rPr>
              <w:t xml:space="preserve">Provide external and internal learning spaces for (school) groups </w:t>
            </w:r>
          </w:p>
          <w:p w:rsidR="00B76E51" w:rsidRPr="00B76E51" w:rsidRDefault="00B76E51" w:rsidP="00B76E51">
            <w:pPr>
              <w:numPr>
                <w:ilvl w:val="0"/>
                <w:numId w:val="21"/>
              </w:numPr>
              <w:spacing w:after="0" w:line="240" w:lineRule="auto"/>
              <w:rPr>
                <w:bCs/>
              </w:rPr>
            </w:pPr>
            <w:r w:rsidRPr="00B76E51">
              <w:rPr>
                <w:bCs/>
              </w:rPr>
              <w:t xml:space="preserve">Employ a Community, Learning and Volunteering Officer (CLV) to enable our ambitions to become realities  </w:t>
            </w:r>
          </w:p>
          <w:p w:rsidR="00B76E51" w:rsidRPr="00B76E51" w:rsidRDefault="00B76E51" w:rsidP="00B76E51">
            <w:pPr>
              <w:numPr>
                <w:ilvl w:val="0"/>
                <w:numId w:val="21"/>
              </w:numPr>
              <w:spacing w:after="0" w:line="240" w:lineRule="auto"/>
              <w:rPr>
                <w:bCs/>
              </w:rPr>
            </w:pPr>
            <w:r w:rsidRPr="00B76E51">
              <w:rPr>
                <w:bCs/>
              </w:rPr>
              <w:t>Incorporate a CLV role into the permanent staffing structure, reporting to the Customer Supervisor,  to perpetuate the work beyond the life of the project</w:t>
            </w:r>
          </w:p>
          <w:p w:rsidR="00B76E51" w:rsidRPr="00B76E51" w:rsidRDefault="00B76E51" w:rsidP="00B76E51">
            <w:pPr>
              <w:numPr>
                <w:ilvl w:val="0"/>
                <w:numId w:val="21"/>
              </w:numPr>
              <w:spacing w:after="0" w:line="240" w:lineRule="auto"/>
              <w:rPr>
                <w:bCs/>
              </w:rPr>
            </w:pPr>
            <w:r w:rsidRPr="00B76E51">
              <w:rPr>
                <w:bCs/>
              </w:rPr>
              <w:t>Work in partnership with local community or specialist organisations to mentor our volunteering and interpretation programmes Plymouth History Centre and Ashtorre Rock</w:t>
            </w:r>
          </w:p>
          <w:p w:rsidR="00B76E51" w:rsidRPr="00B76E51" w:rsidRDefault="00B76E51" w:rsidP="00B76E51">
            <w:pPr>
              <w:numPr>
                <w:ilvl w:val="0"/>
                <w:numId w:val="21"/>
              </w:numPr>
              <w:spacing w:after="0" w:line="240" w:lineRule="auto"/>
              <w:rPr>
                <w:bCs/>
              </w:rPr>
            </w:pPr>
            <w:r w:rsidRPr="00B76E51">
              <w:rPr>
                <w:bCs/>
              </w:rPr>
              <w:t>Recruit, train and support 155 volunteers to assist with opening, educational visits and visitor welcome. Training will include general induction to the site and being a volunteer, history sessions, customer service, guiding techniques, working with children, running school sessions, evaluation techniques, research, co-creation of interpretation, and running family activities.</w:t>
            </w:r>
          </w:p>
          <w:p w:rsidR="00B76E51" w:rsidRPr="00B76E51" w:rsidRDefault="00B76E51" w:rsidP="00B76E51">
            <w:pPr>
              <w:numPr>
                <w:ilvl w:val="0"/>
                <w:numId w:val="21"/>
              </w:numPr>
              <w:spacing w:after="0" w:line="240" w:lineRule="auto"/>
              <w:rPr>
                <w:bCs/>
              </w:rPr>
            </w:pPr>
            <w:r w:rsidRPr="00B76E51">
              <w:rPr>
                <w:bCs/>
              </w:rPr>
              <w:t xml:space="preserve">Use data and information from university research to inform displays, such as live bridge behaviour </w:t>
            </w:r>
          </w:p>
          <w:p w:rsidR="00B76E51" w:rsidRPr="00B76E51" w:rsidRDefault="00B76E51" w:rsidP="00B76E51">
            <w:pPr>
              <w:numPr>
                <w:ilvl w:val="0"/>
                <w:numId w:val="21"/>
              </w:numPr>
              <w:spacing w:after="0" w:line="240" w:lineRule="auto"/>
              <w:rPr>
                <w:bCs/>
              </w:rPr>
            </w:pPr>
            <w:r w:rsidRPr="00B76E51">
              <w:rPr>
                <w:bCs/>
              </w:rPr>
              <w:t>Work with community groups and universities to co-create and evaluate displays, with a family focus group to test ideas</w:t>
            </w:r>
          </w:p>
          <w:p w:rsidR="00B76E51" w:rsidRPr="00B76E51" w:rsidRDefault="00B76E51" w:rsidP="00B76E51">
            <w:pPr>
              <w:numPr>
                <w:ilvl w:val="0"/>
                <w:numId w:val="21"/>
              </w:numPr>
              <w:spacing w:after="0" w:line="240" w:lineRule="auto"/>
              <w:rPr>
                <w:bCs/>
              </w:rPr>
            </w:pPr>
            <w:r w:rsidRPr="00B76E51">
              <w:rPr>
                <w:bCs/>
              </w:rPr>
              <w:t>Install a permanent exhibition to include the making and design of the two bridges, Brunel’s genius, social history, why the bridges were built, and current maintenance – including live monitors</w:t>
            </w:r>
          </w:p>
          <w:p w:rsidR="00B76E51" w:rsidRPr="00B76E51" w:rsidRDefault="00B76E51" w:rsidP="00B76E51">
            <w:pPr>
              <w:numPr>
                <w:ilvl w:val="0"/>
                <w:numId w:val="21"/>
              </w:numPr>
              <w:spacing w:after="0" w:line="240" w:lineRule="auto"/>
              <w:rPr>
                <w:bCs/>
              </w:rPr>
            </w:pPr>
            <w:r w:rsidRPr="00B76E51">
              <w:rPr>
                <w:bCs/>
              </w:rPr>
              <w:t>Bring together and make available material for the two bridges</w:t>
            </w:r>
          </w:p>
          <w:p w:rsidR="00B76E51" w:rsidRPr="00B76E51" w:rsidRDefault="00B76E51" w:rsidP="00B76E51">
            <w:pPr>
              <w:numPr>
                <w:ilvl w:val="0"/>
                <w:numId w:val="21"/>
              </w:numPr>
              <w:spacing w:after="0" w:line="240" w:lineRule="auto"/>
              <w:rPr>
                <w:bCs/>
              </w:rPr>
            </w:pPr>
            <w:r w:rsidRPr="00B76E51">
              <w:rPr>
                <w:bCs/>
              </w:rPr>
              <w:t>Encourage work experience opportunities for local young people</w:t>
            </w:r>
          </w:p>
          <w:p w:rsidR="00B76E51" w:rsidRPr="00B76E51" w:rsidRDefault="00B76E51" w:rsidP="00B76E51">
            <w:pPr>
              <w:numPr>
                <w:ilvl w:val="0"/>
                <w:numId w:val="21"/>
              </w:numPr>
              <w:spacing w:after="0" w:line="240" w:lineRule="auto"/>
              <w:rPr>
                <w:bCs/>
              </w:rPr>
            </w:pPr>
            <w:r w:rsidRPr="00B76E51">
              <w:rPr>
                <w:bCs/>
              </w:rPr>
              <w:t>Create temporary exhibitions to involve local people and attract repeat visits</w:t>
            </w:r>
          </w:p>
          <w:p w:rsidR="00B76E51" w:rsidRPr="00B76E51" w:rsidRDefault="00B76E51" w:rsidP="00B76E51">
            <w:pPr>
              <w:numPr>
                <w:ilvl w:val="0"/>
                <w:numId w:val="21"/>
              </w:numPr>
              <w:spacing w:after="0" w:line="240" w:lineRule="auto"/>
              <w:rPr>
                <w:bCs/>
              </w:rPr>
            </w:pPr>
            <w:r w:rsidRPr="00B76E51">
              <w:rPr>
                <w:bCs/>
              </w:rPr>
              <w:t>Form a STEAM hub for Devon and Cornwall with primary, secondary and university level input encouraging understanding of engineering and related careers, and a place for teachers to meet</w:t>
            </w:r>
          </w:p>
          <w:p w:rsidR="00B76E51" w:rsidRPr="00B76E51" w:rsidRDefault="00B76E51" w:rsidP="00B76E51">
            <w:pPr>
              <w:numPr>
                <w:ilvl w:val="0"/>
                <w:numId w:val="21"/>
              </w:numPr>
              <w:spacing w:after="0" w:line="240" w:lineRule="auto"/>
              <w:rPr>
                <w:bCs/>
              </w:rPr>
            </w:pPr>
            <w:r w:rsidRPr="00B76E51">
              <w:rPr>
                <w:bCs/>
              </w:rPr>
              <w:t>Produce a schools programme linking to the National Curriculum through a teachers’ focus group to attract schools from across Devon and Cornwall, linked with the schools programme at the Plymouth History Centre, focussing on Saltash and Plymouth schools and build up to 1,800 formal educational visits pa</w:t>
            </w:r>
          </w:p>
          <w:p w:rsidR="00B76E51" w:rsidRPr="00B76E51" w:rsidRDefault="00B76E51" w:rsidP="00B76E51">
            <w:pPr>
              <w:numPr>
                <w:ilvl w:val="0"/>
                <w:numId w:val="21"/>
              </w:numPr>
              <w:spacing w:after="0" w:line="240" w:lineRule="auto"/>
              <w:rPr>
                <w:bCs/>
              </w:rPr>
            </w:pPr>
            <w:r w:rsidRPr="00B76E51">
              <w:rPr>
                <w:bCs/>
              </w:rPr>
              <w:lastRenderedPageBreak/>
              <w:t>Work with the Universities of Plymouth and Exeter to provide site visits for foundation year, undergraduate and postgraduate students</w:t>
            </w:r>
          </w:p>
          <w:p w:rsidR="00B76E51" w:rsidRPr="00B76E51" w:rsidRDefault="00B76E51" w:rsidP="00B76E51">
            <w:pPr>
              <w:numPr>
                <w:ilvl w:val="0"/>
                <w:numId w:val="21"/>
              </w:numPr>
              <w:spacing w:after="0" w:line="240" w:lineRule="auto"/>
              <w:rPr>
                <w:bCs/>
              </w:rPr>
            </w:pPr>
            <w:r w:rsidRPr="00B76E51">
              <w:rPr>
                <w:bCs/>
              </w:rPr>
              <w:t>Develop activities with the scouting movement (Beavers, Cubs, Brownies, Guides, Scouts) to match learning outcomes against badges</w:t>
            </w:r>
          </w:p>
          <w:p w:rsidR="00B76E51" w:rsidRPr="00B76E51" w:rsidRDefault="00B76E51" w:rsidP="00B76E51">
            <w:pPr>
              <w:numPr>
                <w:ilvl w:val="0"/>
                <w:numId w:val="21"/>
              </w:numPr>
              <w:spacing w:after="0" w:line="240" w:lineRule="auto"/>
              <w:rPr>
                <w:bCs/>
              </w:rPr>
            </w:pPr>
            <w:r w:rsidRPr="00B76E51">
              <w:rPr>
                <w:bCs/>
              </w:rPr>
              <w:t>Work with young people and other heritage sites in the Saltash area to explore the history and identity of the town, going behind the scenes to explore career opportunities within the heritage sector</w:t>
            </w:r>
          </w:p>
          <w:p w:rsidR="00B76E51" w:rsidRPr="00B76E51" w:rsidRDefault="00B76E51" w:rsidP="00B76E51">
            <w:pPr>
              <w:numPr>
                <w:ilvl w:val="0"/>
                <w:numId w:val="21"/>
              </w:numPr>
              <w:spacing w:after="0" w:line="240" w:lineRule="auto"/>
              <w:rPr>
                <w:bCs/>
              </w:rPr>
            </w:pPr>
            <w:r w:rsidRPr="00B76E51">
              <w:rPr>
                <w:bCs/>
              </w:rPr>
              <w:t xml:space="preserve">Work with WEA to provide life-long learning courses covering engineering, history, art, poetry and literacy  </w:t>
            </w:r>
          </w:p>
          <w:p w:rsidR="00B76E51" w:rsidRPr="00B76E51" w:rsidRDefault="00B76E51" w:rsidP="00B76E51">
            <w:pPr>
              <w:numPr>
                <w:ilvl w:val="0"/>
                <w:numId w:val="21"/>
              </w:numPr>
              <w:spacing w:after="0" w:line="240" w:lineRule="auto"/>
              <w:rPr>
                <w:bCs/>
              </w:rPr>
            </w:pPr>
            <w:r w:rsidRPr="00B76E51">
              <w:rPr>
                <w:bCs/>
              </w:rPr>
              <w:t>Make the 1960s building more energy efficient</w:t>
            </w:r>
          </w:p>
          <w:p w:rsidR="00B76E51" w:rsidRPr="00B76E51" w:rsidRDefault="00B76E51" w:rsidP="00B76E51">
            <w:pPr>
              <w:numPr>
                <w:ilvl w:val="0"/>
                <w:numId w:val="21"/>
              </w:numPr>
              <w:spacing w:after="0" w:line="240" w:lineRule="auto"/>
              <w:rPr>
                <w:bCs/>
              </w:rPr>
            </w:pPr>
            <w:r w:rsidRPr="00B76E51">
              <w:rPr>
                <w:bCs/>
              </w:rPr>
              <w:t xml:space="preserve">Enable a dropping off point for coaches, enabling 9,000 visitors in coach groups pa </w:t>
            </w:r>
          </w:p>
          <w:p w:rsidR="00B76E51" w:rsidRPr="00B76E51" w:rsidRDefault="00B76E51" w:rsidP="00B76E51">
            <w:pPr>
              <w:numPr>
                <w:ilvl w:val="0"/>
                <w:numId w:val="21"/>
              </w:numPr>
              <w:spacing w:after="0" w:line="240" w:lineRule="auto"/>
              <w:rPr>
                <w:bCs/>
              </w:rPr>
            </w:pPr>
            <w:r w:rsidRPr="00B76E51">
              <w:rPr>
                <w:bCs/>
              </w:rPr>
              <w:t xml:space="preserve">Run pre-booked tours local user groups with access to the new viewing platform overlooking the two bridges </w:t>
            </w:r>
          </w:p>
          <w:p w:rsidR="00B76E51" w:rsidRPr="00B76E51" w:rsidRDefault="00B76E51" w:rsidP="00B76E51">
            <w:pPr>
              <w:numPr>
                <w:ilvl w:val="0"/>
                <w:numId w:val="21"/>
              </w:numPr>
              <w:spacing w:after="0" w:line="240" w:lineRule="auto"/>
              <w:rPr>
                <w:bCs/>
              </w:rPr>
            </w:pPr>
            <w:r w:rsidRPr="00B76E51">
              <w:rPr>
                <w:bCs/>
              </w:rPr>
              <w:t>Hold an audience specific events programme to cover local people, families, young people, tourists, coach groups, engineering heritage specialists</w:t>
            </w:r>
          </w:p>
          <w:p w:rsidR="00B76E51" w:rsidRPr="00B76E51" w:rsidRDefault="00B76E51" w:rsidP="00B76E51">
            <w:pPr>
              <w:numPr>
                <w:ilvl w:val="0"/>
                <w:numId w:val="21"/>
              </w:numPr>
              <w:spacing w:after="0" w:line="240" w:lineRule="auto"/>
              <w:rPr>
                <w:bCs/>
              </w:rPr>
            </w:pPr>
            <w:r w:rsidRPr="00B76E51">
              <w:rPr>
                <w:bCs/>
              </w:rPr>
              <w:t>Increase visitor numbers to 35,000 to the learning centre over three years, with another 75,000 pa having a light touch heritage experience through access to external interpretation</w:t>
            </w:r>
          </w:p>
          <w:p w:rsidR="00B76E51" w:rsidRPr="00B76E51" w:rsidRDefault="00B76E51" w:rsidP="00B76E51">
            <w:pPr>
              <w:numPr>
                <w:ilvl w:val="0"/>
                <w:numId w:val="21"/>
              </w:numPr>
              <w:spacing w:after="0" w:line="240" w:lineRule="auto"/>
              <w:rPr>
                <w:bCs/>
              </w:rPr>
            </w:pPr>
            <w:r w:rsidRPr="00B76E51">
              <w:rPr>
                <w:bCs/>
              </w:rPr>
              <w:t>Continue our dialogue with Network Rail to improve intellectual access to their bridge</w:t>
            </w:r>
          </w:p>
          <w:p w:rsidR="00B76E51" w:rsidRPr="00B76E51" w:rsidRDefault="00B76E51" w:rsidP="00B76E51">
            <w:pPr>
              <w:numPr>
                <w:ilvl w:val="0"/>
                <w:numId w:val="21"/>
              </w:numPr>
              <w:spacing w:after="0" w:line="240" w:lineRule="auto"/>
              <w:rPr>
                <w:bCs/>
              </w:rPr>
            </w:pPr>
            <w:r w:rsidRPr="00B76E51">
              <w:rPr>
                <w:bCs/>
              </w:rPr>
              <w:t xml:space="preserve">Supply light refreshments (drinks, snacks and sandwiches) to our visitors and contribute financially to the running of the learning centre and activities  </w:t>
            </w:r>
          </w:p>
          <w:p w:rsidR="00B76E51" w:rsidRPr="00B76E51" w:rsidRDefault="00B76E51" w:rsidP="00B76E51">
            <w:pPr>
              <w:numPr>
                <w:ilvl w:val="0"/>
                <w:numId w:val="21"/>
              </w:numPr>
              <w:spacing w:after="0" w:line="240" w:lineRule="auto"/>
              <w:rPr>
                <w:bCs/>
              </w:rPr>
            </w:pPr>
            <w:r w:rsidRPr="00B76E51">
              <w:rPr>
                <w:bCs/>
              </w:rPr>
              <w:t xml:space="preserve">Give local people a place to take pride in ‘their’ bridges  </w:t>
            </w:r>
          </w:p>
          <w:p w:rsidR="00B76E51" w:rsidRPr="00B76E51" w:rsidRDefault="00B76E51" w:rsidP="00B76E51">
            <w:pPr>
              <w:spacing w:after="0" w:line="240" w:lineRule="auto"/>
              <w:rPr>
                <w:bCs/>
              </w:rPr>
            </w:pPr>
          </w:p>
        </w:tc>
      </w:tr>
      <w:tr w:rsidR="00A1160F" w:rsidRPr="008A15C2" w:rsidTr="00B76E51">
        <w:trPr>
          <w:gridBefore w:val="2"/>
          <w:gridAfter w:val="2"/>
          <w:wBefore w:w="318" w:type="dxa"/>
          <w:wAfter w:w="9248" w:type="dxa"/>
        </w:trPr>
        <w:tc>
          <w:tcPr>
            <w:tcW w:w="250" w:type="dxa"/>
          </w:tcPr>
          <w:p w:rsidR="00A1160F" w:rsidRPr="008A15C2" w:rsidRDefault="00A1160F" w:rsidP="008A15C2">
            <w:pPr>
              <w:rPr>
                <w:b/>
                <w:bCs/>
              </w:rPr>
            </w:pPr>
          </w:p>
        </w:tc>
        <w:tc>
          <w:tcPr>
            <w:tcW w:w="851" w:type="dxa"/>
            <w:gridSpan w:val="3"/>
          </w:tcPr>
          <w:p w:rsidR="00A1160F" w:rsidRPr="008A15C2" w:rsidRDefault="00A1160F" w:rsidP="008A15C2">
            <w:r w:rsidRPr="008A15C2">
              <w:rPr>
                <w:b/>
                <w:bCs/>
              </w:rPr>
              <w:t xml:space="preserve">2.1 </w:t>
            </w:r>
          </w:p>
        </w:tc>
        <w:tc>
          <w:tcPr>
            <w:tcW w:w="8397" w:type="dxa"/>
            <w:gridSpan w:val="4"/>
          </w:tcPr>
          <w:p w:rsidR="00A1160F" w:rsidRPr="008A15C2" w:rsidRDefault="00B76E51" w:rsidP="00B76E51">
            <w:r>
              <w:rPr>
                <w:b/>
                <w:bCs/>
              </w:rPr>
              <w:t>Project Timetable</w:t>
            </w:r>
          </w:p>
        </w:tc>
      </w:tr>
      <w:tr w:rsidR="00A1160F" w:rsidTr="00B76E51">
        <w:trPr>
          <w:gridBefore w:val="2"/>
          <w:gridAfter w:val="2"/>
          <w:wBefore w:w="318" w:type="dxa"/>
          <w:wAfter w:w="9248" w:type="dxa"/>
        </w:trPr>
        <w:tc>
          <w:tcPr>
            <w:tcW w:w="250" w:type="dxa"/>
          </w:tcPr>
          <w:p w:rsidR="00A1160F" w:rsidRDefault="00A1160F">
            <w:pPr>
              <w:pStyle w:val="Default"/>
              <w:rPr>
                <w:rFonts w:cstheme="minorBidi"/>
                <w:color w:val="auto"/>
              </w:rPr>
            </w:pPr>
          </w:p>
        </w:tc>
        <w:tc>
          <w:tcPr>
            <w:tcW w:w="9248" w:type="dxa"/>
            <w:gridSpan w:val="7"/>
          </w:tcPr>
          <w:tbl>
            <w:tblPr>
              <w:tblStyle w:val="TableGrid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2F2F2"/>
              <w:tblLayout w:type="fixed"/>
              <w:tblLook w:val="04A0" w:firstRow="1" w:lastRow="0" w:firstColumn="1" w:lastColumn="0" w:noHBand="0" w:noVBand="1"/>
            </w:tblPr>
            <w:tblGrid>
              <w:gridCol w:w="4957"/>
              <w:gridCol w:w="3827"/>
            </w:tblGrid>
            <w:tr w:rsidR="00B76E51" w:rsidRPr="00EC0216" w:rsidTr="00756064">
              <w:trPr>
                <w:trHeight w:val="261"/>
              </w:trPr>
              <w:tc>
                <w:tcPr>
                  <w:tcW w:w="4957" w:type="dxa"/>
                  <w:shd w:val="clear" w:color="auto" w:fill="F2F2F2"/>
                </w:tcPr>
                <w:p w:rsidR="00B76E51" w:rsidRPr="00EC0216" w:rsidRDefault="00B76E51" w:rsidP="00B76E51">
                  <w:pPr>
                    <w:rPr>
                      <w:rFonts w:cs="Times New Roman"/>
                    </w:rPr>
                  </w:pPr>
                  <w:r w:rsidRPr="00EC0216">
                    <w:rPr>
                      <w:rFonts w:cs="Times New Roman"/>
                    </w:rPr>
                    <w:t>Planning application approved</w:t>
                  </w:r>
                </w:p>
              </w:tc>
              <w:tc>
                <w:tcPr>
                  <w:tcW w:w="3827" w:type="dxa"/>
                  <w:shd w:val="clear" w:color="auto" w:fill="F2F2F2"/>
                </w:tcPr>
                <w:p w:rsidR="00B76E51" w:rsidRPr="00EC0216" w:rsidRDefault="00B76E51" w:rsidP="00B76E51">
                  <w:pPr>
                    <w:rPr>
                      <w:rFonts w:cs="Times New Roman"/>
                    </w:rPr>
                  </w:pPr>
                  <w:r w:rsidRPr="00EC0216">
                    <w:rPr>
                      <w:rFonts w:cs="Times New Roman"/>
                    </w:rPr>
                    <w:t xml:space="preserve">September 2015 </w:t>
                  </w:r>
                </w:p>
              </w:tc>
            </w:tr>
            <w:tr w:rsidR="00B76E51" w:rsidRPr="00EC0216" w:rsidTr="00756064">
              <w:trPr>
                <w:trHeight w:val="261"/>
              </w:trPr>
              <w:tc>
                <w:tcPr>
                  <w:tcW w:w="4957" w:type="dxa"/>
                  <w:shd w:val="clear" w:color="auto" w:fill="F2F2F2"/>
                </w:tcPr>
                <w:p w:rsidR="00B76E51" w:rsidRPr="00EC0216" w:rsidRDefault="00B76E51" w:rsidP="00B76E51">
                  <w:pPr>
                    <w:rPr>
                      <w:rFonts w:cs="Times New Roman"/>
                    </w:rPr>
                  </w:pPr>
                  <w:r w:rsidRPr="00EC0216">
                    <w:rPr>
                      <w:rFonts w:cs="Times New Roman"/>
                    </w:rPr>
                    <w:t>HLF Round One submitted</w:t>
                  </w:r>
                  <w:r w:rsidRPr="00EC0216">
                    <w:rPr>
                      <w:rFonts w:cs="Times New Roman"/>
                    </w:rPr>
                    <w:tab/>
                  </w:r>
                </w:p>
              </w:tc>
              <w:tc>
                <w:tcPr>
                  <w:tcW w:w="3827" w:type="dxa"/>
                  <w:shd w:val="clear" w:color="auto" w:fill="F2F2F2"/>
                </w:tcPr>
                <w:p w:rsidR="00B76E51" w:rsidRPr="00EC0216" w:rsidRDefault="00B76E51" w:rsidP="00B76E51">
                  <w:pPr>
                    <w:rPr>
                      <w:rFonts w:cs="Times New Roman"/>
                    </w:rPr>
                  </w:pPr>
                  <w:r w:rsidRPr="00EC0216">
                    <w:rPr>
                      <w:rFonts w:cs="Times New Roman"/>
                    </w:rPr>
                    <w:t>August 2016</w:t>
                  </w:r>
                </w:p>
              </w:tc>
            </w:tr>
            <w:tr w:rsidR="00A25270" w:rsidRPr="00EC0216" w:rsidTr="00756064">
              <w:trPr>
                <w:trHeight w:val="261"/>
              </w:trPr>
              <w:tc>
                <w:tcPr>
                  <w:tcW w:w="4957" w:type="dxa"/>
                  <w:shd w:val="clear" w:color="auto" w:fill="F2F2F2"/>
                </w:tcPr>
                <w:p w:rsidR="00A25270" w:rsidRPr="00EC0216" w:rsidRDefault="00A25270" w:rsidP="00A25270">
                  <w:pPr>
                    <w:rPr>
                      <w:rFonts w:cs="Times New Roman"/>
                    </w:rPr>
                  </w:pPr>
                  <w:r w:rsidRPr="00EC0216">
                    <w:rPr>
                      <w:rFonts w:cs="Times New Roman"/>
                    </w:rPr>
                    <w:t>HLF Committee decision</w:t>
                  </w:r>
                </w:p>
              </w:tc>
              <w:tc>
                <w:tcPr>
                  <w:tcW w:w="3827" w:type="dxa"/>
                  <w:shd w:val="clear" w:color="auto" w:fill="F2F2F2"/>
                </w:tcPr>
                <w:p w:rsidR="00A25270" w:rsidRPr="00EC0216" w:rsidRDefault="00A25270" w:rsidP="00A25270">
                  <w:pPr>
                    <w:rPr>
                      <w:rFonts w:cs="Times New Roman"/>
                    </w:rPr>
                  </w:pPr>
                  <w:r w:rsidRPr="00EC0216">
                    <w:rPr>
                      <w:rFonts w:cs="Times New Roman"/>
                    </w:rPr>
                    <w:t>December 2016</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Work commences on new offices</w:t>
                  </w:r>
                </w:p>
              </w:tc>
              <w:tc>
                <w:tcPr>
                  <w:tcW w:w="3827" w:type="dxa"/>
                  <w:shd w:val="clear" w:color="auto" w:fill="F2F2F2"/>
                </w:tcPr>
                <w:p w:rsidR="00A25270" w:rsidRPr="00EC0216" w:rsidRDefault="00A25270" w:rsidP="00A25270">
                  <w:pPr>
                    <w:rPr>
                      <w:rFonts w:cs="Times New Roman"/>
                    </w:rPr>
                  </w:pPr>
                  <w:r>
                    <w:rPr>
                      <w:rFonts w:cs="Times New Roman"/>
                    </w:rPr>
                    <w:t>March</w:t>
                  </w:r>
                  <w:r w:rsidRPr="00EC0216">
                    <w:rPr>
                      <w:rFonts w:cs="Times New Roman"/>
                    </w:rPr>
                    <w:t xml:space="preserve"> 2017</w:t>
                  </w:r>
                </w:p>
              </w:tc>
            </w:tr>
            <w:tr w:rsidR="00A25270" w:rsidRPr="00EC0216" w:rsidTr="00756064">
              <w:trPr>
                <w:trHeight w:val="261"/>
              </w:trPr>
              <w:tc>
                <w:tcPr>
                  <w:tcW w:w="4957" w:type="dxa"/>
                  <w:shd w:val="clear" w:color="auto" w:fill="F2F2F2"/>
                </w:tcPr>
                <w:p w:rsidR="00A25270" w:rsidRPr="00EC0216" w:rsidRDefault="00A25270" w:rsidP="00A25270">
                  <w:pPr>
                    <w:rPr>
                      <w:rFonts w:cs="Times New Roman"/>
                    </w:rPr>
                  </w:pPr>
                  <w:r w:rsidRPr="00EC0216">
                    <w:rPr>
                      <w:rFonts w:cs="Times New Roman"/>
                    </w:rPr>
                    <w:t>HLF Round Two</w:t>
                  </w:r>
                </w:p>
              </w:tc>
              <w:tc>
                <w:tcPr>
                  <w:tcW w:w="3827" w:type="dxa"/>
                  <w:shd w:val="clear" w:color="auto" w:fill="F2F2F2"/>
                </w:tcPr>
                <w:p w:rsidR="00A25270" w:rsidRPr="00EC0216" w:rsidRDefault="00A25270" w:rsidP="00A25270">
                  <w:pPr>
                    <w:rPr>
                      <w:rFonts w:cs="Times New Roman"/>
                    </w:rPr>
                  </w:pPr>
                  <w:r w:rsidRPr="00EC0216">
                    <w:rPr>
                      <w:rFonts w:cs="Times New Roman"/>
                    </w:rPr>
                    <w:t>January 2016 – October 2017</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 xml:space="preserve">HLF Committee decision Round Two </w:t>
                  </w:r>
                </w:p>
              </w:tc>
              <w:tc>
                <w:tcPr>
                  <w:tcW w:w="3827" w:type="dxa"/>
                  <w:shd w:val="clear" w:color="auto" w:fill="F2F2F2"/>
                </w:tcPr>
                <w:p w:rsidR="00A25270" w:rsidRPr="00EC0216" w:rsidRDefault="00A25270" w:rsidP="00A25270">
                  <w:pPr>
                    <w:rPr>
                      <w:rFonts w:cs="Times New Roman"/>
                    </w:rPr>
                  </w:pPr>
                  <w:r w:rsidRPr="00EC0216">
                    <w:rPr>
                      <w:rFonts w:cs="Times New Roman"/>
                    </w:rPr>
                    <w:t>February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 xml:space="preserve">Permission to start </w:t>
                  </w:r>
                </w:p>
              </w:tc>
              <w:tc>
                <w:tcPr>
                  <w:tcW w:w="3827" w:type="dxa"/>
                  <w:shd w:val="clear" w:color="auto" w:fill="F2F2F2"/>
                </w:tcPr>
                <w:p w:rsidR="00A25270" w:rsidRPr="00EC0216" w:rsidRDefault="00A25270" w:rsidP="00A25270">
                  <w:pPr>
                    <w:rPr>
                      <w:rFonts w:cs="Times New Roman"/>
                    </w:rPr>
                  </w:pPr>
                  <w:r w:rsidRPr="00EC0216">
                    <w:rPr>
                      <w:rFonts w:cs="Times New Roman"/>
                    </w:rPr>
                    <w:t>March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Advertising of CLV post</w:t>
                  </w:r>
                </w:p>
              </w:tc>
              <w:tc>
                <w:tcPr>
                  <w:tcW w:w="3827" w:type="dxa"/>
                  <w:shd w:val="clear" w:color="auto" w:fill="F2F2F2"/>
                </w:tcPr>
                <w:p w:rsidR="00A25270" w:rsidRPr="00EC0216" w:rsidRDefault="00A25270" w:rsidP="00A25270">
                  <w:pPr>
                    <w:rPr>
                      <w:rFonts w:cs="Times New Roman"/>
                    </w:rPr>
                  </w:pPr>
                  <w:r w:rsidRPr="00EC0216">
                    <w:rPr>
                      <w:rFonts w:cs="Times New Roman"/>
                    </w:rPr>
                    <w:t>April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Work starts on learning centre</w:t>
                  </w:r>
                  <w:r w:rsidRPr="00EC0216">
                    <w:rPr>
                      <w:rFonts w:cs="Times New Roman"/>
                    </w:rPr>
                    <w:tab/>
                  </w:r>
                </w:p>
              </w:tc>
              <w:tc>
                <w:tcPr>
                  <w:tcW w:w="3827" w:type="dxa"/>
                  <w:shd w:val="clear" w:color="auto" w:fill="F2F2F2"/>
                </w:tcPr>
                <w:p w:rsidR="00A25270" w:rsidRPr="00EC0216" w:rsidRDefault="00A25270" w:rsidP="00A25270">
                  <w:pPr>
                    <w:rPr>
                      <w:rFonts w:cs="Times New Roman"/>
                    </w:rPr>
                  </w:pPr>
                  <w:r w:rsidRPr="00EC0216">
                    <w:rPr>
                      <w:rFonts w:cs="Times New Roman"/>
                    </w:rPr>
                    <w:t>April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CLV Post Starts</w:t>
                  </w:r>
                </w:p>
              </w:tc>
              <w:tc>
                <w:tcPr>
                  <w:tcW w:w="3827" w:type="dxa"/>
                  <w:shd w:val="clear" w:color="auto" w:fill="F2F2F2"/>
                </w:tcPr>
                <w:p w:rsidR="00A25270" w:rsidRPr="00EC0216" w:rsidRDefault="00A25270" w:rsidP="00A25270">
                  <w:pPr>
                    <w:rPr>
                      <w:rFonts w:cs="Times New Roman"/>
                    </w:rPr>
                  </w:pPr>
                  <w:r w:rsidRPr="00EC0216">
                    <w:rPr>
                      <w:rFonts w:cs="Times New Roman"/>
                    </w:rPr>
                    <w:t>June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 xml:space="preserve">Volunteers recruited for initial delivery phase </w:t>
                  </w:r>
                </w:p>
              </w:tc>
              <w:tc>
                <w:tcPr>
                  <w:tcW w:w="3827" w:type="dxa"/>
                  <w:shd w:val="clear" w:color="auto" w:fill="F2F2F2"/>
                </w:tcPr>
                <w:p w:rsidR="00A25270" w:rsidRPr="00EC0216" w:rsidRDefault="00A25270" w:rsidP="00A25270">
                  <w:pPr>
                    <w:rPr>
                      <w:rFonts w:cs="Times New Roman"/>
                    </w:rPr>
                  </w:pPr>
                  <w:r w:rsidRPr="00EC0216">
                    <w:rPr>
                      <w:rFonts w:cs="Times New Roman"/>
                    </w:rPr>
                    <w:t>June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 xml:space="preserve">Volunteers recruited and trained for learning centre </w:t>
                  </w:r>
                </w:p>
              </w:tc>
              <w:tc>
                <w:tcPr>
                  <w:tcW w:w="3827" w:type="dxa"/>
                  <w:shd w:val="clear" w:color="auto" w:fill="F2F2F2"/>
                </w:tcPr>
                <w:p w:rsidR="00A25270" w:rsidRPr="00EC0216" w:rsidRDefault="00A25270" w:rsidP="00A25270">
                  <w:pPr>
                    <w:rPr>
                      <w:rFonts w:cs="Times New Roman"/>
                    </w:rPr>
                  </w:pPr>
                  <w:r w:rsidRPr="00EC0216">
                    <w:rPr>
                      <w:rFonts w:cs="Times New Roman"/>
                    </w:rPr>
                    <w:t xml:space="preserve">Sep - Oct 2018 </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External Classroom etc</w:t>
                  </w:r>
                </w:p>
              </w:tc>
              <w:tc>
                <w:tcPr>
                  <w:tcW w:w="3827" w:type="dxa"/>
                  <w:shd w:val="clear" w:color="auto" w:fill="F2F2F2"/>
                </w:tcPr>
                <w:p w:rsidR="00A25270" w:rsidRPr="00EC0216" w:rsidRDefault="00A25270" w:rsidP="00A25270">
                  <w:pPr>
                    <w:rPr>
                      <w:rFonts w:cs="Times New Roman"/>
                    </w:rPr>
                  </w:pPr>
                  <w:r w:rsidRPr="00EC0216">
                    <w:rPr>
                      <w:rFonts w:cs="Times New Roman"/>
                    </w:rPr>
                    <w:t xml:space="preserve">March 2018 – June 2018 </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M&amp;E work to Learning Centre</w:t>
                  </w:r>
                </w:p>
              </w:tc>
              <w:tc>
                <w:tcPr>
                  <w:tcW w:w="3827" w:type="dxa"/>
                  <w:shd w:val="clear" w:color="auto" w:fill="F2F2F2"/>
                </w:tcPr>
                <w:p w:rsidR="00A25270" w:rsidRPr="00EC0216" w:rsidRDefault="00A25270" w:rsidP="00A25270">
                  <w:pPr>
                    <w:rPr>
                      <w:rFonts w:cs="Times New Roman"/>
                    </w:rPr>
                  </w:pPr>
                  <w:r w:rsidRPr="00EC0216">
                    <w:rPr>
                      <w:rFonts w:cs="Times New Roman"/>
                    </w:rPr>
                    <w:t>March 2018 – June 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Fit-out with interpretation etc</w:t>
                  </w:r>
                </w:p>
              </w:tc>
              <w:tc>
                <w:tcPr>
                  <w:tcW w:w="3827" w:type="dxa"/>
                  <w:shd w:val="clear" w:color="auto" w:fill="F2F2F2"/>
                </w:tcPr>
                <w:p w:rsidR="00A25270" w:rsidRPr="00EC0216" w:rsidRDefault="00A25270" w:rsidP="00A25270">
                  <w:pPr>
                    <w:rPr>
                      <w:rFonts w:cs="Times New Roman"/>
                    </w:rPr>
                  </w:pPr>
                  <w:r>
                    <w:rPr>
                      <w:rFonts w:cs="Times New Roman"/>
                    </w:rPr>
                    <w:t>September</w:t>
                  </w:r>
                  <w:r w:rsidRPr="00EC0216">
                    <w:rPr>
                      <w:rFonts w:cs="Times New Roman"/>
                    </w:rPr>
                    <w:t xml:space="preserve"> </w:t>
                  </w:r>
                  <w:r>
                    <w:rPr>
                      <w:rFonts w:cs="Times New Roman"/>
                    </w:rPr>
                    <w:t>–</w:t>
                  </w:r>
                  <w:r w:rsidRPr="00EC0216">
                    <w:rPr>
                      <w:rFonts w:cs="Times New Roman"/>
                    </w:rPr>
                    <w:t xml:space="preserve"> </w:t>
                  </w:r>
                  <w:r>
                    <w:rPr>
                      <w:rFonts w:cs="Times New Roman"/>
                    </w:rPr>
                    <w:t xml:space="preserve">November </w:t>
                  </w:r>
                  <w:r w:rsidRPr="00EC0216">
                    <w:rPr>
                      <w:rFonts w:cs="Times New Roman"/>
                    </w:rPr>
                    <w:t>2018</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Learning Centre opens</w:t>
                  </w:r>
                </w:p>
              </w:tc>
              <w:tc>
                <w:tcPr>
                  <w:tcW w:w="3827" w:type="dxa"/>
                  <w:shd w:val="clear" w:color="auto" w:fill="F2F2F2"/>
                </w:tcPr>
                <w:p w:rsidR="00A25270" w:rsidRPr="00EC0216" w:rsidRDefault="00A25270" w:rsidP="00A25270">
                  <w:pPr>
                    <w:rPr>
                      <w:rFonts w:cs="Times New Roman"/>
                    </w:rPr>
                  </w:pPr>
                  <w:r>
                    <w:rPr>
                      <w:rFonts w:cs="Times New Roman"/>
                    </w:rPr>
                    <w:t>January</w:t>
                  </w:r>
                  <w:r w:rsidRPr="00EC0216">
                    <w:rPr>
                      <w:rFonts w:cs="Times New Roman"/>
                    </w:rPr>
                    <w:t xml:space="preserve"> 201</w:t>
                  </w:r>
                  <w:r>
                    <w:rPr>
                      <w:rFonts w:cs="Times New Roman"/>
                    </w:rPr>
                    <w:t>9</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Activities and Learning programme start</w:t>
                  </w:r>
                </w:p>
              </w:tc>
              <w:tc>
                <w:tcPr>
                  <w:tcW w:w="3827" w:type="dxa"/>
                  <w:shd w:val="clear" w:color="auto" w:fill="F2F2F2"/>
                </w:tcPr>
                <w:p w:rsidR="00A25270" w:rsidRPr="00EC0216" w:rsidRDefault="00A25270" w:rsidP="00A25270">
                  <w:pPr>
                    <w:rPr>
                      <w:rFonts w:cs="Times New Roman"/>
                    </w:rPr>
                  </w:pPr>
                  <w:r w:rsidRPr="00EC0216">
                    <w:rPr>
                      <w:rFonts w:cs="Times New Roman"/>
                    </w:rPr>
                    <w:t>January 2019</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HLF funding ends</w:t>
                  </w:r>
                </w:p>
              </w:tc>
              <w:tc>
                <w:tcPr>
                  <w:tcW w:w="3827" w:type="dxa"/>
                  <w:shd w:val="clear" w:color="auto" w:fill="F2F2F2"/>
                </w:tcPr>
                <w:p w:rsidR="00A25270" w:rsidRPr="00EC0216" w:rsidRDefault="00A25270" w:rsidP="00A25270">
                  <w:pPr>
                    <w:rPr>
                      <w:rFonts w:cs="Times New Roman"/>
                    </w:rPr>
                  </w:pPr>
                  <w:r w:rsidRPr="00EC0216">
                    <w:rPr>
                      <w:rFonts w:cs="Times New Roman"/>
                    </w:rPr>
                    <w:t>June 2022</w:t>
                  </w:r>
                </w:p>
              </w:tc>
            </w:tr>
            <w:tr w:rsidR="00A25270" w:rsidRPr="00EC0216" w:rsidTr="00756064">
              <w:trPr>
                <w:trHeight w:val="248"/>
              </w:trPr>
              <w:tc>
                <w:tcPr>
                  <w:tcW w:w="4957" w:type="dxa"/>
                  <w:shd w:val="clear" w:color="auto" w:fill="F2F2F2"/>
                </w:tcPr>
                <w:p w:rsidR="00A25270" w:rsidRPr="00EC0216" w:rsidRDefault="00A25270" w:rsidP="00A25270">
                  <w:pPr>
                    <w:rPr>
                      <w:rFonts w:cs="Times New Roman"/>
                    </w:rPr>
                  </w:pPr>
                  <w:r w:rsidRPr="00EC0216">
                    <w:rPr>
                      <w:rFonts w:cs="Times New Roman"/>
                    </w:rPr>
                    <w:t>Evaluation report</w:t>
                  </w:r>
                </w:p>
              </w:tc>
              <w:tc>
                <w:tcPr>
                  <w:tcW w:w="3827" w:type="dxa"/>
                  <w:shd w:val="clear" w:color="auto" w:fill="F2F2F2"/>
                </w:tcPr>
                <w:p w:rsidR="00A25270" w:rsidRPr="00EC0216" w:rsidRDefault="00A25270" w:rsidP="00A25270">
                  <w:pPr>
                    <w:rPr>
                      <w:rFonts w:cs="Times New Roman"/>
                    </w:rPr>
                  </w:pPr>
                  <w:r w:rsidRPr="00EC0216">
                    <w:rPr>
                      <w:rFonts w:cs="Times New Roman"/>
                    </w:rPr>
                    <w:t>Spring-Summer 2022</w:t>
                  </w:r>
                </w:p>
              </w:tc>
            </w:tr>
          </w:tbl>
          <w:p w:rsidR="00A1160F" w:rsidRDefault="00A1160F" w:rsidP="00B76E51">
            <w:pPr>
              <w:pStyle w:val="Default"/>
              <w:rPr>
                <w:rFonts w:ascii="Calibri" w:hAnsi="Calibri" w:cs="Calibri"/>
                <w:sz w:val="22"/>
                <w:szCs w:val="22"/>
              </w:rPr>
            </w:pPr>
          </w:p>
        </w:tc>
      </w:tr>
      <w:tr w:rsidR="00A1160F" w:rsidTr="00B76E51">
        <w:trPr>
          <w:gridBefore w:val="2"/>
          <w:gridAfter w:val="2"/>
          <w:wBefore w:w="318" w:type="dxa"/>
          <w:wAfter w:w="9248" w:type="dxa"/>
          <w:trHeight w:val="110"/>
        </w:trPr>
        <w:tc>
          <w:tcPr>
            <w:tcW w:w="250" w:type="dxa"/>
          </w:tcPr>
          <w:p w:rsidR="00A1160F" w:rsidRDefault="00A1160F">
            <w:pPr>
              <w:pStyle w:val="Default"/>
              <w:rPr>
                <w:rFonts w:ascii="Calibri" w:hAnsi="Calibri" w:cs="Calibri"/>
                <w:b/>
                <w:bCs/>
                <w:sz w:val="22"/>
                <w:szCs w:val="22"/>
              </w:rPr>
            </w:pPr>
          </w:p>
        </w:tc>
        <w:tc>
          <w:tcPr>
            <w:tcW w:w="851" w:type="dxa"/>
            <w:gridSpan w:val="3"/>
          </w:tcPr>
          <w:p w:rsidR="00B76E51" w:rsidRDefault="00B76E51">
            <w:pPr>
              <w:pStyle w:val="Default"/>
              <w:rPr>
                <w:rFonts w:ascii="Calibri" w:hAnsi="Calibri" w:cs="Calibri"/>
                <w:b/>
                <w:bCs/>
                <w:sz w:val="22"/>
                <w:szCs w:val="22"/>
              </w:rPr>
            </w:pPr>
          </w:p>
          <w:p w:rsidR="00A1160F" w:rsidRDefault="00B76E51">
            <w:pPr>
              <w:pStyle w:val="Default"/>
              <w:rPr>
                <w:rFonts w:ascii="Calibri" w:hAnsi="Calibri" w:cs="Calibri"/>
                <w:sz w:val="22"/>
                <w:szCs w:val="22"/>
              </w:rPr>
            </w:pPr>
            <w:r>
              <w:rPr>
                <w:rFonts w:ascii="Calibri" w:hAnsi="Calibri" w:cs="Calibri"/>
                <w:b/>
                <w:bCs/>
                <w:sz w:val="22"/>
                <w:szCs w:val="22"/>
              </w:rPr>
              <w:t>2.2</w:t>
            </w:r>
            <w:r w:rsidR="00A1160F">
              <w:rPr>
                <w:rFonts w:ascii="Calibri" w:hAnsi="Calibri" w:cs="Calibri"/>
                <w:b/>
                <w:bCs/>
                <w:sz w:val="22"/>
                <w:szCs w:val="22"/>
              </w:rPr>
              <w:t xml:space="preserve"> </w:t>
            </w:r>
          </w:p>
        </w:tc>
        <w:tc>
          <w:tcPr>
            <w:tcW w:w="8397" w:type="dxa"/>
            <w:gridSpan w:val="4"/>
          </w:tcPr>
          <w:p w:rsidR="00B76E51" w:rsidRDefault="00B76E51">
            <w:pPr>
              <w:pStyle w:val="Default"/>
              <w:rPr>
                <w:rFonts w:ascii="Calibri" w:hAnsi="Calibri" w:cs="Calibri"/>
                <w:b/>
                <w:bCs/>
                <w:sz w:val="22"/>
                <w:szCs w:val="22"/>
              </w:rPr>
            </w:pPr>
          </w:p>
          <w:p w:rsidR="00A1160F" w:rsidRDefault="00B76E51">
            <w:pPr>
              <w:pStyle w:val="Default"/>
              <w:rPr>
                <w:rFonts w:ascii="Calibri" w:hAnsi="Calibri" w:cs="Calibri"/>
                <w:sz w:val="22"/>
                <w:szCs w:val="22"/>
              </w:rPr>
            </w:pPr>
            <w:r>
              <w:rPr>
                <w:rFonts w:ascii="Calibri" w:hAnsi="Calibri" w:cs="Calibri"/>
                <w:b/>
                <w:bCs/>
                <w:sz w:val="22"/>
                <w:szCs w:val="22"/>
              </w:rPr>
              <w:t>Project Adjacencies</w:t>
            </w:r>
          </w:p>
        </w:tc>
      </w:tr>
      <w:tr w:rsidR="00A1160F" w:rsidTr="00B76E51">
        <w:trPr>
          <w:gridBefore w:val="2"/>
          <w:gridAfter w:val="2"/>
          <w:wBefore w:w="318" w:type="dxa"/>
          <w:wAfter w:w="9248" w:type="dxa"/>
          <w:trHeight w:val="647"/>
        </w:trPr>
        <w:tc>
          <w:tcPr>
            <w:tcW w:w="250" w:type="dxa"/>
          </w:tcPr>
          <w:p w:rsidR="00A1160F" w:rsidRDefault="00A1160F">
            <w:pPr>
              <w:pStyle w:val="Default"/>
              <w:rPr>
                <w:rFonts w:ascii="Calibri" w:hAnsi="Calibri" w:cs="Calibri"/>
                <w:sz w:val="22"/>
                <w:szCs w:val="22"/>
              </w:rPr>
            </w:pPr>
          </w:p>
        </w:tc>
        <w:tc>
          <w:tcPr>
            <w:tcW w:w="9248" w:type="dxa"/>
            <w:gridSpan w:val="7"/>
          </w:tcPr>
          <w:p w:rsidR="00B76E51" w:rsidRDefault="00B76E51" w:rsidP="00B57B13">
            <w:pPr>
              <w:pStyle w:val="Default"/>
              <w:rPr>
                <w:rFonts w:ascii="Calibri" w:hAnsi="Calibri" w:cs="Calibri"/>
                <w:sz w:val="22"/>
                <w:szCs w:val="22"/>
              </w:rPr>
            </w:pPr>
          </w:p>
          <w:p w:rsidR="00A1160F" w:rsidRDefault="00B76E51" w:rsidP="00B57B13">
            <w:pPr>
              <w:pStyle w:val="Default"/>
              <w:rPr>
                <w:rFonts w:ascii="Calibri" w:hAnsi="Calibri" w:cs="Calibri"/>
                <w:sz w:val="22"/>
                <w:szCs w:val="22"/>
              </w:rPr>
            </w:pPr>
            <w:r>
              <w:rPr>
                <w:rFonts w:ascii="Calibri" w:hAnsi="Calibri" w:cs="Calibri"/>
                <w:sz w:val="22"/>
                <w:szCs w:val="22"/>
              </w:rPr>
              <w:t>During the development period, business and activities are being addressed alongside the interpretation design, all in the context of community and peer consultation.</w:t>
            </w:r>
          </w:p>
          <w:p w:rsidR="00B76E51" w:rsidRDefault="00B76E51" w:rsidP="00B57B13">
            <w:pPr>
              <w:pStyle w:val="Default"/>
              <w:rPr>
                <w:rFonts w:ascii="Calibri" w:hAnsi="Calibri" w:cs="Calibri"/>
                <w:sz w:val="22"/>
                <w:szCs w:val="22"/>
              </w:rPr>
            </w:pPr>
          </w:p>
          <w:p w:rsidR="00B76E51" w:rsidRDefault="00B76E51" w:rsidP="00B57B13">
            <w:pPr>
              <w:pStyle w:val="Default"/>
              <w:rPr>
                <w:rFonts w:ascii="Calibri" w:hAnsi="Calibri" w:cs="Calibri"/>
                <w:sz w:val="22"/>
                <w:szCs w:val="22"/>
              </w:rPr>
            </w:pPr>
            <w:r>
              <w:rPr>
                <w:rFonts w:ascii="Calibri" w:hAnsi="Calibri" w:cs="Calibri"/>
                <w:sz w:val="22"/>
                <w:szCs w:val="22"/>
              </w:rPr>
              <w:t>The physical work on creating our new offices is underway and the space for the interpretation and heritage activities will come out of this (non-HLF) project.</w:t>
            </w:r>
          </w:p>
          <w:p w:rsidR="00B76E51" w:rsidRDefault="00B76E51" w:rsidP="00B57B13">
            <w:pPr>
              <w:pStyle w:val="Default"/>
              <w:rPr>
                <w:rFonts w:ascii="Calibri" w:hAnsi="Calibri" w:cs="Calibri"/>
                <w:sz w:val="22"/>
                <w:szCs w:val="22"/>
              </w:rPr>
            </w:pPr>
          </w:p>
        </w:tc>
      </w:tr>
      <w:tr w:rsidR="00B76E51" w:rsidTr="00B76E51">
        <w:trPr>
          <w:gridBefore w:val="2"/>
          <w:gridAfter w:val="2"/>
          <w:wBefore w:w="318" w:type="dxa"/>
          <w:wAfter w:w="9248" w:type="dxa"/>
        </w:trPr>
        <w:tc>
          <w:tcPr>
            <w:tcW w:w="250" w:type="dxa"/>
          </w:tcPr>
          <w:p w:rsidR="00B76E51" w:rsidRDefault="00B76E51">
            <w:pPr>
              <w:pStyle w:val="Default"/>
              <w:rPr>
                <w:rFonts w:ascii="Calibri" w:hAnsi="Calibri" w:cs="Calibri"/>
                <w:sz w:val="22"/>
                <w:szCs w:val="22"/>
              </w:rPr>
            </w:pPr>
          </w:p>
        </w:tc>
        <w:tc>
          <w:tcPr>
            <w:tcW w:w="9248" w:type="dxa"/>
            <w:gridSpan w:val="7"/>
          </w:tcPr>
          <w:p w:rsidR="00B76E51" w:rsidRPr="00B76E51" w:rsidRDefault="00B76E51" w:rsidP="00B57B13">
            <w:pPr>
              <w:pStyle w:val="Default"/>
              <w:rPr>
                <w:rFonts w:ascii="Calibri" w:hAnsi="Calibri" w:cs="Calibri"/>
                <w:b/>
                <w:sz w:val="22"/>
                <w:szCs w:val="22"/>
              </w:rPr>
            </w:pPr>
            <w:r w:rsidRPr="00B76E51">
              <w:rPr>
                <w:rFonts w:ascii="Calibri" w:hAnsi="Calibri" w:cs="Calibri"/>
                <w:b/>
                <w:sz w:val="22"/>
                <w:szCs w:val="22"/>
              </w:rPr>
              <w:t xml:space="preserve">2.3     </w:t>
            </w:r>
            <w:r>
              <w:rPr>
                <w:rFonts w:ascii="Calibri" w:hAnsi="Calibri" w:cs="Calibri"/>
                <w:b/>
                <w:sz w:val="22"/>
                <w:szCs w:val="22"/>
              </w:rPr>
              <w:t xml:space="preserve">  </w:t>
            </w:r>
            <w:r w:rsidRPr="00B76E51">
              <w:rPr>
                <w:rFonts w:ascii="Calibri" w:hAnsi="Calibri" w:cs="Calibri"/>
                <w:b/>
                <w:sz w:val="22"/>
                <w:szCs w:val="22"/>
              </w:rPr>
              <w:t xml:space="preserve">    Target Audiences</w:t>
            </w:r>
            <w:r>
              <w:rPr>
                <w:rFonts w:ascii="Calibri" w:hAnsi="Calibri" w:cs="Calibri"/>
                <w:b/>
                <w:sz w:val="22"/>
                <w:szCs w:val="22"/>
              </w:rPr>
              <w:t xml:space="preserve"> &amp; Themes</w:t>
            </w:r>
          </w:p>
        </w:tc>
      </w:tr>
      <w:tr w:rsidR="00B76E51" w:rsidTr="00B76E51">
        <w:trPr>
          <w:gridBefore w:val="2"/>
          <w:gridAfter w:val="2"/>
          <w:wBefore w:w="318" w:type="dxa"/>
          <w:wAfter w:w="9248" w:type="dxa"/>
          <w:trHeight w:val="1605"/>
        </w:trPr>
        <w:tc>
          <w:tcPr>
            <w:tcW w:w="250" w:type="dxa"/>
          </w:tcPr>
          <w:p w:rsidR="00B76E51" w:rsidRPr="00B57B13" w:rsidRDefault="00B76E51" w:rsidP="00B76E51">
            <w:pPr>
              <w:pStyle w:val="Default"/>
              <w:rPr>
                <w:rFonts w:ascii="Calibri" w:hAnsi="Calibri" w:cs="Calibri"/>
                <w:sz w:val="22"/>
                <w:szCs w:val="22"/>
              </w:rPr>
            </w:pPr>
          </w:p>
        </w:tc>
        <w:tc>
          <w:tcPr>
            <w:tcW w:w="9248" w:type="dxa"/>
            <w:gridSpan w:val="7"/>
          </w:tcPr>
          <w:p w:rsidR="00B76E51" w:rsidRDefault="00B76E51" w:rsidP="00B76E51">
            <w:pPr>
              <w:autoSpaceDE w:val="0"/>
              <w:autoSpaceDN w:val="0"/>
              <w:adjustRightInd w:val="0"/>
              <w:spacing w:after="0" w:line="240" w:lineRule="auto"/>
              <w:rPr>
                <w:rFonts w:ascii="Calibri" w:eastAsia="Calibri" w:hAnsi="Calibri" w:cs="Arial"/>
              </w:rPr>
            </w:pPr>
          </w:p>
          <w:p w:rsidR="00B76E51" w:rsidRPr="00B76E51" w:rsidRDefault="00B76E51" w:rsidP="00B76E51">
            <w:pPr>
              <w:autoSpaceDE w:val="0"/>
              <w:autoSpaceDN w:val="0"/>
              <w:adjustRightInd w:val="0"/>
              <w:spacing w:after="0" w:line="240" w:lineRule="auto"/>
              <w:rPr>
                <w:rFonts w:ascii="Calibri" w:eastAsia="Calibri" w:hAnsi="Calibri" w:cs="Arial"/>
              </w:rPr>
            </w:pPr>
            <w:r w:rsidRPr="00B76E51">
              <w:rPr>
                <w:rFonts w:ascii="Calibri" w:eastAsia="Calibri" w:hAnsi="Calibri" w:cs="Arial"/>
              </w:rPr>
              <w:t>Following from the initial consultation work at Round One, we feel comfortable with the following segments as our target audiences:</w:t>
            </w:r>
          </w:p>
          <w:p w:rsidR="00B76E51" w:rsidRPr="00B76E51" w:rsidRDefault="00B76E51" w:rsidP="00B76E51">
            <w:pPr>
              <w:autoSpaceDE w:val="0"/>
              <w:autoSpaceDN w:val="0"/>
              <w:adjustRightInd w:val="0"/>
              <w:spacing w:after="0" w:line="240" w:lineRule="auto"/>
              <w:rPr>
                <w:rFonts w:ascii="Calibri" w:eastAsia="Calibri" w:hAnsi="Calibri" w:cs="Arial"/>
              </w:rPr>
            </w:pPr>
            <w:r w:rsidRPr="00B76E51">
              <w:rPr>
                <w:rFonts w:ascii="Calibri" w:eastAsia="Calibri" w:hAnsi="Calibri" w:cs="Arial"/>
              </w:rPr>
              <w:t xml:space="preserve"> </w:t>
            </w:r>
          </w:p>
          <w:p w:rsidR="00B76E51" w:rsidRPr="00B76E51" w:rsidRDefault="00B76E51" w:rsidP="00B76E51">
            <w:pPr>
              <w:numPr>
                <w:ilvl w:val="1"/>
                <w:numId w:val="22"/>
              </w:numPr>
              <w:autoSpaceDE w:val="0"/>
              <w:autoSpaceDN w:val="0"/>
              <w:adjustRightInd w:val="0"/>
              <w:spacing w:after="0" w:line="240" w:lineRule="auto"/>
              <w:ind w:left="1080"/>
              <w:rPr>
                <w:rFonts w:ascii="Calibri" w:eastAsia="Calibri" w:hAnsi="Calibri" w:cs="Arial"/>
              </w:rPr>
            </w:pPr>
            <w:r w:rsidRPr="00B76E51">
              <w:rPr>
                <w:rFonts w:ascii="Calibri" w:eastAsia="Calibri" w:hAnsi="Calibri" w:cs="Arial"/>
              </w:rPr>
              <w:t>Organisations working with young people</w:t>
            </w:r>
          </w:p>
          <w:p w:rsidR="00B76E51" w:rsidRPr="00B76E51" w:rsidRDefault="00B76E51" w:rsidP="00B76E51">
            <w:pPr>
              <w:numPr>
                <w:ilvl w:val="1"/>
                <w:numId w:val="22"/>
              </w:numPr>
              <w:autoSpaceDE w:val="0"/>
              <w:autoSpaceDN w:val="0"/>
              <w:adjustRightInd w:val="0"/>
              <w:spacing w:after="0" w:line="240" w:lineRule="auto"/>
              <w:ind w:left="1080"/>
              <w:rPr>
                <w:rFonts w:ascii="Calibri" w:eastAsia="Calibri" w:hAnsi="Calibri" w:cs="Arial"/>
              </w:rPr>
            </w:pPr>
            <w:r w:rsidRPr="00B76E51">
              <w:rPr>
                <w:rFonts w:ascii="Calibri" w:eastAsia="Calibri" w:hAnsi="Calibri" w:cs="Arial"/>
              </w:rPr>
              <w:t>Schools</w:t>
            </w:r>
          </w:p>
          <w:p w:rsidR="00B76E51" w:rsidRPr="00B76E51" w:rsidRDefault="00B76E51" w:rsidP="00B76E51">
            <w:pPr>
              <w:numPr>
                <w:ilvl w:val="1"/>
                <w:numId w:val="22"/>
              </w:numPr>
              <w:autoSpaceDE w:val="0"/>
              <w:autoSpaceDN w:val="0"/>
              <w:adjustRightInd w:val="0"/>
              <w:spacing w:after="0" w:line="240" w:lineRule="auto"/>
              <w:ind w:left="1080"/>
              <w:rPr>
                <w:rFonts w:ascii="Calibri" w:eastAsia="Calibri" w:hAnsi="Calibri" w:cs="Arial"/>
              </w:rPr>
            </w:pPr>
            <w:r w:rsidRPr="00B76E51">
              <w:rPr>
                <w:rFonts w:ascii="Calibri" w:eastAsia="Calibri" w:hAnsi="Calibri" w:cs="Arial"/>
              </w:rPr>
              <w:t xml:space="preserve">Universities and professional organisations  </w:t>
            </w:r>
          </w:p>
          <w:p w:rsidR="00B76E51" w:rsidRPr="00B76E51" w:rsidRDefault="00B76E51" w:rsidP="00B76E51">
            <w:pPr>
              <w:numPr>
                <w:ilvl w:val="1"/>
                <w:numId w:val="22"/>
              </w:numPr>
              <w:autoSpaceDE w:val="0"/>
              <w:autoSpaceDN w:val="0"/>
              <w:adjustRightInd w:val="0"/>
              <w:spacing w:after="0" w:line="240" w:lineRule="auto"/>
              <w:ind w:left="1080"/>
              <w:rPr>
                <w:rFonts w:ascii="Calibri" w:eastAsia="Calibri" w:hAnsi="Calibri" w:cs="Arial"/>
              </w:rPr>
            </w:pPr>
            <w:r w:rsidRPr="00B76E51">
              <w:rPr>
                <w:rFonts w:ascii="Calibri" w:eastAsia="Calibri" w:hAnsi="Calibri" w:cs="Arial"/>
              </w:rPr>
              <w:t>Leisure organisations</w:t>
            </w:r>
          </w:p>
          <w:p w:rsidR="00B76E51" w:rsidRPr="00B76E51" w:rsidRDefault="00B76E51" w:rsidP="00B76E51">
            <w:pPr>
              <w:numPr>
                <w:ilvl w:val="1"/>
                <w:numId w:val="22"/>
              </w:numPr>
              <w:autoSpaceDE w:val="0"/>
              <w:autoSpaceDN w:val="0"/>
              <w:adjustRightInd w:val="0"/>
              <w:spacing w:after="0" w:line="240" w:lineRule="auto"/>
              <w:ind w:left="1080"/>
              <w:rPr>
                <w:rFonts w:ascii="Calibri" w:eastAsia="Calibri" w:hAnsi="Calibri" w:cs="Arial"/>
              </w:rPr>
            </w:pPr>
            <w:r w:rsidRPr="00B76E51">
              <w:rPr>
                <w:rFonts w:ascii="Calibri" w:eastAsia="Calibri" w:hAnsi="Calibri" w:cs="Arial"/>
              </w:rPr>
              <w:t>General public</w:t>
            </w:r>
          </w:p>
          <w:p w:rsidR="00B76E51" w:rsidRDefault="00B76E51" w:rsidP="00B76E51">
            <w:pPr>
              <w:numPr>
                <w:ilvl w:val="1"/>
                <w:numId w:val="22"/>
              </w:numPr>
              <w:autoSpaceDE w:val="0"/>
              <w:autoSpaceDN w:val="0"/>
              <w:adjustRightInd w:val="0"/>
              <w:spacing w:after="120" w:line="240" w:lineRule="auto"/>
              <w:ind w:left="1080"/>
              <w:rPr>
                <w:rFonts w:ascii="Calibri" w:eastAsia="Calibri" w:hAnsi="Calibri" w:cs="Arial"/>
              </w:rPr>
            </w:pPr>
            <w:r w:rsidRPr="00B76E51">
              <w:rPr>
                <w:rFonts w:ascii="Calibri" w:eastAsia="Calibri" w:hAnsi="Calibri" w:cs="Arial"/>
              </w:rPr>
              <w:t>Volunteers</w:t>
            </w:r>
          </w:p>
          <w:p w:rsidR="00B76E51" w:rsidRDefault="00B76E51" w:rsidP="00B76E51">
            <w:pPr>
              <w:autoSpaceDE w:val="0"/>
              <w:autoSpaceDN w:val="0"/>
              <w:adjustRightInd w:val="0"/>
              <w:spacing w:after="0" w:line="240" w:lineRule="auto"/>
              <w:rPr>
                <w:rFonts w:ascii="Calibri" w:eastAsia="Calibri" w:hAnsi="Calibri" w:cs="Arial"/>
              </w:rPr>
            </w:pPr>
            <w:r w:rsidRPr="00B76E51">
              <w:rPr>
                <w:rFonts w:ascii="Calibri" w:eastAsia="Calibri" w:hAnsi="Calibri" w:cs="Arial"/>
              </w:rPr>
              <w:t>Interpretation themes identified at Round One include:</w:t>
            </w:r>
          </w:p>
          <w:p w:rsidR="00B76E51" w:rsidRPr="00B76E51" w:rsidRDefault="00B76E51" w:rsidP="00B76E51">
            <w:pPr>
              <w:autoSpaceDE w:val="0"/>
              <w:autoSpaceDN w:val="0"/>
              <w:adjustRightInd w:val="0"/>
              <w:spacing w:after="0" w:line="240" w:lineRule="auto"/>
              <w:rPr>
                <w:rFonts w:ascii="Calibri" w:eastAsia="Calibri" w:hAnsi="Calibri" w:cs="Arial"/>
              </w:rPr>
            </w:pPr>
          </w:p>
          <w:p w:rsidR="00B76E51" w:rsidRPr="00B76E51" w:rsidRDefault="00B76E51" w:rsidP="00B76E51">
            <w:pPr>
              <w:autoSpaceDE w:val="0"/>
              <w:autoSpaceDN w:val="0"/>
              <w:adjustRightInd w:val="0"/>
              <w:spacing w:after="0" w:line="240" w:lineRule="auto"/>
              <w:ind w:left="720"/>
              <w:rPr>
                <w:rFonts w:ascii="Calibri" w:eastAsia="Calibri" w:hAnsi="Calibri" w:cs="Arial"/>
              </w:rPr>
            </w:pPr>
            <w:r w:rsidRPr="00B76E51">
              <w:rPr>
                <w:rFonts w:ascii="Calibri" w:eastAsia="Calibri" w:hAnsi="Calibri" w:cs="Arial"/>
              </w:rPr>
              <w:t>•</w:t>
            </w:r>
            <w:r w:rsidRPr="00B76E51">
              <w:rPr>
                <w:rFonts w:ascii="Calibri" w:eastAsia="Calibri" w:hAnsi="Calibri" w:cs="Arial"/>
              </w:rPr>
              <w:tab/>
              <w:t>History of crossing the Tamar, the two bridges and their engineering significance</w:t>
            </w:r>
          </w:p>
          <w:p w:rsidR="00B76E51" w:rsidRPr="00B76E51" w:rsidRDefault="00B76E51" w:rsidP="00B76E51">
            <w:pPr>
              <w:autoSpaceDE w:val="0"/>
              <w:autoSpaceDN w:val="0"/>
              <w:adjustRightInd w:val="0"/>
              <w:spacing w:after="0" w:line="240" w:lineRule="auto"/>
              <w:ind w:left="720"/>
              <w:rPr>
                <w:rFonts w:ascii="Calibri" w:eastAsia="Calibri" w:hAnsi="Calibri" w:cs="Arial"/>
              </w:rPr>
            </w:pPr>
            <w:r w:rsidRPr="00B76E51">
              <w:rPr>
                <w:rFonts w:ascii="Calibri" w:eastAsia="Calibri" w:hAnsi="Calibri" w:cs="Arial"/>
              </w:rPr>
              <w:t>•</w:t>
            </w:r>
            <w:r w:rsidRPr="00B76E51">
              <w:rPr>
                <w:rFonts w:ascii="Calibri" w:eastAsia="Calibri" w:hAnsi="Calibri" w:cs="Arial"/>
              </w:rPr>
              <w:tab/>
              <w:t>Brunel</w:t>
            </w:r>
          </w:p>
          <w:p w:rsidR="00B76E51" w:rsidRPr="00B76E51" w:rsidRDefault="00B76E51" w:rsidP="00B76E51">
            <w:pPr>
              <w:autoSpaceDE w:val="0"/>
              <w:autoSpaceDN w:val="0"/>
              <w:adjustRightInd w:val="0"/>
              <w:spacing w:after="0" w:line="240" w:lineRule="auto"/>
              <w:ind w:left="720"/>
              <w:rPr>
                <w:rFonts w:ascii="Calibri" w:eastAsia="Calibri" w:hAnsi="Calibri" w:cs="Arial"/>
              </w:rPr>
            </w:pPr>
            <w:r w:rsidRPr="00B76E51">
              <w:rPr>
                <w:rFonts w:ascii="Calibri" w:eastAsia="Calibri" w:hAnsi="Calibri" w:cs="Arial"/>
              </w:rPr>
              <w:t>•</w:t>
            </w:r>
            <w:r w:rsidRPr="00B76E51">
              <w:rPr>
                <w:rFonts w:ascii="Calibri" w:eastAsia="Calibri" w:hAnsi="Calibri" w:cs="Arial"/>
              </w:rPr>
              <w:tab/>
              <w:t xml:space="preserve">Social and economic impact of the two bridges </w:t>
            </w:r>
          </w:p>
          <w:p w:rsidR="00B76E51" w:rsidRPr="00B76E51" w:rsidRDefault="00B76E51" w:rsidP="00B76E51">
            <w:pPr>
              <w:autoSpaceDE w:val="0"/>
              <w:autoSpaceDN w:val="0"/>
              <w:adjustRightInd w:val="0"/>
              <w:spacing w:after="0" w:line="240" w:lineRule="auto"/>
              <w:ind w:left="720"/>
              <w:rPr>
                <w:rFonts w:ascii="Calibri" w:eastAsia="Calibri" w:hAnsi="Calibri" w:cs="Arial"/>
              </w:rPr>
            </w:pPr>
            <w:r w:rsidRPr="00B76E51">
              <w:rPr>
                <w:rFonts w:ascii="Calibri" w:eastAsia="Calibri" w:hAnsi="Calibri" w:cs="Arial"/>
              </w:rPr>
              <w:t>•</w:t>
            </w:r>
            <w:r w:rsidRPr="00B76E51">
              <w:rPr>
                <w:rFonts w:ascii="Calibri" w:eastAsia="Calibri" w:hAnsi="Calibri" w:cs="Arial"/>
              </w:rPr>
              <w:tab/>
              <w:t xml:space="preserve">Management and maintenance issues  </w:t>
            </w:r>
          </w:p>
          <w:p w:rsidR="00B76E51" w:rsidRDefault="00B76E51">
            <w:pPr>
              <w:pStyle w:val="Default"/>
              <w:rPr>
                <w:rFonts w:ascii="Calibri" w:hAnsi="Calibri" w:cs="Calibri"/>
                <w:sz w:val="22"/>
                <w:szCs w:val="22"/>
              </w:rPr>
            </w:pPr>
          </w:p>
        </w:tc>
      </w:tr>
      <w:tr w:rsidR="00B76E51" w:rsidRPr="00B76E51" w:rsidTr="00B76E51">
        <w:trPr>
          <w:gridBefore w:val="2"/>
          <w:gridAfter w:val="2"/>
          <w:wBefore w:w="318" w:type="dxa"/>
          <w:wAfter w:w="9248" w:type="dxa"/>
        </w:trPr>
        <w:tc>
          <w:tcPr>
            <w:tcW w:w="250" w:type="dxa"/>
          </w:tcPr>
          <w:p w:rsidR="00B76E51" w:rsidRPr="00B76E51" w:rsidRDefault="00B76E51" w:rsidP="00B76E51">
            <w:pPr>
              <w:pStyle w:val="Default"/>
              <w:rPr>
                <w:rFonts w:ascii="Calibri" w:hAnsi="Calibri" w:cs="Calibri"/>
                <w:b/>
                <w:sz w:val="22"/>
                <w:szCs w:val="22"/>
              </w:rPr>
            </w:pPr>
          </w:p>
        </w:tc>
        <w:tc>
          <w:tcPr>
            <w:tcW w:w="9248" w:type="dxa"/>
            <w:gridSpan w:val="7"/>
          </w:tcPr>
          <w:p w:rsidR="00B76E51" w:rsidRDefault="00B76E51" w:rsidP="00B76E51">
            <w:pPr>
              <w:autoSpaceDE w:val="0"/>
              <w:autoSpaceDN w:val="0"/>
              <w:adjustRightInd w:val="0"/>
              <w:spacing w:after="0" w:line="240" w:lineRule="auto"/>
              <w:rPr>
                <w:rFonts w:ascii="Calibri" w:eastAsia="Calibri" w:hAnsi="Calibri" w:cs="Arial"/>
                <w:b/>
              </w:rPr>
            </w:pPr>
            <w:r w:rsidRPr="00B76E51">
              <w:rPr>
                <w:rFonts w:ascii="Calibri" w:eastAsia="Calibri" w:hAnsi="Calibri" w:cs="Arial"/>
                <w:b/>
              </w:rPr>
              <w:t>3               INTERPRETATION PLAN CONTENT</w:t>
            </w:r>
          </w:p>
          <w:p w:rsidR="00B76E51" w:rsidRPr="00B76E51" w:rsidRDefault="00B76E51" w:rsidP="00B76E51">
            <w:pPr>
              <w:autoSpaceDE w:val="0"/>
              <w:autoSpaceDN w:val="0"/>
              <w:adjustRightInd w:val="0"/>
              <w:spacing w:after="0" w:line="240" w:lineRule="auto"/>
              <w:rPr>
                <w:rFonts w:ascii="Calibri" w:eastAsia="Calibri" w:hAnsi="Calibri" w:cs="Arial"/>
                <w:b/>
              </w:rPr>
            </w:pPr>
          </w:p>
        </w:tc>
      </w:tr>
      <w:tr w:rsidR="00B76E51" w:rsidRPr="008A15C2" w:rsidTr="00B76E51">
        <w:trPr>
          <w:gridBefore w:val="2"/>
          <w:gridAfter w:val="2"/>
          <w:wBefore w:w="318" w:type="dxa"/>
          <w:wAfter w:w="9248" w:type="dxa"/>
          <w:trHeight w:val="123"/>
        </w:trPr>
        <w:tc>
          <w:tcPr>
            <w:tcW w:w="250" w:type="dxa"/>
          </w:tcPr>
          <w:p w:rsidR="00B76E51" w:rsidRPr="008A15C2" w:rsidRDefault="00B76E51" w:rsidP="00A1160F">
            <w:pPr>
              <w:autoSpaceDE w:val="0"/>
              <w:autoSpaceDN w:val="0"/>
              <w:adjustRightInd w:val="0"/>
              <w:spacing w:after="0" w:line="240" w:lineRule="auto"/>
              <w:rPr>
                <w:rFonts w:ascii="Calibri" w:hAnsi="Calibri" w:cs="Calibri"/>
                <w:b/>
                <w:bCs/>
                <w:color w:val="000000"/>
              </w:rPr>
            </w:pPr>
          </w:p>
        </w:tc>
        <w:tc>
          <w:tcPr>
            <w:tcW w:w="851" w:type="dxa"/>
            <w:gridSpan w:val="3"/>
          </w:tcPr>
          <w:p w:rsidR="00B76E51" w:rsidRPr="008A15C2" w:rsidRDefault="00B76E51" w:rsidP="00A1160F">
            <w:pPr>
              <w:autoSpaceDE w:val="0"/>
              <w:autoSpaceDN w:val="0"/>
              <w:adjustRightInd w:val="0"/>
              <w:spacing w:after="0" w:line="240" w:lineRule="auto"/>
              <w:rPr>
                <w:rFonts w:ascii="Calibri" w:hAnsi="Calibri" w:cs="Calibri"/>
                <w:color w:val="000000"/>
              </w:rPr>
            </w:pPr>
            <w:r>
              <w:rPr>
                <w:b/>
                <w:bCs/>
              </w:rPr>
              <w:t>3.1</w:t>
            </w:r>
          </w:p>
        </w:tc>
        <w:tc>
          <w:tcPr>
            <w:tcW w:w="8397" w:type="dxa"/>
            <w:gridSpan w:val="4"/>
          </w:tcPr>
          <w:p w:rsidR="00B76E51" w:rsidRDefault="00B76E51" w:rsidP="00A1160F">
            <w:pPr>
              <w:autoSpaceDE w:val="0"/>
              <w:autoSpaceDN w:val="0"/>
              <w:adjustRightInd w:val="0"/>
              <w:spacing w:after="0" w:line="240" w:lineRule="auto"/>
              <w:rPr>
                <w:rFonts w:ascii="Calibri" w:hAnsi="Calibri" w:cs="Calibri"/>
                <w:b/>
                <w:bCs/>
                <w:color w:val="000000"/>
                <w:sz w:val="19"/>
                <w:szCs w:val="19"/>
              </w:rPr>
            </w:pPr>
            <w:r>
              <w:rPr>
                <w:rFonts w:ascii="Calibri" w:hAnsi="Calibri" w:cs="Calibri"/>
                <w:b/>
                <w:bCs/>
                <w:color w:val="000000"/>
                <w:sz w:val="23"/>
                <w:szCs w:val="23"/>
              </w:rPr>
              <w:t>INTERPRETATION REQUIREMENTS</w:t>
            </w:r>
            <w:r w:rsidRPr="008A15C2">
              <w:rPr>
                <w:rFonts w:ascii="Calibri" w:hAnsi="Calibri" w:cs="Calibri"/>
                <w:b/>
                <w:bCs/>
                <w:color w:val="000000"/>
                <w:sz w:val="19"/>
                <w:szCs w:val="19"/>
              </w:rPr>
              <w:t xml:space="preserve"> -</w:t>
            </w:r>
            <w:r>
              <w:rPr>
                <w:rFonts w:ascii="Calibri" w:hAnsi="Calibri" w:cs="Calibri"/>
                <w:b/>
                <w:bCs/>
                <w:color w:val="000000"/>
                <w:sz w:val="19"/>
                <w:szCs w:val="19"/>
              </w:rPr>
              <w:t xml:space="preserve">  What we require</w:t>
            </w:r>
          </w:p>
          <w:p w:rsidR="00B76E51" w:rsidRDefault="00B76E51" w:rsidP="00A1160F">
            <w:pPr>
              <w:autoSpaceDE w:val="0"/>
              <w:autoSpaceDN w:val="0"/>
              <w:adjustRightInd w:val="0"/>
              <w:spacing w:after="0" w:line="240" w:lineRule="auto"/>
              <w:rPr>
                <w:rFonts w:ascii="Calibri" w:hAnsi="Calibri" w:cs="Calibri"/>
                <w:color w:val="000000"/>
                <w:sz w:val="19"/>
                <w:szCs w:val="19"/>
              </w:rPr>
            </w:pPr>
          </w:p>
          <w:p w:rsidR="00B76E51" w:rsidRPr="00534996" w:rsidRDefault="00B76E51" w:rsidP="00B76E51">
            <w:pPr>
              <w:autoSpaceDE w:val="0"/>
              <w:autoSpaceDN w:val="0"/>
              <w:adjustRightInd w:val="0"/>
              <w:spacing w:after="0" w:line="240" w:lineRule="auto"/>
              <w:rPr>
                <w:rFonts w:ascii="Calibri" w:hAnsi="Calibri" w:cs="Calibri"/>
                <w:b/>
                <w:color w:val="000000"/>
              </w:rPr>
            </w:pPr>
            <w:r w:rsidRPr="00534996">
              <w:rPr>
                <w:rFonts w:ascii="Calibri" w:hAnsi="Calibri" w:cs="Calibri"/>
                <w:b/>
                <w:color w:val="000000"/>
              </w:rPr>
              <w:t>Outputs</w:t>
            </w:r>
          </w:p>
          <w:p w:rsidR="00B76E51" w:rsidRDefault="00B76E51" w:rsidP="00B76E51">
            <w:pPr>
              <w:autoSpaceDE w:val="0"/>
              <w:autoSpaceDN w:val="0"/>
              <w:adjustRightInd w:val="0"/>
              <w:spacing w:after="0" w:line="240" w:lineRule="auto"/>
              <w:rPr>
                <w:rFonts w:ascii="Calibri" w:hAnsi="Calibri" w:cs="Calibri"/>
                <w:color w:val="000000"/>
              </w:rPr>
            </w:pPr>
          </w:p>
          <w:p w:rsidR="00B76E51" w:rsidRPr="00534996" w:rsidRDefault="00B76E51" w:rsidP="00B76E51">
            <w:pPr>
              <w:autoSpaceDE w:val="0"/>
              <w:autoSpaceDN w:val="0"/>
              <w:adjustRightInd w:val="0"/>
              <w:spacing w:after="0" w:line="240" w:lineRule="auto"/>
              <w:rPr>
                <w:rFonts w:ascii="Calibri" w:hAnsi="Calibri" w:cs="Calibri"/>
                <w:color w:val="000000"/>
              </w:rPr>
            </w:pPr>
            <w:r w:rsidRPr="00534996">
              <w:rPr>
                <w:rFonts w:ascii="Calibri" w:hAnsi="Calibri" w:cs="Calibri"/>
                <w:color w:val="000000"/>
              </w:rPr>
              <w:t xml:space="preserve">This contract is for the creation of a developed and costed interpretation plan to accompany our round 2 Heritage Lottery </w:t>
            </w:r>
            <w:r>
              <w:rPr>
                <w:rFonts w:ascii="Calibri" w:hAnsi="Calibri" w:cs="Calibri"/>
                <w:color w:val="000000"/>
              </w:rPr>
              <w:t xml:space="preserve">Fund </w:t>
            </w:r>
            <w:r w:rsidRPr="00534996">
              <w:rPr>
                <w:rFonts w:ascii="Calibri" w:hAnsi="Calibri" w:cs="Calibri"/>
                <w:color w:val="000000"/>
              </w:rPr>
              <w:t>application;</w:t>
            </w:r>
          </w:p>
          <w:p w:rsidR="00B76E51" w:rsidRPr="00534996" w:rsidRDefault="00B76E51" w:rsidP="00B76E51">
            <w:pPr>
              <w:autoSpaceDE w:val="0"/>
              <w:autoSpaceDN w:val="0"/>
              <w:adjustRightInd w:val="0"/>
              <w:spacing w:after="0" w:line="240" w:lineRule="auto"/>
              <w:rPr>
                <w:rFonts w:ascii="Calibri" w:hAnsi="Calibri" w:cs="Calibri"/>
                <w:color w:val="000000"/>
              </w:rPr>
            </w:pPr>
          </w:p>
          <w:p w:rsidR="00B76E51" w:rsidRPr="00534996" w:rsidRDefault="00B76E51" w:rsidP="00B76E51">
            <w:pPr>
              <w:autoSpaceDE w:val="0"/>
              <w:autoSpaceDN w:val="0"/>
              <w:adjustRightInd w:val="0"/>
              <w:spacing w:after="0" w:line="240" w:lineRule="auto"/>
              <w:rPr>
                <w:rFonts w:ascii="Calibri" w:hAnsi="Calibri" w:cs="Calibri"/>
                <w:color w:val="000000"/>
              </w:rPr>
            </w:pPr>
            <w:r w:rsidRPr="00534996">
              <w:rPr>
                <w:rFonts w:ascii="Calibri" w:hAnsi="Calibri" w:cs="Calibri"/>
                <w:color w:val="000000"/>
              </w:rPr>
              <w:t>A break clause between round 2 submission and permission to start our project delivery;</w:t>
            </w:r>
          </w:p>
          <w:p w:rsidR="00B76E51" w:rsidRPr="00534996" w:rsidRDefault="00B76E51" w:rsidP="00B76E51">
            <w:pPr>
              <w:autoSpaceDE w:val="0"/>
              <w:autoSpaceDN w:val="0"/>
              <w:adjustRightInd w:val="0"/>
              <w:spacing w:after="0" w:line="240" w:lineRule="auto"/>
              <w:rPr>
                <w:rFonts w:ascii="Calibri" w:hAnsi="Calibri" w:cs="Calibri"/>
                <w:color w:val="000000"/>
              </w:rPr>
            </w:pPr>
          </w:p>
          <w:p w:rsidR="00B76E51" w:rsidRPr="00534996" w:rsidRDefault="00B76E51" w:rsidP="00B76E51">
            <w:pPr>
              <w:autoSpaceDE w:val="0"/>
              <w:autoSpaceDN w:val="0"/>
              <w:adjustRightInd w:val="0"/>
              <w:spacing w:after="0" w:line="240" w:lineRule="auto"/>
              <w:rPr>
                <w:rFonts w:ascii="Calibri" w:hAnsi="Calibri" w:cs="Calibri"/>
                <w:color w:val="000000"/>
              </w:rPr>
            </w:pPr>
            <w:r w:rsidRPr="00534996">
              <w:rPr>
                <w:rFonts w:ascii="Calibri" w:hAnsi="Calibri" w:cs="Calibri"/>
                <w:color w:val="000000"/>
              </w:rPr>
              <w:t>The delivery of the interpretation plan including the co-creation and methods of working as stated in the round 2 plan.</w:t>
            </w:r>
          </w:p>
          <w:p w:rsidR="00B76E51" w:rsidRPr="008A15C2" w:rsidRDefault="00B76E51" w:rsidP="00A1160F">
            <w:pPr>
              <w:autoSpaceDE w:val="0"/>
              <w:autoSpaceDN w:val="0"/>
              <w:adjustRightInd w:val="0"/>
              <w:spacing w:after="0" w:line="240" w:lineRule="auto"/>
              <w:rPr>
                <w:rFonts w:ascii="Calibri" w:hAnsi="Calibri" w:cs="Calibri"/>
                <w:color w:val="000000"/>
                <w:sz w:val="19"/>
                <w:szCs w:val="19"/>
              </w:rPr>
            </w:pPr>
          </w:p>
        </w:tc>
      </w:tr>
      <w:tr w:rsidR="00B76E51" w:rsidRPr="008A15C2" w:rsidTr="00B76E51">
        <w:trPr>
          <w:gridBefore w:val="2"/>
          <w:gridAfter w:val="2"/>
          <w:wBefore w:w="318" w:type="dxa"/>
          <w:wAfter w:w="9248" w:type="dxa"/>
          <w:trHeight w:val="512"/>
        </w:trPr>
        <w:tc>
          <w:tcPr>
            <w:tcW w:w="250" w:type="dxa"/>
          </w:tcPr>
          <w:p w:rsidR="00B76E51" w:rsidRDefault="00B76E51" w:rsidP="00A1160F">
            <w:pPr>
              <w:spacing w:line="240" w:lineRule="auto"/>
              <w:rPr>
                <w:b/>
                <w:bCs/>
              </w:rPr>
            </w:pPr>
          </w:p>
        </w:tc>
        <w:tc>
          <w:tcPr>
            <w:tcW w:w="851" w:type="dxa"/>
            <w:gridSpan w:val="3"/>
          </w:tcPr>
          <w:p w:rsidR="00B76E51" w:rsidRPr="008A15C2" w:rsidRDefault="00B76E51" w:rsidP="00A1160F">
            <w:pPr>
              <w:spacing w:line="240" w:lineRule="auto"/>
            </w:pPr>
            <w:r>
              <w:rPr>
                <w:b/>
                <w:bCs/>
              </w:rPr>
              <w:t>3.2</w:t>
            </w:r>
          </w:p>
        </w:tc>
        <w:tc>
          <w:tcPr>
            <w:tcW w:w="8397" w:type="dxa"/>
            <w:gridSpan w:val="4"/>
          </w:tcPr>
          <w:p w:rsidR="00B76E51" w:rsidRPr="008A15C2" w:rsidRDefault="00B76E51" w:rsidP="00A1160F">
            <w:pPr>
              <w:spacing w:line="240" w:lineRule="auto"/>
            </w:pPr>
            <w:r w:rsidRPr="008A15C2">
              <w:rPr>
                <w:b/>
                <w:bCs/>
              </w:rPr>
              <w:t>Detailed requirements</w:t>
            </w:r>
            <w:r>
              <w:rPr>
                <w:b/>
                <w:bCs/>
              </w:rPr>
              <w:t xml:space="preserve"> for Development phase</w:t>
            </w:r>
            <w:r w:rsidRPr="008A15C2">
              <w:rPr>
                <w:b/>
                <w:bCs/>
              </w:rPr>
              <w:t xml:space="preserve"> </w:t>
            </w:r>
            <w:r>
              <w:rPr>
                <w:b/>
                <w:bCs/>
              </w:rPr>
              <w:t>– March – August 2017</w:t>
            </w:r>
          </w:p>
          <w:p w:rsidR="00B76E51" w:rsidRDefault="00B76E51" w:rsidP="00A1160F">
            <w:pPr>
              <w:spacing w:line="240" w:lineRule="auto"/>
            </w:pPr>
            <w:r w:rsidRPr="008A15C2">
              <w:t xml:space="preserve">The Consultant will produce an </w:t>
            </w:r>
            <w:r>
              <w:t>Interpretation Plan following HLF guidance and to enhance our HLF project;</w:t>
            </w:r>
          </w:p>
          <w:p w:rsidR="00B76E51" w:rsidRDefault="00B76E51" w:rsidP="00A1160F">
            <w:pPr>
              <w:spacing w:line="240" w:lineRule="auto"/>
            </w:pPr>
            <w:r>
              <w:t>The plan will be able to demonstrate that:</w:t>
            </w:r>
          </w:p>
          <w:p w:rsidR="00B76E51" w:rsidRDefault="00B76E51" w:rsidP="00A1160F">
            <w:pPr>
              <w:pStyle w:val="ListParagraph"/>
              <w:numPr>
                <w:ilvl w:val="0"/>
                <w:numId w:val="16"/>
              </w:numPr>
              <w:spacing w:line="240" w:lineRule="auto"/>
            </w:pPr>
            <w:r>
              <w:t>The themes and topics have come up through the consultation process (currently underway through the activity planning consultants);</w:t>
            </w:r>
          </w:p>
          <w:p w:rsidR="00B76E51" w:rsidRDefault="00B76E51" w:rsidP="00A1160F">
            <w:pPr>
              <w:pStyle w:val="ListParagraph"/>
              <w:numPr>
                <w:ilvl w:val="0"/>
                <w:numId w:val="16"/>
              </w:numPr>
              <w:spacing w:line="240" w:lineRule="auto"/>
            </w:pPr>
            <w:r>
              <w:t>The themes, topics resonate with the target audiences;</w:t>
            </w:r>
          </w:p>
          <w:p w:rsidR="00B76E51" w:rsidRDefault="00B76E51" w:rsidP="00A1160F">
            <w:pPr>
              <w:pStyle w:val="ListParagraph"/>
              <w:numPr>
                <w:ilvl w:val="0"/>
                <w:numId w:val="16"/>
              </w:numPr>
              <w:spacing w:line="240" w:lineRule="auto"/>
            </w:pPr>
            <w:r>
              <w:t>Design meets with the learning preferences of our target audiences;</w:t>
            </w:r>
          </w:p>
          <w:p w:rsidR="00B76E51" w:rsidRDefault="00B76E51" w:rsidP="00A1160F">
            <w:pPr>
              <w:pStyle w:val="ListParagraph"/>
              <w:numPr>
                <w:ilvl w:val="0"/>
                <w:numId w:val="16"/>
              </w:numPr>
              <w:spacing w:line="240" w:lineRule="auto"/>
            </w:pPr>
            <w:r>
              <w:t>Draft proposals have been tested at mid-point and by consultees and that feedback has been incorporated;</w:t>
            </w:r>
          </w:p>
          <w:p w:rsidR="00B76E51" w:rsidRDefault="00B76E51" w:rsidP="00A1160F">
            <w:pPr>
              <w:pStyle w:val="ListParagraph"/>
              <w:numPr>
                <w:ilvl w:val="0"/>
                <w:numId w:val="16"/>
              </w:numPr>
              <w:spacing w:line="240" w:lineRule="auto"/>
            </w:pPr>
            <w:r>
              <w:t>Proposals are in line with relevant delivery partners;</w:t>
            </w:r>
          </w:p>
          <w:p w:rsidR="00B76E51" w:rsidRDefault="00B76E51" w:rsidP="00A1160F">
            <w:pPr>
              <w:pStyle w:val="ListParagraph"/>
              <w:numPr>
                <w:ilvl w:val="0"/>
                <w:numId w:val="16"/>
              </w:numPr>
              <w:spacing w:line="240" w:lineRule="auto"/>
            </w:pPr>
            <w:r>
              <w:t>The proposals have been costed and are affordable within the capital project budgets and within the trust’s resources and sustainable maintenance planning;</w:t>
            </w:r>
          </w:p>
          <w:p w:rsidR="00B76E51" w:rsidRPr="008A15C2" w:rsidRDefault="00B76E51" w:rsidP="00A1160F">
            <w:pPr>
              <w:pStyle w:val="ListParagraph"/>
              <w:numPr>
                <w:ilvl w:val="0"/>
                <w:numId w:val="16"/>
              </w:numPr>
              <w:spacing w:line="240" w:lineRule="auto"/>
            </w:pPr>
            <w:r>
              <w:t xml:space="preserve">The proposals are in line with the business and activity and planning to contribute </w:t>
            </w:r>
            <w:r>
              <w:lastRenderedPageBreak/>
              <w:t>to a joined-up project;</w:t>
            </w:r>
          </w:p>
        </w:tc>
      </w:tr>
      <w:tr w:rsidR="00B76E51" w:rsidRPr="008A15C2" w:rsidTr="00B76E51">
        <w:trPr>
          <w:gridBefore w:val="2"/>
          <w:gridAfter w:val="2"/>
          <w:wBefore w:w="318" w:type="dxa"/>
          <w:wAfter w:w="9248" w:type="dxa"/>
        </w:trPr>
        <w:tc>
          <w:tcPr>
            <w:tcW w:w="250" w:type="dxa"/>
          </w:tcPr>
          <w:p w:rsidR="00B76E51" w:rsidRDefault="00B76E51" w:rsidP="00A1160F">
            <w:pPr>
              <w:spacing w:line="240" w:lineRule="auto"/>
              <w:rPr>
                <w:b/>
                <w:bCs/>
              </w:rPr>
            </w:pPr>
          </w:p>
        </w:tc>
        <w:tc>
          <w:tcPr>
            <w:tcW w:w="851" w:type="dxa"/>
            <w:gridSpan w:val="3"/>
          </w:tcPr>
          <w:p w:rsidR="00B76E51" w:rsidRPr="008A15C2" w:rsidRDefault="00B76E51" w:rsidP="00A1160F">
            <w:pPr>
              <w:spacing w:line="240" w:lineRule="auto"/>
              <w:rPr>
                <w:b/>
                <w:bCs/>
              </w:rPr>
            </w:pPr>
            <w:r>
              <w:rPr>
                <w:b/>
                <w:bCs/>
              </w:rPr>
              <w:t>3.3</w:t>
            </w:r>
          </w:p>
        </w:tc>
        <w:tc>
          <w:tcPr>
            <w:tcW w:w="8397" w:type="dxa"/>
            <w:gridSpan w:val="4"/>
          </w:tcPr>
          <w:p w:rsidR="00B76E51" w:rsidRDefault="00B76E51" w:rsidP="00A1160F">
            <w:pPr>
              <w:spacing w:line="240" w:lineRule="auto"/>
              <w:rPr>
                <w:b/>
                <w:bCs/>
              </w:rPr>
            </w:pPr>
            <w:r>
              <w:rPr>
                <w:b/>
                <w:bCs/>
              </w:rPr>
              <w:t>Outline proposals for Delivery phase – March 2018 – September 2020</w:t>
            </w:r>
          </w:p>
          <w:p w:rsidR="00B76E51" w:rsidRDefault="00B76E51" w:rsidP="00A1160F">
            <w:pPr>
              <w:pStyle w:val="ListParagraph"/>
              <w:numPr>
                <w:ilvl w:val="0"/>
                <w:numId w:val="19"/>
              </w:numPr>
              <w:spacing w:line="240" w:lineRule="auto"/>
              <w:rPr>
                <w:bCs/>
              </w:rPr>
            </w:pPr>
            <w:r w:rsidRPr="00837D37">
              <w:rPr>
                <w:bCs/>
              </w:rPr>
              <w:t>Delivery of round 2 interpretation plan</w:t>
            </w:r>
            <w:r>
              <w:rPr>
                <w:bCs/>
              </w:rPr>
              <w:t xml:space="preserve"> according to the proposed methodologies, budgets and delivery programme;</w:t>
            </w:r>
          </w:p>
          <w:p w:rsidR="00B76E51" w:rsidRDefault="00B76E51" w:rsidP="00A1160F">
            <w:pPr>
              <w:pStyle w:val="ListParagraph"/>
              <w:numPr>
                <w:ilvl w:val="0"/>
                <w:numId w:val="19"/>
              </w:numPr>
              <w:spacing w:line="240" w:lineRule="auto"/>
              <w:rPr>
                <w:bCs/>
              </w:rPr>
            </w:pPr>
            <w:r>
              <w:rPr>
                <w:bCs/>
              </w:rPr>
              <w:t>Liaison with refit design team to ensure interpretation materials are aligned to proposed stowage and display space;</w:t>
            </w:r>
          </w:p>
          <w:p w:rsidR="00B76E51" w:rsidRPr="00A1160F" w:rsidRDefault="00B76E51" w:rsidP="00A1160F">
            <w:pPr>
              <w:pStyle w:val="ListParagraph"/>
              <w:numPr>
                <w:ilvl w:val="0"/>
                <w:numId w:val="19"/>
              </w:numPr>
              <w:spacing w:line="240" w:lineRule="auto"/>
              <w:rPr>
                <w:bCs/>
              </w:rPr>
            </w:pPr>
            <w:r>
              <w:rPr>
                <w:bCs/>
              </w:rPr>
              <w:t>Participation in the evaluation process;</w:t>
            </w:r>
          </w:p>
        </w:tc>
      </w:tr>
      <w:tr w:rsidR="00B76E51" w:rsidRPr="008A15C2" w:rsidTr="00B76E51">
        <w:trPr>
          <w:gridBefore w:val="2"/>
          <w:gridAfter w:val="2"/>
          <w:wBefore w:w="318" w:type="dxa"/>
          <w:wAfter w:w="9248" w:type="dxa"/>
        </w:trPr>
        <w:tc>
          <w:tcPr>
            <w:tcW w:w="250" w:type="dxa"/>
          </w:tcPr>
          <w:p w:rsidR="00B76E51" w:rsidRDefault="00B76E51" w:rsidP="00A1160F">
            <w:pPr>
              <w:spacing w:line="240" w:lineRule="auto"/>
              <w:rPr>
                <w:b/>
                <w:bCs/>
              </w:rPr>
            </w:pPr>
          </w:p>
        </w:tc>
        <w:tc>
          <w:tcPr>
            <w:tcW w:w="851" w:type="dxa"/>
            <w:gridSpan w:val="3"/>
          </w:tcPr>
          <w:p w:rsidR="00B76E51" w:rsidRDefault="00B76E51" w:rsidP="00A1160F">
            <w:pPr>
              <w:spacing w:line="240" w:lineRule="auto"/>
              <w:rPr>
                <w:b/>
                <w:bCs/>
              </w:rPr>
            </w:pPr>
            <w:r>
              <w:rPr>
                <w:b/>
                <w:bCs/>
              </w:rPr>
              <w:t>4</w:t>
            </w:r>
          </w:p>
        </w:tc>
        <w:tc>
          <w:tcPr>
            <w:tcW w:w="8397" w:type="dxa"/>
            <w:gridSpan w:val="4"/>
          </w:tcPr>
          <w:p w:rsidR="00B76E51" w:rsidRDefault="00B76E51" w:rsidP="00A1160F">
            <w:pPr>
              <w:spacing w:line="240" w:lineRule="auto"/>
              <w:rPr>
                <w:b/>
                <w:bCs/>
              </w:rPr>
            </w:pPr>
            <w:r>
              <w:rPr>
                <w:b/>
                <w:bCs/>
              </w:rPr>
              <w:t>The current Interpretation budgets are:</w:t>
            </w:r>
          </w:p>
        </w:tc>
      </w:tr>
      <w:tr w:rsidR="00A9391B" w:rsidRPr="008A15C2" w:rsidTr="00A9391B">
        <w:trPr>
          <w:gridBefore w:val="2"/>
          <w:wBefore w:w="318" w:type="dxa"/>
        </w:trPr>
        <w:tc>
          <w:tcPr>
            <w:tcW w:w="250" w:type="dxa"/>
          </w:tcPr>
          <w:p w:rsidR="00A9391B" w:rsidRDefault="00A9391B" w:rsidP="00B76E51">
            <w:pPr>
              <w:spacing w:line="240" w:lineRule="auto"/>
              <w:rPr>
                <w:b/>
                <w:bCs/>
              </w:rPr>
            </w:pPr>
          </w:p>
        </w:tc>
        <w:tc>
          <w:tcPr>
            <w:tcW w:w="2936" w:type="dxa"/>
            <w:gridSpan w:val="5"/>
          </w:tcPr>
          <w:p w:rsidR="00A9391B" w:rsidRPr="00B76E51" w:rsidRDefault="00A9391B" w:rsidP="00B76E51">
            <w:pPr>
              <w:spacing w:after="0" w:line="240" w:lineRule="auto"/>
              <w:rPr>
                <w:bCs/>
              </w:rPr>
            </w:pPr>
            <w:r>
              <w:rPr>
                <w:bCs/>
              </w:rPr>
              <w:t>Development Phase fee</w:t>
            </w:r>
          </w:p>
        </w:tc>
        <w:tc>
          <w:tcPr>
            <w:tcW w:w="15560" w:type="dxa"/>
            <w:gridSpan w:val="4"/>
          </w:tcPr>
          <w:p w:rsidR="00A9391B" w:rsidRDefault="00A9391B" w:rsidP="00B76E51">
            <w:pPr>
              <w:spacing w:after="0" w:line="240" w:lineRule="auto"/>
              <w:rPr>
                <w:bCs/>
              </w:rPr>
            </w:pPr>
            <w:r>
              <w:rPr>
                <w:bCs/>
              </w:rPr>
              <w:t>10,000</w:t>
            </w:r>
          </w:p>
        </w:tc>
      </w:tr>
      <w:tr w:rsidR="00B76E51" w:rsidRPr="008A15C2" w:rsidTr="00B76E51">
        <w:trPr>
          <w:gridBefore w:val="2"/>
          <w:wBefore w:w="318" w:type="dxa"/>
        </w:trPr>
        <w:tc>
          <w:tcPr>
            <w:tcW w:w="250" w:type="dxa"/>
          </w:tcPr>
          <w:p w:rsidR="00B76E51" w:rsidRDefault="00B76E51" w:rsidP="00B76E51">
            <w:pPr>
              <w:spacing w:line="240" w:lineRule="auto"/>
              <w:rPr>
                <w:b/>
                <w:bCs/>
              </w:rPr>
            </w:pPr>
          </w:p>
        </w:tc>
        <w:tc>
          <w:tcPr>
            <w:tcW w:w="2228" w:type="dxa"/>
            <w:gridSpan w:val="4"/>
          </w:tcPr>
          <w:p w:rsidR="00B76E51" w:rsidRDefault="00B76E51" w:rsidP="00B76E51">
            <w:pPr>
              <w:spacing w:after="0" w:line="240" w:lineRule="auto"/>
              <w:rPr>
                <w:bCs/>
              </w:rPr>
            </w:pPr>
            <w:r w:rsidRPr="00B76E51">
              <w:rPr>
                <w:bCs/>
              </w:rPr>
              <w:t>External</w:t>
            </w:r>
          </w:p>
          <w:p w:rsidR="00B76E51" w:rsidRDefault="00B76E51" w:rsidP="00B76E51">
            <w:pPr>
              <w:spacing w:after="0" w:line="240" w:lineRule="auto"/>
              <w:rPr>
                <w:bCs/>
              </w:rPr>
            </w:pPr>
            <w:r w:rsidRPr="00B76E51">
              <w:rPr>
                <w:bCs/>
              </w:rPr>
              <w:t xml:space="preserve">Signage on site </w:t>
            </w:r>
            <w:r>
              <w:rPr>
                <w:bCs/>
              </w:rPr>
              <w:t>Children's Trail</w:t>
            </w:r>
          </w:p>
          <w:p w:rsidR="00B76E51" w:rsidRDefault="00B76E51" w:rsidP="00B76E51">
            <w:pPr>
              <w:spacing w:after="0" w:line="240" w:lineRule="auto"/>
              <w:rPr>
                <w:bCs/>
              </w:rPr>
            </w:pPr>
            <w:r w:rsidRPr="00B76E51">
              <w:rPr>
                <w:bCs/>
              </w:rPr>
              <w:t>Adult Trail</w:t>
            </w:r>
          </w:p>
          <w:p w:rsidR="00B76E51" w:rsidRDefault="00B76E51" w:rsidP="00B76E51">
            <w:pPr>
              <w:spacing w:after="0" w:line="240" w:lineRule="auto"/>
              <w:rPr>
                <w:bCs/>
              </w:rPr>
            </w:pPr>
            <w:r w:rsidRPr="00B76E51">
              <w:rPr>
                <w:bCs/>
              </w:rPr>
              <w:t xml:space="preserve">Permanent displays Website/apps Temporary displays Projector/screen Guidebook </w:t>
            </w:r>
          </w:p>
          <w:p w:rsidR="00B76E51" w:rsidRDefault="00B76E51" w:rsidP="00B76E51">
            <w:pPr>
              <w:spacing w:after="0" w:line="240" w:lineRule="auto"/>
              <w:rPr>
                <w:bCs/>
              </w:rPr>
            </w:pPr>
            <w:r w:rsidRPr="00B76E51">
              <w:rPr>
                <w:bCs/>
              </w:rPr>
              <w:t xml:space="preserve">Chairs, tables Refreshment/retail set up </w:t>
            </w:r>
          </w:p>
          <w:p w:rsidR="00B76E51" w:rsidRDefault="00B76E51" w:rsidP="00B76E51">
            <w:pPr>
              <w:spacing w:after="0" w:line="240" w:lineRule="auto"/>
              <w:rPr>
                <w:bCs/>
              </w:rPr>
            </w:pPr>
            <w:r w:rsidRPr="00B76E51">
              <w:rPr>
                <w:bCs/>
              </w:rPr>
              <w:t xml:space="preserve">Consultant's fee </w:t>
            </w:r>
          </w:p>
          <w:p w:rsidR="00B76E51" w:rsidRPr="008A15C2" w:rsidRDefault="00B76E51" w:rsidP="00B76E51">
            <w:pPr>
              <w:spacing w:line="240" w:lineRule="auto"/>
            </w:pPr>
            <w:r w:rsidRPr="00B76E51">
              <w:rPr>
                <w:bCs/>
              </w:rPr>
              <w:t>Total</w:t>
            </w:r>
          </w:p>
          <w:p w:rsidR="00B76E51" w:rsidRPr="00B76E51" w:rsidRDefault="00B76E51" w:rsidP="00B76E51">
            <w:pPr>
              <w:spacing w:after="0" w:line="240" w:lineRule="auto"/>
              <w:rPr>
                <w:bCs/>
              </w:rPr>
            </w:pPr>
          </w:p>
        </w:tc>
        <w:tc>
          <w:tcPr>
            <w:tcW w:w="16268" w:type="dxa"/>
            <w:gridSpan w:val="5"/>
          </w:tcPr>
          <w:p w:rsidR="00B76E51" w:rsidRPr="00B76E51" w:rsidRDefault="00B76E51" w:rsidP="00B76E51">
            <w:pPr>
              <w:spacing w:after="0" w:line="240" w:lineRule="auto"/>
              <w:rPr>
                <w:bCs/>
              </w:rPr>
            </w:pPr>
            <w:r>
              <w:rPr>
                <w:bCs/>
              </w:rPr>
              <w:tab/>
            </w:r>
            <w:r w:rsidRPr="00B76E51">
              <w:rPr>
                <w:bCs/>
              </w:rPr>
              <w:t>15,000</w:t>
            </w:r>
          </w:p>
          <w:p w:rsidR="00B76E51" w:rsidRPr="00B76E51" w:rsidRDefault="00B76E51" w:rsidP="00B76E51">
            <w:pPr>
              <w:spacing w:after="0" w:line="240" w:lineRule="auto"/>
              <w:rPr>
                <w:bCs/>
              </w:rPr>
            </w:pPr>
            <w:r w:rsidRPr="00B76E51">
              <w:rPr>
                <w:bCs/>
              </w:rPr>
              <w:tab/>
              <w:t>10,000</w:t>
            </w:r>
          </w:p>
          <w:p w:rsidR="00B76E51" w:rsidRPr="00B76E51" w:rsidRDefault="00B76E51" w:rsidP="00B76E51">
            <w:pPr>
              <w:spacing w:after="0" w:line="240" w:lineRule="auto"/>
              <w:rPr>
                <w:bCs/>
              </w:rPr>
            </w:pPr>
            <w:r w:rsidRPr="00B76E51">
              <w:rPr>
                <w:bCs/>
              </w:rPr>
              <w:tab/>
              <w:t>2,500</w:t>
            </w:r>
          </w:p>
          <w:p w:rsidR="00B76E51" w:rsidRPr="00B76E51" w:rsidRDefault="00B76E51" w:rsidP="00B76E51">
            <w:pPr>
              <w:spacing w:after="0" w:line="240" w:lineRule="auto"/>
              <w:rPr>
                <w:bCs/>
              </w:rPr>
            </w:pPr>
            <w:r w:rsidRPr="00B76E51">
              <w:rPr>
                <w:bCs/>
              </w:rPr>
              <w:tab/>
              <w:t>2,500</w:t>
            </w:r>
          </w:p>
          <w:p w:rsidR="00B76E51" w:rsidRPr="00B76E51" w:rsidRDefault="00B76E51" w:rsidP="00B76E51">
            <w:pPr>
              <w:spacing w:after="0" w:line="240" w:lineRule="auto"/>
              <w:rPr>
                <w:bCs/>
              </w:rPr>
            </w:pPr>
            <w:r w:rsidRPr="00B76E51">
              <w:rPr>
                <w:bCs/>
              </w:rPr>
              <w:tab/>
              <w:t>85,000</w:t>
            </w:r>
          </w:p>
          <w:p w:rsidR="00B76E51" w:rsidRPr="00B76E51" w:rsidRDefault="00B76E51" w:rsidP="00B76E51">
            <w:pPr>
              <w:spacing w:after="0" w:line="240" w:lineRule="auto"/>
              <w:rPr>
                <w:bCs/>
              </w:rPr>
            </w:pPr>
            <w:r w:rsidRPr="00B76E51">
              <w:rPr>
                <w:bCs/>
              </w:rPr>
              <w:tab/>
              <w:t>5,000</w:t>
            </w:r>
          </w:p>
          <w:p w:rsidR="00B76E51" w:rsidRPr="00B76E51" w:rsidRDefault="00B76E51" w:rsidP="00B76E51">
            <w:pPr>
              <w:spacing w:after="0" w:line="240" w:lineRule="auto"/>
              <w:rPr>
                <w:bCs/>
              </w:rPr>
            </w:pPr>
            <w:r w:rsidRPr="00B76E51">
              <w:rPr>
                <w:bCs/>
              </w:rPr>
              <w:tab/>
              <w:t>2,000</w:t>
            </w:r>
          </w:p>
          <w:p w:rsidR="00B76E51" w:rsidRPr="00B76E51" w:rsidRDefault="00B76E51" w:rsidP="00B76E51">
            <w:pPr>
              <w:spacing w:after="0" w:line="240" w:lineRule="auto"/>
              <w:rPr>
                <w:bCs/>
              </w:rPr>
            </w:pPr>
            <w:r w:rsidRPr="00B76E51">
              <w:rPr>
                <w:bCs/>
              </w:rPr>
              <w:tab/>
              <w:t>1,000</w:t>
            </w:r>
          </w:p>
          <w:p w:rsidR="00B76E51" w:rsidRPr="00B76E51" w:rsidRDefault="00B76E51" w:rsidP="00B76E51">
            <w:pPr>
              <w:spacing w:after="0" w:line="240" w:lineRule="auto"/>
              <w:rPr>
                <w:bCs/>
              </w:rPr>
            </w:pPr>
            <w:r w:rsidRPr="00B76E51">
              <w:rPr>
                <w:bCs/>
              </w:rPr>
              <w:tab/>
              <w:t>6,000</w:t>
            </w:r>
          </w:p>
          <w:p w:rsidR="00B76E51" w:rsidRPr="00B76E51" w:rsidRDefault="00B76E51" w:rsidP="00B76E51">
            <w:pPr>
              <w:spacing w:after="0" w:line="240" w:lineRule="auto"/>
              <w:rPr>
                <w:bCs/>
              </w:rPr>
            </w:pPr>
            <w:r w:rsidRPr="00B76E51">
              <w:rPr>
                <w:bCs/>
              </w:rPr>
              <w:tab/>
              <w:t>1,000</w:t>
            </w:r>
          </w:p>
          <w:p w:rsidR="00B76E51" w:rsidRDefault="00B76E51" w:rsidP="00B76E51">
            <w:pPr>
              <w:spacing w:after="0" w:line="240" w:lineRule="auto"/>
              <w:rPr>
                <w:bCs/>
              </w:rPr>
            </w:pPr>
            <w:r w:rsidRPr="00B76E51">
              <w:rPr>
                <w:bCs/>
              </w:rPr>
              <w:tab/>
              <w:t>3,000</w:t>
            </w:r>
          </w:p>
          <w:p w:rsidR="00B76E51" w:rsidRDefault="00B76E51" w:rsidP="00B76E51">
            <w:pPr>
              <w:spacing w:after="0" w:line="240" w:lineRule="auto"/>
              <w:rPr>
                <w:bCs/>
              </w:rPr>
            </w:pPr>
          </w:p>
          <w:p w:rsidR="00B76E51" w:rsidRPr="00B76E51" w:rsidRDefault="00B76E51" w:rsidP="00B76E51">
            <w:pPr>
              <w:spacing w:after="0" w:line="240" w:lineRule="auto"/>
              <w:rPr>
                <w:bCs/>
              </w:rPr>
            </w:pPr>
            <w:r w:rsidRPr="00B76E51">
              <w:rPr>
                <w:bCs/>
              </w:rPr>
              <w:tab/>
              <w:t>17,000</w:t>
            </w:r>
          </w:p>
          <w:p w:rsidR="00B76E51" w:rsidRDefault="00B76E51" w:rsidP="00B76E51">
            <w:pPr>
              <w:spacing w:after="0" w:line="240" w:lineRule="auto"/>
              <w:rPr>
                <w:bCs/>
              </w:rPr>
            </w:pPr>
            <w:r w:rsidRPr="00B76E51">
              <w:rPr>
                <w:bCs/>
              </w:rPr>
              <w:tab/>
              <w:t>150,000</w:t>
            </w:r>
          </w:p>
          <w:p w:rsidR="00B76E51" w:rsidRDefault="00B76E51" w:rsidP="00B76E51">
            <w:pPr>
              <w:spacing w:after="0" w:line="240" w:lineRule="auto"/>
              <w:rPr>
                <w:b/>
                <w:bCs/>
              </w:rPr>
            </w:pPr>
          </w:p>
        </w:tc>
      </w:tr>
      <w:tr w:rsidR="00B76E51" w:rsidRPr="00A1160F" w:rsidTr="00B76E51">
        <w:trPr>
          <w:gridBefore w:val="2"/>
          <w:gridAfter w:val="1"/>
          <w:wBefore w:w="318" w:type="dxa"/>
          <w:wAfter w:w="8397" w:type="dxa"/>
        </w:trPr>
        <w:tc>
          <w:tcPr>
            <w:tcW w:w="9498" w:type="dxa"/>
            <w:gridSpan w:val="8"/>
          </w:tcPr>
          <w:p w:rsidR="00B76E51" w:rsidRPr="00A1160F" w:rsidRDefault="00B76E51" w:rsidP="00B76E51">
            <w:pPr>
              <w:spacing w:after="0" w:line="240" w:lineRule="auto"/>
              <w:rPr>
                <w:bCs/>
              </w:rPr>
            </w:pPr>
            <w:r w:rsidRPr="00B76E51">
              <w:rPr>
                <w:bCs/>
              </w:rPr>
              <w:t>There is also consideration in the activity budgets towards co-creation and partnership work</w:t>
            </w:r>
          </w:p>
        </w:tc>
        <w:tc>
          <w:tcPr>
            <w:tcW w:w="851" w:type="dxa"/>
          </w:tcPr>
          <w:p w:rsidR="00B76E51" w:rsidRPr="00A1160F" w:rsidRDefault="00B76E51"/>
        </w:tc>
      </w:tr>
    </w:tbl>
    <w:p w:rsidR="00D55362" w:rsidRDefault="00D55362" w:rsidP="008A15C2">
      <w:pPr>
        <w:autoSpaceDE w:val="0"/>
        <w:autoSpaceDN w:val="0"/>
        <w:adjustRightInd w:val="0"/>
        <w:spacing w:after="0" w:line="240" w:lineRule="auto"/>
        <w:rPr>
          <w:rFonts w:ascii="Calibri" w:hAnsi="Calibri" w:cs="Calibri"/>
          <w:b/>
          <w:bCs/>
          <w:color w:val="000000"/>
          <w:sz w:val="23"/>
          <w:szCs w:val="23"/>
        </w:rPr>
      </w:pPr>
    </w:p>
    <w:p w:rsidR="007C6AFB" w:rsidRPr="008A15C2" w:rsidRDefault="00D55362" w:rsidP="008A15C2">
      <w:pPr>
        <w:autoSpaceDE w:val="0"/>
        <w:autoSpaceDN w:val="0"/>
        <w:adjustRightInd w:val="0"/>
        <w:spacing w:after="0" w:line="240" w:lineRule="auto"/>
        <w:rPr>
          <w:rFonts w:ascii="Calibri" w:hAnsi="Calibri" w:cs="Calibri"/>
          <w:color w:val="000000"/>
          <w:sz w:val="19"/>
          <w:szCs w:val="19"/>
        </w:rPr>
      </w:pPr>
      <w:r>
        <w:rPr>
          <w:rFonts w:ascii="Calibri" w:hAnsi="Calibri" w:cs="Calibri"/>
          <w:b/>
          <w:bCs/>
          <w:color w:val="000000"/>
          <w:sz w:val="23"/>
          <w:szCs w:val="23"/>
        </w:rPr>
        <w:t xml:space="preserve">5.0     </w:t>
      </w:r>
      <w:r w:rsidRPr="008A15C2">
        <w:rPr>
          <w:rFonts w:ascii="Calibri" w:hAnsi="Calibri" w:cs="Calibri"/>
          <w:b/>
          <w:bCs/>
          <w:color w:val="000000"/>
          <w:sz w:val="23"/>
          <w:szCs w:val="23"/>
        </w:rPr>
        <w:t>T</w:t>
      </w:r>
      <w:r w:rsidRPr="008A15C2">
        <w:rPr>
          <w:rFonts w:ascii="Calibri" w:hAnsi="Calibri" w:cs="Calibri"/>
          <w:b/>
          <w:bCs/>
          <w:color w:val="000000"/>
          <w:sz w:val="19"/>
          <w:szCs w:val="19"/>
        </w:rPr>
        <w:t xml:space="preserve">ENDER </w:t>
      </w:r>
      <w:r w:rsidRPr="008A15C2">
        <w:rPr>
          <w:rFonts w:ascii="Calibri" w:hAnsi="Calibri" w:cs="Calibri"/>
          <w:b/>
          <w:bCs/>
          <w:color w:val="000000"/>
          <w:sz w:val="23"/>
          <w:szCs w:val="23"/>
        </w:rPr>
        <w:t>P</w:t>
      </w:r>
      <w:r w:rsidRPr="008A15C2">
        <w:rPr>
          <w:rFonts w:ascii="Calibri" w:hAnsi="Calibri" w:cs="Calibri"/>
          <w:b/>
          <w:bCs/>
          <w:color w:val="000000"/>
          <w:sz w:val="19"/>
          <w:szCs w:val="19"/>
        </w:rPr>
        <w:t xml:space="preserve">ROCESS AND </w:t>
      </w:r>
      <w:r w:rsidRPr="008A15C2">
        <w:rPr>
          <w:rFonts w:ascii="Calibri" w:hAnsi="Calibri" w:cs="Calibri"/>
          <w:b/>
          <w:bCs/>
          <w:color w:val="000000"/>
          <w:sz w:val="23"/>
          <w:szCs w:val="23"/>
        </w:rPr>
        <w:t>N</w:t>
      </w:r>
      <w:r w:rsidRPr="008A15C2">
        <w:rPr>
          <w:rFonts w:ascii="Calibri" w:hAnsi="Calibri" w:cs="Calibri"/>
          <w:b/>
          <w:bCs/>
          <w:color w:val="000000"/>
          <w:sz w:val="19"/>
          <w:szCs w:val="19"/>
        </w:rPr>
        <w:t xml:space="preserve">EXT </w:t>
      </w:r>
      <w:r w:rsidRPr="008A15C2">
        <w:rPr>
          <w:rFonts w:ascii="Calibri" w:hAnsi="Calibri" w:cs="Calibri"/>
          <w:b/>
          <w:bCs/>
          <w:color w:val="000000"/>
          <w:sz w:val="23"/>
          <w:szCs w:val="23"/>
        </w:rPr>
        <w:t>S</w:t>
      </w:r>
      <w:r w:rsidRPr="008A15C2">
        <w:rPr>
          <w:rFonts w:ascii="Calibri" w:hAnsi="Calibri" w:cs="Calibri"/>
          <w:b/>
          <w:bCs/>
          <w:color w:val="000000"/>
          <w:sz w:val="19"/>
          <w:szCs w:val="19"/>
        </w:rPr>
        <w:t>TEPS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27"/>
        <w:gridCol w:w="1850"/>
        <w:gridCol w:w="3536"/>
      </w:tblGrid>
      <w:tr w:rsidR="007C6AFB">
        <w:trPr>
          <w:gridAfter w:val="1"/>
          <w:wAfter w:w="3536" w:type="dxa"/>
          <w:trHeight w:val="123"/>
        </w:trPr>
        <w:tc>
          <w:tcPr>
            <w:tcW w:w="5077" w:type="dxa"/>
            <w:gridSpan w:val="2"/>
          </w:tcPr>
          <w:p w:rsidR="007C6AFB" w:rsidRDefault="007C6AFB"/>
        </w:tc>
      </w:tr>
      <w:tr w:rsidR="007C6AFB" w:rsidTr="00A1160F">
        <w:tblPrEx>
          <w:tblCellMar>
            <w:left w:w="0" w:type="dxa"/>
            <w:right w:w="0" w:type="dxa"/>
          </w:tblCellMar>
        </w:tblPrEx>
        <w:trPr>
          <w:trHeight w:val="244"/>
        </w:trPr>
        <w:tc>
          <w:tcPr>
            <w:tcW w:w="3227" w:type="dxa"/>
            <w:tcBorders>
              <w:top w:val="nil"/>
              <w:left w:val="nil"/>
              <w:bottom w:val="nil"/>
              <w:right w:val="nil"/>
            </w:tcBorders>
          </w:tcPr>
          <w:p w:rsidR="008A15C2" w:rsidRPr="00A1160F" w:rsidRDefault="008A15C2" w:rsidP="008A15C2">
            <w:pPr>
              <w:autoSpaceDE w:val="0"/>
              <w:autoSpaceDN w:val="0"/>
              <w:adjustRightInd w:val="0"/>
              <w:spacing w:after="0" w:line="240" w:lineRule="auto"/>
              <w:rPr>
                <w:rFonts w:ascii="Calibri" w:hAnsi="Calibri" w:cs="Calibri"/>
                <w:color w:val="FF0000"/>
              </w:rPr>
            </w:pPr>
          </w:p>
        </w:tc>
        <w:tc>
          <w:tcPr>
            <w:tcW w:w="5386" w:type="dxa"/>
            <w:gridSpan w:val="2"/>
            <w:tcBorders>
              <w:top w:val="nil"/>
              <w:left w:val="nil"/>
              <w:bottom w:val="nil"/>
              <w:right w:val="nil"/>
            </w:tcBorders>
          </w:tcPr>
          <w:p w:rsidR="008A15C2" w:rsidRPr="008A15C2" w:rsidRDefault="008A15C2" w:rsidP="008A15C2">
            <w:pPr>
              <w:autoSpaceDE w:val="0"/>
              <w:autoSpaceDN w:val="0"/>
              <w:adjustRightInd w:val="0"/>
              <w:spacing w:after="0" w:line="240" w:lineRule="auto"/>
              <w:rPr>
                <w:rFonts w:ascii="Calibri" w:hAnsi="Calibri" w:cs="Calibri"/>
                <w:color w:val="000000"/>
              </w:rPr>
            </w:pPr>
            <w:r w:rsidRPr="008A15C2">
              <w:rPr>
                <w:rFonts w:ascii="Calibri" w:hAnsi="Calibri" w:cs="Calibri"/>
                <w:color w:val="000000"/>
              </w:rPr>
              <w:t xml:space="preserve">Tender </w:t>
            </w:r>
            <w:r w:rsidR="00A1160F">
              <w:rPr>
                <w:rFonts w:ascii="Calibri" w:hAnsi="Calibri" w:cs="Calibri"/>
                <w:color w:val="000000"/>
              </w:rPr>
              <w:t>documentation issued to Interpretation</w:t>
            </w:r>
            <w:r w:rsidRPr="008A15C2">
              <w:rPr>
                <w:rFonts w:ascii="Calibri" w:hAnsi="Calibri" w:cs="Calibri"/>
                <w:color w:val="000000"/>
              </w:rPr>
              <w:t xml:space="preserve"> Plan consultants </w:t>
            </w:r>
          </w:p>
        </w:tc>
      </w:tr>
      <w:tr w:rsidR="007C6AFB" w:rsidTr="00A1160F">
        <w:tblPrEx>
          <w:tblCellMar>
            <w:left w:w="0" w:type="dxa"/>
            <w:right w:w="0" w:type="dxa"/>
          </w:tblCellMar>
        </w:tblPrEx>
        <w:trPr>
          <w:trHeight w:val="110"/>
        </w:trPr>
        <w:tc>
          <w:tcPr>
            <w:tcW w:w="3227" w:type="dxa"/>
            <w:tcBorders>
              <w:top w:val="nil"/>
              <w:left w:val="nil"/>
              <w:bottom w:val="nil"/>
              <w:right w:val="nil"/>
            </w:tcBorders>
          </w:tcPr>
          <w:p w:rsidR="008A15C2" w:rsidRPr="00A1160F" w:rsidRDefault="008A15C2" w:rsidP="008A15C2">
            <w:pPr>
              <w:autoSpaceDE w:val="0"/>
              <w:autoSpaceDN w:val="0"/>
              <w:adjustRightInd w:val="0"/>
              <w:spacing w:after="0" w:line="240" w:lineRule="auto"/>
              <w:rPr>
                <w:rFonts w:ascii="Calibri" w:hAnsi="Calibri" w:cs="Calibri"/>
                <w:color w:val="FF0000"/>
              </w:rPr>
            </w:pPr>
            <w:r w:rsidRPr="00A1160F">
              <w:rPr>
                <w:rFonts w:ascii="Calibri" w:hAnsi="Calibri" w:cs="Calibri"/>
                <w:color w:val="FF0000"/>
                <w:sz w:val="24"/>
                <w:szCs w:val="24"/>
              </w:rPr>
              <w:t xml:space="preserve"> </w:t>
            </w:r>
          </w:p>
        </w:tc>
        <w:tc>
          <w:tcPr>
            <w:tcW w:w="5386" w:type="dxa"/>
            <w:gridSpan w:val="2"/>
            <w:tcBorders>
              <w:top w:val="nil"/>
              <w:left w:val="nil"/>
              <w:bottom w:val="nil"/>
              <w:right w:val="nil"/>
            </w:tcBorders>
          </w:tcPr>
          <w:p w:rsidR="008A15C2" w:rsidRPr="008A15C2" w:rsidRDefault="008A15C2" w:rsidP="008A15C2">
            <w:pPr>
              <w:autoSpaceDE w:val="0"/>
              <w:autoSpaceDN w:val="0"/>
              <w:adjustRightInd w:val="0"/>
              <w:spacing w:after="0" w:line="240" w:lineRule="auto"/>
              <w:rPr>
                <w:rFonts w:ascii="Calibri" w:hAnsi="Calibri" w:cs="Calibri"/>
                <w:color w:val="000000"/>
              </w:rPr>
            </w:pPr>
            <w:r w:rsidRPr="008A15C2">
              <w:rPr>
                <w:rFonts w:ascii="Calibri" w:hAnsi="Calibri" w:cs="Calibri"/>
                <w:color w:val="000000"/>
              </w:rPr>
              <w:t xml:space="preserve">Intention to bid submitted </w:t>
            </w:r>
          </w:p>
        </w:tc>
      </w:tr>
      <w:tr w:rsidR="007C6AFB" w:rsidTr="00A1160F">
        <w:tblPrEx>
          <w:tblCellMar>
            <w:left w:w="0" w:type="dxa"/>
            <w:right w:w="0" w:type="dxa"/>
          </w:tblCellMar>
        </w:tblPrEx>
        <w:trPr>
          <w:trHeight w:val="110"/>
        </w:trPr>
        <w:tc>
          <w:tcPr>
            <w:tcW w:w="3227" w:type="dxa"/>
            <w:tcBorders>
              <w:top w:val="nil"/>
              <w:left w:val="nil"/>
              <w:bottom w:val="nil"/>
              <w:right w:val="nil"/>
            </w:tcBorders>
          </w:tcPr>
          <w:p w:rsidR="008A15C2" w:rsidRPr="00A1160F" w:rsidRDefault="008A15C2" w:rsidP="008A15C2">
            <w:pPr>
              <w:autoSpaceDE w:val="0"/>
              <w:autoSpaceDN w:val="0"/>
              <w:adjustRightInd w:val="0"/>
              <w:spacing w:after="0" w:line="240" w:lineRule="auto"/>
              <w:rPr>
                <w:rFonts w:ascii="Calibri" w:hAnsi="Calibri" w:cs="Calibri"/>
                <w:color w:val="FF0000"/>
              </w:rPr>
            </w:pPr>
            <w:r w:rsidRPr="00A1160F">
              <w:rPr>
                <w:rFonts w:ascii="Calibri" w:hAnsi="Calibri" w:cs="Calibri"/>
                <w:color w:val="FF0000"/>
              </w:rPr>
              <w:t xml:space="preserve"> </w:t>
            </w:r>
          </w:p>
        </w:tc>
        <w:tc>
          <w:tcPr>
            <w:tcW w:w="5386" w:type="dxa"/>
            <w:gridSpan w:val="2"/>
            <w:tcBorders>
              <w:top w:val="nil"/>
              <w:left w:val="nil"/>
              <w:bottom w:val="nil"/>
              <w:right w:val="nil"/>
            </w:tcBorders>
          </w:tcPr>
          <w:p w:rsidR="008A15C2" w:rsidRPr="008A15C2" w:rsidRDefault="008A15C2" w:rsidP="008A15C2">
            <w:pPr>
              <w:autoSpaceDE w:val="0"/>
              <w:autoSpaceDN w:val="0"/>
              <w:adjustRightInd w:val="0"/>
              <w:spacing w:after="0" w:line="240" w:lineRule="auto"/>
              <w:rPr>
                <w:rFonts w:ascii="Calibri" w:hAnsi="Calibri" w:cs="Calibri"/>
                <w:color w:val="000000"/>
              </w:rPr>
            </w:pPr>
            <w:r w:rsidRPr="008A15C2">
              <w:rPr>
                <w:rFonts w:ascii="Calibri" w:hAnsi="Calibri" w:cs="Calibri"/>
                <w:color w:val="000000"/>
              </w:rPr>
              <w:t xml:space="preserve">Tender returns </w:t>
            </w:r>
          </w:p>
        </w:tc>
      </w:tr>
      <w:tr w:rsidR="007C6AFB" w:rsidTr="00A1160F">
        <w:tblPrEx>
          <w:tblCellMar>
            <w:left w:w="0" w:type="dxa"/>
            <w:right w:w="0" w:type="dxa"/>
          </w:tblCellMar>
        </w:tblPrEx>
        <w:trPr>
          <w:trHeight w:val="244"/>
        </w:trPr>
        <w:tc>
          <w:tcPr>
            <w:tcW w:w="3227" w:type="dxa"/>
            <w:tcBorders>
              <w:top w:val="nil"/>
              <w:left w:val="nil"/>
              <w:bottom w:val="nil"/>
              <w:right w:val="nil"/>
            </w:tcBorders>
          </w:tcPr>
          <w:p w:rsidR="008A15C2" w:rsidRPr="00A1160F" w:rsidRDefault="008A15C2" w:rsidP="008A15C2">
            <w:pPr>
              <w:autoSpaceDE w:val="0"/>
              <w:autoSpaceDN w:val="0"/>
              <w:adjustRightInd w:val="0"/>
              <w:spacing w:after="0" w:line="240" w:lineRule="auto"/>
              <w:rPr>
                <w:rFonts w:ascii="Calibri" w:hAnsi="Calibri" w:cs="Calibri"/>
                <w:color w:val="FF0000"/>
              </w:rPr>
            </w:pPr>
          </w:p>
        </w:tc>
        <w:tc>
          <w:tcPr>
            <w:tcW w:w="5386" w:type="dxa"/>
            <w:gridSpan w:val="2"/>
            <w:tcBorders>
              <w:top w:val="nil"/>
              <w:left w:val="nil"/>
              <w:bottom w:val="nil"/>
              <w:right w:val="nil"/>
            </w:tcBorders>
          </w:tcPr>
          <w:p w:rsidR="008A15C2" w:rsidRPr="008A15C2" w:rsidRDefault="008A15C2" w:rsidP="008A15C2">
            <w:pPr>
              <w:autoSpaceDE w:val="0"/>
              <w:autoSpaceDN w:val="0"/>
              <w:adjustRightInd w:val="0"/>
              <w:spacing w:after="0" w:line="240" w:lineRule="auto"/>
              <w:rPr>
                <w:rFonts w:ascii="Calibri" w:hAnsi="Calibri" w:cs="Calibri"/>
                <w:color w:val="000000"/>
              </w:rPr>
            </w:pPr>
            <w:r w:rsidRPr="008A15C2">
              <w:rPr>
                <w:rFonts w:ascii="Calibri" w:hAnsi="Calibri" w:cs="Calibri"/>
                <w:color w:val="000000"/>
              </w:rPr>
              <w:t xml:space="preserve">Tender evaluation and engagement of consultant </w:t>
            </w:r>
          </w:p>
        </w:tc>
      </w:tr>
      <w:tr w:rsidR="007C6AFB" w:rsidTr="00A1160F">
        <w:tblPrEx>
          <w:tblCellMar>
            <w:left w:w="0" w:type="dxa"/>
            <w:right w:w="0" w:type="dxa"/>
          </w:tblCellMar>
        </w:tblPrEx>
        <w:trPr>
          <w:trHeight w:val="244"/>
        </w:trPr>
        <w:tc>
          <w:tcPr>
            <w:tcW w:w="3227" w:type="dxa"/>
            <w:tcBorders>
              <w:top w:val="nil"/>
              <w:left w:val="nil"/>
              <w:bottom w:val="nil"/>
              <w:right w:val="nil"/>
            </w:tcBorders>
          </w:tcPr>
          <w:p w:rsidR="008A15C2" w:rsidRPr="00A1160F" w:rsidRDefault="008A15C2" w:rsidP="00A25270">
            <w:pPr>
              <w:autoSpaceDE w:val="0"/>
              <w:autoSpaceDN w:val="0"/>
              <w:adjustRightInd w:val="0"/>
              <w:spacing w:after="0" w:line="240" w:lineRule="auto"/>
              <w:rPr>
                <w:rFonts w:ascii="Calibri" w:hAnsi="Calibri" w:cs="Calibri"/>
                <w:color w:val="FF0000"/>
              </w:rPr>
            </w:pPr>
            <w:r w:rsidRPr="00A1160F">
              <w:rPr>
                <w:rFonts w:ascii="Calibri" w:hAnsi="Calibri" w:cs="Calibri"/>
                <w:color w:val="FF0000"/>
                <w:sz w:val="24"/>
                <w:szCs w:val="24"/>
              </w:rPr>
              <w:t xml:space="preserve"> </w:t>
            </w:r>
            <w:r w:rsidR="00A25270">
              <w:rPr>
                <w:rFonts w:ascii="Calibri" w:hAnsi="Calibri" w:cs="Calibri"/>
              </w:rPr>
              <w:t>October</w:t>
            </w:r>
            <w:r w:rsidRPr="00A1160F">
              <w:rPr>
                <w:rFonts w:ascii="Calibri" w:hAnsi="Calibri" w:cs="Calibri"/>
              </w:rPr>
              <w:t xml:space="preserve"> 2017 </w:t>
            </w:r>
          </w:p>
        </w:tc>
        <w:tc>
          <w:tcPr>
            <w:tcW w:w="5386" w:type="dxa"/>
            <w:gridSpan w:val="2"/>
            <w:tcBorders>
              <w:top w:val="nil"/>
              <w:left w:val="nil"/>
              <w:bottom w:val="nil"/>
              <w:right w:val="nil"/>
            </w:tcBorders>
          </w:tcPr>
          <w:p w:rsidR="008A15C2" w:rsidRPr="008A15C2" w:rsidRDefault="008A15C2" w:rsidP="008A15C2">
            <w:pPr>
              <w:autoSpaceDE w:val="0"/>
              <w:autoSpaceDN w:val="0"/>
              <w:adjustRightInd w:val="0"/>
              <w:spacing w:after="0" w:line="240" w:lineRule="auto"/>
              <w:rPr>
                <w:rFonts w:ascii="Calibri" w:hAnsi="Calibri" w:cs="Calibri"/>
                <w:color w:val="000000"/>
              </w:rPr>
            </w:pPr>
            <w:r w:rsidRPr="008A15C2">
              <w:rPr>
                <w:rFonts w:ascii="Calibri" w:hAnsi="Calibri" w:cs="Calibri"/>
                <w:color w:val="000000"/>
              </w:rPr>
              <w:t>De</w:t>
            </w:r>
            <w:r w:rsidR="00A1160F">
              <w:rPr>
                <w:rFonts w:ascii="Calibri" w:hAnsi="Calibri" w:cs="Calibri"/>
                <w:color w:val="000000"/>
              </w:rPr>
              <w:t>adline for consultant’s Interpretation</w:t>
            </w:r>
            <w:r w:rsidRPr="008A15C2">
              <w:rPr>
                <w:rFonts w:ascii="Calibri" w:hAnsi="Calibri" w:cs="Calibri"/>
                <w:color w:val="000000"/>
              </w:rPr>
              <w:t xml:space="preserve"> Plan </w:t>
            </w:r>
          </w:p>
        </w:tc>
      </w:tr>
    </w:tbl>
    <w:p w:rsidR="00881183" w:rsidRDefault="00881183"/>
    <w:sectPr w:rsidR="008811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64" w:rsidRDefault="00905564" w:rsidP="00953198">
      <w:pPr>
        <w:spacing w:after="0" w:line="240" w:lineRule="auto"/>
      </w:pPr>
      <w:r>
        <w:separator/>
      </w:r>
    </w:p>
  </w:endnote>
  <w:endnote w:type="continuationSeparator" w:id="0">
    <w:p w:rsidR="00905564" w:rsidRDefault="00905564" w:rsidP="0095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Yu Gothic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64" w:rsidRDefault="00905564" w:rsidP="00953198">
      <w:pPr>
        <w:spacing w:after="0" w:line="240" w:lineRule="auto"/>
      </w:pPr>
      <w:r>
        <w:separator/>
      </w:r>
    </w:p>
  </w:footnote>
  <w:footnote w:type="continuationSeparator" w:id="0">
    <w:p w:rsidR="00905564" w:rsidRDefault="00905564" w:rsidP="0095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401247"/>
      <w:docPartObj>
        <w:docPartGallery w:val="Page Numbers (Margins)"/>
        <w:docPartUnique/>
      </w:docPartObj>
    </w:sdtPr>
    <w:sdtEndPr/>
    <w:sdtContent>
      <w:p w:rsidR="00953198" w:rsidRDefault="00953198">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98" w:rsidRDefault="0095319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E80A82" w:rsidRPr="00E80A8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953198" w:rsidRDefault="0095319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E80A82" w:rsidRPr="00E80A8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9DDEE"/>
    <w:multiLevelType w:val="hybridMultilevel"/>
    <w:tmpl w:val="86F84C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B9AC5B"/>
    <w:multiLevelType w:val="hybridMultilevel"/>
    <w:tmpl w:val="8FA1EC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E9B08D"/>
    <w:multiLevelType w:val="hybridMultilevel"/>
    <w:tmpl w:val="C859F1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0365FC2"/>
    <w:multiLevelType w:val="hybridMultilevel"/>
    <w:tmpl w:val="486E30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B7FCD6"/>
    <w:multiLevelType w:val="hybridMultilevel"/>
    <w:tmpl w:val="78B9B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08BED6"/>
    <w:multiLevelType w:val="hybridMultilevel"/>
    <w:tmpl w:val="A73B67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861E2C5"/>
    <w:multiLevelType w:val="hybridMultilevel"/>
    <w:tmpl w:val="2E67A1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F0E7E61"/>
    <w:multiLevelType w:val="hybridMultilevel"/>
    <w:tmpl w:val="7E6A6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E2D07F5"/>
    <w:multiLevelType w:val="hybridMultilevel"/>
    <w:tmpl w:val="E3B01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3F34052"/>
    <w:multiLevelType w:val="hybridMultilevel"/>
    <w:tmpl w:val="86581D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7ECEF1"/>
    <w:multiLevelType w:val="hybridMultilevel"/>
    <w:tmpl w:val="5B1FAB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B700293"/>
    <w:multiLevelType w:val="hybridMultilevel"/>
    <w:tmpl w:val="AA7287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23AE544">
      <w:numFmt w:val="bullet"/>
      <w:lvlText w:val="•"/>
      <w:lvlJc w:val="left"/>
      <w:pPr>
        <w:ind w:left="2520" w:hanging="720"/>
      </w:pPr>
      <w:rPr>
        <w:rFonts w:ascii="Calibri" w:eastAsiaTheme="minorHAnsi" w:hAnsi="Calibri"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4CC385"/>
    <w:multiLevelType w:val="hybridMultilevel"/>
    <w:tmpl w:val="64B01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C1B96A8"/>
    <w:multiLevelType w:val="hybridMultilevel"/>
    <w:tmpl w:val="C58895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C25D21"/>
    <w:multiLevelType w:val="hybridMultilevel"/>
    <w:tmpl w:val="E5D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991C70"/>
    <w:multiLevelType w:val="hybridMultilevel"/>
    <w:tmpl w:val="73F8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8B8956"/>
    <w:multiLevelType w:val="hybridMultilevel"/>
    <w:tmpl w:val="A0A231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0DE56CC"/>
    <w:multiLevelType w:val="hybridMultilevel"/>
    <w:tmpl w:val="503A3C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750752B8"/>
    <w:multiLevelType w:val="hybridMultilevel"/>
    <w:tmpl w:val="60E4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D239CF"/>
    <w:multiLevelType w:val="hybridMultilevel"/>
    <w:tmpl w:val="0C28B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E0A107B"/>
    <w:multiLevelType w:val="hybridMultilevel"/>
    <w:tmpl w:val="093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7A8903"/>
    <w:multiLevelType w:val="hybridMultilevel"/>
    <w:tmpl w:val="6A206D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9"/>
  </w:num>
  <w:num w:numId="3">
    <w:abstractNumId w:val="2"/>
  </w:num>
  <w:num w:numId="4">
    <w:abstractNumId w:val="16"/>
  </w:num>
  <w:num w:numId="5">
    <w:abstractNumId w:val="21"/>
  </w:num>
  <w:num w:numId="6">
    <w:abstractNumId w:val="8"/>
  </w:num>
  <w:num w:numId="7">
    <w:abstractNumId w:val="6"/>
  </w:num>
  <w:num w:numId="8">
    <w:abstractNumId w:val="0"/>
  </w:num>
  <w:num w:numId="9">
    <w:abstractNumId w:val="1"/>
  </w:num>
  <w:num w:numId="10">
    <w:abstractNumId w:val="10"/>
  </w:num>
  <w:num w:numId="11">
    <w:abstractNumId w:val="3"/>
  </w:num>
  <w:num w:numId="12">
    <w:abstractNumId w:val="7"/>
  </w:num>
  <w:num w:numId="13">
    <w:abstractNumId w:val="13"/>
  </w:num>
  <w:num w:numId="14">
    <w:abstractNumId w:val="12"/>
  </w:num>
  <w:num w:numId="15">
    <w:abstractNumId w:val="5"/>
  </w:num>
  <w:num w:numId="16">
    <w:abstractNumId w:val="17"/>
  </w:num>
  <w:num w:numId="17">
    <w:abstractNumId w:val="20"/>
  </w:num>
  <w:num w:numId="18">
    <w:abstractNumId w:val="18"/>
  </w:num>
  <w:num w:numId="19">
    <w:abstractNumId w:val="15"/>
  </w:num>
  <w:num w:numId="20">
    <w:abstractNumId w:val="19"/>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C2"/>
    <w:rsid w:val="00054126"/>
    <w:rsid w:val="000E3C1D"/>
    <w:rsid w:val="00237E3D"/>
    <w:rsid w:val="00265568"/>
    <w:rsid w:val="002928A7"/>
    <w:rsid w:val="003459E0"/>
    <w:rsid w:val="003C2312"/>
    <w:rsid w:val="00534996"/>
    <w:rsid w:val="00543DD9"/>
    <w:rsid w:val="00550D82"/>
    <w:rsid w:val="007622E5"/>
    <w:rsid w:val="007A0120"/>
    <w:rsid w:val="007A4973"/>
    <w:rsid w:val="007C6AFB"/>
    <w:rsid w:val="007E3876"/>
    <w:rsid w:val="007F025E"/>
    <w:rsid w:val="00837D37"/>
    <w:rsid w:val="008654AC"/>
    <w:rsid w:val="00881183"/>
    <w:rsid w:val="008820AF"/>
    <w:rsid w:val="00891BB9"/>
    <w:rsid w:val="008A15C2"/>
    <w:rsid w:val="008B2CB5"/>
    <w:rsid w:val="00905564"/>
    <w:rsid w:val="00905D56"/>
    <w:rsid w:val="009225E8"/>
    <w:rsid w:val="00953198"/>
    <w:rsid w:val="009B7777"/>
    <w:rsid w:val="00A1160F"/>
    <w:rsid w:val="00A25270"/>
    <w:rsid w:val="00A9391B"/>
    <w:rsid w:val="00A97030"/>
    <w:rsid w:val="00B57B13"/>
    <w:rsid w:val="00B76E51"/>
    <w:rsid w:val="00D55362"/>
    <w:rsid w:val="00E80A82"/>
    <w:rsid w:val="00E93DE1"/>
    <w:rsid w:val="00EB4BF9"/>
    <w:rsid w:val="00F20932"/>
    <w:rsid w:val="00F60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5C2"/>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534996"/>
    <w:pPr>
      <w:ind w:left="720"/>
      <w:contextualSpacing/>
    </w:pPr>
  </w:style>
  <w:style w:type="paragraph" w:styleId="Header">
    <w:name w:val="header"/>
    <w:basedOn w:val="Normal"/>
    <w:link w:val="HeaderChar"/>
    <w:uiPriority w:val="99"/>
    <w:unhideWhenUsed/>
    <w:rsid w:val="0095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98"/>
  </w:style>
  <w:style w:type="paragraph" w:styleId="Footer">
    <w:name w:val="footer"/>
    <w:basedOn w:val="Normal"/>
    <w:link w:val="FooterChar"/>
    <w:uiPriority w:val="99"/>
    <w:unhideWhenUsed/>
    <w:rsid w:val="0095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98"/>
  </w:style>
  <w:style w:type="table" w:customStyle="1" w:styleId="TableGrid4">
    <w:name w:val="Table Grid4"/>
    <w:basedOn w:val="TableNormal"/>
    <w:next w:val="TableGrid"/>
    <w:uiPriority w:val="39"/>
    <w:rsid w:val="00B76E51"/>
    <w:pPr>
      <w:spacing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5C2"/>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534996"/>
    <w:pPr>
      <w:ind w:left="720"/>
      <w:contextualSpacing/>
    </w:pPr>
  </w:style>
  <w:style w:type="paragraph" w:styleId="Header">
    <w:name w:val="header"/>
    <w:basedOn w:val="Normal"/>
    <w:link w:val="HeaderChar"/>
    <w:uiPriority w:val="99"/>
    <w:unhideWhenUsed/>
    <w:rsid w:val="0095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198"/>
  </w:style>
  <w:style w:type="paragraph" w:styleId="Footer">
    <w:name w:val="footer"/>
    <w:basedOn w:val="Normal"/>
    <w:link w:val="FooterChar"/>
    <w:uiPriority w:val="99"/>
    <w:unhideWhenUsed/>
    <w:rsid w:val="0095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198"/>
  </w:style>
  <w:style w:type="table" w:customStyle="1" w:styleId="TableGrid4">
    <w:name w:val="Table Grid4"/>
    <w:basedOn w:val="TableNormal"/>
    <w:next w:val="TableGrid"/>
    <w:uiPriority w:val="39"/>
    <w:rsid w:val="00B76E51"/>
    <w:pPr>
      <w:spacing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8516B9DF</Template>
  <TotalTime>2</TotalTime>
  <Pages>6</Pages>
  <Words>2152</Words>
  <Characters>12270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McVerry</dc:creator>
  <cp:lastModifiedBy>Shillaber Mike</cp:lastModifiedBy>
  <cp:revision>2</cp:revision>
  <dcterms:created xsi:type="dcterms:W3CDTF">2017-04-21T14:18:00Z</dcterms:created>
  <dcterms:modified xsi:type="dcterms:W3CDTF">2017-04-21T14:18:00Z</dcterms:modified>
</cp:coreProperties>
</file>