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94" w:rsidRDefault="00523A94">
      <w:pPr>
        <w:rPr>
          <w:rStyle w:val="typethreecols1"/>
          <w:rFonts w:ascii="Verdana" w:eastAsia="Times New Roman" w:hAnsi="Verdana"/>
          <w:color w:val="5D666F"/>
          <w:sz w:val="20"/>
          <w:szCs w:val="20"/>
        </w:rPr>
      </w:pPr>
      <w:r>
        <w:rPr>
          <w:rStyle w:val="typethreecols1"/>
          <w:rFonts w:ascii="Verdana" w:eastAsia="Times New Roman" w:hAnsi="Verdana"/>
          <w:color w:val="5D666F"/>
          <w:sz w:val="20"/>
          <w:szCs w:val="20"/>
        </w:rPr>
        <w:t>Description of the procurement: (nature and quantity of works, supplies or services or indication of needs and requirements) </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It should be noted that during the course of this contract additional services could fall within the remit of the MCP that are not current</w:t>
      </w:r>
      <w:r>
        <w:rPr>
          <w:rStyle w:val="tdright1"/>
          <w:rFonts w:ascii="Verdana" w:eastAsia="Times New Roman" w:hAnsi="Verdana"/>
          <w:sz w:val="20"/>
          <w:szCs w:val="20"/>
        </w:rPr>
        <w:t>ly identified within its scope.</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This could include social care and related services currently commissioned by Dudley CCG or Dudley Metropolitan Borough Council (or their respe</w:t>
      </w:r>
      <w:r>
        <w:rPr>
          <w:rStyle w:val="tdright1"/>
          <w:rFonts w:ascii="Verdana" w:eastAsia="Times New Roman" w:hAnsi="Verdana"/>
          <w:sz w:val="20"/>
          <w:szCs w:val="20"/>
        </w:rPr>
        <w:t>ctive successor organisations).</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The possible MCP contract value range, based on 2016/17 budgets, is expected to be between approximately 3,495,000,000 GBP and 5,445,000,000 GBP, depending upon the extent to which Dudley CCG general practices are (or might become) fully integrated with the MCP, the inclusion of other general practices, the inclusion of social care services and whether the contract runs to its p</w:t>
      </w:r>
      <w:r>
        <w:rPr>
          <w:rStyle w:val="tdright1"/>
          <w:rFonts w:ascii="Verdana" w:eastAsia="Times New Roman" w:hAnsi="Verdana"/>
          <w:sz w:val="20"/>
          <w:szCs w:val="20"/>
        </w:rPr>
        <w:t>otential full term of 15 years.</w:t>
      </w:r>
    </w:p>
    <w:p w:rsidR="005B4BAD" w:rsidRPr="005B4BAD" w:rsidRDefault="005B4BAD" w:rsidP="005B4BAD">
      <w:pPr>
        <w:rPr>
          <w:rStyle w:val="tdright1"/>
          <w:rFonts w:ascii="Verdana" w:eastAsia="Times New Roman" w:hAnsi="Verdana"/>
          <w:sz w:val="20"/>
          <w:szCs w:val="20"/>
        </w:rPr>
      </w:pPr>
      <w:r>
        <w:rPr>
          <w:rStyle w:val="tdright1"/>
          <w:rFonts w:ascii="Verdana" w:eastAsia="Times New Roman" w:hAnsi="Verdana"/>
          <w:sz w:val="20"/>
          <w:szCs w:val="20"/>
        </w:rPr>
        <w:t xml:space="preserve">The initial scope of the contract envisaged by this procurement is as described in Section II.1.4 of the related OJEU notice and in Section 3 of this notice. </w:t>
      </w:r>
      <w:r w:rsidRPr="005B4BAD">
        <w:rPr>
          <w:rStyle w:val="tdright1"/>
          <w:rFonts w:ascii="Verdana" w:eastAsia="Times New Roman" w:hAnsi="Verdana"/>
          <w:sz w:val="20"/>
          <w:szCs w:val="20"/>
        </w:rPr>
        <w:t xml:space="preserve">However, during the lifetime of the contract, the scope of the services undertaken by the MCP may be expanded beyond the provision of health services to cover (as well as health services) public health and/or social care services of the types currently commissioned by Dudley Metropolitan Borough Council, Dudley Clinical Commissioning Group and/or their respective successor organisations. </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These may include, but not be limited to:-</w:t>
      </w:r>
    </w:p>
    <w:p w:rsidR="005B4BAD" w:rsidRPr="005B4BAD" w:rsidRDefault="005B4BAD" w:rsidP="005B4BAD">
      <w:pPr>
        <w:ind w:left="720" w:hanging="720"/>
        <w:rPr>
          <w:rStyle w:val="tdright1"/>
          <w:rFonts w:ascii="Verdana" w:eastAsia="Times New Roman" w:hAnsi="Verdana"/>
          <w:sz w:val="20"/>
          <w:szCs w:val="20"/>
        </w:rPr>
      </w:pPr>
      <w:r w:rsidRPr="005B4BAD">
        <w:rPr>
          <w:rStyle w:val="tdright1"/>
          <w:rFonts w:ascii="Verdana" w:eastAsia="Times New Roman" w:hAnsi="Verdana"/>
          <w:sz w:val="20"/>
          <w:szCs w:val="20"/>
        </w:rPr>
        <w:t>•</w:t>
      </w:r>
      <w:r w:rsidRPr="005B4BAD">
        <w:rPr>
          <w:rStyle w:val="tdright1"/>
          <w:rFonts w:ascii="Verdana" w:eastAsia="Times New Roman" w:hAnsi="Verdana"/>
          <w:sz w:val="20"/>
          <w:szCs w:val="20"/>
        </w:rPr>
        <w:tab/>
      </w:r>
      <w:proofErr w:type="gramStart"/>
      <w:r w:rsidRPr="005B4BAD">
        <w:rPr>
          <w:rStyle w:val="tdright1"/>
          <w:rFonts w:ascii="Verdana" w:eastAsia="Times New Roman" w:hAnsi="Verdana"/>
          <w:sz w:val="20"/>
          <w:szCs w:val="20"/>
        </w:rPr>
        <w:t>older</w:t>
      </w:r>
      <w:proofErr w:type="gramEnd"/>
      <w:r w:rsidRPr="005B4BAD">
        <w:rPr>
          <w:rStyle w:val="tdright1"/>
          <w:rFonts w:ascii="Verdana" w:eastAsia="Times New Roman" w:hAnsi="Verdana"/>
          <w:sz w:val="20"/>
          <w:szCs w:val="20"/>
        </w:rPr>
        <w:t xml:space="preserve"> people’s care (including care homes, home care, dementia gateways and </w:t>
      </w:r>
      <w:proofErr w:type="spellStart"/>
      <w:r w:rsidRPr="005B4BAD">
        <w:rPr>
          <w:rStyle w:val="tdright1"/>
          <w:rFonts w:ascii="Verdana" w:eastAsia="Times New Roman" w:hAnsi="Verdana"/>
          <w:sz w:val="20"/>
          <w:szCs w:val="20"/>
        </w:rPr>
        <w:t>reablement</w:t>
      </w:r>
      <w:proofErr w:type="spellEnd"/>
      <w:r w:rsidRPr="005B4BAD">
        <w:rPr>
          <w:rStyle w:val="tdright1"/>
          <w:rFonts w:ascii="Verdana" w:eastAsia="Times New Roman" w:hAnsi="Verdana"/>
          <w:sz w:val="20"/>
          <w:szCs w:val="20"/>
        </w:rPr>
        <w:t xml:space="preserve"> services);</w:t>
      </w:r>
    </w:p>
    <w:p w:rsidR="005B4BAD" w:rsidRPr="005B4BAD" w:rsidRDefault="005B4BAD" w:rsidP="005B4BAD">
      <w:pPr>
        <w:ind w:left="720" w:hanging="720"/>
        <w:rPr>
          <w:rStyle w:val="tdright1"/>
          <w:rFonts w:ascii="Verdana" w:eastAsia="Times New Roman" w:hAnsi="Verdana"/>
          <w:sz w:val="20"/>
          <w:szCs w:val="20"/>
        </w:rPr>
      </w:pPr>
      <w:r w:rsidRPr="005B4BAD">
        <w:rPr>
          <w:rStyle w:val="tdright1"/>
          <w:rFonts w:ascii="Verdana" w:eastAsia="Times New Roman" w:hAnsi="Verdana"/>
          <w:sz w:val="20"/>
          <w:szCs w:val="20"/>
        </w:rPr>
        <w:t>•</w:t>
      </w:r>
      <w:r w:rsidRPr="005B4BAD">
        <w:rPr>
          <w:rStyle w:val="tdright1"/>
          <w:rFonts w:ascii="Verdana" w:eastAsia="Times New Roman" w:hAnsi="Verdana"/>
          <w:sz w:val="20"/>
          <w:szCs w:val="20"/>
        </w:rPr>
        <w:tab/>
        <w:t>learning disability services (including care homes, supported living, other community based provision); note - it is anticipated this will not take place until an All Age Disability service model has been fully implemented (estimated to be within 2 years);</w:t>
      </w:r>
    </w:p>
    <w:p w:rsidR="005B4BAD" w:rsidRPr="005B4BAD" w:rsidRDefault="005B4BAD" w:rsidP="005B4BAD">
      <w:pPr>
        <w:ind w:left="720" w:hanging="720"/>
        <w:rPr>
          <w:rStyle w:val="tdright1"/>
          <w:rFonts w:ascii="Verdana" w:eastAsia="Times New Roman" w:hAnsi="Verdana"/>
          <w:sz w:val="20"/>
          <w:szCs w:val="20"/>
        </w:rPr>
      </w:pPr>
      <w:r w:rsidRPr="005B4BAD">
        <w:rPr>
          <w:rStyle w:val="tdright1"/>
          <w:rFonts w:ascii="Verdana" w:eastAsia="Times New Roman" w:hAnsi="Verdana"/>
          <w:sz w:val="20"/>
          <w:szCs w:val="20"/>
        </w:rPr>
        <w:t>•</w:t>
      </w:r>
      <w:r w:rsidRPr="005B4BAD">
        <w:rPr>
          <w:rStyle w:val="tdright1"/>
          <w:rFonts w:ascii="Verdana" w:eastAsia="Times New Roman" w:hAnsi="Verdana"/>
          <w:sz w:val="20"/>
          <w:szCs w:val="20"/>
        </w:rPr>
        <w:tab/>
      </w:r>
      <w:proofErr w:type="gramStart"/>
      <w:r w:rsidRPr="005B4BAD">
        <w:rPr>
          <w:rStyle w:val="tdright1"/>
          <w:rFonts w:ascii="Verdana" w:eastAsia="Times New Roman" w:hAnsi="Verdana"/>
          <w:sz w:val="20"/>
          <w:szCs w:val="20"/>
        </w:rPr>
        <w:t>mental</w:t>
      </w:r>
      <w:proofErr w:type="gramEnd"/>
      <w:r w:rsidRPr="005B4BAD">
        <w:rPr>
          <w:rStyle w:val="tdright1"/>
          <w:rFonts w:ascii="Verdana" w:eastAsia="Times New Roman" w:hAnsi="Verdana"/>
          <w:sz w:val="20"/>
          <w:szCs w:val="20"/>
        </w:rPr>
        <w:t xml:space="preserve"> health services (care Homes / supported living / recovery model provision);</w:t>
      </w:r>
    </w:p>
    <w:p w:rsidR="005B4BAD" w:rsidRPr="005B4BAD" w:rsidRDefault="005B4BAD" w:rsidP="005B4BAD">
      <w:pPr>
        <w:ind w:left="720" w:hanging="720"/>
        <w:rPr>
          <w:rStyle w:val="tdright1"/>
          <w:rFonts w:ascii="Verdana" w:eastAsia="Times New Roman" w:hAnsi="Verdana"/>
          <w:sz w:val="20"/>
          <w:szCs w:val="20"/>
        </w:rPr>
      </w:pPr>
      <w:r w:rsidRPr="005B4BAD">
        <w:rPr>
          <w:rStyle w:val="tdright1"/>
          <w:rFonts w:ascii="Verdana" w:eastAsia="Times New Roman" w:hAnsi="Verdana"/>
          <w:sz w:val="20"/>
          <w:szCs w:val="20"/>
        </w:rPr>
        <w:t>•</w:t>
      </w:r>
      <w:r w:rsidRPr="005B4BAD">
        <w:rPr>
          <w:rStyle w:val="tdright1"/>
          <w:rFonts w:ascii="Verdana" w:eastAsia="Times New Roman" w:hAnsi="Verdana"/>
          <w:sz w:val="20"/>
          <w:szCs w:val="20"/>
        </w:rPr>
        <w:tab/>
      </w:r>
      <w:proofErr w:type="gramStart"/>
      <w:r w:rsidRPr="005B4BAD">
        <w:rPr>
          <w:rStyle w:val="tdright1"/>
          <w:rFonts w:ascii="Verdana" w:eastAsia="Times New Roman" w:hAnsi="Verdana"/>
          <w:sz w:val="20"/>
          <w:szCs w:val="20"/>
        </w:rPr>
        <w:t>services</w:t>
      </w:r>
      <w:proofErr w:type="gramEnd"/>
      <w:r w:rsidRPr="005B4BAD">
        <w:rPr>
          <w:rStyle w:val="tdright1"/>
          <w:rFonts w:ascii="Verdana" w:eastAsia="Times New Roman" w:hAnsi="Verdana"/>
          <w:sz w:val="20"/>
          <w:szCs w:val="20"/>
        </w:rPr>
        <w:t xml:space="preserve"> commissioned from the voluntary sector (low level preventative services);</w:t>
      </w:r>
    </w:p>
    <w:p w:rsidR="005B4BAD" w:rsidRPr="005B4BAD" w:rsidRDefault="005B4BAD" w:rsidP="005B4BAD">
      <w:pPr>
        <w:ind w:left="720" w:hanging="720"/>
        <w:rPr>
          <w:rStyle w:val="tdright1"/>
          <w:rFonts w:ascii="Verdana" w:eastAsia="Times New Roman" w:hAnsi="Verdana"/>
          <w:sz w:val="20"/>
          <w:szCs w:val="20"/>
        </w:rPr>
      </w:pPr>
      <w:r w:rsidRPr="005B4BAD">
        <w:rPr>
          <w:rStyle w:val="tdright1"/>
          <w:rFonts w:ascii="Verdana" w:eastAsia="Times New Roman" w:hAnsi="Verdana"/>
          <w:sz w:val="20"/>
          <w:szCs w:val="20"/>
        </w:rPr>
        <w:t>•</w:t>
      </w:r>
      <w:r w:rsidRPr="005B4BAD">
        <w:rPr>
          <w:rStyle w:val="tdright1"/>
          <w:rFonts w:ascii="Verdana" w:eastAsia="Times New Roman" w:hAnsi="Verdana"/>
          <w:sz w:val="20"/>
          <w:szCs w:val="20"/>
        </w:rPr>
        <w:tab/>
        <w:t xml:space="preserve">support services commissioned (for example managed budgets, advocacy, carers) and any other related ancillary services which support the public health and/or social care commissioning operations of Dudley Metropolitan Borough Council, Dudley Clinical Commissioning Group and/or their respective successor organisations. </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Such expansion of the scope of the services may result in significant growth of the scope and/or quantity of the services provided by the successful bidder. Should the scope of the services expand in any or all of these ways, the successful bidder must commit to undertake them and will be expected to have the technical abilities and all of the resources to enable it to do so.</w:t>
      </w:r>
    </w:p>
    <w:p w:rsidR="005B4BAD" w:rsidRPr="005B4BAD" w:rsidRDefault="005B4BAD" w:rsidP="005B4BAD">
      <w:pPr>
        <w:rPr>
          <w:rStyle w:val="tdright1"/>
          <w:rFonts w:ascii="Verdana" w:eastAsia="Times New Roman" w:hAnsi="Verdana"/>
          <w:sz w:val="20"/>
          <w:szCs w:val="20"/>
        </w:rPr>
      </w:pP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lastRenderedPageBreak/>
        <w:t>Integration with general medical practice is a critical feature of the model and this will be achieved in a manner that is consistent with the options identified in the MCP framework document, through either a 'partially integrated' or 'f</w:t>
      </w:r>
      <w:r>
        <w:rPr>
          <w:rStyle w:val="tdright1"/>
          <w:rFonts w:ascii="Verdana" w:eastAsia="Times New Roman" w:hAnsi="Verdana"/>
          <w:sz w:val="20"/>
          <w:szCs w:val="20"/>
        </w:rPr>
        <w:t>ully integrated' service model.</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This will include practices which are not currently members of Dudley CCG but may become so in future subject to approval by NHS England in accordance with the H</w:t>
      </w:r>
      <w:r>
        <w:rPr>
          <w:rStyle w:val="tdright1"/>
          <w:rFonts w:ascii="Verdana" w:eastAsia="Times New Roman" w:hAnsi="Verdana"/>
          <w:sz w:val="20"/>
          <w:szCs w:val="20"/>
        </w:rPr>
        <w:t>ealth and Social Care Act 2012.</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It should be noted that in the event of any contract for primary medical services being terminated on the grounds of a breach, death, unlawful partnership, unlawful acts, criminal conviction, loss of premises, removal by a regulatory body, or removal from the Performers List, the MCP will become responsible for the provision of primary medical services to the patients register</w:t>
      </w:r>
      <w:r>
        <w:rPr>
          <w:rStyle w:val="tdright1"/>
          <w:rFonts w:ascii="Verdana" w:eastAsia="Times New Roman" w:hAnsi="Verdana"/>
          <w:sz w:val="20"/>
          <w:szCs w:val="20"/>
        </w:rPr>
        <w:t xml:space="preserve">ed with the relevant practice. </w:t>
      </w:r>
    </w:p>
    <w:p w:rsidR="005B4BAD" w:rsidRDefault="005B4BAD" w:rsidP="005B4BAD">
      <w:pPr>
        <w:rPr>
          <w:rStyle w:val="tdright1"/>
          <w:rFonts w:ascii="Verdana" w:eastAsia="Times New Roman" w:hAnsi="Verdana"/>
          <w:sz w:val="20"/>
          <w:szCs w:val="20"/>
        </w:rPr>
      </w:pPr>
      <w:r>
        <w:rPr>
          <w:rStyle w:val="tdright1"/>
          <w:rFonts w:ascii="Verdana" w:eastAsia="Times New Roman" w:hAnsi="Verdana"/>
          <w:sz w:val="20"/>
          <w:szCs w:val="20"/>
        </w:rPr>
        <w:t>Whole Population Budget</w:t>
      </w:r>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The MCP will hold a whole population budget. At present this is based upon bu</w:t>
      </w:r>
      <w:r>
        <w:rPr>
          <w:rStyle w:val="tdright1"/>
          <w:rFonts w:ascii="Verdana" w:eastAsia="Times New Roman" w:hAnsi="Verdana"/>
          <w:sz w:val="20"/>
          <w:szCs w:val="20"/>
        </w:rPr>
        <w:t xml:space="preserve">dgeted 2016/17 pay and prices. </w:t>
      </w:r>
      <w:bookmarkStart w:id="0" w:name="_GoBack"/>
      <w:bookmarkEnd w:id="0"/>
    </w:p>
    <w:p w:rsidR="005B4BAD" w:rsidRP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Further details relating to the service scope and requirements of the Multi-Specialty Community Provider (MCP) can be found via</w:t>
      </w:r>
      <w:r>
        <w:rPr>
          <w:rStyle w:val="tdright1"/>
          <w:rFonts w:ascii="Verdana" w:eastAsia="Times New Roman" w:hAnsi="Verdana"/>
          <w:sz w:val="20"/>
          <w:szCs w:val="20"/>
        </w:rPr>
        <w:t xml:space="preserve"> the Bravo </w:t>
      </w:r>
      <w:proofErr w:type="spellStart"/>
      <w:r>
        <w:rPr>
          <w:rStyle w:val="tdright1"/>
          <w:rFonts w:ascii="Verdana" w:eastAsia="Times New Roman" w:hAnsi="Verdana"/>
          <w:sz w:val="20"/>
          <w:szCs w:val="20"/>
        </w:rPr>
        <w:t>eProcurement</w:t>
      </w:r>
      <w:proofErr w:type="spellEnd"/>
      <w:r>
        <w:rPr>
          <w:rStyle w:val="tdright1"/>
          <w:rFonts w:ascii="Verdana" w:eastAsia="Times New Roman" w:hAnsi="Verdana"/>
          <w:sz w:val="20"/>
          <w:szCs w:val="20"/>
        </w:rPr>
        <w:t xml:space="preserve"> Portal.</w:t>
      </w:r>
    </w:p>
    <w:p w:rsidR="005B4BAD" w:rsidRPr="005B4BAD" w:rsidRDefault="005B4BAD" w:rsidP="005B4BAD">
      <w:pPr>
        <w:rPr>
          <w:rStyle w:val="tdright1"/>
          <w:rFonts w:ascii="Verdana" w:eastAsia="Times New Roman" w:hAnsi="Verdana"/>
          <w:sz w:val="20"/>
          <w:szCs w:val="20"/>
        </w:rPr>
      </w:pPr>
      <w:r>
        <w:rPr>
          <w:rStyle w:val="tdright1"/>
          <w:rFonts w:ascii="Verdana" w:eastAsia="Times New Roman" w:hAnsi="Verdana"/>
          <w:sz w:val="20"/>
          <w:szCs w:val="20"/>
        </w:rPr>
        <w:t>Details of how to access this portal and further information relating to the procurement can be found within section VI.3 of the related OJEU notice and in Section 5 of the Contracts Finder notice.</w:t>
      </w:r>
    </w:p>
    <w:p w:rsidR="005B4BAD" w:rsidRDefault="005B4BAD" w:rsidP="005B4BAD">
      <w:pPr>
        <w:rPr>
          <w:rStyle w:val="tdright1"/>
          <w:rFonts w:ascii="Verdana" w:eastAsia="Times New Roman" w:hAnsi="Verdana"/>
          <w:sz w:val="20"/>
          <w:szCs w:val="20"/>
        </w:rPr>
      </w:pPr>
      <w:r w:rsidRPr="005B4BAD">
        <w:rPr>
          <w:rStyle w:val="tdright1"/>
          <w:rFonts w:ascii="Verdana" w:eastAsia="Times New Roman" w:hAnsi="Verdana"/>
          <w:sz w:val="20"/>
          <w:szCs w:val="20"/>
        </w:rPr>
        <w:t>Please note, NHS Arden and GEM CSU are acting as an agent for the CCG in the procurement process</w:t>
      </w:r>
    </w:p>
    <w:p w:rsidR="005B4BAD" w:rsidRDefault="005B4BAD">
      <w:pPr>
        <w:rPr>
          <w:rStyle w:val="tdright1"/>
          <w:rFonts w:ascii="Verdana" w:eastAsia="Times New Roman" w:hAnsi="Verdana"/>
          <w:sz w:val="20"/>
          <w:szCs w:val="20"/>
        </w:rPr>
      </w:pPr>
    </w:p>
    <w:p w:rsidR="00523A94" w:rsidRDefault="00523A94"/>
    <w:sectPr w:rsidR="0052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94"/>
    <w:rsid w:val="00523A94"/>
    <w:rsid w:val="005B4BAD"/>
    <w:rsid w:val="005C2B14"/>
    <w:rsid w:val="007C7B9C"/>
    <w:rsid w:val="009813BE"/>
    <w:rsid w:val="00A771C7"/>
    <w:rsid w:val="00CF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pethreecols1">
    <w:name w:val="typethreecols1"/>
    <w:basedOn w:val="DefaultParagraphFont"/>
    <w:rsid w:val="00523A94"/>
    <w:rPr>
      <w:b/>
      <w:bCs/>
    </w:rPr>
  </w:style>
  <w:style w:type="character" w:customStyle="1" w:styleId="tdright1">
    <w:name w:val="tdright1"/>
    <w:basedOn w:val="DefaultParagraphFont"/>
    <w:rsid w:val="00523A94"/>
    <w:rPr>
      <w:i/>
      <w:iCs/>
      <w:color w:val="5D666F"/>
    </w:rPr>
  </w:style>
  <w:style w:type="character" w:styleId="CommentReference">
    <w:name w:val="annotation reference"/>
    <w:basedOn w:val="DefaultParagraphFont"/>
    <w:uiPriority w:val="99"/>
    <w:semiHidden/>
    <w:unhideWhenUsed/>
    <w:rsid w:val="00A771C7"/>
    <w:rPr>
      <w:sz w:val="16"/>
      <w:szCs w:val="16"/>
    </w:rPr>
  </w:style>
  <w:style w:type="paragraph" w:styleId="CommentText">
    <w:name w:val="annotation text"/>
    <w:basedOn w:val="Normal"/>
    <w:link w:val="CommentTextChar"/>
    <w:uiPriority w:val="99"/>
    <w:semiHidden/>
    <w:unhideWhenUsed/>
    <w:rsid w:val="00A771C7"/>
    <w:pPr>
      <w:spacing w:line="240" w:lineRule="auto"/>
    </w:pPr>
    <w:rPr>
      <w:sz w:val="20"/>
      <w:szCs w:val="20"/>
    </w:rPr>
  </w:style>
  <w:style w:type="character" w:customStyle="1" w:styleId="CommentTextChar">
    <w:name w:val="Comment Text Char"/>
    <w:basedOn w:val="DefaultParagraphFont"/>
    <w:link w:val="CommentText"/>
    <w:uiPriority w:val="99"/>
    <w:semiHidden/>
    <w:rsid w:val="00A771C7"/>
    <w:rPr>
      <w:sz w:val="20"/>
      <w:szCs w:val="20"/>
    </w:rPr>
  </w:style>
  <w:style w:type="paragraph" w:styleId="CommentSubject">
    <w:name w:val="annotation subject"/>
    <w:basedOn w:val="CommentText"/>
    <w:next w:val="CommentText"/>
    <w:link w:val="CommentSubjectChar"/>
    <w:uiPriority w:val="99"/>
    <w:semiHidden/>
    <w:unhideWhenUsed/>
    <w:rsid w:val="00A771C7"/>
    <w:rPr>
      <w:b/>
      <w:bCs/>
    </w:rPr>
  </w:style>
  <w:style w:type="character" w:customStyle="1" w:styleId="CommentSubjectChar">
    <w:name w:val="Comment Subject Char"/>
    <w:basedOn w:val="CommentTextChar"/>
    <w:link w:val="CommentSubject"/>
    <w:uiPriority w:val="99"/>
    <w:semiHidden/>
    <w:rsid w:val="00A771C7"/>
    <w:rPr>
      <w:b/>
      <w:bCs/>
      <w:sz w:val="20"/>
      <w:szCs w:val="20"/>
    </w:rPr>
  </w:style>
  <w:style w:type="paragraph" w:styleId="BalloonText">
    <w:name w:val="Balloon Text"/>
    <w:basedOn w:val="Normal"/>
    <w:link w:val="BalloonTextChar"/>
    <w:uiPriority w:val="99"/>
    <w:semiHidden/>
    <w:unhideWhenUsed/>
    <w:rsid w:val="00A77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pethreecols1">
    <w:name w:val="typethreecols1"/>
    <w:basedOn w:val="DefaultParagraphFont"/>
    <w:rsid w:val="00523A94"/>
    <w:rPr>
      <w:b/>
      <w:bCs/>
    </w:rPr>
  </w:style>
  <w:style w:type="character" w:customStyle="1" w:styleId="tdright1">
    <w:name w:val="tdright1"/>
    <w:basedOn w:val="DefaultParagraphFont"/>
    <w:rsid w:val="00523A94"/>
    <w:rPr>
      <w:i/>
      <w:iCs/>
      <w:color w:val="5D666F"/>
    </w:rPr>
  </w:style>
  <w:style w:type="character" w:styleId="CommentReference">
    <w:name w:val="annotation reference"/>
    <w:basedOn w:val="DefaultParagraphFont"/>
    <w:uiPriority w:val="99"/>
    <w:semiHidden/>
    <w:unhideWhenUsed/>
    <w:rsid w:val="00A771C7"/>
    <w:rPr>
      <w:sz w:val="16"/>
      <w:szCs w:val="16"/>
    </w:rPr>
  </w:style>
  <w:style w:type="paragraph" w:styleId="CommentText">
    <w:name w:val="annotation text"/>
    <w:basedOn w:val="Normal"/>
    <w:link w:val="CommentTextChar"/>
    <w:uiPriority w:val="99"/>
    <w:semiHidden/>
    <w:unhideWhenUsed/>
    <w:rsid w:val="00A771C7"/>
    <w:pPr>
      <w:spacing w:line="240" w:lineRule="auto"/>
    </w:pPr>
    <w:rPr>
      <w:sz w:val="20"/>
      <w:szCs w:val="20"/>
    </w:rPr>
  </w:style>
  <w:style w:type="character" w:customStyle="1" w:styleId="CommentTextChar">
    <w:name w:val="Comment Text Char"/>
    <w:basedOn w:val="DefaultParagraphFont"/>
    <w:link w:val="CommentText"/>
    <w:uiPriority w:val="99"/>
    <w:semiHidden/>
    <w:rsid w:val="00A771C7"/>
    <w:rPr>
      <w:sz w:val="20"/>
      <w:szCs w:val="20"/>
    </w:rPr>
  </w:style>
  <w:style w:type="paragraph" w:styleId="CommentSubject">
    <w:name w:val="annotation subject"/>
    <w:basedOn w:val="CommentText"/>
    <w:next w:val="CommentText"/>
    <w:link w:val="CommentSubjectChar"/>
    <w:uiPriority w:val="99"/>
    <w:semiHidden/>
    <w:unhideWhenUsed/>
    <w:rsid w:val="00A771C7"/>
    <w:rPr>
      <w:b/>
      <w:bCs/>
    </w:rPr>
  </w:style>
  <w:style w:type="character" w:customStyle="1" w:styleId="CommentSubjectChar">
    <w:name w:val="Comment Subject Char"/>
    <w:basedOn w:val="CommentTextChar"/>
    <w:link w:val="CommentSubject"/>
    <w:uiPriority w:val="99"/>
    <w:semiHidden/>
    <w:rsid w:val="00A771C7"/>
    <w:rPr>
      <w:b/>
      <w:bCs/>
      <w:sz w:val="20"/>
      <w:szCs w:val="20"/>
    </w:rPr>
  </w:style>
  <w:style w:type="paragraph" w:styleId="BalloonText">
    <w:name w:val="Balloon Text"/>
    <w:basedOn w:val="Normal"/>
    <w:link w:val="BalloonTextChar"/>
    <w:uiPriority w:val="99"/>
    <w:semiHidden/>
    <w:unhideWhenUsed/>
    <w:rsid w:val="00A77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Ward</dc:creator>
  <cp:lastModifiedBy>Richard Ward</cp:lastModifiedBy>
  <cp:revision>2</cp:revision>
  <dcterms:created xsi:type="dcterms:W3CDTF">2017-04-20T19:31:00Z</dcterms:created>
  <dcterms:modified xsi:type="dcterms:W3CDTF">2017-04-20T19:31:00Z</dcterms:modified>
</cp:coreProperties>
</file>