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E66E22" w14:textId="715A436F" w:rsidR="00160B7C" w:rsidRDefault="00BD1D4F" w:rsidP="00185BCE">
      <w:pPr>
        <w:pStyle w:val="Body"/>
        <w:spacing w:after="0" w:line="360" w:lineRule="auto"/>
        <w:jc w:val="center"/>
        <w:rPr>
          <w:b/>
          <w:u w:val="single"/>
        </w:rPr>
      </w:pPr>
      <w:r w:rsidRPr="00BD1D4F">
        <w:rPr>
          <w:b/>
          <w:u w:val="single"/>
        </w:rPr>
        <w:t xml:space="preserve">Science Based Targets </w:t>
      </w:r>
      <w:r w:rsidR="00974E28">
        <w:rPr>
          <w:b/>
          <w:u w:val="single"/>
        </w:rPr>
        <w:t xml:space="preserve">- </w:t>
      </w:r>
      <w:r w:rsidR="00BF673B">
        <w:rPr>
          <w:b/>
          <w:u w:val="single"/>
        </w:rPr>
        <w:t>Specification</w:t>
      </w:r>
    </w:p>
    <w:p w14:paraId="093C2129" w14:textId="77777777" w:rsidR="006C4B92" w:rsidRDefault="006C4B92" w:rsidP="00185BCE">
      <w:pPr>
        <w:pStyle w:val="Body"/>
        <w:spacing w:after="0" w:line="360" w:lineRule="auto"/>
        <w:jc w:val="both"/>
        <w:rPr>
          <w:b/>
          <w:u w:val="single"/>
        </w:rPr>
      </w:pPr>
    </w:p>
    <w:p w14:paraId="3BF7474B" w14:textId="77777777" w:rsidR="003C060C" w:rsidRDefault="00BD1D4F" w:rsidP="00185BCE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Background</w:t>
      </w:r>
    </w:p>
    <w:p w14:paraId="6E42FF95" w14:textId="3A998F63" w:rsidR="00974E28" w:rsidRDefault="00197358" w:rsidP="00185BCE">
      <w:pPr>
        <w:pStyle w:val="Body"/>
        <w:spacing w:after="0" w:line="360" w:lineRule="auto"/>
        <w:jc w:val="both"/>
      </w:pPr>
      <w:r>
        <w:t xml:space="preserve">The Climate Change Act (2008) sets the framework for an 80% reduction in emissions below 1990 levels by 2050. This was designed to be consistent with keeping the global average temperature rise close to 2-degrees </w:t>
      </w:r>
      <w:r w:rsidR="00310F4D">
        <w:t>c</w:t>
      </w:r>
      <w:r>
        <w:t xml:space="preserve">elsius above pre-industrial levels. </w:t>
      </w:r>
      <w:r w:rsidR="00023FA3">
        <w:t>In</w:t>
      </w:r>
      <w:r w:rsidR="00F93593">
        <w:t xml:space="preserve"> 2015 </w:t>
      </w:r>
      <w:r w:rsidR="00023FA3" w:rsidRPr="00023FA3">
        <w:t>195</w:t>
      </w:r>
      <w:r w:rsidR="00F93593">
        <w:t xml:space="preserve"> of the world’s governments committed to the Paris Agreement</w:t>
      </w:r>
      <w:r w:rsidR="00AC7407">
        <w:t>. T</w:t>
      </w:r>
      <w:r>
        <w:t xml:space="preserve">his </w:t>
      </w:r>
      <w:r w:rsidR="00310F4D">
        <w:t>sets a</w:t>
      </w:r>
      <w:r>
        <w:t xml:space="preserve"> target to </w:t>
      </w:r>
      <w:r w:rsidR="00F93593">
        <w:t xml:space="preserve">limit global warming to below 2-degrees </w:t>
      </w:r>
      <w:r w:rsidR="00310F4D">
        <w:t>c</w:t>
      </w:r>
      <w:r w:rsidR="00BB01C0">
        <w:t>elsius, and to pursue efforts to limit it to 1.5-degrees celsius</w:t>
      </w:r>
      <w:r w:rsidR="00F93593">
        <w:t>.</w:t>
      </w:r>
      <w:r w:rsidR="009E1E64">
        <w:t xml:space="preserve"> The UK government has ratified the Paris Agreement, agreeing to take a more ambitious approach to limiting climate change</w:t>
      </w:r>
      <w:r w:rsidR="00BB01C0">
        <w:t>.</w:t>
      </w:r>
      <w:r w:rsidR="00673CB4">
        <w:t xml:space="preserve"> Th</w:t>
      </w:r>
      <w:r w:rsidR="00D842F4">
        <w:t>e</w:t>
      </w:r>
      <w:r w:rsidR="00673CB4">
        <w:t xml:space="preserve"> EU, on behalf of the UK and other EU nations, has pledged to reduce its emissions by at least 40% below 1990 levels by 2030.</w:t>
      </w:r>
    </w:p>
    <w:p w14:paraId="419E547B" w14:textId="77777777" w:rsidR="009E1E64" w:rsidRDefault="009E1E64" w:rsidP="00185BCE">
      <w:pPr>
        <w:pStyle w:val="Body"/>
        <w:spacing w:after="0" w:line="360" w:lineRule="auto"/>
        <w:jc w:val="both"/>
      </w:pPr>
      <w:bookmarkStart w:id="0" w:name="_GoBack"/>
      <w:bookmarkEnd w:id="0"/>
    </w:p>
    <w:p w14:paraId="5CA662DD" w14:textId="1C546BC4" w:rsidR="00974E28" w:rsidRDefault="00F93593" w:rsidP="00185BCE">
      <w:pPr>
        <w:pStyle w:val="Body"/>
        <w:spacing w:after="0" w:line="360" w:lineRule="auto"/>
        <w:jc w:val="both"/>
      </w:pPr>
      <w:r>
        <w:t xml:space="preserve">Robust emissions reduction targets are necessary to ensure that action </w:t>
      </w:r>
      <w:r w:rsidR="00AC7407">
        <w:t xml:space="preserve">taken to meet this ambition </w:t>
      </w:r>
      <w:r>
        <w:t xml:space="preserve">is aligned with current climate science. </w:t>
      </w:r>
      <w:r w:rsidR="00FC120A">
        <w:t xml:space="preserve">Many businesses, charities and public bodies have set carbon targets, but most are short term and not </w:t>
      </w:r>
      <w:r w:rsidR="006E6F18">
        <w:t>aligned</w:t>
      </w:r>
      <w:r w:rsidR="00FC120A">
        <w:t xml:space="preserve"> to </w:t>
      </w:r>
      <w:r w:rsidR="006E6F18">
        <w:t>current scientific evidence</w:t>
      </w:r>
      <w:r w:rsidR="00FC120A">
        <w:t xml:space="preserve">. </w:t>
      </w:r>
      <w:r>
        <w:t>Targets adopted by organisations are considered ‘science</w:t>
      </w:r>
      <w:r w:rsidR="00F34F26">
        <w:t xml:space="preserve"> </w:t>
      </w:r>
      <w:r>
        <w:t xml:space="preserve">based’ if they commit to reducing greenhouse gas emissions in line with the level of decarbonisation required to keep </w:t>
      </w:r>
      <w:r w:rsidR="00AC7407">
        <w:t xml:space="preserve">the </w:t>
      </w:r>
      <w:r>
        <w:t xml:space="preserve">global temperature increase below 2-degrees </w:t>
      </w:r>
      <w:r w:rsidR="00181662">
        <w:t>celsius, and to pursue efforts to limit the temperature increase to 1.5-degrees celsius,</w:t>
      </w:r>
      <w:r>
        <w:t xml:space="preserve"> compared to pre-industrial temperatures</w:t>
      </w:r>
      <w:r w:rsidR="00D842F4">
        <w:t>.</w:t>
      </w:r>
    </w:p>
    <w:p w14:paraId="7B3B0DCE" w14:textId="77777777" w:rsidR="009E1E64" w:rsidRDefault="009E1E64" w:rsidP="00185BCE">
      <w:pPr>
        <w:pStyle w:val="Body"/>
        <w:spacing w:after="0" w:line="360" w:lineRule="auto"/>
        <w:jc w:val="both"/>
      </w:pPr>
    </w:p>
    <w:p w14:paraId="199D0DEF" w14:textId="626B2EAA" w:rsidR="00C64F17" w:rsidRDefault="005C7DED" w:rsidP="00185BCE">
      <w:pPr>
        <w:pStyle w:val="Body"/>
        <w:spacing w:after="0" w:line="360" w:lineRule="auto"/>
        <w:jc w:val="both"/>
      </w:pPr>
      <w:r>
        <w:t xml:space="preserve">Adopting </w:t>
      </w:r>
      <w:r w:rsidR="003C060C">
        <w:t xml:space="preserve">credible </w:t>
      </w:r>
      <w:r>
        <w:t>science</w:t>
      </w:r>
      <w:r w:rsidR="00F34F26">
        <w:t xml:space="preserve"> </w:t>
      </w:r>
      <w:r>
        <w:t xml:space="preserve">based </w:t>
      </w:r>
      <w:r w:rsidR="00F34F26">
        <w:t>target</w:t>
      </w:r>
      <w:r w:rsidR="003E300C">
        <w:t>s</w:t>
      </w:r>
      <w:r w:rsidR="00F34F26">
        <w:t xml:space="preserve"> for the rail industry would</w:t>
      </w:r>
      <w:r w:rsidR="00373ACE">
        <w:t xml:space="preserve"> demonstrate a willingness by the industry to take on its fair share of responsibility for carbon emissions</w:t>
      </w:r>
      <w:r w:rsidR="00D84829">
        <w:t xml:space="preserve">, allocating </w:t>
      </w:r>
      <w:r w:rsidR="00076DF7">
        <w:t>a portion of the global carbon budget to the operations of the industry</w:t>
      </w:r>
      <w:r w:rsidR="00373ACE">
        <w:t>. Additionally, it would</w:t>
      </w:r>
      <w:r w:rsidR="00F34F26">
        <w:t xml:space="preserve">; increase innovation, </w:t>
      </w:r>
      <w:r w:rsidR="00373ACE">
        <w:t xml:space="preserve">facilitate cost savings, </w:t>
      </w:r>
      <w:r w:rsidR="006E6F18">
        <w:t>increase</w:t>
      </w:r>
      <w:r w:rsidR="007008B5">
        <w:t xml:space="preserve"> morale, </w:t>
      </w:r>
      <w:r w:rsidR="00F34F26">
        <w:t xml:space="preserve">reduce regulatory uncertainty, </w:t>
      </w:r>
      <w:r w:rsidR="00BC73DB">
        <w:t>identif</w:t>
      </w:r>
      <w:r w:rsidR="0091698A">
        <w:t xml:space="preserve">y </w:t>
      </w:r>
      <w:r w:rsidR="00BC73DB">
        <w:t xml:space="preserve">areas of risk and opportunity, </w:t>
      </w:r>
      <w:r w:rsidR="00F34F26">
        <w:t xml:space="preserve">strengthen stakeholder confidence and credibility, </w:t>
      </w:r>
      <w:r w:rsidR="006E6F18">
        <w:t>assist with</w:t>
      </w:r>
      <w:r w:rsidR="00373ACE">
        <w:t xml:space="preserve"> forecasting, </w:t>
      </w:r>
      <w:r w:rsidR="00F34F26">
        <w:t>and increase resilience.</w:t>
      </w:r>
    </w:p>
    <w:p w14:paraId="5B47B56B" w14:textId="77777777" w:rsidR="00F93593" w:rsidRPr="00F93593" w:rsidRDefault="00F93593" w:rsidP="00185BCE">
      <w:pPr>
        <w:pStyle w:val="Body"/>
        <w:spacing w:after="0" w:line="360" w:lineRule="auto"/>
        <w:jc w:val="both"/>
      </w:pPr>
    </w:p>
    <w:p w14:paraId="4323BEAA" w14:textId="1F1B111A" w:rsidR="00BD1D4F" w:rsidRDefault="00BD1D4F" w:rsidP="00185BCE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 w:rsidRPr="00BD1D4F">
        <w:rPr>
          <w:b/>
        </w:rPr>
        <w:t>Objective</w:t>
      </w:r>
    </w:p>
    <w:p w14:paraId="435C58B4" w14:textId="0389667F" w:rsidR="005A45CF" w:rsidRDefault="00E60BC1" w:rsidP="00EE20FC">
      <w:pPr>
        <w:pStyle w:val="Body"/>
        <w:spacing w:after="0" w:line="360" w:lineRule="auto"/>
        <w:jc w:val="both"/>
      </w:pPr>
      <w:r>
        <w:t xml:space="preserve">RSSB would like the </w:t>
      </w:r>
      <w:r w:rsidR="00185BCE">
        <w:t>supplier</w:t>
      </w:r>
      <w:r>
        <w:t xml:space="preserve"> to produce a </w:t>
      </w:r>
      <w:r w:rsidR="00185BCE">
        <w:t>report</w:t>
      </w:r>
      <w:r>
        <w:t xml:space="preserve"> </w:t>
      </w:r>
      <w:r w:rsidR="00185BCE">
        <w:t>outlining</w:t>
      </w:r>
      <w:r>
        <w:t xml:space="preserve"> out how the</w:t>
      </w:r>
      <w:r w:rsidR="00D6004C">
        <w:t xml:space="preserve"> rail industry </w:t>
      </w:r>
      <w:r w:rsidR="00185BCE">
        <w:t xml:space="preserve">should approach setting </w:t>
      </w:r>
      <w:r w:rsidR="00D6004C">
        <w:t>robust science based target</w:t>
      </w:r>
      <w:r w:rsidR="006A5607">
        <w:t>s</w:t>
      </w:r>
      <w:r w:rsidR="00D6004C">
        <w:t xml:space="preserve"> </w:t>
      </w:r>
      <w:r w:rsidR="00E86092">
        <w:t>to support</w:t>
      </w:r>
      <w:r w:rsidR="00D6004C">
        <w:t xml:space="preserve"> </w:t>
      </w:r>
      <w:r w:rsidR="00185BCE">
        <w:t xml:space="preserve">the </w:t>
      </w:r>
      <w:r w:rsidR="00D6004C">
        <w:t>delivery of wider UK carbon targets.</w:t>
      </w:r>
    </w:p>
    <w:p w14:paraId="28B06E6B" w14:textId="1388BE43" w:rsidR="00730C8A" w:rsidRDefault="00730C8A" w:rsidP="00EE20FC">
      <w:pPr>
        <w:pStyle w:val="Body"/>
        <w:spacing w:after="0" w:line="360" w:lineRule="auto"/>
        <w:jc w:val="both"/>
      </w:pPr>
    </w:p>
    <w:p w14:paraId="7FF7DD70" w14:textId="49F23310" w:rsidR="00730C8A" w:rsidRDefault="00730C8A" w:rsidP="00EE20FC">
      <w:pPr>
        <w:pStyle w:val="Body"/>
        <w:spacing w:after="0" w:line="360" w:lineRule="auto"/>
        <w:jc w:val="both"/>
      </w:pPr>
      <w:r>
        <w:t xml:space="preserve">Achieving this objective will allow the industry to determine whether setting science based targets is a feasible approach to tackling </w:t>
      </w:r>
      <w:r w:rsidR="005D0DF8">
        <w:t xml:space="preserve">its </w:t>
      </w:r>
      <w:r>
        <w:t xml:space="preserve">carbon emissions, and if so the next steps and foreseeable challenges </w:t>
      </w:r>
      <w:r w:rsidR="00C23EE4">
        <w:t>in doing so</w:t>
      </w:r>
      <w:r>
        <w:t xml:space="preserve">. </w:t>
      </w:r>
    </w:p>
    <w:p w14:paraId="7F8721F6" w14:textId="3E0A05C3" w:rsidR="00BD1D4F" w:rsidRDefault="00BD1D4F" w:rsidP="00185BCE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 w:rsidRPr="00BD1D4F">
        <w:rPr>
          <w:b/>
        </w:rPr>
        <w:lastRenderedPageBreak/>
        <w:t>Scope and deliverables</w:t>
      </w:r>
    </w:p>
    <w:p w14:paraId="218BDBE3" w14:textId="3F7F06DD" w:rsidR="009A5972" w:rsidRDefault="009A5972" w:rsidP="00185BCE">
      <w:pPr>
        <w:pStyle w:val="Body"/>
        <w:spacing w:after="0" w:line="360" w:lineRule="auto"/>
        <w:jc w:val="both"/>
      </w:pPr>
      <w:r>
        <w:t xml:space="preserve">The </w:t>
      </w:r>
      <w:r w:rsidR="006279EE">
        <w:t>supplier</w:t>
      </w:r>
      <w:r>
        <w:t xml:space="preserve"> is not required to establish science based target</w:t>
      </w:r>
      <w:r w:rsidR="006A5607">
        <w:t>s</w:t>
      </w:r>
      <w:r w:rsidR="00076DF7">
        <w:t xml:space="preserve"> for the industry,</w:t>
      </w:r>
      <w:r>
        <w:t xml:space="preserve"> rather to undertake a piece of research to determine the </w:t>
      </w:r>
      <w:r w:rsidR="00076DF7">
        <w:t>methods</w:t>
      </w:r>
      <w:r w:rsidR="006279EE">
        <w:t xml:space="preserve"> and steps</w:t>
      </w:r>
      <w:r w:rsidR="00076DF7">
        <w:t xml:space="preserve"> to be taken</w:t>
      </w:r>
      <w:r>
        <w:t xml:space="preserve"> </w:t>
      </w:r>
      <w:r w:rsidR="00783C83">
        <w:t>by the</w:t>
      </w:r>
      <w:r>
        <w:t xml:space="preserve"> industry </w:t>
      </w:r>
      <w:r w:rsidR="00783C83">
        <w:t>to enable it to set and embed its own target</w:t>
      </w:r>
      <w:r w:rsidR="006A5607">
        <w:t>s</w:t>
      </w:r>
      <w:r>
        <w:t xml:space="preserve">. The requested </w:t>
      </w:r>
      <w:r w:rsidR="00CF4955">
        <w:t>report</w:t>
      </w:r>
      <w:r>
        <w:t xml:space="preserve"> should encompass the following deliverables.</w:t>
      </w:r>
    </w:p>
    <w:p w14:paraId="0250AFDA" w14:textId="77777777" w:rsidR="00BC73DB" w:rsidRDefault="00BC73DB" w:rsidP="00185BCE">
      <w:pPr>
        <w:pStyle w:val="Body"/>
        <w:spacing w:after="0" w:line="360" w:lineRule="auto"/>
        <w:jc w:val="both"/>
      </w:pPr>
    </w:p>
    <w:p w14:paraId="19CDD40D" w14:textId="0BCE908B" w:rsidR="00D6004C" w:rsidRPr="0044402A" w:rsidRDefault="009A5972" w:rsidP="00185BCE">
      <w:pPr>
        <w:pStyle w:val="Bod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A</w:t>
      </w:r>
      <w:r w:rsidR="00D6004C" w:rsidRPr="0044402A">
        <w:rPr>
          <w:b/>
        </w:rPr>
        <w:t xml:space="preserve"> baselining exercise and gap analysis looking at;</w:t>
      </w:r>
    </w:p>
    <w:p w14:paraId="5B83697C" w14:textId="4758ED3A" w:rsidR="00D6004C" w:rsidRDefault="00D6004C" w:rsidP="00185BCE">
      <w:pPr>
        <w:pStyle w:val="Body"/>
        <w:spacing w:after="0" w:line="360" w:lineRule="auto"/>
        <w:ind w:left="284"/>
        <w:jc w:val="both"/>
      </w:pPr>
      <w:r>
        <w:t xml:space="preserve">The existing commitments </w:t>
      </w:r>
      <w:r w:rsidR="004D06A2">
        <w:t>made by</w:t>
      </w:r>
      <w:r>
        <w:t xml:space="preserve"> organisations within the</w:t>
      </w:r>
      <w:r w:rsidR="00D842F4">
        <w:t xml:space="preserve"> rail</w:t>
      </w:r>
      <w:r>
        <w:t xml:space="preserve"> industry</w:t>
      </w:r>
    </w:p>
    <w:p w14:paraId="26F4986A" w14:textId="56968CB4" w:rsidR="00D6004C" w:rsidRDefault="00D6004C" w:rsidP="00185BCE">
      <w:pPr>
        <w:pStyle w:val="Body"/>
        <w:spacing w:after="0" w:line="360" w:lineRule="auto"/>
        <w:ind w:left="284"/>
        <w:jc w:val="both"/>
      </w:pPr>
      <w:r>
        <w:t xml:space="preserve">The </w:t>
      </w:r>
      <w:r w:rsidR="00853D26">
        <w:t>existing</w:t>
      </w:r>
      <w:r w:rsidR="004D06A2">
        <w:t xml:space="preserve"> commitment</w:t>
      </w:r>
      <w:r>
        <w:t>s</w:t>
      </w:r>
      <w:r w:rsidR="004D06A2">
        <w:t xml:space="preserve"> made</w:t>
      </w:r>
      <w:r w:rsidR="00E86092">
        <w:t xml:space="preserve"> by,</w:t>
      </w:r>
      <w:r w:rsidR="004D06A2">
        <w:t xml:space="preserve"> and requirements</w:t>
      </w:r>
      <w:r>
        <w:t xml:space="preserve"> </w:t>
      </w:r>
      <w:r w:rsidR="004D06A2">
        <w:t>of</w:t>
      </w:r>
      <w:r>
        <w:t xml:space="preserve"> future</w:t>
      </w:r>
      <w:r w:rsidR="00E86092">
        <w:t>,</w:t>
      </w:r>
      <w:r>
        <w:t xml:space="preserve"> franchises</w:t>
      </w:r>
    </w:p>
    <w:p w14:paraId="7E3FC698" w14:textId="77777777" w:rsidR="00654D1B" w:rsidRDefault="00D6004C" w:rsidP="00654D1B">
      <w:pPr>
        <w:pStyle w:val="Body"/>
        <w:spacing w:after="0" w:line="360" w:lineRule="auto"/>
        <w:ind w:left="284"/>
        <w:jc w:val="both"/>
      </w:pPr>
      <w:r>
        <w:t xml:space="preserve">The </w:t>
      </w:r>
      <w:r w:rsidR="006279EE">
        <w:t xml:space="preserve">scope 1, 2 and 3 </w:t>
      </w:r>
      <w:r>
        <w:t>data currently collected</w:t>
      </w:r>
      <w:r w:rsidR="00783C83">
        <w:t xml:space="preserve"> </w:t>
      </w:r>
      <w:r>
        <w:t>and future data needs</w:t>
      </w:r>
      <w:r w:rsidR="00654D1B" w:rsidRPr="00654D1B">
        <w:t xml:space="preserve"> </w:t>
      </w:r>
    </w:p>
    <w:p w14:paraId="1DEF4F6F" w14:textId="77777777" w:rsidR="00A7643A" w:rsidRDefault="00A7643A" w:rsidP="00A7643A">
      <w:pPr>
        <w:pStyle w:val="Body"/>
        <w:spacing w:after="0" w:line="360" w:lineRule="auto"/>
        <w:ind w:left="284"/>
        <w:jc w:val="both"/>
      </w:pPr>
      <w:r>
        <w:t>A review of organisational boundaries and data consistency</w:t>
      </w:r>
    </w:p>
    <w:p w14:paraId="362A8EF1" w14:textId="77777777" w:rsidR="009A5F8E" w:rsidRDefault="009A5F8E" w:rsidP="00654D1B">
      <w:pPr>
        <w:pStyle w:val="Body"/>
        <w:spacing w:after="0" w:line="360" w:lineRule="auto"/>
        <w:ind w:left="284"/>
        <w:jc w:val="both"/>
      </w:pPr>
    </w:p>
    <w:p w14:paraId="1B132337" w14:textId="59785B74" w:rsidR="00D6004C" w:rsidRPr="0044402A" w:rsidRDefault="00AD76ED" w:rsidP="00185BCE">
      <w:pPr>
        <w:pStyle w:val="Bod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Justification of the</w:t>
      </w:r>
      <w:r w:rsidR="00266626">
        <w:rPr>
          <w:b/>
        </w:rPr>
        <w:t xml:space="preserve"> most </w:t>
      </w:r>
      <w:r w:rsidR="00722F8C">
        <w:rPr>
          <w:b/>
        </w:rPr>
        <w:t>appropriate technique</w:t>
      </w:r>
      <w:r>
        <w:rPr>
          <w:b/>
        </w:rPr>
        <w:t>(</w:t>
      </w:r>
      <w:r w:rsidR="00722F8C">
        <w:rPr>
          <w:b/>
        </w:rPr>
        <w:t>s</w:t>
      </w:r>
      <w:r>
        <w:rPr>
          <w:b/>
        </w:rPr>
        <w:t>)</w:t>
      </w:r>
      <w:r w:rsidR="00722F8C">
        <w:rPr>
          <w:b/>
        </w:rPr>
        <w:t xml:space="preserve"> </w:t>
      </w:r>
      <w:r>
        <w:rPr>
          <w:b/>
        </w:rPr>
        <w:t>to set</w:t>
      </w:r>
      <w:r w:rsidR="00D6004C" w:rsidRPr="0044402A">
        <w:rPr>
          <w:b/>
        </w:rPr>
        <w:t xml:space="preserve"> science based targets</w:t>
      </w:r>
      <w:r w:rsidR="00722F8C">
        <w:rPr>
          <w:b/>
        </w:rPr>
        <w:t xml:space="preserve"> for the rail industry</w:t>
      </w:r>
      <w:r w:rsidR="00A238C4">
        <w:rPr>
          <w:b/>
        </w:rPr>
        <w:t>, considering</w:t>
      </w:r>
      <w:r w:rsidR="00D6004C" w:rsidRPr="0044402A">
        <w:rPr>
          <w:b/>
        </w:rPr>
        <w:t>;</w:t>
      </w:r>
    </w:p>
    <w:p w14:paraId="7F90BAB9" w14:textId="0C37E66A" w:rsidR="00E378F2" w:rsidRDefault="00722F8C" w:rsidP="00722F8C">
      <w:pPr>
        <w:pStyle w:val="Body"/>
        <w:spacing w:after="0" w:line="360" w:lineRule="auto"/>
        <w:ind w:left="284"/>
        <w:jc w:val="both"/>
      </w:pPr>
      <w:r>
        <w:t>S</w:t>
      </w:r>
      <w:r w:rsidR="00A272E5">
        <w:t>ectoral decarbonisation</w:t>
      </w:r>
      <w:r>
        <w:t xml:space="preserve">, </w:t>
      </w:r>
      <w:r w:rsidR="00A272E5">
        <w:t>absolute emissions contraction</w:t>
      </w:r>
      <w:r>
        <w:t>, e</w:t>
      </w:r>
      <w:r w:rsidR="00A272E5">
        <w:t>conomic approach</w:t>
      </w:r>
      <w:r w:rsidR="005F5A6B">
        <w:t>es</w:t>
      </w:r>
      <w:r w:rsidR="00AD76ED">
        <w:t>, or other</w:t>
      </w:r>
    </w:p>
    <w:p w14:paraId="2E877C8A" w14:textId="0943DB11" w:rsidR="004B018D" w:rsidRDefault="004B018D" w:rsidP="00384280">
      <w:pPr>
        <w:pStyle w:val="Body"/>
        <w:spacing w:after="0" w:line="360" w:lineRule="auto"/>
        <w:ind w:left="284"/>
        <w:jc w:val="both"/>
      </w:pPr>
      <w:r>
        <w:t>The ongoing work through the Transport Refinement Project</w:t>
      </w:r>
    </w:p>
    <w:p w14:paraId="72A06137" w14:textId="578F2B2E" w:rsidR="00384280" w:rsidRDefault="00C82BCD" w:rsidP="00384280">
      <w:pPr>
        <w:pStyle w:val="Body"/>
        <w:spacing w:after="0" w:line="360" w:lineRule="auto"/>
        <w:ind w:left="284"/>
        <w:jc w:val="both"/>
      </w:pPr>
      <w:r>
        <w:t>The relevance of</w:t>
      </w:r>
      <w:r w:rsidR="00384280">
        <w:t xml:space="preserve"> key technologies – energy efficiency, purchasing, and renewables generation</w:t>
      </w:r>
    </w:p>
    <w:p w14:paraId="0DBE6EF9" w14:textId="19BA92CA" w:rsidR="00384280" w:rsidRDefault="00384280" w:rsidP="00384280">
      <w:pPr>
        <w:pStyle w:val="Body"/>
        <w:spacing w:after="0" w:line="360" w:lineRule="auto"/>
        <w:ind w:left="284"/>
        <w:jc w:val="both"/>
      </w:pPr>
      <w:r>
        <w:t>The inclusion of scope 3 emissions and supply chain influence</w:t>
      </w:r>
    </w:p>
    <w:p w14:paraId="259DFDB1" w14:textId="77777777" w:rsidR="009A5F8E" w:rsidRDefault="009A5F8E" w:rsidP="00384280">
      <w:pPr>
        <w:pStyle w:val="Body"/>
        <w:spacing w:after="0" w:line="360" w:lineRule="auto"/>
        <w:ind w:left="284"/>
        <w:jc w:val="both"/>
      </w:pPr>
    </w:p>
    <w:p w14:paraId="4E0CABB6" w14:textId="546143E2" w:rsidR="004D06A2" w:rsidRPr="001412F0" w:rsidRDefault="009A5972" w:rsidP="00185BCE">
      <w:pPr>
        <w:pStyle w:val="Body"/>
        <w:numPr>
          <w:ilvl w:val="0"/>
          <w:numId w:val="3"/>
        </w:numPr>
        <w:spacing w:after="0" w:line="360" w:lineRule="auto"/>
        <w:ind w:left="284" w:hanging="284"/>
        <w:jc w:val="both"/>
        <w:rPr>
          <w:b/>
        </w:rPr>
      </w:pPr>
      <w:r w:rsidRPr="001412F0">
        <w:rPr>
          <w:b/>
        </w:rPr>
        <w:t>I</w:t>
      </w:r>
      <w:r w:rsidR="00F95595" w:rsidRPr="001412F0">
        <w:rPr>
          <w:b/>
        </w:rPr>
        <w:t>dentif</w:t>
      </w:r>
      <w:r w:rsidRPr="001412F0">
        <w:rPr>
          <w:b/>
        </w:rPr>
        <w:t>ication of</w:t>
      </w:r>
      <w:r w:rsidR="00F95595" w:rsidRPr="001412F0">
        <w:rPr>
          <w:b/>
        </w:rPr>
        <w:t xml:space="preserve"> the </w:t>
      </w:r>
      <w:r w:rsidR="004D06A2" w:rsidRPr="001412F0">
        <w:rPr>
          <w:b/>
        </w:rPr>
        <w:t xml:space="preserve">next steps to establish science based </w:t>
      </w:r>
      <w:r w:rsidR="00205DA9" w:rsidRPr="001412F0">
        <w:rPr>
          <w:b/>
        </w:rPr>
        <w:t>target</w:t>
      </w:r>
      <w:r w:rsidR="006A5607" w:rsidRPr="001412F0">
        <w:rPr>
          <w:b/>
        </w:rPr>
        <w:t>s</w:t>
      </w:r>
      <w:r w:rsidR="004D06A2" w:rsidRPr="001412F0">
        <w:rPr>
          <w:b/>
        </w:rPr>
        <w:t xml:space="preserve">, </w:t>
      </w:r>
      <w:r w:rsidR="006279EE" w:rsidRPr="001412F0">
        <w:rPr>
          <w:b/>
        </w:rPr>
        <w:t>considering</w:t>
      </w:r>
      <w:r w:rsidR="004D06A2" w:rsidRPr="001412F0">
        <w:rPr>
          <w:b/>
        </w:rPr>
        <w:t>;</w:t>
      </w:r>
    </w:p>
    <w:p w14:paraId="0A385C55" w14:textId="11D2F596" w:rsidR="00E60BC1" w:rsidRDefault="00E60BC1" w:rsidP="00185BCE">
      <w:pPr>
        <w:pStyle w:val="Body"/>
        <w:spacing w:after="0" w:line="360" w:lineRule="auto"/>
        <w:ind w:left="284"/>
        <w:jc w:val="both"/>
      </w:pPr>
      <w:r>
        <w:t xml:space="preserve">The </w:t>
      </w:r>
      <w:r w:rsidR="00205DA9">
        <w:t>recommended</w:t>
      </w:r>
      <w:r>
        <w:t xml:space="preserve"> methodology</w:t>
      </w:r>
      <w:r w:rsidR="002D240E">
        <w:t xml:space="preserve">, </w:t>
      </w:r>
      <w:r>
        <w:t>timescales</w:t>
      </w:r>
      <w:r w:rsidR="00270056">
        <w:t>,</w:t>
      </w:r>
      <w:r>
        <w:t xml:space="preserve"> </w:t>
      </w:r>
      <w:r w:rsidR="002D240E">
        <w:t xml:space="preserve">and </w:t>
      </w:r>
      <w:r w:rsidR="00E86092">
        <w:t xml:space="preserve">estimated </w:t>
      </w:r>
      <w:r w:rsidR="002D240E">
        <w:t xml:space="preserve">costs </w:t>
      </w:r>
      <w:r w:rsidR="00E86092">
        <w:t>of</w:t>
      </w:r>
      <w:r>
        <w:t xml:space="preserve"> setting targets</w:t>
      </w:r>
    </w:p>
    <w:p w14:paraId="2821B0B0" w14:textId="6FEAA643" w:rsidR="0044402A" w:rsidRDefault="004D06A2" w:rsidP="00185BCE">
      <w:pPr>
        <w:pStyle w:val="Body"/>
        <w:spacing w:after="0" w:line="360" w:lineRule="auto"/>
        <w:ind w:left="284"/>
        <w:jc w:val="both"/>
      </w:pPr>
      <w:r>
        <w:t>K</w:t>
      </w:r>
      <w:r w:rsidR="00F95595">
        <w:t>ey decision points</w:t>
      </w:r>
      <w:r w:rsidR="0044402A">
        <w:t xml:space="preserve"> and levers for achieving reductions</w:t>
      </w:r>
    </w:p>
    <w:p w14:paraId="17F940A5" w14:textId="2B9F975F" w:rsidR="00A7643A" w:rsidRDefault="005366E9" w:rsidP="00185BCE">
      <w:pPr>
        <w:pStyle w:val="Body"/>
        <w:spacing w:after="0" w:line="360" w:lineRule="auto"/>
        <w:ind w:left="284"/>
        <w:jc w:val="both"/>
      </w:pPr>
      <w:r>
        <w:t>The c</w:t>
      </w:r>
      <w:r w:rsidR="00A7643A">
        <w:t>hallenges</w:t>
      </w:r>
      <w:r w:rsidR="00F4479D">
        <w:t>/ opportunities</w:t>
      </w:r>
      <w:r w:rsidR="00FB51A9">
        <w:t xml:space="preserve"> imposed by organisational boundaries and commerciality</w:t>
      </w:r>
    </w:p>
    <w:p w14:paraId="016E413B" w14:textId="2BFE03A5" w:rsidR="00B55415" w:rsidRDefault="00B55415" w:rsidP="00185BCE">
      <w:pPr>
        <w:pStyle w:val="Body"/>
        <w:spacing w:after="0" w:line="360" w:lineRule="auto"/>
        <w:jc w:val="both"/>
      </w:pPr>
    </w:p>
    <w:p w14:paraId="4ADEAB14" w14:textId="2A0CE010" w:rsidR="009A5972" w:rsidRDefault="009A5972" w:rsidP="00185BCE">
      <w:pPr>
        <w:pStyle w:val="Body"/>
        <w:spacing w:after="0" w:line="360" w:lineRule="auto"/>
        <w:jc w:val="both"/>
      </w:pPr>
      <w:r>
        <w:t xml:space="preserve">The above deliverables are required but not </w:t>
      </w:r>
      <w:r w:rsidR="002E4813">
        <w:t xml:space="preserve">an </w:t>
      </w:r>
      <w:r>
        <w:t>exclusive</w:t>
      </w:r>
      <w:r w:rsidR="002E4813">
        <w:t xml:space="preserve"> list</w:t>
      </w:r>
      <w:r>
        <w:t xml:space="preserve">. Additional items </w:t>
      </w:r>
      <w:r w:rsidR="006279EE">
        <w:t xml:space="preserve">recommended by the supplier </w:t>
      </w:r>
      <w:r>
        <w:t>should be included in the tender response as optional and priced accordingly.</w:t>
      </w:r>
    </w:p>
    <w:p w14:paraId="7B6F5BB6" w14:textId="77777777" w:rsidR="00B93E7B" w:rsidRDefault="00B93E7B" w:rsidP="00AD4C78">
      <w:pPr>
        <w:pStyle w:val="Body"/>
        <w:spacing w:after="0" w:line="360" w:lineRule="auto"/>
        <w:jc w:val="both"/>
        <w:rPr>
          <w:b/>
        </w:rPr>
      </w:pPr>
    </w:p>
    <w:p w14:paraId="440647E2" w14:textId="7BFDDCFC" w:rsidR="00EE20FC" w:rsidRDefault="00EE20FC" w:rsidP="00EE20FC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Critical Success Factors</w:t>
      </w:r>
    </w:p>
    <w:p w14:paraId="5513B61E" w14:textId="22230E3A" w:rsidR="00EE20FC" w:rsidRDefault="009D595F" w:rsidP="00EE20FC">
      <w:pPr>
        <w:pStyle w:val="Body"/>
        <w:spacing w:after="0" w:line="360" w:lineRule="auto"/>
        <w:jc w:val="both"/>
      </w:pPr>
      <w:r>
        <w:t>This piece of work will be deemed successful if it;</w:t>
      </w:r>
    </w:p>
    <w:p w14:paraId="35E57C45" w14:textId="303E075E" w:rsidR="009D595F" w:rsidRDefault="009D595F" w:rsidP="009D595F">
      <w:pPr>
        <w:pStyle w:val="Body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 xml:space="preserve">Clarifies </w:t>
      </w:r>
      <w:r w:rsidR="008B0EF3">
        <w:t>whether</w:t>
      </w:r>
      <w:r>
        <w:t xml:space="preserve"> setting</w:t>
      </w:r>
      <w:r w:rsidR="008B0EF3">
        <w:t xml:space="preserve"> </w:t>
      </w:r>
      <w:r>
        <w:t>science based targets is a feasible approach for the rail industry</w:t>
      </w:r>
    </w:p>
    <w:p w14:paraId="50A2DBEF" w14:textId="593DBDFD" w:rsidR="009D595F" w:rsidRDefault="00B448FB" w:rsidP="009D595F">
      <w:pPr>
        <w:pStyle w:val="Body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Provides a</w:t>
      </w:r>
      <w:r w:rsidR="00CE26CC">
        <w:t xml:space="preserve"> </w:t>
      </w:r>
      <w:r>
        <w:t>justified</w:t>
      </w:r>
      <w:r w:rsidR="00CE26CC">
        <w:t xml:space="preserve"> and useable</w:t>
      </w:r>
      <w:r w:rsidR="009D595F">
        <w:t xml:space="preserve"> methodology</w:t>
      </w:r>
      <w:r w:rsidR="0040570A">
        <w:t xml:space="preserve"> </w:t>
      </w:r>
      <w:r>
        <w:t>and next steps for the industry</w:t>
      </w:r>
      <w:r w:rsidR="008B0EF3">
        <w:t xml:space="preserve"> to enable it to set and embed science based targets</w:t>
      </w:r>
    </w:p>
    <w:p w14:paraId="7CE1D169" w14:textId="050F862F" w:rsidR="00730C8A" w:rsidRDefault="00F4479D" w:rsidP="00EE20FC">
      <w:pPr>
        <w:pStyle w:val="Body"/>
        <w:numPr>
          <w:ilvl w:val="0"/>
          <w:numId w:val="5"/>
        </w:numPr>
        <w:spacing w:after="0" w:line="360" w:lineRule="auto"/>
        <w:ind w:left="284" w:hanging="284"/>
        <w:jc w:val="both"/>
      </w:pPr>
      <w:r>
        <w:t>Provides a</w:t>
      </w:r>
      <w:r w:rsidR="00356D62">
        <w:t xml:space="preserve"> robust </w:t>
      </w:r>
      <w:r>
        <w:t xml:space="preserve">estimate of </w:t>
      </w:r>
      <w:r w:rsidR="003B0F3C">
        <w:t xml:space="preserve">the </w:t>
      </w:r>
      <w:r w:rsidR="0040570A">
        <w:t xml:space="preserve">associated </w:t>
      </w:r>
      <w:r w:rsidR="003B0F3C">
        <w:t>time and costs</w:t>
      </w:r>
      <w:r w:rsidR="0040570A">
        <w:t xml:space="preserve"> </w:t>
      </w:r>
      <w:r w:rsidR="00356D62">
        <w:t xml:space="preserve">incurred should the industry decide to </w:t>
      </w:r>
      <w:r w:rsidR="00C919CB">
        <w:t>set</w:t>
      </w:r>
      <w:r w:rsidR="00356D62">
        <w:t xml:space="preserve"> science based targets</w:t>
      </w:r>
      <w:r w:rsidR="00AC0E55">
        <w:t xml:space="preserve"> (i.e. suitable as the basis for a business case)</w:t>
      </w:r>
    </w:p>
    <w:p w14:paraId="34B36BAA" w14:textId="77777777" w:rsidR="00E44683" w:rsidRPr="00730C8A" w:rsidRDefault="00E44683" w:rsidP="00E44683">
      <w:pPr>
        <w:pStyle w:val="Body"/>
        <w:spacing w:after="0" w:line="360" w:lineRule="auto"/>
        <w:jc w:val="both"/>
      </w:pPr>
    </w:p>
    <w:p w14:paraId="5A7656AD" w14:textId="6DF3FB8D" w:rsidR="00EE20FC" w:rsidRDefault="00EE20FC" w:rsidP="00EE20FC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lastRenderedPageBreak/>
        <w:t>Estimated cost</w:t>
      </w:r>
    </w:p>
    <w:p w14:paraId="08E807D6" w14:textId="4881602D" w:rsidR="00EE20FC" w:rsidRDefault="00EE20FC" w:rsidP="00EE20FC">
      <w:pPr>
        <w:pStyle w:val="Body"/>
        <w:spacing w:after="0" w:line="360" w:lineRule="auto"/>
        <w:jc w:val="both"/>
      </w:pPr>
      <w:r>
        <w:t xml:space="preserve">The estimated cost for this piece of work is </w:t>
      </w:r>
      <w:r w:rsidRPr="001768CE">
        <w:t>£10,000</w:t>
      </w:r>
      <w:r>
        <w:t>.</w:t>
      </w:r>
    </w:p>
    <w:p w14:paraId="26538A79" w14:textId="77777777" w:rsidR="00EE20FC" w:rsidRPr="001768CE" w:rsidRDefault="00EE20FC" w:rsidP="00EE20FC">
      <w:pPr>
        <w:pStyle w:val="Body"/>
        <w:spacing w:after="0" w:line="360" w:lineRule="auto"/>
        <w:jc w:val="both"/>
      </w:pPr>
    </w:p>
    <w:p w14:paraId="267DF492" w14:textId="7A1E4BE0" w:rsidR="00B93E7B" w:rsidRDefault="00B93E7B" w:rsidP="00B93E7B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Timescales</w:t>
      </w:r>
    </w:p>
    <w:p w14:paraId="7751CCD4" w14:textId="09B7D399" w:rsidR="00B93E7B" w:rsidRDefault="00A575B6" w:rsidP="00B93E7B">
      <w:pPr>
        <w:spacing w:after="0" w:line="360" w:lineRule="auto"/>
      </w:pPr>
      <w:r>
        <w:t>The deliverables shall be finalised and formally issued to RSSB by COP 30</w:t>
      </w:r>
      <w:r w:rsidRPr="00A575B6">
        <w:rPr>
          <w:vertAlign w:val="superscript"/>
        </w:rPr>
        <w:t>th</w:t>
      </w:r>
      <w:r>
        <w:t xml:space="preserve"> March 2018.</w:t>
      </w:r>
    </w:p>
    <w:p w14:paraId="7BC1F72D" w14:textId="77777777" w:rsidR="00A575B6" w:rsidRPr="00A575B6" w:rsidRDefault="00A575B6" w:rsidP="00B93E7B">
      <w:pPr>
        <w:spacing w:after="0" w:line="360" w:lineRule="auto"/>
      </w:pPr>
    </w:p>
    <w:p w14:paraId="3975F95E" w14:textId="484DF535" w:rsidR="00BD1D4F" w:rsidRPr="00BD1D4F" w:rsidRDefault="00BD1D4F" w:rsidP="00B93E7B">
      <w:pPr>
        <w:pStyle w:val="Body"/>
        <w:numPr>
          <w:ilvl w:val="0"/>
          <w:numId w:val="2"/>
        </w:numPr>
        <w:spacing w:after="0" w:line="360" w:lineRule="auto"/>
        <w:ind w:left="284" w:hanging="284"/>
        <w:jc w:val="both"/>
        <w:rPr>
          <w:b/>
        </w:rPr>
      </w:pPr>
      <w:r>
        <w:rPr>
          <w:b/>
        </w:rPr>
        <w:t>S</w:t>
      </w:r>
      <w:r w:rsidR="00727381">
        <w:rPr>
          <w:b/>
        </w:rPr>
        <w:t>uppliers</w:t>
      </w:r>
    </w:p>
    <w:p w14:paraId="5DE85D0C" w14:textId="21657E4F" w:rsidR="0014229B" w:rsidRDefault="007871B3" w:rsidP="00B93E7B">
      <w:pPr>
        <w:pStyle w:val="Body"/>
        <w:spacing w:after="0" w:line="360" w:lineRule="auto"/>
        <w:jc w:val="both"/>
      </w:pPr>
      <w:r>
        <w:t xml:space="preserve">Tenderers are to submit their bids </w:t>
      </w:r>
      <w:proofErr w:type="gramStart"/>
      <w:r>
        <w:t>on the basis of</w:t>
      </w:r>
      <w:proofErr w:type="gramEnd"/>
      <w:r>
        <w:t xml:space="preserve"> the below qualitative questions.</w:t>
      </w:r>
    </w:p>
    <w:p w14:paraId="6F06EC13" w14:textId="779B7615" w:rsidR="007871B3" w:rsidRDefault="007871B3" w:rsidP="00B93E7B">
      <w:pPr>
        <w:pStyle w:val="Body"/>
        <w:spacing w:after="0" w:line="360" w:lineRule="auto"/>
        <w:jc w:val="both"/>
      </w:pPr>
    </w:p>
    <w:tbl>
      <w:tblPr>
        <w:tblW w:w="5445" w:type="pct"/>
        <w:tblInd w:w="-1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"/>
        <w:gridCol w:w="2406"/>
        <w:gridCol w:w="4976"/>
        <w:gridCol w:w="961"/>
      </w:tblGrid>
      <w:tr w:rsidR="007871B3" w14:paraId="4DDA1A55" w14:textId="77777777" w:rsidTr="007871B3">
        <w:trPr>
          <w:trHeight w:val="724"/>
        </w:trPr>
        <w:tc>
          <w:tcPr>
            <w:tcW w:w="66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81FEAD" w14:textId="779B7615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>A.1 Method Statement -ability to meet deliverables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3EA26" w14:textId="0D0ACD41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>The tenderer should provide evidence (in no more than t</w:t>
            </w:r>
            <w:r>
              <w:rPr>
                <w:lang w:eastAsia="en-GB"/>
              </w:rPr>
              <w:t>hree</w:t>
            </w:r>
            <w:r>
              <w:rPr>
                <w:lang w:eastAsia="en-GB"/>
              </w:rPr>
              <w:t xml:space="preserve"> pages): that it has the expertise to deliver this project by providing a method statement that sets out how it is intended to obtain, deliver and sustain the services for all aspects of the requirement. </w:t>
            </w:r>
            <w:r w:rsidR="000D19B0">
              <w:rPr>
                <w:lang w:eastAsia="en-GB"/>
              </w:rPr>
              <w:t xml:space="preserve"> Tenderers should include a previous example of having worked in this area</w:t>
            </w:r>
            <w:r>
              <w:rPr>
                <w:lang w:eastAsia="en-GB"/>
              </w:rPr>
              <w:t xml:space="preserve"> </w:t>
            </w:r>
          </w:p>
        </w:tc>
        <w:tc>
          <w:tcPr>
            <w:tcW w:w="258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0A693A" w14:textId="77250C69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 xml:space="preserve">The Tenderer’s response (in no more than </w:t>
            </w:r>
            <w:r>
              <w:rPr>
                <w:lang w:eastAsia="en-GB"/>
              </w:rPr>
              <w:t>three</w:t>
            </w:r>
            <w:r>
              <w:rPr>
                <w:lang w:eastAsia="en-GB"/>
              </w:rPr>
              <w:t xml:space="preserve"> pages):</w:t>
            </w:r>
          </w:p>
          <w:p w14:paraId="6053C148" w14:textId="77777777" w:rsidR="000D19B0" w:rsidRDefault="000D19B0" w:rsidP="000D19B0">
            <w:pPr>
              <w:spacing w:after="120" w:line="300" w:lineRule="exact"/>
              <w:ind w:left="720"/>
              <w:contextualSpacing/>
              <w:rPr>
                <w:rFonts w:eastAsia="Times New Roman"/>
                <w:lang w:eastAsia="en-GB"/>
              </w:rPr>
            </w:pPr>
          </w:p>
          <w:p w14:paraId="023CFFA8" w14:textId="77777777" w:rsidR="000D19B0" w:rsidRPr="000D19B0" w:rsidRDefault="000D19B0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lang w:eastAsia="en-GB"/>
              </w:rPr>
              <w:t xml:space="preserve">Tenderers should include a previous example of having worked in this area </w:t>
            </w:r>
          </w:p>
          <w:p w14:paraId="4D73C377" w14:textId="6B4647CA" w:rsidR="007871B3" w:rsidRDefault="007871B3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Explains how they would apply their expertise to meet the specification, including how they would conduct the study;</w:t>
            </w:r>
          </w:p>
          <w:p w14:paraId="6D1E8D8F" w14:textId="77777777" w:rsidR="007871B3" w:rsidRDefault="007871B3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Demonstrates their understanding of the objectives and provides a coherent and systematic approach to meet these objectives.</w:t>
            </w:r>
          </w:p>
          <w:p w14:paraId="4829A547" w14:textId="77777777" w:rsidR="007871B3" w:rsidRDefault="007871B3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Has understood the requirements</w:t>
            </w:r>
          </w:p>
          <w:p w14:paraId="00B6783A" w14:textId="77777777" w:rsidR="007871B3" w:rsidRDefault="007871B3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Has proposed a credible and sound methodology</w:t>
            </w:r>
          </w:p>
          <w:p w14:paraId="732EFDF8" w14:textId="77777777" w:rsidR="007871B3" w:rsidRDefault="007871B3" w:rsidP="007871B3">
            <w:pPr>
              <w:numPr>
                <w:ilvl w:val="0"/>
                <w:numId w:val="6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Has described how this will be applied to the specific challenges the work is set up to cover</w:t>
            </w:r>
            <w:r>
              <w:rPr>
                <w:rFonts w:eastAsia="Times New Roman"/>
              </w:rPr>
              <w:t xml:space="preserve">     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D1F613" w14:textId="77777777" w:rsidR="007871B3" w:rsidRDefault="007871B3">
            <w:pPr>
              <w:spacing w:after="120" w:line="300" w:lineRule="exact"/>
              <w:jc w:val="right"/>
              <w:rPr>
                <w:lang w:eastAsia="en-GB"/>
              </w:rPr>
            </w:pPr>
            <w:r>
              <w:rPr>
                <w:lang w:eastAsia="en-GB"/>
              </w:rPr>
              <w:t>40%</w:t>
            </w:r>
          </w:p>
        </w:tc>
      </w:tr>
      <w:tr w:rsidR="007871B3" w14:paraId="1087FB76" w14:textId="77777777" w:rsidTr="007871B3">
        <w:trPr>
          <w:trHeight w:val="724"/>
        </w:trPr>
        <w:tc>
          <w:tcPr>
            <w:tcW w:w="66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310A37" w14:textId="77777777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 xml:space="preserve">A.2 Project management: resource, quality, time 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61C9EE" w14:textId="77777777" w:rsidR="007871B3" w:rsidRPr="007871B3" w:rsidRDefault="007871B3">
            <w:pPr>
              <w:spacing w:after="40" w:line="280" w:lineRule="exact"/>
              <w:rPr>
                <w:lang w:eastAsia="en-GB"/>
              </w:rPr>
            </w:pPr>
            <w:r w:rsidRPr="007871B3">
              <w:rPr>
                <w:lang w:eastAsia="en-GB"/>
              </w:rPr>
              <w:t xml:space="preserve">Tenderers should outline (in no more than two pages) the processes and resources it proposes to use </w:t>
            </w:r>
            <w:proofErr w:type="gramStart"/>
            <w:r w:rsidRPr="007871B3">
              <w:rPr>
                <w:lang w:eastAsia="en-GB"/>
              </w:rPr>
              <w:t>in order to</w:t>
            </w:r>
            <w:proofErr w:type="gramEnd"/>
            <w:r w:rsidRPr="007871B3">
              <w:rPr>
                <w:lang w:eastAsia="en-GB"/>
              </w:rPr>
              <w:t xml:space="preserve"> fulfil RSSB requirements.</w:t>
            </w:r>
          </w:p>
          <w:p w14:paraId="018C8329" w14:textId="77777777" w:rsidR="007871B3" w:rsidRPr="007871B3" w:rsidRDefault="007871B3">
            <w:pPr>
              <w:spacing w:after="120" w:line="300" w:lineRule="exact"/>
              <w:rPr>
                <w:lang w:eastAsia="en-GB"/>
              </w:rPr>
            </w:pPr>
            <w:r w:rsidRPr="007871B3">
              <w:rPr>
                <w:lang w:eastAsia="en-GB"/>
              </w:rPr>
              <w:t>Tenderers should:</w:t>
            </w:r>
          </w:p>
          <w:p w14:paraId="06906B41" w14:textId="77777777" w:rsidR="007871B3" w:rsidRPr="007871B3" w:rsidRDefault="007871B3" w:rsidP="007871B3">
            <w:pPr>
              <w:numPr>
                <w:ilvl w:val="0"/>
                <w:numId w:val="7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Clearly identify each team member’s role;</w:t>
            </w:r>
          </w:p>
          <w:p w14:paraId="6D6F484C" w14:textId="77777777" w:rsidR="007871B3" w:rsidRPr="007871B3" w:rsidRDefault="007871B3" w:rsidP="007871B3">
            <w:pPr>
              <w:numPr>
                <w:ilvl w:val="0"/>
                <w:numId w:val="7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 xml:space="preserve">Provide adequate allocation of appropriate </w:t>
            </w:r>
            <w:r w:rsidRPr="007871B3">
              <w:rPr>
                <w:rFonts w:eastAsia="Times New Roman"/>
                <w:lang w:eastAsia="en-GB"/>
              </w:rPr>
              <w:lastRenderedPageBreak/>
              <w:t>resources against deliverables;</w:t>
            </w:r>
          </w:p>
          <w:p w14:paraId="61356CF9" w14:textId="77777777" w:rsidR="007871B3" w:rsidRPr="007871B3" w:rsidRDefault="007871B3" w:rsidP="007871B3">
            <w:pPr>
              <w:numPr>
                <w:ilvl w:val="0"/>
                <w:numId w:val="7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Demonstrate how they would work with RSSB and communicate and engage with relevant industry stakeholders to ensure that the quality and content of the deliverables are fit for purpose;</w:t>
            </w:r>
          </w:p>
          <w:p w14:paraId="59A2737B" w14:textId="77777777" w:rsidR="007871B3" w:rsidRPr="007871B3" w:rsidRDefault="007871B3" w:rsidP="007871B3">
            <w:pPr>
              <w:numPr>
                <w:ilvl w:val="0"/>
                <w:numId w:val="7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Explain how they would meet the critical success factors for this piece of research;</w:t>
            </w:r>
          </w:p>
          <w:p w14:paraId="48352C85" w14:textId="77777777" w:rsidR="007871B3" w:rsidRPr="007871B3" w:rsidRDefault="007871B3">
            <w:pPr>
              <w:spacing w:after="120" w:line="300" w:lineRule="exact"/>
              <w:ind w:left="720"/>
              <w:contextualSpacing/>
              <w:rPr>
                <w:lang w:eastAsia="en-GB"/>
              </w:rPr>
            </w:pPr>
          </w:p>
        </w:tc>
        <w:tc>
          <w:tcPr>
            <w:tcW w:w="258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9C74E" w14:textId="5139DDDD" w:rsidR="007871B3" w:rsidRPr="007871B3" w:rsidRDefault="007871B3">
            <w:pPr>
              <w:ind w:left="227" w:hanging="227"/>
              <w:rPr>
                <w:lang w:eastAsia="en-GB"/>
              </w:rPr>
            </w:pPr>
            <w:r w:rsidRPr="007871B3">
              <w:lastRenderedPageBreak/>
              <w:t xml:space="preserve">The tenderer’s response shows (in no more than </w:t>
            </w:r>
            <w:r w:rsidRPr="007871B3">
              <w:t xml:space="preserve">two </w:t>
            </w:r>
            <w:r w:rsidRPr="007871B3">
              <w:t>pages) that it:</w:t>
            </w:r>
          </w:p>
          <w:p w14:paraId="1B5FBEC6" w14:textId="77777777" w:rsidR="007871B3" w:rsidRPr="007871B3" w:rsidRDefault="007871B3" w:rsidP="007871B3">
            <w:pPr>
              <w:numPr>
                <w:ilvl w:val="0"/>
                <w:numId w:val="8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Has identified relevant individuals to deliver the work;</w:t>
            </w:r>
          </w:p>
          <w:p w14:paraId="432677B0" w14:textId="77777777" w:rsidR="007871B3" w:rsidRPr="007871B3" w:rsidRDefault="007871B3" w:rsidP="007871B3">
            <w:pPr>
              <w:numPr>
                <w:ilvl w:val="0"/>
                <w:numId w:val="8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Has provided a credible plan for delivering successful outcomes to time, quality and cost;</w:t>
            </w:r>
          </w:p>
          <w:p w14:paraId="35CA78E6" w14:textId="77777777" w:rsidR="007871B3" w:rsidRPr="007871B3" w:rsidRDefault="007871B3" w:rsidP="007871B3">
            <w:pPr>
              <w:numPr>
                <w:ilvl w:val="0"/>
                <w:numId w:val="8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Has identified appropriate ways to engage with RSSB and relevant stakeholders;</w:t>
            </w:r>
          </w:p>
          <w:p w14:paraId="338CE0DA" w14:textId="77777777" w:rsidR="007871B3" w:rsidRPr="007871B3" w:rsidRDefault="007871B3" w:rsidP="007871B3">
            <w:pPr>
              <w:numPr>
                <w:ilvl w:val="0"/>
                <w:numId w:val="8"/>
              </w:numPr>
              <w:spacing w:after="120" w:line="300" w:lineRule="exact"/>
              <w:rPr>
                <w:rFonts w:eastAsia="Times New Roman"/>
                <w:lang w:eastAsia="en-GB"/>
              </w:rPr>
            </w:pPr>
            <w:r w:rsidRPr="007871B3">
              <w:rPr>
                <w:rFonts w:eastAsia="Times New Roman"/>
                <w:lang w:eastAsia="en-GB"/>
              </w:rPr>
              <w:t>Has identified suitable ways to address the project’s critical success factors;</w:t>
            </w:r>
          </w:p>
          <w:p w14:paraId="3E9AE81B" w14:textId="77777777" w:rsidR="007871B3" w:rsidRPr="007871B3" w:rsidRDefault="007871B3">
            <w:pPr>
              <w:spacing w:after="120" w:line="300" w:lineRule="exact"/>
              <w:ind w:left="1080"/>
              <w:rPr>
                <w:lang w:eastAsia="en-GB"/>
              </w:rPr>
            </w:pP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736A3" w14:textId="77777777" w:rsidR="007871B3" w:rsidRDefault="007871B3">
            <w:pPr>
              <w:spacing w:after="120" w:line="300" w:lineRule="exact"/>
              <w:jc w:val="right"/>
              <w:rPr>
                <w:lang w:eastAsia="en-GB"/>
              </w:rPr>
            </w:pPr>
            <w:r>
              <w:rPr>
                <w:lang w:eastAsia="en-GB"/>
              </w:rPr>
              <w:t>30%</w:t>
            </w:r>
          </w:p>
        </w:tc>
      </w:tr>
      <w:tr w:rsidR="007871B3" w14:paraId="6299AAAA" w14:textId="77777777" w:rsidTr="007871B3">
        <w:trPr>
          <w:trHeight w:val="724"/>
        </w:trPr>
        <w:tc>
          <w:tcPr>
            <w:tcW w:w="665" w:type="pct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C69517" w14:textId="77777777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>A.3</w:t>
            </w:r>
          </w:p>
          <w:p w14:paraId="1C52682D" w14:textId="77777777" w:rsidR="007871B3" w:rsidRDefault="007871B3">
            <w:pPr>
              <w:spacing w:after="120" w:line="300" w:lineRule="exact"/>
              <w:rPr>
                <w:lang w:eastAsia="en-GB"/>
              </w:rPr>
            </w:pPr>
            <w:r>
              <w:rPr>
                <w:lang w:eastAsia="en-GB"/>
              </w:rPr>
              <w:t>Cost of project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735181" w14:textId="77777777" w:rsidR="007871B3" w:rsidRDefault="007871B3">
            <w:pPr>
              <w:spacing w:after="40" w:line="280" w:lineRule="exact"/>
              <w:rPr>
                <w:lang w:eastAsia="en-GB"/>
              </w:rPr>
            </w:pPr>
            <w:r>
              <w:rPr>
                <w:lang w:eastAsia="en-GB"/>
              </w:rPr>
              <w:t>Tenderers should:</w:t>
            </w:r>
          </w:p>
          <w:p w14:paraId="030A7C76" w14:textId="77777777" w:rsidR="007871B3" w:rsidRDefault="007871B3" w:rsidP="007871B3">
            <w:pPr>
              <w:numPr>
                <w:ilvl w:val="0"/>
                <w:numId w:val="9"/>
              </w:numPr>
              <w:spacing w:after="120" w:line="300" w:lineRule="exact"/>
              <w:contextualSpacing/>
              <w:rPr>
                <w:rFonts w:eastAsia="Times New Roman"/>
                <w:lang w:eastAsia="en-GB"/>
              </w:rPr>
            </w:pPr>
            <w:r>
              <w:rPr>
                <w:rFonts w:eastAsia="Times New Roman"/>
                <w:lang w:eastAsia="en-GB"/>
              </w:rPr>
              <w:t>Provide a fixed cost for the project and the associated cost break down.</w:t>
            </w:r>
          </w:p>
          <w:p w14:paraId="44556FFE" w14:textId="77777777" w:rsidR="007871B3" w:rsidRDefault="007871B3">
            <w:pPr>
              <w:spacing w:after="40" w:line="280" w:lineRule="exact"/>
              <w:rPr>
                <w:lang w:eastAsia="en-GB"/>
              </w:rPr>
            </w:pPr>
          </w:p>
        </w:tc>
        <w:tc>
          <w:tcPr>
            <w:tcW w:w="2589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634CD" w14:textId="77777777" w:rsidR="007871B3" w:rsidRDefault="007871B3" w:rsidP="007871B3">
            <w:pPr>
              <w:pStyle w:val="ListParagraph"/>
              <w:numPr>
                <w:ilvl w:val="0"/>
                <w:numId w:val="10"/>
              </w:numPr>
            </w:pPr>
            <w:r>
              <w:t>The tender with the lowest total cost will receive 100% of the available weighted score (30%).</w:t>
            </w:r>
          </w:p>
          <w:p w14:paraId="15145891" w14:textId="77777777" w:rsidR="007871B3" w:rsidRDefault="007871B3" w:rsidP="007871B3">
            <w:pPr>
              <w:pStyle w:val="ListParagraph"/>
              <w:numPr>
                <w:ilvl w:val="0"/>
                <w:numId w:val="10"/>
              </w:numPr>
            </w:pPr>
            <w:r>
              <w:t>Other tenderer’s tenders will receive a pro-rated relative to the lowest cost according to the following formula:</w:t>
            </w:r>
          </w:p>
          <w:p w14:paraId="48968014" w14:textId="77777777" w:rsidR="007871B3" w:rsidRDefault="007871B3" w:rsidP="007871B3">
            <w:pPr>
              <w:pStyle w:val="ListParagraph"/>
              <w:numPr>
                <w:ilvl w:val="0"/>
                <w:numId w:val="11"/>
              </w:numPr>
              <w:ind w:left="1445" w:hanging="284"/>
            </w:pPr>
            <w:r>
              <w:t>Score of other tender = lowest tender total cost / other tender total cost x 100%.</w:t>
            </w:r>
          </w:p>
        </w:tc>
        <w:tc>
          <w:tcPr>
            <w:tcW w:w="517" w:type="pct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C4B18" w14:textId="77777777" w:rsidR="007871B3" w:rsidRDefault="007871B3">
            <w:pPr>
              <w:spacing w:after="120" w:line="300" w:lineRule="exact"/>
              <w:jc w:val="right"/>
              <w:rPr>
                <w:lang w:eastAsia="en-GB"/>
              </w:rPr>
            </w:pPr>
            <w:r>
              <w:rPr>
                <w:lang w:eastAsia="en-GB"/>
              </w:rPr>
              <w:t>30%</w:t>
            </w:r>
          </w:p>
        </w:tc>
      </w:tr>
    </w:tbl>
    <w:p w14:paraId="220DF419" w14:textId="77777777" w:rsidR="007871B3" w:rsidRDefault="007871B3" w:rsidP="007871B3">
      <w:pPr>
        <w:pStyle w:val="Body"/>
        <w:tabs>
          <w:tab w:val="left" w:pos="4395"/>
        </w:tabs>
        <w:spacing w:after="0" w:line="360" w:lineRule="auto"/>
        <w:jc w:val="both"/>
      </w:pPr>
    </w:p>
    <w:sectPr w:rsidR="007871B3" w:rsidSect="00160B7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16421A"/>
    <w:multiLevelType w:val="hybridMultilevel"/>
    <w:tmpl w:val="64E641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C3F0E"/>
    <w:multiLevelType w:val="hybridMultilevel"/>
    <w:tmpl w:val="77C8D27C"/>
    <w:lvl w:ilvl="0" w:tplc="1E32B236">
      <w:start w:val="1"/>
      <w:numFmt w:val="bullet"/>
      <w:pStyle w:val="ListParagraph"/>
      <w:lvlText w:val=""/>
      <w:lvlJc w:val="left"/>
      <w:pPr>
        <w:ind w:left="1174" w:hanging="360"/>
      </w:pPr>
      <w:rPr>
        <w:rFonts w:ascii="Symbol" w:hAnsi="Symbol" w:hint="default"/>
        <w:color w:val="00879B"/>
        <w:sz w:val="24"/>
      </w:rPr>
    </w:lvl>
    <w:lvl w:ilvl="1" w:tplc="0809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311C3609"/>
    <w:multiLevelType w:val="hybridMultilevel"/>
    <w:tmpl w:val="6D4A0D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2F648CE"/>
    <w:multiLevelType w:val="hybridMultilevel"/>
    <w:tmpl w:val="8B14E59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3A4ACF"/>
    <w:multiLevelType w:val="hybridMultilevel"/>
    <w:tmpl w:val="08A279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DC2542"/>
    <w:multiLevelType w:val="hybridMultilevel"/>
    <w:tmpl w:val="114A8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31816"/>
    <w:multiLevelType w:val="hybridMultilevel"/>
    <w:tmpl w:val="6EAACE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554D6"/>
    <w:multiLevelType w:val="hybridMultilevel"/>
    <w:tmpl w:val="94D05E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390ECC"/>
    <w:multiLevelType w:val="hybridMultilevel"/>
    <w:tmpl w:val="381031A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2A05D9"/>
    <w:multiLevelType w:val="hybridMultilevel"/>
    <w:tmpl w:val="127EBD86"/>
    <w:lvl w:ilvl="0" w:tplc="51605B0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1BB"/>
    <w:rsid w:val="00023FA3"/>
    <w:rsid w:val="00025E22"/>
    <w:rsid w:val="00076DF7"/>
    <w:rsid w:val="000D19B0"/>
    <w:rsid w:val="001327A2"/>
    <w:rsid w:val="001412F0"/>
    <w:rsid w:val="0014229B"/>
    <w:rsid w:val="001471C6"/>
    <w:rsid w:val="00160B7C"/>
    <w:rsid w:val="001768CE"/>
    <w:rsid w:val="00181662"/>
    <w:rsid w:val="00185BCE"/>
    <w:rsid w:val="00190CBD"/>
    <w:rsid w:val="00196436"/>
    <w:rsid w:val="00197358"/>
    <w:rsid w:val="00197608"/>
    <w:rsid w:val="001D7ADB"/>
    <w:rsid w:val="001F7F85"/>
    <w:rsid w:val="00205DA9"/>
    <w:rsid w:val="002234CF"/>
    <w:rsid w:val="002531BB"/>
    <w:rsid w:val="00266626"/>
    <w:rsid w:val="00270056"/>
    <w:rsid w:val="00292FBE"/>
    <w:rsid w:val="002946C0"/>
    <w:rsid w:val="002D240E"/>
    <w:rsid w:val="002D3DEC"/>
    <w:rsid w:val="002E4813"/>
    <w:rsid w:val="00310F4D"/>
    <w:rsid w:val="003368BA"/>
    <w:rsid w:val="00356D62"/>
    <w:rsid w:val="00373ACE"/>
    <w:rsid w:val="00384280"/>
    <w:rsid w:val="00387D7B"/>
    <w:rsid w:val="00392E00"/>
    <w:rsid w:val="003B0F3C"/>
    <w:rsid w:val="003C060C"/>
    <w:rsid w:val="003E300C"/>
    <w:rsid w:val="003E6C6D"/>
    <w:rsid w:val="003F20D1"/>
    <w:rsid w:val="004009A1"/>
    <w:rsid w:val="0040570A"/>
    <w:rsid w:val="0044402A"/>
    <w:rsid w:val="00493CE1"/>
    <w:rsid w:val="0049796C"/>
    <w:rsid w:val="004B018D"/>
    <w:rsid w:val="004D06A2"/>
    <w:rsid w:val="005366E9"/>
    <w:rsid w:val="005A45CF"/>
    <w:rsid w:val="005B3A17"/>
    <w:rsid w:val="005C7DED"/>
    <w:rsid w:val="005C7F0D"/>
    <w:rsid w:val="005D0DF8"/>
    <w:rsid w:val="005F5A6B"/>
    <w:rsid w:val="00611A8B"/>
    <w:rsid w:val="006279EE"/>
    <w:rsid w:val="00654D1B"/>
    <w:rsid w:val="00673CB4"/>
    <w:rsid w:val="006A5607"/>
    <w:rsid w:val="006B5007"/>
    <w:rsid w:val="006C4B92"/>
    <w:rsid w:val="006E6F18"/>
    <w:rsid w:val="007008B5"/>
    <w:rsid w:val="0070773C"/>
    <w:rsid w:val="00722F8C"/>
    <w:rsid w:val="00727381"/>
    <w:rsid w:val="00730C8A"/>
    <w:rsid w:val="00732B6A"/>
    <w:rsid w:val="007662BF"/>
    <w:rsid w:val="00783C83"/>
    <w:rsid w:val="007871B3"/>
    <w:rsid w:val="00801B62"/>
    <w:rsid w:val="00853D26"/>
    <w:rsid w:val="008627F0"/>
    <w:rsid w:val="00884CE9"/>
    <w:rsid w:val="00885B9B"/>
    <w:rsid w:val="00896622"/>
    <w:rsid w:val="008B0EF3"/>
    <w:rsid w:val="008E7A45"/>
    <w:rsid w:val="0091698A"/>
    <w:rsid w:val="009414B3"/>
    <w:rsid w:val="009539AE"/>
    <w:rsid w:val="00974E28"/>
    <w:rsid w:val="009945BA"/>
    <w:rsid w:val="009A5972"/>
    <w:rsid w:val="009A5F8E"/>
    <w:rsid w:val="009D595F"/>
    <w:rsid w:val="009D6816"/>
    <w:rsid w:val="009D75C2"/>
    <w:rsid w:val="009E1E64"/>
    <w:rsid w:val="00A03795"/>
    <w:rsid w:val="00A172F6"/>
    <w:rsid w:val="00A238C4"/>
    <w:rsid w:val="00A272E5"/>
    <w:rsid w:val="00A434BD"/>
    <w:rsid w:val="00A44F71"/>
    <w:rsid w:val="00A575B6"/>
    <w:rsid w:val="00A7643A"/>
    <w:rsid w:val="00AC0E55"/>
    <w:rsid w:val="00AC7407"/>
    <w:rsid w:val="00AD4C78"/>
    <w:rsid w:val="00AD76ED"/>
    <w:rsid w:val="00B10B48"/>
    <w:rsid w:val="00B448FB"/>
    <w:rsid w:val="00B55415"/>
    <w:rsid w:val="00B65A47"/>
    <w:rsid w:val="00B66ACF"/>
    <w:rsid w:val="00B75A98"/>
    <w:rsid w:val="00B77C9B"/>
    <w:rsid w:val="00B93E7B"/>
    <w:rsid w:val="00BB01C0"/>
    <w:rsid w:val="00BC73DB"/>
    <w:rsid w:val="00BD1D4F"/>
    <w:rsid w:val="00BF673B"/>
    <w:rsid w:val="00C23EE4"/>
    <w:rsid w:val="00C51FC5"/>
    <w:rsid w:val="00C64F17"/>
    <w:rsid w:val="00C65B12"/>
    <w:rsid w:val="00C82BCD"/>
    <w:rsid w:val="00C919CB"/>
    <w:rsid w:val="00CB648C"/>
    <w:rsid w:val="00CE26CC"/>
    <w:rsid w:val="00CE39B3"/>
    <w:rsid w:val="00CE4EF6"/>
    <w:rsid w:val="00CE7B14"/>
    <w:rsid w:val="00CF4955"/>
    <w:rsid w:val="00D4482C"/>
    <w:rsid w:val="00D6004C"/>
    <w:rsid w:val="00D6673A"/>
    <w:rsid w:val="00D72704"/>
    <w:rsid w:val="00D842F4"/>
    <w:rsid w:val="00D84829"/>
    <w:rsid w:val="00DA280C"/>
    <w:rsid w:val="00E30CF7"/>
    <w:rsid w:val="00E378F2"/>
    <w:rsid w:val="00E44683"/>
    <w:rsid w:val="00E60BC1"/>
    <w:rsid w:val="00E86092"/>
    <w:rsid w:val="00EA478F"/>
    <w:rsid w:val="00EE20FC"/>
    <w:rsid w:val="00F34137"/>
    <w:rsid w:val="00F34F26"/>
    <w:rsid w:val="00F4479D"/>
    <w:rsid w:val="00F731AA"/>
    <w:rsid w:val="00F93593"/>
    <w:rsid w:val="00F950CD"/>
    <w:rsid w:val="00F95595"/>
    <w:rsid w:val="00FB51A9"/>
    <w:rsid w:val="00FC120A"/>
    <w:rsid w:val="00FF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88D7F5"/>
  <w15:chartTrackingRefBased/>
  <w15:docId w15:val="{8BECAC87-6706-482B-8574-4C9C6BD35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semiHidden="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3E6C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next w:val="TOC2"/>
    <w:autoRedefine/>
    <w:uiPriority w:val="39"/>
    <w:semiHidden/>
    <w:rsid w:val="00CB648C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CB648C"/>
    <w:pPr>
      <w:spacing w:after="100"/>
      <w:ind w:left="220"/>
    </w:pPr>
  </w:style>
  <w:style w:type="paragraph" w:customStyle="1" w:styleId="Body">
    <w:name w:val="Body"/>
    <w:qFormat/>
    <w:rsid w:val="003E6C6D"/>
    <w:pPr>
      <w:spacing w:after="120" w:line="300" w:lineRule="exact"/>
    </w:pPr>
  </w:style>
  <w:style w:type="paragraph" w:customStyle="1" w:styleId="Heading1">
    <w:name w:val="Heading1"/>
    <w:qFormat/>
    <w:rsid w:val="003E6C6D"/>
    <w:rPr>
      <w:color w:val="00B140"/>
      <w:sz w:val="32"/>
    </w:rPr>
  </w:style>
  <w:style w:type="paragraph" w:styleId="ListParagraph">
    <w:name w:val="List Paragraph"/>
    <w:basedOn w:val="Body"/>
    <w:link w:val="ListParagraphChar"/>
    <w:uiPriority w:val="34"/>
    <w:qFormat/>
    <w:rsid w:val="003E6C6D"/>
    <w:pPr>
      <w:numPr>
        <w:numId w:val="1"/>
      </w:numPr>
      <w:ind w:left="227" w:hanging="227"/>
      <w:contextualSpacing/>
    </w:pPr>
  </w:style>
  <w:style w:type="paragraph" w:styleId="Quote">
    <w:name w:val="Quote"/>
    <w:basedOn w:val="Body"/>
    <w:next w:val="Body"/>
    <w:link w:val="QuoteChar"/>
    <w:uiPriority w:val="29"/>
    <w:qFormat/>
    <w:rsid w:val="003E6C6D"/>
    <w:pPr>
      <w:spacing w:before="120"/>
      <w:ind w:left="680" w:right="68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E6C6D"/>
    <w:rPr>
      <w:i/>
      <w:iCs/>
      <w:color w:val="404040" w:themeColor="text1" w:themeTint="BF"/>
    </w:rPr>
  </w:style>
  <w:style w:type="paragraph" w:customStyle="1" w:styleId="Heading2">
    <w:name w:val="Heading2"/>
    <w:basedOn w:val="Heading1"/>
    <w:qFormat/>
    <w:rsid w:val="003E6C6D"/>
    <w:rPr>
      <w:sz w:val="28"/>
    </w:rPr>
  </w:style>
  <w:style w:type="character" w:styleId="Hyperlink">
    <w:name w:val="Hyperlink"/>
    <w:basedOn w:val="DefaultParagraphFont"/>
    <w:uiPriority w:val="99"/>
    <w:unhideWhenUsed/>
    <w:rsid w:val="00F3413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4137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72704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F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F8C"/>
    <w:rPr>
      <w:rFonts w:ascii="Segoe UI" w:hAnsi="Segoe UI" w:cs="Segoe UI"/>
      <w:sz w:val="18"/>
      <w:szCs w:val="18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7871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062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1038</Words>
  <Characters>5920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Katherine Dalton</dc:creator>
  <cp:keywords/>
  <dc:description/>
  <cp:lastModifiedBy>Matthew Riley</cp:lastModifiedBy>
  <cp:revision>2</cp:revision>
  <dcterms:created xsi:type="dcterms:W3CDTF">2018-01-16T14:12:00Z</dcterms:created>
  <dcterms:modified xsi:type="dcterms:W3CDTF">2018-01-16T14:12:00Z</dcterms:modified>
</cp:coreProperties>
</file>