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EBECB" w14:textId="2B534723" w:rsidR="00A85B19" w:rsidRPr="0041419B" w:rsidRDefault="00032803" w:rsidP="007279F4">
      <w:pPr>
        <w:pStyle w:val="CoverTitle"/>
        <w:rPr>
          <w:b/>
        </w:rPr>
      </w:pPr>
      <w:bookmarkStart w:id="0" w:name="_GoBack"/>
      <w:bookmarkEnd w:id="0"/>
      <w:r w:rsidRPr="0041419B">
        <w:rPr>
          <w:b/>
        </w:rPr>
        <w:t>Specification for research project</w:t>
      </w:r>
    </w:p>
    <w:p w14:paraId="7190D4FC" w14:textId="533C7238" w:rsidR="006A4C94" w:rsidRPr="006A4C94" w:rsidRDefault="006A4C94" w:rsidP="00032803">
      <w:pPr>
        <w:pStyle w:val="CoverSubTitle"/>
        <w:rPr>
          <w:b/>
          <w:sz w:val="36"/>
          <w:szCs w:val="36"/>
        </w:rPr>
      </w:pPr>
      <w:r w:rsidRPr="006A4C94">
        <w:rPr>
          <w:b/>
          <w:sz w:val="36"/>
          <w:szCs w:val="36"/>
        </w:rPr>
        <w:t xml:space="preserve">T1202 - Guidance for </w:t>
      </w:r>
      <w:r>
        <w:rPr>
          <w:b/>
          <w:sz w:val="36"/>
          <w:szCs w:val="36"/>
        </w:rPr>
        <w:t xml:space="preserve">introducing and managing </w:t>
      </w:r>
      <w:r w:rsidRPr="006A4C94">
        <w:rPr>
          <w:b/>
          <w:sz w:val="36"/>
          <w:szCs w:val="36"/>
        </w:rPr>
        <w:t xml:space="preserve">Selective Door Operation </w:t>
      </w:r>
      <w:r>
        <w:rPr>
          <w:b/>
          <w:sz w:val="36"/>
          <w:szCs w:val="36"/>
        </w:rPr>
        <w:t xml:space="preserve">(SDO) </w:t>
      </w:r>
    </w:p>
    <w:p w14:paraId="6E7ECA76" w14:textId="4007EC2D" w:rsidR="006A4C94" w:rsidRDefault="006A4C94" w:rsidP="006A4C94">
      <w:pPr>
        <w:pStyle w:val="Body"/>
      </w:pPr>
      <w:r>
        <w:t xml:space="preserve">The draft research specification that follows, outlines RSSB’s proposed approach to </w:t>
      </w:r>
      <w:r w:rsidRPr="006A4C94">
        <w:t>develop good practice guidance and resources for introducing and managing SDO.  These will be ready for use and targeted for existing and potential future / new users of SDO.   Outputs from the research are expected to support a consistent and national approach to introducing and managing SDO</w:t>
      </w:r>
      <w:r>
        <w:t xml:space="preserve">.  </w:t>
      </w:r>
    </w:p>
    <w:p w14:paraId="112A1066" w14:textId="2DDE8FD9" w:rsidR="006A4C94" w:rsidRDefault="006A4C94" w:rsidP="006A4C94">
      <w:pPr>
        <w:pStyle w:val="Body"/>
      </w:pPr>
      <w:r>
        <w:t xml:space="preserve">A pre-tender suppliers meeting has been arranged for </w:t>
      </w:r>
      <w:r w:rsidRPr="0063249C">
        <w:t xml:space="preserve">13 </w:t>
      </w:r>
      <w:r w:rsidR="0063249C" w:rsidRPr="0063249C">
        <w:t>December</w:t>
      </w:r>
      <w:r w:rsidRPr="0063249C">
        <w:t xml:space="preserve"> 2019 at 1</w:t>
      </w:r>
      <w:r w:rsidR="0063249C" w:rsidRPr="0063249C">
        <w:t>3</w:t>
      </w:r>
      <w:r w:rsidRPr="0063249C">
        <w:t>:30 – 1</w:t>
      </w:r>
      <w:r w:rsidR="0063249C" w:rsidRPr="0063249C">
        <w:t>5</w:t>
      </w:r>
      <w:r w:rsidRPr="0063249C">
        <w:t>:</w:t>
      </w:r>
      <w:r w:rsidR="0063249C" w:rsidRPr="0063249C">
        <w:t>0</w:t>
      </w:r>
      <w:r w:rsidRPr="0063249C">
        <w:t>0</w:t>
      </w:r>
      <w:r>
        <w:t xml:space="preserve">, at the RSSB offices in Moorgate, London.  The purpose of this meeting is to: </w:t>
      </w:r>
    </w:p>
    <w:p w14:paraId="15C3D287" w14:textId="77777777" w:rsidR="006A4C94" w:rsidRDefault="006A4C94" w:rsidP="001F5078">
      <w:pPr>
        <w:pStyle w:val="Body"/>
        <w:numPr>
          <w:ilvl w:val="0"/>
          <w:numId w:val="30"/>
        </w:numPr>
      </w:pPr>
      <w:r>
        <w:t>Provide an outline of the project proposal</w:t>
      </w:r>
    </w:p>
    <w:p w14:paraId="147044BC" w14:textId="77777777" w:rsidR="006A4C94" w:rsidRDefault="006A4C94" w:rsidP="001F5078">
      <w:pPr>
        <w:pStyle w:val="Body"/>
        <w:numPr>
          <w:ilvl w:val="0"/>
          <w:numId w:val="30"/>
        </w:numPr>
      </w:pPr>
      <w:r>
        <w:t>Provide interested suppliers an opportunity to discuss, understand and inform the research specification</w:t>
      </w:r>
    </w:p>
    <w:p w14:paraId="3209A2E9" w14:textId="77777777" w:rsidR="006A4C94" w:rsidRDefault="006A4C94" w:rsidP="006A4C94">
      <w:pPr>
        <w:pStyle w:val="Body"/>
      </w:pPr>
      <w:r>
        <w:t>Suppliers should be prepared to discuss the following:</w:t>
      </w:r>
    </w:p>
    <w:p w14:paraId="36BB8A7B" w14:textId="77777777" w:rsidR="006A4C94" w:rsidRDefault="006A4C94" w:rsidP="001F5078">
      <w:pPr>
        <w:pStyle w:val="Body"/>
        <w:numPr>
          <w:ilvl w:val="0"/>
          <w:numId w:val="31"/>
        </w:numPr>
        <w:jc w:val="both"/>
      </w:pPr>
      <w:r>
        <w:t>What data and information would suppliers require access to, in order to deliver robust outcomes?</w:t>
      </w:r>
    </w:p>
    <w:p w14:paraId="53BC4F3F" w14:textId="77777777" w:rsidR="006A4C94" w:rsidRDefault="006A4C94" w:rsidP="001F5078">
      <w:pPr>
        <w:pStyle w:val="Body"/>
        <w:numPr>
          <w:ilvl w:val="0"/>
          <w:numId w:val="31"/>
        </w:numPr>
        <w:jc w:val="both"/>
      </w:pPr>
      <w:r>
        <w:t xml:space="preserve">Are the timescales </w:t>
      </w:r>
      <w:proofErr w:type="gramStart"/>
      <w:r>
        <w:t>sufficient</w:t>
      </w:r>
      <w:proofErr w:type="gramEnd"/>
      <w:r>
        <w:t xml:space="preserve"> to deliver quality outputs to time?</w:t>
      </w:r>
    </w:p>
    <w:p w14:paraId="7A39176C" w14:textId="77777777" w:rsidR="006A4C94" w:rsidRDefault="006A4C94" w:rsidP="001F5078">
      <w:pPr>
        <w:pStyle w:val="Body"/>
        <w:numPr>
          <w:ilvl w:val="0"/>
          <w:numId w:val="31"/>
        </w:numPr>
        <w:jc w:val="both"/>
      </w:pPr>
      <w:r>
        <w:t xml:space="preserve">What are the challenges and barriers to delivering this work? What enablers would support successful delivery of the project? </w:t>
      </w:r>
    </w:p>
    <w:p w14:paraId="7B448DE1" w14:textId="77777777" w:rsidR="006A4C94" w:rsidRDefault="006A4C94" w:rsidP="001F5078">
      <w:pPr>
        <w:pStyle w:val="Body"/>
        <w:numPr>
          <w:ilvl w:val="0"/>
          <w:numId w:val="31"/>
        </w:numPr>
        <w:jc w:val="both"/>
      </w:pPr>
      <w:r>
        <w:t xml:space="preserve">What is the estimated effort to deliver this work to quality and time?  </w:t>
      </w:r>
    </w:p>
    <w:p w14:paraId="1003F67D" w14:textId="77777777" w:rsidR="006A4C94" w:rsidRDefault="006A4C94" w:rsidP="006A4C94">
      <w:pPr>
        <w:pStyle w:val="Body"/>
        <w:jc w:val="both"/>
      </w:pPr>
    </w:p>
    <w:p w14:paraId="0313D5BB" w14:textId="01C15987" w:rsidR="006A4C94" w:rsidRDefault="006A4C94" w:rsidP="006A4C94">
      <w:pPr>
        <w:pStyle w:val="Body"/>
        <w:jc w:val="both"/>
      </w:pPr>
      <w:r>
        <w:t xml:space="preserve">Suppliers wishing to attend in person or by dialling into the meeting </w:t>
      </w:r>
      <w:r w:rsidR="00402EC9">
        <w:t xml:space="preserve">please confirm via email to </w:t>
      </w:r>
      <w:hyperlink r:id="rId11" w:history="1">
        <w:r w:rsidR="00402EC9" w:rsidRPr="001C7AF4">
          <w:rPr>
            <w:rStyle w:val="Hyperlink"/>
          </w:rPr>
          <w:t>Tanja.Odinsen@rssb.co.uk</w:t>
        </w:r>
      </w:hyperlink>
      <w:r w:rsidR="00402EC9">
        <w:t xml:space="preserve"> name of attendees (max two per supplier) by 15:00 on 12</w:t>
      </w:r>
      <w:r w:rsidR="00402EC9" w:rsidRPr="00402EC9">
        <w:rPr>
          <w:vertAlign w:val="superscript"/>
        </w:rPr>
        <w:t>th</w:t>
      </w:r>
      <w:r w:rsidR="00402EC9">
        <w:t xml:space="preserve"> December 2019.</w:t>
      </w:r>
    </w:p>
    <w:p w14:paraId="0B9A45D2" w14:textId="3C578303" w:rsidR="00032803" w:rsidRDefault="00032803" w:rsidP="00032803">
      <w:pPr>
        <w:pStyle w:val="CoverSubTitle"/>
      </w:pPr>
    </w:p>
    <w:p w14:paraId="18D3404C" w14:textId="1219EB9F" w:rsidR="002032C3" w:rsidRDefault="002032C3" w:rsidP="009C66F7">
      <w:pPr>
        <w:pStyle w:val="Body"/>
        <w:rPr>
          <w:b/>
        </w:rPr>
      </w:pPr>
    </w:p>
    <w:p w14:paraId="0770FB25" w14:textId="145F7FC1" w:rsidR="00DE3D78" w:rsidRDefault="00DE3D78" w:rsidP="009C66F7">
      <w:pPr>
        <w:pStyle w:val="Body"/>
        <w:rPr>
          <w:b/>
        </w:rPr>
      </w:pPr>
    </w:p>
    <w:p w14:paraId="05547A46" w14:textId="08803855" w:rsidR="0054035A" w:rsidRPr="002C7A2C" w:rsidRDefault="002C7A2C" w:rsidP="001F5078">
      <w:pPr>
        <w:pStyle w:val="Heading10"/>
        <w:keepNext/>
        <w:numPr>
          <w:ilvl w:val="0"/>
          <w:numId w:val="25"/>
        </w:numPr>
        <w:ind w:left="426" w:hanging="426"/>
        <w:outlineLvl w:val="9"/>
        <w:rPr>
          <w:rFonts w:ascii="Calibri" w:hAnsi="Calibri"/>
        </w:rPr>
      </w:pPr>
      <w:r>
        <w:rPr>
          <w:rFonts w:ascii="Calibri" w:hAnsi="Calibri"/>
        </w:rPr>
        <w:lastRenderedPageBreak/>
        <w:t>RSSB overview</w:t>
      </w:r>
    </w:p>
    <w:p w14:paraId="14E378A5" w14:textId="77777777" w:rsidR="00577801" w:rsidRDefault="00577801" w:rsidP="00577801">
      <w:pPr>
        <w:pStyle w:val="Body"/>
        <w:spacing w:line="276" w:lineRule="auto"/>
        <w:jc w:val="both"/>
      </w:pPr>
      <w:r w:rsidRPr="00F737D3">
        <w:t>RSSB</w:t>
      </w:r>
      <w:r>
        <w:t xml:space="preserve"> is a membership organisation that supports the GB rail industry by:</w:t>
      </w:r>
    </w:p>
    <w:p w14:paraId="759801AB" w14:textId="77777777" w:rsidR="00577801" w:rsidRPr="00360B24" w:rsidRDefault="00577801" w:rsidP="001F5078">
      <w:pPr>
        <w:pStyle w:val="Bullet1"/>
        <w:numPr>
          <w:ilvl w:val="0"/>
          <w:numId w:val="26"/>
        </w:numPr>
        <w:spacing w:line="276" w:lineRule="auto"/>
        <w:jc w:val="both"/>
      </w:pPr>
      <w:r w:rsidRPr="00360B24">
        <w:rPr>
          <w:b/>
        </w:rPr>
        <w:t>Understanding risk</w:t>
      </w:r>
      <w:r w:rsidRPr="00360B24">
        <w:t xml:space="preserve"> – Using safety intelligence with the latest risk modelling to inform members and support safe decision making. </w:t>
      </w:r>
    </w:p>
    <w:p w14:paraId="6384F202" w14:textId="77777777" w:rsidR="00577801" w:rsidRPr="00360B24" w:rsidRDefault="00577801" w:rsidP="001F5078">
      <w:pPr>
        <w:pStyle w:val="Bullet1"/>
        <w:numPr>
          <w:ilvl w:val="0"/>
          <w:numId w:val="26"/>
        </w:numPr>
        <w:spacing w:line="276" w:lineRule="auto"/>
        <w:jc w:val="both"/>
      </w:pPr>
      <w:r w:rsidRPr="00360B24">
        <w:rPr>
          <w:b/>
        </w:rPr>
        <w:t>Guiding standards</w:t>
      </w:r>
      <w:r w:rsidRPr="00360B24">
        <w:t xml:space="preserve"> – Creating, reviewing and simplifying GB standards; managing the Rule Book and making it easier for the railway to deliver efficiently and safely. </w:t>
      </w:r>
    </w:p>
    <w:p w14:paraId="7E451E59" w14:textId="77777777" w:rsidR="00577801" w:rsidRPr="00360B24" w:rsidRDefault="00577801" w:rsidP="001F5078">
      <w:pPr>
        <w:pStyle w:val="Bullet1"/>
        <w:numPr>
          <w:ilvl w:val="0"/>
          <w:numId w:val="26"/>
        </w:numPr>
        <w:spacing w:line="276" w:lineRule="auto"/>
        <w:jc w:val="both"/>
      </w:pPr>
      <w:r>
        <w:rPr>
          <w:b/>
        </w:rPr>
        <w:t>Facilitating cross-industry collaboration</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3CAA448D" w14:textId="77777777" w:rsidR="00577801" w:rsidRPr="00360B24" w:rsidRDefault="00577801" w:rsidP="001F5078">
      <w:pPr>
        <w:pStyle w:val="Bullet1"/>
        <w:numPr>
          <w:ilvl w:val="0"/>
          <w:numId w:val="26"/>
        </w:numPr>
        <w:spacing w:line="276" w:lineRule="auto"/>
        <w:jc w:val="both"/>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w:t>
      </w:r>
      <w:r w:rsidR="0061191F">
        <w:t>ing</w:t>
      </w:r>
      <w:r w:rsidRPr="00360B24">
        <w:t xml:space="preserv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6B14B7C0" w14:textId="77777777" w:rsidR="00D02A81" w:rsidRDefault="00D02A81" w:rsidP="00D02A81">
      <w:pPr>
        <w:pStyle w:val="Bullet1"/>
        <w:numPr>
          <w:ilvl w:val="0"/>
          <w:numId w:val="0"/>
        </w:numPr>
        <w:ind w:left="360" w:hanging="360"/>
      </w:pPr>
    </w:p>
    <w:p w14:paraId="14DA3B7C" w14:textId="77777777" w:rsidR="00D02A81" w:rsidRDefault="00D02A81" w:rsidP="00D02A81">
      <w:pPr>
        <w:pStyle w:val="Bullet1"/>
        <w:numPr>
          <w:ilvl w:val="0"/>
          <w:numId w:val="0"/>
        </w:numPr>
        <w:ind w:left="360" w:hanging="360"/>
      </w:pPr>
    </w:p>
    <w:p w14:paraId="1328CBE8" w14:textId="77777777" w:rsidR="00005F35" w:rsidRDefault="00005F35" w:rsidP="001F5078">
      <w:pPr>
        <w:pStyle w:val="Heading10"/>
        <w:keepNext/>
        <w:numPr>
          <w:ilvl w:val="0"/>
          <w:numId w:val="25"/>
        </w:numPr>
        <w:ind w:left="426" w:hanging="426"/>
        <w:outlineLvl w:val="9"/>
        <w:rPr>
          <w:rFonts w:ascii="Calibri" w:hAnsi="Calibri"/>
        </w:rPr>
        <w:sectPr w:rsidR="00005F35" w:rsidSect="00D26B62">
          <w:headerReference w:type="even" r:id="rId12"/>
          <w:headerReference w:type="default" r:id="rId13"/>
          <w:footerReference w:type="even" r:id="rId14"/>
          <w:footerReference w:type="default" r:id="rId15"/>
          <w:headerReference w:type="first" r:id="rId16"/>
          <w:footerReference w:type="first" r:id="rId17"/>
          <w:pgSz w:w="11906" w:h="16838"/>
          <w:pgMar w:top="1985" w:right="1985" w:bottom="1985" w:left="1985" w:header="567" w:footer="567" w:gutter="0"/>
          <w:cols w:space="708"/>
          <w:docGrid w:linePitch="360"/>
        </w:sectPr>
      </w:pPr>
    </w:p>
    <w:p w14:paraId="1F233E2D" w14:textId="39FDD89D" w:rsidR="0054035A" w:rsidRDefault="005047AB" w:rsidP="001F5078">
      <w:pPr>
        <w:pStyle w:val="Heading10"/>
        <w:keepNext/>
        <w:numPr>
          <w:ilvl w:val="0"/>
          <w:numId w:val="25"/>
        </w:numPr>
        <w:ind w:left="426" w:hanging="426"/>
        <w:outlineLvl w:val="9"/>
        <w:rPr>
          <w:rFonts w:ascii="Calibri" w:hAnsi="Calibri"/>
        </w:rPr>
      </w:pPr>
      <w:r>
        <w:rPr>
          <w:rFonts w:ascii="Calibri" w:hAnsi="Calibri"/>
        </w:rPr>
        <w:lastRenderedPageBreak/>
        <w:t>B</w:t>
      </w:r>
      <w:r w:rsidR="0054035A">
        <w:rPr>
          <w:rFonts w:ascii="Calibri" w:hAnsi="Calibri"/>
        </w:rPr>
        <w:t xml:space="preserve">ackground </w:t>
      </w:r>
    </w:p>
    <w:p w14:paraId="43701691" w14:textId="5CBA4E6D" w:rsidR="006A4C94" w:rsidRPr="006A4C94" w:rsidRDefault="006A4C94" w:rsidP="006A4C94">
      <w:pPr>
        <w:spacing w:after="120" w:line="276" w:lineRule="auto"/>
        <w:jc w:val="both"/>
        <w:rPr>
          <w:rFonts w:asciiTheme="minorHAnsi" w:hAnsiTheme="minorHAnsi" w:cstheme="minorHAnsi"/>
          <w:sz w:val="22"/>
          <w:szCs w:val="22"/>
        </w:rPr>
      </w:pPr>
      <w:r w:rsidRPr="006A4C94">
        <w:rPr>
          <w:rFonts w:asciiTheme="minorHAnsi" w:hAnsiTheme="minorHAnsi" w:cstheme="minorHAnsi"/>
          <w:sz w:val="22"/>
        </w:rPr>
        <w:t xml:space="preserve">Selective Door Operation (SDO) is a mechanism on trains that enables operational staff to release the train’s passenger doors in a selective manner, to facilitate safe operation at stops where the platform is shorter than the train.  </w:t>
      </w:r>
    </w:p>
    <w:p w14:paraId="19D6E506" w14:textId="047F5869" w:rsidR="00795ADE" w:rsidRDefault="00795ADE" w:rsidP="00795ADE">
      <w:pPr>
        <w:spacing w:after="120" w:line="276" w:lineRule="auto"/>
        <w:jc w:val="both"/>
        <w:rPr>
          <w:rFonts w:asciiTheme="minorHAnsi" w:hAnsiTheme="minorHAnsi" w:cstheme="minorHAnsi"/>
          <w:sz w:val="22"/>
        </w:rPr>
      </w:pPr>
      <w:r w:rsidRPr="006A4C94">
        <w:rPr>
          <w:rFonts w:asciiTheme="minorHAnsi" w:hAnsiTheme="minorHAnsi" w:cstheme="minorHAnsi"/>
          <w:sz w:val="22"/>
        </w:rPr>
        <w:t xml:space="preserve">New rolling stock or cascaded fleets from, one operator to another are giving rise to occasion whereby the train length will be longer than the existing platform length, increasing the potential use of SDO.  However, it is unknown, nationally, </w:t>
      </w:r>
      <w:bookmarkStart w:id="1" w:name="_Hlk23788009"/>
      <w:r w:rsidRPr="006A4C94">
        <w:rPr>
          <w:rFonts w:asciiTheme="minorHAnsi" w:hAnsiTheme="minorHAnsi" w:cstheme="minorHAnsi"/>
          <w:sz w:val="22"/>
        </w:rPr>
        <w:t>who is currently affected by SDO and / or who could be affected following new rolling stock introductions</w:t>
      </w:r>
      <w:bookmarkEnd w:id="1"/>
      <w:r w:rsidRPr="006A4C94">
        <w:rPr>
          <w:rFonts w:asciiTheme="minorHAnsi" w:hAnsiTheme="minorHAnsi" w:cstheme="minorHAnsi"/>
          <w:sz w:val="22"/>
        </w:rPr>
        <w:t xml:space="preserve">.  </w:t>
      </w:r>
    </w:p>
    <w:p w14:paraId="2F40C2F1" w14:textId="77777777" w:rsidR="0031375C" w:rsidRPr="00795ADE" w:rsidRDefault="00795ADE" w:rsidP="0031375C">
      <w:pPr>
        <w:spacing w:after="120" w:line="276" w:lineRule="auto"/>
        <w:jc w:val="both"/>
        <w:rPr>
          <w:rFonts w:asciiTheme="minorHAnsi" w:hAnsiTheme="minorHAnsi" w:cstheme="minorHAnsi"/>
          <w:sz w:val="22"/>
        </w:rPr>
      </w:pPr>
      <w:r>
        <w:rPr>
          <w:rFonts w:asciiTheme="minorHAnsi" w:hAnsiTheme="minorHAnsi" w:cstheme="minorHAnsi"/>
          <w:sz w:val="22"/>
        </w:rPr>
        <w:t xml:space="preserve">The introduction and management of SDO imports safety and performance risk that needs to be assessed and controlled.  Previous RSSB research </w:t>
      </w:r>
      <w:r w:rsidRPr="00795ADE">
        <w:rPr>
          <w:rFonts w:asciiTheme="minorHAnsi" w:hAnsiTheme="minorHAnsi" w:cstheme="minorHAnsi"/>
          <w:i/>
          <w:iCs/>
          <w:sz w:val="22"/>
        </w:rPr>
        <w:t>T769 Criteria for the application of selective door operation</w:t>
      </w:r>
      <w:r>
        <w:rPr>
          <w:rFonts w:asciiTheme="minorHAnsi" w:hAnsiTheme="minorHAnsi" w:cstheme="minorHAnsi"/>
          <w:i/>
          <w:iCs/>
          <w:sz w:val="22"/>
        </w:rPr>
        <w:t xml:space="preserve"> </w:t>
      </w:r>
      <w:r>
        <w:rPr>
          <w:rFonts w:asciiTheme="minorHAnsi" w:hAnsiTheme="minorHAnsi" w:cstheme="minorHAnsi"/>
          <w:sz w:val="22"/>
        </w:rPr>
        <w:t xml:space="preserve">identified </w:t>
      </w:r>
      <w:r w:rsidR="0031375C" w:rsidRPr="00795ADE">
        <w:rPr>
          <w:rFonts w:asciiTheme="minorHAnsi" w:hAnsiTheme="minorHAnsi" w:cstheme="minorHAnsi"/>
          <w:sz w:val="22"/>
        </w:rPr>
        <w:t>three main risks associated with SDO use, impacting safety and performance:</w:t>
      </w:r>
    </w:p>
    <w:p w14:paraId="628364BA" w14:textId="77777777" w:rsidR="0031375C" w:rsidRPr="00795ADE" w:rsidRDefault="0031375C" w:rsidP="001F5078">
      <w:pPr>
        <w:pStyle w:val="ListParagraph"/>
        <w:numPr>
          <w:ilvl w:val="0"/>
          <w:numId w:val="33"/>
        </w:numPr>
        <w:spacing w:after="120" w:line="276" w:lineRule="auto"/>
        <w:jc w:val="both"/>
        <w:rPr>
          <w:rFonts w:asciiTheme="minorHAnsi" w:hAnsiTheme="minorHAnsi" w:cstheme="minorHAnsi"/>
          <w:sz w:val="22"/>
        </w:rPr>
      </w:pPr>
      <w:r w:rsidRPr="00795ADE">
        <w:rPr>
          <w:rFonts w:asciiTheme="minorHAnsi" w:hAnsiTheme="minorHAnsi" w:cstheme="minorHAnsi"/>
          <w:sz w:val="22"/>
        </w:rPr>
        <w:t xml:space="preserve">Passengers realising the need to move along the train to alight may hurry, exacerbating the risk of crushing, slips, trips and falls.  </w:t>
      </w:r>
    </w:p>
    <w:p w14:paraId="65BC10DB" w14:textId="77777777" w:rsidR="0031375C" w:rsidRPr="00795ADE" w:rsidRDefault="0031375C" w:rsidP="001F5078">
      <w:pPr>
        <w:pStyle w:val="ListParagraph"/>
        <w:numPr>
          <w:ilvl w:val="0"/>
          <w:numId w:val="33"/>
        </w:numPr>
        <w:spacing w:after="120" w:line="276" w:lineRule="auto"/>
        <w:jc w:val="both"/>
        <w:rPr>
          <w:rFonts w:asciiTheme="minorHAnsi" w:hAnsiTheme="minorHAnsi" w:cstheme="minorHAnsi"/>
          <w:sz w:val="22"/>
        </w:rPr>
      </w:pPr>
      <w:r w:rsidRPr="00795ADE">
        <w:rPr>
          <w:rFonts w:asciiTheme="minorHAnsi" w:hAnsiTheme="minorHAnsi" w:cstheme="minorHAnsi"/>
          <w:sz w:val="22"/>
        </w:rPr>
        <w:t>Crowding around a train doorway at the PTI, to the nearest door where SDO is in use</w:t>
      </w:r>
    </w:p>
    <w:p w14:paraId="7ADF80DD" w14:textId="77777777" w:rsidR="0031375C" w:rsidRPr="00795ADE" w:rsidRDefault="0031375C" w:rsidP="001F5078">
      <w:pPr>
        <w:pStyle w:val="ListParagraph"/>
        <w:numPr>
          <w:ilvl w:val="0"/>
          <w:numId w:val="33"/>
        </w:numPr>
        <w:spacing w:after="120" w:line="276" w:lineRule="auto"/>
        <w:jc w:val="both"/>
        <w:rPr>
          <w:rFonts w:asciiTheme="minorHAnsi" w:hAnsiTheme="minorHAnsi" w:cstheme="minorHAnsi"/>
          <w:sz w:val="22"/>
        </w:rPr>
      </w:pPr>
      <w:r w:rsidRPr="00795ADE">
        <w:rPr>
          <w:rFonts w:asciiTheme="minorHAnsi" w:hAnsiTheme="minorHAnsi" w:cstheme="minorHAnsi"/>
          <w:sz w:val="22"/>
        </w:rPr>
        <w:t xml:space="preserve">Passengers who do not move along the train may force the doors and alight where there is no platform or activate the on-train alarm.   </w:t>
      </w:r>
    </w:p>
    <w:p w14:paraId="4C80FCD3" w14:textId="4E94F00D" w:rsidR="00795ADE" w:rsidRPr="00795ADE" w:rsidRDefault="006A4C94" w:rsidP="00795ADE">
      <w:pPr>
        <w:spacing w:after="120" w:line="276" w:lineRule="auto"/>
        <w:jc w:val="both"/>
        <w:rPr>
          <w:rFonts w:asciiTheme="minorHAnsi" w:hAnsiTheme="minorHAnsi" w:cstheme="minorHAnsi"/>
          <w:sz w:val="22"/>
        </w:rPr>
      </w:pPr>
      <w:r w:rsidRPr="006A4C94">
        <w:rPr>
          <w:rFonts w:asciiTheme="minorHAnsi" w:hAnsiTheme="minorHAnsi" w:cstheme="minorHAnsi"/>
          <w:sz w:val="22"/>
        </w:rPr>
        <w:t xml:space="preserve">Past research explored various concepts that improve the SDO by reducing human involvement and the risk of error in operation (e.g. Trackside Beacons, Global Positioning System, Distance Measurement), enabling automatic SDO (ASDO). With </w:t>
      </w:r>
      <w:r w:rsidR="004165C2">
        <w:rPr>
          <w:rFonts w:asciiTheme="minorHAnsi" w:hAnsiTheme="minorHAnsi" w:cstheme="minorHAnsi"/>
          <w:sz w:val="22"/>
        </w:rPr>
        <w:t>multiple</w:t>
      </w:r>
      <w:r w:rsidRPr="006A4C94">
        <w:rPr>
          <w:rFonts w:asciiTheme="minorHAnsi" w:hAnsiTheme="minorHAnsi" w:cstheme="minorHAnsi"/>
          <w:sz w:val="22"/>
        </w:rPr>
        <w:t xml:space="preserve"> options available for SDO, RSSB project T686</w:t>
      </w:r>
      <w:r>
        <w:rPr>
          <w:rStyle w:val="FootnoteReference"/>
          <w:rFonts w:asciiTheme="minorHAnsi" w:hAnsiTheme="minorHAnsi" w:cstheme="minorHAnsi"/>
          <w:sz w:val="22"/>
        </w:rPr>
        <w:footnoteReference w:id="1"/>
      </w:r>
      <w:r w:rsidRPr="006A4C94">
        <w:rPr>
          <w:rFonts w:asciiTheme="minorHAnsi" w:hAnsiTheme="minorHAnsi" w:cstheme="minorHAnsi"/>
          <w:sz w:val="22"/>
        </w:rPr>
        <w:t xml:space="preserve"> sought to create guidance for using SDO in the GB rail industry. Subsequent RSSB project (T769</w:t>
      </w:r>
      <w:r>
        <w:rPr>
          <w:rStyle w:val="FootnoteReference"/>
          <w:rFonts w:asciiTheme="minorHAnsi" w:hAnsiTheme="minorHAnsi" w:cstheme="minorHAnsi"/>
          <w:sz w:val="22"/>
        </w:rPr>
        <w:footnoteReference w:id="2"/>
      </w:r>
      <w:r w:rsidRPr="006A4C94">
        <w:rPr>
          <w:rFonts w:asciiTheme="minorHAnsi" w:hAnsiTheme="minorHAnsi" w:cstheme="minorHAnsi"/>
          <w:sz w:val="22"/>
        </w:rPr>
        <w:t xml:space="preserve">) developed both criteria for the application of SDO and a tool to inform application of SDO.  The tool was known as ‘RSSB Assessment Tool for Selective Door Operation’ (RASDO). </w:t>
      </w:r>
      <w:r w:rsidR="004165C2">
        <w:rPr>
          <w:rFonts w:asciiTheme="minorHAnsi" w:hAnsiTheme="minorHAnsi" w:cstheme="minorHAnsi"/>
          <w:sz w:val="22"/>
        </w:rPr>
        <w:t>However, t</w:t>
      </w:r>
      <w:r w:rsidRPr="006A4C94">
        <w:rPr>
          <w:rFonts w:asciiTheme="minorHAnsi" w:hAnsiTheme="minorHAnsi" w:cstheme="minorHAnsi"/>
          <w:sz w:val="22"/>
        </w:rPr>
        <w:t xml:space="preserve">he RASDO </w:t>
      </w:r>
      <w:r w:rsidR="004165C2">
        <w:rPr>
          <w:rFonts w:asciiTheme="minorHAnsi" w:hAnsiTheme="minorHAnsi" w:cstheme="minorHAnsi"/>
          <w:sz w:val="22"/>
        </w:rPr>
        <w:t>is now o</w:t>
      </w:r>
      <w:r w:rsidRPr="006A4C94">
        <w:rPr>
          <w:rFonts w:asciiTheme="minorHAnsi" w:hAnsiTheme="minorHAnsi" w:cstheme="minorHAnsi"/>
          <w:sz w:val="22"/>
        </w:rPr>
        <w:t xml:space="preserve">utdated and is no longer supported by IT operating systems. </w:t>
      </w:r>
    </w:p>
    <w:p w14:paraId="0B6BD469" w14:textId="27A16031" w:rsidR="00795ADE" w:rsidRPr="00C92AFA" w:rsidRDefault="00870BA7" w:rsidP="00795ADE">
      <w:pPr>
        <w:spacing w:after="120" w:line="276" w:lineRule="auto"/>
        <w:jc w:val="both"/>
        <w:rPr>
          <w:rFonts w:asciiTheme="minorHAnsi" w:hAnsiTheme="minorHAnsi" w:cstheme="minorHAnsi"/>
          <w:sz w:val="22"/>
        </w:rPr>
      </w:pPr>
      <w:r>
        <w:rPr>
          <w:rFonts w:asciiTheme="minorHAnsi" w:hAnsiTheme="minorHAnsi" w:cstheme="minorHAnsi"/>
          <w:sz w:val="22"/>
        </w:rPr>
        <w:t xml:space="preserve">The RSSB standard </w:t>
      </w:r>
      <w:r w:rsidRPr="00870BA7">
        <w:rPr>
          <w:rFonts w:asciiTheme="minorHAnsi" w:hAnsiTheme="minorHAnsi" w:cstheme="minorHAnsi"/>
          <w:sz w:val="22"/>
        </w:rPr>
        <w:t>RIS-2747-RST Functioning and Control of Exterior Doors on Passenger Vehicles</w:t>
      </w:r>
      <w:r>
        <w:rPr>
          <w:rFonts w:asciiTheme="minorHAnsi" w:hAnsiTheme="minorHAnsi" w:cstheme="minorHAnsi"/>
          <w:sz w:val="22"/>
        </w:rPr>
        <w:t xml:space="preserve">, provides </w:t>
      </w:r>
      <w:r w:rsidR="00C92AFA">
        <w:rPr>
          <w:rFonts w:asciiTheme="minorHAnsi" w:hAnsiTheme="minorHAnsi" w:cstheme="minorHAnsi"/>
          <w:sz w:val="22"/>
        </w:rPr>
        <w:t xml:space="preserve">the requirements for </w:t>
      </w:r>
      <w:r>
        <w:rPr>
          <w:rFonts w:asciiTheme="minorHAnsi" w:hAnsiTheme="minorHAnsi" w:cstheme="minorHAnsi"/>
          <w:sz w:val="22"/>
        </w:rPr>
        <w:t>SDO</w:t>
      </w:r>
      <w:r w:rsidR="00C92AFA">
        <w:rPr>
          <w:rFonts w:asciiTheme="minorHAnsi" w:hAnsiTheme="minorHAnsi" w:cstheme="minorHAnsi"/>
          <w:sz w:val="22"/>
        </w:rPr>
        <w:t xml:space="preserve"> design, maintenance and use</w:t>
      </w:r>
      <w:r>
        <w:rPr>
          <w:rFonts w:asciiTheme="minorHAnsi" w:hAnsiTheme="minorHAnsi" w:cstheme="minorHAnsi"/>
          <w:sz w:val="22"/>
        </w:rPr>
        <w:t xml:space="preserve">.  </w:t>
      </w:r>
      <w:r w:rsidR="0031375C">
        <w:rPr>
          <w:rFonts w:asciiTheme="minorHAnsi" w:hAnsiTheme="minorHAnsi" w:cstheme="minorHAnsi"/>
          <w:sz w:val="22"/>
        </w:rPr>
        <w:t>However, l</w:t>
      </w:r>
      <w:r w:rsidR="006A4C94" w:rsidRPr="006A4C94">
        <w:rPr>
          <w:rFonts w:asciiTheme="minorHAnsi" w:hAnsiTheme="minorHAnsi" w:cstheme="minorHAnsi"/>
          <w:sz w:val="22"/>
        </w:rPr>
        <w:t xml:space="preserve">imited guidance is currently available for assessing </w:t>
      </w:r>
      <w:r w:rsidR="00C92AFA">
        <w:rPr>
          <w:rFonts w:asciiTheme="minorHAnsi" w:hAnsiTheme="minorHAnsi" w:cstheme="minorHAnsi"/>
          <w:sz w:val="22"/>
        </w:rPr>
        <w:t xml:space="preserve">and controlling </w:t>
      </w:r>
      <w:r>
        <w:rPr>
          <w:rFonts w:asciiTheme="minorHAnsi" w:hAnsiTheme="minorHAnsi" w:cstheme="minorHAnsi"/>
          <w:sz w:val="22"/>
        </w:rPr>
        <w:t xml:space="preserve">the </w:t>
      </w:r>
      <w:r w:rsidR="006A4C94" w:rsidRPr="006A4C94">
        <w:rPr>
          <w:rFonts w:asciiTheme="minorHAnsi" w:hAnsiTheme="minorHAnsi" w:cstheme="minorHAnsi"/>
          <w:sz w:val="22"/>
        </w:rPr>
        <w:t xml:space="preserve">risks when introducing and managing SDO, with existing guidance (T686) published 10 years ago.  </w:t>
      </w:r>
      <w:r w:rsidR="00C92AFA">
        <w:rPr>
          <w:rFonts w:asciiTheme="minorHAnsi" w:hAnsiTheme="minorHAnsi" w:cstheme="minorHAnsi"/>
          <w:sz w:val="22"/>
        </w:rPr>
        <w:t xml:space="preserve">There is also a gap in understanding what good looks like, and how good practice can be shared more widely.  With rolling stock cascades and fleet introductions on the horizon, the use of SDO by existing and new users is likely to increase, and guidance will need to consider different end-user needs for introducing and managing SDO.   </w:t>
      </w:r>
      <w:r w:rsidR="00795ADE" w:rsidRPr="00795ADE">
        <w:rPr>
          <w:rFonts w:asciiTheme="minorHAnsi" w:hAnsiTheme="minorHAnsi" w:cstheme="minorHAnsi"/>
          <w:sz w:val="22"/>
        </w:rPr>
        <w:tab/>
        <w:t xml:space="preserve"> </w:t>
      </w:r>
    </w:p>
    <w:p w14:paraId="52E7C8E8" w14:textId="40717224" w:rsidR="006A4C94" w:rsidRDefault="006A4C94" w:rsidP="00795ADE">
      <w:pPr>
        <w:spacing w:after="120" w:line="276" w:lineRule="auto"/>
        <w:jc w:val="both"/>
      </w:pPr>
      <w:r w:rsidRPr="006A4C94">
        <w:rPr>
          <w:rFonts w:asciiTheme="minorHAnsi" w:hAnsiTheme="minorHAnsi" w:cstheme="minorHAnsi"/>
          <w:sz w:val="22"/>
        </w:rPr>
        <w:t xml:space="preserve">Therefore, this project sets out to understand what good practice looks like for introducing and managing SDO, present cases of good practice and produce a toolkit to support SDO operation.  </w:t>
      </w:r>
      <w:r w:rsidR="008457A3">
        <w:rPr>
          <w:rFonts w:asciiTheme="minorHAnsi" w:hAnsiTheme="minorHAnsi" w:cstheme="minorHAnsi"/>
          <w:sz w:val="22"/>
        </w:rPr>
        <w:t xml:space="preserve">Outputs from this research </w:t>
      </w:r>
      <w:r w:rsidR="00795ADE">
        <w:rPr>
          <w:rFonts w:asciiTheme="minorHAnsi" w:hAnsiTheme="minorHAnsi" w:cstheme="minorHAnsi"/>
          <w:sz w:val="22"/>
          <w:szCs w:val="22"/>
        </w:rPr>
        <w:t xml:space="preserve">should </w:t>
      </w:r>
      <w:r w:rsidRPr="00795ADE">
        <w:rPr>
          <w:rFonts w:asciiTheme="minorHAnsi" w:hAnsiTheme="minorHAnsi" w:cstheme="minorHAnsi"/>
          <w:sz w:val="22"/>
          <w:szCs w:val="22"/>
        </w:rPr>
        <w:t xml:space="preserve">enable a national and consistent approach to introducing and managing SDO use.  This is expected to reduce industry costs to introduce and </w:t>
      </w:r>
      <w:r w:rsidRPr="00795ADE">
        <w:rPr>
          <w:rFonts w:asciiTheme="minorHAnsi" w:hAnsiTheme="minorHAnsi" w:cstheme="minorHAnsi"/>
          <w:sz w:val="22"/>
          <w:szCs w:val="22"/>
        </w:rPr>
        <w:lastRenderedPageBreak/>
        <w:t>manage SDO, reduce SDO related risks at the PTI, support operational performance, and improve the customer experience.  Effective SDO use may further increase capacity, to address passenger growth, enabling the introduction of longer trains on lines with short platform lengths, thereby increasing potential revenue.</w:t>
      </w:r>
    </w:p>
    <w:p w14:paraId="676D82FD" w14:textId="40C168DA" w:rsidR="008457A3" w:rsidRDefault="008457A3" w:rsidP="008457A3">
      <w:pPr>
        <w:pStyle w:val="Body"/>
      </w:pPr>
      <w:r>
        <w:t xml:space="preserve">The industry group Platform Trains and Stations Risk Group (PTSRG) have endorsed this research, and project will be support by a cross industry Steering Group.  </w:t>
      </w:r>
    </w:p>
    <w:p w14:paraId="024BE128" w14:textId="340964D1" w:rsidR="008457A3" w:rsidRDefault="008457A3" w:rsidP="008457A3">
      <w:pPr>
        <w:pStyle w:val="Body"/>
      </w:pPr>
      <w:r w:rsidRPr="008457A3">
        <w:t xml:space="preserve">The primary research questions are presented below as the key challenges to be addressed through this work: </w:t>
      </w:r>
    </w:p>
    <w:p w14:paraId="4F46539B" w14:textId="6085A65B" w:rsidR="006A4C94" w:rsidRDefault="006A4C94" w:rsidP="001F5078">
      <w:pPr>
        <w:pStyle w:val="Body"/>
        <w:numPr>
          <w:ilvl w:val="0"/>
          <w:numId w:val="32"/>
        </w:numPr>
      </w:pPr>
      <w:r>
        <w:t xml:space="preserve">What challenges do industry face (current and future) when introducing and managing SDO, and how to overcome these? </w:t>
      </w:r>
    </w:p>
    <w:p w14:paraId="58023B4C" w14:textId="37FC4A6F" w:rsidR="006A4C94" w:rsidRDefault="006A4C94" w:rsidP="001F5078">
      <w:pPr>
        <w:pStyle w:val="Body"/>
        <w:numPr>
          <w:ilvl w:val="0"/>
          <w:numId w:val="32"/>
        </w:numPr>
      </w:pPr>
      <w:r>
        <w:t>How do we assess when (and when not) to introduce and continue using SDO?</w:t>
      </w:r>
    </w:p>
    <w:p w14:paraId="68A9B237" w14:textId="64C06761" w:rsidR="006A4C94" w:rsidRDefault="006A4C94" w:rsidP="001F5078">
      <w:pPr>
        <w:pStyle w:val="Body"/>
        <w:numPr>
          <w:ilvl w:val="0"/>
          <w:numId w:val="32"/>
        </w:numPr>
      </w:pPr>
      <w:r>
        <w:t>How do we identify and mitigate risk when introducing and managing SDO?</w:t>
      </w:r>
    </w:p>
    <w:p w14:paraId="5126DF7E" w14:textId="444ADE7D" w:rsidR="006A4C94" w:rsidRDefault="006A4C94" w:rsidP="001F5078">
      <w:pPr>
        <w:pStyle w:val="Body"/>
        <w:numPr>
          <w:ilvl w:val="0"/>
          <w:numId w:val="32"/>
        </w:numPr>
      </w:pPr>
      <w:r>
        <w:t>How do we minimise performance impacts when introducing and managing SDO?</w:t>
      </w:r>
    </w:p>
    <w:p w14:paraId="224D68AF" w14:textId="77777777" w:rsidR="007226F3" w:rsidRPr="007226F3" w:rsidRDefault="006A4C94" w:rsidP="001F5078">
      <w:pPr>
        <w:pStyle w:val="Body"/>
        <w:numPr>
          <w:ilvl w:val="0"/>
          <w:numId w:val="32"/>
        </w:numPr>
        <w:rPr>
          <w:rFonts w:asciiTheme="majorHAnsi" w:hAnsiTheme="majorHAnsi"/>
          <w:color w:val="00968E"/>
          <w:sz w:val="36"/>
        </w:rPr>
      </w:pPr>
      <w:r>
        <w:t xml:space="preserve">What does good SDO introduction and management look like? </w:t>
      </w:r>
    </w:p>
    <w:p w14:paraId="11E0B85F" w14:textId="0EB5CD54" w:rsidR="00032803" w:rsidRDefault="00032803" w:rsidP="007226F3">
      <w:pPr>
        <w:pStyle w:val="Body"/>
        <w:rPr>
          <w:rFonts w:asciiTheme="majorHAnsi" w:hAnsiTheme="majorHAnsi"/>
          <w:color w:val="00968E"/>
          <w:sz w:val="36"/>
        </w:rPr>
      </w:pPr>
    </w:p>
    <w:p w14:paraId="750DE176" w14:textId="56E05414" w:rsidR="00032803" w:rsidRPr="00E5676E" w:rsidRDefault="0002683E" w:rsidP="001F5078">
      <w:pPr>
        <w:pStyle w:val="Heading10"/>
        <w:keepNext/>
        <w:numPr>
          <w:ilvl w:val="0"/>
          <w:numId w:val="25"/>
        </w:numPr>
        <w:ind w:left="426" w:hanging="426"/>
        <w:outlineLvl w:val="9"/>
        <w:rPr>
          <w:rFonts w:ascii="Calibri" w:hAnsi="Calibri"/>
        </w:rPr>
      </w:pPr>
      <w:r>
        <w:rPr>
          <w:rFonts w:ascii="Calibri" w:hAnsi="Calibri"/>
        </w:rPr>
        <w:t>Project o</w:t>
      </w:r>
      <w:r w:rsidR="00032803" w:rsidRPr="00E5676E">
        <w:rPr>
          <w:rFonts w:ascii="Calibri" w:hAnsi="Calibri"/>
        </w:rPr>
        <w:t>bjectives</w:t>
      </w:r>
    </w:p>
    <w:p w14:paraId="34C57B34" w14:textId="50AC3EC8" w:rsidR="008457A3" w:rsidRDefault="008457A3" w:rsidP="008457A3">
      <w:pPr>
        <w:pStyle w:val="Body"/>
      </w:pPr>
      <w:r>
        <w:t>This research will develop good practice guidance and resources for introducing and managing SDO.  These will be ready for use and targeted for existing and potential future / new users of SDO.   Outputs from the research are expected to support a consistent and national approach to introducing and managing SDO.</w:t>
      </w:r>
    </w:p>
    <w:p w14:paraId="17144AF7" w14:textId="31D8257E" w:rsidR="008457A3" w:rsidRDefault="008457A3" w:rsidP="008457A3">
      <w:pPr>
        <w:pStyle w:val="Body"/>
      </w:pPr>
      <w:r>
        <w:t xml:space="preserve">The objectives of this work are:  </w:t>
      </w:r>
    </w:p>
    <w:p w14:paraId="008CADBE" w14:textId="3AB61223" w:rsidR="008457A3" w:rsidRDefault="008457A3" w:rsidP="001F5078">
      <w:pPr>
        <w:pStyle w:val="Body"/>
        <w:numPr>
          <w:ilvl w:val="0"/>
          <w:numId w:val="34"/>
        </w:numPr>
      </w:pPr>
      <w:r>
        <w:t xml:space="preserve">Understand who is affected by SDO (current and potential future users) </w:t>
      </w:r>
    </w:p>
    <w:p w14:paraId="2FF1F47E" w14:textId="7CB1B4A9" w:rsidR="008457A3" w:rsidRDefault="008457A3" w:rsidP="001F5078">
      <w:pPr>
        <w:pStyle w:val="Body"/>
        <w:numPr>
          <w:ilvl w:val="0"/>
          <w:numId w:val="34"/>
        </w:numPr>
      </w:pPr>
      <w:r>
        <w:t xml:space="preserve">Define the issues / challenges for existing and potential new users of SDO, and the options for overcoming these </w:t>
      </w:r>
    </w:p>
    <w:p w14:paraId="703D4E87" w14:textId="486CA70A" w:rsidR="008457A3" w:rsidRDefault="008457A3" w:rsidP="001F5078">
      <w:pPr>
        <w:pStyle w:val="Body"/>
        <w:numPr>
          <w:ilvl w:val="0"/>
          <w:numId w:val="34"/>
        </w:numPr>
      </w:pPr>
      <w:r>
        <w:t>Define the hazards, risks and controls for introducing and managing SDO</w:t>
      </w:r>
    </w:p>
    <w:p w14:paraId="7AFA84B1" w14:textId="0B50F6FD" w:rsidR="008457A3" w:rsidRDefault="008457A3" w:rsidP="001F5078">
      <w:pPr>
        <w:pStyle w:val="Body"/>
        <w:numPr>
          <w:ilvl w:val="0"/>
          <w:numId w:val="34"/>
        </w:numPr>
      </w:pPr>
      <w:r>
        <w:t xml:space="preserve">Identify how performance impacts can be minimised without comprising safety  </w:t>
      </w:r>
    </w:p>
    <w:p w14:paraId="77C17541" w14:textId="3C1FFEE8" w:rsidR="008457A3" w:rsidRDefault="008457A3" w:rsidP="001F5078">
      <w:pPr>
        <w:pStyle w:val="Body"/>
        <w:numPr>
          <w:ilvl w:val="0"/>
          <w:numId w:val="34"/>
        </w:numPr>
      </w:pPr>
      <w:r>
        <w:t>Develop and validate an assessment method for introducing and reviewing the continued use of SDO</w:t>
      </w:r>
    </w:p>
    <w:p w14:paraId="308F5A9D" w14:textId="3282F08F" w:rsidR="00C46670" w:rsidRDefault="008457A3" w:rsidP="001F5078">
      <w:pPr>
        <w:pStyle w:val="Body"/>
        <w:numPr>
          <w:ilvl w:val="0"/>
          <w:numId w:val="34"/>
        </w:numPr>
      </w:pPr>
      <w:r>
        <w:t>Develop and validate good practice guidance and resources for introducing and managing SDO</w:t>
      </w:r>
    </w:p>
    <w:p w14:paraId="0693FE7F" w14:textId="64537577" w:rsidR="00032803" w:rsidRPr="00D62DE4" w:rsidRDefault="00032803" w:rsidP="001F5078">
      <w:pPr>
        <w:pStyle w:val="Heading10"/>
        <w:keepNext/>
        <w:numPr>
          <w:ilvl w:val="0"/>
          <w:numId w:val="25"/>
        </w:numPr>
        <w:ind w:left="426" w:hanging="426"/>
        <w:outlineLvl w:val="9"/>
        <w:rPr>
          <w:rFonts w:ascii="Calibri" w:hAnsi="Calibri"/>
        </w:rPr>
      </w:pPr>
      <w:r>
        <w:br w:type="page"/>
      </w:r>
      <w:r w:rsidR="0002683E" w:rsidRPr="0002683E">
        <w:rPr>
          <w:b/>
          <w:bCs/>
        </w:rPr>
        <w:lastRenderedPageBreak/>
        <w:t>Project</w:t>
      </w:r>
      <w:r w:rsidR="0002683E">
        <w:t xml:space="preserve"> </w:t>
      </w:r>
      <w:r w:rsidR="0002683E">
        <w:rPr>
          <w:rFonts w:ascii="Calibri" w:hAnsi="Calibri"/>
        </w:rPr>
        <w:t>s</w:t>
      </w:r>
      <w:r w:rsidR="00875261" w:rsidRPr="00D62DE4">
        <w:rPr>
          <w:rFonts w:ascii="Calibri" w:hAnsi="Calibri"/>
        </w:rPr>
        <w:t>cope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2698"/>
      </w:tblGrid>
      <w:tr w:rsidR="008457A3" w:rsidRPr="008457A3" w14:paraId="5B7C4DF7" w14:textId="77777777" w:rsidTr="008457A3">
        <w:tc>
          <w:tcPr>
            <w:tcW w:w="6345" w:type="dxa"/>
            <w:tcBorders>
              <w:top w:val="single" w:sz="4" w:space="0" w:color="auto"/>
              <w:left w:val="single" w:sz="4" w:space="0" w:color="auto"/>
              <w:bottom w:val="single" w:sz="4" w:space="0" w:color="auto"/>
              <w:right w:val="single" w:sz="4" w:space="0" w:color="auto"/>
            </w:tcBorders>
            <w:hideMark/>
          </w:tcPr>
          <w:p w14:paraId="266809EE" w14:textId="77777777" w:rsidR="008457A3" w:rsidRPr="008457A3" w:rsidRDefault="008457A3">
            <w:pPr>
              <w:spacing w:after="120"/>
              <w:rPr>
                <w:rFonts w:asciiTheme="minorHAnsi" w:hAnsiTheme="minorHAnsi" w:cstheme="minorHAnsi"/>
                <w:b/>
                <w:bCs/>
                <w:sz w:val="20"/>
                <w:szCs w:val="20"/>
              </w:rPr>
            </w:pPr>
            <w:r w:rsidRPr="008457A3">
              <w:rPr>
                <w:rFonts w:asciiTheme="minorHAnsi" w:hAnsiTheme="minorHAnsi" w:cstheme="minorHAnsi"/>
                <w:b/>
                <w:bCs/>
                <w:sz w:val="20"/>
                <w:szCs w:val="20"/>
              </w:rPr>
              <w:t xml:space="preserve">In scope </w:t>
            </w:r>
          </w:p>
        </w:tc>
        <w:tc>
          <w:tcPr>
            <w:tcW w:w="2898" w:type="dxa"/>
            <w:tcBorders>
              <w:top w:val="single" w:sz="4" w:space="0" w:color="auto"/>
              <w:left w:val="single" w:sz="4" w:space="0" w:color="auto"/>
              <w:bottom w:val="single" w:sz="4" w:space="0" w:color="auto"/>
              <w:right w:val="single" w:sz="4" w:space="0" w:color="auto"/>
            </w:tcBorders>
            <w:hideMark/>
          </w:tcPr>
          <w:p w14:paraId="0051C196" w14:textId="77777777" w:rsidR="008457A3" w:rsidRPr="008457A3" w:rsidRDefault="008457A3">
            <w:pPr>
              <w:spacing w:after="120"/>
              <w:rPr>
                <w:rFonts w:asciiTheme="minorHAnsi" w:hAnsiTheme="minorHAnsi" w:cstheme="minorHAnsi"/>
                <w:b/>
                <w:bCs/>
                <w:sz w:val="20"/>
                <w:szCs w:val="20"/>
              </w:rPr>
            </w:pPr>
            <w:r w:rsidRPr="008457A3">
              <w:rPr>
                <w:rFonts w:asciiTheme="minorHAnsi" w:hAnsiTheme="minorHAnsi" w:cstheme="minorHAnsi"/>
                <w:b/>
                <w:bCs/>
                <w:sz w:val="20"/>
                <w:szCs w:val="20"/>
              </w:rPr>
              <w:t xml:space="preserve">Out of scope </w:t>
            </w:r>
          </w:p>
        </w:tc>
      </w:tr>
      <w:tr w:rsidR="008457A3" w:rsidRPr="008457A3" w14:paraId="006FE897" w14:textId="77777777" w:rsidTr="008457A3">
        <w:tc>
          <w:tcPr>
            <w:tcW w:w="6345" w:type="dxa"/>
            <w:tcBorders>
              <w:top w:val="single" w:sz="4" w:space="0" w:color="auto"/>
              <w:left w:val="single" w:sz="4" w:space="0" w:color="auto"/>
              <w:bottom w:val="single" w:sz="4" w:space="0" w:color="auto"/>
              <w:right w:val="single" w:sz="4" w:space="0" w:color="auto"/>
            </w:tcBorders>
            <w:hideMark/>
          </w:tcPr>
          <w:p w14:paraId="4AC7D898"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 xml:space="preserve">Desk based review of the factors influencing SDO, with consideration of previous research, current practice, industry strategy, existing guidance, standards, learning from RAIB investigations, and international practice    </w:t>
            </w:r>
          </w:p>
          <w:p w14:paraId="6FCD1B9A"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Consider any wider technological, environmental, and economic factors (internal and external to the rail industry) that may impact SDO use</w:t>
            </w:r>
          </w:p>
          <w:p w14:paraId="2AA8E1BA" w14:textId="4CF48B1C" w:rsid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Define the different types of SDO</w:t>
            </w:r>
          </w:p>
          <w:p w14:paraId="5C89858A" w14:textId="19EDC7FE" w:rsidR="00E05BBA" w:rsidRPr="008457A3" w:rsidRDefault="00E05BBA" w:rsidP="001F5078">
            <w:pPr>
              <w:numPr>
                <w:ilvl w:val="0"/>
                <w:numId w:val="35"/>
              </w:numPr>
              <w:spacing w:after="120" w:line="276" w:lineRule="auto"/>
              <w:jc w:val="both"/>
              <w:rPr>
                <w:rFonts w:asciiTheme="minorHAnsi" w:hAnsiTheme="minorHAnsi" w:cstheme="minorHAnsi"/>
                <w:sz w:val="20"/>
                <w:szCs w:val="20"/>
              </w:rPr>
            </w:pPr>
            <w:r>
              <w:rPr>
                <w:rFonts w:asciiTheme="minorHAnsi" w:hAnsiTheme="minorHAnsi" w:cstheme="minorHAnsi"/>
                <w:sz w:val="20"/>
                <w:szCs w:val="20"/>
              </w:rPr>
              <w:t xml:space="preserve">Align / build on (not duplicate) </w:t>
            </w:r>
            <w:r w:rsidRPr="00E05BBA">
              <w:rPr>
                <w:rFonts w:asciiTheme="minorHAnsi" w:hAnsiTheme="minorHAnsi" w:cstheme="minorHAnsi"/>
                <w:sz w:val="20"/>
                <w:szCs w:val="20"/>
              </w:rPr>
              <w:t>RIS-2747-RST Functioning and Control of Exterior Doors on Passenger Vehicles</w:t>
            </w:r>
          </w:p>
          <w:p w14:paraId="2BE85CEF"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Identify SDO end-users and who the deliverables should be tailored for</w:t>
            </w:r>
          </w:p>
          <w:p w14:paraId="0C4217CA"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 xml:space="preserve">Undertake workshops / interviews / surveys to consult subject matter experts and SDO users (current and potential new users) </w:t>
            </w:r>
          </w:p>
          <w:p w14:paraId="5E97677D"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Source appropriate data from industry and analyse the risk and performance impacts affecting SDO</w:t>
            </w:r>
          </w:p>
          <w:p w14:paraId="716A0EB5"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 xml:space="preserve">Identify who is currently affected by SDO and who could be affected by SDO (e.g. through new rolling stock introductions, cascades or planned changes to infrastructure) </w:t>
            </w:r>
          </w:p>
          <w:p w14:paraId="0CC32FF7" w14:textId="2BDFECC5"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 xml:space="preserve">Identify the industry barriers, challenges and constraints to introducing and managing SDO, and the options, opportunities, enablers and benefits to overcoming these, including any short, </w:t>
            </w:r>
            <w:r w:rsidR="0057478E" w:rsidRPr="008457A3">
              <w:rPr>
                <w:rFonts w:asciiTheme="minorHAnsi" w:hAnsiTheme="minorHAnsi" w:cstheme="minorHAnsi"/>
                <w:sz w:val="20"/>
                <w:szCs w:val="20"/>
              </w:rPr>
              <w:t>medium- and long-term</w:t>
            </w:r>
            <w:r w:rsidRPr="008457A3">
              <w:rPr>
                <w:rFonts w:asciiTheme="minorHAnsi" w:hAnsiTheme="minorHAnsi" w:cstheme="minorHAnsi"/>
                <w:sz w:val="20"/>
                <w:szCs w:val="20"/>
              </w:rPr>
              <w:t xml:space="preserve"> timeframes</w:t>
            </w:r>
          </w:p>
          <w:p w14:paraId="3713D419"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Examine up to 5 cases to understand current practice for assessing, introducing and managing SDO</w:t>
            </w:r>
          </w:p>
          <w:p w14:paraId="0EBC93DC"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 xml:space="preserve">Define the hazards, risks and control requirements for introducing and managing SDO </w:t>
            </w:r>
          </w:p>
          <w:p w14:paraId="73810B0D"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 xml:space="preserve">Define the performance impacts / disbenefits of SDO and identify how these can be mitigated without comprising safety  </w:t>
            </w:r>
          </w:p>
          <w:p w14:paraId="3891F167"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 xml:space="preserve">Define the principles that underpin good practice </w:t>
            </w:r>
          </w:p>
          <w:p w14:paraId="51E6C3AD"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 xml:space="preserve">Develop an SDO ‘beginners guide’ </w:t>
            </w:r>
          </w:p>
          <w:p w14:paraId="1CED93B9" w14:textId="77777777" w:rsidR="008457A3" w:rsidRPr="008457A3" w:rsidRDefault="008457A3" w:rsidP="001F5078">
            <w:pPr>
              <w:numPr>
                <w:ilvl w:val="0"/>
                <w:numId w:val="35"/>
              </w:numPr>
              <w:spacing w:after="200" w:line="276" w:lineRule="auto"/>
              <w:jc w:val="both"/>
              <w:rPr>
                <w:rFonts w:asciiTheme="minorHAnsi" w:hAnsiTheme="minorHAnsi" w:cstheme="minorHAnsi"/>
                <w:sz w:val="20"/>
                <w:szCs w:val="20"/>
              </w:rPr>
            </w:pPr>
            <w:r w:rsidRPr="008457A3">
              <w:rPr>
                <w:rFonts w:asciiTheme="minorHAnsi" w:hAnsiTheme="minorHAnsi" w:cstheme="minorHAnsi"/>
                <w:sz w:val="20"/>
                <w:szCs w:val="20"/>
              </w:rPr>
              <w:t xml:space="preserve">Develop and validate an assessment method for introducing and reviewing the continued use of SDO </w:t>
            </w:r>
          </w:p>
          <w:p w14:paraId="6148EBCF"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Develop and validate a good practice guidance and/or toolkit for introducing and managing SDO</w:t>
            </w:r>
          </w:p>
          <w:p w14:paraId="458B489A"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lastRenderedPageBreak/>
              <w:t xml:space="preserve">Develop implementation strategy and dissemination materials for supporting industry wide adoption </w:t>
            </w:r>
          </w:p>
          <w:p w14:paraId="0B6D2513" w14:textId="77777777" w:rsidR="008457A3" w:rsidRPr="008457A3" w:rsidRDefault="008457A3" w:rsidP="001F5078">
            <w:pPr>
              <w:numPr>
                <w:ilvl w:val="0"/>
                <w:numId w:val="35"/>
              </w:numPr>
              <w:spacing w:after="120" w:line="276" w:lineRule="auto"/>
              <w:jc w:val="both"/>
              <w:rPr>
                <w:rFonts w:asciiTheme="minorHAnsi" w:hAnsiTheme="minorHAnsi" w:cstheme="minorHAnsi"/>
                <w:sz w:val="20"/>
                <w:szCs w:val="20"/>
              </w:rPr>
            </w:pPr>
            <w:r w:rsidRPr="008457A3">
              <w:rPr>
                <w:rFonts w:asciiTheme="minorHAnsi" w:hAnsiTheme="minorHAnsi" w:cstheme="minorHAnsi"/>
                <w:sz w:val="20"/>
                <w:szCs w:val="20"/>
              </w:rPr>
              <w:t>Present findings to PTSRG</w:t>
            </w:r>
          </w:p>
        </w:tc>
        <w:tc>
          <w:tcPr>
            <w:tcW w:w="2898" w:type="dxa"/>
            <w:tcBorders>
              <w:top w:val="single" w:sz="4" w:space="0" w:color="auto"/>
              <w:left w:val="single" w:sz="4" w:space="0" w:color="auto"/>
              <w:bottom w:val="single" w:sz="4" w:space="0" w:color="auto"/>
              <w:right w:val="single" w:sz="4" w:space="0" w:color="auto"/>
            </w:tcBorders>
            <w:hideMark/>
          </w:tcPr>
          <w:p w14:paraId="7533F74E" w14:textId="77777777" w:rsidR="008457A3" w:rsidRPr="008457A3" w:rsidRDefault="008457A3" w:rsidP="001F5078">
            <w:pPr>
              <w:numPr>
                <w:ilvl w:val="0"/>
                <w:numId w:val="35"/>
              </w:numPr>
              <w:spacing w:after="120" w:line="276" w:lineRule="auto"/>
              <w:rPr>
                <w:rFonts w:asciiTheme="minorHAnsi" w:hAnsiTheme="minorHAnsi" w:cstheme="minorHAnsi"/>
                <w:sz w:val="20"/>
                <w:szCs w:val="20"/>
              </w:rPr>
            </w:pPr>
            <w:r w:rsidRPr="008457A3">
              <w:rPr>
                <w:rFonts w:asciiTheme="minorHAnsi" w:hAnsiTheme="minorHAnsi" w:cstheme="minorHAnsi"/>
                <w:sz w:val="20"/>
                <w:szCs w:val="20"/>
              </w:rPr>
              <w:lastRenderedPageBreak/>
              <w:t xml:space="preserve">Research earlier than 2008 </w:t>
            </w:r>
          </w:p>
          <w:p w14:paraId="65A36E62" w14:textId="77777777" w:rsidR="008457A3" w:rsidRPr="008457A3" w:rsidRDefault="008457A3" w:rsidP="001F5078">
            <w:pPr>
              <w:numPr>
                <w:ilvl w:val="0"/>
                <w:numId w:val="35"/>
              </w:numPr>
              <w:spacing w:after="120" w:line="276" w:lineRule="auto"/>
              <w:rPr>
                <w:rFonts w:asciiTheme="minorHAnsi" w:hAnsiTheme="minorHAnsi" w:cstheme="minorHAnsi"/>
                <w:sz w:val="20"/>
                <w:szCs w:val="20"/>
              </w:rPr>
            </w:pPr>
            <w:r w:rsidRPr="008457A3">
              <w:rPr>
                <w:rFonts w:asciiTheme="minorHAnsi" w:hAnsiTheme="minorHAnsi" w:cstheme="minorHAnsi"/>
                <w:sz w:val="20"/>
                <w:szCs w:val="20"/>
              </w:rPr>
              <w:t>Superseded standards / guidance</w:t>
            </w:r>
          </w:p>
          <w:p w14:paraId="49CE99F7" w14:textId="77777777" w:rsidR="008457A3" w:rsidRPr="008457A3" w:rsidRDefault="008457A3" w:rsidP="001F5078">
            <w:pPr>
              <w:numPr>
                <w:ilvl w:val="0"/>
                <w:numId w:val="35"/>
              </w:numPr>
              <w:spacing w:after="120" w:line="276" w:lineRule="auto"/>
              <w:rPr>
                <w:rFonts w:asciiTheme="minorHAnsi" w:hAnsiTheme="minorHAnsi" w:cstheme="minorHAnsi"/>
                <w:sz w:val="20"/>
                <w:szCs w:val="20"/>
              </w:rPr>
            </w:pPr>
            <w:r w:rsidRPr="008457A3">
              <w:rPr>
                <w:rFonts w:asciiTheme="minorHAnsi" w:hAnsiTheme="minorHAnsi" w:cstheme="minorHAnsi"/>
                <w:sz w:val="20"/>
                <w:szCs w:val="20"/>
              </w:rPr>
              <w:t xml:space="preserve">Proposing changes to SDO, rolling stock, and infrastructure </w:t>
            </w:r>
          </w:p>
          <w:p w14:paraId="15F575F2" w14:textId="77777777" w:rsidR="008457A3" w:rsidRPr="008457A3" w:rsidRDefault="008457A3" w:rsidP="001F5078">
            <w:pPr>
              <w:numPr>
                <w:ilvl w:val="0"/>
                <w:numId w:val="35"/>
              </w:numPr>
              <w:spacing w:after="120" w:line="276" w:lineRule="auto"/>
              <w:rPr>
                <w:rFonts w:asciiTheme="minorHAnsi" w:hAnsiTheme="minorHAnsi" w:cstheme="minorHAnsi"/>
                <w:sz w:val="20"/>
                <w:szCs w:val="20"/>
              </w:rPr>
            </w:pPr>
            <w:r w:rsidRPr="008457A3">
              <w:rPr>
                <w:rFonts w:asciiTheme="minorHAnsi" w:hAnsiTheme="minorHAnsi" w:cstheme="minorHAnsi"/>
                <w:sz w:val="20"/>
                <w:szCs w:val="20"/>
              </w:rPr>
              <w:t xml:space="preserve">Factors not associated or unlikely to impact SDO practice  </w:t>
            </w:r>
          </w:p>
          <w:p w14:paraId="04BA76E5" w14:textId="77777777" w:rsidR="008457A3" w:rsidRPr="008457A3" w:rsidRDefault="008457A3" w:rsidP="001F5078">
            <w:pPr>
              <w:numPr>
                <w:ilvl w:val="0"/>
                <w:numId w:val="35"/>
              </w:numPr>
              <w:spacing w:after="120" w:line="276" w:lineRule="auto"/>
              <w:rPr>
                <w:rFonts w:asciiTheme="minorHAnsi" w:hAnsiTheme="minorHAnsi" w:cstheme="minorHAnsi"/>
                <w:sz w:val="20"/>
                <w:szCs w:val="20"/>
                <w:lang w:val="en-US"/>
              </w:rPr>
            </w:pPr>
            <w:r w:rsidRPr="008457A3">
              <w:rPr>
                <w:rFonts w:asciiTheme="minorHAnsi" w:hAnsiTheme="minorHAnsi" w:cstheme="minorHAnsi"/>
                <w:sz w:val="20"/>
                <w:szCs w:val="20"/>
              </w:rPr>
              <w:t>Software / system development</w:t>
            </w:r>
          </w:p>
        </w:tc>
      </w:tr>
    </w:tbl>
    <w:p w14:paraId="257CADBC" w14:textId="77777777" w:rsidR="002F2F6E" w:rsidRPr="002F2F6E" w:rsidRDefault="002F2F6E" w:rsidP="002F2F6E">
      <w:pPr>
        <w:pStyle w:val="Heading30"/>
        <w:rPr>
          <w:sz w:val="28"/>
          <w:szCs w:val="28"/>
        </w:rPr>
      </w:pPr>
      <w:r w:rsidRPr="002F2F6E">
        <w:rPr>
          <w:sz w:val="28"/>
          <w:szCs w:val="28"/>
        </w:rPr>
        <w:t>On-going requirements</w:t>
      </w:r>
    </w:p>
    <w:p w14:paraId="3B21C702" w14:textId="77777777" w:rsidR="002F2F6E" w:rsidRDefault="002F2F6E" w:rsidP="002F2F6E">
      <w:pPr>
        <w:pStyle w:val="Body"/>
      </w:pPr>
      <w:r w:rsidRPr="003E335B">
        <w:t>In addition to the above, the supplier will be required to undertake the following tasks</w:t>
      </w:r>
      <w:r w:rsidRPr="00700EC9">
        <w:t xml:space="preserve"> during delivery</w:t>
      </w:r>
      <w:r>
        <w:t>:</w:t>
      </w:r>
    </w:p>
    <w:p w14:paraId="19DC7D08" w14:textId="2F3F7640" w:rsidR="002F2F6E" w:rsidRDefault="003E335B" w:rsidP="001F5078">
      <w:pPr>
        <w:pStyle w:val="Body"/>
        <w:numPr>
          <w:ilvl w:val="0"/>
          <w:numId w:val="29"/>
        </w:numPr>
      </w:pPr>
      <w:r>
        <w:t xml:space="preserve">Attend </w:t>
      </w:r>
      <w:r w:rsidR="002F2F6E">
        <w:t>project kick-off</w:t>
      </w:r>
      <w:r>
        <w:t xml:space="preserve"> and steering group</w:t>
      </w:r>
      <w:r w:rsidR="002F2F6E">
        <w:t xml:space="preserve"> meeting</w:t>
      </w:r>
      <w:r>
        <w:t>s</w:t>
      </w:r>
      <w:r w:rsidR="002F2F6E">
        <w:t xml:space="preserve"> at RSSB’s offices</w:t>
      </w:r>
      <w:r>
        <w:t>.  Steering group meetings are proposed to be held to accept project deliverables and any other key milestones</w:t>
      </w:r>
    </w:p>
    <w:p w14:paraId="5C060DFE" w14:textId="77777777" w:rsidR="002F2F6E" w:rsidRDefault="002F2F6E" w:rsidP="001F5078">
      <w:pPr>
        <w:pStyle w:val="Body"/>
        <w:numPr>
          <w:ilvl w:val="0"/>
          <w:numId w:val="29"/>
        </w:numPr>
      </w:pPr>
      <w:r>
        <w:t>Creation and maintenance of project management plan</w:t>
      </w:r>
    </w:p>
    <w:p w14:paraId="6F53AA74" w14:textId="77777777" w:rsidR="002F2F6E" w:rsidRDefault="002F2F6E" w:rsidP="001F5078">
      <w:pPr>
        <w:pStyle w:val="Body"/>
        <w:numPr>
          <w:ilvl w:val="0"/>
          <w:numId w:val="29"/>
        </w:numPr>
      </w:pPr>
      <w:r>
        <w:t>Creation and maintenance of project risk register</w:t>
      </w:r>
    </w:p>
    <w:p w14:paraId="40520453" w14:textId="16E3180F" w:rsidR="002F2F6E" w:rsidRPr="002F2F6E" w:rsidRDefault="002F2F6E" w:rsidP="001F5078">
      <w:pPr>
        <w:pStyle w:val="Body"/>
        <w:numPr>
          <w:ilvl w:val="0"/>
          <w:numId w:val="29"/>
        </w:numPr>
      </w:pPr>
      <w:r>
        <w:t>Provision of monthly progress report</w:t>
      </w:r>
      <w:r w:rsidR="003E335B">
        <w:t>s</w:t>
      </w:r>
    </w:p>
    <w:p w14:paraId="6E296017" w14:textId="09AD1A03" w:rsidR="00364F56" w:rsidRDefault="00364F56" w:rsidP="00D97D45">
      <w:pPr>
        <w:rPr>
          <w:rFonts w:asciiTheme="minorHAnsi" w:hAnsiTheme="minorHAnsi"/>
          <w:sz w:val="22"/>
          <w:szCs w:val="22"/>
        </w:rPr>
      </w:pPr>
    </w:p>
    <w:p w14:paraId="6B7C586D" w14:textId="30A83E02" w:rsidR="00364F56" w:rsidRDefault="00364F56" w:rsidP="001F5078">
      <w:pPr>
        <w:pStyle w:val="Heading10"/>
        <w:keepNext/>
        <w:numPr>
          <w:ilvl w:val="0"/>
          <w:numId w:val="25"/>
        </w:numPr>
        <w:ind w:left="426" w:hanging="426"/>
        <w:outlineLvl w:val="9"/>
        <w:rPr>
          <w:rFonts w:ascii="Calibri" w:hAnsi="Calibri"/>
        </w:rPr>
      </w:pPr>
      <w:r>
        <w:rPr>
          <w:rFonts w:ascii="Calibri" w:hAnsi="Calibri"/>
        </w:rPr>
        <w:t>M</w:t>
      </w:r>
      <w:r w:rsidRPr="0002231C">
        <w:rPr>
          <w:rFonts w:ascii="Calibri" w:hAnsi="Calibri"/>
        </w:rPr>
        <w:t>ethodology</w:t>
      </w:r>
    </w:p>
    <w:p w14:paraId="5CE22112" w14:textId="586B5483" w:rsidR="003E335B" w:rsidRDefault="003E335B" w:rsidP="003E335B">
      <w:pPr>
        <w:rPr>
          <w:rFonts w:ascii="Calibri" w:hAnsi="Calibri" w:cs="Arial"/>
          <w:sz w:val="22"/>
          <w:szCs w:val="22"/>
          <w:lang w:eastAsia="en-GB"/>
        </w:rPr>
      </w:pPr>
      <w:r>
        <w:rPr>
          <w:rFonts w:ascii="Calibri" w:hAnsi="Calibri" w:cs="Arial"/>
          <w:sz w:val="22"/>
          <w:szCs w:val="22"/>
          <w:lang w:eastAsia="en-GB"/>
        </w:rPr>
        <w:t xml:space="preserve">Suppliers are expected to explain the methodology that they are intending to use to successfully meet the T1202 </w:t>
      </w:r>
      <w:r>
        <w:rPr>
          <w:rFonts w:ascii="Calibri" w:hAnsi="Calibri" w:cs="Arial"/>
          <w:b/>
          <w:sz w:val="22"/>
          <w:szCs w:val="22"/>
          <w:lang w:eastAsia="en-GB"/>
        </w:rPr>
        <w:t>work package requirements</w:t>
      </w:r>
      <w:r>
        <w:rPr>
          <w:rFonts w:ascii="Calibri" w:hAnsi="Calibri" w:cs="Arial"/>
          <w:sz w:val="22"/>
          <w:szCs w:val="22"/>
          <w:lang w:eastAsia="en-GB"/>
        </w:rPr>
        <w:t>. The work package requirements are detailed within the following sections:</w:t>
      </w:r>
    </w:p>
    <w:p w14:paraId="6A1B8DDF" w14:textId="77777777" w:rsidR="003E335B" w:rsidRDefault="003E335B" w:rsidP="001F5078">
      <w:pPr>
        <w:pStyle w:val="ListParagraph"/>
        <w:numPr>
          <w:ilvl w:val="0"/>
          <w:numId w:val="36"/>
        </w:numPr>
        <w:rPr>
          <w:rFonts w:ascii="Calibri" w:hAnsi="Calibri" w:cs="Arial"/>
          <w:sz w:val="22"/>
          <w:szCs w:val="22"/>
          <w:lang w:eastAsia="en-GB"/>
        </w:rPr>
      </w:pPr>
      <w:r>
        <w:rPr>
          <w:rFonts w:ascii="Calibri" w:hAnsi="Calibri" w:cs="Arial"/>
          <w:sz w:val="22"/>
          <w:szCs w:val="22"/>
          <w:lang w:eastAsia="en-GB"/>
        </w:rPr>
        <w:t>Objectives</w:t>
      </w:r>
    </w:p>
    <w:p w14:paraId="3E1E9827" w14:textId="77777777" w:rsidR="003E335B" w:rsidRDefault="003E335B" w:rsidP="001F5078">
      <w:pPr>
        <w:pStyle w:val="ListParagraph"/>
        <w:numPr>
          <w:ilvl w:val="0"/>
          <w:numId w:val="36"/>
        </w:numPr>
        <w:rPr>
          <w:rFonts w:ascii="Calibri" w:hAnsi="Calibri" w:cs="Arial"/>
          <w:sz w:val="22"/>
          <w:szCs w:val="22"/>
          <w:lang w:eastAsia="en-GB"/>
        </w:rPr>
      </w:pPr>
      <w:r>
        <w:rPr>
          <w:rFonts w:ascii="Calibri" w:hAnsi="Calibri" w:cs="Arial"/>
          <w:sz w:val="22"/>
          <w:szCs w:val="22"/>
          <w:lang w:eastAsia="en-GB"/>
        </w:rPr>
        <w:t>Scope</w:t>
      </w:r>
    </w:p>
    <w:p w14:paraId="36BFD87A" w14:textId="1D8ECF79" w:rsidR="003E335B" w:rsidRDefault="003E335B" w:rsidP="001F5078">
      <w:pPr>
        <w:pStyle w:val="ListParagraph"/>
        <w:numPr>
          <w:ilvl w:val="0"/>
          <w:numId w:val="36"/>
        </w:numPr>
        <w:rPr>
          <w:rFonts w:ascii="Calibri" w:hAnsi="Calibri" w:cs="Arial"/>
          <w:sz w:val="22"/>
          <w:szCs w:val="22"/>
          <w:lang w:eastAsia="en-GB"/>
        </w:rPr>
      </w:pPr>
      <w:r>
        <w:rPr>
          <w:rFonts w:ascii="Calibri" w:hAnsi="Calibri" w:cs="Arial"/>
          <w:sz w:val="22"/>
          <w:szCs w:val="22"/>
          <w:lang w:eastAsia="en-GB"/>
        </w:rPr>
        <w:t xml:space="preserve">Project structure </w:t>
      </w:r>
    </w:p>
    <w:p w14:paraId="30175D34" w14:textId="40299659" w:rsidR="00364F56" w:rsidRDefault="003E335B" w:rsidP="00D97D45">
      <w:pPr>
        <w:rPr>
          <w:rFonts w:ascii="Calibri" w:hAnsi="Calibri" w:cs="Arial"/>
          <w:sz w:val="22"/>
          <w:szCs w:val="22"/>
          <w:lang w:eastAsia="en-GB"/>
        </w:rPr>
      </w:pPr>
      <w:r>
        <w:rPr>
          <w:rFonts w:ascii="Calibri" w:hAnsi="Calibri" w:cs="Arial"/>
          <w:sz w:val="22"/>
          <w:szCs w:val="22"/>
          <w:lang w:eastAsia="en-GB"/>
        </w:rPr>
        <w:br/>
        <w:t>The work package requirements are set in context by the project’s background.</w:t>
      </w:r>
    </w:p>
    <w:p w14:paraId="1679AB2D" w14:textId="54A8A4D4" w:rsidR="006518E0" w:rsidRDefault="006518E0" w:rsidP="00D97D45">
      <w:pPr>
        <w:rPr>
          <w:rFonts w:ascii="Calibri" w:hAnsi="Calibri" w:cs="Arial"/>
          <w:sz w:val="22"/>
          <w:szCs w:val="22"/>
          <w:lang w:eastAsia="en-GB"/>
        </w:rPr>
      </w:pPr>
    </w:p>
    <w:p w14:paraId="64C83DCB" w14:textId="30C0DCA5" w:rsidR="006518E0" w:rsidRDefault="006518E0" w:rsidP="00D97D45">
      <w:pPr>
        <w:rPr>
          <w:rFonts w:ascii="Calibri" w:hAnsi="Calibri" w:cs="Arial"/>
          <w:sz w:val="22"/>
          <w:szCs w:val="22"/>
          <w:lang w:eastAsia="en-GB"/>
        </w:rPr>
      </w:pPr>
      <w:r>
        <w:rPr>
          <w:rFonts w:ascii="Calibri" w:hAnsi="Calibri" w:cs="Arial"/>
          <w:sz w:val="22"/>
          <w:szCs w:val="22"/>
          <w:lang w:eastAsia="en-GB"/>
        </w:rPr>
        <w:t>Suppliers proposed methodology shall include as a minimum:</w:t>
      </w:r>
    </w:p>
    <w:p w14:paraId="6321F00A" w14:textId="77777777" w:rsidR="006518E0" w:rsidRPr="006518E0" w:rsidRDefault="006518E0" w:rsidP="001F5078">
      <w:pPr>
        <w:pStyle w:val="ListParagraph"/>
        <w:numPr>
          <w:ilvl w:val="0"/>
          <w:numId w:val="37"/>
        </w:numPr>
        <w:rPr>
          <w:rFonts w:ascii="Calibri" w:hAnsi="Calibri" w:cs="Arial"/>
          <w:sz w:val="22"/>
          <w:szCs w:val="22"/>
          <w:lang w:eastAsia="en-GB"/>
        </w:rPr>
      </w:pPr>
      <w:r w:rsidRPr="006518E0">
        <w:rPr>
          <w:rFonts w:ascii="Calibri" w:hAnsi="Calibri" w:cs="Arial"/>
          <w:sz w:val="22"/>
          <w:szCs w:val="22"/>
          <w:lang w:eastAsia="en-GB"/>
        </w:rPr>
        <w:t>Desk based review and analysis</w:t>
      </w:r>
    </w:p>
    <w:p w14:paraId="2802AB91" w14:textId="77777777" w:rsidR="006518E0" w:rsidRPr="006518E0" w:rsidRDefault="006518E0" w:rsidP="001F5078">
      <w:pPr>
        <w:pStyle w:val="ListParagraph"/>
        <w:numPr>
          <w:ilvl w:val="0"/>
          <w:numId w:val="37"/>
        </w:numPr>
        <w:rPr>
          <w:rFonts w:ascii="Calibri" w:hAnsi="Calibri" w:cs="Arial"/>
          <w:sz w:val="22"/>
          <w:szCs w:val="22"/>
          <w:lang w:eastAsia="en-GB"/>
        </w:rPr>
      </w:pPr>
      <w:r w:rsidRPr="006518E0">
        <w:rPr>
          <w:rFonts w:ascii="Calibri" w:hAnsi="Calibri" w:cs="Arial"/>
          <w:sz w:val="22"/>
          <w:szCs w:val="22"/>
          <w:lang w:eastAsia="en-GB"/>
        </w:rPr>
        <w:t xml:space="preserve">Industry engagement e.g. workshops / interviews / survey </w:t>
      </w:r>
    </w:p>
    <w:p w14:paraId="097C9DCA" w14:textId="01675FF2" w:rsidR="006518E0" w:rsidRPr="006518E0" w:rsidRDefault="006518E0" w:rsidP="001F5078">
      <w:pPr>
        <w:pStyle w:val="ListParagraph"/>
        <w:numPr>
          <w:ilvl w:val="0"/>
          <w:numId w:val="37"/>
        </w:numPr>
        <w:rPr>
          <w:rFonts w:ascii="Calibri" w:hAnsi="Calibri" w:cs="Arial"/>
          <w:sz w:val="22"/>
          <w:szCs w:val="22"/>
          <w:lang w:eastAsia="en-GB"/>
        </w:rPr>
      </w:pPr>
      <w:r w:rsidRPr="006518E0">
        <w:rPr>
          <w:rFonts w:ascii="Calibri" w:hAnsi="Calibri" w:cs="Arial"/>
          <w:sz w:val="22"/>
          <w:szCs w:val="22"/>
          <w:lang w:eastAsia="en-GB"/>
        </w:rPr>
        <w:t xml:space="preserve">Case study analysis </w:t>
      </w:r>
      <w:r>
        <w:rPr>
          <w:rFonts w:ascii="Calibri" w:hAnsi="Calibri" w:cs="Arial"/>
          <w:sz w:val="22"/>
          <w:szCs w:val="22"/>
          <w:lang w:eastAsia="en-GB"/>
        </w:rPr>
        <w:t xml:space="preserve"> </w:t>
      </w:r>
    </w:p>
    <w:p w14:paraId="4D112FF6" w14:textId="71DD60AF" w:rsidR="006518E0" w:rsidRDefault="006518E0" w:rsidP="001F5078">
      <w:pPr>
        <w:pStyle w:val="ListParagraph"/>
        <w:numPr>
          <w:ilvl w:val="0"/>
          <w:numId w:val="37"/>
        </w:numPr>
        <w:rPr>
          <w:rFonts w:ascii="Calibri" w:hAnsi="Calibri" w:cs="Arial"/>
          <w:sz w:val="22"/>
          <w:szCs w:val="22"/>
          <w:lang w:eastAsia="en-GB"/>
        </w:rPr>
      </w:pPr>
      <w:r>
        <w:rPr>
          <w:rFonts w:ascii="Calibri" w:hAnsi="Calibri" w:cs="Arial"/>
          <w:sz w:val="22"/>
          <w:szCs w:val="22"/>
          <w:lang w:eastAsia="en-GB"/>
        </w:rPr>
        <w:t>Development of</w:t>
      </w:r>
      <w:r w:rsidRPr="006518E0">
        <w:rPr>
          <w:rFonts w:ascii="Calibri" w:hAnsi="Calibri" w:cs="Arial"/>
          <w:sz w:val="22"/>
          <w:szCs w:val="22"/>
          <w:lang w:eastAsia="en-GB"/>
        </w:rPr>
        <w:t xml:space="preserve"> scalable guidance </w:t>
      </w:r>
      <w:r>
        <w:rPr>
          <w:rFonts w:ascii="Calibri" w:hAnsi="Calibri" w:cs="Arial"/>
          <w:sz w:val="22"/>
          <w:szCs w:val="22"/>
          <w:lang w:eastAsia="en-GB"/>
        </w:rPr>
        <w:t>and</w:t>
      </w:r>
      <w:r w:rsidRPr="006518E0">
        <w:rPr>
          <w:rFonts w:ascii="Calibri" w:hAnsi="Calibri" w:cs="Arial"/>
          <w:sz w:val="22"/>
          <w:szCs w:val="22"/>
          <w:lang w:eastAsia="en-GB"/>
        </w:rPr>
        <w:t>/</w:t>
      </w:r>
      <w:r>
        <w:rPr>
          <w:rFonts w:ascii="Calibri" w:hAnsi="Calibri" w:cs="Arial"/>
          <w:sz w:val="22"/>
          <w:szCs w:val="22"/>
          <w:lang w:eastAsia="en-GB"/>
        </w:rPr>
        <w:t>or</w:t>
      </w:r>
      <w:r w:rsidRPr="006518E0">
        <w:rPr>
          <w:rFonts w:ascii="Calibri" w:hAnsi="Calibri" w:cs="Arial"/>
          <w:sz w:val="22"/>
          <w:szCs w:val="22"/>
          <w:lang w:eastAsia="en-GB"/>
        </w:rPr>
        <w:t xml:space="preserve"> toolkit</w:t>
      </w:r>
    </w:p>
    <w:p w14:paraId="54D302FF" w14:textId="7FCDC5FB" w:rsidR="006518E0" w:rsidRDefault="006518E0" w:rsidP="006518E0">
      <w:pPr>
        <w:rPr>
          <w:rFonts w:ascii="Calibri" w:hAnsi="Calibri" w:cs="Arial"/>
          <w:sz w:val="22"/>
          <w:szCs w:val="22"/>
          <w:lang w:eastAsia="en-GB"/>
        </w:rPr>
      </w:pPr>
    </w:p>
    <w:p w14:paraId="143137AE" w14:textId="3CA6C322" w:rsidR="006518E0" w:rsidRDefault="006518E0" w:rsidP="006518E0">
      <w:pPr>
        <w:rPr>
          <w:rFonts w:ascii="Calibri" w:hAnsi="Calibri" w:cs="Arial"/>
          <w:sz w:val="22"/>
          <w:szCs w:val="22"/>
          <w:lang w:eastAsia="en-GB"/>
        </w:rPr>
      </w:pPr>
    </w:p>
    <w:p w14:paraId="6498B675" w14:textId="519C8ECE" w:rsidR="008B1E56" w:rsidRDefault="008B1E56" w:rsidP="006518E0">
      <w:pPr>
        <w:rPr>
          <w:rFonts w:ascii="Calibri" w:hAnsi="Calibri" w:cs="Arial"/>
          <w:sz w:val="22"/>
          <w:szCs w:val="22"/>
          <w:lang w:eastAsia="en-GB"/>
        </w:rPr>
      </w:pPr>
    </w:p>
    <w:p w14:paraId="7E1F48AD" w14:textId="11341EDE" w:rsidR="008B1E56" w:rsidRDefault="008B1E56" w:rsidP="006518E0">
      <w:pPr>
        <w:rPr>
          <w:rFonts w:ascii="Calibri" w:hAnsi="Calibri" w:cs="Arial"/>
          <w:sz w:val="22"/>
          <w:szCs w:val="22"/>
          <w:lang w:eastAsia="en-GB"/>
        </w:rPr>
      </w:pPr>
    </w:p>
    <w:p w14:paraId="1790F49B" w14:textId="2F049C80" w:rsidR="008B1E56" w:rsidRDefault="008B1E56" w:rsidP="006518E0">
      <w:pPr>
        <w:rPr>
          <w:rFonts w:ascii="Calibri" w:hAnsi="Calibri" w:cs="Arial"/>
          <w:sz w:val="22"/>
          <w:szCs w:val="22"/>
          <w:lang w:eastAsia="en-GB"/>
        </w:rPr>
      </w:pPr>
    </w:p>
    <w:p w14:paraId="5EF4AB32" w14:textId="6B588F0E" w:rsidR="008B1E56" w:rsidRDefault="008B1E56" w:rsidP="006518E0">
      <w:pPr>
        <w:rPr>
          <w:rFonts w:ascii="Calibri" w:hAnsi="Calibri" w:cs="Arial"/>
          <w:sz w:val="22"/>
          <w:szCs w:val="22"/>
          <w:lang w:eastAsia="en-GB"/>
        </w:rPr>
      </w:pPr>
    </w:p>
    <w:p w14:paraId="3F74E986" w14:textId="032F80A4" w:rsidR="008B1E56" w:rsidRDefault="008B1E56" w:rsidP="006518E0">
      <w:pPr>
        <w:rPr>
          <w:rFonts w:ascii="Calibri" w:hAnsi="Calibri" w:cs="Arial"/>
          <w:sz w:val="22"/>
          <w:szCs w:val="22"/>
          <w:lang w:eastAsia="en-GB"/>
        </w:rPr>
      </w:pPr>
    </w:p>
    <w:p w14:paraId="5066C794" w14:textId="77777777" w:rsidR="008B1E56" w:rsidRDefault="008B1E56" w:rsidP="006518E0">
      <w:pPr>
        <w:rPr>
          <w:rFonts w:ascii="Calibri" w:hAnsi="Calibri" w:cs="Arial"/>
          <w:sz w:val="22"/>
          <w:szCs w:val="22"/>
          <w:lang w:eastAsia="en-GB"/>
        </w:rPr>
      </w:pPr>
    </w:p>
    <w:p w14:paraId="74AC39EA" w14:textId="0E36BE92" w:rsidR="006518E0" w:rsidRDefault="006518E0" w:rsidP="006518E0">
      <w:pPr>
        <w:rPr>
          <w:rFonts w:ascii="Calibri" w:hAnsi="Calibri" w:cs="Arial"/>
          <w:sz w:val="22"/>
          <w:szCs w:val="22"/>
          <w:lang w:eastAsia="en-GB"/>
        </w:rPr>
      </w:pPr>
    </w:p>
    <w:p w14:paraId="6539A48E" w14:textId="77777777" w:rsidR="006518E0" w:rsidRPr="006518E0" w:rsidRDefault="006518E0" w:rsidP="006518E0">
      <w:pPr>
        <w:rPr>
          <w:rFonts w:ascii="Calibri" w:hAnsi="Calibri" w:cs="Arial"/>
          <w:sz w:val="22"/>
          <w:szCs w:val="22"/>
          <w:lang w:eastAsia="en-GB"/>
        </w:rPr>
      </w:pPr>
    </w:p>
    <w:p w14:paraId="7BCCAD39" w14:textId="76DFDFAF" w:rsidR="006D4A18" w:rsidRPr="00A55716" w:rsidRDefault="004C4608" w:rsidP="001F5078">
      <w:pPr>
        <w:pStyle w:val="Heading10"/>
        <w:keepNext/>
        <w:numPr>
          <w:ilvl w:val="0"/>
          <w:numId w:val="25"/>
        </w:numPr>
        <w:ind w:left="426" w:hanging="426"/>
        <w:outlineLvl w:val="9"/>
        <w:rPr>
          <w:rFonts w:ascii="Calibri" w:hAnsi="Calibri"/>
        </w:rPr>
      </w:pPr>
      <w:r>
        <w:rPr>
          <w:rFonts w:ascii="Calibri" w:hAnsi="Calibri"/>
        </w:rPr>
        <w:lastRenderedPageBreak/>
        <w:t>Project structure</w:t>
      </w:r>
    </w:p>
    <w:p w14:paraId="761E6362" w14:textId="2F2F6B5B" w:rsidR="004C4608" w:rsidRDefault="004C4608" w:rsidP="004C4608">
      <w:pPr>
        <w:pStyle w:val="Body"/>
      </w:pPr>
      <w:r>
        <w:t xml:space="preserve">This project is structured in </w:t>
      </w:r>
      <w:r w:rsidR="003E335B">
        <w:t>2</w:t>
      </w:r>
      <w:r>
        <w:t xml:space="preserve"> </w:t>
      </w:r>
      <w:r w:rsidR="00D31A5B">
        <w:t xml:space="preserve">work </w:t>
      </w:r>
      <w:r>
        <w:t xml:space="preserve">packages, </w:t>
      </w:r>
      <w:r w:rsidRPr="00576B14">
        <w:rPr>
          <w:b/>
        </w:rPr>
        <w:t>of which Work Packag</w:t>
      </w:r>
      <w:r w:rsidRPr="00C86455">
        <w:rPr>
          <w:b/>
        </w:rPr>
        <w:t>e T</w:t>
      </w:r>
      <w:r w:rsidR="003E335B">
        <w:rPr>
          <w:b/>
        </w:rPr>
        <w:t>1202</w:t>
      </w:r>
      <w:r w:rsidRPr="00C86455">
        <w:rPr>
          <w:b/>
        </w:rPr>
        <w:t>-</w:t>
      </w:r>
      <w:r w:rsidR="003E335B">
        <w:rPr>
          <w:b/>
        </w:rPr>
        <w:t>02</w:t>
      </w:r>
      <w:r w:rsidRPr="00576B14">
        <w:rPr>
          <w:b/>
        </w:rPr>
        <w:t xml:space="preserve"> is subject to </w:t>
      </w:r>
      <w:r w:rsidR="003E335B">
        <w:rPr>
          <w:b/>
        </w:rPr>
        <w:t xml:space="preserve">this </w:t>
      </w:r>
      <w:r w:rsidRPr="00576B14">
        <w:rPr>
          <w:b/>
        </w:rPr>
        <w:t>tender</w:t>
      </w:r>
      <w:r>
        <w:t>.</w:t>
      </w:r>
    </w:p>
    <w:tbl>
      <w:tblPr>
        <w:tblStyle w:val="TableGrid"/>
        <w:tblW w:w="8787" w:type="dxa"/>
        <w:jc w:val="center"/>
        <w:tblLook w:val="04A0" w:firstRow="1" w:lastRow="0" w:firstColumn="1" w:lastColumn="0" w:noHBand="0" w:noVBand="1"/>
      </w:tblPr>
      <w:tblGrid>
        <w:gridCol w:w="2547"/>
        <w:gridCol w:w="6240"/>
      </w:tblGrid>
      <w:tr w:rsidR="004C4608" w14:paraId="175E1EA9" w14:textId="77777777" w:rsidTr="00D23A73">
        <w:trPr>
          <w:trHeight w:val="168"/>
          <w:jc w:val="center"/>
        </w:trPr>
        <w:tc>
          <w:tcPr>
            <w:tcW w:w="8787" w:type="dxa"/>
            <w:gridSpan w:val="2"/>
          </w:tcPr>
          <w:p w14:paraId="06D7943A" w14:textId="05F18911" w:rsidR="004C4608" w:rsidRPr="006518E0" w:rsidRDefault="004C4608" w:rsidP="00D23A73">
            <w:pPr>
              <w:pStyle w:val="Heading30"/>
              <w:spacing w:before="0"/>
              <w:rPr>
                <w:b/>
                <w:bCs/>
              </w:rPr>
            </w:pPr>
            <w:r w:rsidRPr="006518E0">
              <w:rPr>
                <w:b/>
                <w:bCs/>
                <w:sz w:val="28"/>
                <w:szCs w:val="28"/>
              </w:rPr>
              <w:t xml:space="preserve">Work Package </w:t>
            </w:r>
            <w:r w:rsidR="00EC261D" w:rsidRPr="006518E0">
              <w:rPr>
                <w:b/>
                <w:bCs/>
                <w:sz w:val="28"/>
                <w:szCs w:val="28"/>
              </w:rPr>
              <w:t>T</w:t>
            </w:r>
            <w:r w:rsidR="003E335B" w:rsidRPr="006518E0">
              <w:rPr>
                <w:b/>
                <w:bCs/>
                <w:sz w:val="28"/>
                <w:szCs w:val="28"/>
              </w:rPr>
              <w:t>1202</w:t>
            </w:r>
            <w:r w:rsidR="00EC261D" w:rsidRPr="006518E0">
              <w:rPr>
                <w:b/>
                <w:bCs/>
                <w:sz w:val="28"/>
                <w:szCs w:val="28"/>
              </w:rPr>
              <w:t>-</w:t>
            </w:r>
            <w:r w:rsidR="003E335B" w:rsidRPr="006518E0">
              <w:rPr>
                <w:b/>
                <w:bCs/>
                <w:sz w:val="28"/>
                <w:szCs w:val="28"/>
              </w:rPr>
              <w:t>01</w:t>
            </w:r>
          </w:p>
        </w:tc>
      </w:tr>
      <w:tr w:rsidR="004C4608" w14:paraId="22BC0B92" w14:textId="77777777" w:rsidTr="00D23A73">
        <w:trPr>
          <w:trHeight w:val="373"/>
          <w:jc w:val="center"/>
        </w:trPr>
        <w:tc>
          <w:tcPr>
            <w:tcW w:w="2547" w:type="dxa"/>
          </w:tcPr>
          <w:p w14:paraId="10CAE59B" w14:textId="77777777" w:rsidR="004C4608" w:rsidRDefault="004C4608" w:rsidP="00D23A73">
            <w:pPr>
              <w:pStyle w:val="Body"/>
            </w:pPr>
            <w:r w:rsidRPr="00585CFB">
              <w:rPr>
                <w:b/>
              </w:rPr>
              <w:t>Title</w:t>
            </w:r>
          </w:p>
        </w:tc>
        <w:tc>
          <w:tcPr>
            <w:tcW w:w="6240" w:type="dxa"/>
          </w:tcPr>
          <w:p w14:paraId="52D7253A" w14:textId="50B447B2" w:rsidR="004C4608" w:rsidRPr="003E335B" w:rsidRDefault="003E335B" w:rsidP="00D23A73">
            <w:pPr>
              <w:pStyle w:val="Body"/>
              <w:rPr>
                <w:b/>
                <w:bCs/>
              </w:rPr>
            </w:pPr>
            <w:r w:rsidRPr="003E335B">
              <w:rPr>
                <w:b/>
                <w:bCs/>
              </w:rPr>
              <w:t xml:space="preserve">T1202 - Guidance for introducing and managing Selective Door Operation </w:t>
            </w:r>
            <w:r w:rsidR="004C4608" w:rsidRPr="003E335B">
              <w:rPr>
                <w:b/>
                <w:bCs/>
              </w:rPr>
              <w:t xml:space="preserve">- RSSB </w:t>
            </w:r>
            <w:r w:rsidRPr="003E335B">
              <w:rPr>
                <w:b/>
                <w:bCs/>
              </w:rPr>
              <w:t xml:space="preserve">Project </w:t>
            </w:r>
            <w:r w:rsidR="005D21E3" w:rsidRPr="003E335B">
              <w:rPr>
                <w:b/>
                <w:bCs/>
              </w:rPr>
              <w:t>Definition</w:t>
            </w:r>
            <w:r w:rsidR="008B1E56">
              <w:rPr>
                <w:b/>
                <w:bCs/>
              </w:rPr>
              <w:t xml:space="preserve"> (preparing the tender process)</w:t>
            </w:r>
          </w:p>
        </w:tc>
      </w:tr>
      <w:tr w:rsidR="004C4608" w14:paraId="1EFFA988" w14:textId="77777777" w:rsidTr="00D23A73">
        <w:trPr>
          <w:trHeight w:val="436"/>
          <w:jc w:val="center"/>
        </w:trPr>
        <w:tc>
          <w:tcPr>
            <w:tcW w:w="2547" w:type="dxa"/>
          </w:tcPr>
          <w:p w14:paraId="2314B04A" w14:textId="77777777" w:rsidR="004C4608" w:rsidRPr="00585CFB" w:rsidRDefault="004C4608" w:rsidP="00D23A73">
            <w:pPr>
              <w:pStyle w:val="Body"/>
              <w:rPr>
                <w:b/>
              </w:rPr>
            </w:pPr>
            <w:r>
              <w:rPr>
                <w:b/>
              </w:rPr>
              <w:t xml:space="preserve">Delivery </w:t>
            </w:r>
          </w:p>
        </w:tc>
        <w:tc>
          <w:tcPr>
            <w:tcW w:w="6240" w:type="dxa"/>
          </w:tcPr>
          <w:p w14:paraId="6BBBCEF6" w14:textId="77777777" w:rsidR="004C4608" w:rsidRDefault="004C4608" w:rsidP="00D23A73">
            <w:pPr>
              <w:pStyle w:val="Body"/>
            </w:pPr>
            <w:r>
              <w:t>RSSB</w:t>
            </w:r>
          </w:p>
        </w:tc>
      </w:tr>
      <w:tr w:rsidR="004C4608" w14:paraId="43203C2C" w14:textId="77777777" w:rsidTr="00D23A73">
        <w:trPr>
          <w:trHeight w:val="420"/>
          <w:jc w:val="center"/>
        </w:trPr>
        <w:tc>
          <w:tcPr>
            <w:tcW w:w="2547" w:type="dxa"/>
          </w:tcPr>
          <w:p w14:paraId="51178B1D" w14:textId="77777777" w:rsidR="004C4608" w:rsidRDefault="004C4608" w:rsidP="00D23A73">
            <w:pPr>
              <w:pStyle w:val="Body"/>
            </w:pPr>
            <w:r>
              <w:rPr>
                <w:b/>
              </w:rPr>
              <w:t>Start</w:t>
            </w:r>
          </w:p>
        </w:tc>
        <w:tc>
          <w:tcPr>
            <w:tcW w:w="6240" w:type="dxa"/>
          </w:tcPr>
          <w:p w14:paraId="0F40C708" w14:textId="3D503982" w:rsidR="004C4608" w:rsidRDefault="003E335B" w:rsidP="00D23A73">
            <w:pPr>
              <w:pStyle w:val="Body"/>
            </w:pPr>
            <w:r>
              <w:t>September 2019</w:t>
            </w:r>
          </w:p>
        </w:tc>
      </w:tr>
      <w:tr w:rsidR="004C4608" w14:paraId="7315DFB6" w14:textId="77777777" w:rsidTr="00D23A73">
        <w:trPr>
          <w:trHeight w:val="420"/>
          <w:jc w:val="center"/>
        </w:trPr>
        <w:tc>
          <w:tcPr>
            <w:tcW w:w="2547" w:type="dxa"/>
          </w:tcPr>
          <w:p w14:paraId="46B13BA7" w14:textId="77777777" w:rsidR="004C4608" w:rsidRDefault="004C4608" w:rsidP="00D23A73">
            <w:pPr>
              <w:pStyle w:val="Body"/>
              <w:rPr>
                <w:b/>
              </w:rPr>
            </w:pPr>
            <w:r>
              <w:rPr>
                <w:b/>
              </w:rPr>
              <w:t>Completion</w:t>
            </w:r>
          </w:p>
        </w:tc>
        <w:tc>
          <w:tcPr>
            <w:tcW w:w="6240" w:type="dxa"/>
          </w:tcPr>
          <w:p w14:paraId="184A3D14" w14:textId="023B3CE3" w:rsidR="004C4608" w:rsidRDefault="003E335B" w:rsidP="00D23A73">
            <w:pPr>
              <w:pStyle w:val="Body"/>
            </w:pPr>
            <w:r>
              <w:t>January 2020</w:t>
            </w:r>
          </w:p>
        </w:tc>
      </w:tr>
    </w:tbl>
    <w:p w14:paraId="293432D8" w14:textId="77777777" w:rsidR="004C4608" w:rsidRDefault="004C4608" w:rsidP="004C4608">
      <w:pPr>
        <w:rPr>
          <w:lang w:eastAsia="en-GB"/>
        </w:rPr>
      </w:pPr>
    </w:p>
    <w:tbl>
      <w:tblPr>
        <w:tblStyle w:val="TableGrid"/>
        <w:tblW w:w="8817" w:type="dxa"/>
        <w:jc w:val="center"/>
        <w:tblLook w:val="04A0" w:firstRow="1" w:lastRow="0" w:firstColumn="1" w:lastColumn="0" w:noHBand="0" w:noVBand="1"/>
      </w:tblPr>
      <w:tblGrid>
        <w:gridCol w:w="2547"/>
        <w:gridCol w:w="6270"/>
      </w:tblGrid>
      <w:tr w:rsidR="004C4608" w14:paraId="5DB070ED" w14:textId="77777777" w:rsidTr="00D23A73">
        <w:trPr>
          <w:trHeight w:val="205"/>
          <w:jc w:val="center"/>
        </w:trPr>
        <w:tc>
          <w:tcPr>
            <w:tcW w:w="8817" w:type="dxa"/>
            <w:gridSpan w:val="2"/>
          </w:tcPr>
          <w:p w14:paraId="528F4755" w14:textId="2FAB5A3A" w:rsidR="004C4608" w:rsidRPr="00857E86" w:rsidRDefault="004C4608" w:rsidP="00D23A73">
            <w:pPr>
              <w:pStyle w:val="Heading30"/>
              <w:spacing w:before="0"/>
              <w:rPr>
                <w:b/>
              </w:rPr>
            </w:pPr>
            <w:r w:rsidRPr="00857E86">
              <w:rPr>
                <w:b/>
                <w:sz w:val="28"/>
                <w:szCs w:val="28"/>
              </w:rPr>
              <w:t xml:space="preserve">Work </w:t>
            </w:r>
            <w:r w:rsidRPr="00C86455">
              <w:rPr>
                <w:b/>
                <w:sz w:val="28"/>
                <w:szCs w:val="28"/>
              </w:rPr>
              <w:t>Package T</w:t>
            </w:r>
            <w:r w:rsidR="003E335B">
              <w:rPr>
                <w:b/>
                <w:sz w:val="28"/>
                <w:szCs w:val="28"/>
              </w:rPr>
              <w:t>1202-02</w:t>
            </w:r>
          </w:p>
        </w:tc>
      </w:tr>
      <w:tr w:rsidR="004C4608" w14:paraId="3F227D5B" w14:textId="77777777" w:rsidTr="00D23A73">
        <w:trPr>
          <w:trHeight w:val="70"/>
          <w:jc w:val="center"/>
        </w:trPr>
        <w:tc>
          <w:tcPr>
            <w:tcW w:w="2547" w:type="dxa"/>
          </w:tcPr>
          <w:p w14:paraId="54E92743" w14:textId="77777777" w:rsidR="004C4608" w:rsidRDefault="004C4608" w:rsidP="00D23A73">
            <w:pPr>
              <w:pStyle w:val="Body"/>
            </w:pPr>
            <w:r w:rsidRPr="00585CFB">
              <w:rPr>
                <w:b/>
              </w:rPr>
              <w:t>Title</w:t>
            </w:r>
          </w:p>
        </w:tc>
        <w:tc>
          <w:tcPr>
            <w:tcW w:w="6270" w:type="dxa"/>
          </w:tcPr>
          <w:p w14:paraId="0F941627" w14:textId="5849444F" w:rsidR="004C4608" w:rsidRPr="00E737F9" w:rsidRDefault="003E335B" w:rsidP="00D23A73">
            <w:pPr>
              <w:pStyle w:val="Body"/>
            </w:pPr>
            <w:r w:rsidRPr="003E335B">
              <w:rPr>
                <w:b/>
                <w:bCs/>
              </w:rPr>
              <w:t xml:space="preserve">T1202 - Guidance for introducing and managing Selective Door Operation - Project </w:t>
            </w:r>
            <w:r w:rsidR="005D21E3">
              <w:rPr>
                <w:b/>
              </w:rPr>
              <w:t>Development</w:t>
            </w:r>
          </w:p>
        </w:tc>
      </w:tr>
      <w:tr w:rsidR="004C4608" w14:paraId="1F7E7292" w14:textId="77777777" w:rsidTr="00D23A73">
        <w:trPr>
          <w:trHeight w:val="433"/>
          <w:jc w:val="center"/>
        </w:trPr>
        <w:tc>
          <w:tcPr>
            <w:tcW w:w="2547" w:type="dxa"/>
          </w:tcPr>
          <w:p w14:paraId="292FE5D3" w14:textId="77777777" w:rsidR="004C4608" w:rsidRPr="00585CFB" w:rsidRDefault="004C4608" w:rsidP="00D23A73">
            <w:pPr>
              <w:pStyle w:val="Body"/>
              <w:rPr>
                <w:b/>
              </w:rPr>
            </w:pPr>
            <w:r>
              <w:rPr>
                <w:b/>
              </w:rPr>
              <w:t>Delivery</w:t>
            </w:r>
          </w:p>
        </w:tc>
        <w:tc>
          <w:tcPr>
            <w:tcW w:w="6270" w:type="dxa"/>
          </w:tcPr>
          <w:p w14:paraId="2D909A5B" w14:textId="3AADBEF4" w:rsidR="004C4608" w:rsidRDefault="003E335B" w:rsidP="00D23A73">
            <w:pPr>
              <w:pStyle w:val="Body"/>
            </w:pPr>
            <w:r>
              <w:t>This c</w:t>
            </w:r>
            <w:r w:rsidR="004C4608">
              <w:t>ompetitive tender</w:t>
            </w:r>
          </w:p>
        </w:tc>
      </w:tr>
      <w:tr w:rsidR="004C4608" w14:paraId="0B767008" w14:textId="77777777" w:rsidTr="00D23A73">
        <w:trPr>
          <w:trHeight w:val="417"/>
          <w:jc w:val="center"/>
        </w:trPr>
        <w:tc>
          <w:tcPr>
            <w:tcW w:w="2547" w:type="dxa"/>
          </w:tcPr>
          <w:p w14:paraId="50FE18E4" w14:textId="77777777" w:rsidR="004C4608" w:rsidRDefault="004C4608" w:rsidP="00D23A73">
            <w:pPr>
              <w:pStyle w:val="Body"/>
            </w:pPr>
            <w:r>
              <w:rPr>
                <w:b/>
              </w:rPr>
              <w:t>Start</w:t>
            </w:r>
          </w:p>
        </w:tc>
        <w:tc>
          <w:tcPr>
            <w:tcW w:w="6270" w:type="dxa"/>
          </w:tcPr>
          <w:p w14:paraId="3F0DB21A" w14:textId="537DBD77" w:rsidR="004C4608" w:rsidRPr="00CC318B" w:rsidRDefault="003E335B" w:rsidP="00D23A73">
            <w:pPr>
              <w:pStyle w:val="Body"/>
            </w:pPr>
            <w:r>
              <w:t>March 2020</w:t>
            </w:r>
          </w:p>
        </w:tc>
      </w:tr>
      <w:tr w:rsidR="004C4608" w14:paraId="6DBD8446" w14:textId="77777777" w:rsidTr="00D23A73">
        <w:trPr>
          <w:trHeight w:val="417"/>
          <w:jc w:val="center"/>
        </w:trPr>
        <w:tc>
          <w:tcPr>
            <w:tcW w:w="2547" w:type="dxa"/>
          </w:tcPr>
          <w:p w14:paraId="59B49B8D" w14:textId="77777777" w:rsidR="004C4608" w:rsidRDefault="004C4608" w:rsidP="00D23A73">
            <w:pPr>
              <w:pStyle w:val="Body"/>
              <w:rPr>
                <w:b/>
              </w:rPr>
            </w:pPr>
            <w:r>
              <w:rPr>
                <w:b/>
              </w:rPr>
              <w:t xml:space="preserve">Completion </w:t>
            </w:r>
          </w:p>
        </w:tc>
        <w:tc>
          <w:tcPr>
            <w:tcW w:w="6270" w:type="dxa"/>
          </w:tcPr>
          <w:p w14:paraId="00C0565B" w14:textId="58191103" w:rsidR="004C4608" w:rsidRPr="00CC318B" w:rsidRDefault="003E335B" w:rsidP="00D23A73">
            <w:pPr>
              <w:pStyle w:val="Body"/>
            </w:pPr>
            <w:r>
              <w:t>February 2021</w:t>
            </w:r>
          </w:p>
        </w:tc>
      </w:tr>
    </w:tbl>
    <w:p w14:paraId="1A885982" w14:textId="5B264791" w:rsidR="005047AB" w:rsidRPr="009B21F8" w:rsidRDefault="005047AB" w:rsidP="009B21F8">
      <w:pPr>
        <w:rPr>
          <w:rFonts w:ascii="Calibri" w:hAnsi="Calibri" w:cs="Arial"/>
          <w:sz w:val="22"/>
          <w:szCs w:val="22"/>
          <w:lang w:eastAsia="en-GB"/>
        </w:rPr>
      </w:pPr>
    </w:p>
    <w:p w14:paraId="7BDE9AC7" w14:textId="4757D205" w:rsidR="00032803" w:rsidRPr="0002231C" w:rsidRDefault="005047AB" w:rsidP="001F5078">
      <w:pPr>
        <w:pStyle w:val="Heading10"/>
        <w:keepNext/>
        <w:numPr>
          <w:ilvl w:val="0"/>
          <w:numId w:val="25"/>
        </w:numPr>
        <w:ind w:left="426" w:hanging="426"/>
        <w:outlineLvl w:val="9"/>
        <w:rPr>
          <w:rFonts w:ascii="Calibri" w:hAnsi="Calibri"/>
        </w:rPr>
      </w:pPr>
      <w:r>
        <w:rPr>
          <w:rFonts w:ascii="Calibri" w:hAnsi="Calibri"/>
        </w:rPr>
        <w:t>D</w:t>
      </w:r>
      <w:r w:rsidR="00875261" w:rsidRPr="0002231C">
        <w:rPr>
          <w:rFonts w:ascii="Calibri" w:hAnsi="Calibri"/>
        </w:rPr>
        <w:t>eliverables</w:t>
      </w:r>
    </w:p>
    <w:p w14:paraId="52C93FAD" w14:textId="60A274C4" w:rsidR="008A5735" w:rsidRPr="00B95ACC" w:rsidRDefault="006A15C4" w:rsidP="00B95ACC">
      <w:pPr>
        <w:rPr>
          <w:rFonts w:ascii="Calibri" w:hAnsi="Calibri" w:cs="Arial"/>
          <w:sz w:val="22"/>
          <w:szCs w:val="22"/>
          <w:lang w:eastAsia="en-GB"/>
        </w:rPr>
      </w:pPr>
      <w:r w:rsidRPr="0035434B">
        <w:rPr>
          <w:rFonts w:ascii="Calibri" w:hAnsi="Calibri" w:cs="Arial"/>
          <w:sz w:val="22"/>
          <w:szCs w:val="22"/>
          <w:lang w:eastAsia="en-GB"/>
        </w:rPr>
        <w:t xml:space="preserve">This </w:t>
      </w:r>
      <w:r w:rsidR="003B05EF">
        <w:rPr>
          <w:rFonts w:ascii="Calibri" w:hAnsi="Calibri" w:cs="Arial"/>
          <w:sz w:val="22"/>
          <w:szCs w:val="22"/>
          <w:lang w:eastAsia="en-GB"/>
        </w:rPr>
        <w:t xml:space="preserve">work </w:t>
      </w:r>
      <w:r w:rsidRPr="0035434B">
        <w:rPr>
          <w:rFonts w:ascii="Calibri" w:hAnsi="Calibri" w:cs="Arial"/>
          <w:sz w:val="22"/>
          <w:szCs w:val="22"/>
          <w:lang w:eastAsia="en-GB"/>
        </w:rPr>
        <w:t xml:space="preserve">will </w:t>
      </w:r>
      <w:r w:rsidR="0035434B">
        <w:rPr>
          <w:rFonts w:ascii="Calibri" w:hAnsi="Calibri" w:cs="Arial"/>
          <w:sz w:val="22"/>
          <w:szCs w:val="22"/>
          <w:lang w:eastAsia="en-GB"/>
        </w:rPr>
        <w:t>provide</w:t>
      </w:r>
      <w:r w:rsidRPr="0035434B">
        <w:rPr>
          <w:rFonts w:ascii="Calibri" w:hAnsi="Calibri" w:cs="Arial"/>
          <w:sz w:val="22"/>
          <w:szCs w:val="22"/>
          <w:lang w:eastAsia="en-GB"/>
        </w:rPr>
        <w:t xml:space="preserve"> the following deliverables:</w:t>
      </w:r>
    </w:p>
    <w:tbl>
      <w:tblPr>
        <w:tblStyle w:val="TableGrid"/>
        <w:tblW w:w="8075" w:type="dxa"/>
        <w:tblLook w:val="04A0" w:firstRow="1" w:lastRow="0" w:firstColumn="1" w:lastColumn="0" w:noHBand="0" w:noVBand="1"/>
      </w:tblPr>
      <w:tblGrid>
        <w:gridCol w:w="1838"/>
        <w:gridCol w:w="6237"/>
      </w:tblGrid>
      <w:tr w:rsidR="003E60E0" w14:paraId="4D0D323C" w14:textId="77777777" w:rsidTr="004625AC">
        <w:trPr>
          <w:trHeight w:val="434"/>
        </w:trPr>
        <w:tc>
          <w:tcPr>
            <w:tcW w:w="1838" w:type="dxa"/>
            <w:shd w:val="clear" w:color="auto" w:fill="F2F2F2" w:themeFill="background1" w:themeFillShade="F2"/>
          </w:tcPr>
          <w:p w14:paraId="0D9CAC50" w14:textId="77777777" w:rsidR="003E60E0" w:rsidRPr="003E60E0" w:rsidRDefault="003E60E0" w:rsidP="009C66F7">
            <w:pPr>
              <w:pStyle w:val="Body"/>
              <w:rPr>
                <w:b/>
              </w:rPr>
            </w:pPr>
            <w:r w:rsidRPr="003E60E0">
              <w:rPr>
                <w:b/>
              </w:rPr>
              <w:t>Deliverable Title</w:t>
            </w:r>
          </w:p>
        </w:tc>
        <w:tc>
          <w:tcPr>
            <w:tcW w:w="6237" w:type="dxa"/>
          </w:tcPr>
          <w:p w14:paraId="4E8B3215" w14:textId="7F571F1A" w:rsidR="003E60E0" w:rsidRPr="006518E0" w:rsidRDefault="006518E0" w:rsidP="009C66F7">
            <w:pPr>
              <w:pStyle w:val="Body"/>
              <w:rPr>
                <w:b/>
                <w:bCs/>
              </w:rPr>
            </w:pPr>
            <w:r w:rsidRPr="006518E0">
              <w:rPr>
                <w:b/>
                <w:bCs/>
              </w:rPr>
              <w:t xml:space="preserve">T1202 </w:t>
            </w:r>
            <w:r w:rsidR="007167B6" w:rsidRPr="006518E0">
              <w:rPr>
                <w:b/>
                <w:bCs/>
              </w:rPr>
              <w:t xml:space="preserve">– </w:t>
            </w:r>
            <w:r w:rsidRPr="006518E0">
              <w:rPr>
                <w:b/>
                <w:bCs/>
              </w:rPr>
              <w:t>SDO ‘beginners guide’</w:t>
            </w:r>
          </w:p>
        </w:tc>
      </w:tr>
      <w:tr w:rsidR="003E60E0" w14:paraId="6F9D72AA" w14:textId="77777777" w:rsidTr="004625AC">
        <w:trPr>
          <w:trHeight w:val="419"/>
        </w:trPr>
        <w:tc>
          <w:tcPr>
            <w:tcW w:w="1838" w:type="dxa"/>
            <w:shd w:val="clear" w:color="auto" w:fill="F2F2F2" w:themeFill="background1" w:themeFillShade="F2"/>
          </w:tcPr>
          <w:p w14:paraId="0E4D0323" w14:textId="77777777" w:rsidR="003E60E0" w:rsidRPr="003E60E0" w:rsidRDefault="003E60E0" w:rsidP="009C66F7">
            <w:pPr>
              <w:pStyle w:val="Body"/>
              <w:rPr>
                <w:b/>
              </w:rPr>
            </w:pPr>
            <w:r w:rsidRPr="003E60E0">
              <w:rPr>
                <w:b/>
              </w:rPr>
              <w:t>Deliverable Type</w:t>
            </w:r>
          </w:p>
        </w:tc>
        <w:tc>
          <w:tcPr>
            <w:tcW w:w="6237" w:type="dxa"/>
          </w:tcPr>
          <w:p w14:paraId="3B7E194D" w14:textId="43C64D32" w:rsidR="003E60E0" w:rsidRDefault="006518E0" w:rsidP="009C66F7">
            <w:pPr>
              <w:pStyle w:val="Body"/>
            </w:pPr>
            <w:r>
              <w:t>Report</w:t>
            </w:r>
          </w:p>
        </w:tc>
      </w:tr>
      <w:tr w:rsidR="003E60E0" w14:paraId="4FA16709" w14:textId="77777777" w:rsidTr="004625AC">
        <w:trPr>
          <w:trHeight w:val="434"/>
        </w:trPr>
        <w:tc>
          <w:tcPr>
            <w:tcW w:w="1838" w:type="dxa"/>
            <w:shd w:val="clear" w:color="auto" w:fill="F2F2F2" w:themeFill="background1" w:themeFillShade="F2"/>
          </w:tcPr>
          <w:p w14:paraId="0644DFD8" w14:textId="77777777" w:rsidR="003E60E0" w:rsidRPr="003E60E0" w:rsidRDefault="003E60E0" w:rsidP="009C66F7">
            <w:pPr>
              <w:pStyle w:val="Body"/>
              <w:rPr>
                <w:b/>
              </w:rPr>
            </w:pPr>
            <w:r w:rsidRPr="003E60E0">
              <w:rPr>
                <w:b/>
              </w:rPr>
              <w:t>Description</w:t>
            </w:r>
          </w:p>
        </w:tc>
        <w:tc>
          <w:tcPr>
            <w:tcW w:w="6237" w:type="dxa"/>
          </w:tcPr>
          <w:p w14:paraId="1B4C0D28" w14:textId="79F56BBE" w:rsidR="003E60E0" w:rsidRDefault="006518E0" w:rsidP="009C66F7">
            <w:pPr>
              <w:pStyle w:val="Body"/>
            </w:pPr>
            <w:r>
              <w:t xml:space="preserve">The </w:t>
            </w:r>
            <w:r w:rsidRPr="006518E0">
              <w:t xml:space="preserve">SDO ‘beginners guide’ </w:t>
            </w:r>
            <w:r>
              <w:t xml:space="preserve">shall </w:t>
            </w:r>
            <w:r w:rsidRPr="006518E0">
              <w:t xml:space="preserve">cater for different types of SDO, terminology, associated benefits and hazards, the roles and experience level for end-users of the guide, different considerations to make when introducing and managing SDO.  </w:t>
            </w:r>
          </w:p>
        </w:tc>
      </w:tr>
      <w:tr w:rsidR="003E60E0" w14:paraId="1BC747E5" w14:textId="77777777" w:rsidTr="004625AC">
        <w:trPr>
          <w:trHeight w:val="419"/>
        </w:trPr>
        <w:tc>
          <w:tcPr>
            <w:tcW w:w="1838" w:type="dxa"/>
            <w:shd w:val="clear" w:color="auto" w:fill="F2F2F2" w:themeFill="background1" w:themeFillShade="F2"/>
          </w:tcPr>
          <w:p w14:paraId="7DFAA440" w14:textId="77777777" w:rsidR="003E60E0" w:rsidRPr="003E60E0" w:rsidRDefault="003E60E0" w:rsidP="009C66F7">
            <w:pPr>
              <w:pStyle w:val="Body"/>
              <w:rPr>
                <w:b/>
              </w:rPr>
            </w:pPr>
            <w:r w:rsidRPr="003E60E0">
              <w:rPr>
                <w:b/>
              </w:rPr>
              <w:t>Publication</w:t>
            </w:r>
          </w:p>
        </w:tc>
        <w:tc>
          <w:tcPr>
            <w:tcW w:w="6237" w:type="dxa"/>
          </w:tcPr>
          <w:p w14:paraId="137C1F3E" w14:textId="10AD4DA8" w:rsidR="003E60E0" w:rsidRDefault="00201084" w:rsidP="009C66F7">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4237837C" w14:textId="60B23641" w:rsidR="00315B74" w:rsidRDefault="00315B74" w:rsidP="00315B74">
      <w:pPr>
        <w:pStyle w:val="Heading10"/>
        <w:keepNext/>
        <w:spacing w:after="120" w:line="240" w:lineRule="auto"/>
        <w:outlineLvl w:val="9"/>
        <w:rPr>
          <w:rFonts w:ascii="Calibri" w:hAnsi="Calibri"/>
        </w:rPr>
      </w:pPr>
    </w:p>
    <w:tbl>
      <w:tblPr>
        <w:tblStyle w:val="TableGrid"/>
        <w:tblW w:w="8075" w:type="dxa"/>
        <w:tblLook w:val="04A0" w:firstRow="1" w:lastRow="0" w:firstColumn="1" w:lastColumn="0" w:noHBand="0" w:noVBand="1"/>
      </w:tblPr>
      <w:tblGrid>
        <w:gridCol w:w="1838"/>
        <w:gridCol w:w="6237"/>
      </w:tblGrid>
      <w:tr w:rsidR="006518E0" w14:paraId="238984EF" w14:textId="77777777" w:rsidTr="00BA7422">
        <w:trPr>
          <w:trHeight w:val="434"/>
        </w:trPr>
        <w:tc>
          <w:tcPr>
            <w:tcW w:w="1838" w:type="dxa"/>
            <w:shd w:val="clear" w:color="auto" w:fill="F2F2F2" w:themeFill="background1" w:themeFillShade="F2"/>
          </w:tcPr>
          <w:p w14:paraId="18DA2306" w14:textId="77777777" w:rsidR="006518E0" w:rsidRPr="003E60E0" w:rsidRDefault="006518E0" w:rsidP="00BA7422">
            <w:pPr>
              <w:pStyle w:val="Body"/>
              <w:rPr>
                <w:b/>
              </w:rPr>
            </w:pPr>
            <w:r w:rsidRPr="003E60E0">
              <w:rPr>
                <w:b/>
              </w:rPr>
              <w:t>Deliverable Title</w:t>
            </w:r>
          </w:p>
        </w:tc>
        <w:tc>
          <w:tcPr>
            <w:tcW w:w="6237" w:type="dxa"/>
          </w:tcPr>
          <w:p w14:paraId="037E68DC" w14:textId="662D3463" w:rsidR="006518E0" w:rsidRPr="006518E0" w:rsidRDefault="006518E0" w:rsidP="00BA7422">
            <w:pPr>
              <w:pStyle w:val="Body"/>
              <w:rPr>
                <w:b/>
                <w:bCs/>
              </w:rPr>
            </w:pPr>
            <w:r w:rsidRPr="006518E0">
              <w:rPr>
                <w:b/>
                <w:bCs/>
              </w:rPr>
              <w:t>T1202 – Assessment method for introducing and reviewing SDO use</w:t>
            </w:r>
          </w:p>
        </w:tc>
      </w:tr>
      <w:tr w:rsidR="006518E0" w14:paraId="52D77C1D" w14:textId="77777777" w:rsidTr="00BA7422">
        <w:trPr>
          <w:trHeight w:val="419"/>
        </w:trPr>
        <w:tc>
          <w:tcPr>
            <w:tcW w:w="1838" w:type="dxa"/>
            <w:shd w:val="clear" w:color="auto" w:fill="F2F2F2" w:themeFill="background1" w:themeFillShade="F2"/>
          </w:tcPr>
          <w:p w14:paraId="6DBD8376" w14:textId="77777777" w:rsidR="006518E0" w:rsidRPr="003E60E0" w:rsidRDefault="006518E0" w:rsidP="00BA7422">
            <w:pPr>
              <w:pStyle w:val="Body"/>
              <w:rPr>
                <w:b/>
              </w:rPr>
            </w:pPr>
            <w:r w:rsidRPr="003E60E0">
              <w:rPr>
                <w:b/>
              </w:rPr>
              <w:t>Deliverable Type</w:t>
            </w:r>
          </w:p>
        </w:tc>
        <w:tc>
          <w:tcPr>
            <w:tcW w:w="6237" w:type="dxa"/>
          </w:tcPr>
          <w:p w14:paraId="1A694061" w14:textId="25B0B1A1" w:rsidR="006518E0" w:rsidRDefault="006518E0" w:rsidP="00BA7422">
            <w:pPr>
              <w:pStyle w:val="Body"/>
            </w:pPr>
            <w:r>
              <w:t>Report</w:t>
            </w:r>
          </w:p>
        </w:tc>
      </w:tr>
      <w:tr w:rsidR="006518E0" w14:paraId="1244218E" w14:textId="77777777" w:rsidTr="00BA7422">
        <w:trPr>
          <w:trHeight w:val="434"/>
        </w:trPr>
        <w:tc>
          <w:tcPr>
            <w:tcW w:w="1838" w:type="dxa"/>
            <w:shd w:val="clear" w:color="auto" w:fill="F2F2F2" w:themeFill="background1" w:themeFillShade="F2"/>
          </w:tcPr>
          <w:p w14:paraId="2FC14B30" w14:textId="77777777" w:rsidR="006518E0" w:rsidRPr="003E60E0" w:rsidRDefault="006518E0" w:rsidP="00BA7422">
            <w:pPr>
              <w:pStyle w:val="Body"/>
              <w:rPr>
                <w:b/>
              </w:rPr>
            </w:pPr>
            <w:r w:rsidRPr="003E60E0">
              <w:rPr>
                <w:b/>
              </w:rPr>
              <w:lastRenderedPageBreak/>
              <w:t>Description</w:t>
            </w:r>
          </w:p>
        </w:tc>
        <w:tc>
          <w:tcPr>
            <w:tcW w:w="6237" w:type="dxa"/>
          </w:tcPr>
          <w:p w14:paraId="256E446F" w14:textId="7EA2A1E4" w:rsidR="006518E0" w:rsidRDefault="006518E0" w:rsidP="00BA7422">
            <w:pPr>
              <w:pStyle w:val="Body"/>
            </w:pPr>
            <w:r w:rsidRPr="006518E0">
              <w:t xml:space="preserve">The </w:t>
            </w:r>
            <w:r>
              <w:t xml:space="preserve">assessment </w:t>
            </w:r>
            <w:r w:rsidRPr="006518E0">
              <w:t xml:space="preserve">method shall help staff decide when SDO should be introduced / continued to be used, ensuring key requirements have been considered and measured against self-assessment criteria.  It is expected the method will include a checklist of key requirements and include guidance on how to assess each criterion.    </w:t>
            </w:r>
          </w:p>
        </w:tc>
      </w:tr>
      <w:tr w:rsidR="006518E0" w14:paraId="1E9FE4E2" w14:textId="77777777" w:rsidTr="00BA7422">
        <w:trPr>
          <w:trHeight w:val="419"/>
        </w:trPr>
        <w:tc>
          <w:tcPr>
            <w:tcW w:w="1838" w:type="dxa"/>
            <w:shd w:val="clear" w:color="auto" w:fill="F2F2F2" w:themeFill="background1" w:themeFillShade="F2"/>
          </w:tcPr>
          <w:p w14:paraId="5AC80626" w14:textId="77777777" w:rsidR="006518E0" w:rsidRPr="003E60E0" w:rsidRDefault="006518E0" w:rsidP="00BA7422">
            <w:pPr>
              <w:pStyle w:val="Body"/>
              <w:rPr>
                <w:b/>
              </w:rPr>
            </w:pPr>
            <w:r w:rsidRPr="003E60E0">
              <w:rPr>
                <w:b/>
              </w:rPr>
              <w:t>Publication</w:t>
            </w:r>
          </w:p>
        </w:tc>
        <w:tc>
          <w:tcPr>
            <w:tcW w:w="6237" w:type="dxa"/>
          </w:tcPr>
          <w:p w14:paraId="46A0B72C" w14:textId="77777777" w:rsidR="006518E0" w:rsidRDefault="006518E0" w:rsidP="00BA7422">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2FD8524D" w14:textId="771C7A08" w:rsidR="006518E0" w:rsidRDefault="006518E0" w:rsidP="006518E0">
      <w:pPr>
        <w:pStyle w:val="Body"/>
      </w:pPr>
    </w:p>
    <w:tbl>
      <w:tblPr>
        <w:tblStyle w:val="TableGrid"/>
        <w:tblW w:w="8075" w:type="dxa"/>
        <w:tblLook w:val="04A0" w:firstRow="1" w:lastRow="0" w:firstColumn="1" w:lastColumn="0" w:noHBand="0" w:noVBand="1"/>
      </w:tblPr>
      <w:tblGrid>
        <w:gridCol w:w="1838"/>
        <w:gridCol w:w="6237"/>
      </w:tblGrid>
      <w:tr w:rsidR="006518E0" w14:paraId="27ADDE27" w14:textId="77777777" w:rsidTr="00BA7422">
        <w:trPr>
          <w:trHeight w:val="434"/>
        </w:trPr>
        <w:tc>
          <w:tcPr>
            <w:tcW w:w="1838" w:type="dxa"/>
            <w:shd w:val="clear" w:color="auto" w:fill="F2F2F2" w:themeFill="background1" w:themeFillShade="F2"/>
          </w:tcPr>
          <w:p w14:paraId="18A17E4E" w14:textId="77777777" w:rsidR="006518E0" w:rsidRPr="003E60E0" w:rsidRDefault="006518E0" w:rsidP="00BA7422">
            <w:pPr>
              <w:pStyle w:val="Body"/>
              <w:rPr>
                <w:b/>
              </w:rPr>
            </w:pPr>
            <w:r w:rsidRPr="003E60E0">
              <w:rPr>
                <w:b/>
              </w:rPr>
              <w:t>Deliverable Title</w:t>
            </w:r>
          </w:p>
        </w:tc>
        <w:tc>
          <w:tcPr>
            <w:tcW w:w="6237" w:type="dxa"/>
          </w:tcPr>
          <w:p w14:paraId="06773EB8" w14:textId="150351F6" w:rsidR="006518E0" w:rsidRPr="006518E0" w:rsidRDefault="006518E0" w:rsidP="00BA7422">
            <w:pPr>
              <w:pStyle w:val="Body"/>
              <w:rPr>
                <w:b/>
                <w:bCs/>
              </w:rPr>
            </w:pPr>
            <w:r w:rsidRPr="006518E0">
              <w:rPr>
                <w:b/>
                <w:bCs/>
              </w:rPr>
              <w:t>T1202 – Good practice guidance and/or toolkit for introducing and managing SDO</w:t>
            </w:r>
          </w:p>
        </w:tc>
      </w:tr>
      <w:tr w:rsidR="006518E0" w14:paraId="34BAD976" w14:textId="77777777" w:rsidTr="00BA7422">
        <w:trPr>
          <w:trHeight w:val="419"/>
        </w:trPr>
        <w:tc>
          <w:tcPr>
            <w:tcW w:w="1838" w:type="dxa"/>
            <w:shd w:val="clear" w:color="auto" w:fill="F2F2F2" w:themeFill="background1" w:themeFillShade="F2"/>
          </w:tcPr>
          <w:p w14:paraId="543058AE" w14:textId="77777777" w:rsidR="006518E0" w:rsidRPr="003E60E0" w:rsidRDefault="006518E0" w:rsidP="00BA7422">
            <w:pPr>
              <w:pStyle w:val="Body"/>
              <w:rPr>
                <w:b/>
              </w:rPr>
            </w:pPr>
            <w:r w:rsidRPr="003E60E0">
              <w:rPr>
                <w:b/>
              </w:rPr>
              <w:t>Deliverable Type</w:t>
            </w:r>
          </w:p>
        </w:tc>
        <w:tc>
          <w:tcPr>
            <w:tcW w:w="6237" w:type="dxa"/>
          </w:tcPr>
          <w:p w14:paraId="5DC6F53C" w14:textId="4B47E751" w:rsidR="006518E0" w:rsidRDefault="006518E0" w:rsidP="00BA7422">
            <w:pPr>
              <w:pStyle w:val="Body"/>
            </w:pPr>
            <w:r>
              <w:t>Guidance and / or Toolkit</w:t>
            </w:r>
          </w:p>
        </w:tc>
      </w:tr>
      <w:tr w:rsidR="006518E0" w14:paraId="2DB34104" w14:textId="77777777" w:rsidTr="00BA7422">
        <w:trPr>
          <w:trHeight w:val="434"/>
        </w:trPr>
        <w:tc>
          <w:tcPr>
            <w:tcW w:w="1838" w:type="dxa"/>
            <w:shd w:val="clear" w:color="auto" w:fill="F2F2F2" w:themeFill="background1" w:themeFillShade="F2"/>
          </w:tcPr>
          <w:p w14:paraId="7F355576" w14:textId="77777777" w:rsidR="006518E0" w:rsidRPr="003E60E0" w:rsidRDefault="006518E0" w:rsidP="00BA7422">
            <w:pPr>
              <w:pStyle w:val="Body"/>
              <w:rPr>
                <w:b/>
              </w:rPr>
            </w:pPr>
            <w:r w:rsidRPr="003E60E0">
              <w:rPr>
                <w:b/>
              </w:rPr>
              <w:t>Description</w:t>
            </w:r>
          </w:p>
        </w:tc>
        <w:tc>
          <w:tcPr>
            <w:tcW w:w="6237" w:type="dxa"/>
          </w:tcPr>
          <w:p w14:paraId="60F25A4D" w14:textId="4C8E7571" w:rsidR="006518E0" w:rsidRDefault="006518E0" w:rsidP="006518E0">
            <w:pPr>
              <w:pStyle w:val="Body"/>
            </w:pPr>
            <w:r>
              <w:t>The Good practice guidance and/or toolkit for introducing and managing SDO, shall as a minimum, cater for:</w:t>
            </w:r>
          </w:p>
          <w:p w14:paraId="4C7F142A" w14:textId="142CC89C" w:rsidR="006518E0" w:rsidRDefault="006518E0" w:rsidP="001F5078">
            <w:pPr>
              <w:pStyle w:val="Body"/>
              <w:numPr>
                <w:ilvl w:val="0"/>
                <w:numId w:val="38"/>
              </w:numPr>
            </w:pPr>
            <w:r>
              <w:t>New and current users of SDO</w:t>
            </w:r>
          </w:p>
          <w:p w14:paraId="42356114" w14:textId="7044977E" w:rsidR="006518E0" w:rsidRDefault="006518E0" w:rsidP="001F5078">
            <w:pPr>
              <w:pStyle w:val="Body"/>
              <w:numPr>
                <w:ilvl w:val="0"/>
                <w:numId w:val="38"/>
              </w:numPr>
            </w:pPr>
            <w:r>
              <w:t xml:space="preserve">The principles underpinning good practice, methods for adopting good practice and implementing change  </w:t>
            </w:r>
          </w:p>
          <w:p w14:paraId="14DA2398" w14:textId="217D2BD9" w:rsidR="006518E0" w:rsidRDefault="006518E0" w:rsidP="001F5078">
            <w:pPr>
              <w:pStyle w:val="Body"/>
              <w:numPr>
                <w:ilvl w:val="0"/>
                <w:numId w:val="38"/>
              </w:numPr>
            </w:pPr>
            <w:r>
              <w:t>Identifying triggers for undertaking a qualifying assessment or review of continued SDO use</w:t>
            </w:r>
          </w:p>
          <w:p w14:paraId="0F944434" w14:textId="7CC441DF" w:rsidR="006518E0" w:rsidRDefault="006518E0" w:rsidP="001F5078">
            <w:pPr>
              <w:pStyle w:val="Body"/>
              <w:numPr>
                <w:ilvl w:val="0"/>
                <w:numId w:val="38"/>
              </w:numPr>
            </w:pPr>
            <w:r>
              <w:t xml:space="preserve">Requirements for assessing risks, identifying appropriate controls and mitigations </w:t>
            </w:r>
          </w:p>
          <w:p w14:paraId="46094B64" w14:textId="38DC4CA9" w:rsidR="006518E0" w:rsidRDefault="006518E0" w:rsidP="001F5078">
            <w:pPr>
              <w:pStyle w:val="Body"/>
              <w:numPr>
                <w:ilvl w:val="0"/>
                <w:numId w:val="38"/>
              </w:numPr>
            </w:pPr>
            <w:r>
              <w:t xml:space="preserve">Strategies for improving performance </w:t>
            </w:r>
          </w:p>
          <w:p w14:paraId="6D9E269F" w14:textId="1EE3FDE9" w:rsidR="006518E0" w:rsidRDefault="006518E0" w:rsidP="001F5078">
            <w:pPr>
              <w:pStyle w:val="Body"/>
              <w:numPr>
                <w:ilvl w:val="0"/>
                <w:numId w:val="38"/>
              </w:numPr>
            </w:pPr>
            <w:r>
              <w:t xml:space="preserve">Different types of SDO, infrastructure, rolling stock, and operational constraints that impact the introduction and management of SDO including associated hazards  </w:t>
            </w:r>
          </w:p>
          <w:p w14:paraId="673CA628" w14:textId="67650AD7" w:rsidR="006518E0" w:rsidRDefault="006518E0" w:rsidP="001F5078">
            <w:pPr>
              <w:pStyle w:val="Body"/>
              <w:numPr>
                <w:ilvl w:val="0"/>
                <w:numId w:val="38"/>
              </w:numPr>
            </w:pPr>
            <w:r>
              <w:t>Information communicated to customers</w:t>
            </w:r>
          </w:p>
          <w:p w14:paraId="1CBF4B3D" w14:textId="691A8D95" w:rsidR="006518E0" w:rsidRDefault="006518E0" w:rsidP="001F5078">
            <w:pPr>
              <w:pStyle w:val="Body"/>
              <w:numPr>
                <w:ilvl w:val="0"/>
                <w:numId w:val="38"/>
              </w:numPr>
            </w:pPr>
            <w:r>
              <w:t>Data requirements for introducing and managing SDO</w:t>
            </w:r>
          </w:p>
          <w:p w14:paraId="3C1C88A7" w14:textId="05A126DA" w:rsidR="006518E0" w:rsidRDefault="006518E0" w:rsidP="001F5078">
            <w:pPr>
              <w:pStyle w:val="Body"/>
              <w:numPr>
                <w:ilvl w:val="0"/>
                <w:numId w:val="38"/>
              </w:numPr>
            </w:pPr>
            <w:r>
              <w:t>Guidance for SDO considerations when procuring new and cascading overhauled rolling stock</w:t>
            </w:r>
          </w:p>
        </w:tc>
      </w:tr>
      <w:tr w:rsidR="006518E0" w14:paraId="5CA9E1DC" w14:textId="77777777" w:rsidTr="00BA7422">
        <w:trPr>
          <w:trHeight w:val="419"/>
        </w:trPr>
        <w:tc>
          <w:tcPr>
            <w:tcW w:w="1838" w:type="dxa"/>
            <w:shd w:val="clear" w:color="auto" w:fill="F2F2F2" w:themeFill="background1" w:themeFillShade="F2"/>
          </w:tcPr>
          <w:p w14:paraId="50D201D5" w14:textId="77777777" w:rsidR="006518E0" w:rsidRPr="003E60E0" w:rsidRDefault="006518E0" w:rsidP="00BA7422">
            <w:pPr>
              <w:pStyle w:val="Body"/>
              <w:rPr>
                <w:b/>
              </w:rPr>
            </w:pPr>
            <w:r w:rsidRPr="003E60E0">
              <w:rPr>
                <w:b/>
              </w:rPr>
              <w:t>Publication</w:t>
            </w:r>
          </w:p>
        </w:tc>
        <w:tc>
          <w:tcPr>
            <w:tcW w:w="6237" w:type="dxa"/>
          </w:tcPr>
          <w:p w14:paraId="239D17E1" w14:textId="77777777" w:rsidR="006518E0" w:rsidRDefault="006518E0" w:rsidP="00BA7422">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1A826D22" w14:textId="15EBD388" w:rsidR="006518E0" w:rsidRDefault="006518E0" w:rsidP="006518E0">
      <w:pPr>
        <w:pStyle w:val="Body"/>
      </w:pPr>
    </w:p>
    <w:tbl>
      <w:tblPr>
        <w:tblStyle w:val="TableGrid"/>
        <w:tblW w:w="8075" w:type="dxa"/>
        <w:tblLook w:val="04A0" w:firstRow="1" w:lastRow="0" w:firstColumn="1" w:lastColumn="0" w:noHBand="0" w:noVBand="1"/>
      </w:tblPr>
      <w:tblGrid>
        <w:gridCol w:w="1838"/>
        <w:gridCol w:w="6237"/>
      </w:tblGrid>
      <w:tr w:rsidR="006518E0" w14:paraId="1F446E1D" w14:textId="77777777" w:rsidTr="00BA7422">
        <w:trPr>
          <w:trHeight w:val="434"/>
        </w:trPr>
        <w:tc>
          <w:tcPr>
            <w:tcW w:w="1838" w:type="dxa"/>
            <w:shd w:val="clear" w:color="auto" w:fill="F2F2F2" w:themeFill="background1" w:themeFillShade="F2"/>
          </w:tcPr>
          <w:p w14:paraId="1D7F3A40" w14:textId="77777777" w:rsidR="006518E0" w:rsidRPr="003E60E0" w:rsidRDefault="006518E0" w:rsidP="00BA7422">
            <w:pPr>
              <w:pStyle w:val="Body"/>
              <w:rPr>
                <w:b/>
              </w:rPr>
            </w:pPr>
            <w:r w:rsidRPr="003E60E0">
              <w:rPr>
                <w:b/>
              </w:rPr>
              <w:t>Deliverable Title</w:t>
            </w:r>
          </w:p>
        </w:tc>
        <w:tc>
          <w:tcPr>
            <w:tcW w:w="6237" w:type="dxa"/>
          </w:tcPr>
          <w:p w14:paraId="34EA657E" w14:textId="131D3063" w:rsidR="006518E0" w:rsidRDefault="006518E0" w:rsidP="00BA7422">
            <w:pPr>
              <w:pStyle w:val="Body"/>
            </w:pPr>
            <w:r>
              <w:t xml:space="preserve">T1202 – Implementation support materials </w:t>
            </w:r>
          </w:p>
        </w:tc>
      </w:tr>
      <w:tr w:rsidR="006518E0" w14:paraId="0ABB46BA" w14:textId="77777777" w:rsidTr="00BA7422">
        <w:trPr>
          <w:trHeight w:val="419"/>
        </w:trPr>
        <w:tc>
          <w:tcPr>
            <w:tcW w:w="1838" w:type="dxa"/>
            <w:shd w:val="clear" w:color="auto" w:fill="F2F2F2" w:themeFill="background1" w:themeFillShade="F2"/>
          </w:tcPr>
          <w:p w14:paraId="1F41121F" w14:textId="77777777" w:rsidR="006518E0" w:rsidRPr="003E60E0" w:rsidRDefault="006518E0" w:rsidP="00BA7422">
            <w:pPr>
              <w:pStyle w:val="Body"/>
              <w:rPr>
                <w:b/>
              </w:rPr>
            </w:pPr>
            <w:r w:rsidRPr="003E60E0">
              <w:rPr>
                <w:b/>
              </w:rPr>
              <w:t>Deliverable Type</w:t>
            </w:r>
          </w:p>
        </w:tc>
        <w:tc>
          <w:tcPr>
            <w:tcW w:w="6237" w:type="dxa"/>
          </w:tcPr>
          <w:p w14:paraId="1E6102F6" w14:textId="728702B7" w:rsidR="006518E0" w:rsidRDefault="006518E0" w:rsidP="00BA7422">
            <w:pPr>
              <w:pStyle w:val="Body"/>
            </w:pPr>
            <w:r>
              <w:t>Report</w:t>
            </w:r>
          </w:p>
        </w:tc>
      </w:tr>
      <w:tr w:rsidR="006518E0" w14:paraId="78F136AA" w14:textId="77777777" w:rsidTr="00BA7422">
        <w:trPr>
          <w:trHeight w:val="434"/>
        </w:trPr>
        <w:tc>
          <w:tcPr>
            <w:tcW w:w="1838" w:type="dxa"/>
            <w:shd w:val="clear" w:color="auto" w:fill="F2F2F2" w:themeFill="background1" w:themeFillShade="F2"/>
          </w:tcPr>
          <w:p w14:paraId="4D94F941" w14:textId="77777777" w:rsidR="006518E0" w:rsidRPr="003E60E0" w:rsidRDefault="006518E0" w:rsidP="00BA7422">
            <w:pPr>
              <w:pStyle w:val="Body"/>
              <w:rPr>
                <w:b/>
              </w:rPr>
            </w:pPr>
            <w:r w:rsidRPr="003E60E0">
              <w:rPr>
                <w:b/>
              </w:rPr>
              <w:t>Description</w:t>
            </w:r>
          </w:p>
        </w:tc>
        <w:tc>
          <w:tcPr>
            <w:tcW w:w="6237" w:type="dxa"/>
          </w:tcPr>
          <w:p w14:paraId="66FA4486" w14:textId="5489C50E" w:rsidR="00E05BBA" w:rsidRDefault="006518E0" w:rsidP="00BA7422">
            <w:pPr>
              <w:pStyle w:val="Body"/>
            </w:pPr>
            <w:r w:rsidRPr="00E05BBA">
              <w:t>Th</w:t>
            </w:r>
            <w:r w:rsidR="00E05BBA">
              <w:t>e implementation support materials shall include as a minimum</w:t>
            </w:r>
            <w:r w:rsidR="002E3C04">
              <w:t>:</w:t>
            </w:r>
          </w:p>
          <w:p w14:paraId="64AD2A6A" w14:textId="020DC819" w:rsidR="00E05BBA" w:rsidRDefault="008B1E56" w:rsidP="001F5078">
            <w:pPr>
              <w:pStyle w:val="Body"/>
              <w:numPr>
                <w:ilvl w:val="0"/>
                <w:numId w:val="39"/>
              </w:numPr>
            </w:pPr>
            <w:r>
              <w:lastRenderedPageBreak/>
              <w:t>Recommendations for</w:t>
            </w:r>
            <w:r w:rsidR="00E05BBA">
              <w:t xml:space="preserve"> industry wide adoption </w:t>
            </w:r>
            <w:r>
              <w:t>of outputs</w:t>
            </w:r>
          </w:p>
          <w:p w14:paraId="29A59BA1" w14:textId="0AB037F5" w:rsidR="00E05BBA" w:rsidRDefault="00E05BBA" w:rsidP="001F5078">
            <w:pPr>
              <w:pStyle w:val="Body"/>
              <w:numPr>
                <w:ilvl w:val="0"/>
                <w:numId w:val="39"/>
              </w:numPr>
            </w:pPr>
            <w:r>
              <w:t xml:space="preserve">Identify how the outputs </w:t>
            </w:r>
            <w:bookmarkStart w:id="2" w:name="_Hlk25295921"/>
            <w:r>
              <w:t xml:space="preserve">would feed into / update </w:t>
            </w:r>
            <w:r w:rsidRPr="00E05BBA">
              <w:t>RIS-2747-RST Functioning and Control of Exterior Doors on Passenger Vehicles</w:t>
            </w:r>
            <w:bookmarkEnd w:id="2"/>
          </w:p>
          <w:p w14:paraId="255F5AC4" w14:textId="60BFEB70" w:rsidR="00FC2CE4" w:rsidRPr="00E05BBA" w:rsidRDefault="00FC2CE4" w:rsidP="001F5078">
            <w:pPr>
              <w:pStyle w:val="Body"/>
              <w:numPr>
                <w:ilvl w:val="0"/>
                <w:numId w:val="39"/>
              </w:numPr>
            </w:pPr>
            <w:r>
              <w:t xml:space="preserve">Success criteria and measures (new or existing) to assess benefits realisation from implementing the outputs  </w:t>
            </w:r>
          </w:p>
          <w:p w14:paraId="2FBAD8C9" w14:textId="1E8E5C0C" w:rsidR="00E05BBA" w:rsidRDefault="00E05BBA" w:rsidP="001F5078">
            <w:pPr>
              <w:pStyle w:val="Body"/>
              <w:numPr>
                <w:ilvl w:val="0"/>
                <w:numId w:val="39"/>
              </w:numPr>
            </w:pPr>
            <w:r>
              <w:t>1-page dissemination brief for</w:t>
            </w:r>
            <w:r w:rsidR="002E3C04">
              <w:t xml:space="preserve"> current or potentially new</w:t>
            </w:r>
            <w:r>
              <w:t xml:space="preserve"> end-users</w:t>
            </w:r>
            <w:r w:rsidR="002E3C04">
              <w:t xml:space="preserve"> </w:t>
            </w:r>
          </w:p>
          <w:p w14:paraId="672B087B" w14:textId="763A1383" w:rsidR="006518E0" w:rsidRPr="006518E0" w:rsidRDefault="00E05BBA" w:rsidP="001F5078">
            <w:pPr>
              <w:pStyle w:val="Body"/>
              <w:numPr>
                <w:ilvl w:val="0"/>
                <w:numId w:val="39"/>
              </w:numPr>
            </w:pPr>
            <w:r>
              <w:t xml:space="preserve">1-page infographic   </w:t>
            </w:r>
          </w:p>
        </w:tc>
      </w:tr>
      <w:tr w:rsidR="006518E0" w14:paraId="75AF8ED7" w14:textId="77777777" w:rsidTr="00BA7422">
        <w:trPr>
          <w:trHeight w:val="419"/>
        </w:trPr>
        <w:tc>
          <w:tcPr>
            <w:tcW w:w="1838" w:type="dxa"/>
            <w:shd w:val="clear" w:color="auto" w:fill="F2F2F2" w:themeFill="background1" w:themeFillShade="F2"/>
          </w:tcPr>
          <w:p w14:paraId="58CB0BBF" w14:textId="77777777" w:rsidR="006518E0" w:rsidRPr="003E60E0" w:rsidRDefault="006518E0" w:rsidP="00BA7422">
            <w:pPr>
              <w:pStyle w:val="Body"/>
              <w:rPr>
                <w:b/>
              </w:rPr>
            </w:pPr>
            <w:r w:rsidRPr="003E60E0">
              <w:rPr>
                <w:b/>
              </w:rPr>
              <w:lastRenderedPageBreak/>
              <w:t>Publication</w:t>
            </w:r>
          </w:p>
        </w:tc>
        <w:tc>
          <w:tcPr>
            <w:tcW w:w="6237" w:type="dxa"/>
          </w:tcPr>
          <w:p w14:paraId="008E7F20" w14:textId="77777777" w:rsidR="006518E0" w:rsidRDefault="006518E0" w:rsidP="00BA7422">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131EBE82" w14:textId="6B07D25A" w:rsidR="006518E0" w:rsidRDefault="006518E0" w:rsidP="006518E0">
      <w:pPr>
        <w:pStyle w:val="Body"/>
      </w:pPr>
    </w:p>
    <w:tbl>
      <w:tblPr>
        <w:tblStyle w:val="TableGrid"/>
        <w:tblW w:w="8075" w:type="dxa"/>
        <w:tblLook w:val="04A0" w:firstRow="1" w:lastRow="0" w:firstColumn="1" w:lastColumn="0" w:noHBand="0" w:noVBand="1"/>
      </w:tblPr>
      <w:tblGrid>
        <w:gridCol w:w="1838"/>
        <w:gridCol w:w="6237"/>
      </w:tblGrid>
      <w:tr w:rsidR="006518E0" w14:paraId="527DED70" w14:textId="77777777" w:rsidTr="00BA7422">
        <w:trPr>
          <w:trHeight w:val="434"/>
        </w:trPr>
        <w:tc>
          <w:tcPr>
            <w:tcW w:w="1838" w:type="dxa"/>
            <w:shd w:val="clear" w:color="auto" w:fill="F2F2F2" w:themeFill="background1" w:themeFillShade="F2"/>
          </w:tcPr>
          <w:p w14:paraId="5ECEBE06" w14:textId="77777777" w:rsidR="006518E0" w:rsidRPr="003E60E0" w:rsidRDefault="006518E0" w:rsidP="00BA7422">
            <w:pPr>
              <w:pStyle w:val="Body"/>
              <w:rPr>
                <w:b/>
              </w:rPr>
            </w:pPr>
            <w:r w:rsidRPr="003E60E0">
              <w:rPr>
                <w:b/>
              </w:rPr>
              <w:t>Deliverable Title</w:t>
            </w:r>
          </w:p>
        </w:tc>
        <w:tc>
          <w:tcPr>
            <w:tcW w:w="6237" w:type="dxa"/>
          </w:tcPr>
          <w:p w14:paraId="3C5CE304" w14:textId="1F206C17" w:rsidR="006518E0" w:rsidRDefault="003F62F9" w:rsidP="00BA7422">
            <w:pPr>
              <w:pStyle w:val="Body"/>
            </w:pPr>
            <w:r>
              <w:t>T1202</w:t>
            </w:r>
            <w:r w:rsidR="006518E0">
              <w:t xml:space="preserve"> – </w:t>
            </w:r>
            <w:r>
              <w:t>Exec Summary</w:t>
            </w:r>
          </w:p>
        </w:tc>
      </w:tr>
      <w:tr w:rsidR="006518E0" w14:paraId="7C038F94" w14:textId="77777777" w:rsidTr="00BA7422">
        <w:trPr>
          <w:trHeight w:val="419"/>
        </w:trPr>
        <w:tc>
          <w:tcPr>
            <w:tcW w:w="1838" w:type="dxa"/>
            <w:shd w:val="clear" w:color="auto" w:fill="F2F2F2" w:themeFill="background1" w:themeFillShade="F2"/>
          </w:tcPr>
          <w:p w14:paraId="440ACB7C" w14:textId="77777777" w:rsidR="006518E0" w:rsidRPr="003E60E0" w:rsidRDefault="006518E0" w:rsidP="00BA7422">
            <w:pPr>
              <w:pStyle w:val="Body"/>
              <w:rPr>
                <w:b/>
              </w:rPr>
            </w:pPr>
            <w:r w:rsidRPr="003E60E0">
              <w:rPr>
                <w:b/>
              </w:rPr>
              <w:t>Deliverable Type</w:t>
            </w:r>
          </w:p>
        </w:tc>
        <w:tc>
          <w:tcPr>
            <w:tcW w:w="6237" w:type="dxa"/>
          </w:tcPr>
          <w:p w14:paraId="6D2D402A" w14:textId="50210771" w:rsidR="006518E0" w:rsidRDefault="003F62F9" w:rsidP="00BA7422">
            <w:pPr>
              <w:pStyle w:val="Body"/>
            </w:pPr>
            <w:r>
              <w:t xml:space="preserve">Presentation </w:t>
            </w:r>
          </w:p>
        </w:tc>
      </w:tr>
      <w:tr w:rsidR="006518E0" w14:paraId="136A13B6" w14:textId="77777777" w:rsidTr="00BA7422">
        <w:trPr>
          <w:trHeight w:val="434"/>
        </w:trPr>
        <w:tc>
          <w:tcPr>
            <w:tcW w:w="1838" w:type="dxa"/>
            <w:shd w:val="clear" w:color="auto" w:fill="F2F2F2" w:themeFill="background1" w:themeFillShade="F2"/>
          </w:tcPr>
          <w:p w14:paraId="2FA81894" w14:textId="77777777" w:rsidR="006518E0" w:rsidRPr="003E60E0" w:rsidRDefault="006518E0" w:rsidP="00BA7422">
            <w:pPr>
              <w:pStyle w:val="Body"/>
              <w:rPr>
                <w:b/>
              </w:rPr>
            </w:pPr>
            <w:r w:rsidRPr="003E60E0">
              <w:rPr>
                <w:b/>
              </w:rPr>
              <w:t>Description</w:t>
            </w:r>
          </w:p>
        </w:tc>
        <w:tc>
          <w:tcPr>
            <w:tcW w:w="6237" w:type="dxa"/>
          </w:tcPr>
          <w:p w14:paraId="5EC3AA53" w14:textId="73772043" w:rsidR="006518E0" w:rsidRPr="008B1E56" w:rsidRDefault="002E3C04" w:rsidP="00BA7422">
            <w:pPr>
              <w:pStyle w:val="Body"/>
              <w:rPr>
                <w:rFonts w:asciiTheme="minorHAnsi" w:hAnsiTheme="minorHAnsi" w:cstheme="minorHAnsi"/>
              </w:rPr>
            </w:pPr>
            <w:r w:rsidRPr="008B1E56">
              <w:rPr>
                <w:rFonts w:asciiTheme="minorHAnsi" w:hAnsiTheme="minorHAnsi" w:cstheme="minorHAnsi"/>
              </w:rPr>
              <w:t>This presentation covers the key findings from the research, and the presentation will be provided by the supplier to the project steering group and PTSRG.</w:t>
            </w:r>
          </w:p>
        </w:tc>
      </w:tr>
      <w:tr w:rsidR="006518E0" w14:paraId="2EAC2C73" w14:textId="77777777" w:rsidTr="00BA7422">
        <w:trPr>
          <w:trHeight w:val="419"/>
        </w:trPr>
        <w:tc>
          <w:tcPr>
            <w:tcW w:w="1838" w:type="dxa"/>
            <w:shd w:val="clear" w:color="auto" w:fill="F2F2F2" w:themeFill="background1" w:themeFillShade="F2"/>
          </w:tcPr>
          <w:p w14:paraId="6782F39F" w14:textId="77777777" w:rsidR="006518E0" w:rsidRPr="003E60E0" w:rsidRDefault="006518E0" w:rsidP="00BA7422">
            <w:pPr>
              <w:pStyle w:val="Body"/>
              <w:rPr>
                <w:b/>
              </w:rPr>
            </w:pPr>
            <w:r w:rsidRPr="003E60E0">
              <w:rPr>
                <w:b/>
              </w:rPr>
              <w:t>Publication</w:t>
            </w:r>
          </w:p>
        </w:tc>
        <w:tc>
          <w:tcPr>
            <w:tcW w:w="6237" w:type="dxa"/>
          </w:tcPr>
          <w:p w14:paraId="25C9180B" w14:textId="77777777" w:rsidR="006518E0" w:rsidRDefault="006518E0" w:rsidP="00BA7422">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261DC301" w14:textId="77777777" w:rsidR="006518E0" w:rsidRPr="006518E0" w:rsidRDefault="006518E0" w:rsidP="006518E0">
      <w:pPr>
        <w:pStyle w:val="Body"/>
      </w:pPr>
    </w:p>
    <w:p w14:paraId="5C69ADDE" w14:textId="4F5BD341" w:rsidR="00425161" w:rsidRDefault="00032803" w:rsidP="001F5078">
      <w:pPr>
        <w:pStyle w:val="Heading10"/>
        <w:keepNext/>
        <w:numPr>
          <w:ilvl w:val="0"/>
          <w:numId w:val="25"/>
        </w:numPr>
        <w:ind w:left="426" w:hanging="426"/>
        <w:outlineLvl w:val="9"/>
        <w:rPr>
          <w:rFonts w:ascii="Calibri" w:hAnsi="Calibri"/>
        </w:rPr>
      </w:pPr>
      <w:r w:rsidRPr="00C8304E">
        <w:rPr>
          <w:rFonts w:ascii="Calibri" w:hAnsi="Calibri"/>
        </w:rPr>
        <w:t>Stakeholder roles and responsibilities</w:t>
      </w:r>
    </w:p>
    <w:p w14:paraId="5D400D11" w14:textId="585C0C0D" w:rsidR="00585D12" w:rsidRPr="00585D12" w:rsidRDefault="00585D12" w:rsidP="00585D12">
      <w:pPr>
        <w:pStyle w:val="Body"/>
      </w:pPr>
      <w:r>
        <w:t xml:space="preserve">The key stakeholders and their responsibilities </w:t>
      </w:r>
      <w:r w:rsidR="009943F9">
        <w:t>are detailed in the table below</w:t>
      </w:r>
      <w:r w:rsidR="00EF2AD1">
        <w:t>:</w:t>
      </w:r>
    </w:p>
    <w:tbl>
      <w:tblPr>
        <w:tblStyle w:val="TableGrid"/>
        <w:tblW w:w="9923" w:type="dxa"/>
        <w:jc w:val="center"/>
        <w:tblLook w:val="04A0" w:firstRow="1" w:lastRow="0" w:firstColumn="1" w:lastColumn="0" w:noHBand="0" w:noVBand="1"/>
      </w:tblPr>
      <w:tblGrid>
        <w:gridCol w:w="1113"/>
        <w:gridCol w:w="3149"/>
        <w:gridCol w:w="5661"/>
      </w:tblGrid>
      <w:tr w:rsidR="00EF2AD1" w14:paraId="5E41947E" w14:textId="77777777" w:rsidTr="00EF2AD1">
        <w:trPr>
          <w:jc w:val="center"/>
        </w:trPr>
        <w:tc>
          <w:tcPr>
            <w:tcW w:w="1113" w:type="dxa"/>
            <w:vAlign w:val="center"/>
          </w:tcPr>
          <w:p w14:paraId="5A68A908"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Role </w:t>
            </w:r>
          </w:p>
        </w:tc>
        <w:tc>
          <w:tcPr>
            <w:tcW w:w="3149" w:type="dxa"/>
            <w:vAlign w:val="center"/>
          </w:tcPr>
          <w:p w14:paraId="7C2978EF"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High level description </w:t>
            </w:r>
          </w:p>
        </w:tc>
        <w:tc>
          <w:tcPr>
            <w:tcW w:w="5661" w:type="dxa"/>
            <w:vAlign w:val="center"/>
          </w:tcPr>
          <w:p w14:paraId="5E1171A4"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Specific responsibilities are to:</w:t>
            </w:r>
          </w:p>
        </w:tc>
      </w:tr>
      <w:tr w:rsidR="00EF2AD1" w14:paraId="645F6CDA" w14:textId="77777777" w:rsidTr="00EF2AD1">
        <w:trPr>
          <w:jc w:val="center"/>
        </w:trPr>
        <w:tc>
          <w:tcPr>
            <w:tcW w:w="1113" w:type="dxa"/>
          </w:tcPr>
          <w:p w14:paraId="14EA7F8A" w14:textId="77777777" w:rsidR="00EF2AD1" w:rsidRPr="006133E3" w:rsidRDefault="00EF2AD1" w:rsidP="005D21E3">
            <w:pPr>
              <w:pStyle w:val="Body"/>
              <w:rPr>
                <w:rFonts w:asciiTheme="minorHAnsi" w:hAnsiTheme="minorHAnsi" w:cstheme="minorHAnsi"/>
                <w:bCs/>
                <w:sz w:val="20"/>
                <w:szCs w:val="20"/>
              </w:rPr>
            </w:pPr>
            <w:r w:rsidRPr="006133E3">
              <w:rPr>
                <w:rFonts w:asciiTheme="minorHAnsi" w:hAnsiTheme="minorHAnsi" w:cstheme="minorHAnsi"/>
                <w:bCs/>
                <w:sz w:val="20"/>
                <w:szCs w:val="20"/>
              </w:rPr>
              <w:t>RSSB Project Manager</w:t>
            </w:r>
          </w:p>
        </w:tc>
        <w:tc>
          <w:tcPr>
            <w:tcW w:w="3149" w:type="dxa"/>
          </w:tcPr>
          <w:p w14:paraId="798F1177" w14:textId="0551213F" w:rsidR="00EF2AD1" w:rsidRPr="00F82B7F"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The RSSB Project Manager is the </w:t>
            </w:r>
            <w:r w:rsidRPr="002D270C">
              <w:rPr>
                <w:rFonts w:asciiTheme="minorHAnsi" w:hAnsiTheme="minorHAnsi" w:cstheme="minorHAnsi"/>
                <w:color w:val="000000"/>
                <w:kern w:val="28"/>
                <w:sz w:val="20"/>
                <w:szCs w:val="20"/>
              </w:rPr>
              <w:t>first point of contact</w:t>
            </w:r>
            <w:r>
              <w:rPr>
                <w:rFonts w:asciiTheme="minorHAnsi" w:hAnsiTheme="minorHAnsi" w:cstheme="minorHAnsi"/>
                <w:color w:val="000000"/>
                <w:kern w:val="28"/>
                <w:sz w:val="20"/>
                <w:szCs w:val="20"/>
              </w:rPr>
              <w:t xml:space="preserve"> for the suppliers</w:t>
            </w:r>
            <w:r w:rsidRPr="002D270C">
              <w:rPr>
                <w:rFonts w:asciiTheme="minorHAnsi" w:hAnsiTheme="minorHAnsi" w:cstheme="minorHAnsi"/>
                <w:color w:val="000000"/>
                <w:kern w:val="28"/>
                <w:sz w:val="20"/>
                <w:szCs w:val="20"/>
              </w:rPr>
              <w:t xml:space="preserve"> once the contract has been put into place.</w:t>
            </w:r>
            <w:r w:rsidR="00F82B7F">
              <w:rPr>
                <w:rFonts w:asciiTheme="minorHAnsi" w:hAnsiTheme="minorHAnsi" w:cstheme="minorHAnsi"/>
                <w:color w:val="000000"/>
                <w:kern w:val="28"/>
                <w:sz w:val="20"/>
                <w:szCs w:val="20"/>
              </w:rPr>
              <w:t xml:space="preserve">  </w:t>
            </w:r>
            <w:r w:rsidRPr="002D270C">
              <w:rPr>
                <w:rFonts w:asciiTheme="minorHAnsi" w:hAnsiTheme="minorHAnsi" w:cstheme="minorHAnsi"/>
                <w:color w:val="000000"/>
                <w:kern w:val="28"/>
                <w:sz w:val="20"/>
                <w:szCs w:val="20"/>
              </w:rPr>
              <w:t xml:space="preserve">The RSSB </w:t>
            </w:r>
            <w:r>
              <w:rPr>
                <w:rFonts w:asciiTheme="minorHAnsi" w:hAnsiTheme="minorHAnsi" w:cstheme="minorHAnsi"/>
                <w:color w:val="000000"/>
                <w:kern w:val="28"/>
                <w:sz w:val="20"/>
                <w:szCs w:val="20"/>
              </w:rPr>
              <w:t>P</w:t>
            </w:r>
            <w:r w:rsidRPr="002D270C">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M</w:t>
            </w:r>
            <w:r w:rsidRPr="002D270C">
              <w:rPr>
                <w:rFonts w:asciiTheme="minorHAnsi" w:hAnsiTheme="minorHAnsi" w:cstheme="minorHAnsi"/>
                <w:color w:val="000000"/>
                <w:kern w:val="28"/>
                <w:sz w:val="20"/>
                <w:szCs w:val="20"/>
              </w:rPr>
              <w:t xml:space="preserve">anager is </w:t>
            </w:r>
            <w:r>
              <w:rPr>
                <w:rFonts w:asciiTheme="minorHAnsi" w:hAnsiTheme="minorHAnsi" w:cstheme="minorHAnsi"/>
                <w:color w:val="000000"/>
                <w:kern w:val="28"/>
                <w:sz w:val="20"/>
                <w:szCs w:val="20"/>
              </w:rPr>
              <w:t>responsible for ensuring that the supplier delivers the project as agreed in their proposal.</w:t>
            </w:r>
          </w:p>
        </w:tc>
        <w:tc>
          <w:tcPr>
            <w:tcW w:w="5661" w:type="dxa"/>
          </w:tcPr>
          <w:p w14:paraId="009DE883" w14:textId="77777777" w:rsidR="00EF2AD1" w:rsidRDefault="00EF2AD1" w:rsidP="001F5078">
            <w:pPr>
              <w:numPr>
                <w:ilvl w:val="0"/>
                <w:numId w:val="28"/>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Organisation, co-ordination and chair of project meetings.</w:t>
            </w:r>
          </w:p>
          <w:p w14:paraId="44ED9AD1" w14:textId="77777777" w:rsidR="00EF2AD1" w:rsidRDefault="00EF2AD1" w:rsidP="001F5078">
            <w:pPr>
              <w:numPr>
                <w:ilvl w:val="0"/>
                <w:numId w:val="28"/>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Monitoring and tracking of project progress and spend</w:t>
            </w:r>
          </w:p>
          <w:p w14:paraId="6A592ABA" w14:textId="77777777" w:rsidR="00EF2AD1" w:rsidRDefault="00EF2AD1" w:rsidP="001F5078">
            <w:pPr>
              <w:numPr>
                <w:ilvl w:val="0"/>
                <w:numId w:val="28"/>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Point of contact for escalation for enquiries from supplier, steering group, or project sponsor.</w:t>
            </w:r>
          </w:p>
          <w:p w14:paraId="79C90EF6" w14:textId="77777777" w:rsidR="00EF2AD1" w:rsidRDefault="00EF2AD1" w:rsidP="001F5078">
            <w:pPr>
              <w:numPr>
                <w:ilvl w:val="0"/>
                <w:numId w:val="28"/>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Dissemination of deliverables to project steering group and client group.</w:t>
            </w:r>
          </w:p>
          <w:p w14:paraId="314FFB10"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Authorisation of payment within agreed project spend.</w:t>
            </w:r>
          </w:p>
        </w:tc>
      </w:tr>
      <w:tr w:rsidR="00EF2AD1" w:rsidRPr="006133E3" w14:paraId="11F193F4" w14:textId="77777777" w:rsidTr="00EF2AD1">
        <w:trPr>
          <w:jc w:val="center"/>
        </w:trPr>
        <w:tc>
          <w:tcPr>
            <w:tcW w:w="1113" w:type="dxa"/>
          </w:tcPr>
          <w:p w14:paraId="3BDFD172"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RSSB </w:t>
            </w:r>
            <w:r w:rsidRPr="006133E3">
              <w:rPr>
                <w:rFonts w:asciiTheme="minorHAnsi" w:hAnsiTheme="minorHAnsi" w:cstheme="minorHAnsi"/>
                <w:color w:val="000000"/>
                <w:kern w:val="28"/>
                <w:sz w:val="20"/>
                <w:szCs w:val="20"/>
              </w:rPr>
              <w:t>Technical Lead</w:t>
            </w:r>
          </w:p>
        </w:tc>
        <w:tc>
          <w:tcPr>
            <w:tcW w:w="3149" w:type="dxa"/>
          </w:tcPr>
          <w:p w14:paraId="1472CB9F"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Throughout the project, the </w:t>
            </w:r>
            <w:r>
              <w:rPr>
                <w:rFonts w:asciiTheme="minorHAnsi" w:hAnsiTheme="minorHAnsi" w:cstheme="minorHAnsi"/>
                <w:color w:val="000000"/>
                <w:kern w:val="28"/>
                <w:sz w:val="20"/>
                <w:szCs w:val="20"/>
              </w:rPr>
              <w:t>Technical Lead</w:t>
            </w:r>
            <w:r w:rsidRPr="006133E3">
              <w:rPr>
                <w:rFonts w:asciiTheme="minorHAnsi" w:hAnsiTheme="minorHAnsi" w:cstheme="minorHAnsi"/>
                <w:color w:val="000000"/>
                <w:kern w:val="28"/>
                <w:sz w:val="20"/>
                <w:szCs w:val="20"/>
              </w:rPr>
              <w:t xml:space="preserve">, generally a RSSB employee, ensures that technical aspects are considered and reflected accurately. </w:t>
            </w:r>
          </w:p>
        </w:tc>
        <w:tc>
          <w:tcPr>
            <w:tcW w:w="5661" w:type="dxa"/>
          </w:tcPr>
          <w:p w14:paraId="12FA5800"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input to the specification, either by writing it or reviewing its content, and assure it is technically sound and appropriately scoped</w:t>
            </w:r>
          </w:p>
          <w:p w14:paraId="290EA52F"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Assess tenders</w:t>
            </w:r>
          </w:p>
          <w:p w14:paraId="31E3C3DB"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and provide input to draft deliverables</w:t>
            </w:r>
          </w:p>
          <w:p w14:paraId="09DD82DA"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lastRenderedPageBreak/>
              <w:t>Review final deliverables to ensure that they are technically sound and the conclusions defensible</w:t>
            </w:r>
          </w:p>
        </w:tc>
      </w:tr>
      <w:tr w:rsidR="00EF2AD1" w14:paraId="1029B885" w14:textId="77777777" w:rsidTr="00EF2AD1">
        <w:trPr>
          <w:jc w:val="center"/>
        </w:trPr>
        <w:tc>
          <w:tcPr>
            <w:tcW w:w="1113" w:type="dxa"/>
          </w:tcPr>
          <w:p w14:paraId="7BC5B84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 xml:space="preserve">RSSB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ponsor </w:t>
            </w:r>
          </w:p>
        </w:tc>
        <w:tc>
          <w:tcPr>
            <w:tcW w:w="3149" w:type="dxa"/>
          </w:tcPr>
          <w:p w14:paraId="6B3C58C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RSSB Sponsor is a senior RSSB employee that is best placed to actively monitor the project through development and delivery, keeping the project aligned with and informed by industry's expectations and initiatives</w:t>
            </w:r>
            <w:r>
              <w:rPr>
                <w:rFonts w:asciiTheme="minorHAnsi" w:hAnsiTheme="minorHAnsi" w:cstheme="minorHAnsi"/>
                <w:color w:val="000000"/>
                <w:kern w:val="28"/>
                <w:sz w:val="20"/>
                <w:szCs w:val="20"/>
              </w:rPr>
              <w:t>;</w:t>
            </w:r>
            <w:r w:rsidRPr="006133E3">
              <w:rPr>
                <w:rFonts w:asciiTheme="minorHAnsi" w:hAnsiTheme="minorHAnsi" w:cstheme="minorHAnsi"/>
                <w:color w:val="000000"/>
                <w:kern w:val="28"/>
                <w:sz w:val="20"/>
                <w:szCs w:val="20"/>
              </w:rPr>
              <w:t xml:space="preserve"> and steer</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 implementation facilitation activities.</w:t>
            </w:r>
          </w:p>
        </w:tc>
        <w:tc>
          <w:tcPr>
            <w:tcW w:w="5661" w:type="dxa"/>
          </w:tcPr>
          <w:p w14:paraId="0527DA57"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Sponsor</w:t>
            </w:r>
            <w:r>
              <w:rPr>
                <w:rFonts w:asciiTheme="minorHAnsi" w:hAnsiTheme="minorHAnsi" w:cstheme="minorHAnsi"/>
                <w:sz w:val="20"/>
                <w:szCs w:val="20"/>
                <w:lang w:eastAsia="en-GB"/>
              </w:rPr>
              <w:t xml:space="preserve">s </w:t>
            </w:r>
            <w:r w:rsidRPr="006133E3">
              <w:rPr>
                <w:rFonts w:asciiTheme="minorHAnsi" w:hAnsiTheme="minorHAnsi" w:cstheme="minorHAnsi"/>
                <w:sz w:val="20"/>
                <w:szCs w:val="20"/>
                <w:lang w:eastAsia="en-GB"/>
              </w:rPr>
              <w:t xml:space="preserve">the </w:t>
            </w:r>
            <w:r>
              <w:rPr>
                <w:rFonts w:asciiTheme="minorHAnsi" w:hAnsiTheme="minorHAnsi" w:cstheme="minorHAnsi"/>
                <w:sz w:val="20"/>
                <w:szCs w:val="20"/>
                <w:lang w:eastAsia="en-GB"/>
              </w:rPr>
              <w:t xml:space="preserve">RSSB </w:t>
            </w:r>
            <w:r w:rsidRPr="006133E3">
              <w:rPr>
                <w:rFonts w:asciiTheme="minorHAnsi" w:hAnsiTheme="minorHAnsi" w:cstheme="minorHAnsi"/>
                <w:sz w:val="20"/>
                <w:szCs w:val="20"/>
                <w:lang w:eastAsia="en-GB"/>
              </w:rPr>
              <w:t>business case and implementation plan, focusing on how RSSB can support industry benefiting from the findings</w:t>
            </w:r>
          </w:p>
          <w:p w14:paraId="64EFE6B0"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Steering Group on shaping the project and its deliverables to most effectively support industry take up and </w:t>
            </w:r>
            <w:r>
              <w:rPr>
                <w:rFonts w:asciiTheme="minorHAnsi" w:hAnsiTheme="minorHAnsi" w:cstheme="minorHAnsi"/>
                <w:sz w:val="20"/>
                <w:szCs w:val="20"/>
                <w:lang w:eastAsia="en-GB"/>
              </w:rPr>
              <w:t xml:space="preserve">to </w:t>
            </w:r>
            <w:r w:rsidRPr="006133E3">
              <w:rPr>
                <w:rFonts w:asciiTheme="minorHAnsi" w:hAnsiTheme="minorHAnsi" w:cstheme="minorHAnsi"/>
                <w:sz w:val="20"/>
                <w:szCs w:val="20"/>
                <w:lang w:eastAsia="en-GB"/>
              </w:rPr>
              <w:t>get most value out of it</w:t>
            </w:r>
          </w:p>
          <w:p w14:paraId="6271D8C9"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Actively monitor the project through delivery working with the Industry Sponsor to successfully navigate the project through any points of conflict between stakeholders, and decision points relating to emerging findings  </w:t>
            </w:r>
          </w:p>
          <w:p w14:paraId="4496719C"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Keep active awareness of the emerging findings and, as appropriate, bring them (and any related decision points) to the attention of the Industry Sponsor to jointly provide advice to the steering group </w:t>
            </w:r>
          </w:p>
          <w:p w14:paraId="5A91384D"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advice and steer on activities required to facilitate implementation</w:t>
            </w:r>
          </w:p>
        </w:tc>
      </w:tr>
      <w:tr w:rsidR="00EF2AD1" w14:paraId="5C71CE36" w14:textId="77777777" w:rsidTr="00EF2AD1">
        <w:trPr>
          <w:jc w:val="center"/>
        </w:trPr>
        <w:tc>
          <w:tcPr>
            <w:tcW w:w="1113" w:type="dxa"/>
          </w:tcPr>
          <w:p w14:paraId="2B9871E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Industry Sponsor</w:t>
            </w:r>
          </w:p>
        </w:tc>
        <w:tc>
          <w:tcPr>
            <w:tcW w:w="3149" w:type="dxa"/>
          </w:tcPr>
          <w:p w14:paraId="12576000"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Industry Sponsor has a senior role in the industry and represents a stakeholder organisation that is expected to realise benefit from successful, timely delivery of the research or, as a minimum, has a strong interest in the research.</w:t>
            </w:r>
          </w:p>
          <w:p w14:paraId="3D0A9DB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They are expected to act as a figurehead for the research, championing its importance and its outputs, and exerting pressure on the industry to ultimately adopt its findings.</w:t>
            </w:r>
          </w:p>
        </w:tc>
        <w:tc>
          <w:tcPr>
            <w:tcW w:w="5661" w:type="dxa"/>
          </w:tcPr>
          <w:p w14:paraId="5B524F46"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 xml:space="preserve">Project </w:t>
            </w:r>
            <w:r w:rsidRPr="006133E3">
              <w:rPr>
                <w:rFonts w:asciiTheme="minorHAnsi" w:hAnsiTheme="minorHAnsi" w:cstheme="minorHAnsi"/>
                <w:sz w:val="20"/>
                <w:szCs w:val="20"/>
                <w:lang w:eastAsia="en-GB"/>
              </w:rPr>
              <w:t xml:space="preserve">Steering Group on shaping the project and its deliverables to most effectively support industry take up </w:t>
            </w:r>
          </w:p>
          <w:p w14:paraId="7FB814AE"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53FE58C3"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Oversee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through delivery working with the RSSB sponsor to successfully navigate the project through any points of conflict between stakeholders, and decision points relating to emerging findings  </w:t>
            </w:r>
          </w:p>
          <w:p w14:paraId="5FA00CED" w14:textId="77777777" w:rsidR="00EF2AD1"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Promote industry take up and implementation of the research beyond completion of the R&amp;D project</w:t>
            </w:r>
          </w:p>
          <w:p w14:paraId="1A1CC301" w14:textId="77777777" w:rsidR="00EF2AD1" w:rsidRPr="006133E3" w:rsidRDefault="00EF2AD1" w:rsidP="001F5078">
            <w:pPr>
              <w:numPr>
                <w:ilvl w:val="0"/>
                <w:numId w:val="28"/>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rPr>
              <w:t xml:space="preserve">Provide feedback to RSSB during project delivery and after completion  </w:t>
            </w:r>
          </w:p>
        </w:tc>
      </w:tr>
      <w:tr w:rsidR="00EF2AD1" w14:paraId="3E1539CA" w14:textId="77777777" w:rsidTr="00EF2AD1">
        <w:trPr>
          <w:jc w:val="center"/>
        </w:trPr>
        <w:tc>
          <w:tcPr>
            <w:tcW w:w="1113" w:type="dxa"/>
          </w:tcPr>
          <w:p w14:paraId="1500C716"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Industry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upporters</w:t>
            </w:r>
          </w:p>
        </w:tc>
        <w:tc>
          <w:tcPr>
            <w:tcW w:w="3149" w:type="dxa"/>
          </w:tcPr>
          <w:p w14:paraId="59E245D2"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two project supporters represent parts of industry complementary to the Industry Sponsor’s organisation.</w:t>
            </w:r>
          </w:p>
        </w:tc>
        <w:tc>
          <w:tcPr>
            <w:tcW w:w="5661" w:type="dxa"/>
          </w:tcPr>
          <w:p w14:paraId="589D7748"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Offer expertise during project development and delivery</w:t>
            </w:r>
          </w:p>
          <w:p w14:paraId="2BF5F7DF"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16330360"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Support the implementation of findings</w:t>
            </w:r>
          </w:p>
        </w:tc>
      </w:tr>
      <w:tr w:rsidR="00EF2AD1" w14:paraId="4E273C77" w14:textId="77777777" w:rsidTr="00EF2AD1">
        <w:trPr>
          <w:jc w:val="center"/>
        </w:trPr>
        <w:tc>
          <w:tcPr>
            <w:tcW w:w="1113" w:type="dxa"/>
          </w:tcPr>
          <w:p w14:paraId="4F56D1E6"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Project </w:t>
            </w:r>
            <w:r w:rsidRPr="006133E3">
              <w:rPr>
                <w:rFonts w:asciiTheme="minorHAnsi" w:hAnsiTheme="minorHAnsi" w:cstheme="minorHAnsi"/>
                <w:color w:val="000000"/>
                <w:kern w:val="28"/>
                <w:sz w:val="20"/>
                <w:szCs w:val="20"/>
              </w:rPr>
              <w:t xml:space="preserve">Steering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w:t>
            </w:r>
          </w:p>
        </w:tc>
        <w:tc>
          <w:tcPr>
            <w:tcW w:w="3149" w:type="dxa"/>
          </w:tcPr>
          <w:p w14:paraId="50BF4463"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w:t>
            </w:r>
            <w:r>
              <w:rPr>
                <w:rFonts w:asciiTheme="minorHAnsi" w:hAnsiTheme="minorHAnsi" w:cstheme="minorHAnsi"/>
                <w:color w:val="000000"/>
                <w:kern w:val="28"/>
                <w:sz w:val="20"/>
                <w:szCs w:val="20"/>
              </w:rPr>
              <w:t>P</w:t>
            </w:r>
            <w:r w:rsidRPr="006133E3">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 xml:space="preserve">roup ensures the project is specified and delivered to </w:t>
            </w:r>
            <w:proofErr w:type="gramStart"/>
            <w:r w:rsidRPr="006133E3">
              <w:rPr>
                <w:rFonts w:asciiTheme="minorHAnsi" w:hAnsiTheme="minorHAnsi" w:cstheme="minorHAnsi"/>
                <w:color w:val="000000"/>
                <w:kern w:val="28"/>
                <w:sz w:val="20"/>
                <w:szCs w:val="20"/>
              </w:rPr>
              <w:t>take into account</w:t>
            </w:r>
            <w:proofErr w:type="gramEnd"/>
            <w:r w:rsidRPr="006133E3">
              <w:rPr>
                <w:rFonts w:asciiTheme="minorHAnsi" w:hAnsiTheme="minorHAnsi" w:cstheme="minorHAnsi"/>
                <w:color w:val="000000"/>
                <w:kern w:val="28"/>
                <w:sz w:val="20"/>
                <w:szCs w:val="20"/>
              </w:rPr>
              <w:t xml:space="preserve"> different stakeholders’ needs. The group is made up of representatives from within the rail industry and other industries where appropriate.</w:t>
            </w:r>
            <w:r w:rsidRPr="006133E3">
              <w:rPr>
                <w:rFonts w:asciiTheme="minorHAnsi" w:hAnsiTheme="minorHAnsi" w:cstheme="minorHAnsi"/>
                <w:sz w:val="20"/>
                <w:szCs w:val="20"/>
              </w:rPr>
              <w:t xml:space="preserve"> </w:t>
            </w:r>
          </w:p>
        </w:tc>
        <w:tc>
          <w:tcPr>
            <w:tcW w:w="5661" w:type="dxa"/>
          </w:tcPr>
          <w:p w14:paraId="54AF7004"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input to and review</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(i.e. the business case, specification and implementation plan)</w:t>
            </w:r>
          </w:p>
          <w:p w14:paraId="6969326D"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Monitor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and steer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 xml:space="preserve">the </w:t>
            </w:r>
            <w:r w:rsidRPr="006133E3">
              <w:rPr>
                <w:rFonts w:asciiTheme="minorHAnsi" w:hAnsiTheme="minorHAnsi" w:cstheme="minorHAnsi"/>
                <w:sz w:val="20"/>
                <w:szCs w:val="20"/>
                <w:lang w:eastAsia="en-GB"/>
              </w:rPr>
              <w:t>project through delivery</w:t>
            </w:r>
          </w:p>
          <w:p w14:paraId="03C06BCC"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access to industry data, people and equipment needed to deliver the project</w:t>
            </w:r>
          </w:p>
          <w:p w14:paraId="07F42FAE"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Attend</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meetings with Project Team and suppliers</w:t>
            </w:r>
          </w:p>
          <w:p w14:paraId="3DD5CD06"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Reviews draft and final output(s)</w:t>
            </w:r>
          </w:p>
        </w:tc>
      </w:tr>
      <w:tr w:rsidR="00EF2AD1" w14:paraId="654F30D7" w14:textId="77777777" w:rsidTr="00EF2AD1">
        <w:trPr>
          <w:jc w:val="center"/>
        </w:trPr>
        <w:tc>
          <w:tcPr>
            <w:tcW w:w="1113" w:type="dxa"/>
          </w:tcPr>
          <w:p w14:paraId="5247808A"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Primary Client Group</w:t>
            </w:r>
          </w:p>
        </w:tc>
        <w:tc>
          <w:tcPr>
            <w:tcW w:w="3149" w:type="dxa"/>
          </w:tcPr>
          <w:p w14:paraId="1C1B09C6" w14:textId="2037DEDA"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primary client group </w:t>
            </w:r>
            <w:r>
              <w:rPr>
                <w:rFonts w:asciiTheme="minorHAnsi" w:hAnsiTheme="minorHAnsi" w:cstheme="minorHAnsi"/>
                <w:color w:val="000000"/>
                <w:kern w:val="28"/>
                <w:sz w:val="20"/>
                <w:szCs w:val="20"/>
              </w:rPr>
              <w:t>(</w:t>
            </w:r>
            <w:r w:rsidR="00F82B7F">
              <w:rPr>
                <w:rFonts w:asciiTheme="minorHAnsi" w:hAnsiTheme="minorHAnsi" w:cstheme="minorHAnsi"/>
                <w:color w:val="000000"/>
                <w:kern w:val="28"/>
                <w:sz w:val="20"/>
                <w:szCs w:val="20"/>
              </w:rPr>
              <w:t>PTSRG</w:t>
            </w:r>
            <w:r>
              <w:rPr>
                <w:rFonts w:asciiTheme="minorHAnsi" w:hAnsiTheme="minorHAnsi" w:cstheme="minorHAnsi"/>
                <w:color w:val="000000"/>
                <w:kern w:val="28"/>
                <w:sz w:val="20"/>
                <w:szCs w:val="20"/>
              </w:rPr>
              <w:t xml:space="preserve">) </w:t>
            </w:r>
            <w:r w:rsidRPr="006133E3">
              <w:rPr>
                <w:rFonts w:asciiTheme="minorHAnsi" w:hAnsiTheme="minorHAnsi" w:cstheme="minorHAnsi"/>
                <w:color w:val="000000"/>
                <w:kern w:val="28"/>
                <w:sz w:val="20"/>
                <w:szCs w:val="20"/>
              </w:rPr>
              <w:t>is an established industry group that has responsibility to steer and oversee activities in a specific topic area.</w:t>
            </w:r>
          </w:p>
        </w:tc>
        <w:tc>
          <w:tcPr>
            <w:tcW w:w="5661" w:type="dxa"/>
          </w:tcPr>
          <w:p w14:paraId="5452AA06"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Comment on research ideas and consider outcomes from idea review activities that RSSB undertakes</w:t>
            </w:r>
          </w:p>
          <w:p w14:paraId="025191C2" w14:textId="77777777" w:rsidR="00EF2AD1" w:rsidRPr="006133E3" w:rsidRDefault="00EF2AD1" w:rsidP="001F5078">
            <w:pPr>
              <w:numPr>
                <w:ilvl w:val="0"/>
                <w:numId w:val="28"/>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Review and endorses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before it goes for budget authority</w:t>
            </w:r>
          </w:p>
          <w:p w14:paraId="0E517055" w14:textId="77777777" w:rsidR="00EF2AD1" w:rsidRPr="006133E3" w:rsidRDefault="00EF2AD1" w:rsidP="001F5078">
            <w:pPr>
              <w:numPr>
                <w:ilvl w:val="0"/>
                <w:numId w:val="28"/>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lang w:eastAsia="en-GB"/>
              </w:rPr>
              <w:t>Endorse the findings and support their implementation</w:t>
            </w:r>
          </w:p>
        </w:tc>
      </w:tr>
    </w:tbl>
    <w:p w14:paraId="7FFEC82E" w14:textId="63E60420" w:rsidR="00F82B7F" w:rsidRDefault="00F82B7F" w:rsidP="00F82B7F">
      <w:pPr>
        <w:tabs>
          <w:tab w:val="left" w:pos="1893"/>
        </w:tabs>
        <w:rPr>
          <w:rFonts w:ascii="Calibri" w:hAnsi="Calibri" w:cs="Arial"/>
          <w:sz w:val="22"/>
          <w:szCs w:val="22"/>
          <w:lang w:eastAsia="en-GB"/>
        </w:rPr>
      </w:pPr>
    </w:p>
    <w:p w14:paraId="73B21A9F" w14:textId="77777777" w:rsidR="00F82B7F" w:rsidRDefault="00F82B7F" w:rsidP="00F82B7F">
      <w:pPr>
        <w:tabs>
          <w:tab w:val="left" w:pos="1893"/>
        </w:tabs>
        <w:rPr>
          <w:lang w:eastAsia="en-GB"/>
        </w:rPr>
      </w:pPr>
    </w:p>
    <w:p w14:paraId="77A29A01" w14:textId="66780491" w:rsidR="00694131" w:rsidRPr="00191D59" w:rsidRDefault="008B1E56" w:rsidP="001F5078">
      <w:pPr>
        <w:pStyle w:val="Heading10"/>
        <w:keepNext/>
        <w:numPr>
          <w:ilvl w:val="0"/>
          <w:numId w:val="25"/>
        </w:numPr>
        <w:ind w:left="426" w:hanging="426"/>
        <w:outlineLvl w:val="9"/>
        <w:rPr>
          <w:rFonts w:ascii="Calibri" w:hAnsi="Calibri"/>
        </w:rPr>
      </w:pPr>
      <w:r>
        <w:rPr>
          <w:rFonts w:ascii="Calibri" w:hAnsi="Calibri"/>
        </w:rPr>
        <w:t>T</w:t>
      </w:r>
      <w:r w:rsidR="00032803" w:rsidRPr="004161CA">
        <w:rPr>
          <w:rFonts w:ascii="Calibri" w:hAnsi="Calibri"/>
        </w:rPr>
        <w:t>imescales and responsibilities</w:t>
      </w:r>
    </w:p>
    <w:p w14:paraId="7D29026E" w14:textId="7DBD4F5D" w:rsidR="00032803" w:rsidRDefault="0055621F" w:rsidP="00694131">
      <w:pPr>
        <w:rPr>
          <w:rFonts w:ascii="Calibri" w:hAnsi="Calibri" w:cs="Arial"/>
          <w:sz w:val="22"/>
          <w:szCs w:val="22"/>
          <w:lang w:eastAsia="en-GB"/>
        </w:rPr>
      </w:pPr>
      <w:r w:rsidRPr="0055621F">
        <w:rPr>
          <w:rFonts w:ascii="Calibri" w:hAnsi="Calibri" w:cs="Arial"/>
          <w:sz w:val="22"/>
          <w:szCs w:val="22"/>
          <w:lang w:eastAsia="en-GB"/>
        </w:rPr>
        <w:t xml:space="preserve">RSSB expects the work to start in </w:t>
      </w:r>
      <w:r w:rsidR="00F82B7F">
        <w:rPr>
          <w:rFonts w:ascii="Calibri" w:hAnsi="Calibri" w:cs="Arial"/>
          <w:sz w:val="22"/>
          <w:szCs w:val="22"/>
          <w:lang w:eastAsia="en-GB"/>
        </w:rPr>
        <w:t xml:space="preserve">March 2020 </w:t>
      </w:r>
      <w:r w:rsidRPr="0055621F">
        <w:rPr>
          <w:rFonts w:ascii="Calibri" w:hAnsi="Calibri" w:cs="Arial"/>
          <w:sz w:val="22"/>
          <w:szCs w:val="22"/>
          <w:lang w:eastAsia="en-GB"/>
        </w:rPr>
        <w:t xml:space="preserve">and be delivered at pace. We envisage this research to take less than </w:t>
      </w:r>
      <w:r w:rsidR="00F82B7F">
        <w:rPr>
          <w:rFonts w:ascii="Calibri" w:hAnsi="Calibri" w:cs="Arial"/>
          <w:sz w:val="22"/>
          <w:szCs w:val="22"/>
          <w:lang w:eastAsia="en-GB"/>
        </w:rPr>
        <w:t>9</w:t>
      </w:r>
      <w:r w:rsidRPr="0055621F">
        <w:rPr>
          <w:rFonts w:ascii="Calibri" w:hAnsi="Calibri" w:cs="Arial"/>
          <w:sz w:val="22"/>
          <w:szCs w:val="22"/>
          <w:lang w:eastAsia="en-GB"/>
        </w:rPr>
        <w:t xml:space="preserve"> months to complete. However, these are indicative dates and RSSB will consider bids that cannot meet these expectations if the supplier includes a robust project plan and an explanation as to why they cannot meet the preferred start and end dates, while still meeting the project objectives.</w:t>
      </w:r>
    </w:p>
    <w:p w14:paraId="629A9533" w14:textId="547BD71F" w:rsidR="00F82B7F" w:rsidRDefault="00F82B7F" w:rsidP="00694131">
      <w:pPr>
        <w:rPr>
          <w:rFonts w:ascii="Calibri" w:hAnsi="Calibri" w:cs="Arial"/>
          <w:sz w:val="22"/>
          <w:szCs w:val="22"/>
          <w:lang w:eastAsia="en-GB"/>
        </w:rPr>
      </w:pPr>
    </w:p>
    <w:p w14:paraId="60CC24C2" w14:textId="0BB36F31" w:rsidR="00032803" w:rsidRPr="004161CA" w:rsidRDefault="00CA7DFA" w:rsidP="00053C28">
      <w:pPr>
        <w:pStyle w:val="Heading10"/>
        <w:rPr>
          <w:rFonts w:ascii="Calibri" w:hAnsi="Calibri"/>
        </w:rPr>
      </w:pPr>
      <w:r>
        <w:t xml:space="preserve"> </w:t>
      </w:r>
      <w:r w:rsidR="00032803" w:rsidRPr="004161CA">
        <w:rPr>
          <w:rFonts w:ascii="Calibri" w:hAnsi="Calibri"/>
        </w:rPr>
        <w:t xml:space="preserve">Critical success </w:t>
      </w:r>
      <w:r w:rsidR="00E3480B">
        <w:rPr>
          <w:rFonts w:ascii="Calibri" w:hAnsi="Calibri"/>
        </w:rPr>
        <w:t>criteria</w:t>
      </w:r>
      <w:r w:rsidR="00032803" w:rsidRPr="004161CA">
        <w:rPr>
          <w:rFonts w:ascii="Calibri" w:hAnsi="Calibri"/>
        </w:rPr>
        <w:t xml:space="preserve"> and risk management</w:t>
      </w:r>
    </w:p>
    <w:p w14:paraId="12AB1AEB" w14:textId="77777777" w:rsidR="00610B0B" w:rsidRPr="00FC2CE4" w:rsidRDefault="00610B0B" w:rsidP="00610B0B">
      <w:pPr>
        <w:rPr>
          <w:rFonts w:ascii="Calibri" w:hAnsi="Calibri" w:cs="Arial"/>
          <w:sz w:val="22"/>
          <w:szCs w:val="22"/>
          <w:lang w:eastAsia="en-GB"/>
        </w:rPr>
      </w:pPr>
      <w:r w:rsidRPr="00FC2CE4">
        <w:rPr>
          <w:rFonts w:ascii="Calibri" w:hAnsi="Calibri" w:cs="Arial"/>
          <w:sz w:val="22"/>
          <w:szCs w:val="22"/>
          <w:lang w:eastAsia="en-GB"/>
        </w:rPr>
        <w:t>The followin</w:t>
      </w:r>
      <w:r w:rsidR="000545C4" w:rsidRPr="00FC2CE4">
        <w:rPr>
          <w:rFonts w:ascii="Calibri" w:hAnsi="Calibri" w:cs="Arial"/>
          <w:sz w:val="22"/>
          <w:szCs w:val="22"/>
          <w:lang w:eastAsia="en-GB"/>
        </w:rPr>
        <w:t xml:space="preserve">g critical success </w:t>
      </w:r>
      <w:r w:rsidR="00BF600D" w:rsidRPr="00FC2CE4">
        <w:rPr>
          <w:rFonts w:ascii="Calibri" w:hAnsi="Calibri" w:cs="Arial"/>
          <w:sz w:val="22"/>
          <w:szCs w:val="22"/>
          <w:lang w:eastAsia="en-GB"/>
        </w:rPr>
        <w:t>criteria</w:t>
      </w:r>
      <w:r w:rsidRPr="00FC2CE4">
        <w:rPr>
          <w:rFonts w:ascii="Calibri" w:hAnsi="Calibri" w:cs="Arial"/>
          <w:sz w:val="22"/>
          <w:szCs w:val="22"/>
          <w:lang w:eastAsia="en-GB"/>
        </w:rPr>
        <w:t xml:space="preserve"> have been identified to help ensure successful delivery and </w:t>
      </w:r>
      <w:r w:rsidR="009D19CA" w:rsidRPr="00FC2CE4">
        <w:rPr>
          <w:rFonts w:ascii="Calibri" w:hAnsi="Calibri" w:cs="Arial"/>
          <w:sz w:val="22"/>
          <w:szCs w:val="22"/>
          <w:lang w:eastAsia="en-GB"/>
        </w:rPr>
        <w:t>to increase</w:t>
      </w:r>
      <w:r w:rsidRPr="00FC2CE4">
        <w:rPr>
          <w:rFonts w:ascii="Calibri" w:hAnsi="Calibri" w:cs="Arial"/>
          <w:sz w:val="22"/>
          <w:szCs w:val="22"/>
          <w:lang w:eastAsia="en-GB"/>
        </w:rPr>
        <w:t xml:space="preserve"> likelihood of industry acceptance/implementation</w:t>
      </w:r>
      <w:r w:rsidR="00823507" w:rsidRPr="00FC2CE4">
        <w:rPr>
          <w:rFonts w:ascii="Calibri" w:hAnsi="Calibri" w:cs="Arial"/>
          <w:sz w:val="22"/>
          <w:szCs w:val="22"/>
          <w:lang w:eastAsia="en-GB"/>
        </w:rPr>
        <w:t>:</w:t>
      </w:r>
    </w:p>
    <w:p w14:paraId="0B58026D" w14:textId="2AE6EC98" w:rsidR="00FC2CE4" w:rsidRPr="00FC2CE4" w:rsidRDefault="00870BA7" w:rsidP="001F5078">
      <w:pPr>
        <w:pStyle w:val="ListParagraph"/>
        <w:numPr>
          <w:ilvl w:val="0"/>
          <w:numId w:val="24"/>
        </w:numPr>
        <w:rPr>
          <w:rFonts w:asciiTheme="minorHAnsi" w:hAnsiTheme="minorHAnsi"/>
          <w:sz w:val="22"/>
          <w:szCs w:val="22"/>
        </w:rPr>
      </w:pPr>
      <w:r>
        <w:rPr>
          <w:rFonts w:asciiTheme="minorHAnsi" w:hAnsiTheme="minorHAnsi"/>
          <w:sz w:val="22"/>
          <w:szCs w:val="22"/>
        </w:rPr>
        <w:t>Quality outputs that are f</w:t>
      </w:r>
      <w:r w:rsidR="00FC2CE4" w:rsidRPr="00FC2CE4">
        <w:rPr>
          <w:rFonts w:asciiTheme="minorHAnsi" w:hAnsiTheme="minorHAnsi"/>
          <w:sz w:val="22"/>
          <w:szCs w:val="22"/>
        </w:rPr>
        <w:t>easible</w:t>
      </w:r>
      <w:r>
        <w:rPr>
          <w:rFonts w:asciiTheme="minorHAnsi" w:hAnsiTheme="minorHAnsi"/>
          <w:sz w:val="22"/>
          <w:szCs w:val="22"/>
        </w:rPr>
        <w:t>,</w:t>
      </w:r>
      <w:r w:rsidR="00FC2CE4" w:rsidRPr="00FC2CE4">
        <w:rPr>
          <w:rFonts w:asciiTheme="minorHAnsi" w:hAnsiTheme="minorHAnsi"/>
          <w:sz w:val="22"/>
          <w:szCs w:val="22"/>
        </w:rPr>
        <w:t xml:space="preserve"> applicable </w:t>
      </w:r>
      <w:r>
        <w:rPr>
          <w:rFonts w:asciiTheme="minorHAnsi" w:hAnsiTheme="minorHAnsi"/>
          <w:sz w:val="22"/>
          <w:szCs w:val="22"/>
        </w:rPr>
        <w:t>and</w:t>
      </w:r>
      <w:r w:rsidR="00FC2CE4" w:rsidRPr="00FC2CE4">
        <w:rPr>
          <w:rFonts w:asciiTheme="minorHAnsi" w:hAnsiTheme="minorHAnsi"/>
          <w:sz w:val="22"/>
          <w:szCs w:val="22"/>
        </w:rPr>
        <w:t xml:space="preserve"> tailored to end-users</w:t>
      </w:r>
      <w:r>
        <w:rPr>
          <w:rFonts w:asciiTheme="minorHAnsi" w:hAnsiTheme="minorHAnsi"/>
          <w:sz w:val="22"/>
          <w:szCs w:val="22"/>
        </w:rPr>
        <w:t xml:space="preserve">, which can be </w:t>
      </w:r>
      <w:r w:rsidR="00FC2CE4" w:rsidRPr="00FC2CE4">
        <w:rPr>
          <w:rFonts w:asciiTheme="minorHAnsi" w:hAnsiTheme="minorHAnsi"/>
          <w:sz w:val="22"/>
          <w:szCs w:val="22"/>
        </w:rPr>
        <w:t xml:space="preserve">easily adopted / implemented </w:t>
      </w:r>
    </w:p>
    <w:p w14:paraId="6D59BD29" w14:textId="0382D30F" w:rsidR="00823507" w:rsidRDefault="00FC2CE4" w:rsidP="001F5078">
      <w:pPr>
        <w:pStyle w:val="ListParagraph"/>
        <w:numPr>
          <w:ilvl w:val="0"/>
          <w:numId w:val="24"/>
        </w:numPr>
        <w:rPr>
          <w:rFonts w:asciiTheme="minorHAnsi" w:hAnsiTheme="minorHAnsi"/>
          <w:sz w:val="22"/>
          <w:szCs w:val="22"/>
        </w:rPr>
      </w:pPr>
      <w:r w:rsidRPr="00FC2CE4">
        <w:rPr>
          <w:rFonts w:asciiTheme="minorHAnsi" w:hAnsiTheme="minorHAnsi"/>
          <w:sz w:val="22"/>
          <w:szCs w:val="22"/>
        </w:rPr>
        <w:t>Outputs that if implemented, have a high success of industry realising potential benefits</w:t>
      </w:r>
      <w:r>
        <w:rPr>
          <w:rFonts w:asciiTheme="minorHAnsi" w:hAnsiTheme="minorHAnsi"/>
          <w:sz w:val="22"/>
          <w:szCs w:val="22"/>
        </w:rPr>
        <w:t>.  This is expected to include reducing PTI risks associated with SDO, improving passenger experience, and performance shaping factors.</w:t>
      </w:r>
    </w:p>
    <w:p w14:paraId="566F364C" w14:textId="3E7F4DE8" w:rsidR="00FC2CE4" w:rsidRDefault="00FC2CE4" w:rsidP="001F5078">
      <w:pPr>
        <w:pStyle w:val="ListParagraph"/>
        <w:numPr>
          <w:ilvl w:val="0"/>
          <w:numId w:val="24"/>
        </w:numPr>
        <w:rPr>
          <w:rFonts w:asciiTheme="minorHAnsi" w:hAnsiTheme="minorHAnsi"/>
          <w:sz w:val="22"/>
          <w:szCs w:val="22"/>
        </w:rPr>
      </w:pPr>
      <w:r>
        <w:rPr>
          <w:rFonts w:asciiTheme="minorHAnsi" w:hAnsiTheme="minorHAnsi"/>
          <w:sz w:val="22"/>
          <w:szCs w:val="22"/>
        </w:rPr>
        <w:t xml:space="preserve">Outputs that align, build on, and can be feed into </w:t>
      </w:r>
      <w:r w:rsidRPr="00FC2CE4">
        <w:rPr>
          <w:rFonts w:asciiTheme="minorHAnsi" w:hAnsiTheme="minorHAnsi"/>
          <w:sz w:val="22"/>
          <w:szCs w:val="22"/>
        </w:rPr>
        <w:t>RIS-2747-RST Functioning and Control of Exterior Doors on Passenger Vehicles</w:t>
      </w:r>
    </w:p>
    <w:p w14:paraId="26BACFE6" w14:textId="77777777" w:rsidR="00610B0B" w:rsidRPr="00FC2CE4" w:rsidRDefault="00610B0B" w:rsidP="00610B0B">
      <w:pPr>
        <w:rPr>
          <w:rFonts w:cs="Arial"/>
          <w:sz w:val="22"/>
          <w:szCs w:val="22"/>
          <w:lang w:eastAsia="en-GB"/>
        </w:rPr>
      </w:pPr>
    </w:p>
    <w:p w14:paraId="67C663B9" w14:textId="686CD41C" w:rsidR="000545C4" w:rsidRPr="00FC2CE4" w:rsidRDefault="000545C4" w:rsidP="00610B0B">
      <w:pPr>
        <w:rPr>
          <w:rFonts w:ascii="Calibri" w:hAnsi="Calibri" w:cs="Arial"/>
          <w:sz w:val="22"/>
          <w:szCs w:val="22"/>
          <w:lang w:eastAsia="en-GB"/>
        </w:rPr>
      </w:pPr>
      <w:r w:rsidRPr="00FC2CE4">
        <w:rPr>
          <w:rFonts w:ascii="Calibri" w:hAnsi="Calibri" w:cs="Arial"/>
          <w:sz w:val="22"/>
          <w:szCs w:val="22"/>
          <w:lang w:eastAsia="en-GB"/>
        </w:rPr>
        <w:t xml:space="preserve">The following </w:t>
      </w:r>
      <w:r w:rsidR="00155CBF" w:rsidRPr="00FC2CE4">
        <w:rPr>
          <w:rFonts w:ascii="Calibri" w:hAnsi="Calibri" w:cs="Arial"/>
          <w:sz w:val="22"/>
          <w:szCs w:val="22"/>
          <w:lang w:eastAsia="en-GB"/>
        </w:rPr>
        <w:t xml:space="preserve">initial </w:t>
      </w:r>
      <w:r w:rsidRPr="00FC2CE4">
        <w:rPr>
          <w:rFonts w:ascii="Calibri" w:hAnsi="Calibri" w:cs="Arial"/>
          <w:sz w:val="22"/>
          <w:szCs w:val="22"/>
          <w:lang w:eastAsia="en-GB"/>
        </w:rPr>
        <w:t>risks have been identified</w:t>
      </w:r>
      <w:r w:rsidR="00BA6FB0" w:rsidRPr="00FC2CE4">
        <w:rPr>
          <w:rFonts w:ascii="Calibri" w:hAnsi="Calibri" w:cs="Arial"/>
          <w:sz w:val="22"/>
          <w:szCs w:val="22"/>
          <w:lang w:eastAsia="en-GB"/>
        </w:rPr>
        <w:t xml:space="preserve"> to highlight where the work package may encounter issues</w:t>
      </w:r>
      <w:r w:rsidR="006C1BA3" w:rsidRPr="00FC2CE4">
        <w:rPr>
          <w:rFonts w:ascii="Calibri" w:hAnsi="Calibri" w:cs="Arial"/>
          <w:sz w:val="22"/>
          <w:szCs w:val="22"/>
          <w:lang w:eastAsia="en-GB"/>
        </w:rPr>
        <w:t xml:space="preserve"> during delivery</w:t>
      </w:r>
      <w:r w:rsidR="00155CBF" w:rsidRPr="00FC2CE4">
        <w:rPr>
          <w:rFonts w:ascii="Calibri" w:hAnsi="Calibri" w:cs="Arial"/>
          <w:sz w:val="22"/>
          <w:szCs w:val="22"/>
          <w:lang w:eastAsia="en-GB"/>
        </w:rPr>
        <w:t>, the supplier will be expected to propose approaches to mitigate these risks and any others they perceive</w:t>
      </w:r>
      <w:r w:rsidRPr="00FC2CE4">
        <w:rPr>
          <w:rFonts w:ascii="Calibri" w:hAnsi="Calibri" w:cs="Arial"/>
          <w:sz w:val="22"/>
          <w:szCs w:val="22"/>
          <w:lang w:eastAsia="en-GB"/>
        </w:rPr>
        <w:t>:</w:t>
      </w:r>
    </w:p>
    <w:p w14:paraId="40ECA0C0" w14:textId="381ACEBD" w:rsidR="000545C4" w:rsidRDefault="00870BA7" w:rsidP="001F5078">
      <w:pPr>
        <w:pStyle w:val="ListParagraph"/>
        <w:numPr>
          <w:ilvl w:val="0"/>
          <w:numId w:val="24"/>
        </w:numPr>
        <w:rPr>
          <w:rFonts w:asciiTheme="minorHAnsi" w:hAnsiTheme="minorHAnsi"/>
          <w:sz w:val="22"/>
          <w:szCs w:val="22"/>
        </w:rPr>
      </w:pPr>
      <w:r>
        <w:rPr>
          <w:rFonts w:asciiTheme="minorHAnsi" w:hAnsiTheme="minorHAnsi"/>
          <w:sz w:val="22"/>
          <w:szCs w:val="22"/>
        </w:rPr>
        <w:t>Access to staff, information and data.  Where possible, RSSB and the industry steering group will support the supplier to access staff, information and data to undertake the work.  Where necessary, request for further support can be escalated to PTSRG.</w:t>
      </w:r>
    </w:p>
    <w:p w14:paraId="00B50F2A" w14:textId="0B7BF323" w:rsidR="008B6D09" w:rsidRPr="00870BA7" w:rsidRDefault="00870BA7" w:rsidP="001F5078">
      <w:pPr>
        <w:pStyle w:val="ListParagraph"/>
        <w:numPr>
          <w:ilvl w:val="0"/>
          <w:numId w:val="24"/>
        </w:numPr>
        <w:rPr>
          <w:rFonts w:asciiTheme="minorHAnsi" w:hAnsiTheme="minorHAnsi"/>
          <w:sz w:val="22"/>
          <w:szCs w:val="22"/>
        </w:rPr>
      </w:pPr>
      <w:r>
        <w:rPr>
          <w:rFonts w:asciiTheme="minorHAnsi" w:hAnsiTheme="minorHAnsi"/>
          <w:sz w:val="22"/>
          <w:szCs w:val="22"/>
        </w:rPr>
        <w:t xml:space="preserve">Access to cases to understand current practice.  This will be supported by RSSB and the industry steering group, and where necessary, escalated to PTSRG for additional assistance. </w:t>
      </w:r>
    </w:p>
    <w:sectPr w:rsidR="008B6D09" w:rsidRPr="00870BA7" w:rsidSect="00F82B7F">
      <w:pgSz w:w="11906" w:h="16838"/>
      <w:pgMar w:top="1440" w:right="1800" w:bottom="1560" w:left="180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A1CD6" w14:textId="77777777" w:rsidR="0039202D" w:rsidRDefault="0039202D" w:rsidP="0003785D">
      <w:r>
        <w:separator/>
      </w:r>
    </w:p>
  </w:endnote>
  <w:endnote w:type="continuationSeparator" w:id="0">
    <w:p w14:paraId="04269FE6" w14:textId="77777777" w:rsidR="0039202D" w:rsidRDefault="0039202D"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AF57" w14:textId="77777777" w:rsidR="00BA7422" w:rsidRDefault="00BA7422"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457D" w14:textId="41B94219" w:rsidR="00BA7422" w:rsidRDefault="00BA7422"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t>T1202 v</w:t>
    </w:r>
    <w:r w:rsidR="00B279B6">
      <w:rPr>
        <w:noProof/>
      </w:rPr>
      <w:t>1</w:t>
    </w:r>
    <w:r>
      <w:rPr>
        <w:noProof/>
      </w:rPr>
      <w:tab/>
      <w:t>November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197C0" w14:textId="77777777" w:rsidR="00B279B6" w:rsidRDefault="00B2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FC626" w14:textId="77777777" w:rsidR="0039202D" w:rsidRDefault="0039202D" w:rsidP="0003785D">
      <w:r>
        <w:separator/>
      </w:r>
    </w:p>
  </w:footnote>
  <w:footnote w:type="continuationSeparator" w:id="0">
    <w:p w14:paraId="7E235817" w14:textId="77777777" w:rsidR="0039202D" w:rsidRDefault="0039202D" w:rsidP="0003785D">
      <w:r>
        <w:continuationSeparator/>
      </w:r>
    </w:p>
  </w:footnote>
  <w:footnote w:id="1">
    <w:p w14:paraId="3AB9D2B0" w14:textId="19448388" w:rsidR="00BA7422" w:rsidRPr="00D929BB" w:rsidRDefault="00BA7422">
      <w:pPr>
        <w:pStyle w:val="FootnoteText"/>
        <w:rPr>
          <w:rFonts w:asciiTheme="minorHAnsi" w:hAnsiTheme="minorHAnsi" w:cstheme="minorHAnsi"/>
          <w:sz w:val="16"/>
          <w:szCs w:val="16"/>
        </w:rPr>
      </w:pPr>
      <w:r w:rsidRPr="00D929BB">
        <w:rPr>
          <w:rStyle w:val="FootnoteReference"/>
          <w:rFonts w:asciiTheme="minorHAnsi" w:hAnsiTheme="minorHAnsi" w:cstheme="minorHAnsi"/>
          <w:sz w:val="16"/>
          <w:szCs w:val="16"/>
        </w:rPr>
        <w:footnoteRef/>
      </w:r>
      <w:r w:rsidRPr="00D929BB">
        <w:rPr>
          <w:rFonts w:asciiTheme="minorHAnsi" w:hAnsiTheme="minorHAnsi" w:cstheme="minorHAnsi"/>
          <w:sz w:val="16"/>
          <w:szCs w:val="16"/>
        </w:rPr>
        <w:t xml:space="preserve"> Guidance on the use of selective door operation (SDO) in the GB rail industry (T686) - </w:t>
      </w:r>
      <w:hyperlink r:id="rId1" w:history="1">
        <w:r w:rsidRPr="00D929BB">
          <w:rPr>
            <w:rStyle w:val="Hyperlink"/>
            <w:rFonts w:asciiTheme="minorHAnsi" w:hAnsiTheme="minorHAnsi" w:cstheme="minorHAnsi"/>
            <w:sz w:val="16"/>
            <w:szCs w:val="16"/>
          </w:rPr>
          <w:t>https://www.sparkrail.org/Lists/Records/DispForm.aspx?ID=548</w:t>
        </w:r>
      </w:hyperlink>
    </w:p>
  </w:footnote>
  <w:footnote w:id="2">
    <w:p w14:paraId="2AB6BCCD" w14:textId="1B43B6BF" w:rsidR="00BA7422" w:rsidRPr="00D929BB" w:rsidRDefault="00BA7422">
      <w:pPr>
        <w:pStyle w:val="FootnoteText"/>
        <w:rPr>
          <w:rFonts w:asciiTheme="minorHAnsi" w:hAnsiTheme="minorHAnsi" w:cstheme="minorHAnsi"/>
          <w:sz w:val="16"/>
          <w:szCs w:val="16"/>
        </w:rPr>
      </w:pPr>
      <w:r w:rsidRPr="00D929BB">
        <w:rPr>
          <w:rStyle w:val="FootnoteReference"/>
          <w:rFonts w:asciiTheme="minorHAnsi" w:hAnsiTheme="minorHAnsi" w:cstheme="minorHAnsi"/>
          <w:sz w:val="16"/>
          <w:szCs w:val="16"/>
        </w:rPr>
        <w:footnoteRef/>
      </w:r>
      <w:r w:rsidRPr="00D929BB">
        <w:rPr>
          <w:rFonts w:asciiTheme="minorHAnsi" w:hAnsiTheme="minorHAnsi" w:cstheme="minorHAnsi"/>
          <w:sz w:val="16"/>
          <w:szCs w:val="16"/>
        </w:rPr>
        <w:t xml:space="preserve"> Criteria for the application of selective door operation (T769) - </w:t>
      </w:r>
      <w:hyperlink r:id="rId2" w:history="1">
        <w:r w:rsidRPr="00D929BB">
          <w:rPr>
            <w:rStyle w:val="Hyperlink"/>
            <w:rFonts w:asciiTheme="minorHAnsi" w:hAnsiTheme="minorHAnsi" w:cstheme="minorHAnsi"/>
            <w:sz w:val="16"/>
            <w:szCs w:val="16"/>
          </w:rPr>
          <w:t>https://www.sparkrail.org/Lists/Records/DispForm.aspx?ID=612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A4AB" w14:textId="5007515C" w:rsidR="008B1E56" w:rsidRDefault="0057478E">
    <w:pPr>
      <w:pStyle w:val="Header"/>
    </w:pPr>
    <w:r>
      <w:rPr>
        <w:noProof/>
      </w:rPr>
      <w:pict w14:anchorId="6D903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252047" o:spid="_x0000_s2050" type="#_x0000_t136" style="position:absolute;margin-left:0;margin-top:0;width:418.25pt;height:167.3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74D4" w14:textId="5856CAB7" w:rsidR="00BA7422" w:rsidRPr="0003785D" w:rsidRDefault="0057478E" w:rsidP="0003785D">
    <w:pPr>
      <w:pStyle w:val="Image"/>
    </w:pPr>
    <w:r>
      <w:rPr>
        <w:noProof/>
      </w:rPr>
      <w:pict w14:anchorId="43060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252048" o:spid="_x0000_s2051" type="#_x0000_t136" style="position:absolute;left:0;text-align:left;margin-left:0;margin-top:0;width:418.25pt;height:167.3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A7422">
      <w:rPr>
        <w:noProof/>
      </w:rPr>
      <w:drawing>
        <wp:anchor distT="0" distB="0" distL="114300" distR="114300" simplePos="0" relativeHeight="251659264" behindDoc="0" locked="0" layoutInCell="1" allowOverlap="1" wp14:anchorId="12100B1C" wp14:editId="52C48E57">
          <wp:simplePos x="0" y="0"/>
          <wp:positionH relativeFrom="column">
            <wp:posOffset>4025900</wp:posOffset>
          </wp:positionH>
          <wp:positionV relativeFrom="paragraph">
            <wp:posOffset>-64770</wp:posOffset>
          </wp:positionV>
          <wp:extent cx="1864995" cy="5727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SB_with-strapline-JPG-for-A4.jpg"/>
                  <pic:cNvPicPr/>
                </pic:nvPicPr>
                <pic:blipFill>
                  <a:blip r:embed="rId1">
                    <a:extLst>
                      <a:ext uri="{28A0092B-C50C-407E-A947-70E740481C1C}">
                        <a14:useLocalDpi xmlns:a14="http://schemas.microsoft.com/office/drawing/2010/main" val="0"/>
                      </a:ext>
                    </a:extLst>
                  </a:blip>
                  <a:stretch>
                    <a:fillRect/>
                  </a:stretch>
                </pic:blipFill>
                <pic:spPr>
                  <a:xfrm>
                    <a:off x="0" y="0"/>
                    <a:ext cx="1864995" cy="5727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2395" w14:textId="13F03196" w:rsidR="008B1E56" w:rsidRDefault="0057478E">
    <w:pPr>
      <w:pStyle w:val="Header"/>
    </w:pPr>
    <w:r>
      <w:rPr>
        <w:noProof/>
      </w:rPr>
      <w:pict w14:anchorId="0373F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252046" o:spid="_x0000_s2049" type="#_x0000_t136" style="position:absolute;margin-left:0;margin-top:0;width:418.25pt;height:167.3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C7512"/>
    <w:multiLevelType w:val="hybridMultilevel"/>
    <w:tmpl w:val="169EF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9D6338"/>
    <w:multiLevelType w:val="hybridMultilevel"/>
    <w:tmpl w:val="CF384D10"/>
    <w:lvl w:ilvl="0" w:tplc="DED675F8">
      <w:start w:val="1"/>
      <w:numFmt w:val="bullet"/>
      <w:lvlText w:val=""/>
      <w:lvlJc w:val="left"/>
      <w:pPr>
        <w:ind w:left="360" w:hanging="360"/>
      </w:pPr>
      <w:rPr>
        <w:rFonts w:ascii="Symbol" w:hAnsi="Symbol" w:hint="default"/>
        <w:color w:val="auto"/>
      </w:rPr>
    </w:lvl>
    <w:lvl w:ilvl="1" w:tplc="DA5201E8">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923FF"/>
    <w:multiLevelType w:val="hybridMultilevel"/>
    <w:tmpl w:val="5D12D7CE"/>
    <w:lvl w:ilvl="0" w:tplc="209A1032">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29DD3967"/>
    <w:multiLevelType w:val="hybridMultilevel"/>
    <w:tmpl w:val="23829D68"/>
    <w:lvl w:ilvl="0" w:tplc="209A1032">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79186E"/>
    <w:multiLevelType w:val="hybridMultilevel"/>
    <w:tmpl w:val="EA0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19" w15:restartNumberingAfterBreak="0">
    <w:nsid w:val="447E5C7A"/>
    <w:multiLevelType w:val="hybridMultilevel"/>
    <w:tmpl w:val="82EAAA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191CEE"/>
    <w:multiLevelType w:val="hybridMultilevel"/>
    <w:tmpl w:val="0014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8901B4"/>
    <w:multiLevelType w:val="hybridMultilevel"/>
    <w:tmpl w:val="9844F494"/>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42287B"/>
    <w:multiLevelType w:val="hybridMultilevel"/>
    <w:tmpl w:val="76C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F38A9"/>
    <w:multiLevelType w:val="hybridMultilevel"/>
    <w:tmpl w:val="B302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2" w15:restartNumberingAfterBreak="0">
    <w:nsid w:val="6ED824C3"/>
    <w:multiLevelType w:val="hybridMultilevel"/>
    <w:tmpl w:val="E8FCCFF8"/>
    <w:lvl w:ilvl="0" w:tplc="209A1032">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E11180"/>
    <w:multiLevelType w:val="hybridMultilevel"/>
    <w:tmpl w:val="0C1E3B8C"/>
    <w:lvl w:ilvl="0" w:tplc="43EC0C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7"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2"/>
  </w:num>
  <w:num w:numId="3">
    <w:abstractNumId w:val="8"/>
  </w:num>
  <w:num w:numId="4">
    <w:abstractNumId w:val="17"/>
  </w:num>
  <w:num w:numId="5">
    <w:abstractNumId w:val="33"/>
  </w:num>
  <w:num w:numId="6">
    <w:abstractNumId w:val="0"/>
  </w:num>
  <w:num w:numId="7">
    <w:abstractNumId w:val="36"/>
  </w:num>
  <w:num w:numId="8">
    <w:abstractNumId w:val="31"/>
  </w:num>
  <w:num w:numId="9">
    <w:abstractNumId w:val="1"/>
  </w:num>
  <w:num w:numId="10">
    <w:abstractNumId w:val="18"/>
  </w:num>
  <w:num w:numId="11">
    <w:abstractNumId w:val="38"/>
  </w:num>
  <w:num w:numId="12">
    <w:abstractNumId w:val="3"/>
  </w:num>
  <w:num w:numId="13">
    <w:abstractNumId w:val="37"/>
  </w:num>
  <w:num w:numId="14">
    <w:abstractNumId w:val="27"/>
  </w:num>
  <w:num w:numId="15">
    <w:abstractNumId w:val="24"/>
  </w:num>
  <w:num w:numId="16">
    <w:abstractNumId w:val="4"/>
  </w:num>
  <w:num w:numId="17">
    <w:abstractNumId w:val="30"/>
  </w:num>
  <w:num w:numId="18">
    <w:abstractNumId w:val="5"/>
  </w:num>
  <w:num w:numId="19">
    <w:abstractNumId w:val="14"/>
  </w:num>
  <w:num w:numId="20">
    <w:abstractNumId w:val="15"/>
  </w:num>
  <w:num w:numId="21">
    <w:abstractNumId w:val="26"/>
  </w:num>
  <w:num w:numId="22">
    <w:abstractNumId w:val="16"/>
  </w:num>
  <w:num w:numId="23">
    <w:abstractNumId w:val="10"/>
  </w:num>
  <w:num w:numId="24">
    <w:abstractNumId w:val="21"/>
  </w:num>
  <w:num w:numId="25">
    <w:abstractNumId w:val="25"/>
  </w:num>
  <w:num w:numId="26">
    <w:abstractNumId w:val="7"/>
  </w:num>
  <w:num w:numId="27">
    <w:abstractNumId w:val="28"/>
  </w:num>
  <w:num w:numId="28">
    <w:abstractNumId w:val="22"/>
  </w:num>
  <w:num w:numId="29">
    <w:abstractNumId w:val="13"/>
  </w:num>
  <w:num w:numId="30">
    <w:abstractNumId w:val="23"/>
  </w:num>
  <w:num w:numId="31">
    <w:abstractNumId w:val="20"/>
  </w:num>
  <w:num w:numId="32">
    <w:abstractNumId w:val="11"/>
  </w:num>
  <w:num w:numId="33">
    <w:abstractNumId w:val="32"/>
  </w:num>
  <w:num w:numId="34">
    <w:abstractNumId w:val="35"/>
  </w:num>
  <w:num w:numId="35">
    <w:abstractNumId w:val="19"/>
  </w:num>
  <w:num w:numId="36">
    <w:abstractNumId w:val="34"/>
  </w:num>
  <w:num w:numId="37">
    <w:abstractNumId w:val="9"/>
  </w:num>
  <w:num w:numId="38">
    <w:abstractNumId w:val="6"/>
  </w:num>
  <w:num w:numId="3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48BB"/>
    <w:rsid w:val="00004AB4"/>
    <w:rsid w:val="00005F35"/>
    <w:rsid w:val="00007301"/>
    <w:rsid w:val="000104EA"/>
    <w:rsid w:val="0001228D"/>
    <w:rsid w:val="000172D3"/>
    <w:rsid w:val="0002231C"/>
    <w:rsid w:val="0002245E"/>
    <w:rsid w:val="00023C66"/>
    <w:rsid w:val="00023DDF"/>
    <w:rsid w:val="0002683E"/>
    <w:rsid w:val="00027D88"/>
    <w:rsid w:val="00031959"/>
    <w:rsid w:val="00032803"/>
    <w:rsid w:val="00036305"/>
    <w:rsid w:val="0003785D"/>
    <w:rsid w:val="00040064"/>
    <w:rsid w:val="00040660"/>
    <w:rsid w:val="00040D14"/>
    <w:rsid w:val="00042BB8"/>
    <w:rsid w:val="00045282"/>
    <w:rsid w:val="00045FC8"/>
    <w:rsid w:val="00047C3D"/>
    <w:rsid w:val="00050D31"/>
    <w:rsid w:val="0005122A"/>
    <w:rsid w:val="00053C28"/>
    <w:rsid w:val="000545C4"/>
    <w:rsid w:val="00055E7F"/>
    <w:rsid w:val="000600B0"/>
    <w:rsid w:val="00062711"/>
    <w:rsid w:val="00064BD0"/>
    <w:rsid w:val="00067440"/>
    <w:rsid w:val="00067A43"/>
    <w:rsid w:val="00070925"/>
    <w:rsid w:val="0007177D"/>
    <w:rsid w:val="00077D42"/>
    <w:rsid w:val="00091DF7"/>
    <w:rsid w:val="00095757"/>
    <w:rsid w:val="00095A03"/>
    <w:rsid w:val="00096479"/>
    <w:rsid w:val="000A04BD"/>
    <w:rsid w:val="000A15E7"/>
    <w:rsid w:val="000A3709"/>
    <w:rsid w:val="000A5057"/>
    <w:rsid w:val="000A7126"/>
    <w:rsid w:val="000A7430"/>
    <w:rsid w:val="000A7DAC"/>
    <w:rsid w:val="000B3445"/>
    <w:rsid w:val="000B397F"/>
    <w:rsid w:val="000B3EC3"/>
    <w:rsid w:val="000B6F82"/>
    <w:rsid w:val="000C2152"/>
    <w:rsid w:val="000C3D03"/>
    <w:rsid w:val="000D1933"/>
    <w:rsid w:val="000D1938"/>
    <w:rsid w:val="000D1A59"/>
    <w:rsid w:val="000D3F24"/>
    <w:rsid w:val="000D7E0F"/>
    <w:rsid w:val="000E1B11"/>
    <w:rsid w:val="000E2AA0"/>
    <w:rsid w:val="000E5223"/>
    <w:rsid w:val="000E52F8"/>
    <w:rsid w:val="000F3413"/>
    <w:rsid w:val="000F46E4"/>
    <w:rsid w:val="000F4C25"/>
    <w:rsid w:val="001007D1"/>
    <w:rsid w:val="00100BAD"/>
    <w:rsid w:val="00103FDD"/>
    <w:rsid w:val="00105AA8"/>
    <w:rsid w:val="00106649"/>
    <w:rsid w:val="001145A1"/>
    <w:rsid w:val="00114D12"/>
    <w:rsid w:val="00116A88"/>
    <w:rsid w:val="001203BF"/>
    <w:rsid w:val="001217F7"/>
    <w:rsid w:val="00122840"/>
    <w:rsid w:val="0013478B"/>
    <w:rsid w:val="00134A7B"/>
    <w:rsid w:val="00137827"/>
    <w:rsid w:val="0014075C"/>
    <w:rsid w:val="00142B68"/>
    <w:rsid w:val="0014557C"/>
    <w:rsid w:val="00152787"/>
    <w:rsid w:val="001535EB"/>
    <w:rsid w:val="00155CBF"/>
    <w:rsid w:val="0015732D"/>
    <w:rsid w:val="00163128"/>
    <w:rsid w:val="001640EB"/>
    <w:rsid w:val="00166007"/>
    <w:rsid w:val="00167865"/>
    <w:rsid w:val="0017053B"/>
    <w:rsid w:val="0017283E"/>
    <w:rsid w:val="00173170"/>
    <w:rsid w:val="00175769"/>
    <w:rsid w:val="00176DDD"/>
    <w:rsid w:val="00177EC5"/>
    <w:rsid w:val="001802BE"/>
    <w:rsid w:val="00180DB2"/>
    <w:rsid w:val="00184B6D"/>
    <w:rsid w:val="001907AE"/>
    <w:rsid w:val="00191D59"/>
    <w:rsid w:val="00197D47"/>
    <w:rsid w:val="001A2D42"/>
    <w:rsid w:val="001A74CF"/>
    <w:rsid w:val="001B1224"/>
    <w:rsid w:val="001B367C"/>
    <w:rsid w:val="001B4560"/>
    <w:rsid w:val="001B5368"/>
    <w:rsid w:val="001B78A2"/>
    <w:rsid w:val="001B7C1B"/>
    <w:rsid w:val="001C1509"/>
    <w:rsid w:val="001C2122"/>
    <w:rsid w:val="001C4B6E"/>
    <w:rsid w:val="001D0F8B"/>
    <w:rsid w:val="001D11EB"/>
    <w:rsid w:val="001D4B6F"/>
    <w:rsid w:val="001D775D"/>
    <w:rsid w:val="001E146A"/>
    <w:rsid w:val="001E1B9F"/>
    <w:rsid w:val="001E3419"/>
    <w:rsid w:val="001E38A6"/>
    <w:rsid w:val="001E53FD"/>
    <w:rsid w:val="001E604B"/>
    <w:rsid w:val="001E6E1E"/>
    <w:rsid w:val="001E7912"/>
    <w:rsid w:val="001E7B04"/>
    <w:rsid w:val="001F22B3"/>
    <w:rsid w:val="001F2882"/>
    <w:rsid w:val="001F5078"/>
    <w:rsid w:val="001F5871"/>
    <w:rsid w:val="001F5925"/>
    <w:rsid w:val="001F6223"/>
    <w:rsid w:val="001F7353"/>
    <w:rsid w:val="001F7840"/>
    <w:rsid w:val="001F7A6C"/>
    <w:rsid w:val="00201084"/>
    <w:rsid w:val="002015D7"/>
    <w:rsid w:val="00202120"/>
    <w:rsid w:val="002026D1"/>
    <w:rsid w:val="0020300A"/>
    <w:rsid w:val="002032C3"/>
    <w:rsid w:val="00207354"/>
    <w:rsid w:val="002102CD"/>
    <w:rsid w:val="0021088A"/>
    <w:rsid w:val="00211CA5"/>
    <w:rsid w:val="002123E6"/>
    <w:rsid w:val="0021504D"/>
    <w:rsid w:val="002227F6"/>
    <w:rsid w:val="00222D2F"/>
    <w:rsid w:val="00222F75"/>
    <w:rsid w:val="002305B6"/>
    <w:rsid w:val="0023251B"/>
    <w:rsid w:val="002333DF"/>
    <w:rsid w:val="002345D7"/>
    <w:rsid w:val="002401A8"/>
    <w:rsid w:val="002402CB"/>
    <w:rsid w:val="00241B1C"/>
    <w:rsid w:val="002426D4"/>
    <w:rsid w:val="00242AAD"/>
    <w:rsid w:val="00246B2F"/>
    <w:rsid w:val="00247F4F"/>
    <w:rsid w:val="002569DA"/>
    <w:rsid w:val="00256E7C"/>
    <w:rsid w:val="002628DD"/>
    <w:rsid w:val="00267C6F"/>
    <w:rsid w:val="00267F2D"/>
    <w:rsid w:val="00271D1D"/>
    <w:rsid w:val="00272E61"/>
    <w:rsid w:val="0027371E"/>
    <w:rsid w:val="00275AEF"/>
    <w:rsid w:val="00277AF2"/>
    <w:rsid w:val="00280F6A"/>
    <w:rsid w:val="00286B91"/>
    <w:rsid w:val="00290D4D"/>
    <w:rsid w:val="002A2A92"/>
    <w:rsid w:val="002A4FD2"/>
    <w:rsid w:val="002A6750"/>
    <w:rsid w:val="002A7F4D"/>
    <w:rsid w:val="002B06CD"/>
    <w:rsid w:val="002B28E4"/>
    <w:rsid w:val="002B30F6"/>
    <w:rsid w:val="002B545D"/>
    <w:rsid w:val="002B7A89"/>
    <w:rsid w:val="002C2CFF"/>
    <w:rsid w:val="002C3A20"/>
    <w:rsid w:val="002C7A2C"/>
    <w:rsid w:val="002D2271"/>
    <w:rsid w:val="002D2E9C"/>
    <w:rsid w:val="002D2FA7"/>
    <w:rsid w:val="002D477C"/>
    <w:rsid w:val="002D5374"/>
    <w:rsid w:val="002D5FF4"/>
    <w:rsid w:val="002E1E8B"/>
    <w:rsid w:val="002E2F7E"/>
    <w:rsid w:val="002E3C04"/>
    <w:rsid w:val="002E5223"/>
    <w:rsid w:val="002E6DC7"/>
    <w:rsid w:val="002E6EDC"/>
    <w:rsid w:val="002F1FAC"/>
    <w:rsid w:val="002F2093"/>
    <w:rsid w:val="002F2F6E"/>
    <w:rsid w:val="002F5AA3"/>
    <w:rsid w:val="00301677"/>
    <w:rsid w:val="003030E2"/>
    <w:rsid w:val="00307AB8"/>
    <w:rsid w:val="00311017"/>
    <w:rsid w:val="003112E3"/>
    <w:rsid w:val="00312A2E"/>
    <w:rsid w:val="0031375C"/>
    <w:rsid w:val="0031591E"/>
    <w:rsid w:val="00315B74"/>
    <w:rsid w:val="00317F2B"/>
    <w:rsid w:val="00321152"/>
    <w:rsid w:val="003218DC"/>
    <w:rsid w:val="00323074"/>
    <w:rsid w:val="00324A79"/>
    <w:rsid w:val="00326011"/>
    <w:rsid w:val="00326CC6"/>
    <w:rsid w:val="00326D86"/>
    <w:rsid w:val="00327976"/>
    <w:rsid w:val="00330696"/>
    <w:rsid w:val="00330B81"/>
    <w:rsid w:val="00332581"/>
    <w:rsid w:val="00334BFE"/>
    <w:rsid w:val="0034111B"/>
    <w:rsid w:val="00341334"/>
    <w:rsid w:val="003427E7"/>
    <w:rsid w:val="00346A9F"/>
    <w:rsid w:val="003476FE"/>
    <w:rsid w:val="003530CC"/>
    <w:rsid w:val="0035434B"/>
    <w:rsid w:val="0035436B"/>
    <w:rsid w:val="003577D4"/>
    <w:rsid w:val="00360B24"/>
    <w:rsid w:val="00364F56"/>
    <w:rsid w:val="00366EF9"/>
    <w:rsid w:val="00370B83"/>
    <w:rsid w:val="00373EBC"/>
    <w:rsid w:val="003801C6"/>
    <w:rsid w:val="00380F5A"/>
    <w:rsid w:val="00381655"/>
    <w:rsid w:val="00385D51"/>
    <w:rsid w:val="00386BF8"/>
    <w:rsid w:val="0039202D"/>
    <w:rsid w:val="00392D19"/>
    <w:rsid w:val="00395222"/>
    <w:rsid w:val="00395624"/>
    <w:rsid w:val="003966C4"/>
    <w:rsid w:val="00396BCF"/>
    <w:rsid w:val="00397AA2"/>
    <w:rsid w:val="003A07B0"/>
    <w:rsid w:val="003A3C81"/>
    <w:rsid w:val="003A3D27"/>
    <w:rsid w:val="003A463F"/>
    <w:rsid w:val="003A63C9"/>
    <w:rsid w:val="003A7BD6"/>
    <w:rsid w:val="003B01F9"/>
    <w:rsid w:val="003B05EF"/>
    <w:rsid w:val="003B074C"/>
    <w:rsid w:val="003B5726"/>
    <w:rsid w:val="003B62C9"/>
    <w:rsid w:val="003B662E"/>
    <w:rsid w:val="003C1431"/>
    <w:rsid w:val="003C7D93"/>
    <w:rsid w:val="003D45F2"/>
    <w:rsid w:val="003D4D85"/>
    <w:rsid w:val="003D77DC"/>
    <w:rsid w:val="003E14CF"/>
    <w:rsid w:val="003E20EF"/>
    <w:rsid w:val="003E26D7"/>
    <w:rsid w:val="003E2CD9"/>
    <w:rsid w:val="003E335B"/>
    <w:rsid w:val="003E425C"/>
    <w:rsid w:val="003E60E0"/>
    <w:rsid w:val="003E6342"/>
    <w:rsid w:val="003F0294"/>
    <w:rsid w:val="003F1B1B"/>
    <w:rsid w:val="003F4A30"/>
    <w:rsid w:val="003F4BC4"/>
    <w:rsid w:val="003F5EAA"/>
    <w:rsid w:val="003F62F9"/>
    <w:rsid w:val="003F6FCA"/>
    <w:rsid w:val="00400488"/>
    <w:rsid w:val="00402EC9"/>
    <w:rsid w:val="004030DE"/>
    <w:rsid w:val="00403FD0"/>
    <w:rsid w:val="004045D0"/>
    <w:rsid w:val="00406150"/>
    <w:rsid w:val="00410F07"/>
    <w:rsid w:val="0041419B"/>
    <w:rsid w:val="00414879"/>
    <w:rsid w:val="00416132"/>
    <w:rsid w:val="004161CA"/>
    <w:rsid w:val="004163CF"/>
    <w:rsid w:val="004165C2"/>
    <w:rsid w:val="00416982"/>
    <w:rsid w:val="00417B7B"/>
    <w:rsid w:val="00420962"/>
    <w:rsid w:val="004232B1"/>
    <w:rsid w:val="004236BB"/>
    <w:rsid w:val="00425161"/>
    <w:rsid w:val="004264C0"/>
    <w:rsid w:val="00427D02"/>
    <w:rsid w:val="004306CA"/>
    <w:rsid w:val="00431664"/>
    <w:rsid w:val="00433EAC"/>
    <w:rsid w:val="00436E27"/>
    <w:rsid w:val="00436F87"/>
    <w:rsid w:val="004413B0"/>
    <w:rsid w:val="00442865"/>
    <w:rsid w:val="00443F8E"/>
    <w:rsid w:val="00443FAF"/>
    <w:rsid w:val="0044412F"/>
    <w:rsid w:val="00446335"/>
    <w:rsid w:val="0045692B"/>
    <w:rsid w:val="004625AC"/>
    <w:rsid w:val="00463B4A"/>
    <w:rsid w:val="00463DCC"/>
    <w:rsid w:val="004664D7"/>
    <w:rsid w:val="004666E1"/>
    <w:rsid w:val="004718E4"/>
    <w:rsid w:val="00480814"/>
    <w:rsid w:val="0048171A"/>
    <w:rsid w:val="00482230"/>
    <w:rsid w:val="0048358F"/>
    <w:rsid w:val="00483C4B"/>
    <w:rsid w:val="00492623"/>
    <w:rsid w:val="0049292B"/>
    <w:rsid w:val="00495925"/>
    <w:rsid w:val="004959BD"/>
    <w:rsid w:val="004A0C64"/>
    <w:rsid w:val="004A111C"/>
    <w:rsid w:val="004A3787"/>
    <w:rsid w:val="004A3F70"/>
    <w:rsid w:val="004A4181"/>
    <w:rsid w:val="004B5C20"/>
    <w:rsid w:val="004B7BBB"/>
    <w:rsid w:val="004C4608"/>
    <w:rsid w:val="004C5344"/>
    <w:rsid w:val="004C59B1"/>
    <w:rsid w:val="004C5BAF"/>
    <w:rsid w:val="004C75A1"/>
    <w:rsid w:val="004D06B4"/>
    <w:rsid w:val="004D1829"/>
    <w:rsid w:val="004D2368"/>
    <w:rsid w:val="004D5CA0"/>
    <w:rsid w:val="004D7273"/>
    <w:rsid w:val="004E5CB1"/>
    <w:rsid w:val="004E658A"/>
    <w:rsid w:val="004F00A4"/>
    <w:rsid w:val="004F0353"/>
    <w:rsid w:val="004F6564"/>
    <w:rsid w:val="00503098"/>
    <w:rsid w:val="005047AB"/>
    <w:rsid w:val="0050724D"/>
    <w:rsid w:val="0050796B"/>
    <w:rsid w:val="00507F0C"/>
    <w:rsid w:val="00511D8D"/>
    <w:rsid w:val="005150E3"/>
    <w:rsid w:val="005170FA"/>
    <w:rsid w:val="00523E0C"/>
    <w:rsid w:val="0052419C"/>
    <w:rsid w:val="0052436A"/>
    <w:rsid w:val="005302A4"/>
    <w:rsid w:val="00532FAF"/>
    <w:rsid w:val="005349D0"/>
    <w:rsid w:val="00535C6B"/>
    <w:rsid w:val="0054035A"/>
    <w:rsid w:val="00544785"/>
    <w:rsid w:val="00544FE5"/>
    <w:rsid w:val="00546361"/>
    <w:rsid w:val="00547F63"/>
    <w:rsid w:val="00553060"/>
    <w:rsid w:val="0055621F"/>
    <w:rsid w:val="00556F79"/>
    <w:rsid w:val="00557610"/>
    <w:rsid w:val="00560914"/>
    <w:rsid w:val="005636AE"/>
    <w:rsid w:val="00565059"/>
    <w:rsid w:val="00571090"/>
    <w:rsid w:val="0057352C"/>
    <w:rsid w:val="0057478E"/>
    <w:rsid w:val="00576B14"/>
    <w:rsid w:val="00577801"/>
    <w:rsid w:val="00577EAA"/>
    <w:rsid w:val="00582678"/>
    <w:rsid w:val="00582A2C"/>
    <w:rsid w:val="00583EDD"/>
    <w:rsid w:val="00585CFB"/>
    <w:rsid w:val="00585D12"/>
    <w:rsid w:val="00586A7A"/>
    <w:rsid w:val="0058708B"/>
    <w:rsid w:val="00587B6D"/>
    <w:rsid w:val="00587CCB"/>
    <w:rsid w:val="00587FD9"/>
    <w:rsid w:val="005920CD"/>
    <w:rsid w:val="00592C7C"/>
    <w:rsid w:val="00595720"/>
    <w:rsid w:val="00595EEE"/>
    <w:rsid w:val="00596790"/>
    <w:rsid w:val="005A0CC7"/>
    <w:rsid w:val="005A329D"/>
    <w:rsid w:val="005A499F"/>
    <w:rsid w:val="005A798E"/>
    <w:rsid w:val="005B0E60"/>
    <w:rsid w:val="005B7230"/>
    <w:rsid w:val="005C1DDB"/>
    <w:rsid w:val="005C2665"/>
    <w:rsid w:val="005C29B8"/>
    <w:rsid w:val="005C62D0"/>
    <w:rsid w:val="005C67EF"/>
    <w:rsid w:val="005D21E3"/>
    <w:rsid w:val="005D263C"/>
    <w:rsid w:val="005D46FD"/>
    <w:rsid w:val="005D644D"/>
    <w:rsid w:val="005E0FA3"/>
    <w:rsid w:val="005E2482"/>
    <w:rsid w:val="005E448E"/>
    <w:rsid w:val="005E4B66"/>
    <w:rsid w:val="005E5055"/>
    <w:rsid w:val="005E6B5A"/>
    <w:rsid w:val="005F1D65"/>
    <w:rsid w:val="005F41FA"/>
    <w:rsid w:val="005F4D9A"/>
    <w:rsid w:val="005F5FD4"/>
    <w:rsid w:val="005F6FBC"/>
    <w:rsid w:val="006007BE"/>
    <w:rsid w:val="006031A4"/>
    <w:rsid w:val="0060597B"/>
    <w:rsid w:val="006064FF"/>
    <w:rsid w:val="00610885"/>
    <w:rsid w:val="00610B0B"/>
    <w:rsid w:val="0061191F"/>
    <w:rsid w:val="006207AB"/>
    <w:rsid w:val="00620FA0"/>
    <w:rsid w:val="0062110D"/>
    <w:rsid w:val="00622787"/>
    <w:rsid w:val="00622A78"/>
    <w:rsid w:val="00631E89"/>
    <w:rsid w:val="0063249C"/>
    <w:rsid w:val="00633998"/>
    <w:rsid w:val="00635AE9"/>
    <w:rsid w:val="00640A11"/>
    <w:rsid w:val="0064370B"/>
    <w:rsid w:val="00644405"/>
    <w:rsid w:val="006518E0"/>
    <w:rsid w:val="006520E9"/>
    <w:rsid w:val="00656A5B"/>
    <w:rsid w:val="006578C7"/>
    <w:rsid w:val="006645FA"/>
    <w:rsid w:val="00664AEA"/>
    <w:rsid w:val="00665D05"/>
    <w:rsid w:val="006719F2"/>
    <w:rsid w:val="00674166"/>
    <w:rsid w:val="00677B4C"/>
    <w:rsid w:val="00684BCD"/>
    <w:rsid w:val="0068523D"/>
    <w:rsid w:val="0068622C"/>
    <w:rsid w:val="006862E5"/>
    <w:rsid w:val="00687527"/>
    <w:rsid w:val="00694131"/>
    <w:rsid w:val="00696D1C"/>
    <w:rsid w:val="006A15C4"/>
    <w:rsid w:val="006A2A93"/>
    <w:rsid w:val="006A4AEC"/>
    <w:rsid w:val="006A4C94"/>
    <w:rsid w:val="006B0D09"/>
    <w:rsid w:val="006B1B60"/>
    <w:rsid w:val="006B7269"/>
    <w:rsid w:val="006C1BA3"/>
    <w:rsid w:val="006C2F7C"/>
    <w:rsid w:val="006D4779"/>
    <w:rsid w:val="006D4A18"/>
    <w:rsid w:val="006E215A"/>
    <w:rsid w:val="006E2708"/>
    <w:rsid w:val="006E348E"/>
    <w:rsid w:val="006E59D3"/>
    <w:rsid w:val="006E6437"/>
    <w:rsid w:val="006E69B3"/>
    <w:rsid w:val="006E7034"/>
    <w:rsid w:val="006E7F8F"/>
    <w:rsid w:val="006F2886"/>
    <w:rsid w:val="006F2BBD"/>
    <w:rsid w:val="006F5237"/>
    <w:rsid w:val="0070097E"/>
    <w:rsid w:val="00704C7E"/>
    <w:rsid w:val="00706259"/>
    <w:rsid w:val="007070D1"/>
    <w:rsid w:val="00707D3A"/>
    <w:rsid w:val="0071601A"/>
    <w:rsid w:val="007167B6"/>
    <w:rsid w:val="00720811"/>
    <w:rsid w:val="007226E6"/>
    <w:rsid w:val="007226F3"/>
    <w:rsid w:val="00723934"/>
    <w:rsid w:val="007279F4"/>
    <w:rsid w:val="00727F38"/>
    <w:rsid w:val="007350A2"/>
    <w:rsid w:val="0073567C"/>
    <w:rsid w:val="00737E41"/>
    <w:rsid w:val="0074071F"/>
    <w:rsid w:val="00740722"/>
    <w:rsid w:val="00741332"/>
    <w:rsid w:val="007419E2"/>
    <w:rsid w:val="00742F2A"/>
    <w:rsid w:val="0074556C"/>
    <w:rsid w:val="007458AB"/>
    <w:rsid w:val="00746C68"/>
    <w:rsid w:val="007501A1"/>
    <w:rsid w:val="00750268"/>
    <w:rsid w:val="007511AE"/>
    <w:rsid w:val="007531C3"/>
    <w:rsid w:val="007536DC"/>
    <w:rsid w:val="0075464C"/>
    <w:rsid w:val="0075783D"/>
    <w:rsid w:val="00767018"/>
    <w:rsid w:val="0077434F"/>
    <w:rsid w:val="0077663C"/>
    <w:rsid w:val="0078406D"/>
    <w:rsid w:val="00784994"/>
    <w:rsid w:val="007866E2"/>
    <w:rsid w:val="00786BEE"/>
    <w:rsid w:val="00795ADE"/>
    <w:rsid w:val="0079747F"/>
    <w:rsid w:val="007A6DDC"/>
    <w:rsid w:val="007B096E"/>
    <w:rsid w:val="007B4813"/>
    <w:rsid w:val="007B54B4"/>
    <w:rsid w:val="007B6028"/>
    <w:rsid w:val="007B7955"/>
    <w:rsid w:val="007C0176"/>
    <w:rsid w:val="007C4856"/>
    <w:rsid w:val="007C5EF0"/>
    <w:rsid w:val="007C61C6"/>
    <w:rsid w:val="007C6D8B"/>
    <w:rsid w:val="007C7171"/>
    <w:rsid w:val="007D0976"/>
    <w:rsid w:val="007D21C3"/>
    <w:rsid w:val="007D6211"/>
    <w:rsid w:val="007D658E"/>
    <w:rsid w:val="007D7BC6"/>
    <w:rsid w:val="007E1765"/>
    <w:rsid w:val="007E4C0E"/>
    <w:rsid w:val="007E54C1"/>
    <w:rsid w:val="007E65B6"/>
    <w:rsid w:val="007F30D2"/>
    <w:rsid w:val="007F4A8B"/>
    <w:rsid w:val="00800619"/>
    <w:rsid w:val="00801DD1"/>
    <w:rsid w:val="00803876"/>
    <w:rsid w:val="00811C66"/>
    <w:rsid w:val="008148E7"/>
    <w:rsid w:val="00815061"/>
    <w:rsid w:val="00815120"/>
    <w:rsid w:val="00823507"/>
    <w:rsid w:val="00823829"/>
    <w:rsid w:val="00823C59"/>
    <w:rsid w:val="00824116"/>
    <w:rsid w:val="00826AC3"/>
    <w:rsid w:val="00826BD5"/>
    <w:rsid w:val="00830112"/>
    <w:rsid w:val="008310C6"/>
    <w:rsid w:val="00837438"/>
    <w:rsid w:val="00837C49"/>
    <w:rsid w:val="00843B88"/>
    <w:rsid w:val="008457A3"/>
    <w:rsid w:val="00845F71"/>
    <w:rsid w:val="00852708"/>
    <w:rsid w:val="00852A7E"/>
    <w:rsid w:val="00853AFA"/>
    <w:rsid w:val="0085447B"/>
    <w:rsid w:val="008553D5"/>
    <w:rsid w:val="00856404"/>
    <w:rsid w:val="008570C6"/>
    <w:rsid w:val="008615CF"/>
    <w:rsid w:val="008640DE"/>
    <w:rsid w:val="00866DAA"/>
    <w:rsid w:val="00870BA7"/>
    <w:rsid w:val="00874EEF"/>
    <w:rsid w:val="00875261"/>
    <w:rsid w:val="00885406"/>
    <w:rsid w:val="00886909"/>
    <w:rsid w:val="00887F23"/>
    <w:rsid w:val="00891443"/>
    <w:rsid w:val="00893112"/>
    <w:rsid w:val="008931EC"/>
    <w:rsid w:val="0089484E"/>
    <w:rsid w:val="00895AED"/>
    <w:rsid w:val="00896506"/>
    <w:rsid w:val="008972BA"/>
    <w:rsid w:val="008A09CC"/>
    <w:rsid w:val="008A1954"/>
    <w:rsid w:val="008A252F"/>
    <w:rsid w:val="008A46D0"/>
    <w:rsid w:val="008A5735"/>
    <w:rsid w:val="008A7B92"/>
    <w:rsid w:val="008A7DE9"/>
    <w:rsid w:val="008B027D"/>
    <w:rsid w:val="008B1E56"/>
    <w:rsid w:val="008B250E"/>
    <w:rsid w:val="008B272D"/>
    <w:rsid w:val="008B389E"/>
    <w:rsid w:val="008B475D"/>
    <w:rsid w:val="008B57D9"/>
    <w:rsid w:val="008B696F"/>
    <w:rsid w:val="008B6D09"/>
    <w:rsid w:val="008C0D85"/>
    <w:rsid w:val="008C0F62"/>
    <w:rsid w:val="008C0F69"/>
    <w:rsid w:val="008C28E2"/>
    <w:rsid w:val="008C298E"/>
    <w:rsid w:val="008C5E9E"/>
    <w:rsid w:val="008D088D"/>
    <w:rsid w:val="008D263C"/>
    <w:rsid w:val="008D36B9"/>
    <w:rsid w:val="008D4416"/>
    <w:rsid w:val="008D510A"/>
    <w:rsid w:val="008E0B09"/>
    <w:rsid w:val="008E2122"/>
    <w:rsid w:val="008E379A"/>
    <w:rsid w:val="008F04B0"/>
    <w:rsid w:val="008F16D8"/>
    <w:rsid w:val="008F302F"/>
    <w:rsid w:val="008F6D97"/>
    <w:rsid w:val="00901EB2"/>
    <w:rsid w:val="00906A75"/>
    <w:rsid w:val="00907ABB"/>
    <w:rsid w:val="00910B17"/>
    <w:rsid w:val="00912EE6"/>
    <w:rsid w:val="0091375D"/>
    <w:rsid w:val="009148AB"/>
    <w:rsid w:val="0091540C"/>
    <w:rsid w:val="0091569D"/>
    <w:rsid w:val="00916E86"/>
    <w:rsid w:val="00917332"/>
    <w:rsid w:val="00923B5C"/>
    <w:rsid w:val="00925A1A"/>
    <w:rsid w:val="00926520"/>
    <w:rsid w:val="00927AD4"/>
    <w:rsid w:val="00927F3F"/>
    <w:rsid w:val="00931E25"/>
    <w:rsid w:val="00933E15"/>
    <w:rsid w:val="00937E3F"/>
    <w:rsid w:val="009439EB"/>
    <w:rsid w:val="009451EE"/>
    <w:rsid w:val="0095074C"/>
    <w:rsid w:val="00950C5E"/>
    <w:rsid w:val="00952118"/>
    <w:rsid w:val="0095236B"/>
    <w:rsid w:val="00961B2A"/>
    <w:rsid w:val="009632BF"/>
    <w:rsid w:val="00964952"/>
    <w:rsid w:val="00965E00"/>
    <w:rsid w:val="009677D2"/>
    <w:rsid w:val="00967B84"/>
    <w:rsid w:val="00970190"/>
    <w:rsid w:val="00971DFA"/>
    <w:rsid w:val="0097446B"/>
    <w:rsid w:val="00977A0A"/>
    <w:rsid w:val="009805FC"/>
    <w:rsid w:val="00980E6B"/>
    <w:rsid w:val="009860CA"/>
    <w:rsid w:val="00986434"/>
    <w:rsid w:val="009874FA"/>
    <w:rsid w:val="00990DE7"/>
    <w:rsid w:val="00993A8A"/>
    <w:rsid w:val="009943F9"/>
    <w:rsid w:val="009963C6"/>
    <w:rsid w:val="00997AB6"/>
    <w:rsid w:val="00997CC6"/>
    <w:rsid w:val="009A0329"/>
    <w:rsid w:val="009A43CE"/>
    <w:rsid w:val="009A76F8"/>
    <w:rsid w:val="009B0375"/>
    <w:rsid w:val="009B21F8"/>
    <w:rsid w:val="009C3991"/>
    <w:rsid w:val="009C5395"/>
    <w:rsid w:val="009C55B0"/>
    <w:rsid w:val="009C635A"/>
    <w:rsid w:val="009C66F7"/>
    <w:rsid w:val="009C7BE1"/>
    <w:rsid w:val="009D19CA"/>
    <w:rsid w:val="009D27A8"/>
    <w:rsid w:val="009D299B"/>
    <w:rsid w:val="009D444C"/>
    <w:rsid w:val="009E1F97"/>
    <w:rsid w:val="009E3561"/>
    <w:rsid w:val="009E497E"/>
    <w:rsid w:val="009E5BF2"/>
    <w:rsid w:val="009F0474"/>
    <w:rsid w:val="009F1720"/>
    <w:rsid w:val="009F20F1"/>
    <w:rsid w:val="009F7987"/>
    <w:rsid w:val="00A02185"/>
    <w:rsid w:val="00A0736A"/>
    <w:rsid w:val="00A12089"/>
    <w:rsid w:val="00A1209F"/>
    <w:rsid w:val="00A121C4"/>
    <w:rsid w:val="00A15044"/>
    <w:rsid w:val="00A17B8B"/>
    <w:rsid w:val="00A20453"/>
    <w:rsid w:val="00A27B41"/>
    <w:rsid w:val="00A300C4"/>
    <w:rsid w:val="00A313B6"/>
    <w:rsid w:val="00A31D78"/>
    <w:rsid w:val="00A32E86"/>
    <w:rsid w:val="00A3582E"/>
    <w:rsid w:val="00A43021"/>
    <w:rsid w:val="00A51797"/>
    <w:rsid w:val="00A544AB"/>
    <w:rsid w:val="00A55716"/>
    <w:rsid w:val="00A608DB"/>
    <w:rsid w:val="00A6310B"/>
    <w:rsid w:val="00A64001"/>
    <w:rsid w:val="00A67F2B"/>
    <w:rsid w:val="00A71245"/>
    <w:rsid w:val="00A72A3C"/>
    <w:rsid w:val="00A735A9"/>
    <w:rsid w:val="00A76A3F"/>
    <w:rsid w:val="00A80DB7"/>
    <w:rsid w:val="00A81B3B"/>
    <w:rsid w:val="00A81B84"/>
    <w:rsid w:val="00A83C62"/>
    <w:rsid w:val="00A84106"/>
    <w:rsid w:val="00A85B19"/>
    <w:rsid w:val="00A90396"/>
    <w:rsid w:val="00A90455"/>
    <w:rsid w:val="00A91977"/>
    <w:rsid w:val="00A91D84"/>
    <w:rsid w:val="00A92A2B"/>
    <w:rsid w:val="00A931A4"/>
    <w:rsid w:val="00A96121"/>
    <w:rsid w:val="00A966ED"/>
    <w:rsid w:val="00AA076F"/>
    <w:rsid w:val="00AA223D"/>
    <w:rsid w:val="00AA2E73"/>
    <w:rsid w:val="00AA40B1"/>
    <w:rsid w:val="00AA5D54"/>
    <w:rsid w:val="00AB4B3A"/>
    <w:rsid w:val="00AB508F"/>
    <w:rsid w:val="00AB76FE"/>
    <w:rsid w:val="00AC39A2"/>
    <w:rsid w:val="00AC3D2F"/>
    <w:rsid w:val="00AC7464"/>
    <w:rsid w:val="00AD08D0"/>
    <w:rsid w:val="00AD2CCA"/>
    <w:rsid w:val="00AD562B"/>
    <w:rsid w:val="00AD69E0"/>
    <w:rsid w:val="00AD6F40"/>
    <w:rsid w:val="00AE0358"/>
    <w:rsid w:val="00AE1484"/>
    <w:rsid w:val="00AE28FC"/>
    <w:rsid w:val="00AE4430"/>
    <w:rsid w:val="00AE4751"/>
    <w:rsid w:val="00AE7DF4"/>
    <w:rsid w:val="00AF06A6"/>
    <w:rsid w:val="00AF23D0"/>
    <w:rsid w:val="00AF37F8"/>
    <w:rsid w:val="00AF4253"/>
    <w:rsid w:val="00AF4BF3"/>
    <w:rsid w:val="00AF4C21"/>
    <w:rsid w:val="00AF66F8"/>
    <w:rsid w:val="00AF6E72"/>
    <w:rsid w:val="00B00C4B"/>
    <w:rsid w:val="00B066DB"/>
    <w:rsid w:val="00B12295"/>
    <w:rsid w:val="00B1605F"/>
    <w:rsid w:val="00B26DE9"/>
    <w:rsid w:val="00B278F8"/>
    <w:rsid w:val="00B279B6"/>
    <w:rsid w:val="00B30018"/>
    <w:rsid w:val="00B32575"/>
    <w:rsid w:val="00B332E8"/>
    <w:rsid w:val="00B34E30"/>
    <w:rsid w:val="00B36F4E"/>
    <w:rsid w:val="00B41D51"/>
    <w:rsid w:val="00B461FA"/>
    <w:rsid w:val="00B46B35"/>
    <w:rsid w:val="00B47AF8"/>
    <w:rsid w:val="00B5008F"/>
    <w:rsid w:val="00B508A9"/>
    <w:rsid w:val="00B52D93"/>
    <w:rsid w:val="00B53547"/>
    <w:rsid w:val="00B53BC6"/>
    <w:rsid w:val="00B54E70"/>
    <w:rsid w:val="00B55A28"/>
    <w:rsid w:val="00B564DB"/>
    <w:rsid w:val="00B61D29"/>
    <w:rsid w:val="00B66214"/>
    <w:rsid w:val="00B678DE"/>
    <w:rsid w:val="00B67DD8"/>
    <w:rsid w:val="00B72BA1"/>
    <w:rsid w:val="00B74DAC"/>
    <w:rsid w:val="00B75FD0"/>
    <w:rsid w:val="00B82724"/>
    <w:rsid w:val="00B84487"/>
    <w:rsid w:val="00B84F90"/>
    <w:rsid w:val="00B86B8A"/>
    <w:rsid w:val="00B928F8"/>
    <w:rsid w:val="00B94964"/>
    <w:rsid w:val="00B94F2E"/>
    <w:rsid w:val="00B95ACC"/>
    <w:rsid w:val="00B9637C"/>
    <w:rsid w:val="00B97B90"/>
    <w:rsid w:val="00B97E4B"/>
    <w:rsid w:val="00BA0948"/>
    <w:rsid w:val="00BA15D8"/>
    <w:rsid w:val="00BA2D0A"/>
    <w:rsid w:val="00BA32D4"/>
    <w:rsid w:val="00BA341D"/>
    <w:rsid w:val="00BA41BC"/>
    <w:rsid w:val="00BA4D29"/>
    <w:rsid w:val="00BA5291"/>
    <w:rsid w:val="00BA6807"/>
    <w:rsid w:val="00BA6FB0"/>
    <w:rsid w:val="00BA7422"/>
    <w:rsid w:val="00BB001D"/>
    <w:rsid w:val="00BB09E5"/>
    <w:rsid w:val="00BB1800"/>
    <w:rsid w:val="00BB37E9"/>
    <w:rsid w:val="00BB53BE"/>
    <w:rsid w:val="00BB745C"/>
    <w:rsid w:val="00BC31A4"/>
    <w:rsid w:val="00BC66B3"/>
    <w:rsid w:val="00BD0C83"/>
    <w:rsid w:val="00BD0F5D"/>
    <w:rsid w:val="00BD2DBB"/>
    <w:rsid w:val="00BD4051"/>
    <w:rsid w:val="00BE0E6B"/>
    <w:rsid w:val="00BE0E8A"/>
    <w:rsid w:val="00BE1D34"/>
    <w:rsid w:val="00BE1E36"/>
    <w:rsid w:val="00BE2D72"/>
    <w:rsid w:val="00BE38C8"/>
    <w:rsid w:val="00BE7205"/>
    <w:rsid w:val="00BF100B"/>
    <w:rsid w:val="00BF1853"/>
    <w:rsid w:val="00BF2730"/>
    <w:rsid w:val="00BF5C26"/>
    <w:rsid w:val="00BF600D"/>
    <w:rsid w:val="00BF6471"/>
    <w:rsid w:val="00BF6F7B"/>
    <w:rsid w:val="00BF74CE"/>
    <w:rsid w:val="00C00410"/>
    <w:rsid w:val="00C06857"/>
    <w:rsid w:val="00C12194"/>
    <w:rsid w:val="00C13662"/>
    <w:rsid w:val="00C15913"/>
    <w:rsid w:val="00C225C1"/>
    <w:rsid w:val="00C26D57"/>
    <w:rsid w:val="00C3027A"/>
    <w:rsid w:val="00C3183A"/>
    <w:rsid w:val="00C32F1E"/>
    <w:rsid w:val="00C341E0"/>
    <w:rsid w:val="00C34CF2"/>
    <w:rsid w:val="00C3751F"/>
    <w:rsid w:val="00C411AA"/>
    <w:rsid w:val="00C443C8"/>
    <w:rsid w:val="00C46670"/>
    <w:rsid w:val="00C51133"/>
    <w:rsid w:val="00C514B3"/>
    <w:rsid w:val="00C51932"/>
    <w:rsid w:val="00C52001"/>
    <w:rsid w:val="00C5562F"/>
    <w:rsid w:val="00C621CC"/>
    <w:rsid w:val="00C62BAC"/>
    <w:rsid w:val="00C63020"/>
    <w:rsid w:val="00C63D1A"/>
    <w:rsid w:val="00C744F0"/>
    <w:rsid w:val="00C75BFF"/>
    <w:rsid w:val="00C75C18"/>
    <w:rsid w:val="00C816F7"/>
    <w:rsid w:val="00C81DAE"/>
    <w:rsid w:val="00C8304E"/>
    <w:rsid w:val="00C847A1"/>
    <w:rsid w:val="00C869F9"/>
    <w:rsid w:val="00C92AFA"/>
    <w:rsid w:val="00C95956"/>
    <w:rsid w:val="00C95990"/>
    <w:rsid w:val="00CA4153"/>
    <w:rsid w:val="00CA5499"/>
    <w:rsid w:val="00CA5CDC"/>
    <w:rsid w:val="00CA73EA"/>
    <w:rsid w:val="00CA7DFA"/>
    <w:rsid w:val="00CB02FF"/>
    <w:rsid w:val="00CB1050"/>
    <w:rsid w:val="00CB219F"/>
    <w:rsid w:val="00CB22EA"/>
    <w:rsid w:val="00CB304A"/>
    <w:rsid w:val="00CB60A5"/>
    <w:rsid w:val="00CC0299"/>
    <w:rsid w:val="00CC0375"/>
    <w:rsid w:val="00CC197C"/>
    <w:rsid w:val="00CC2358"/>
    <w:rsid w:val="00CC2D16"/>
    <w:rsid w:val="00CC5A98"/>
    <w:rsid w:val="00CD09B5"/>
    <w:rsid w:val="00CD2C70"/>
    <w:rsid w:val="00CD6DDA"/>
    <w:rsid w:val="00CE1504"/>
    <w:rsid w:val="00CE1916"/>
    <w:rsid w:val="00CE3709"/>
    <w:rsid w:val="00CE3BCA"/>
    <w:rsid w:val="00CE480B"/>
    <w:rsid w:val="00CE4C48"/>
    <w:rsid w:val="00CE6067"/>
    <w:rsid w:val="00CF0BC4"/>
    <w:rsid w:val="00CF1AC8"/>
    <w:rsid w:val="00CF1BA9"/>
    <w:rsid w:val="00CF34BE"/>
    <w:rsid w:val="00CF599D"/>
    <w:rsid w:val="00CF7392"/>
    <w:rsid w:val="00CF769D"/>
    <w:rsid w:val="00D002F7"/>
    <w:rsid w:val="00D02A81"/>
    <w:rsid w:val="00D0489D"/>
    <w:rsid w:val="00D05C3C"/>
    <w:rsid w:val="00D10AAF"/>
    <w:rsid w:val="00D11754"/>
    <w:rsid w:val="00D1177A"/>
    <w:rsid w:val="00D13175"/>
    <w:rsid w:val="00D137B0"/>
    <w:rsid w:val="00D13CF7"/>
    <w:rsid w:val="00D1535E"/>
    <w:rsid w:val="00D1751D"/>
    <w:rsid w:val="00D217EB"/>
    <w:rsid w:val="00D22DB7"/>
    <w:rsid w:val="00D23A73"/>
    <w:rsid w:val="00D24882"/>
    <w:rsid w:val="00D24A34"/>
    <w:rsid w:val="00D26B62"/>
    <w:rsid w:val="00D279FC"/>
    <w:rsid w:val="00D27AFB"/>
    <w:rsid w:val="00D30A16"/>
    <w:rsid w:val="00D3130F"/>
    <w:rsid w:val="00D31A5B"/>
    <w:rsid w:val="00D3670F"/>
    <w:rsid w:val="00D371CD"/>
    <w:rsid w:val="00D4103B"/>
    <w:rsid w:val="00D425EE"/>
    <w:rsid w:val="00D4621B"/>
    <w:rsid w:val="00D46F89"/>
    <w:rsid w:val="00D47499"/>
    <w:rsid w:val="00D52732"/>
    <w:rsid w:val="00D531A6"/>
    <w:rsid w:val="00D5594F"/>
    <w:rsid w:val="00D617D9"/>
    <w:rsid w:val="00D62DE4"/>
    <w:rsid w:val="00D65903"/>
    <w:rsid w:val="00D65B95"/>
    <w:rsid w:val="00D67EE0"/>
    <w:rsid w:val="00D72700"/>
    <w:rsid w:val="00D73B6A"/>
    <w:rsid w:val="00D80AFA"/>
    <w:rsid w:val="00D929BB"/>
    <w:rsid w:val="00D939F1"/>
    <w:rsid w:val="00D93CAA"/>
    <w:rsid w:val="00D97D45"/>
    <w:rsid w:val="00DA3C5F"/>
    <w:rsid w:val="00DA60F7"/>
    <w:rsid w:val="00DB00A9"/>
    <w:rsid w:val="00DB425A"/>
    <w:rsid w:val="00DB63D2"/>
    <w:rsid w:val="00DC03F8"/>
    <w:rsid w:val="00DC05E6"/>
    <w:rsid w:val="00DC5230"/>
    <w:rsid w:val="00DC530C"/>
    <w:rsid w:val="00DC7140"/>
    <w:rsid w:val="00DD1ABC"/>
    <w:rsid w:val="00DD308D"/>
    <w:rsid w:val="00DD3C0B"/>
    <w:rsid w:val="00DD52F6"/>
    <w:rsid w:val="00DD772A"/>
    <w:rsid w:val="00DD7F4D"/>
    <w:rsid w:val="00DE2011"/>
    <w:rsid w:val="00DE3D78"/>
    <w:rsid w:val="00DF0D34"/>
    <w:rsid w:val="00DF64A3"/>
    <w:rsid w:val="00DF6F1A"/>
    <w:rsid w:val="00E00C43"/>
    <w:rsid w:val="00E04231"/>
    <w:rsid w:val="00E0481D"/>
    <w:rsid w:val="00E05BBA"/>
    <w:rsid w:val="00E07F6C"/>
    <w:rsid w:val="00E172D2"/>
    <w:rsid w:val="00E20067"/>
    <w:rsid w:val="00E21277"/>
    <w:rsid w:val="00E317C6"/>
    <w:rsid w:val="00E32EB0"/>
    <w:rsid w:val="00E33828"/>
    <w:rsid w:val="00E339C5"/>
    <w:rsid w:val="00E34161"/>
    <w:rsid w:val="00E3480B"/>
    <w:rsid w:val="00E36E32"/>
    <w:rsid w:val="00E36E64"/>
    <w:rsid w:val="00E37124"/>
    <w:rsid w:val="00E403AB"/>
    <w:rsid w:val="00E41D6A"/>
    <w:rsid w:val="00E41E39"/>
    <w:rsid w:val="00E4251D"/>
    <w:rsid w:val="00E44366"/>
    <w:rsid w:val="00E517B1"/>
    <w:rsid w:val="00E52392"/>
    <w:rsid w:val="00E5388A"/>
    <w:rsid w:val="00E53C15"/>
    <w:rsid w:val="00E5598F"/>
    <w:rsid w:val="00E5676E"/>
    <w:rsid w:val="00E607C3"/>
    <w:rsid w:val="00E610A4"/>
    <w:rsid w:val="00E615FD"/>
    <w:rsid w:val="00E63910"/>
    <w:rsid w:val="00E7198E"/>
    <w:rsid w:val="00E73F6E"/>
    <w:rsid w:val="00E740D1"/>
    <w:rsid w:val="00E74162"/>
    <w:rsid w:val="00E745A3"/>
    <w:rsid w:val="00E772E5"/>
    <w:rsid w:val="00E909DF"/>
    <w:rsid w:val="00E920BE"/>
    <w:rsid w:val="00E94B95"/>
    <w:rsid w:val="00E96267"/>
    <w:rsid w:val="00E96A60"/>
    <w:rsid w:val="00EA296D"/>
    <w:rsid w:val="00EA2DFB"/>
    <w:rsid w:val="00EA3614"/>
    <w:rsid w:val="00EA6B4D"/>
    <w:rsid w:val="00EB07E6"/>
    <w:rsid w:val="00EB22C5"/>
    <w:rsid w:val="00EC04EA"/>
    <w:rsid w:val="00EC063D"/>
    <w:rsid w:val="00EC160E"/>
    <w:rsid w:val="00EC1CE3"/>
    <w:rsid w:val="00EC261D"/>
    <w:rsid w:val="00EC2C5A"/>
    <w:rsid w:val="00EC2DA1"/>
    <w:rsid w:val="00EC4A73"/>
    <w:rsid w:val="00EC5B64"/>
    <w:rsid w:val="00EC673A"/>
    <w:rsid w:val="00ED04CC"/>
    <w:rsid w:val="00ED401D"/>
    <w:rsid w:val="00ED501C"/>
    <w:rsid w:val="00ED5AF3"/>
    <w:rsid w:val="00EE2D23"/>
    <w:rsid w:val="00EE3533"/>
    <w:rsid w:val="00EE45A8"/>
    <w:rsid w:val="00EE5009"/>
    <w:rsid w:val="00EE5F8F"/>
    <w:rsid w:val="00EE6865"/>
    <w:rsid w:val="00EF18EE"/>
    <w:rsid w:val="00EF1D54"/>
    <w:rsid w:val="00EF293B"/>
    <w:rsid w:val="00EF2AD1"/>
    <w:rsid w:val="00EF3029"/>
    <w:rsid w:val="00EF30C1"/>
    <w:rsid w:val="00EF3823"/>
    <w:rsid w:val="00EF4CBE"/>
    <w:rsid w:val="00EF62D8"/>
    <w:rsid w:val="00EF7F13"/>
    <w:rsid w:val="00F00A4A"/>
    <w:rsid w:val="00F043C4"/>
    <w:rsid w:val="00F059C7"/>
    <w:rsid w:val="00F07A29"/>
    <w:rsid w:val="00F15790"/>
    <w:rsid w:val="00F1750D"/>
    <w:rsid w:val="00F20294"/>
    <w:rsid w:val="00F20624"/>
    <w:rsid w:val="00F215B2"/>
    <w:rsid w:val="00F21A20"/>
    <w:rsid w:val="00F2244D"/>
    <w:rsid w:val="00F22F23"/>
    <w:rsid w:val="00F26681"/>
    <w:rsid w:val="00F26B5D"/>
    <w:rsid w:val="00F270FA"/>
    <w:rsid w:val="00F27B14"/>
    <w:rsid w:val="00F33F05"/>
    <w:rsid w:val="00F413DC"/>
    <w:rsid w:val="00F451CD"/>
    <w:rsid w:val="00F47E34"/>
    <w:rsid w:val="00F5257B"/>
    <w:rsid w:val="00F53D98"/>
    <w:rsid w:val="00F56632"/>
    <w:rsid w:val="00F62B1B"/>
    <w:rsid w:val="00F62C55"/>
    <w:rsid w:val="00F655A8"/>
    <w:rsid w:val="00F65A17"/>
    <w:rsid w:val="00F72317"/>
    <w:rsid w:val="00F72FC9"/>
    <w:rsid w:val="00F8262F"/>
    <w:rsid w:val="00F82B7F"/>
    <w:rsid w:val="00F848E6"/>
    <w:rsid w:val="00F87C08"/>
    <w:rsid w:val="00F93229"/>
    <w:rsid w:val="00F9475B"/>
    <w:rsid w:val="00F970F5"/>
    <w:rsid w:val="00FA3A34"/>
    <w:rsid w:val="00FB2610"/>
    <w:rsid w:val="00FB3532"/>
    <w:rsid w:val="00FB4AB7"/>
    <w:rsid w:val="00FB4F82"/>
    <w:rsid w:val="00FB524E"/>
    <w:rsid w:val="00FB7E65"/>
    <w:rsid w:val="00FC04EC"/>
    <w:rsid w:val="00FC142D"/>
    <w:rsid w:val="00FC2CE4"/>
    <w:rsid w:val="00FC4C03"/>
    <w:rsid w:val="00FC5F1F"/>
    <w:rsid w:val="00FD3A39"/>
    <w:rsid w:val="00FD4746"/>
    <w:rsid w:val="00FD5A90"/>
    <w:rsid w:val="00FD7062"/>
    <w:rsid w:val="00FE378D"/>
    <w:rsid w:val="00FE3D20"/>
    <w:rsid w:val="00FE4094"/>
    <w:rsid w:val="00FF098B"/>
    <w:rsid w:val="00FF220E"/>
    <w:rsid w:val="00FF3E3C"/>
    <w:rsid w:val="00FF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897569"/>
  <w15:docId w15:val="{31929276-0E69-40B9-8533-4EA20B7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tabs>
        <w:tab w:val="clear" w:pos="1134"/>
        <w:tab w:val="num" w:pos="360"/>
      </w:tabs>
      <w:ind w:left="0" w:firstLine="0"/>
    </w:pPr>
    <w:rPr>
      <w:szCs w:val="22"/>
    </w:rPr>
  </w:style>
  <w:style w:type="paragraph" w:customStyle="1" w:styleId="Bulleted">
    <w:name w:val="Bulleted"/>
    <w:semiHidden/>
    <w:rsid w:val="000F3413"/>
    <w:pPr>
      <w:numPr>
        <w:numId w:val="15"/>
      </w:numPr>
      <w:tabs>
        <w:tab w:val="clear" w:pos="851"/>
        <w:tab w:val="num" w:pos="360"/>
      </w:tabs>
      <w:spacing w:after="60" w:line="260" w:lineRule="exact"/>
      <w:ind w:left="0" w:firstLine="0"/>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aliases w:val="Dot pt"/>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aliases w:val="Dot pt Char"/>
    <w:link w:val="ListParagraph"/>
    <w:uiPriority w:val="34"/>
    <w:locked/>
    <w:rsid w:val="00BF1853"/>
    <w:rPr>
      <w:rFonts w:ascii="Arial" w:hAnsi="Arial"/>
      <w:sz w:val="24"/>
      <w:szCs w:val="24"/>
      <w:lang w:eastAsia="en-US"/>
    </w:rPr>
  </w:style>
  <w:style w:type="character" w:styleId="PlaceholderText">
    <w:name w:val="Placeholder Text"/>
    <w:basedOn w:val="DefaultParagraphFont"/>
    <w:uiPriority w:val="99"/>
    <w:semiHidden/>
    <w:rsid w:val="00D65B95"/>
    <w:rPr>
      <w:color w:val="808080"/>
    </w:rPr>
  </w:style>
  <w:style w:type="paragraph" w:styleId="NoSpacing">
    <w:name w:val="No Spacing"/>
    <w:uiPriority w:val="1"/>
    <w:qFormat/>
    <w:rsid w:val="00DA3C5F"/>
    <w:rPr>
      <w:rFonts w:ascii="Arial" w:eastAsia="Arial" w:hAnsi="Arial"/>
      <w:sz w:val="22"/>
      <w:szCs w:val="22"/>
      <w:lang w:eastAsia="en-US"/>
    </w:rPr>
  </w:style>
  <w:style w:type="paragraph" w:customStyle="1" w:styleId="legclearfix">
    <w:name w:val="legclearfix"/>
    <w:basedOn w:val="Normal"/>
    <w:rsid w:val="00E403AB"/>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E403AB"/>
  </w:style>
  <w:style w:type="paragraph" w:styleId="Revision">
    <w:name w:val="Revision"/>
    <w:hidden/>
    <w:uiPriority w:val="99"/>
    <w:semiHidden/>
    <w:rsid w:val="00826BD5"/>
    <w:rPr>
      <w:rFonts w:ascii="Arial" w:hAnsi="Arial"/>
      <w:sz w:val="24"/>
      <w:szCs w:val="24"/>
      <w:lang w:eastAsia="en-US"/>
    </w:rPr>
  </w:style>
  <w:style w:type="character" w:styleId="Hyperlink">
    <w:name w:val="Hyperlink"/>
    <w:basedOn w:val="DefaultParagraphFont"/>
    <w:unhideWhenUsed/>
    <w:rsid w:val="006A4C94"/>
    <w:rPr>
      <w:color w:val="0563C1" w:themeColor="hyperlink"/>
      <w:u w:val="single"/>
    </w:rPr>
  </w:style>
  <w:style w:type="paragraph" w:styleId="FootnoteText">
    <w:name w:val="footnote text"/>
    <w:basedOn w:val="Normal"/>
    <w:link w:val="FootnoteTextChar"/>
    <w:semiHidden/>
    <w:unhideWhenUsed/>
    <w:rsid w:val="006A4C94"/>
    <w:rPr>
      <w:sz w:val="20"/>
      <w:szCs w:val="20"/>
    </w:rPr>
  </w:style>
  <w:style w:type="character" w:customStyle="1" w:styleId="FootnoteTextChar">
    <w:name w:val="Footnote Text Char"/>
    <w:basedOn w:val="DefaultParagraphFont"/>
    <w:link w:val="FootnoteText"/>
    <w:semiHidden/>
    <w:rsid w:val="006A4C94"/>
    <w:rPr>
      <w:rFonts w:ascii="Arial" w:hAnsi="Arial"/>
      <w:lang w:eastAsia="en-US"/>
    </w:rPr>
  </w:style>
  <w:style w:type="character" w:styleId="FootnoteReference">
    <w:name w:val="footnote reference"/>
    <w:basedOn w:val="DefaultParagraphFont"/>
    <w:semiHidden/>
    <w:unhideWhenUsed/>
    <w:rsid w:val="006A4C94"/>
    <w:rPr>
      <w:vertAlign w:val="superscript"/>
    </w:rPr>
  </w:style>
  <w:style w:type="character" w:styleId="UnresolvedMention">
    <w:name w:val="Unresolved Mention"/>
    <w:basedOn w:val="DefaultParagraphFont"/>
    <w:uiPriority w:val="99"/>
    <w:semiHidden/>
    <w:unhideWhenUsed/>
    <w:rsid w:val="00402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19402">
      <w:bodyDiv w:val="1"/>
      <w:marLeft w:val="0"/>
      <w:marRight w:val="0"/>
      <w:marTop w:val="0"/>
      <w:marBottom w:val="0"/>
      <w:divBdr>
        <w:top w:val="none" w:sz="0" w:space="0" w:color="auto"/>
        <w:left w:val="none" w:sz="0" w:space="0" w:color="auto"/>
        <w:bottom w:val="none" w:sz="0" w:space="0" w:color="auto"/>
        <w:right w:val="none" w:sz="0" w:space="0" w:color="auto"/>
      </w:divBdr>
    </w:div>
    <w:div w:id="259873844">
      <w:bodyDiv w:val="1"/>
      <w:marLeft w:val="0"/>
      <w:marRight w:val="0"/>
      <w:marTop w:val="0"/>
      <w:marBottom w:val="0"/>
      <w:divBdr>
        <w:top w:val="none" w:sz="0" w:space="0" w:color="auto"/>
        <w:left w:val="none" w:sz="0" w:space="0" w:color="auto"/>
        <w:bottom w:val="none" w:sz="0" w:space="0" w:color="auto"/>
        <w:right w:val="none" w:sz="0" w:space="0" w:color="auto"/>
      </w:divBdr>
    </w:div>
    <w:div w:id="335308428">
      <w:bodyDiv w:val="1"/>
      <w:marLeft w:val="0"/>
      <w:marRight w:val="0"/>
      <w:marTop w:val="0"/>
      <w:marBottom w:val="0"/>
      <w:divBdr>
        <w:top w:val="none" w:sz="0" w:space="0" w:color="auto"/>
        <w:left w:val="none" w:sz="0" w:space="0" w:color="auto"/>
        <w:bottom w:val="none" w:sz="0" w:space="0" w:color="auto"/>
        <w:right w:val="none" w:sz="0" w:space="0" w:color="auto"/>
      </w:divBdr>
    </w:div>
    <w:div w:id="848176091">
      <w:bodyDiv w:val="1"/>
      <w:marLeft w:val="0"/>
      <w:marRight w:val="0"/>
      <w:marTop w:val="0"/>
      <w:marBottom w:val="0"/>
      <w:divBdr>
        <w:top w:val="none" w:sz="0" w:space="0" w:color="auto"/>
        <w:left w:val="none" w:sz="0" w:space="0" w:color="auto"/>
        <w:bottom w:val="none" w:sz="0" w:space="0" w:color="auto"/>
        <w:right w:val="none" w:sz="0" w:space="0" w:color="auto"/>
      </w:divBdr>
    </w:div>
    <w:div w:id="1172723531">
      <w:bodyDiv w:val="1"/>
      <w:marLeft w:val="0"/>
      <w:marRight w:val="0"/>
      <w:marTop w:val="0"/>
      <w:marBottom w:val="0"/>
      <w:divBdr>
        <w:top w:val="none" w:sz="0" w:space="0" w:color="auto"/>
        <w:left w:val="none" w:sz="0" w:space="0" w:color="auto"/>
        <w:bottom w:val="none" w:sz="0" w:space="0" w:color="auto"/>
        <w:right w:val="none" w:sz="0" w:space="0" w:color="auto"/>
      </w:divBdr>
    </w:div>
    <w:div w:id="1200968075">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480923329">
      <w:bodyDiv w:val="1"/>
      <w:marLeft w:val="0"/>
      <w:marRight w:val="0"/>
      <w:marTop w:val="0"/>
      <w:marBottom w:val="0"/>
      <w:divBdr>
        <w:top w:val="none" w:sz="0" w:space="0" w:color="auto"/>
        <w:left w:val="none" w:sz="0" w:space="0" w:color="auto"/>
        <w:bottom w:val="none" w:sz="0" w:space="0" w:color="auto"/>
        <w:right w:val="none" w:sz="0" w:space="0" w:color="auto"/>
      </w:divBdr>
    </w:div>
    <w:div w:id="1485970663">
      <w:bodyDiv w:val="1"/>
      <w:marLeft w:val="0"/>
      <w:marRight w:val="0"/>
      <w:marTop w:val="0"/>
      <w:marBottom w:val="0"/>
      <w:divBdr>
        <w:top w:val="none" w:sz="0" w:space="0" w:color="auto"/>
        <w:left w:val="none" w:sz="0" w:space="0" w:color="auto"/>
        <w:bottom w:val="none" w:sz="0" w:space="0" w:color="auto"/>
        <w:right w:val="none" w:sz="0" w:space="0" w:color="auto"/>
      </w:divBdr>
    </w:div>
    <w:div w:id="1556701698">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ja.Odinsen@rssb.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parkrail.org/Lists/Records/DispForm.aspx?ID=612" TargetMode="External"/><Relationship Id="rId1" Type="http://schemas.openxmlformats.org/officeDocument/2006/relationships/hyperlink" Target="https://www.sparkrail.org/Lists/Records/DispForm.aspx?ID=54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268A-96B1-4D79-9B30-F946F74ACF1D}">
  <ds:schemaRefs>
    <ds:schemaRef ds:uri="f5f58a65-2606-47be-a5f0-cc00fc74839b"/>
    <ds:schemaRef ds:uri="http://schemas.microsoft.com/office/2006/metadata/properties"/>
    <ds:schemaRef ds:uri="http://schemas.microsoft.com/sharepoint/v4"/>
    <ds:schemaRef ds:uri="http://purl.org/dc/terms/"/>
    <ds:schemaRef ds:uri="4486A3F1-5225-4438-9DE8-7B687B4D3D5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3.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427DA-243F-44BE-8789-C1ECB141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3</TotalTime>
  <Pages>11</Pages>
  <Words>3101</Words>
  <Characters>17913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Ben Altman</dc:creator>
  <cp:lastModifiedBy>Tanja Odinsen</cp:lastModifiedBy>
  <cp:revision>4</cp:revision>
  <cp:lastPrinted>2019-12-05T16:09:00Z</cp:lastPrinted>
  <dcterms:created xsi:type="dcterms:W3CDTF">2019-12-05T16:25:00Z</dcterms:created>
  <dcterms:modified xsi:type="dcterms:W3CDTF">2019-12-05T16:27:00Z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