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76A1" w14:textId="42ECF90B" w:rsidR="003A05B7" w:rsidRPr="003A05B7" w:rsidRDefault="00EA1677" w:rsidP="00911873">
      <w:pPr>
        <w:pStyle w:val="Norma"/>
      </w:pPr>
      <w:r w:rsidRPr="00EA1677">
        <w:t>Updating wastewater treatment pathways for the Seventh Carbon Budget</w:t>
      </w:r>
    </w:p>
    <w:p w14:paraId="1DA1E07F" w14:textId="77777777" w:rsidR="003A05B7" w:rsidRPr="003A05B7" w:rsidRDefault="003A05B7" w:rsidP="00911873">
      <w:pPr>
        <w:pStyle w:val="Norma"/>
      </w:pPr>
    </w:p>
    <w:p w14:paraId="662E3217" w14:textId="11CAC45E" w:rsidR="003A05B7" w:rsidRPr="003A05B7" w:rsidRDefault="003A05B7" w:rsidP="00911873">
      <w:pPr>
        <w:pStyle w:val="Norma"/>
        <w:rPr>
          <w:color w:val="FF0000"/>
        </w:rPr>
      </w:pPr>
      <w:r w:rsidRPr="003A05B7">
        <w:t xml:space="preserve">Tender Reference Number: </w:t>
      </w:r>
      <w:r w:rsidR="00C117E7" w:rsidRPr="00C117E7">
        <w:rPr>
          <w:color w:val="FF0000"/>
        </w:rPr>
        <w:t>BL-1223</w:t>
      </w:r>
    </w:p>
    <w:p w14:paraId="154480EA" w14:textId="77777777" w:rsidR="004E6806" w:rsidRDefault="004E6806" w:rsidP="00911873">
      <w:pPr>
        <w:pStyle w:val="BodyText"/>
      </w:pPr>
    </w:p>
    <w:p w14:paraId="00123B59" w14:textId="77777777" w:rsidR="004E6806" w:rsidRDefault="004E6806" w:rsidP="00911873">
      <w:pPr>
        <w:pStyle w:val="BodyText"/>
      </w:pPr>
    </w:p>
    <w:p w14:paraId="567B6A7F" w14:textId="77777777" w:rsidR="003C0907" w:rsidRDefault="003C0907" w:rsidP="00911873">
      <w:pPr>
        <w:pStyle w:val="BodyText"/>
      </w:pPr>
    </w:p>
    <w:p w14:paraId="57B16793" w14:textId="77777777" w:rsidR="003A05B7" w:rsidRDefault="003A05B7" w:rsidP="00911873">
      <w:pPr>
        <w:pStyle w:val="BodyText"/>
      </w:pPr>
    </w:p>
    <w:p w14:paraId="4BDF46EC" w14:textId="77777777" w:rsidR="003A05B7" w:rsidRDefault="003A05B7" w:rsidP="00911873">
      <w:pPr>
        <w:pStyle w:val="BodyText"/>
      </w:pPr>
    </w:p>
    <w:p w14:paraId="4FB0A160" w14:textId="77777777" w:rsidR="003A05B7" w:rsidRDefault="003A05B7" w:rsidP="00911873">
      <w:pPr>
        <w:pStyle w:val="BodyText"/>
      </w:pPr>
    </w:p>
    <w:p w14:paraId="462BD151" w14:textId="77777777" w:rsidR="003A05B7" w:rsidRDefault="003A05B7" w:rsidP="00911873">
      <w:pPr>
        <w:pStyle w:val="BodyText"/>
      </w:pPr>
    </w:p>
    <w:p w14:paraId="1A09EA6B" w14:textId="77777777" w:rsidR="003A05B7" w:rsidRDefault="003A05B7" w:rsidP="00911873">
      <w:pPr>
        <w:pStyle w:val="BodyText"/>
      </w:pPr>
    </w:p>
    <w:p w14:paraId="0972C41F" w14:textId="77777777" w:rsidR="003A05B7" w:rsidRDefault="003A05B7" w:rsidP="00911873">
      <w:pPr>
        <w:pStyle w:val="BodyText"/>
      </w:pPr>
    </w:p>
    <w:p w14:paraId="12DA840D" w14:textId="77777777" w:rsidR="003A05B7" w:rsidRDefault="003A05B7" w:rsidP="00911873">
      <w:pPr>
        <w:pStyle w:val="BodyText"/>
      </w:pPr>
    </w:p>
    <w:p w14:paraId="64088F55" w14:textId="77777777" w:rsidR="003A05B7" w:rsidRDefault="003A05B7" w:rsidP="00911873">
      <w:pPr>
        <w:pStyle w:val="BodyText"/>
      </w:pPr>
    </w:p>
    <w:p w14:paraId="376F9AF4" w14:textId="77777777" w:rsidR="003A05B7" w:rsidRDefault="003A05B7" w:rsidP="00911873">
      <w:pPr>
        <w:pStyle w:val="BodyText"/>
      </w:pPr>
    </w:p>
    <w:p w14:paraId="4F984BC5" w14:textId="77777777" w:rsidR="003A05B7" w:rsidRDefault="003A05B7" w:rsidP="00911873">
      <w:pPr>
        <w:pStyle w:val="BodyText"/>
      </w:pPr>
    </w:p>
    <w:p w14:paraId="209FA933" w14:textId="77777777" w:rsidR="003A05B7" w:rsidRDefault="003A05B7" w:rsidP="00911873">
      <w:pPr>
        <w:pStyle w:val="BodyText"/>
      </w:pPr>
    </w:p>
    <w:p w14:paraId="282ABAD5" w14:textId="77777777" w:rsidR="003A05B7" w:rsidRDefault="003A05B7" w:rsidP="00911873">
      <w:pPr>
        <w:pStyle w:val="BodyText"/>
      </w:pPr>
    </w:p>
    <w:p w14:paraId="0A4E44CA" w14:textId="77777777" w:rsidR="003A05B7" w:rsidRDefault="003A05B7" w:rsidP="00911873">
      <w:pPr>
        <w:pStyle w:val="BodyText"/>
      </w:pPr>
    </w:p>
    <w:p w14:paraId="77B1B0D4" w14:textId="77777777" w:rsidR="003A05B7" w:rsidRDefault="003A05B7" w:rsidP="00911873">
      <w:pPr>
        <w:pStyle w:val="BodyText"/>
      </w:pPr>
    </w:p>
    <w:p w14:paraId="76D99EBD" w14:textId="77777777" w:rsidR="003A05B7" w:rsidRDefault="003A05B7" w:rsidP="00911873">
      <w:pPr>
        <w:pStyle w:val="BodyText"/>
      </w:pPr>
    </w:p>
    <w:p w14:paraId="15AB9DE4" w14:textId="77777777" w:rsidR="003A05B7" w:rsidRDefault="003A05B7" w:rsidP="00911873">
      <w:pPr>
        <w:pStyle w:val="BodyText"/>
      </w:pPr>
    </w:p>
    <w:p w14:paraId="73D4F696" w14:textId="77777777" w:rsidR="003A05B7" w:rsidRDefault="003A05B7" w:rsidP="00911873">
      <w:pPr>
        <w:pStyle w:val="BodyText"/>
      </w:pPr>
    </w:p>
    <w:p w14:paraId="4C04D2A0" w14:textId="77777777" w:rsidR="003A05B7" w:rsidRDefault="003A05B7" w:rsidP="00911873">
      <w:pPr>
        <w:pStyle w:val="BodyText"/>
      </w:pPr>
    </w:p>
    <w:p w14:paraId="701120F5" w14:textId="77777777" w:rsidR="003A05B7" w:rsidRDefault="003A05B7" w:rsidP="00911873">
      <w:pPr>
        <w:pStyle w:val="BodyText"/>
      </w:pPr>
    </w:p>
    <w:p w14:paraId="5C2A593A" w14:textId="77777777" w:rsidR="003A05B7" w:rsidRDefault="003A05B7" w:rsidP="00911873">
      <w:pPr>
        <w:pStyle w:val="BodyText"/>
      </w:pPr>
    </w:p>
    <w:p w14:paraId="5FADFA95" w14:textId="77777777" w:rsidR="003A05B7" w:rsidRDefault="003A05B7" w:rsidP="00911873">
      <w:pPr>
        <w:pStyle w:val="BodyText"/>
      </w:pPr>
    </w:p>
    <w:p w14:paraId="30731147" w14:textId="77777777" w:rsidR="003A05B7" w:rsidRDefault="003A05B7" w:rsidP="00911873">
      <w:pPr>
        <w:pStyle w:val="BodyText"/>
      </w:pPr>
    </w:p>
    <w:p w14:paraId="496AA0E4" w14:textId="77777777" w:rsidR="003A05B7" w:rsidRDefault="003A05B7" w:rsidP="00911873">
      <w:pPr>
        <w:pStyle w:val="BodyText"/>
      </w:pPr>
    </w:p>
    <w:p w14:paraId="1AAB2B57" w14:textId="77777777" w:rsidR="003A05B7" w:rsidRDefault="003A05B7" w:rsidP="00911873">
      <w:pPr>
        <w:pStyle w:val="BodyText"/>
      </w:pPr>
    </w:p>
    <w:p w14:paraId="33AA5A49" w14:textId="77777777" w:rsidR="003A05B7" w:rsidRDefault="003A05B7" w:rsidP="00911873">
      <w:pPr>
        <w:pStyle w:val="BodyText"/>
      </w:pPr>
    </w:p>
    <w:p w14:paraId="29566668" w14:textId="77777777" w:rsidR="003A05B7" w:rsidRDefault="003A05B7" w:rsidP="00911873">
      <w:pPr>
        <w:pStyle w:val="BodyText"/>
      </w:pPr>
    </w:p>
    <w:p w14:paraId="72A36CFC" w14:textId="77777777" w:rsidR="003A05B7" w:rsidRDefault="003A05B7" w:rsidP="00911873">
      <w:pPr>
        <w:pStyle w:val="BodyText"/>
      </w:pPr>
    </w:p>
    <w:p w14:paraId="0298EB26" w14:textId="77777777" w:rsidR="003A05B7" w:rsidRDefault="003A05B7" w:rsidP="00911873">
      <w:pPr>
        <w:pStyle w:val="BodyText"/>
      </w:pPr>
    </w:p>
    <w:p w14:paraId="3F81BDFD" w14:textId="77777777" w:rsidR="003A05B7" w:rsidRDefault="003A05B7" w:rsidP="00911873">
      <w:pPr>
        <w:pStyle w:val="BodyText"/>
      </w:pPr>
    </w:p>
    <w:p w14:paraId="6F625AB1" w14:textId="77777777" w:rsidR="003A05B7" w:rsidRDefault="003A05B7" w:rsidP="00911873">
      <w:pPr>
        <w:pStyle w:val="BodyText"/>
      </w:pPr>
    </w:p>
    <w:p w14:paraId="2B3E2998" w14:textId="77777777" w:rsidR="003A05B7" w:rsidRDefault="003A05B7" w:rsidP="00911873">
      <w:pPr>
        <w:pStyle w:val="BodyText"/>
      </w:pPr>
    </w:p>
    <w:p w14:paraId="0ACE7846" w14:textId="77777777" w:rsidR="003A05B7" w:rsidRDefault="003A05B7" w:rsidP="00911873">
      <w:pPr>
        <w:pStyle w:val="BodyText"/>
      </w:pPr>
    </w:p>
    <w:p w14:paraId="2DE8D6EB" w14:textId="77777777" w:rsidR="003A05B7" w:rsidRDefault="003A05B7" w:rsidP="00911873">
      <w:pPr>
        <w:pStyle w:val="BodyText"/>
      </w:pPr>
    </w:p>
    <w:p w14:paraId="5889C5C5" w14:textId="77777777" w:rsidR="003A05B7" w:rsidRDefault="003A05B7" w:rsidP="00911873">
      <w:pPr>
        <w:pStyle w:val="BodyText"/>
      </w:pPr>
    </w:p>
    <w:p w14:paraId="3874EC96" w14:textId="77777777" w:rsidR="003A05B7" w:rsidRDefault="003A05B7" w:rsidP="00911873">
      <w:pPr>
        <w:pStyle w:val="BodyText"/>
      </w:pPr>
    </w:p>
    <w:p w14:paraId="78A4FE0C" w14:textId="77777777" w:rsidR="003A05B7" w:rsidRDefault="003A05B7" w:rsidP="00911873">
      <w:pPr>
        <w:pStyle w:val="BodyText"/>
      </w:pPr>
    </w:p>
    <w:p w14:paraId="6CB2FE1B" w14:textId="77777777" w:rsidR="003A05B7" w:rsidRDefault="003A05B7" w:rsidP="00911873">
      <w:pPr>
        <w:pStyle w:val="BodyText"/>
      </w:pPr>
    </w:p>
    <w:p w14:paraId="29CB3371" w14:textId="77777777" w:rsidR="003A05B7" w:rsidRDefault="003A05B7" w:rsidP="00911873">
      <w:pPr>
        <w:pStyle w:val="BodyText"/>
      </w:pPr>
    </w:p>
    <w:p w14:paraId="73814399" w14:textId="77777777" w:rsidR="003A05B7" w:rsidRDefault="003A05B7" w:rsidP="00911873">
      <w:pPr>
        <w:pStyle w:val="BodyText"/>
      </w:pPr>
    </w:p>
    <w:p w14:paraId="410B44B6" w14:textId="6BDBCF4A" w:rsidR="003A05B7" w:rsidRDefault="003A05B7" w:rsidP="00911873">
      <w:pPr>
        <w:pStyle w:val="BodyText"/>
      </w:pPr>
    </w:p>
    <w:p w14:paraId="6AAC43B7" w14:textId="77777777" w:rsidR="002C721C" w:rsidRDefault="002C721C" w:rsidP="00911873">
      <w:pPr>
        <w:pStyle w:val="BodyText"/>
      </w:pPr>
    </w:p>
    <w:p w14:paraId="6857C4F8" w14:textId="77777777" w:rsidR="003A05B7" w:rsidRDefault="003A05B7" w:rsidP="00911873">
      <w:pPr>
        <w:pStyle w:val="BodyText"/>
      </w:pPr>
    </w:p>
    <w:p w14:paraId="0A2C498B" w14:textId="77777777" w:rsidR="003A05B7" w:rsidRPr="003A05B7" w:rsidRDefault="003A05B7" w:rsidP="009E1308">
      <w:pPr>
        <w:pStyle w:val="Heading1"/>
      </w:pPr>
      <w:r w:rsidRPr="003A05B7">
        <w:lastRenderedPageBreak/>
        <w:t>Specification of Requirements</w:t>
      </w:r>
    </w:p>
    <w:p w14:paraId="18CC1ED6" w14:textId="77777777" w:rsidR="003A05B7" w:rsidRPr="0069254D" w:rsidRDefault="003A05B7" w:rsidP="00911873">
      <w:pPr>
        <w:pStyle w:val="Norma"/>
      </w:pPr>
    </w:p>
    <w:p w14:paraId="69C7AAEA" w14:textId="335FC62B" w:rsidR="003A05B7" w:rsidRPr="0069254D" w:rsidRDefault="003A05B7" w:rsidP="00911873">
      <w:pPr>
        <w:pStyle w:val="Norma"/>
      </w:pPr>
      <w:r w:rsidRPr="003A05B7">
        <w:t xml:space="preserve">Invitation to Tender for </w:t>
      </w:r>
      <w:r w:rsidR="008C4DC5" w:rsidRPr="0069254D">
        <w:t xml:space="preserve">analysis </w:t>
      </w:r>
      <w:r w:rsidR="0069254D" w:rsidRPr="0069254D">
        <w:t xml:space="preserve">to </w:t>
      </w:r>
      <w:r w:rsidR="00EA1677">
        <w:t>u</w:t>
      </w:r>
      <w:r w:rsidR="00EA1677" w:rsidRPr="00EA1677">
        <w:t>pdat</w:t>
      </w:r>
      <w:r w:rsidR="00EA1677">
        <w:t>e</w:t>
      </w:r>
      <w:r w:rsidR="00EA1677" w:rsidRPr="00EA1677">
        <w:t xml:space="preserve"> wastewater treatment pathways for the Seventh Carbon Budget</w:t>
      </w:r>
      <w:r w:rsidR="00A04416">
        <w:t>.</w:t>
      </w:r>
    </w:p>
    <w:p w14:paraId="623058B4" w14:textId="77777777" w:rsidR="008C4DC5" w:rsidRDefault="008C4DC5" w:rsidP="00911873">
      <w:pPr>
        <w:pStyle w:val="Norma"/>
      </w:pPr>
    </w:p>
    <w:p w14:paraId="2BF4D589" w14:textId="50979504" w:rsidR="003A05B7" w:rsidRPr="003A05B7" w:rsidRDefault="003A05B7" w:rsidP="00911873">
      <w:pPr>
        <w:pStyle w:val="Norma"/>
      </w:pPr>
      <w:r>
        <w:t xml:space="preserve">Tender Reference Number: </w:t>
      </w:r>
      <w:r w:rsidR="00F373A1" w:rsidRPr="00F373A1">
        <w:rPr>
          <w:color w:val="FF0000"/>
        </w:rPr>
        <w:t>BL-1223</w:t>
      </w:r>
    </w:p>
    <w:p w14:paraId="6AB0AC47" w14:textId="43981E75" w:rsidR="003A05B7" w:rsidRPr="003A05B7" w:rsidRDefault="003A05B7" w:rsidP="00911873">
      <w:pPr>
        <w:pStyle w:val="Norma"/>
      </w:pPr>
      <w:r w:rsidRPr="00A432F7">
        <w:t>Deadline for Tender Responses:</w:t>
      </w:r>
      <w:r w:rsidRPr="003A05B7">
        <w:t xml:space="preserve"> </w:t>
      </w:r>
      <w:r w:rsidR="00B56C66" w:rsidRPr="008227E7">
        <w:t>11</w:t>
      </w:r>
      <w:r w:rsidR="00A04416" w:rsidRPr="008227E7">
        <w:t xml:space="preserve"> January 2024</w:t>
      </w:r>
      <w:r w:rsidR="00A432F7" w:rsidRPr="008227E7">
        <w:t>.</w:t>
      </w:r>
    </w:p>
    <w:p w14:paraId="16CE12E3" w14:textId="77777777" w:rsidR="003A05B7" w:rsidRDefault="003A05B7" w:rsidP="00911873">
      <w:pPr>
        <w:pStyle w:val="BodyText"/>
      </w:pPr>
    </w:p>
    <w:p w14:paraId="7AB741F0" w14:textId="77777777" w:rsidR="003A05B7" w:rsidRDefault="003A05B7" w:rsidP="00911873">
      <w:pPr>
        <w:pStyle w:val="BodyText"/>
      </w:pPr>
    </w:p>
    <w:p w14:paraId="6335403F" w14:textId="77777777" w:rsidR="003A05B7" w:rsidRPr="003A05B7" w:rsidRDefault="003A05B7" w:rsidP="009E1308">
      <w:pPr>
        <w:pStyle w:val="Heading1"/>
      </w:pPr>
      <w:r w:rsidRPr="003A05B7">
        <w:t>Contents</w:t>
      </w:r>
    </w:p>
    <w:p w14:paraId="36A5EF3C" w14:textId="77777777" w:rsidR="003A05B7" w:rsidRPr="003A05B7" w:rsidRDefault="003A05B7" w:rsidP="00911873">
      <w:pPr>
        <w:pStyle w:val="Norma"/>
        <w:rPr>
          <w:lang w:val="en-US" w:eastAsia="ja-JP"/>
        </w:rPr>
      </w:pPr>
    </w:p>
    <w:p w14:paraId="16D79D87" w14:textId="234A27FE" w:rsidR="003A05B7" w:rsidRPr="00D0409E" w:rsidRDefault="003A05B7" w:rsidP="00D0409E">
      <w:pPr>
        <w:pStyle w:val="TOC1"/>
        <w:ind w:left="0" w:firstLine="720"/>
        <w:rPr>
          <w:rFonts w:asciiTheme="minorHAnsi" w:hAnsiTheme="minorHAnsi" w:cs="Arial"/>
          <w:noProof/>
          <w:sz w:val="20"/>
          <w:szCs w:val="20"/>
        </w:rPr>
      </w:pPr>
      <w:r w:rsidRPr="003A05B7">
        <w:rPr>
          <w:rFonts w:cs="Mangal"/>
          <w:color w:val="000000"/>
        </w:rPr>
        <w:fldChar w:fldCharType="begin"/>
      </w:r>
      <w:r w:rsidRPr="003A05B7">
        <w:rPr>
          <w:color w:val="000000"/>
        </w:rPr>
        <w:instrText xml:space="preserve"> TOC \b SectionTwo \* MERGEFORMAT </w:instrText>
      </w:r>
      <w:r w:rsidRPr="003A05B7">
        <w:rPr>
          <w:rFonts w:cs="Mangal"/>
          <w:color w:val="000000"/>
        </w:rPr>
        <w:fldChar w:fldCharType="separate"/>
      </w:r>
      <w:r w:rsidRPr="009E1308">
        <w:rPr>
          <w:rFonts w:asciiTheme="minorHAnsi" w:hAnsiTheme="minorHAnsi" w:cs="Arial"/>
          <w:noProof/>
          <w:sz w:val="20"/>
          <w:szCs w:val="20"/>
        </w:rPr>
        <w:t>1.</w:t>
      </w:r>
      <w:r w:rsidRPr="009E1308">
        <w:rPr>
          <w:rFonts w:asciiTheme="minorHAnsi" w:hAnsiTheme="minorHAnsi" w:cs="Arial"/>
          <w:noProof/>
          <w:sz w:val="20"/>
          <w:szCs w:val="20"/>
        </w:rPr>
        <w:tab/>
        <w:t>Introduction and summary of requirements / Preamble</w:t>
      </w:r>
    </w:p>
    <w:p w14:paraId="68C2F784" w14:textId="77777777" w:rsidR="003A05B7" w:rsidRPr="00D0409E" w:rsidRDefault="003A05B7" w:rsidP="00D0409E">
      <w:pPr>
        <w:pStyle w:val="TOC1"/>
        <w:ind w:left="0" w:firstLine="720"/>
        <w:rPr>
          <w:rFonts w:asciiTheme="minorHAnsi" w:hAnsiTheme="minorHAnsi" w:cs="Arial"/>
          <w:noProof/>
          <w:sz w:val="20"/>
          <w:szCs w:val="20"/>
        </w:rPr>
      </w:pPr>
      <w:r w:rsidRPr="00D0409E">
        <w:rPr>
          <w:rFonts w:asciiTheme="minorHAnsi" w:hAnsiTheme="minorHAnsi" w:cs="Arial"/>
          <w:noProof/>
          <w:sz w:val="20"/>
          <w:szCs w:val="20"/>
        </w:rPr>
        <w:t>2.</w:t>
      </w:r>
      <w:r w:rsidRPr="00D0409E">
        <w:rPr>
          <w:rFonts w:asciiTheme="minorHAnsi" w:hAnsiTheme="minorHAnsi" w:cs="Arial"/>
          <w:noProof/>
          <w:sz w:val="20"/>
          <w:szCs w:val="20"/>
        </w:rPr>
        <w:tab/>
        <w:t>Background</w:t>
      </w:r>
      <w:r w:rsidRPr="00D0409E">
        <w:rPr>
          <w:rFonts w:asciiTheme="minorHAnsi" w:hAnsiTheme="minorHAnsi" w:cs="Arial"/>
          <w:noProof/>
          <w:sz w:val="20"/>
          <w:szCs w:val="20"/>
        </w:rPr>
        <w:tab/>
      </w:r>
    </w:p>
    <w:p w14:paraId="1A9E7AFE" w14:textId="77777777" w:rsidR="003A05B7" w:rsidRPr="00D0409E" w:rsidRDefault="003A05B7" w:rsidP="00D0409E">
      <w:pPr>
        <w:pStyle w:val="TOC1"/>
        <w:ind w:left="0" w:firstLine="720"/>
        <w:rPr>
          <w:rFonts w:asciiTheme="minorHAnsi" w:hAnsiTheme="minorHAnsi" w:cs="Arial"/>
          <w:noProof/>
          <w:sz w:val="20"/>
          <w:szCs w:val="20"/>
        </w:rPr>
      </w:pPr>
      <w:r w:rsidRPr="00D0409E">
        <w:rPr>
          <w:rFonts w:asciiTheme="minorHAnsi" w:hAnsiTheme="minorHAnsi" w:cs="Arial"/>
          <w:noProof/>
          <w:sz w:val="20"/>
          <w:szCs w:val="20"/>
        </w:rPr>
        <w:t>3.</w:t>
      </w:r>
      <w:r w:rsidRPr="00D0409E">
        <w:rPr>
          <w:rFonts w:asciiTheme="minorHAnsi" w:hAnsiTheme="minorHAnsi" w:cs="Arial"/>
          <w:noProof/>
          <w:sz w:val="20"/>
          <w:szCs w:val="20"/>
        </w:rPr>
        <w:tab/>
        <w:t>Aims and Objectives</w:t>
      </w:r>
      <w:r w:rsidRPr="00D0409E">
        <w:rPr>
          <w:rFonts w:asciiTheme="minorHAnsi" w:hAnsiTheme="minorHAnsi" w:cs="Arial"/>
          <w:noProof/>
          <w:sz w:val="20"/>
          <w:szCs w:val="20"/>
        </w:rPr>
        <w:tab/>
      </w:r>
    </w:p>
    <w:p w14:paraId="4CE1154D" w14:textId="77777777" w:rsidR="003A05B7" w:rsidRPr="00D0409E" w:rsidRDefault="003A05B7" w:rsidP="00D0409E">
      <w:pPr>
        <w:pStyle w:val="TOC1"/>
        <w:ind w:left="0" w:firstLine="720"/>
        <w:rPr>
          <w:rFonts w:asciiTheme="minorHAnsi" w:hAnsiTheme="minorHAnsi" w:cs="Arial"/>
          <w:noProof/>
          <w:sz w:val="20"/>
          <w:szCs w:val="20"/>
        </w:rPr>
      </w:pPr>
      <w:r w:rsidRPr="00D0409E">
        <w:rPr>
          <w:rFonts w:asciiTheme="minorHAnsi" w:hAnsiTheme="minorHAnsi" w:cs="Arial"/>
          <w:noProof/>
          <w:sz w:val="20"/>
          <w:szCs w:val="20"/>
        </w:rPr>
        <w:t>4.</w:t>
      </w:r>
      <w:r w:rsidRPr="00D0409E">
        <w:rPr>
          <w:rFonts w:asciiTheme="minorHAnsi" w:hAnsiTheme="minorHAnsi" w:cs="Arial"/>
          <w:noProof/>
          <w:sz w:val="20"/>
          <w:szCs w:val="20"/>
        </w:rPr>
        <w:tab/>
        <w:t>Methodology</w:t>
      </w:r>
      <w:r w:rsidRPr="00D0409E">
        <w:rPr>
          <w:rFonts w:asciiTheme="minorHAnsi" w:hAnsiTheme="minorHAnsi" w:cs="Arial"/>
          <w:noProof/>
          <w:sz w:val="20"/>
          <w:szCs w:val="20"/>
        </w:rPr>
        <w:tab/>
      </w:r>
    </w:p>
    <w:p w14:paraId="71FAF932" w14:textId="77777777" w:rsidR="003A05B7" w:rsidRPr="00D0409E" w:rsidRDefault="003A05B7" w:rsidP="00D0409E">
      <w:pPr>
        <w:pStyle w:val="TOC1"/>
        <w:ind w:left="0" w:firstLine="720"/>
        <w:rPr>
          <w:rFonts w:asciiTheme="minorHAnsi" w:hAnsiTheme="minorHAnsi" w:cs="Arial"/>
          <w:noProof/>
          <w:sz w:val="20"/>
          <w:szCs w:val="20"/>
        </w:rPr>
      </w:pPr>
      <w:r w:rsidRPr="00D0409E">
        <w:rPr>
          <w:rFonts w:asciiTheme="minorHAnsi" w:hAnsiTheme="minorHAnsi" w:cs="Arial"/>
          <w:noProof/>
          <w:sz w:val="20"/>
          <w:szCs w:val="20"/>
        </w:rPr>
        <w:t>5.</w:t>
      </w:r>
      <w:r w:rsidRPr="00D0409E">
        <w:rPr>
          <w:rFonts w:asciiTheme="minorHAnsi" w:hAnsiTheme="minorHAnsi" w:cs="Arial"/>
          <w:noProof/>
          <w:sz w:val="20"/>
          <w:szCs w:val="20"/>
        </w:rPr>
        <w:tab/>
        <w:t>Outputs Required</w:t>
      </w:r>
      <w:r w:rsidRPr="00D0409E">
        <w:rPr>
          <w:rFonts w:asciiTheme="minorHAnsi" w:hAnsiTheme="minorHAnsi" w:cs="Arial"/>
          <w:noProof/>
          <w:sz w:val="20"/>
          <w:szCs w:val="20"/>
        </w:rPr>
        <w:tab/>
      </w:r>
    </w:p>
    <w:p w14:paraId="4436E548" w14:textId="77777777" w:rsidR="003A05B7" w:rsidRPr="00D0409E" w:rsidRDefault="003A05B7" w:rsidP="00D0409E">
      <w:pPr>
        <w:pStyle w:val="TOC1"/>
        <w:ind w:left="0" w:firstLine="720"/>
        <w:rPr>
          <w:rFonts w:asciiTheme="minorHAnsi" w:hAnsiTheme="minorHAnsi" w:cs="Arial"/>
          <w:noProof/>
          <w:sz w:val="20"/>
          <w:szCs w:val="20"/>
        </w:rPr>
      </w:pPr>
      <w:r w:rsidRPr="00D0409E">
        <w:rPr>
          <w:rFonts w:asciiTheme="minorHAnsi" w:hAnsiTheme="minorHAnsi" w:cs="Arial"/>
          <w:noProof/>
          <w:sz w:val="20"/>
          <w:szCs w:val="20"/>
        </w:rPr>
        <w:t>6.</w:t>
      </w:r>
      <w:r w:rsidRPr="00D0409E">
        <w:rPr>
          <w:rFonts w:asciiTheme="minorHAnsi" w:hAnsiTheme="minorHAnsi" w:cs="Arial"/>
          <w:noProof/>
          <w:sz w:val="20"/>
          <w:szCs w:val="20"/>
        </w:rPr>
        <w:tab/>
        <w:t>Ownership and Publication</w:t>
      </w:r>
      <w:r w:rsidRPr="00D0409E">
        <w:rPr>
          <w:rFonts w:asciiTheme="minorHAnsi" w:hAnsiTheme="minorHAnsi" w:cs="Arial"/>
          <w:noProof/>
          <w:sz w:val="20"/>
          <w:szCs w:val="20"/>
        </w:rPr>
        <w:tab/>
      </w:r>
    </w:p>
    <w:p w14:paraId="0906C736" w14:textId="77777777" w:rsidR="003A05B7" w:rsidRPr="00D0409E" w:rsidRDefault="003A05B7" w:rsidP="00D0409E">
      <w:pPr>
        <w:pStyle w:val="TOC1"/>
        <w:ind w:left="0" w:firstLine="720"/>
        <w:rPr>
          <w:rFonts w:asciiTheme="minorHAnsi" w:hAnsiTheme="minorHAnsi" w:cs="Arial"/>
          <w:noProof/>
          <w:sz w:val="20"/>
          <w:szCs w:val="20"/>
        </w:rPr>
      </w:pPr>
      <w:r w:rsidRPr="00D0409E">
        <w:rPr>
          <w:rFonts w:asciiTheme="minorHAnsi" w:hAnsiTheme="minorHAnsi" w:cs="Arial"/>
          <w:noProof/>
          <w:sz w:val="20"/>
          <w:szCs w:val="20"/>
        </w:rPr>
        <w:t>7.</w:t>
      </w:r>
      <w:r w:rsidRPr="00D0409E">
        <w:rPr>
          <w:rFonts w:asciiTheme="minorHAnsi" w:hAnsiTheme="minorHAnsi" w:cs="Arial"/>
          <w:noProof/>
          <w:sz w:val="20"/>
          <w:szCs w:val="20"/>
        </w:rPr>
        <w:tab/>
        <w:t>Quality Assurance</w:t>
      </w:r>
      <w:r w:rsidRPr="00D0409E">
        <w:rPr>
          <w:rFonts w:asciiTheme="minorHAnsi" w:hAnsiTheme="minorHAnsi" w:cs="Arial"/>
          <w:noProof/>
          <w:sz w:val="20"/>
          <w:szCs w:val="20"/>
        </w:rPr>
        <w:tab/>
      </w:r>
    </w:p>
    <w:p w14:paraId="6415241A" w14:textId="77777777" w:rsidR="003A05B7" w:rsidRPr="00D0409E" w:rsidRDefault="003A05B7" w:rsidP="00D0409E">
      <w:pPr>
        <w:pStyle w:val="TOC1"/>
        <w:ind w:left="0" w:firstLine="720"/>
        <w:rPr>
          <w:rFonts w:asciiTheme="minorHAnsi" w:hAnsiTheme="minorHAnsi" w:cs="Arial"/>
          <w:noProof/>
          <w:sz w:val="20"/>
          <w:szCs w:val="20"/>
        </w:rPr>
      </w:pPr>
      <w:r w:rsidRPr="00D0409E">
        <w:rPr>
          <w:rFonts w:asciiTheme="minorHAnsi" w:hAnsiTheme="minorHAnsi" w:cs="Arial"/>
          <w:noProof/>
          <w:sz w:val="20"/>
          <w:szCs w:val="20"/>
        </w:rPr>
        <w:t>8.</w:t>
      </w:r>
      <w:r w:rsidRPr="00D0409E">
        <w:rPr>
          <w:rFonts w:asciiTheme="minorHAnsi" w:hAnsiTheme="minorHAnsi" w:cs="Arial"/>
          <w:noProof/>
          <w:sz w:val="20"/>
          <w:szCs w:val="20"/>
        </w:rPr>
        <w:tab/>
        <w:t>Timetable</w:t>
      </w:r>
      <w:r w:rsidRPr="00D0409E">
        <w:rPr>
          <w:rFonts w:asciiTheme="minorHAnsi" w:hAnsiTheme="minorHAnsi" w:cs="Arial"/>
          <w:noProof/>
          <w:sz w:val="20"/>
          <w:szCs w:val="20"/>
        </w:rPr>
        <w:tab/>
      </w:r>
    </w:p>
    <w:p w14:paraId="1A16F036" w14:textId="77777777" w:rsidR="003A05B7" w:rsidRPr="00D0409E" w:rsidRDefault="003A05B7" w:rsidP="00D0409E">
      <w:pPr>
        <w:pStyle w:val="TOC1"/>
        <w:ind w:left="0" w:firstLine="720"/>
        <w:rPr>
          <w:rFonts w:asciiTheme="minorHAnsi" w:hAnsiTheme="minorHAnsi" w:cs="Arial"/>
          <w:noProof/>
          <w:sz w:val="20"/>
          <w:szCs w:val="20"/>
        </w:rPr>
      </w:pPr>
      <w:r w:rsidRPr="00D0409E">
        <w:rPr>
          <w:rFonts w:asciiTheme="minorHAnsi" w:hAnsiTheme="minorHAnsi" w:cs="Arial"/>
          <w:noProof/>
          <w:sz w:val="20"/>
          <w:szCs w:val="20"/>
        </w:rPr>
        <w:t>9.</w:t>
      </w:r>
      <w:r w:rsidRPr="00D0409E">
        <w:rPr>
          <w:rFonts w:asciiTheme="minorHAnsi" w:hAnsiTheme="minorHAnsi" w:cs="Arial"/>
          <w:noProof/>
          <w:sz w:val="20"/>
          <w:szCs w:val="20"/>
        </w:rPr>
        <w:tab/>
        <w:t>Challenges</w:t>
      </w:r>
      <w:r w:rsidRPr="00D0409E">
        <w:rPr>
          <w:rFonts w:asciiTheme="minorHAnsi" w:hAnsiTheme="minorHAnsi" w:cs="Arial"/>
          <w:noProof/>
          <w:sz w:val="20"/>
          <w:szCs w:val="20"/>
        </w:rPr>
        <w:tab/>
      </w:r>
    </w:p>
    <w:p w14:paraId="7D09F745" w14:textId="77777777" w:rsidR="003A05B7" w:rsidRPr="00D0409E" w:rsidRDefault="003A05B7" w:rsidP="00D0409E">
      <w:pPr>
        <w:pStyle w:val="TOC1"/>
        <w:ind w:left="0" w:firstLine="720"/>
        <w:rPr>
          <w:rFonts w:asciiTheme="minorHAnsi" w:hAnsiTheme="minorHAnsi" w:cs="Arial"/>
          <w:noProof/>
          <w:sz w:val="20"/>
          <w:szCs w:val="20"/>
        </w:rPr>
      </w:pPr>
      <w:r w:rsidRPr="00D0409E">
        <w:rPr>
          <w:rFonts w:asciiTheme="minorHAnsi" w:hAnsiTheme="minorHAnsi" w:cs="Arial"/>
          <w:noProof/>
          <w:sz w:val="20"/>
          <w:szCs w:val="20"/>
        </w:rPr>
        <w:t>10.</w:t>
      </w:r>
      <w:r w:rsidRPr="00D0409E">
        <w:rPr>
          <w:rFonts w:asciiTheme="minorHAnsi" w:hAnsiTheme="minorHAnsi" w:cs="Arial"/>
          <w:noProof/>
          <w:sz w:val="20"/>
          <w:szCs w:val="20"/>
        </w:rPr>
        <w:tab/>
        <w:t>Ethics</w:t>
      </w:r>
      <w:r w:rsidRPr="00D0409E">
        <w:rPr>
          <w:rFonts w:asciiTheme="minorHAnsi" w:hAnsiTheme="minorHAnsi" w:cs="Arial"/>
          <w:noProof/>
          <w:sz w:val="20"/>
          <w:szCs w:val="20"/>
        </w:rPr>
        <w:tab/>
      </w:r>
    </w:p>
    <w:p w14:paraId="025FFFFE" w14:textId="77777777" w:rsidR="003A05B7" w:rsidRPr="00D0409E" w:rsidRDefault="003A05B7" w:rsidP="00D0409E">
      <w:pPr>
        <w:pStyle w:val="TOC1"/>
        <w:ind w:left="0" w:firstLine="720"/>
        <w:rPr>
          <w:rFonts w:asciiTheme="minorHAnsi" w:hAnsiTheme="minorHAnsi" w:cs="Arial"/>
          <w:noProof/>
          <w:sz w:val="20"/>
          <w:szCs w:val="20"/>
        </w:rPr>
      </w:pPr>
      <w:r w:rsidRPr="00D0409E">
        <w:rPr>
          <w:rFonts w:asciiTheme="minorHAnsi" w:hAnsiTheme="minorHAnsi" w:cs="Arial"/>
          <w:noProof/>
          <w:sz w:val="20"/>
          <w:szCs w:val="20"/>
        </w:rPr>
        <w:t>11.</w:t>
      </w:r>
      <w:r w:rsidRPr="00D0409E">
        <w:rPr>
          <w:rFonts w:asciiTheme="minorHAnsi" w:hAnsiTheme="minorHAnsi" w:cs="Arial"/>
          <w:noProof/>
          <w:sz w:val="20"/>
          <w:szCs w:val="20"/>
        </w:rPr>
        <w:tab/>
        <w:t>Working Arrangements</w:t>
      </w:r>
      <w:r w:rsidRPr="00D0409E">
        <w:rPr>
          <w:rFonts w:asciiTheme="minorHAnsi" w:hAnsiTheme="minorHAnsi" w:cs="Arial"/>
          <w:noProof/>
          <w:sz w:val="20"/>
          <w:szCs w:val="20"/>
        </w:rPr>
        <w:tab/>
      </w:r>
    </w:p>
    <w:p w14:paraId="37EC525F" w14:textId="77777777" w:rsidR="003A05B7" w:rsidRPr="00D0409E" w:rsidRDefault="003A05B7" w:rsidP="00D0409E">
      <w:pPr>
        <w:pStyle w:val="TOC1"/>
        <w:ind w:left="0" w:firstLine="720"/>
        <w:rPr>
          <w:rFonts w:asciiTheme="minorHAnsi" w:hAnsiTheme="minorHAnsi" w:cs="Arial"/>
          <w:noProof/>
          <w:sz w:val="20"/>
          <w:szCs w:val="20"/>
        </w:rPr>
      </w:pPr>
      <w:r w:rsidRPr="00D0409E">
        <w:rPr>
          <w:rFonts w:asciiTheme="minorHAnsi" w:hAnsiTheme="minorHAnsi" w:cs="Arial"/>
          <w:noProof/>
          <w:sz w:val="20"/>
          <w:szCs w:val="20"/>
        </w:rPr>
        <w:t>12.</w:t>
      </w:r>
      <w:r w:rsidRPr="00D0409E">
        <w:rPr>
          <w:rFonts w:asciiTheme="minorHAnsi" w:hAnsiTheme="minorHAnsi" w:cs="Arial"/>
          <w:noProof/>
          <w:sz w:val="20"/>
          <w:szCs w:val="20"/>
        </w:rPr>
        <w:tab/>
        <w:t>Required Skills</w:t>
      </w:r>
      <w:r w:rsidRPr="00D0409E">
        <w:rPr>
          <w:rFonts w:asciiTheme="minorHAnsi" w:hAnsiTheme="minorHAnsi" w:cs="Arial"/>
          <w:noProof/>
          <w:sz w:val="20"/>
          <w:szCs w:val="20"/>
        </w:rPr>
        <w:tab/>
      </w:r>
    </w:p>
    <w:p w14:paraId="0020C89B" w14:textId="77777777" w:rsidR="003A05B7" w:rsidRPr="00D0409E" w:rsidRDefault="003A05B7" w:rsidP="00D0409E">
      <w:pPr>
        <w:pStyle w:val="TOC1"/>
        <w:ind w:left="0" w:firstLine="720"/>
        <w:rPr>
          <w:rFonts w:asciiTheme="minorHAnsi" w:hAnsiTheme="minorHAnsi" w:cs="Arial"/>
          <w:noProof/>
          <w:sz w:val="20"/>
          <w:szCs w:val="20"/>
        </w:rPr>
      </w:pPr>
      <w:r w:rsidRPr="00D0409E">
        <w:rPr>
          <w:rFonts w:asciiTheme="minorHAnsi" w:hAnsiTheme="minorHAnsi" w:cs="Arial"/>
          <w:noProof/>
          <w:sz w:val="20"/>
          <w:szCs w:val="20"/>
        </w:rPr>
        <w:t>13.</w:t>
      </w:r>
      <w:r w:rsidRPr="00D0409E">
        <w:rPr>
          <w:rFonts w:asciiTheme="minorHAnsi" w:hAnsiTheme="minorHAnsi" w:cs="Arial"/>
          <w:noProof/>
          <w:sz w:val="20"/>
          <w:szCs w:val="20"/>
        </w:rPr>
        <w:tab/>
        <w:t>Consortium Bids</w:t>
      </w:r>
      <w:r w:rsidRPr="00D0409E">
        <w:rPr>
          <w:rFonts w:asciiTheme="minorHAnsi" w:hAnsiTheme="minorHAnsi" w:cs="Arial"/>
          <w:noProof/>
          <w:sz w:val="20"/>
          <w:szCs w:val="20"/>
        </w:rPr>
        <w:tab/>
      </w:r>
    </w:p>
    <w:p w14:paraId="04BC8E5F" w14:textId="77777777" w:rsidR="003A05B7" w:rsidRPr="00D0409E" w:rsidRDefault="003A05B7" w:rsidP="00D0409E">
      <w:pPr>
        <w:pStyle w:val="TOC1"/>
        <w:ind w:left="0" w:firstLine="720"/>
        <w:rPr>
          <w:rFonts w:asciiTheme="minorHAnsi" w:hAnsiTheme="minorHAnsi" w:cs="Arial"/>
          <w:noProof/>
          <w:sz w:val="20"/>
          <w:szCs w:val="20"/>
        </w:rPr>
      </w:pPr>
      <w:r w:rsidRPr="00D0409E">
        <w:rPr>
          <w:rFonts w:asciiTheme="minorHAnsi" w:hAnsiTheme="minorHAnsi" w:cs="Arial"/>
          <w:noProof/>
          <w:sz w:val="20"/>
          <w:szCs w:val="20"/>
        </w:rPr>
        <w:t>14.</w:t>
      </w:r>
      <w:r w:rsidRPr="00D0409E">
        <w:rPr>
          <w:rFonts w:asciiTheme="minorHAnsi" w:hAnsiTheme="minorHAnsi" w:cs="Arial"/>
          <w:noProof/>
          <w:sz w:val="20"/>
          <w:szCs w:val="20"/>
        </w:rPr>
        <w:tab/>
        <w:t>Budget</w:t>
      </w:r>
      <w:r w:rsidRPr="00D0409E">
        <w:rPr>
          <w:rFonts w:asciiTheme="minorHAnsi" w:hAnsiTheme="minorHAnsi" w:cs="Arial"/>
          <w:noProof/>
          <w:sz w:val="20"/>
          <w:szCs w:val="20"/>
        </w:rPr>
        <w:tab/>
      </w:r>
    </w:p>
    <w:p w14:paraId="50AE7E7F" w14:textId="77777777" w:rsidR="003A05B7" w:rsidRPr="00D0409E" w:rsidRDefault="003A05B7" w:rsidP="00D0409E">
      <w:pPr>
        <w:pStyle w:val="TOC1"/>
        <w:ind w:left="0" w:firstLine="720"/>
        <w:rPr>
          <w:rFonts w:asciiTheme="minorHAnsi" w:hAnsiTheme="minorHAnsi" w:cs="Arial"/>
          <w:noProof/>
          <w:sz w:val="20"/>
          <w:szCs w:val="20"/>
        </w:rPr>
      </w:pPr>
      <w:r w:rsidRPr="00D0409E">
        <w:rPr>
          <w:rFonts w:asciiTheme="minorHAnsi" w:hAnsiTheme="minorHAnsi" w:cs="Arial"/>
          <w:noProof/>
          <w:sz w:val="20"/>
          <w:szCs w:val="20"/>
        </w:rPr>
        <w:t>15.</w:t>
      </w:r>
      <w:r w:rsidRPr="00D0409E">
        <w:rPr>
          <w:rFonts w:asciiTheme="minorHAnsi" w:hAnsiTheme="minorHAnsi" w:cs="Arial"/>
          <w:noProof/>
          <w:sz w:val="20"/>
          <w:szCs w:val="20"/>
        </w:rPr>
        <w:tab/>
        <w:t>Evaluation of Tenders</w:t>
      </w:r>
      <w:r w:rsidRPr="00D0409E">
        <w:rPr>
          <w:rFonts w:asciiTheme="minorHAnsi" w:hAnsiTheme="minorHAnsi" w:cs="Arial"/>
          <w:noProof/>
          <w:sz w:val="20"/>
          <w:szCs w:val="20"/>
        </w:rPr>
        <w:tab/>
      </w:r>
    </w:p>
    <w:p w14:paraId="5137A7E3" w14:textId="77777777" w:rsidR="003A05B7" w:rsidRDefault="003A05B7" w:rsidP="00911873">
      <w:pPr>
        <w:pStyle w:val="BodyText"/>
      </w:pPr>
      <w:r w:rsidRPr="003A05B7">
        <w:fldChar w:fldCharType="end"/>
      </w:r>
    </w:p>
    <w:p w14:paraId="5F3089AD" w14:textId="77777777" w:rsidR="003A05B7" w:rsidRDefault="003A05B7" w:rsidP="00911873">
      <w:pPr>
        <w:pStyle w:val="BodyText"/>
      </w:pPr>
    </w:p>
    <w:p w14:paraId="641EA65C" w14:textId="77777777" w:rsidR="003A05B7" w:rsidRDefault="003A05B7" w:rsidP="00911873">
      <w:pPr>
        <w:pStyle w:val="BodyText"/>
      </w:pPr>
    </w:p>
    <w:p w14:paraId="06E10293" w14:textId="77777777" w:rsidR="003A05B7" w:rsidRDefault="003A05B7" w:rsidP="00911873">
      <w:pPr>
        <w:pStyle w:val="BodyText"/>
      </w:pPr>
    </w:p>
    <w:p w14:paraId="012C6B24" w14:textId="77777777" w:rsidR="003A05B7" w:rsidRDefault="003A05B7" w:rsidP="00911873">
      <w:pPr>
        <w:pStyle w:val="BodyText"/>
      </w:pPr>
    </w:p>
    <w:p w14:paraId="2016FE3A" w14:textId="77777777" w:rsidR="003A05B7" w:rsidRDefault="003A05B7" w:rsidP="00911873">
      <w:pPr>
        <w:pStyle w:val="BodyText"/>
      </w:pPr>
    </w:p>
    <w:p w14:paraId="2D23A8C0" w14:textId="77777777" w:rsidR="003A05B7" w:rsidRDefault="003A05B7" w:rsidP="00911873">
      <w:pPr>
        <w:pStyle w:val="BodyText"/>
      </w:pPr>
    </w:p>
    <w:p w14:paraId="4C0D9D23" w14:textId="77777777" w:rsidR="003A05B7" w:rsidRDefault="003A05B7" w:rsidP="00911873">
      <w:pPr>
        <w:pStyle w:val="BodyText"/>
      </w:pPr>
    </w:p>
    <w:p w14:paraId="41521F92" w14:textId="77777777" w:rsidR="003A05B7" w:rsidRDefault="003A05B7" w:rsidP="00911873">
      <w:pPr>
        <w:pStyle w:val="BodyText"/>
      </w:pPr>
    </w:p>
    <w:p w14:paraId="0691E9BA" w14:textId="77777777" w:rsidR="003A05B7" w:rsidRDefault="003A05B7" w:rsidP="00911873">
      <w:pPr>
        <w:pStyle w:val="BodyText"/>
      </w:pPr>
    </w:p>
    <w:p w14:paraId="26C03533" w14:textId="77777777" w:rsidR="003A05B7" w:rsidRDefault="003A05B7" w:rsidP="00911873">
      <w:pPr>
        <w:pStyle w:val="BodyText"/>
      </w:pPr>
    </w:p>
    <w:p w14:paraId="36C5BAF2" w14:textId="77777777" w:rsidR="003A05B7" w:rsidRDefault="003A05B7" w:rsidP="00911873">
      <w:pPr>
        <w:pStyle w:val="BodyText"/>
      </w:pPr>
    </w:p>
    <w:p w14:paraId="5AA1B273" w14:textId="77777777" w:rsidR="003A05B7" w:rsidRDefault="003A05B7" w:rsidP="00911873">
      <w:pPr>
        <w:pStyle w:val="BodyText"/>
      </w:pPr>
    </w:p>
    <w:p w14:paraId="0847CC22" w14:textId="77777777" w:rsidR="003A05B7" w:rsidRDefault="003A05B7" w:rsidP="00911873">
      <w:pPr>
        <w:pStyle w:val="BodyText"/>
      </w:pPr>
    </w:p>
    <w:p w14:paraId="456EEC79" w14:textId="77777777" w:rsidR="003A05B7" w:rsidRDefault="003A05B7" w:rsidP="00911873">
      <w:pPr>
        <w:pStyle w:val="BodyText"/>
      </w:pPr>
    </w:p>
    <w:p w14:paraId="4B72B9AB" w14:textId="77777777" w:rsidR="003A05B7" w:rsidRDefault="003A05B7" w:rsidP="00911873">
      <w:pPr>
        <w:pStyle w:val="BodyText"/>
      </w:pPr>
    </w:p>
    <w:p w14:paraId="0B49BB8D" w14:textId="77777777" w:rsidR="003A05B7" w:rsidRDefault="003A05B7" w:rsidP="00911873">
      <w:pPr>
        <w:pStyle w:val="BodyText"/>
      </w:pPr>
    </w:p>
    <w:p w14:paraId="26ACCF50" w14:textId="77777777" w:rsidR="003A05B7" w:rsidRDefault="003A05B7" w:rsidP="00911873">
      <w:pPr>
        <w:pStyle w:val="BodyText"/>
      </w:pPr>
    </w:p>
    <w:p w14:paraId="4E9A07A7" w14:textId="77777777" w:rsidR="003A05B7" w:rsidRDefault="003A05B7" w:rsidP="00911873">
      <w:pPr>
        <w:pStyle w:val="BodyText"/>
      </w:pPr>
    </w:p>
    <w:p w14:paraId="06247879" w14:textId="77777777" w:rsidR="003A05B7" w:rsidRDefault="003A05B7" w:rsidP="00911873">
      <w:pPr>
        <w:pStyle w:val="BodyText"/>
      </w:pPr>
    </w:p>
    <w:p w14:paraId="402E7586" w14:textId="77777777" w:rsidR="003A05B7" w:rsidRDefault="003A05B7" w:rsidP="00911873">
      <w:pPr>
        <w:pStyle w:val="BodyText"/>
      </w:pPr>
    </w:p>
    <w:p w14:paraId="515F7F07" w14:textId="77777777" w:rsidR="003A05B7" w:rsidRDefault="003A05B7" w:rsidP="00911873">
      <w:pPr>
        <w:pStyle w:val="BodyText"/>
      </w:pPr>
    </w:p>
    <w:p w14:paraId="57991837" w14:textId="77777777" w:rsidR="003A05B7" w:rsidRDefault="003A05B7" w:rsidP="00911873">
      <w:pPr>
        <w:pStyle w:val="BodyText"/>
      </w:pPr>
    </w:p>
    <w:p w14:paraId="2742ECAB" w14:textId="77777777" w:rsidR="003A05B7" w:rsidRDefault="003A05B7" w:rsidP="00911873">
      <w:pPr>
        <w:pStyle w:val="BodyText"/>
      </w:pPr>
    </w:p>
    <w:p w14:paraId="4D7E2B2C" w14:textId="77777777" w:rsidR="003A05B7" w:rsidRDefault="003A05B7" w:rsidP="00911873">
      <w:pPr>
        <w:pStyle w:val="BodyText"/>
      </w:pPr>
    </w:p>
    <w:p w14:paraId="7C4B02A9" w14:textId="77777777" w:rsidR="003A05B7" w:rsidRDefault="003A05B7" w:rsidP="00911873">
      <w:pPr>
        <w:pStyle w:val="BodyText"/>
      </w:pPr>
    </w:p>
    <w:p w14:paraId="64B1F8C4" w14:textId="77777777" w:rsidR="003A05B7" w:rsidRDefault="003A05B7" w:rsidP="00911873">
      <w:pPr>
        <w:pStyle w:val="BodyText"/>
      </w:pPr>
    </w:p>
    <w:p w14:paraId="1AA15C49" w14:textId="77777777" w:rsidR="003A05B7" w:rsidRDefault="003A05B7" w:rsidP="00911873">
      <w:pPr>
        <w:pStyle w:val="BodyText"/>
      </w:pPr>
    </w:p>
    <w:p w14:paraId="3B5E1145" w14:textId="77777777" w:rsidR="003A05B7" w:rsidRDefault="003A05B7" w:rsidP="00911873">
      <w:pPr>
        <w:pStyle w:val="BodyText"/>
      </w:pPr>
    </w:p>
    <w:p w14:paraId="22C9591D" w14:textId="77493978" w:rsidR="003A05B7" w:rsidRPr="00A93704" w:rsidRDefault="003A05B7" w:rsidP="00857AD6">
      <w:pPr>
        <w:pStyle w:val="Heading1"/>
        <w:numPr>
          <w:ilvl w:val="0"/>
          <w:numId w:val="1"/>
        </w:numPr>
      </w:pPr>
      <w:bookmarkStart w:id="0" w:name="_Ref357535594"/>
      <w:bookmarkStart w:id="1" w:name="_Ref373505096"/>
      <w:bookmarkStart w:id="2" w:name="_Toc381969506"/>
      <w:bookmarkStart w:id="3" w:name="_Toc405888455"/>
      <w:r w:rsidRPr="005359A7">
        <w:lastRenderedPageBreak/>
        <w:t>Introduction</w:t>
      </w:r>
      <w:bookmarkEnd w:id="0"/>
      <w:r w:rsidRPr="005359A7">
        <w:t xml:space="preserve"> and summary of requirements</w:t>
      </w:r>
      <w:bookmarkEnd w:id="1"/>
      <w:bookmarkEnd w:id="2"/>
      <w:bookmarkEnd w:id="3"/>
      <w:r w:rsidRPr="005359A7">
        <w:t xml:space="preserve"> / Preamble</w:t>
      </w:r>
    </w:p>
    <w:p w14:paraId="51ED9EA5" w14:textId="77777777" w:rsidR="00965173" w:rsidRDefault="00965173" w:rsidP="009D046A">
      <w:pPr>
        <w:rPr>
          <w:rFonts w:eastAsiaTheme="minorHAnsi"/>
        </w:rPr>
      </w:pPr>
      <w:r w:rsidRPr="00DA5892">
        <w:rPr>
          <w:rFonts w:eastAsiaTheme="minorHAnsi"/>
        </w:rPr>
        <w:t>The Climate Change Committee (CCC) is an independent, statutory body established under the Climate Change Act 2008. Our purpose is to advise the UK and devolved governments on emissions targets and to report to Parliament on progress made in reducing greenhouse gas emissions and preparing for and adapting to the impacts of climate change.</w:t>
      </w:r>
    </w:p>
    <w:p w14:paraId="3F0FC869" w14:textId="77777777" w:rsidR="009D046A" w:rsidRPr="00DA5892" w:rsidRDefault="009D046A" w:rsidP="009D046A">
      <w:pPr>
        <w:rPr>
          <w:rFonts w:eastAsiaTheme="minorHAnsi"/>
        </w:rPr>
      </w:pPr>
    </w:p>
    <w:p w14:paraId="35010D78" w14:textId="34CAD2C4" w:rsidR="009D046A" w:rsidRDefault="009D046A" w:rsidP="009D046A">
      <w:pPr>
        <w:rPr>
          <w:rFonts w:ascii="Century Gothic" w:hAnsi="Century Gothic"/>
        </w:rPr>
      </w:pPr>
      <w:r>
        <w:rPr>
          <w:rFonts w:ascii="Century Gothic" w:hAnsi="Century Gothic"/>
        </w:rPr>
        <w:t xml:space="preserve">Part of the CCC’s role is to advise the Government </w:t>
      </w:r>
      <w:r w:rsidRPr="00BC6FE9">
        <w:rPr>
          <w:rFonts w:ascii="Century Gothic" w:hAnsi="Century Gothic"/>
        </w:rPr>
        <w:t xml:space="preserve">on the appropriate level </w:t>
      </w:r>
      <w:r>
        <w:rPr>
          <w:rFonts w:ascii="Century Gothic" w:hAnsi="Century Gothic"/>
        </w:rPr>
        <w:t>for</w:t>
      </w:r>
      <w:r w:rsidRPr="00BC6FE9">
        <w:rPr>
          <w:rFonts w:ascii="Century Gothic" w:hAnsi="Century Gothic"/>
        </w:rPr>
        <w:t xml:space="preserve"> </w:t>
      </w:r>
      <w:r>
        <w:rPr>
          <w:rFonts w:ascii="Century Gothic" w:hAnsi="Century Gothic"/>
        </w:rPr>
        <w:t xml:space="preserve">each </w:t>
      </w:r>
      <w:r w:rsidRPr="00BC6FE9">
        <w:rPr>
          <w:rFonts w:ascii="Century Gothic" w:hAnsi="Century Gothic"/>
        </w:rPr>
        <w:t>carbon budget</w:t>
      </w:r>
      <w:r>
        <w:rPr>
          <w:rFonts w:ascii="Century Gothic" w:hAnsi="Century Gothic"/>
        </w:rPr>
        <w:t xml:space="preserve"> – </w:t>
      </w:r>
      <w:r w:rsidRPr="00BC6FE9">
        <w:rPr>
          <w:rFonts w:ascii="Century Gothic" w:hAnsi="Century Gothic"/>
        </w:rPr>
        <w:t>a cap on the amount of greenhouse gases emitted in the UK over a five-year period.</w:t>
      </w:r>
      <w:r>
        <w:rPr>
          <w:rFonts w:ascii="Century Gothic" w:hAnsi="Century Gothic"/>
        </w:rPr>
        <w:t xml:space="preserve"> </w:t>
      </w:r>
      <w:r w:rsidRPr="00094709">
        <w:rPr>
          <w:rFonts w:ascii="Century Gothic" w:hAnsi="Century Gothic"/>
        </w:rPr>
        <w:t xml:space="preserve">The budgets describe the cost-effective pathway to achieving the UK’s long-term climate change objectives. They take account </w:t>
      </w:r>
      <w:r>
        <w:rPr>
          <w:rFonts w:ascii="Century Gothic" w:hAnsi="Century Gothic"/>
        </w:rPr>
        <w:t xml:space="preserve">of economic, social and technological </w:t>
      </w:r>
      <w:r w:rsidRPr="00094709">
        <w:rPr>
          <w:rFonts w:ascii="Century Gothic" w:hAnsi="Century Gothic"/>
        </w:rPr>
        <w:t>factors.</w:t>
      </w:r>
    </w:p>
    <w:p w14:paraId="5B09C99C" w14:textId="77777777" w:rsidR="009C57AE" w:rsidRDefault="009C57AE" w:rsidP="009D046A">
      <w:pPr>
        <w:rPr>
          <w:rFonts w:ascii="Century Gothic" w:hAnsi="Century Gothic"/>
        </w:rPr>
      </w:pPr>
    </w:p>
    <w:p w14:paraId="33FBE3C9" w14:textId="339FA1B1" w:rsidR="002014B5" w:rsidRDefault="009D046A" w:rsidP="000A7DEE">
      <w:pPr>
        <w:rPr>
          <w:rFonts w:ascii="Century Gothic" w:hAnsi="Century Gothic"/>
        </w:rPr>
      </w:pPr>
      <w:r w:rsidRPr="00B56C66">
        <w:rPr>
          <w:rFonts w:ascii="Century Gothic" w:hAnsi="Century Gothic"/>
        </w:rPr>
        <w:t xml:space="preserve">We </w:t>
      </w:r>
      <w:r w:rsidR="009C57AE" w:rsidRPr="00B56C66">
        <w:rPr>
          <w:rFonts w:ascii="Century Gothic" w:hAnsi="Century Gothic"/>
        </w:rPr>
        <w:t xml:space="preserve">have recently commenced </w:t>
      </w:r>
      <w:r w:rsidRPr="00B56C66">
        <w:rPr>
          <w:rFonts w:ascii="Century Gothic" w:hAnsi="Century Gothic"/>
        </w:rPr>
        <w:t xml:space="preserve">our work programme for </w:t>
      </w:r>
      <w:r w:rsidR="00E602BE" w:rsidRPr="00B56C66">
        <w:rPr>
          <w:rFonts w:ascii="Century Gothic" w:hAnsi="Century Gothic"/>
        </w:rPr>
        <w:t xml:space="preserve">developing our advice on an appropriate level for </w:t>
      </w:r>
      <w:r w:rsidRPr="00B56C66">
        <w:rPr>
          <w:rFonts w:ascii="Century Gothic" w:hAnsi="Century Gothic"/>
        </w:rPr>
        <w:t>the Seventh Carbon Budget (the period from 2038-2042).</w:t>
      </w:r>
      <w:r w:rsidR="000A7DEE" w:rsidRPr="00B56C66">
        <w:rPr>
          <w:rStyle w:val="FootnoteReference"/>
          <w:rFonts w:ascii="Century Gothic" w:hAnsi="Century Gothic"/>
        </w:rPr>
        <w:footnoteReference w:id="2"/>
      </w:r>
      <w:r w:rsidR="000A7DEE" w:rsidRPr="00B56C66">
        <w:rPr>
          <w:rFonts w:ascii="Century Gothic" w:hAnsi="Century Gothic"/>
        </w:rPr>
        <w:t xml:space="preserve"> </w:t>
      </w:r>
      <w:r w:rsidRPr="00B56C66">
        <w:rPr>
          <w:rFonts w:ascii="Century Gothic" w:hAnsi="Century Gothic"/>
        </w:rPr>
        <w:t xml:space="preserve">As part of this we would like to </w:t>
      </w:r>
      <w:r w:rsidR="00B72DF6" w:rsidRPr="00B56C66">
        <w:rPr>
          <w:rFonts w:ascii="Century Gothic" w:hAnsi="Century Gothic"/>
        </w:rPr>
        <w:t>update our pathways for wastewater treatment, including emissions</w:t>
      </w:r>
      <w:r w:rsidR="00B56C66">
        <w:rPr>
          <w:rFonts w:ascii="Century Gothic" w:hAnsi="Century Gothic"/>
        </w:rPr>
        <w:t xml:space="preserve">, </w:t>
      </w:r>
      <w:r w:rsidR="00B56C66" w:rsidRPr="00B56C66">
        <w:rPr>
          <w:rFonts w:ascii="Century Gothic" w:hAnsi="Century Gothic"/>
        </w:rPr>
        <w:t>abatement options</w:t>
      </w:r>
      <w:r w:rsidR="00B56C66">
        <w:rPr>
          <w:rFonts w:ascii="Century Gothic" w:hAnsi="Century Gothic"/>
        </w:rPr>
        <w:t xml:space="preserve"> </w:t>
      </w:r>
      <w:r w:rsidR="00B72DF6" w:rsidRPr="00B56C66">
        <w:rPr>
          <w:rFonts w:ascii="Century Gothic" w:hAnsi="Century Gothic"/>
        </w:rPr>
        <w:t>and costs.</w:t>
      </w:r>
    </w:p>
    <w:p w14:paraId="489D4427" w14:textId="78588495" w:rsidR="003A05B7" w:rsidRPr="005359A7" w:rsidRDefault="003A05B7" w:rsidP="00857AD6">
      <w:pPr>
        <w:pStyle w:val="Heading1"/>
        <w:numPr>
          <w:ilvl w:val="0"/>
          <w:numId w:val="1"/>
        </w:numPr>
      </w:pPr>
      <w:bookmarkStart w:id="4" w:name="_Ref357535668"/>
      <w:bookmarkStart w:id="5" w:name="_Toc381969507"/>
      <w:bookmarkStart w:id="6" w:name="_Toc405888456"/>
      <w:r w:rsidRPr="005359A7">
        <w:t>Background</w:t>
      </w:r>
      <w:bookmarkEnd w:id="4"/>
      <w:bookmarkEnd w:id="5"/>
      <w:bookmarkEnd w:id="6"/>
    </w:p>
    <w:p w14:paraId="3C438418" w14:textId="77777777" w:rsidR="008764BF" w:rsidRPr="008764BF" w:rsidRDefault="008764BF" w:rsidP="008764BF">
      <w:pPr>
        <w:pStyle w:val="BodyText"/>
        <w:rPr>
          <w:color w:val="auto"/>
        </w:rPr>
      </w:pPr>
      <w:r w:rsidRPr="008764BF">
        <w:rPr>
          <w:color w:val="auto"/>
        </w:rPr>
        <w:t>Wastewater treatment emissions are a small proportion of total UK emissions, but this proportion increases by 2050 in our Sixth Carbon Budget scenarios, as other sectors largely decarbonise while wastewater emissions only fall by a small amount.</w:t>
      </w:r>
    </w:p>
    <w:p w14:paraId="03621173" w14:textId="77777777" w:rsidR="008764BF" w:rsidRPr="008764BF" w:rsidRDefault="008764BF" w:rsidP="008764BF">
      <w:pPr>
        <w:pStyle w:val="BodyText"/>
        <w:rPr>
          <w:rFonts w:eastAsiaTheme="minorHAnsi"/>
          <w:color w:val="auto"/>
        </w:rPr>
      </w:pPr>
    </w:p>
    <w:p w14:paraId="09E5CFB9" w14:textId="676B4590" w:rsidR="005C77E7" w:rsidRDefault="008764BF" w:rsidP="008764BF">
      <w:pPr>
        <w:pStyle w:val="BodyText"/>
        <w:rPr>
          <w:color w:val="auto"/>
        </w:rPr>
      </w:pPr>
      <w:r w:rsidRPr="008764BF">
        <w:rPr>
          <w:color w:val="auto"/>
        </w:rPr>
        <w:t>Assumptions on emission reductions from wastewater in our Sixth Carbon Budget scenarios were based on academic papers and discussions with academics and stakeholders in the water industry.</w:t>
      </w:r>
      <w:r w:rsidR="00920988">
        <w:rPr>
          <w:rStyle w:val="FootnoteReference"/>
          <w:color w:val="auto"/>
        </w:rPr>
        <w:footnoteReference w:id="3"/>
      </w:r>
      <w:r w:rsidRPr="008764BF">
        <w:rPr>
          <w:color w:val="auto"/>
        </w:rPr>
        <w:t xml:space="preserve"> This resulted in emission reductions of 20% by 2030 </w:t>
      </w:r>
      <w:r w:rsidR="00E27688">
        <w:rPr>
          <w:color w:val="auto"/>
        </w:rPr>
        <w:t>in three of</w:t>
      </w:r>
      <w:r w:rsidRPr="008764BF">
        <w:rPr>
          <w:color w:val="auto"/>
        </w:rPr>
        <w:t xml:space="preserve"> our scenarios</w:t>
      </w:r>
      <w:r w:rsidR="00E27688">
        <w:rPr>
          <w:color w:val="auto"/>
        </w:rPr>
        <w:t>, including the Balanced Pathway</w:t>
      </w:r>
      <w:r w:rsidRPr="008764BF">
        <w:rPr>
          <w:color w:val="auto"/>
        </w:rPr>
        <w:t>. This increased to a 50% reduction by 2050 in two of our scenarios (Widespread Innovation and Tailwinds)</w:t>
      </w:r>
      <w:r w:rsidR="00805976">
        <w:rPr>
          <w:color w:val="auto"/>
        </w:rPr>
        <w:t>.</w:t>
      </w:r>
    </w:p>
    <w:p w14:paraId="2FE2AB45" w14:textId="77777777" w:rsidR="00805976" w:rsidRDefault="00805976" w:rsidP="008764BF">
      <w:pPr>
        <w:pStyle w:val="BodyText"/>
        <w:rPr>
          <w:color w:val="auto"/>
        </w:rPr>
      </w:pPr>
    </w:p>
    <w:p w14:paraId="342F56F6" w14:textId="77777777" w:rsidR="009E4EAD" w:rsidRPr="009E4EAD" w:rsidRDefault="009E4EAD" w:rsidP="009E4EAD">
      <w:pPr>
        <w:pStyle w:val="BodyText"/>
        <w:rPr>
          <w:rFonts w:eastAsiaTheme="minorHAnsi"/>
          <w:color w:val="auto"/>
        </w:rPr>
      </w:pPr>
      <w:r w:rsidRPr="009E4EAD">
        <w:rPr>
          <w:rFonts w:eastAsiaTheme="minorHAnsi"/>
          <w:color w:val="auto"/>
        </w:rPr>
        <w:t>The main solutions assumed to deliver this abatement were:</w:t>
      </w:r>
    </w:p>
    <w:p w14:paraId="44726556" w14:textId="77777777" w:rsidR="009E4EAD" w:rsidRDefault="009E4EAD" w:rsidP="009E4EAD">
      <w:pPr>
        <w:pStyle w:val="BodyText"/>
        <w:numPr>
          <w:ilvl w:val="0"/>
          <w:numId w:val="27"/>
        </w:numPr>
        <w:rPr>
          <w:rFonts w:eastAsiaTheme="minorHAnsi"/>
          <w:color w:val="auto"/>
        </w:rPr>
      </w:pPr>
      <w:r w:rsidRPr="009E4EAD">
        <w:rPr>
          <w:rFonts w:eastAsiaTheme="minorHAnsi"/>
          <w:color w:val="auto"/>
        </w:rPr>
        <w:t>Across all scenarios – conversion of wastewater treatment plants to advanced anaerobic digestion systems (increasing the amount of biogas extracted and reducing methane emissions) and process optimisation improvements and leak identification using on-site emissions monitoring of CH</w:t>
      </w:r>
      <w:r w:rsidRPr="00281747">
        <w:rPr>
          <w:rFonts w:eastAsiaTheme="minorHAnsi"/>
          <w:color w:val="auto"/>
          <w:vertAlign w:val="subscript"/>
        </w:rPr>
        <w:t>4</w:t>
      </w:r>
      <w:r w:rsidRPr="009E4EAD">
        <w:rPr>
          <w:rFonts w:eastAsiaTheme="minorHAnsi"/>
          <w:color w:val="auto"/>
        </w:rPr>
        <w:t xml:space="preserve"> and N</w:t>
      </w:r>
      <w:r w:rsidRPr="00281747">
        <w:rPr>
          <w:rFonts w:eastAsiaTheme="minorHAnsi"/>
          <w:color w:val="auto"/>
          <w:vertAlign w:val="subscript"/>
        </w:rPr>
        <w:t>2</w:t>
      </w:r>
      <w:r w:rsidRPr="009E4EAD">
        <w:rPr>
          <w:rFonts w:eastAsiaTheme="minorHAnsi"/>
          <w:color w:val="auto"/>
        </w:rPr>
        <w:t>O.</w:t>
      </w:r>
    </w:p>
    <w:p w14:paraId="267174AC" w14:textId="77777777" w:rsidR="00805976" w:rsidRDefault="00805976" w:rsidP="00805976">
      <w:pPr>
        <w:pStyle w:val="BodyText"/>
        <w:ind w:left="1440"/>
        <w:rPr>
          <w:rFonts w:eastAsiaTheme="minorHAnsi"/>
          <w:color w:val="auto"/>
        </w:rPr>
      </w:pPr>
    </w:p>
    <w:p w14:paraId="6FFFE611" w14:textId="704FE789" w:rsidR="009E4EAD" w:rsidRPr="009E4EAD" w:rsidRDefault="009E4EAD" w:rsidP="009E4EAD">
      <w:pPr>
        <w:pStyle w:val="BodyText"/>
        <w:numPr>
          <w:ilvl w:val="0"/>
          <w:numId w:val="27"/>
        </w:numPr>
        <w:rPr>
          <w:rFonts w:eastAsiaTheme="minorHAnsi"/>
          <w:color w:val="auto"/>
        </w:rPr>
      </w:pPr>
      <w:r w:rsidRPr="009E4EAD">
        <w:rPr>
          <w:rFonts w:eastAsiaTheme="minorHAnsi"/>
          <w:color w:val="auto"/>
        </w:rPr>
        <w:t>More ambitious scenarios – more innovative options such as membrane-aerated biofilm reactors or partial nitrification-Anammox processes.</w:t>
      </w:r>
    </w:p>
    <w:p w14:paraId="514D3F26" w14:textId="77777777" w:rsidR="009E4EAD" w:rsidRDefault="009E4EAD" w:rsidP="009E4EAD">
      <w:pPr>
        <w:pStyle w:val="BodyText"/>
        <w:rPr>
          <w:rFonts w:eastAsiaTheme="minorHAnsi"/>
          <w:color w:val="auto"/>
        </w:rPr>
      </w:pPr>
    </w:p>
    <w:p w14:paraId="684F86A7" w14:textId="1983FF47" w:rsidR="00920988" w:rsidRPr="008764BF" w:rsidRDefault="009E4EAD" w:rsidP="00920988">
      <w:pPr>
        <w:pStyle w:val="BodyText"/>
        <w:rPr>
          <w:rFonts w:eastAsiaTheme="minorHAnsi"/>
          <w:color w:val="auto"/>
        </w:rPr>
      </w:pPr>
      <w:r w:rsidRPr="009E4EAD">
        <w:rPr>
          <w:rFonts w:eastAsiaTheme="minorHAnsi"/>
          <w:color w:val="auto"/>
        </w:rPr>
        <w:t>Water companies in England and Wales submitted their draft business plans to Ofwat in October 2023.</w:t>
      </w:r>
      <w:r w:rsidR="00B56C66">
        <w:rPr>
          <w:rStyle w:val="FootnoteReference"/>
          <w:rFonts w:eastAsiaTheme="minorHAnsi"/>
          <w:color w:val="auto"/>
        </w:rPr>
        <w:footnoteReference w:id="4"/>
      </w:r>
      <w:r w:rsidRPr="009E4EAD">
        <w:rPr>
          <w:rFonts w:eastAsiaTheme="minorHAnsi"/>
          <w:color w:val="auto"/>
        </w:rPr>
        <w:t xml:space="preserve"> These plans are going through an ongoing verification process</w:t>
      </w:r>
      <w:r w:rsidR="00234406">
        <w:rPr>
          <w:rFonts w:eastAsiaTheme="minorHAnsi"/>
          <w:color w:val="auto"/>
        </w:rPr>
        <w:t>,</w:t>
      </w:r>
      <w:r w:rsidRPr="009E4EAD">
        <w:rPr>
          <w:rFonts w:eastAsiaTheme="minorHAnsi"/>
          <w:color w:val="auto"/>
        </w:rPr>
        <w:t xml:space="preserve"> so are subject to change</w:t>
      </w:r>
      <w:r w:rsidR="00234406">
        <w:rPr>
          <w:rFonts w:eastAsiaTheme="minorHAnsi"/>
          <w:color w:val="auto"/>
        </w:rPr>
        <w:t>,</w:t>
      </w:r>
      <w:r w:rsidRPr="009E4EAD">
        <w:rPr>
          <w:rFonts w:eastAsiaTheme="minorHAnsi"/>
          <w:color w:val="auto"/>
        </w:rPr>
        <w:t xml:space="preserve"> but include plans for wastewater treatment out to 2034, with associated emissions </w:t>
      </w:r>
      <w:r w:rsidR="003436D8">
        <w:rPr>
          <w:rFonts w:eastAsiaTheme="minorHAnsi"/>
          <w:color w:val="auto"/>
        </w:rPr>
        <w:t>pathways</w:t>
      </w:r>
      <w:r w:rsidRPr="009E4EAD">
        <w:rPr>
          <w:rFonts w:eastAsiaTheme="minorHAnsi"/>
          <w:color w:val="auto"/>
        </w:rPr>
        <w:t>. Aggregate wastewater emissions in draft plans are relatively steady over the period in question – differing significantly from the 20% reduction assumed in our Balanced Pathway. There is significant variation between individual water companies, with changes in emissions over the period ranging from a 60% reduction to an 50% increase by 2034</w:t>
      </w:r>
      <w:r w:rsidR="002659C3">
        <w:rPr>
          <w:rFonts w:eastAsiaTheme="minorHAnsi"/>
          <w:color w:val="auto"/>
        </w:rPr>
        <w:t>, relative to 202</w:t>
      </w:r>
      <w:r w:rsidR="0078622F">
        <w:rPr>
          <w:rFonts w:eastAsiaTheme="minorHAnsi"/>
          <w:color w:val="auto"/>
        </w:rPr>
        <w:t xml:space="preserve">1/22 </w:t>
      </w:r>
      <w:r w:rsidR="002659C3">
        <w:rPr>
          <w:rFonts w:eastAsiaTheme="minorHAnsi"/>
          <w:color w:val="auto"/>
        </w:rPr>
        <w:t>levels</w:t>
      </w:r>
      <w:r w:rsidRPr="009E4EAD">
        <w:rPr>
          <w:rFonts w:eastAsiaTheme="minorHAnsi"/>
          <w:color w:val="auto"/>
        </w:rPr>
        <w:t>.</w:t>
      </w:r>
    </w:p>
    <w:p w14:paraId="1221AA05" w14:textId="41FE7674" w:rsidR="003A05B7" w:rsidRPr="005359A7" w:rsidRDefault="003A05B7" w:rsidP="00857AD6">
      <w:pPr>
        <w:pStyle w:val="Heading1"/>
        <w:numPr>
          <w:ilvl w:val="0"/>
          <w:numId w:val="1"/>
        </w:numPr>
      </w:pPr>
      <w:bookmarkStart w:id="7" w:name="_Ref357535689"/>
      <w:bookmarkStart w:id="8" w:name="_Toc381969508"/>
      <w:bookmarkStart w:id="9" w:name="_Toc405888457"/>
      <w:r w:rsidRPr="005359A7">
        <w:lastRenderedPageBreak/>
        <w:t xml:space="preserve">Aims </w:t>
      </w:r>
      <w:r w:rsidRPr="002C721C">
        <w:t>and</w:t>
      </w:r>
      <w:r w:rsidRPr="005359A7">
        <w:t xml:space="preserve"> Objectives</w:t>
      </w:r>
      <w:bookmarkEnd w:id="7"/>
      <w:bookmarkEnd w:id="8"/>
      <w:bookmarkEnd w:id="9"/>
    </w:p>
    <w:p w14:paraId="3B65BEA6" w14:textId="74B79D7F" w:rsidR="00A862C3" w:rsidRDefault="00553FA4" w:rsidP="00A862C3">
      <w:pPr>
        <w:rPr>
          <w:rFonts w:ascii="Century Gothic" w:hAnsi="Century Gothic"/>
        </w:rPr>
      </w:pPr>
      <w:r>
        <w:t xml:space="preserve">This research aims to </w:t>
      </w:r>
      <w:r>
        <w:rPr>
          <w:rFonts w:ascii="Century Gothic" w:hAnsi="Century Gothic"/>
        </w:rPr>
        <w:t>update our wastewater treatment pathways for the Seventh Carbon Budget.</w:t>
      </w:r>
    </w:p>
    <w:p w14:paraId="09A03F41" w14:textId="77777777" w:rsidR="00A862C3" w:rsidRDefault="00A862C3" w:rsidP="00A862C3">
      <w:pPr>
        <w:rPr>
          <w:rFonts w:ascii="Century Gothic" w:hAnsi="Century Gothic"/>
        </w:rPr>
      </w:pPr>
    </w:p>
    <w:p w14:paraId="286E0435" w14:textId="4DBDEF09" w:rsidR="00A862C3" w:rsidRDefault="00A862C3" w:rsidP="00A862C3">
      <w:pPr>
        <w:rPr>
          <w:rFonts w:ascii="Century Gothic" w:hAnsi="Century Gothic"/>
        </w:rPr>
      </w:pPr>
      <w:r>
        <w:rPr>
          <w:rFonts w:ascii="Century Gothic" w:hAnsi="Century Gothic"/>
        </w:rPr>
        <w:t>There are t</w:t>
      </w:r>
      <w:r w:rsidR="006B1A93">
        <w:rPr>
          <w:rFonts w:ascii="Century Gothic" w:hAnsi="Century Gothic"/>
        </w:rPr>
        <w:t>wo</w:t>
      </w:r>
      <w:r>
        <w:rPr>
          <w:rFonts w:ascii="Century Gothic" w:hAnsi="Century Gothic"/>
        </w:rPr>
        <w:t xml:space="preserve"> </w:t>
      </w:r>
      <w:r w:rsidR="009C3DA8">
        <w:rPr>
          <w:rFonts w:ascii="Century Gothic" w:hAnsi="Century Gothic"/>
        </w:rPr>
        <w:t xml:space="preserve">main </w:t>
      </w:r>
      <w:r w:rsidR="00801128">
        <w:rPr>
          <w:rFonts w:ascii="Century Gothic" w:hAnsi="Century Gothic"/>
        </w:rPr>
        <w:t>work</w:t>
      </w:r>
      <w:r w:rsidR="00894E38">
        <w:rPr>
          <w:rFonts w:ascii="Century Gothic" w:hAnsi="Century Gothic"/>
        </w:rPr>
        <w:t>streams</w:t>
      </w:r>
      <w:r w:rsidR="00801128">
        <w:rPr>
          <w:rFonts w:ascii="Century Gothic" w:hAnsi="Century Gothic"/>
        </w:rPr>
        <w:t xml:space="preserve"> in</w:t>
      </w:r>
      <w:r w:rsidR="009B2BA6">
        <w:rPr>
          <w:rFonts w:ascii="Century Gothic" w:hAnsi="Century Gothic"/>
        </w:rPr>
        <w:t xml:space="preserve"> this project:</w:t>
      </w:r>
    </w:p>
    <w:p w14:paraId="59D06CF5" w14:textId="65AF412C" w:rsidR="007C7428" w:rsidRDefault="009D5ADC" w:rsidP="00CC6331">
      <w:pPr>
        <w:pStyle w:val="ListParagraph"/>
        <w:numPr>
          <w:ilvl w:val="0"/>
          <w:numId w:val="28"/>
        </w:numPr>
        <w:rPr>
          <w:rFonts w:ascii="Century Gothic" w:hAnsi="Century Gothic"/>
          <w:sz w:val="20"/>
        </w:rPr>
      </w:pPr>
      <w:r w:rsidRPr="00CC6331">
        <w:rPr>
          <w:rFonts w:ascii="Century Gothic" w:hAnsi="Century Gothic"/>
          <w:b/>
          <w:bCs/>
          <w:sz w:val="20"/>
        </w:rPr>
        <w:t>Updating the baseline for wastewater emissions</w:t>
      </w:r>
      <w:r w:rsidR="004517F2" w:rsidRPr="00CC6331">
        <w:rPr>
          <w:rFonts w:ascii="Century Gothic" w:hAnsi="Century Gothic"/>
          <w:b/>
          <w:bCs/>
          <w:sz w:val="20"/>
        </w:rPr>
        <w:t xml:space="preserve"> out to 2050</w:t>
      </w:r>
      <w:r w:rsidR="00D5015B" w:rsidRPr="00CC6331">
        <w:rPr>
          <w:rFonts w:ascii="Century Gothic" w:hAnsi="Century Gothic"/>
          <w:sz w:val="20"/>
        </w:rPr>
        <w:t>.</w:t>
      </w:r>
      <w:r w:rsidR="005D24A8">
        <w:rPr>
          <w:rFonts w:ascii="Century Gothic" w:hAnsi="Century Gothic"/>
          <w:sz w:val="20"/>
        </w:rPr>
        <w:t xml:space="preserve"> </w:t>
      </w:r>
      <w:r w:rsidR="005D24A8" w:rsidRPr="00CC6331">
        <w:rPr>
          <w:rFonts w:ascii="Century Gothic" w:hAnsi="Century Gothic"/>
          <w:sz w:val="20"/>
        </w:rPr>
        <w:t>Projecting forward wastewater treatment volumes</w:t>
      </w:r>
      <w:r w:rsidR="007C7428">
        <w:rPr>
          <w:rFonts w:ascii="Century Gothic" w:hAnsi="Century Gothic"/>
          <w:sz w:val="20"/>
        </w:rPr>
        <w:t xml:space="preserve"> </w:t>
      </w:r>
      <w:r w:rsidR="005D24A8">
        <w:rPr>
          <w:rFonts w:ascii="Century Gothic" w:hAnsi="Century Gothic"/>
          <w:sz w:val="20"/>
        </w:rPr>
        <w:t xml:space="preserve">and estimating associated emissions. </w:t>
      </w:r>
      <w:r w:rsidR="007C7428">
        <w:rPr>
          <w:rFonts w:ascii="Century Gothic" w:hAnsi="Century Gothic"/>
          <w:sz w:val="20"/>
        </w:rPr>
        <w:t>This should:</w:t>
      </w:r>
    </w:p>
    <w:p w14:paraId="14747271" w14:textId="77777777" w:rsidR="0078622F" w:rsidRPr="00B74132" w:rsidRDefault="0078622F" w:rsidP="0078622F">
      <w:pPr>
        <w:pStyle w:val="ListParagraph"/>
        <w:numPr>
          <w:ilvl w:val="1"/>
          <w:numId w:val="28"/>
        </w:numPr>
        <w:rPr>
          <w:rFonts w:ascii="Century Gothic" w:hAnsi="Century Gothic"/>
          <w:sz w:val="20"/>
        </w:rPr>
      </w:pPr>
      <w:r>
        <w:rPr>
          <w:rFonts w:ascii="Century Gothic" w:hAnsi="Century Gothic"/>
          <w:sz w:val="20"/>
        </w:rPr>
        <w:t xml:space="preserve">Represent </w:t>
      </w:r>
      <w:r w:rsidRPr="004006D1">
        <w:rPr>
          <w:rFonts w:ascii="Century Gothic" w:hAnsi="Century Gothic"/>
          <w:sz w:val="20"/>
        </w:rPr>
        <w:t xml:space="preserve">a projection of emissions </w:t>
      </w:r>
      <w:r>
        <w:rPr>
          <w:rFonts w:ascii="Century Gothic" w:hAnsi="Century Gothic"/>
          <w:sz w:val="20"/>
        </w:rPr>
        <w:t>in a</w:t>
      </w:r>
      <w:r w:rsidRPr="004006D1">
        <w:rPr>
          <w:rFonts w:ascii="Century Gothic" w:hAnsi="Century Gothic"/>
          <w:sz w:val="20"/>
        </w:rPr>
        <w:t xml:space="preserve"> hypothetical world without further decarbonisation in the UK</w:t>
      </w:r>
      <w:r>
        <w:rPr>
          <w:rFonts w:ascii="Century Gothic" w:hAnsi="Century Gothic"/>
          <w:sz w:val="20"/>
        </w:rPr>
        <w:t xml:space="preserve">, based on key drivers of change – </w:t>
      </w:r>
      <w:proofErr w:type="gramStart"/>
      <w:r>
        <w:rPr>
          <w:rFonts w:ascii="Century Gothic" w:hAnsi="Century Gothic"/>
          <w:sz w:val="20"/>
        </w:rPr>
        <w:t>i.e.</w:t>
      </w:r>
      <w:proofErr w:type="gramEnd"/>
      <w:r>
        <w:rPr>
          <w:rFonts w:ascii="Century Gothic" w:hAnsi="Century Gothic"/>
          <w:sz w:val="20"/>
        </w:rPr>
        <w:t xml:space="preserve"> </w:t>
      </w:r>
      <w:r w:rsidRPr="005F0FD1">
        <w:rPr>
          <w:rFonts w:ascii="Century Gothic" w:hAnsi="Century Gothic"/>
          <w:sz w:val="20"/>
        </w:rPr>
        <w:t>projected changes to population, GDP, the warming climate and fuel prices</w:t>
      </w:r>
      <w:r>
        <w:rPr>
          <w:rFonts w:ascii="Century Gothic" w:hAnsi="Century Gothic"/>
          <w:sz w:val="20"/>
        </w:rPr>
        <w:t xml:space="preserve"> (not all of these will necessarily be relevant to wastewater emissions)</w:t>
      </w:r>
      <w:r w:rsidRPr="005F0FD1">
        <w:rPr>
          <w:rFonts w:ascii="Century Gothic" w:hAnsi="Century Gothic"/>
          <w:sz w:val="20"/>
        </w:rPr>
        <w:t>.</w:t>
      </w:r>
      <w:r>
        <w:rPr>
          <w:rStyle w:val="FootnoteReference"/>
          <w:rFonts w:ascii="Century Gothic" w:hAnsi="Century Gothic"/>
          <w:sz w:val="20"/>
        </w:rPr>
        <w:footnoteReference w:id="5"/>
      </w:r>
      <w:r w:rsidRPr="004517F2">
        <w:rPr>
          <w:rFonts w:ascii="Century Gothic" w:hAnsi="Century Gothic"/>
          <w:sz w:val="20"/>
        </w:rPr>
        <w:t xml:space="preserve"> </w:t>
      </w:r>
    </w:p>
    <w:p w14:paraId="0D79BF3C" w14:textId="5D36AF1B" w:rsidR="00C42457" w:rsidRDefault="00C42457" w:rsidP="00C42457">
      <w:pPr>
        <w:pStyle w:val="ListParagraph"/>
        <w:numPr>
          <w:ilvl w:val="1"/>
          <w:numId w:val="30"/>
        </w:numPr>
        <w:rPr>
          <w:rFonts w:ascii="Century Gothic" w:hAnsi="Century Gothic"/>
          <w:sz w:val="20"/>
        </w:rPr>
      </w:pPr>
      <w:r>
        <w:rPr>
          <w:rFonts w:ascii="Century Gothic" w:hAnsi="Century Gothic"/>
          <w:sz w:val="20"/>
        </w:rPr>
        <w:t>Start with a review of</w:t>
      </w:r>
      <w:r w:rsidRPr="004517F2">
        <w:rPr>
          <w:rFonts w:ascii="Century Gothic" w:hAnsi="Century Gothic"/>
          <w:sz w:val="20"/>
        </w:rPr>
        <w:t xml:space="preserve"> baseline</w:t>
      </w:r>
      <w:r>
        <w:rPr>
          <w:rFonts w:ascii="Century Gothic" w:hAnsi="Century Gothic"/>
          <w:sz w:val="20"/>
        </w:rPr>
        <w:t xml:space="preserve"> assumptions</w:t>
      </w:r>
      <w:r w:rsidRPr="004517F2">
        <w:rPr>
          <w:rFonts w:ascii="Century Gothic" w:hAnsi="Century Gothic"/>
          <w:sz w:val="20"/>
        </w:rPr>
        <w:t xml:space="preserve"> in the Sixth Carbon Budget</w:t>
      </w:r>
      <w:r>
        <w:rPr>
          <w:rFonts w:ascii="Century Gothic" w:hAnsi="Century Gothic"/>
          <w:sz w:val="20"/>
        </w:rPr>
        <w:t>, the latest Energy and Emissions Projections</w:t>
      </w:r>
      <w:r w:rsidR="00130D13">
        <w:rPr>
          <w:rStyle w:val="FootnoteReference"/>
          <w:rFonts w:ascii="Century Gothic" w:hAnsi="Century Gothic"/>
          <w:sz w:val="20"/>
        </w:rPr>
        <w:footnoteReference w:id="6"/>
      </w:r>
      <w:r>
        <w:rPr>
          <w:rFonts w:ascii="Century Gothic" w:hAnsi="Century Gothic"/>
          <w:sz w:val="20"/>
        </w:rPr>
        <w:t>, water company business plans and other relevant available evidence</w:t>
      </w:r>
      <w:r w:rsidR="008B1EF4">
        <w:rPr>
          <w:rFonts w:ascii="Century Gothic" w:hAnsi="Century Gothic"/>
          <w:sz w:val="20"/>
        </w:rPr>
        <w:t xml:space="preserve"> (</w:t>
      </w:r>
      <w:proofErr w:type="gramStart"/>
      <w:r w:rsidR="008B1EF4">
        <w:rPr>
          <w:rFonts w:ascii="Century Gothic" w:hAnsi="Century Gothic"/>
          <w:sz w:val="20"/>
        </w:rPr>
        <w:t>e.g.</w:t>
      </w:r>
      <w:proofErr w:type="gramEnd"/>
      <w:r w:rsidR="008B1EF4">
        <w:rPr>
          <w:rFonts w:ascii="Century Gothic" w:hAnsi="Century Gothic"/>
          <w:sz w:val="20"/>
        </w:rPr>
        <w:t xml:space="preserve"> estimates of baseline emissions using other approaches, such as </w:t>
      </w:r>
      <w:r w:rsidR="00743089">
        <w:rPr>
          <w:rFonts w:ascii="Century Gothic" w:hAnsi="Century Gothic"/>
          <w:sz w:val="20"/>
        </w:rPr>
        <w:t>applying emissions factors to the amount of sewage produced)</w:t>
      </w:r>
      <w:r w:rsidR="007E4D57">
        <w:rPr>
          <w:rFonts w:ascii="Century Gothic" w:hAnsi="Century Gothic"/>
          <w:sz w:val="20"/>
        </w:rPr>
        <w:t>.</w:t>
      </w:r>
    </w:p>
    <w:p w14:paraId="28B86576" w14:textId="67630B5A" w:rsidR="00C170DF" w:rsidRDefault="005F0FD1" w:rsidP="009D2690">
      <w:pPr>
        <w:pStyle w:val="ListParagraph"/>
        <w:numPr>
          <w:ilvl w:val="1"/>
          <w:numId w:val="30"/>
        </w:numPr>
        <w:rPr>
          <w:rFonts w:ascii="Century Gothic" w:hAnsi="Century Gothic"/>
          <w:sz w:val="20"/>
        </w:rPr>
      </w:pPr>
      <w:r w:rsidRPr="00951E08">
        <w:rPr>
          <w:rFonts w:ascii="Century Gothic" w:hAnsi="Century Gothic"/>
          <w:sz w:val="20"/>
        </w:rPr>
        <w:t xml:space="preserve">Consider whether there </w:t>
      </w:r>
      <w:r w:rsidR="007C18EB">
        <w:rPr>
          <w:rFonts w:ascii="Century Gothic" w:hAnsi="Century Gothic"/>
          <w:sz w:val="20"/>
        </w:rPr>
        <w:t xml:space="preserve">are </w:t>
      </w:r>
      <w:r w:rsidRPr="00951E08">
        <w:rPr>
          <w:rFonts w:ascii="Century Gothic" w:hAnsi="Century Gothic"/>
          <w:sz w:val="20"/>
        </w:rPr>
        <w:t xml:space="preserve">other key </w:t>
      </w:r>
      <w:r w:rsidR="0097695A" w:rsidRPr="00951E08">
        <w:rPr>
          <w:rFonts w:ascii="Century Gothic" w:hAnsi="Century Gothic"/>
          <w:sz w:val="20"/>
        </w:rPr>
        <w:t>drivers</w:t>
      </w:r>
      <w:r w:rsidR="00594399" w:rsidRPr="00951E08">
        <w:rPr>
          <w:rFonts w:ascii="Century Gothic" w:hAnsi="Century Gothic"/>
          <w:sz w:val="20"/>
        </w:rPr>
        <w:t xml:space="preserve"> </w:t>
      </w:r>
      <w:r w:rsidR="007C18EB">
        <w:rPr>
          <w:rFonts w:ascii="Century Gothic" w:hAnsi="Century Gothic"/>
          <w:sz w:val="20"/>
        </w:rPr>
        <w:t xml:space="preserve">which </w:t>
      </w:r>
      <w:r w:rsidR="00594399" w:rsidRPr="00951E08">
        <w:rPr>
          <w:rFonts w:ascii="Century Gothic" w:hAnsi="Century Gothic"/>
          <w:sz w:val="20"/>
        </w:rPr>
        <w:t xml:space="preserve">may affect </w:t>
      </w:r>
      <w:r w:rsidR="000C59A6">
        <w:rPr>
          <w:rFonts w:ascii="Century Gothic" w:hAnsi="Century Gothic"/>
          <w:sz w:val="20"/>
        </w:rPr>
        <w:t>the baseline</w:t>
      </w:r>
      <w:r w:rsidR="00594399" w:rsidRPr="00951E08">
        <w:rPr>
          <w:rFonts w:ascii="Century Gothic" w:hAnsi="Century Gothic"/>
          <w:sz w:val="20"/>
        </w:rPr>
        <w:t xml:space="preserve"> </w:t>
      </w:r>
      <w:r w:rsidR="004517F2" w:rsidRPr="00951E08">
        <w:rPr>
          <w:rFonts w:ascii="Century Gothic" w:hAnsi="Century Gothic"/>
          <w:sz w:val="20"/>
        </w:rPr>
        <w:t>(</w:t>
      </w:r>
      <w:proofErr w:type="gramStart"/>
      <w:r w:rsidR="004517F2" w:rsidRPr="00951E08">
        <w:rPr>
          <w:rFonts w:ascii="Century Gothic" w:hAnsi="Century Gothic"/>
          <w:sz w:val="20"/>
        </w:rPr>
        <w:t>e.g.</w:t>
      </w:r>
      <w:proofErr w:type="gramEnd"/>
      <w:r w:rsidR="004517F2" w:rsidRPr="00951E08">
        <w:rPr>
          <w:rFonts w:ascii="Century Gothic" w:hAnsi="Century Gothic"/>
          <w:sz w:val="20"/>
        </w:rPr>
        <w:t xml:space="preserve"> sewage treatment standards</w:t>
      </w:r>
      <w:r w:rsidR="00C84469" w:rsidRPr="00951E08">
        <w:rPr>
          <w:rFonts w:ascii="Century Gothic" w:hAnsi="Century Gothic"/>
          <w:sz w:val="20"/>
        </w:rPr>
        <w:t xml:space="preserve">) or lead to </w:t>
      </w:r>
      <w:r w:rsidR="004D6C44">
        <w:rPr>
          <w:rFonts w:ascii="Century Gothic" w:hAnsi="Century Gothic"/>
          <w:sz w:val="20"/>
        </w:rPr>
        <w:t>significant u</w:t>
      </w:r>
      <w:r w:rsidR="00C84469" w:rsidRPr="00951E08">
        <w:rPr>
          <w:rFonts w:ascii="Century Gothic" w:hAnsi="Century Gothic"/>
          <w:sz w:val="20"/>
        </w:rPr>
        <w:t>ncertainty that should be quantified</w:t>
      </w:r>
      <w:r w:rsidR="00951E08" w:rsidRPr="00951E08">
        <w:rPr>
          <w:rFonts w:ascii="Century Gothic" w:hAnsi="Century Gothic"/>
          <w:sz w:val="20"/>
        </w:rPr>
        <w:t xml:space="preserve"> (e.g. </w:t>
      </w:r>
      <w:r w:rsidR="00C170DF" w:rsidRPr="00951E08">
        <w:rPr>
          <w:rFonts w:ascii="Century Gothic" w:hAnsi="Century Gothic"/>
          <w:sz w:val="20"/>
        </w:rPr>
        <w:t xml:space="preserve">evidence suggesting that </w:t>
      </w:r>
      <w:r w:rsidR="007F337D" w:rsidRPr="00951E08">
        <w:rPr>
          <w:rFonts w:ascii="Century Gothic" w:hAnsi="Century Gothic"/>
          <w:sz w:val="20"/>
        </w:rPr>
        <w:t xml:space="preserve">reported </w:t>
      </w:r>
      <w:r w:rsidR="00C170DF" w:rsidRPr="00951E08">
        <w:rPr>
          <w:rFonts w:ascii="Century Gothic" w:hAnsi="Century Gothic"/>
          <w:sz w:val="20"/>
        </w:rPr>
        <w:t>wastewater process emissions</w:t>
      </w:r>
      <w:r w:rsidR="00994B68" w:rsidRPr="00951E08">
        <w:rPr>
          <w:rFonts w:ascii="Century Gothic" w:hAnsi="Century Gothic"/>
          <w:sz w:val="20"/>
        </w:rPr>
        <w:t xml:space="preserve"> </w:t>
      </w:r>
      <w:r w:rsidR="007F337D" w:rsidRPr="00951E08">
        <w:rPr>
          <w:rFonts w:ascii="Century Gothic" w:hAnsi="Century Gothic"/>
          <w:sz w:val="20"/>
        </w:rPr>
        <w:t>may be underestimates</w:t>
      </w:r>
      <w:r w:rsidR="00994B68">
        <w:rPr>
          <w:rStyle w:val="FootnoteReference"/>
          <w:rFonts w:ascii="Century Gothic" w:hAnsi="Century Gothic"/>
          <w:sz w:val="20"/>
        </w:rPr>
        <w:footnoteReference w:id="7"/>
      </w:r>
      <w:r w:rsidR="00951E08">
        <w:rPr>
          <w:rFonts w:ascii="Century Gothic" w:hAnsi="Century Gothic"/>
          <w:sz w:val="20"/>
        </w:rPr>
        <w:t>).</w:t>
      </w:r>
    </w:p>
    <w:p w14:paraId="2981B0C8" w14:textId="78FB003F" w:rsidR="0003319C" w:rsidRDefault="0003319C" w:rsidP="006B1A93">
      <w:pPr>
        <w:pStyle w:val="ListParagraph"/>
        <w:numPr>
          <w:ilvl w:val="0"/>
          <w:numId w:val="30"/>
        </w:numPr>
        <w:rPr>
          <w:rFonts w:ascii="Century Gothic" w:hAnsi="Century Gothic"/>
          <w:sz w:val="20"/>
        </w:rPr>
      </w:pPr>
      <w:r w:rsidRPr="0003319C">
        <w:rPr>
          <w:rFonts w:ascii="Century Gothic" w:hAnsi="Century Gothic"/>
          <w:b/>
          <w:bCs/>
          <w:sz w:val="20"/>
        </w:rPr>
        <w:t xml:space="preserve">Developing </w:t>
      </w:r>
      <w:r w:rsidRPr="008334CE">
        <w:rPr>
          <w:rFonts w:ascii="Century Gothic" w:hAnsi="Century Gothic"/>
          <w:b/>
          <w:bCs/>
          <w:sz w:val="20"/>
          <w:u w:val="single"/>
        </w:rPr>
        <w:t>two</w:t>
      </w:r>
      <w:r w:rsidRPr="0003319C">
        <w:rPr>
          <w:rFonts w:ascii="Century Gothic" w:hAnsi="Century Gothic"/>
          <w:b/>
          <w:bCs/>
          <w:sz w:val="20"/>
        </w:rPr>
        <w:t xml:space="preserve"> </w:t>
      </w:r>
      <w:r w:rsidR="0043498C">
        <w:rPr>
          <w:rFonts w:ascii="Century Gothic" w:hAnsi="Century Gothic"/>
          <w:b/>
          <w:bCs/>
          <w:sz w:val="20"/>
        </w:rPr>
        <w:t xml:space="preserve">emissions reduction </w:t>
      </w:r>
      <w:r w:rsidRPr="0003319C">
        <w:rPr>
          <w:rFonts w:ascii="Century Gothic" w:hAnsi="Century Gothic"/>
          <w:b/>
          <w:bCs/>
          <w:sz w:val="20"/>
        </w:rPr>
        <w:t xml:space="preserve">pathways for wastewater </w:t>
      </w:r>
      <w:r w:rsidR="0043498C">
        <w:rPr>
          <w:rFonts w:ascii="Century Gothic" w:hAnsi="Century Gothic"/>
          <w:b/>
          <w:bCs/>
          <w:sz w:val="20"/>
        </w:rPr>
        <w:t xml:space="preserve">treatment </w:t>
      </w:r>
      <w:r w:rsidRPr="0003319C">
        <w:rPr>
          <w:rFonts w:ascii="Century Gothic" w:hAnsi="Century Gothic"/>
          <w:b/>
          <w:bCs/>
          <w:sz w:val="20"/>
        </w:rPr>
        <w:t>out to 2050</w:t>
      </w:r>
      <w:r>
        <w:rPr>
          <w:rFonts w:ascii="Century Gothic" w:hAnsi="Century Gothic"/>
          <w:sz w:val="20"/>
        </w:rPr>
        <w:t xml:space="preserve">. </w:t>
      </w:r>
      <w:r w:rsidR="005D6C3F">
        <w:rPr>
          <w:rFonts w:ascii="Century Gothic" w:hAnsi="Century Gothic"/>
          <w:sz w:val="20"/>
        </w:rPr>
        <w:t>An update to the CCC’s Sixth Carbon Budget Balanced Pathway, and a more ambitious Additional Action Pathway</w:t>
      </w:r>
      <w:r>
        <w:rPr>
          <w:rFonts w:ascii="Century Gothic" w:hAnsi="Century Gothic"/>
          <w:sz w:val="20"/>
        </w:rPr>
        <w:t>.</w:t>
      </w:r>
      <w:r w:rsidR="00704E5D">
        <w:rPr>
          <w:rStyle w:val="FootnoteReference"/>
          <w:rFonts w:ascii="Century Gothic" w:hAnsi="Century Gothic"/>
          <w:sz w:val="20"/>
        </w:rPr>
        <w:footnoteReference w:id="8"/>
      </w:r>
      <w:r>
        <w:rPr>
          <w:rFonts w:ascii="Century Gothic" w:hAnsi="Century Gothic"/>
          <w:sz w:val="20"/>
        </w:rPr>
        <w:t xml:space="preserve"> This should</w:t>
      </w:r>
      <w:r w:rsidR="00126B22">
        <w:rPr>
          <w:rFonts w:ascii="Century Gothic" w:hAnsi="Century Gothic"/>
          <w:sz w:val="20"/>
        </w:rPr>
        <w:t>:</w:t>
      </w:r>
    </w:p>
    <w:p w14:paraId="16033B19" w14:textId="3D947714" w:rsidR="00A9172E" w:rsidRDefault="00126B22" w:rsidP="00315B0E">
      <w:pPr>
        <w:pStyle w:val="ListParagraph"/>
        <w:numPr>
          <w:ilvl w:val="1"/>
          <w:numId w:val="30"/>
        </w:numPr>
        <w:rPr>
          <w:rFonts w:ascii="Century Gothic" w:hAnsi="Century Gothic"/>
          <w:sz w:val="20"/>
        </w:rPr>
      </w:pPr>
      <w:r>
        <w:rPr>
          <w:rFonts w:ascii="Century Gothic" w:hAnsi="Century Gothic"/>
          <w:sz w:val="20"/>
        </w:rPr>
        <w:t>Review w</w:t>
      </w:r>
      <w:r w:rsidR="00315B0E" w:rsidRPr="00315B0E">
        <w:rPr>
          <w:rFonts w:ascii="Century Gothic" w:hAnsi="Century Gothic"/>
          <w:sz w:val="20"/>
        </w:rPr>
        <w:t>astewater treatment solutions</w:t>
      </w:r>
      <w:r w:rsidR="00A9172E">
        <w:rPr>
          <w:rFonts w:ascii="Century Gothic" w:hAnsi="Century Gothic"/>
          <w:sz w:val="20"/>
        </w:rPr>
        <w:t>, both</w:t>
      </w:r>
      <w:r w:rsidR="00182CE0">
        <w:rPr>
          <w:rFonts w:ascii="Century Gothic" w:hAnsi="Century Gothic"/>
          <w:sz w:val="20"/>
        </w:rPr>
        <w:t xml:space="preserve"> those included in our Sixth Carbon Budget pathways and </w:t>
      </w:r>
      <w:r w:rsidR="005D6C3F">
        <w:rPr>
          <w:rFonts w:ascii="Century Gothic" w:hAnsi="Century Gothic"/>
          <w:sz w:val="20"/>
        </w:rPr>
        <w:t xml:space="preserve">any relevant </w:t>
      </w:r>
      <w:r w:rsidR="00182CE0">
        <w:rPr>
          <w:rFonts w:ascii="Century Gothic" w:hAnsi="Century Gothic"/>
          <w:sz w:val="20"/>
        </w:rPr>
        <w:t>solutions that</w:t>
      </w:r>
      <w:r w:rsidR="00A9172E">
        <w:rPr>
          <w:rFonts w:ascii="Century Gothic" w:hAnsi="Century Gothic"/>
          <w:sz w:val="20"/>
        </w:rPr>
        <w:t xml:space="preserve"> we </w:t>
      </w:r>
      <w:r w:rsidR="005D6C3F">
        <w:rPr>
          <w:rFonts w:ascii="Century Gothic" w:hAnsi="Century Gothic"/>
          <w:sz w:val="20"/>
        </w:rPr>
        <w:t>either did not</w:t>
      </w:r>
      <w:r w:rsidR="00A9172E">
        <w:rPr>
          <w:rFonts w:ascii="Century Gothic" w:hAnsi="Century Gothic"/>
          <w:sz w:val="20"/>
        </w:rPr>
        <w:t xml:space="preserve"> conside</w:t>
      </w:r>
      <w:r w:rsidR="005D6C3F">
        <w:rPr>
          <w:rFonts w:ascii="Century Gothic" w:hAnsi="Century Gothic"/>
          <w:sz w:val="20"/>
        </w:rPr>
        <w:t xml:space="preserve">r or have been developed since that advice. This should be </w:t>
      </w:r>
      <w:r w:rsidR="00AA4E85">
        <w:rPr>
          <w:rFonts w:ascii="Century Gothic" w:hAnsi="Century Gothic"/>
          <w:sz w:val="20"/>
        </w:rPr>
        <w:t xml:space="preserve">based on </w:t>
      </w:r>
      <w:r w:rsidR="005D6C3F">
        <w:rPr>
          <w:rFonts w:ascii="Century Gothic" w:hAnsi="Century Gothic"/>
          <w:sz w:val="20"/>
        </w:rPr>
        <w:t xml:space="preserve">a rapid review of the </w:t>
      </w:r>
      <w:r w:rsidR="00AA4E85">
        <w:rPr>
          <w:rFonts w:ascii="Century Gothic" w:hAnsi="Century Gothic"/>
          <w:sz w:val="20"/>
        </w:rPr>
        <w:t>evidence including academic literature</w:t>
      </w:r>
      <w:r w:rsidR="00F9069B">
        <w:rPr>
          <w:rFonts w:ascii="Century Gothic" w:hAnsi="Century Gothic"/>
          <w:sz w:val="20"/>
        </w:rPr>
        <w:t>, water company business plans</w:t>
      </w:r>
      <w:r w:rsidR="00A43575">
        <w:rPr>
          <w:rFonts w:ascii="Century Gothic" w:hAnsi="Century Gothic"/>
          <w:sz w:val="20"/>
        </w:rPr>
        <w:t xml:space="preserve"> (to understand the variation in ambition between them)</w:t>
      </w:r>
      <w:r w:rsidR="00F9069B">
        <w:rPr>
          <w:rFonts w:ascii="Century Gothic" w:hAnsi="Century Gothic"/>
          <w:sz w:val="20"/>
        </w:rPr>
        <w:t xml:space="preserve"> and wider evidence from industry.</w:t>
      </w:r>
    </w:p>
    <w:p w14:paraId="7AB8297C" w14:textId="6F997AD3" w:rsidR="004A7FD1" w:rsidRPr="004A7FD1" w:rsidRDefault="008C0E8C" w:rsidP="004A7FD1">
      <w:pPr>
        <w:pStyle w:val="ListParagraph"/>
        <w:numPr>
          <w:ilvl w:val="1"/>
          <w:numId w:val="30"/>
        </w:numPr>
        <w:rPr>
          <w:rFonts w:ascii="Century Gothic" w:hAnsi="Century Gothic"/>
          <w:sz w:val="20"/>
        </w:rPr>
      </w:pPr>
      <w:r>
        <w:rPr>
          <w:rFonts w:ascii="Century Gothic" w:hAnsi="Century Gothic"/>
          <w:sz w:val="20"/>
        </w:rPr>
        <w:t>Develop</w:t>
      </w:r>
      <w:r w:rsidR="009076A6">
        <w:rPr>
          <w:rFonts w:ascii="Century Gothic" w:hAnsi="Century Gothic"/>
          <w:sz w:val="20"/>
        </w:rPr>
        <w:t xml:space="preserve"> </w:t>
      </w:r>
      <w:r w:rsidR="00944226">
        <w:rPr>
          <w:rFonts w:ascii="Century Gothic" w:hAnsi="Century Gothic"/>
          <w:sz w:val="20"/>
        </w:rPr>
        <w:t xml:space="preserve">pathways for emission reductions </w:t>
      </w:r>
      <w:r w:rsidR="005D3AFC">
        <w:rPr>
          <w:rFonts w:ascii="Century Gothic" w:hAnsi="Century Gothic"/>
          <w:sz w:val="20"/>
        </w:rPr>
        <w:t xml:space="preserve">consistent with the UK’s 2050 whole-economy Net Zero target, </w:t>
      </w:r>
      <w:proofErr w:type="gramStart"/>
      <w:r w:rsidR="00944226">
        <w:rPr>
          <w:rFonts w:ascii="Century Gothic" w:hAnsi="Century Gothic"/>
          <w:sz w:val="20"/>
        </w:rPr>
        <w:t>on the</w:t>
      </w:r>
      <w:r w:rsidR="00985BEE">
        <w:rPr>
          <w:rFonts w:ascii="Century Gothic" w:hAnsi="Century Gothic"/>
          <w:sz w:val="20"/>
        </w:rPr>
        <w:t xml:space="preserve"> basis of</w:t>
      </w:r>
      <w:proofErr w:type="gramEnd"/>
      <w:r w:rsidR="00985BEE">
        <w:rPr>
          <w:rFonts w:ascii="Century Gothic" w:hAnsi="Century Gothic"/>
          <w:sz w:val="20"/>
        </w:rPr>
        <w:t xml:space="preserve"> the</w:t>
      </w:r>
      <w:r w:rsidR="005D3AFC">
        <w:rPr>
          <w:rFonts w:ascii="Century Gothic" w:hAnsi="Century Gothic"/>
          <w:sz w:val="20"/>
        </w:rPr>
        <w:t xml:space="preserve"> abatement</w:t>
      </w:r>
      <w:r w:rsidR="00944226">
        <w:rPr>
          <w:rFonts w:ascii="Century Gothic" w:hAnsi="Century Gothic"/>
          <w:sz w:val="20"/>
        </w:rPr>
        <w:t xml:space="preserve"> solutions</w:t>
      </w:r>
      <w:r w:rsidR="005D3AFC">
        <w:rPr>
          <w:rFonts w:ascii="Century Gothic" w:hAnsi="Century Gothic"/>
          <w:sz w:val="20"/>
        </w:rPr>
        <w:t xml:space="preserve"> identified</w:t>
      </w:r>
      <w:r w:rsidR="006A5AA3">
        <w:rPr>
          <w:rFonts w:ascii="Century Gothic" w:hAnsi="Century Gothic"/>
          <w:sz w:val="20"/>
        </w:rPr>
        <w:t xml:space="preserve">. This should </w:t>
      </w:r>
      <w:proofErr w:type="gramStart"/>
      <w:r w:rsidR="006A5AA3">
        <w:rPr>
          <w:rFonts w:ascii="Century Gothic" w:hAnsi="Century Gothic"/>
          <w:sz w:val="20"/>
        </w:rPr>
        <w:t xml:space="preserve">take </w:t>
      </w:r>
      <w:r w:rsidR="00985BEE">
        <w:rPr>
          <w:rFonts w:ascii="Century Gothic" w:hAnsi="Century Gothic"/>
          <w:sz w:val="20"/>
        </w:rPr>
        <w:t>into</w:t>
      </w:r>
      <w:r w:rsidR="00944226">
        <w:rPr>
          <w:rFonts w:ascii="Century Gothic" w:hAnsi="Century Gothic"/>
          <w:sz w:val="20"/>
        </w:rPr>
        <w:t xml:space="preserve"> </w:t>
      </w:r>
      <w:r w:rsidR="004B21CD">
        <w:rPr>
          <w:rFonts w:ascii="Century Gothic" w:hAnsi="Century Gothic"/>
          <w:sz w:val="20"/>
        </w:rPr>
        <w:t>account</w:t>
      </w:r>
      <w:proofErr w:type="gramEnd"/>
      <w:r w:rsidR="004B21CD">
        <w:rPr>
          <w:rFonts w:ascii="Century Gothic" w:hAnsi="Century Gothic"/>
          <w:sz w:val="20"/>
        </w:rPr>
        <w:t xml:space="preserve"> </w:t>
      </w:r>
      <w:r w:rsidR="00944226">
        <w:rPr>
          <w:rFonts w:ascii="Century Gothic" w:hAnsi="Century Gothic"/>
          <w:sz w:val="20"/>
        </w:rPr>
        <w:t>cost</w:t>
      </w:r>
      <w:r w:rsidR="00016E3D">
        <w:rPr>
          <w:rFonts w:ascii="Century Gothic" w:hAnsi="Century Gothic"/>
          <w:sz w:val="20"/>
        </w:rPr>
        <w:t>-effectiveness</w:t>
      </w:r>
      <w:r w:rsidR="00D00A71">
        <w:rPr>
          <w:rFonts w:ascii="Century Gothic" w:hAnsi="Century Gothic"/>
          <w:sz w:val="20"/>
        </w:rPr>
        <w:t xml:space="preserve"> of measures</w:t>
      </w:r>
      <w:r w:rsidR="00944226">
        <w:rPr>
          <w:rFonts w:ascii="Century Gothic" w:hAnsi="Century Gothic"/>
          <w:sz w:val="20"/>
        </w:rPr>
        <w:t xml:space="preserve">, </w:t>
      </w:r>
      <w:r w:rsidR="00F15832">
        <w:rPr>
          <w:rFonts w:ascii="Century Gothic" w:hAnsi="Century Gothic"/>
          <w:sz w:val="20"/>
        </w:rPr>
        <w:t xml:space="preserve">feasible roll-out rates and additional considerations such as </w:t>
      </w:r>
      <w:r w:rsidR="006252FD">
        <w:rPr>
          <w:rFonts w:ascii="Century Gothic" w:hAnsi="Century Gothic"/>
          <w:sz w:val="20"/>
        </w:rPr>
        <w:t>resilience to climate change and imported emissions</w:t>
      </w:r>
      <w:r w:rsidR="00736693">
        <w:rPr>
          <w:rFonts w:ascii="Century Gothic" w:hAnsi="Century Gothic"/>
          <w:sz w:val="20"/>
        </w:rPr>
        <w:t>.</w:t>
      </w:r>
      <w:r w:rsidR="00736693">
        <w:rPr>
          <w:rStyle w:val="FootnoteReference"/>
          <w:rFonts w:ascii="Century Gothic" w:hAnsi="Century Gothic"/>
          <w:sz w:val="20"/>
        </w:rPr>
        <w:footnoteReference w:id="9"/>
      </w:r>
      <w:r w:rsidR="004873CE">
        <w:rPr>
          <w:rFonts w:ascii="Century Gothic" w:hAnsi="Century Gothic"/>
          <w:sz w:val="20"/>
        </w:rPr>
        <w:t xml:space="preserve"> </w:t>
      </w:r>
    </w:p>
    <w:p w14:paraId="2562BE38" w14:textId="76D71758" w:rsidR="00EA5174" w:rsidRPr="00EA5174" w:rsidRDefault="00EA5174" w:rsidP="00EA5174">
      <w:pPr>
        <w:pStyle w:val="ListParagraph"/>
        <w:numPr>
          <w:ilvl w:val="1"/>
          <w:numId w:val="30"/>
        </w:numPr>
        <w:rPr>
          <w:rFonts w:ascii="Century Gothic" w:hAnsi="Century Gothic"/>
          <w:sz w:val="20"/>
        </w:rPr>
      </w:pPr>
      <w:r>
        <w:rPr>
          <w:rFonts w:ascii="Century Gothic" w:hAnsi="Century Gothic"/>
          <w:sz w:val="20"/>
        </w:rPr>
        <w:t>Consider limitations/risks associated with achieving the abatement in each pathway</w:t>
      </w:r>
      <w:r w:rsidR="004873CE">
        <w:rPr>
          <w:rFonts w:ascii="Century Gothic" w:hAnsi="Century Gothic"/>
          <w:sz w:val="20"/>
        </w:rPr>
        <w:t xml:space="preserve"> and ensure that these are credible</w:t>
      </w:r>
      <w:r w:rsidR="004A7FD1">
        <w:rPr>
          <w:rFonts w:ascii="Century Gothic" w:hAnsi="Century Gothic"/>
          <w:sz w:val="20"/>
        </w:rPr>
        <w:t xml:space="preserve"> given developments since the Sixth Carbon </w:t>
      </w:r>
      <w:r w:rsidR="004A7FD1">
        <w:rPr>
          <w:rFonts w:ascii="Century Gothic" w:hAnsi="Century Gothic"/>
          <w:sz w:val="20"/>
        </w:rPr>
        <w:lastRenderedPageBreak/>
        <w:t>Budget, including technological progress, behaviour change, policy change and other factors (</w:t>
      </w:r>
      <w:proofErr w:type="gramStart"/>
      <w:r w:rsidR="004A7FD1">
        <w:rPr>
          <w:rFonts w:ascii="Century Gothic" w:hAnsi="Century Gothic"/>
          <w:sz w:val="20"/>
        </w:rPr>
        <w:t>e.g.</w:t>
      </w:r>
      <w:proofErr w:type="gramEnd"/>
      <w:r w:rsidR="004A7FD1">
        <w:rPr>
          <w:rFonts w:ascii="Century Gothic" w:hAnsi="Century Gothic"/>
          <w:sz w:val="20"/>
        </w:rPr>
        <w:t xml:space="preserve"> water company business plans).</w:t>
      </w:r>
    </w:p>
    <w:p w14:paraId="3BE5DC1D" w14:textId="75B7BD59" w:rsidR="008334CE" w:rsidRPr="008334CE" w:rsidRDefault="008334CE" w:rsidP="008334CE">
      <w:r w:rsidRPr="008334CE">
        <w:t xml:space="preserve">We expect </w:t>
      </w:r>
      <w:r>
        <w:t>outputs for each of the three</w:t>
      </w:r>
      <w:r w:rsidRPr="008334CE">
        <w:t xml:space="preserve"> pathways</w:t>
      </w:r>
      <w:r>
        <w:t xml:space="preserve"> (</w:t>
      </w:r>
      <w:proofErr w:type="gramStart"/>
      <w:r>
        <w:t>i.e.</w:t>
      </w:r>
      <w:proofErr w:type="gramEnd"/>
      <w:r>
        <w:t xml:space="preserve"> </w:t>
      </w:r>
      <w:r w:rsidR="006A1DC3">
        <w:t xml:space="preserve">the </w:t>
      </w:r>
      <w:r>
        <w:t>baseline and two abatement pathways)</w:t>
      </w:r>
      <w:r w:rsidRPr="008334CE">
        <w:t xml:space="preserve"> </w:t>
      </w:r>
      <w:r w:rsidR="008C0E8C">
        <w:t xml:space="preserve">set out in workstreams </w:t>
      </w:r>
      <w:proofErr w:type="spellStart"/>
      <w:r w:rsidR="008C0E8C">
        <w:t>i</w:t>
      </w:r>
      <w:proofErr w:type="spellEnd"/>
      <w:r w:rsidR="008C0E8C">
        <w:t xml:space="preserve">) and ii) </w:t>
      </w:r>
      <w:r w:rsidRPr="008334CE">
        <w:t>to:</w:t>
      </w:r>
    </w:p>
    <w:p w14:paraId="579C0DD8" w14:textId="096D123A" w:rsidR="008334CE" w:rsidRDefault="007E0061" w:rsidP="008334CE">
      <w:pPr>
        <w:pStyle w:val="ListParagraph"/>
        <w:numPr>
          <w:ilvl w:val="0"/>
          <w:numId w:val="38"/>
        </w:numPr>
        <w:rPr>
          <w:rFonts w:asciiTheme="majorHAnsi" w:hAnsiTheme="majorHAnsi"/>
          <w:sz w:val="20"/>
        </w:rPr>
      </w:pPr>
      <w:r>
        <w:rPr>
          <w:rFonts w:asciiTheme="majorHAnsi" w:hAnsiTheme="majorHAnsi"/>
          <w:sz w:val="20"/>
        </w:rPr>
        <w:t>Include r</w:t>
      </w:r>
      <w:r w:rsidR="008334CE" w:rsidRPr="008334CE">
        <w:rPr>
          <w:rFonts w:asciiTheme="majorHAnsi" w:hAnsiTheme="majorHAnsi"/>
          <w:sz w:val="20"/>
        </w:rPr>
        <w:t>esidual emissions</w:t>
      </w:r>
      <w:r w:rsidR="00C835C9">
        <w:rPr>
          <w:rFonts w:asciiTheme="majorHAnsi" w:hAnsiTheme="majorHAnsi"/>
          <w:sz w:val="20"/>
        </w:rPr>
        <w:t xml:space="preserve"> (by greenhouse gas)</w:t>
      </w:r>
      <w:r w:rsidR="008334CE" w:rsidRPr="008334CE">
        <w:rPr>
          <w:rFonts w:asciiTheme="majorHAnsi" w:hAnsiTheme="majorHAnsi"/>
          <w:sz w:val="20"/>
        </w:rPr>
        <w:t>, abatement</w:t>
      </w:r>
      <w:r w:rsidR="00C835C9">
        <w:rPr>
          <w:rFonts w:asciiTheme="majorHAnsi" w:hAnsiTheme="majorHAnsi"/>
          <w:sz w:val="20"/>
        </w:rPr>
        <w:t xml:space="preserve"> (by greenhouse gas)</w:t>
      </w:r>
      <w:r w:rsidR="008334CE" w:rsidRPr="008334CE">
        <w:rPr>
          <w:rFonts w:asciiTheme="majorHAnsi" w:hAnsiTheme="majorHAnsi"/>
          <w:sz w:val="20"/>
        </w:rPr>
        <w:t xml:space="preserve">, </w:t>
      </w:r>
      <w:r w:rsidR="00F04A18">
        <w:rPr>
          <w:rFonts w:asciiTheme="majorHAnsi" w:hAnsiTheme="majorHAnsi"/>
          <w:sz w:val="20"/>
        </w:rPr>
        <w:t>total</w:t>
      </w:r>
      <w:r w:rsidR="00F305F8">
        <w:rPr>
          <w:rFonts w:asciiTheme="majorHAnsi" w:hAnsiTheme="majorHAnsi"/>
          <w:sz w:val="20"/>
        </w:rPr>
        <w:t xml:space="preserve"> and </w:t>
      </w:r>
      <w:r w:rsidR="00F04A18">
        <w:rPr>
          <w:rFonts w:asciiTheme="majorHAnsi" w:hAnsiTheme="majorHAnsi"/>
          <w:sz w:val="20"/>
        </w:rPr>
        <w:t xml:space="preserve">additional </w:t>
      </w:r>
      <w:r w:rsidR="008334CE" w:rsidRPr="008334CE">
        <w:rPr>
          <w:rFonts w:asciiTheme="majorHAnsi" w:hAnsiTheme="majorHAnsi"/>
          <w:sz w:val="20"/>
        </w:rPr>
        <w:t>costs (</w:t>
      </w:r>
      <w:r w:rsidR="00BD750D">
        <w:rPr>
          <w:rFonts w:asciiTheme="majorHAnsi" w:hAnsiTheme="majorHAnsi"/>
          <w:sz w:val="20"/>
        </w:rPr>
        <w:t xml:space="preserve">split by </w:t>
      </w:r>
      <w:r w:rsidR="008334CE" w:rsidRPr="008334CE">
        <w:rPr>
          <w:rFonts w:asciiTheme="majorHAnsi" w:hAnsiTheme="majorHAnsi"/>
          <w:sz w:val="20"/>
        </w:rPr>
        <w:t xml:space="preserve">capex </w:t>
      </w:r>
      <w:r w:rsidR="00BD750D">
        <w:rPr>
          <w:rFonts w:asciiTheme="majorHAnsi" w:hAnsiTheme="majorHAnsi"/>
          <w:sz w:val="20"/>
        </w:rPr>
        <w:t xml:space="preserve">and </w:t>
      </w:r>
      <w:proofErr w:type="spellStart"/>
      <w:r w:rsidR="008334CE" w:rsidRPr="008334CE">
        <w:rPr>
          <w:rFonts w:asciiTheme="majorHAnsi" w:hAnsiTheme="majorHAnsi"/>
          <w:sz w:val="20"/>
        </w:rPr>
        <w:t>opex</w:t>
      </w:r>
      <w:proofErr w:type="spellEnd"/>
      <w:r w:rsidR="008334CE" w:rsidRPr="008334CE">
        <w:rPr>
          <w:rFonts w:asciiTheme="majorHAnsi" w:hAnsiTheme="majorHAnsi"/>
          <w:sz w:val="20"/>
        </w:rPr>
        <w:t xml:space="preserve">), </w:t>
      </w:r>
      <w:r w:rsidR="00F305F8">
        <w:rPr>
          <w:rFonts w:asciiTheme="majorHAnsi" w:hAnsiTheme="majorHAnsi"/>
          <w:sz w:val="20"/>
        </w:rPr>
        <w:t xml:space="preserve">average abatement costs, </w:t>
      </w:r>
      <w:r w:rsidR="008334CE" w:rsidRPr="008334CE">
        <w:rPr>
          <w:rFonts w:asciiTheme="majorHAnsi" w:hAnsiTheme="majorHAnsi"/>
          <w:sz w:val="20"/>
        </w:rPr>
        <w:t xml:space="preserve">energy </w:t>
      </w:r>
      <w:r w:rsidR="00C835C9">
        <w:rPr>
          <w:rFonts w:asciiTheme="majorHAnsi" w:hAnsiTheme="majorHAnsi"/>
          <w:sz w:val="20"/>
        </w:rPr>
        <w:t>demand</w:t>
      </w:r>
      <w:r w:rsidR="006C0002">
        <w:rPr>
          <w:rFonts w:asciiTheme="majorHAnsi" w:hAnsiTheme="majorHAnsi"/>
          <w:sz w:val="20"/>
        </w:rPr>
        <w:t xml:space="preserve"> by fuel type</w:t>
      </w:r>
      <w:r w:rsidR="008334CE" w:rsidRPr="008334CE">
        <w:rPr>
          <w:rFonts w:asciiTheme="majorHAnsi" w:hAnsiTheme="majorHAnsi"/>
          <w:sz w:val="20"/>
        </w:rPr>
        <w:t>, technology</w:t>
      </w:r>
      <w:r w:rsidR="00961B59">
        <w:rPr>
          <w:rFonts w:asciiTheme="majorHAnsi" w:hAnsiTheme="majorHAnsi"/>
          <w:sz w:val="20"/>
        </w:rPr>
        <w:t>/</w:t>
      </w:r>
      <w:r w:rsidR="008334CE" w:rsidRPr="008334CE">
        <w:rPr>
          <w:rFonts w:asciiTheme="majorHAnsi" w:hAnsiTheme="majorHAnsi"/>
          <w:sz w:val="20"/>
        </w:rPr>
        <w:t>measure deplo</w:t>
      </w:r>
      <w:r w:rsidR="005D3AFC">
        <w:rPr>
          <w:rFonts w:asciiTheme="majorHAnsi" w:hAnsiTheme="majorHAnsi"/>
          <w:sz w:val="20"/>
        </w:rPr>
        <w:t>yment</w:t>
      </w:r>
      <w:r w:rsidR="00173AC4">
        <w:rPr>
          <w:rFonts w:asciiTheme="majorHAnsi" w:hAnsiTheme="majorHAnsi"/>
          <w:sz w:val="20"/>
        </w:rPr>
        <w:t>.</w:t>
      </w:r>
    </w:p>
    <w:p w14:paraId="0306376D" w14:textId="5DA7D0AB" w:rsidR="005D3AFC" w:rsidRDefault="007E0061" w:rsidP="008334CE">
      <w:pPr>
        <w:pStyle w:val="ListParagraph"/>
        <w:numPr>
          <w:ilvl w:val="0"/>
          <w:numId w:val="38"/>
        </w:numPr>
        <w:rPr>
          <w:rFonts w:asciiTheme="majorHAnsi" w:hAnsiTheme="majorHAnsi"/>
          <w:sz w:val="20"/>
        </w:rPr>
      </w:pPr>
      <w:r>
        <w:rPr>
          <w:rFonts w:asciiTheme="majorHAnsi" w:hAnsiTheme="majorHAnsi"/>
          <w:sz w:val="20"/>
        </w:rPr>
        <w:t xml:space="preserve">Be split </w:t>
      </w:r>
      <w:r w:rsidR="00CD716F">
        <w:rPr>
          <w:rFonts w:asciiTheme="majorHAnsi" w:hAnsiTheme="majorHAnsi"/>
          <w:sz w:val="20"/>
        </w:rPr>
        <w:t>into emissions from</w:t>
      </w:r>
      <w:r>
        <w:rPr>
          <w:rFonts w:asciiTheme="majorHAnsi" w:hAnsiTheme="majorHAnsi"/>
          <w:sz w:val="20"/>
        </w:rPr>
        <w:t xml:space="preserve"> industrial and municipal wastewater treatment, be provided for the whole of the UK and </w:t>
      </w:r>
      <w:r w:rsidR="00CD716F">
        <w:rPr>
          <w:rFonts w:asciiTheme="majorHAnsi" w:hAnsiTheme="majorHAnsi"/>
          <w:sz w:val="20"/>
        </w:rPr>
        <w:t xml:space="preserve">split for </w:t>
      </w:r>
      <w:r>
        <w:rPr>
          <w:rFonts w:asciiTheme="majorHAnsi" w:hAnsiTheme="majorHAnsi"/>
          <w:sz w:val="20"/>
        </w:rPr>
        <w:t>each of the devolved administrations.</w:t>
      </w:r>
    </w:p>
    <w:p w14:paraId="53D39AA1" w14:textId="09196289" w:rsidR="007E0061" w:rsidRDefault="00173AC4" w:rsidP="008334CE">
      <w:pPr>
        <w:pStyle w:val="ListParagraph"/>
        <w:numPr>
          <w:ilvl w:val="0"/>
          <w:numId w:val="38"/>
        </w:numPr>
        <w:rPr>
          <w:rFonts w:asciiTheme="majorHAnsi" w:hAnsiTheme="majorHAnsi"/>
          <w:sz w:val="20"/>
        </w:rPr>
      </w:pPr>
      <w:r>
        <w:rPr>
          <w:rFonts w:asciiTheme="majorHAnsi" w:hAnsiTheme="majorHAnsi"/>
          <w:sz w:val="20"/>
        </w:rPr>
        <w:t>Be provided annually for each year from now to 2050.</w:t>
      </w:r>
    </w:p>
    <w:p w14:paraId="64DACDCB" w14:textId="057FC53B" w:rsidR="005A5E9E" w:rsidRPr="005A5E9E" w:rsidRDefault="005A5E9E" w:rsidP="005A5E9E">
      <w:r w:rsidRPr="005A5E9E">
        <w:t xml:space="preserve">Our proposed methodology for the Seventh Carbon Budget is available on our </w:t>
      </w:r>
      <w:hyperlink r:id="rId12" w:anchor="introduction" w:history="1">
        <w:r w:rsidRPr="008227E7">
          <w:rPr>
            <w:rStyle w:val="Hyperlink"/>
          </w:rPr>
          <w:t>website</w:t>
        </w:r>
      </w:hyperlink>
      <w:r>
        <w:t xml:space="preserve"> and includes further details on</w:t>
      </w:r>
      <w:r w:rsidR="000029DE">
        <w:t xml:space="preserve"> our</w:t>
      </w:r>
      <w:r>
        <w:t xml:space="preserve"> </w:t>
      </w:r>
      <w:r w:rsidR="004316E6">
        <w:t>general analytical approach</w:t>
      </w:r>
      <w:r w:rsidR="000064D6">
        <w:t>.</w:t>
      </w:r>
    </w:p>
    <w:p w14:paraId="6237D087" w14:textId="557DFF80" w:rsidR="003A05B7" w:rsidRPr="0038388A" w:rsidRDefault="003A05B7" w:rsidP="00911873">
      <w:pPr>
        <w:pStyle w:val="Heading1"/>
        <w:numPr>
          <w:ilvl w:val="0"/>
          <w:numId w:val="1"/>
        </w:numPr>
        <w:rPr>
          <w:color w:val="FF0000"/>
        </w:rPr>
      </w:pPr>
      <w:bookmarkStart w:id="10" w:name="_Toc381969509"/>
      <w:bookmarkStart w:id="11" w:name="_Toc405888458"/>
      <w:r w:rsidRPr="008A3CA4">
        <w:t>Methodology</w:t>
      </w:r>
      <w:bookmarkEnd w:id="10"/>
      <w:bookmarkEnd w:id="11"/>
    </w:p>
    <w:p w14:paraId="642F4728" w14:textId="7906161B" w:rsidR="00F3415D" w:rsidRDefault="008E5D72" w:rsidP="00F3415D">
      <w:pPr>
        <w:pStyle w:val="Norma"/>
      </w:pPr>
      <w:r w:rsidRPr="008E5D72">
        <w:t xml:space="preserve">This research should be conducted through a combination of reviewing existing </w:t>
      </w:r>
      <w:r w:rsidR="00A62B7C">
        <w:t>academic literature, industry sources and water company business plans</w:t>
      </w:r>
      <w:r w:rsidRPr="008E5D72">
        <w:t xml:space="preserve"> as well as sourcing and analysing data relevant to addressing the questions outlined in the previous section.</w:t>
      </w:r>
    </w:p>
    <w:p w14:paraId="48A3ED21" w14:textId="77777777" w:rsidR="00F3415D" w:rsidRDefault="00F3415D" w:rsidP="00F3415D">
      <w:pPr>
        <w:pStyle w:val="Norma"/>
      </w:pPr>
    </w:p>
    <w:p w14:paraId="14A072C8" w14:textId="288E5968" w:rsidR="00F3415D" w:rsidRPr="00F3415D" w:rsidRDefault="00F3415D" w:rsidP="00F3415D">
      <w:pPr>
        <w:pStyle w:val="Norma"/>
      </w:pPr>
      <w:r>
        <w:t>We expect t</w:t>
      </w:r>
      <w:r w:rsidRPr="00F3415D">
        <w:rPr>
          <w:rFonts w:ascii="Century Gothic" w:hAnsi="Century Gothic"/>
        </w:rPr>
        <w:t>he successful supplier to</w:t>
      </w:r>
      <w:r>
        <w:rPr>
          <w:rFonts w:ascii="Century Gothic" w:hAnsi="Century Gothic"/>
        </w:rPr>
        <w:t xml:space="preserve"> </w:t>
      </w:r>
      <w:r w:rsidRPr="00F3415D">
        <w:rPr>
          <w:rFonts w:ascii="Century Gothic" w:hAnsi="Century Gothic"/>
        </w:rPr>
        <w:t xml:space="preserve">engage with a </w:t>
      </w:r>
      <w:r w:rsidR="006066F0">
        <w:rPr>
          <w:rFonts w:ascii="Century Gothic" w:hAnsi="Century Gothic"/>
        </w:rPr>
        <w:t xml:space="preserve">limited </w:t>
      </w:r>
      <w:r w:rsidRPr="00F3415D">
        <w:rPr>
          <w:rFonts w:ascii="Century Gothic" w:hAnsi="Century Gothic"/>
        </w:rPr>
        <w:t>set of key stakeholders to test assumptions and sense check results, which should include representatives from industry and academia. The list of</w:t>
      </w:r>
      <w:r w:rsidR="00F3256B">
        <w:rPr>
          <w:rFonts w:ascii="Century Gothic" w:hAnsi="Century Gothic"/>
        </w:rPr>
        <w:t xml:space="preserve"> </w:t>
      </w:r>
      <w:r w:rsidRPr="00F3415D">
        <w:rPr>
          <w:rFonts w:ascii="Century Gothic" w:hAnsi="Century Gothic"/>
        </w:rPr>
        <w:t>stakeholders</w:t>
      </w:r>
      <w:r w:rsidR="00F3256B">
        <w:rPr>
          <w:rFonts w:ascii="Century Gothic" w:hAnsi="Century Gothic"/>
        </w:rPr>
        <w:t xml:space="preserve"> to engage with</w:t>
      </w:r>
      <w:r w:rsidRPr="00F3415D">
        <w:rPr>
          <w:rFonts w:ascii="Century Gothic" w:hAnsi="Century Gothic"/>
        </w:rPr>
        <w:t xml:space="preserve"> and rationale for selecting these should be proposed by the supplier</w:t>
      </w:r>
      <w:r w:rsidR="00F3256B">
        <w:rPr>
          <w:rFonts w:ascii="Century Gothic" w:hAnsi="Century Gothic"/>
        </w:rPr>
        <w:t xml:space="preserve"> – this is not required as part of this bid, though initial views on the factors to consider when determining who to engage with would be </w:t>
      </w:r>
      <w:r w:rsidR="007C7BBF">
        <w:rPr>
          <w:rFonts w:ascii="Century Gothic" w:hAnsi="Century Gothic"/>
        </w:rPr>
        <w:t>welcome</w:t>
      </w:r>
      <w:r w:rsidR="00F3256B">
        <w:rPr>
          <w:rFonts w:ascii="Century Gothic" w:hAnsi="Century Gothic"/>
        </w:rPr>
        <w:t>.</w:t>
      </w:r>
    </w:p>
    <w:p w14:paraId="5E1A620B" w14:textId="77777777" w:rsidR="00F3415D" w:rsidRDefault="00F3415D" w:rsidP="00911873">
      <w:pPr>
        <w:pStyle w:val="Norma"/>
      </w:pPr>
    </w:p>
    <w:p w14:paraId="57FB6F02" w14:textId="6BE36745" w:rsidR="00A5142F" w:rsidRDefault="00A5142F" w:rsidP="00A5142F">
      <w:pPr>
        <w:pStyle w:val="BodyText"/>
        <w:rPr>
          <w:color w:val="auto"/>
        </w:rPr>
      </w:pPr>
      <w:r>
        <w:rPr>
          <w:color w:val="auto"/>
        </w:rPr>
        <w:t xml:space="preserve">The CCC will </w:t>
      </w:r>
      <w:r w:rsidRPr="00462C7A">
        <w:rPr>
          <w:color w:val="auto"/>
        </w:rPr>
        <w:t>provide</w:t>
      </w:r>
      <w:r>
        <w:rPr>
          <w:color w:val="auto"/>
        </w:rPr>
        <w:t xml:space="preserve"> the successful suppliers with:</w:t>
      </w:r>
    </w:p>
    <w:p w14:paraId="63DE948A" w14:textId="3DDD3A75" w:rsidR="00A5142F" w:rsidRDefault="00A5142F" w:rsidP="00A5142F">
      <w:pPr>
        <w:pStyle w:val="BodyText"/>
        <w:numPr>
          <w:ilvl w:val="0"/>
          <w:numId w:val="34"/>
        </w:numPr>
        <w:rPr>
          <w:color w:val="auto"/>
        </w:rPr>
      </w:pPr>
      <w:r>
        <w:rPr>
          <w:color w:val="auto"/>
        </w:rPr>
        <w:t>I</w:t>
      </w:r>
      <w:r w:rsidRPr="00462C7A">
        <w:rPr>
          <w:color w:val="auto"/>
        </w:rPr>
        <w:t>nputs on socio-economic drivers</w:t>
      </w:r>
      <w:r>
        <w:rPr>
          <w:color w:val="auto"/>
        </w:rPr>
        <w:t xml:space="preserve"> (</w:t>
      </w:r>
      <w:proofErr w:type="gramStart"/>
      <w:r>
        <w:rPr>
          <w:color w:val="auto"/>
        </w:rPr>
        <w:t>e.g.</w:t>
      </w:r>
      <w:proofErr w:type="gramEnd"/>
      <w:r>
        <w:rPr>
          <w:color w:val="auto"/>
        </w:rPr>
        <w:t xml:space="preserve"> population and GDP growth) and cost</w:t>
      </w:r>
      <w:r w:rsidR="007C7BBF">
        <w:rPr>
          <w:color w:val="auto"/>
        </w:rPr>
        <w:t xml:space="preserve"> and price</w:t>
      </w:r>
      <w:r>
        <w:rPr>
          <w:color w:val="auto"/>
        </w:rPr>
        <w:t xml:space="preserve"> inputs (e.g. carbon prices, energy costs</w:t>
      </w:r>
      <w:r w:rsidR="0023573E">
        <w:rPr>
          <w:color w:val="auto"/>
        </w:rPr>
        <w:t xml:space="preserve"> for different fuel types</w:t>
      </w:r>
      <w:r>
        <w:rPr>
          <w:color w:val="auto"/>
        </w:rPr>
        <w:t>).</w:t>
      </w:r>
    </w:p>
    <w:p w14:paraId="04B32388" w14:textId="6F60F6A0" w:rsidR="00574563" w:rsidRDefault="00574563" w:rsidP="00A5142F">
      <w:pPr>
        <w:pStyle w:val="BodyText"/>
        <w:numPr>
          <w:ilvl w:val="0"/>
          <w:numId w:val="34"/>
        </w:numPr>
        <w:rPr>
          <w:color w:val="auto"/>
        </w:rPr>
      </w:pPr>
      <w:r>
        <w:rPr>
          <w:color w:val="auto"/>
        </w:rPr>
        <w:t xml:space="preserve">A spreadsheet </w:t>
      </w:r>
      <w:r w:rsidR="005807BC">
        <w:rPr>
          <w:color w:val="auto"/>
        </w:rPr>
        <w:t>t</w:t>
      </w:r>
      <w:r>
        <w:rPr>
          <w:color w:val="auto"/>
        </w:rPr>
        <w:t>emplate for modelling results to be outputted into.</w:t>
      </w:r>
    </w:p>
    <w:p w14:paraId="6CF552CA" w14:textId="77777777" w:rsidR="00A5142F" w:rsidRDefault="00A5142F" w:rsidP="00A5142F">
      <w:pPr>
        <w:pStyle w:val="BodyText"/>
        <w:numPr>
          <w:ilvl w:val="0"/>
          <w:numId w:val="34"/>
        </w:numPr>
        <w:rPr>
          <w:color w:val="auto"/>
        </w:rPr>
      </w:pPr>
      <w:r>
        <w:rPr>
          <w:color w:val="auto"/>
        </w:rPr>
        <w:t>O</w:t>
      </w:r>
      <w:r w:rsidRPr="00462C7A">
        <w:rPr>
          <w:color w:val="auto"/>
        </w:rPr>
        <w:t>ur Sixth Carbon Budget assumptions and outputs on wastewater.</w:t>
      </w:r>
    </w:p>
    <w:p w14:paraId="2613FA2C" w14:textId="5001A153" w:rsidR="00F3415D" w:rsidRPr="00F3415D" w:rsidRDefault="00A5142F" w:rsidP="00F3415D">
      <w:pPr>
        <w:pStyle w:val="BodyText"/>
        <w:numPr>
          <w:ilvl w:val="0"/>
          <w:numId w:val="34"/>
        </w:numPr>
        <w:rPr>
          <w:color w:val="auto"/>
        </w:rPr>
      </w:pPr>
      <w:r>
        <w:rPr>
          <w:color w:val="auto"/>
        </w:rPr>
        <w:t>A spreadsheet containing emissions assumptions in draft water company business plans.</w:t>
      </w:r>
    </w:p>
    <w:p w14:paraId="78686519" w14:textId="77777777" w:rsidR="00A5142F" w:rsidRDefault="00A5142F" w:rsidP="00911873">
      <w:pPr>
        <w:pStyle w:val="Norma"/>
      </w:pPr>
    </w:p>
    <w:p w14:paraId="25CA75C6" w14:textId="25B4504D" w:rsidR="009A027B" w:rsidRDefault="0025432B" w:rsidP="00104968">
      <w:pPr>
        <w:pStyle w:val="Norma"/>
      </w:pPr>
      <w:r>
        <w:t xml:space="preserve">We </w:t>
      </w:r>
      <w:r w:rsidR="004C145E">
        <w:t>understand</w:t>
      </w:r>
      <w:r>
        <w:t xml:space="preserve"> that the long </w:t>
      </w:r>
      <w:r w:rsidR="00DD016D">
        <w:t>period</w:t>
      </w:r>
      <w:r>
        <w:t xml:space="preserve"> that this study aims to investigate </w:t>
      </w:r>
      <w:r w:rsidR="00E9218B">
        <w:t>necessarily implies significant uncertainty</w:t>
      </w:r>
      <w:r w:rsidR="0084452F">
        <w:t>.</w:t>
      </w:r>
      <w:r w:rsidR="00590984">
        <w:t xml:space="preserve"> The research team will therefore likely need to make major assumptions </w:t>
      </w:r>
      <w:r w:rsidR="005E71D7">
        <w:t xml:space="preserve">to </w:t>
      </w:r>
      <w:r w:rsidR="002C1C0D">
        <w:t xml:space="preserve">produce the analysis required. </w:t>
      </w:r>
      <w:r>
        <w:t>We</w:t>
      </w:r>
      <w:r w:rsidR="00337F7C">
        <w:t xml:space="preserve"> see this as an important part of the project and are keen that (where feasible) these assumptions should all be transparently </w:t>
      </w:r>
      <w:proofErr w:type="gramStart"/>
      <w:r w:rsidR="00337F7C">
        <w:t>reported</w:t>
      </w:r>
      <w:proofErr w:type="gramEnd"/>
      <w:r w:rsidR="004C145E">
        <w:t xml:space="preserve"> and </w:t>
      </w:r>
      <w:r w:rsidR="009A1AD7">
        <w:t>evidence based</w:t>
      </w:r>
      <w:r w:rsidR="004C145E">
        <w:t>.</w:t>
      </w:r>
      <w:r w:rsidR="00B03582">
        <w:t xml:space="preserve"> </w:t>
      </w:r>
      <w:r w:rsidR="004C145E">
        <w:t xml:space="preserve">Where </w:t>
      </w:r>
      <w:r w:rsidR="005C52CF">
        <w:t xml:space="preserve">uncertainties </w:t>
      </w:r>
      <w:r w:rsidR="00337F7C">
        <w:t xml:space="preserve">around key assumptions </w:t>
      </w:r>
      <w:r w:rsidR="005C52CF">
        <w:t xml:space="preserve">could drive sizeable changes in outcome, these should be highlighted and </w:t>
      </w:r>
      <w:r w:rsidR="009E409F">
        <w:t xml:space="preserve">(if possible) sensitivity testing should be performed to quantify the </w:t>
      </w:r>
      <w:r w:rsidR="00FE4114">
        <w:t xml:space="preserve">scale of the potential impacts. </w:t>
      </w:r>
      <w:r w:rsidR="00894E38">
        <w:t xml:space="preserve">It </w:t>
      </w:r>
      <w:r w:rsidR="000C0F6C">
        <w:t xml:space="preserve">may be particularly </w:t>
      </w:r>
      <w:r w:rsidR="00894E38">
        <w:t>important</w:t>
      </w:r>
      <w:r w:rsidR="000C0F6C">
        <w:t xml:space="preserve"> </w:t>
      </w:r>
      <w:r w:rsidR="00894E38">
        <w:t xml:space="preserve">to quantify the </w:t>
      </w:r>
      <w:r w:rsidR="000C0F6C">
        <w:t xml:space="preserve">uncertainty around </w:t>
      </w:r>
      <w:r w:rsidR="00D563CB">
        <w:t>greenhouse gas emissions accounting of wastewater</w:t>
      </w:r>
      <w:r w:rsidR="001B1E45">
        <w:t xml:space="preserve"> (as set out in workstream ii)</w:t>
      </w:r>
      <w:r w:rsidR="00D563CB">
        <w:t xml:space="preserve">. </w:t>
      </w:r>
      <w:r>
        <w:t xml:space="preserve">The CCC team </w:t>
      </w:r>
      <w:r w:rsidR="005203EC">
        <w:t xml:space="preserve">expects to be closely involved </w:t>
      </w:r>
      <w:r>
        <w:t>in discussions to agree assumptions</w:t>
      </w:r>
      <w:r w:rsidR="00FE4114">
        <w:t xml:space="preserve"> and discuss plans for </w:t>
      </w:r>
      <w:r w:rsidR="00DD7A49">
        <w:t>considering uncertainties</w:t>
      </w:r>
      <w:r>
        <w:t>.</w:t>
      </w:r>
    </w:p>
    <w:p w14:paraId="5B33FF1E" w14:textId="657CE8F0" w:rsidR="003A05B7" w:rsidRPr="008A3CA4" w:rsidRDefault="003A05B7" w:rsidP="00911873">
      <w:pPr>
        <w:pStyle w:val="Heading1"/>
        <w:numPr>
          <w:ilvl w:val="0"/>
          <w:numId w:val="1"/>
        </w:numPr>
      </w:pPr>
      <w:bookmarkStart w:id="12" w:name="_Ref357541705"/>
      <w:bookmarkStart w:id="13" w:name="_Toc381969510"/>
      <w:bookmarkStart w:id="14" w:name="_Toc405888459"/>
      <w:r w:rsidRPr="008A3CA4">
        <w:t>Outputs Required</w:t>
      </w:r>
      <w:bookmarkEnd w:id="12"/>
      <w:bookmarkEnd w:id="13"/>
      <w:bookmarkEnd w:id="14"/>
    </w:p>
    <w:p w14:paraId="040887B1" w14:textId="77777777" w:rsidR="008C4DC5" w:rsidRDefault="008C4DC5" w:rsidP="00864903">
      <w:r w:rsidRPr="008C4DC5">
        <w:t>The outputs required from the project include:</w:t>
      </w:r>
    </w:p>
    <w:p w14:paraId="6C133D52" w14:textId="3E7D756D" w:rsidR="000D130E" w:rsidRDefault="000D130E" w:rsidP="00F000E2">
      <w:pPr>
        <w:pStyle w:val="BulletLevel3"/>
        <w:numPr>
          <w:ilvl w:val="1"/>
          <w:numId w:val="35"/>
        </w:numPr>
      </w:pPr>
      <w:r>
        <w:t>Analytical outputs</w:t>
      </w:r>
      <w:r w:rsidR="001A5425">
        <w:t>:</w:t>
      </w:r>
      <w:r w:rsidR="00801128">
        <w:t xml:space="preserve"> </w:t>
      </w:r>
    </w:p>
    <w:p w14:paraId="59392E80" w14:textId="7A1B4ADA" w:rsidR="00445444" w:rsidRDefault="003B3E64" w:rsidP="003B3E64">
      <w:pPr>
        <w:pStyle w:val="BulletLevel3"/>
      </w:pPr>
      <w:r>
        <w:t>A set of interim quantitative outputs</w:t>
      </w:r>
      <w:r w:rsidR="00472487">
        <w:t xml:space="preserve"> for</w:t>
      </w:r>
      <w:r w:rsidR="00894E38">
        <w:t xml:space="preserve"> each pathway </w:t>
      </w:r>
      <w:r w:rsidR="001B1E45">
        <w:t xml:space="preserve">for </w:t>
      </w:r>
      <w:r w:rsidR="00472487">
        <w:t xml:space="preserve">workstreams </w:t>
      </w:r>
      <w:proofErr w:type="spellStart"/>
      <w:r w:rsidR="00472487">
        <w:t>i</w:t>
      </w:r>
      <w:proofErr w:type="spellEnd"/>
      <w:r w:rsidR="00472487">
        <w:t>) and ii). This is</w:t>
      </w:r>
      <w:r>
        <w:t xml:space="preserve"> required by </w:t>
      </w:r>
      <w:r w:rsidR="00801128" w:rsidRPr="009A1AD7">
        <w:t>end of February 2024</w:t>
      </w:r>
      <w:r w:rsidR="00472487" w:rsidRPr="009A1AD7">
        <w:t>.</w:t>
      </w:r>
    </w:p>
    <w:p w14:paraId="28F3E05F" w14:textId="0F342D95" w:rsidR="000D130E" w:rsidRDefault="00563595" w:rsidP="003B3E64">
      <w:pPr>
        <w:pStyle w:val="BulletLevel3"/>
      </w:pPr>
      <w:r>
        <w:lastRenderedPageBreak/>
        <w:t>A full set of quantitative outputs</w:t>
      </w:r>
      <w:r w:rsidR="001B1E45">
        <w:t>, in t</w:t>
      </w:r>
      <w:r w:rsidR="00771744">
        <w:t>he form of</w:t>
      </w:r>
      <w:r w:rsidR="001A5425">
        <w:t xml:space="preserve"> </w:t>
      </w:r>
      <w:r w:rsidR="00771744">
        <w:t xml:space="preserve">a spreadsheet </w:t>
      </w:r>
      <w:r w:rsidR="00653808">
        <w:t xml:space="preserve">model </w:t>
      </w:r>
      <w:r w:rsidR="00BD32DC">
        <w:t>(</w:t>
      </w:r>
      <w:proofErr w:type="gramStart"/>
      <w:r w:rsidR="00BD32DC">
        <w:t>i.e.</w:t>
      </w:r>
      <w:proofErr w:type="gramEnd"/>
      <w:r w:rsidR="00BD32DC">
        <w:t xml:space="preserve"> demonstrating the link between drivers and final outputs) and final outputs</w:t>
      </w:r>
      <w:r w:rsidR="00387B27">
        <w:t xml:space="preserve"> resulting from this model</w:t>
      </w:r>
      <w:r w:rsidR="001B1E45">
        <w:t xml:space="preserve"> </w:t>
      </w:r>
      <w:r w:rsidR="00A01C5C">
        <w:t>in the format of the CCC’s internal template</w:t>
      </w:r>
      <w:r w:rsidR="00574563">
        <w:t xml:space="preserve"> for sectoral Seventh Carbon Budget outputs</w:t>
      </w:r>
      <w:r w:rsidR="001B1E45">
        <w:t>. This is required alongside the final report.</w:t>
      </w:r>
    </w:p>
    <w:p w14:paraId="44236D41" w14:textId="3BDFB900" w:rsidR="003A05B7" w:rsidRDefault="00D3731D" w:rsidP="00F000E2">
      <w:pPr>
        <w:pStyle w:val="BulletLevel3"/>
        <w:numPr>
          <w:ilvl w:val="1"/>
          <w:numId w:val="36"/>
        </w:numPr>
      </w:pPr>
      <w:r>
        <w:t>A</w:t>
      </w:r>
      <w:r w:rsidR="001240A2">
        <w:t xml:space="preserve"> short</w:t>
      </w:r>
      <w:r>
        <w:t xml:space="preserve"> technical report summarising the research methodology, the outputs and findings, and the </w:t>
      </w:r>
      <w:r w:rsidR="009D53EE">
        <w:t xml:space="preserve">evidence and assumptions </w:t>
      </w:r>
      <w:r w:rsidR="0040739F">
        <w:t>upon which these</w:t>
      </w:r>
      <w:r w:rsidR="009D53EE">
        <w:t xml:space="preserve"> were based</w:t>
      </w:r>
      <w:r w:rsidR="00472487">
        <w:t>, including any stakeholder engagement undertaken.</w:t>
      </w:r>
    </w:p>
    <w:p w14:paraId="06697866" w14:textId="77777777" w:rsidR="00A95769" w:rsidRDefault="00A95769" w:rsidP="00F000E2">
      <w:pPr>
        <w:pStyle w:val="BulletLevel3"/>
        <w:numPr>
          <w:ilvl w:val="1"/>
          <w:numId w:val="36"/>
        </w:numPr>
      </w:pPr>
      <w:r>
        <w:t xml:space="preserve">Presentation of the interim and </w:t>
      </w:r>
      <w:proofErr w:type="gramStart"/>
      <w:r>
        <w:t>final results</w:t>
      </w:r>
      <w:proofErr w:type="gramEnd"/>
      <w:r>
        <w:t xml:space="preserve"> from the project to members of the CCC Secretariat and other interested parties.</w:t>
      </w:r>
    </w:p>
    <w:p w14:paraId="1E232E35" w14:textId="77777777" w:rsidR="003A05B7" w:rsidRPr="005359A7" w:rsidRDefault="003A05B7" w:rsidP="00911873">
      <w:pPr>
        <w:pStyle w:val="Heading1"/>
        <w:numPr>
          <w:ilvl w:val="0"/>
          <w:numId w:val="1"/>
        </w:numPr>
      </w:pPr>
      <w:bookmarkStart w:id="15" w:name="_Toc381969511"/>
      <w:bookmarkStart w:id="16" w:name="_Toc405888460"/>
      <w:bookmarkStart w:id="17" w:name="_Ref373505205"/>
      <w:bookmarkStart w:id="18" w:name="_Ref357541720"/>
      <w:r w:rsidRPr="005359A7">
        <w:t>Ownership and Publication</w:t>
      </w:r>
      <w:bookmarkEnd w:id="15"/>
      <w:bookmarkEnd w:id="16"/>
    </w:p>
    <w:p w14:paraId="7886D33B" w14:textId="0D5D5309" w:rsidR="003A05B7" w:rsidRPr="005359A7" w:rsidRDefault="0033317E" w:rsidP="00474EB5">
      <w:r w:rsidRPr="3B892E06">
        <w:t xml:space="preserve">The CCC will publish the report </w:t>
      </w:r>
      <w:r w:rsidR="00794D1A">
        <w:t xml:space="preserve">and findings. </w:t>
      </w:r>
      <w:r w:rsidR="00BF72DB">
        <w:t xml:space="preserve">The quantified outputs from the </w:t>
      </w:r>
      <w:r w:rsidR="002266B5">
        <w:t xml:space="preserve">research will also be incorporated into the CCC’s </w:t>
      </w:r>
      <w:r w:rsidR="00574563">
        <w:t>wastewater treatment pathways</w:t>
      </w:r>
      <w:r w:rsidR="002266B5">
        <w:t>, which will be used within our analysis to advise Government on the level of the Seventh Carbon Budget</w:t>
      </w:r>
      <w:r w:rsidR="00841486">
        <w:t>.</w:t>
      </w:r>
    </w:p>
    <w:p w14:paraId="676267C8" w14:textId="77777777" w:rsidR="003A05B7" w:rsidRPr="005359A7" w:rsidRDefault="003A05B7" w:rsidP="00911873">
      <w:pPr>
        <w:pStyle w:val="Heading1"/>
        <w:numPr>
          <w:ilvl w:val="0"/>
          <w:numId w:val="1"/>
        </w:numPr>
      </w:pPr>
      <w:r w:rsidRPr="005359A7">
        <w:t xml:space="preserve">Quality Assurance </w:t>
      </w:r>
      <w:bookmarkEnd w:id="17"/>
    </w:p>
    <w:p w14:paraId="4FCFD14D" w14:textId="77777777" w:rsidR="007317B3" w:rsidRPr="008C4DC5" w:rsidRDefault="007317B3" w:rsidP="00864903">
      <w:r w:rsidRPr="008C4DC5">
        <w:t>All research tasks and modelling must be quality assured and documented. Contractors should:</w:t>
      </w:r>
    </w:p>
    <w:p w14:paraId="729D560E" w14:textId="4E0DAF9C" w:rsidR="007317B3" w:rsidRPr="007327B1" w:rsidRDefault="007317B3" w:rsidP="00474EB5">
      <w:pPr>
        <w:pStyle w:val="BulletLevel3"/>
      </w:pPr>
      <w:r w:rsidRPr="007327B1">
        <w:t>Include a quality assurance (QA) plan that they will apply to the modelling</w:t>
      </w:r>
      <w:r w:rsidR="00E32188" w:rsidRPr="007327B1">
        <w:t xml:space="preserve"> and analysis.</w:t>
      </w:r>
    </w:p>
    <w:p w14:paraId="18FB442F" w14:textId="77777777" w:rsidR="007317B3" w:rsidRPr="00A93704" w:rsidRDefault="007317B3" w:rsidP="00474EB5">
      <w:pPr>
        <w:pStyle w:val="BulletLevel3"/>
      </w:pPr>
      <w:r w:rsidRPr="007327B1">
        <w:t>Specify who will take lead responsibility for ensuring</w:t>
      </w:r>
      <w:r w:rsidRPr="00A93704">
        <w:t xml:space="preserve"> quality assurance. This responsibility should rest with an individual not directly involved in the research or analysis.</w:t>
      </w:r>
    </w:p>
    <w:p w14:paraId="7A738488" w14:textId="77777777" w:rsidR="007317B3" w:rsidRPr="00A93704" w:rsidRDefault="007317B3" w:rsidP="00474EB5">
      <w:pPr>
        <w:pStyle w:val="BulletLevel3"/>
      </w:pPr>
      <w:r w:rsidRPr="00A93704">
        <w:t xml:space="preserve">Provide a QA log to demonstrate the QA undertaken, which must identify who undertook the QA and the scope, type and level of QA that has been undertaken. </w:t>
      </w:r>
    </w:p>
    <w:p w14:paraId="3CB03DDB" w14:textId="77777777" w:rsidR="007317B3" w:rsidRDefault="007317B3" w:rsidP="00911873">
      <w:pPr>
        <w:pStyle w:val="BodyText"/>
      </w:pPr>
    </w:p>
    <w:p w14:paraId="5041DC7D" w14:textId="77777777" w:rsidR="007317B3" w:rsidRPr="008C4DC5" w:rsidRDefault="007317B3" w:rsidP="00911873">
      <w:pPr>
        <w:pStyle w:val="Norma"/>
      </w:pPr>
      <w:r w:rsidRPr="008C4DC5">
        <w:t xml:space="preserve">Sign-off for the quality assurance must be done by someone of sufficient seniority within the contractor organisation to be able to take responsibility for the work done. Acceptance of the work by the CCC will take this into consideration. The CCC reserves the right to refuse to sign off outputs which do not meet the required standard specified in this invitation to tender. </w:t>
      </w:r>
    </w:p>
    <w:p w14:paraId="09B490C3" w14:textId="77777777" w:rsidR="007317B3" w:rsidRPr="008C4DC5" w:rsidRDefault="007317B3" w:rsidP="00911873">
      <w:pPr>
        <w:pStyle w:val="Norma"/>
      </w:pPr>
    </w:p>
    <w:p w14:paraId="6F224B26" w14:textId="77777777" w:rsidR="007317B3" w:rsidRPr="008C4DC5" w:rsidRDefault="007317B3" w:rsidP="00911873">
      <w:pPr>
        <w:pStyle w:val="Norma"/>
      </w:pPr>
      <w:r w:rsidRPr="008C4DC5">
        <w:t xml:space="preserve">The successful tenderer will be responsible for any work supplied by sub-contractors and should therefore provide assurance that all work in the contact is undertaken in accordance with the quality assurance expectation agreed at the beginning of the project. </w:t>
      </w:r>
    </w:p>
    <w:p w14:paraId="11A9E77F" w14:textId="77777777" w:rsidR="007317B3" w:rsidRPr="008C4DC5" w:rsidRDefault="007317B3" w:rsidP="00911873">
      <w:pPr>
        <w:pStyle w:val="Norma"/>
      </w:pPr>
    </w:p>
    <w:p w14:paraId="3E229BD3" w14:textId="77777777" w:rsidR="007317B3" w:rsidRPr="008C4DC5" w:rsidRDefault="007317B3" w:rsidP="00911873">
      <w:pPr>
        <w:pStyle w:val="Norma"/>
      </w:pPr>
      <w:r w:rsidRPr="008C4DC5">
        <w:t>The CCC expects that:</w:t>
      </w:r>
    </w:p>
    <w:p w14:paraId="50C0B954" w14:textId="138B73F8" w:rsidR="007317B3" w:rsidRPr="008C4DC5" w:rsidRDefault="0090540F" w:rsidP="00F000E2">
      <w:pPr>
        <w:pStyle w:val="BulletLevel3"/>
        <w:numPr>
          <w:ilvl w:val="1"/>
          <w:numId w:val="36"/>
        </w:numPr>
      </w:pPr>
      <w:r>
        <w:t xml:space="preserve">All </w:t>
      </w:r>
      <w:r w:rsidR="007317B3" w:rsidRPr="008C4DC5">
        <w:t xml:space="preserve">analysis must be delivered in a simple, transparent Excel spreadsheet, where key assumptions (agreed with the CCC) are clearly stated. All assumptions and figures should be adequately </w:t>
      </w:r>
      <w:proofErr w:type="gramStart"/>
      <w:r w:rsidR="007317B3" w:rsidRPr="008C4DC5">
        <w:t>referenced, and</w:t>
      </w:r>
      <w:proofErr w:type="gramEnd"/>
      <w:r w:rsidR="007317B3" w:rsidRPr="008C4DC5">
        <w:t xml:space="preserve"> include any supporting workings. Any such spreadsheets will be the property of the CCC.</w:t>
      </w:r>
    </w:p>
    <w:p w14:paraId="0C92B6E4" w14:textId="6B507C5E" w:rsidR="007317B3" w:rsidRPr="008C4DC5" w:rsidRDefault="007317B3" w:rsidP="00F000E2">
      <w:pPr>
        <w:pStyle w:val="BulletLevel3"/>
        <w:numPr>
          <w:ilvl w:val="1"/>
          <w:numId w:val="36"/>
        </w:numPr>
      </w:pPr>
      <w:r w:rsidRPr="008C4DC5">
        <w:t>Existing analysis and published research should be reviewed and considered in developing the scenarios and approaches to be analysed within this assignment.</w:t>
      </w:r>
    </w:p>
    <w:p w14:paraId="0266E8F3" w14:textId="1DC8AE26" w:rsidR="003A05B7" w:rsidRPr="0038388A" w:rsidRDefault="007317B3" w:rsidP="00F000E2">
      <w:pPr>
        <w:pStyle w:val="BulletLevel3"/>
        <w:numPr>
          <w:ilvl w:val="1"/>
          <w:numId w:val="36"/>
        </w:numPr>
      </w:pPr>
      <w:r w:rsidRPr="008C4DC5">
        <w:t>Analysis should appropriately reflect uncertainty regarding model inputs. Where appropriate, a sensitivity analysis of key parameters should be conducted.</w:t>
      </w:r>
    </w:p>
    <w:p w14:paraId="410352B9" w14:textId="41350C10" w:rsidR="003A05B7" w:rsidRPr="00A432F7" w:rsidRDefault="003A05B7" w:rsidP="00911873">
      <w:pPr>
        <w:pStyle w:val="Heading1"/>
        <w:numPr>
          <w:ilvl w:val="0"/>
          <w:numId w:val="1"/>
        </w:numPr>
      </w:pPr>
      <w:bookmarkStart w:id="19" w:name="_Ref373505215"/>
      <w:bookmarkStart w:id="20" w:name="_Toc381969513"/>
      <w:bookmarkStart w:id="21" w:name="_Toc405888462"/>
      <w:r w:rsidRPr="00A432F7">
        <w:lastRenderedPageBreak/>
        <w:t>Timetable</w:t>
      </w:r>
      <w:bookmarkEnd w:id="18"/>
      <w:bookmarkEnd w:id="19"/>
      <w:bookmarkEnd w:id="20"/>
      <w:bookmarkEnd w:id="21"/>
    </w:p>
    <w:p w14:paraId="24668971" w14:textId="77777777" w:rsidR="00E23EDC" w:rsidRPr="008C4DC5" w:rsidRDefault="00E23EDC" w:rsidP="00911873">
      <w:pPr>
        <w:pStyle w:val="Norma"/>
        <w:rPr>
          <w:rFonts w:eastAsiaTheme="minorHAnsi"/>
        </w:rPr>
      </w:pPr>
      <w:r w:rsidRPr="008C4DC5">
        <w:rPr>
          <w:rFonts w:eastAsiaTheme="minorHAnsi"/>
        </w:rPr>
        <w:t>The proposed timetable for the project is set out in the following table:</w:t>
      </w:r>
    </w:p>
    <w:p w14:paraId="0CB37C36" w14:textId="77777777" w:rsidR="00E23EDC" w:rsidRDefault="00E23EDC" w:rsidP="00911873">
      <w:pPr>
        <w:pStyle w:val="Norma"/>
      </w:pPr>
    </w:p>
    <w:tbl>
      <w:tblPr>
        <w:tblStyle w:val="CCCTable"/>
        <w:tblW w:w="9623" w:type="dxa"/>
        <w:tblInd w:w="720" w:type="dxa"/>
        <w:tblLook w:val="04A0" w:firstRow="1" w:lastRow="0" w:firstColumn="1" w:lastColumn="0" w:noHBand="0" w:noVBand="1"/>
      </w:tblPr>
      <w:tblGrid>
        <w:gridCol w:w="2268"/>
        <w:gridCol w:w="7355"/>
      </w:tblGrid>
      <w:tr w:rsidR="00E23EDC" w14:paraId="751B3133" w14:textId="77777777" w:rsidTr="469054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CB0D405" w14:textId="77777777" w:rsidR="00E23EDC" w:rsidRPr="00EA1350" w:rsidRDefault="00E23EDC" w:rsidP="00911873">
            <w:pPr>
              <w:pStyle w:val="BodyText"/>
              <w:rPr>
                <w:color w:val="auto"/>
              </w:rPr>
            </w:pPr>
            <w:r w:rsidRPr="00EA1350">
              <w:rPr>
                <w:color w:val="auto"/>
              </w:rPr>
              <w:t>Date</w:t>
            </w:r>
          </w:p>
        </w:tc>
        <w:tc>
          <w:tcPr>
            <w:tcW w:w="7355" w:type="dxa"/>
          </w:tcPr>
          <w:p w14:paraId="06C2AAB2" w14:textId="77777777" w:rsidR="00E23EDC" w:rsidRPr="00860066" w:rsidRDefault="00E23EDC" w:rsidP="00911873">
            <w:pPr>
              <w:pStyle w:val="BodyText"/>
              <w:cnfStyle w:val="100000000000" w:firstRow="1" w:lastRow="0" w:firstColumn="0" w:lastColumn="0" w:oddVBand="0" w:evenVBand="0" w:oddHBand="0" w:evenHBand="0" w:firstRowFirstColumn="0" w:firstRowLastColumn="0" w:lastRowFirstColumn="0" w:lastRowLastColumn="0"/>
            </w:pPr>
            <w:r w:rsidRPr="00EA1350">
              <w:rPr>
                <w:b/>
                <w:bCs/>
                <w:color w:val="FFFFFF" w:themeColor="background1"/>
              </w:rPr>
              <w:t>Action</w:t>
            </w:r>
            <w:r w:rsidRPr="00860066">
              <w:t>/deliverable</w:t>
            </w:r>
          </w:p>
        </w:tc>
      </w:tr>
      <w:tr w:rsidR="00E23EDC" w14:paraId="3CFADEEE" w14:textId="77777777" w:rsidTr="46905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F3B56C2" w14:textId="37DE3BD1" w:rsidR="00E23EDC" w:rsidRPr="00D51B7D" w:rsidRDefault="00E23EDC" w:rsidP="00474EB5">
            <w:pPr>
              <w:pStyle w:val="BodyText"/>
              <w:ind w:left="0"/>
              <w:rPr>
                <w:color w:val="FFFFFF" w:themeColor="background1"/>
              </w:rPr>
            </w:pPr>
            <w:r w:rsidRPr="00D51B7D">
              <w:rPr>
                <w:color w:val="FFFFFF" w:themeColor="background1"/>
              </w:rPr>
              <w:t xml:space="preserve">w/c </w:t>
            </w:r>
            <w:r w:rsidR="0095515B">
              <w:rPr>
                <w:color w:val="FFFFFF" w:themeColor="background1"/>
              </w:rPr>
              <w:t>6</w:t>
            </w:r>
            <w:r w:rsidR="00E070E6" w:rsidRPr="00D51B7D">
              <w:rPr>
                <w:color w:val="FFFFFF" w:themeColor="background1"/>
              </w:rPr>
              <w:t xml:space="preserve"> </w:t>
            </w:r>
            <w:r w:rsidR="001B1E45" w:rsidRPr="00D51B7D">
              <w:rPr>
                <w:color w:val="FFFFFF" w:themeColor="background1"/>
              </w:rPr>
              <w:t>December</w:t>
            </w:r>
          </w:p>
        </w:tc>
        <w:tc>
          <w:tcPr>
            <w:tcW w:w="7355" w:type="dxa"/>
          </w:tcPr>
          <w:p w14:paraId="127C133E" w14:textId="77777777" w:rsidR="00E23EDC" w:rsidRPr="00157906" w:rsidRDefault="00E23EDC" w:rsidP="00474EB5">
            <w:pPr>
              <w:pStyle w:val="BodyText"/>
              <w:ind w:left="0"/>
              <w:cnfStyle w:val="000000100000" w:firstRow="0" w:lastRow="0" w:firstColumn="0" w:lastColumn="0" w:oddVBand="0" w:evenVBand="0" w:oddHBand="1" w:evenHBand="0" w:firstRowFirstColumn="0" w:firstRowLastColumn="0" w:lastRowFirstColumn="0" w:lastRowLastColumn="0"/>
            </w:pPr>
            <w:r w:rsidRPr="00157906">
              <w:t>Advertise tender</w:t>
            </w:r>
          </w:p>
        </w:tc>
      </w:tr>
      <w:tr w:rsidR="00E23EDC" w14:paraId="3DD6542D" w14:textId="77777777" w:rsidTr="46905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F472D25" w14:textId="0806643D" w:rsidR="00E23EDC" w:rsidRPr="00D51B7D" w:rsidRDefault="00A11020" w:rsidP="00474EB5">
            <w:pPr>
              <w:pStyle w:val="BodyText"/>
              <w:ind w:left="0"/>
              <w:rPr>
                <w:color w:val="FFFFFF" w:themeColor="background1"/>
              </w:rPr>
            </w:pPr>
            <w:r w:rsidRPr="00D51B7D">
              <w:rPr>
                <w:color w:val="FFFFFF" w:themeColor="background1"/>
              </w:rPr>
              <w:t>11</w:t>
            </w:r>
            <w:r w:rsidR="00E070E6" w:rsidRPr="00D51B7D">
              <w:rPr>
                <w:color w:val="FFFFFF" w:themeColor="background1"/>
              </w:rPr>
              <w:t xml:space="preserve"> </w:t>
            </w:r>
            <w:r w:rsidR="00805C7F" w:rsidRPr="00D51B7D">
              <w:rPr>
                <w:color w:val="FFFFFF" w:themeColor="background1"/>
              </w:rPr>
              <w:t>January</w:t>
            </w:r>
          </w:p>
        </w:tc>
        <w:tc>
          <w:tcPr>
            <w:tcW w:w="7355" w:type="dxa"/>
          </w:tcPr>
          <w:p w14:paraId="689BD8BA" w14:textId="77777777" w:rsidR="00E23EDC" w:rsidRPr="00157906" w:rsidRDefault="00E23EDC" w:rsidP="00474EB5">
            <w:pPr>
              <w:pStyle w:val="BodyText"/>
              <w:ind w:left="0"/>
              <w:cnfStyle w:val="000000010000" w:firstRow="0" w:lastRow="0" w:firstColumn="0" w:lastColumn="0" w:oddVBand="0" w:evenVBand="0" w:oddHBand="0" w:evenHBand="1" w:firstRowFirstColumn="0" w:firstRowLastColumn="0" w:lastRowFirstColumn="0" w:lastRowLastColumn="0"/>
            </w:pPr>
            <w:r w:rsidRPr="00157906">
              <w:t>Deadline for responses to tender</w:t>
            </w:r>
          </w:p>
        </w:tc>
      </w:tr>
      <w:tr w:rsidR="00E23EDC" w14:paraId="01D298BD" w14:textId="77777777" w:rsidTr="46905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2681ECF" w14:textId="3750D9D7" w:rsidR="00E23EDC" w:rsidRPr="00D51B7D" w:rsidRDefault="00E23EDC" w:rsidP="00474EB5">
            <w:pPr>
              <w:pStyle w:val="BodyText"/>
              <w:ind w:left="0"/>
              <w:rPr>
                <w:color w:val="FFFFFF" w:themeColor="background1"/>
              </w:rPr>
            </w:pPr>
            <w:r w:rsidRPr="00D51B7D">
              <w:rPr>
                <w:color w:val="FFFFFF" w:themeColor="background1"/>
              </w:rPr>
              <w:t xml:space="preserve">w/c </w:t>
            </w:r>
            <w:r w:rsidR="00C40FA9" w:rsidRPr="00D51B7D">
              <w:rPr>
                <w:color w:val="FFFFFF" w:themeColor="background1"/>
              </w:rPr>
              <w:t>1</w:t>
            </w:r>
            <w:r w:rsidR="00E070E6" w:rsidRPr="00D51B7D">
              <w:rPr>
                <w:color w:val="FFFFFF" w:themeColor="background1"/>
              </w:rPr>
              <w:t>5-22</w:t>
            </w:r>
            <w:r w:rsidR="4B744C96" w:rsidRPr="00D51B7D">
              <w:rPr>
                <w:color w:val="FFFFFF" w:themeColor="background1"/>
              </w:rPr>
              <w:t xml:space="preserve"> </w:t>
            </w:r>
            <w:r w:rsidR="00C40FA9" w:rsidRPr="00D51B7D">
              <w:rPr>
                <w:color w:val="FFFFFF" w:themeColor="background1"/>
              </w:rPr>
              <w:t>January</w:t>
            </w:r>
          </w:p>
        </w:tc>
        <w:tc>
          <w:tcPr>
            <w:tcW w:w="7355" w:type="dxa"/>
          </w:tcPr>
          <w:p w14:paraId="4F72CA95" w14:textId="77777777" w:rsidR="00E23EDC" w:rsidRPr="00157906" w:rsidRDefault="00E23EDC" w:rsidP="00474EB5">
            <w:pPr>
              <w:pStyle w:val="BodyText"/>
              <w:ind w:left="0"/>
              <w:cnfStyle w:val="000000100000" w:firstRow="0" w:lastRow="0" w:firstColumn="0" w:lastColumn="0" w:oddVBand="0" w:evenVBand="0" w:oddHBand="1" w:evenHBand="0" w:firstRowFirstColumn="0" w:firstRowLastColumn="0" w:lastRowFirstColumn="0" w:lastRowLastColumn="0"/>
            </w:pPr>
            <w:r w:rsidRPr="00157906">
              <w:t>Interviews (if required)</w:t>
            </w:r>
          </w:p>
        </w:tc>
      </w:tr>
      <w:tr w:rsidR="00E23EDC" w14:paraId="2B0C8A2A" w14:textId="77777777" w:rsidTr="46905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73A3FA3" w14:textId="3D1247FD" w:rsidR="00E23EDC" w:rsidRPr="00D51B7D" w:rsidRDefault="00E23EDC" w:rsidP="00474EB5">
            <w:pPr>
              <w:pStyle w:val="BodyText"/>
              <w:ind w:left="0"/>
              <w:rPr>
                <w:color w:val="FFFFFF" w:themeColor="background1"/>
              </w:rPr>
            </w:pPr>
            <w:r w:rsidRPr="00D51B7D">
              <w:rPr>
                <w:color w:val="FFFFFF" w:themeColor="background1"/>
              </w:rPr>
              <w:t xml:space="preserve">w/c </w:t>
            </w:r>
            <w:r w:rsidR="00C40FA9" w:rsidRPr="00D51B7D">
              <w:rPr>
                <w:color w:val="FFFFFF" w:themeColor="background1"/>
              </w:rPr>
              <w:t>22</w:t>
            </w:r>
            <w:r w:rsidR="00E070E6" w:rsidRPr="00D51B7D">
              <w:rPr>
                <w:color w:val="FFFFFF" w:themeColor="background1"/>
              </w:rPr>
              <w:t>-</w:t>
            </w:r>
            <w:r w:rsidR="00E4187D" w:rsidRPr="00D51B7D">
              <w:rPr>
                <w:color w:val="FFFFFF" w:themeColor="background1"/>
              </w:rPr>
              <w:t xml:space="preserve">29 </w:t>
            </w:r>
            <w:r w:rsidR="002C721C" w:rsidRPr="00D51B7D">
              <w:rPr>
                <w:color w:val="FFFFFF" w:themeColor="background1"/>
              </w:rPr>
              <w:t>January</w:t>
            </w:r>
          </w:p>
        </w:tc>
        <w:tc>
          <w:tcPr>
            <w:tcW w:w="7355" w:type="dxa"/>
          </w:tcPr>
          <w:p w14:paraId="60A813CD" w14:textId="77777777" w:rsidR="00E23EDC" w:rsidRPr="00157906" w:rsidRDefault="00E23EDC" w:rsidP="00474EB5">
            <w:pPr>
              <w:pStyle w:val="BodyText"/>
              <w:ind w:left="0"/>
              <w:cnfStyle w:val="000000010000" w:firstRow="0" w:lastRow="0" w:firstColumn="0" w:lastColumn="0" w:oddVBand="0" w:evenVBand="0" w:oddHBand="0" w:evenHBand="1" w:firstRowFirstColumn="0" w:firstRowLastColumn="0" w:lastRowFirstColumn="0" w:lastRowLastColumn="0"/>
            </w:pPr>
            <w:r w:rsidRPr="00157906">
              <w:t>Kick-off meeting</w:t>
            </w:r>
          </w:p>
        </w:tc>
      </w:tr>
      <w:tr w:rsidR="00A40D67" w14:paraId="630A0BE7" w14:textId="77777777" w:rsidTr="46905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C445547" w14:textId="2CF94786" w:rsidR="00A40D67" w:rsidRPr="00D51B7D" w:rsidRDefault="00A40D67" w:rsidP="00474EB5">
            <w:pPr>
              <w:pStyle w:val="BodyText"/>
              <w:ind w:left="0"/>
              <w:rPr>
                <w:color w:val="FFFFFF" w:themeColor="background1"/>
              </w:rPr>
            </w:pPr>
            <w:r w:rsidRPr="00D51B7D">
              <w:rPr>
                <w:color w:val="FFFFFF" w:themeColor="background1"/>
              </w:rPr>
              <w:t>w/c 2</w:t>
            </w:r>
            <w:r w:rsidR="004211AC" w:rsidRPr="00D51B7D">
              <w:rPr>
                <w:color w:val="FFFFFF" w:themeColor="background1"/>
              </w:rPr>
              <w:t>6</w:t>
            </w:r>
            <w:r w:rsidRPr="00D51B7D">
              <w:rPr>
                <w:color w:val="FFFFFF" w:themeColor="background1"/>
              </w:rPr>
              <w:t xml:space="preserve"> February</w:t>
            </w:r>
          </w:p>
        </w:tc>
        <w:tc>
          <w:tcPr>
            <w:tcW w:w="7355" w:type="dxa"/>
          </w:tcPr>
          <w:p w14:paraId="64887C01" w14:textId="298D1B63" w:rsidR="00A40D67" w:rsidRPr="00157906" w:rsidRDefault="00A40D67" w:rsidP="00474EB5">
            <w:pPr>
              <w:pStyle w:val="BodyText"/>
              <w:ind w:left="0"/>
              <w:cnfStyle w:val="000000100000" w:firstRow="0" w:lastRow="0" w:firstColumn="0" w:lastColumn="0" w:oddVBand="0" w:evenVBand="0" w:oddHBand="1" w:evenHBand="0" w:firstRowFirstColumn="0" w:firstRowLastColumn="0" w:lastRowFirstColumn="0" w:lastRowLastColumn="0"/>
            </w:pPr>
            <w:r>
              <w:t>Interim quantitative outputs</w:t>
            </w:r>
          </w:p>
        </w:tc>
      </w:tr>
      <w:tr w:rsidR="00E23EDC" w14:paraId="20CA4BC1" w14:textId="77777777" w:rsidTr="46905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4A30F25" w14:textId="5A59394F" w:rsidR="00E23EDC" w:rsidRPr="00D51B7D" w:rsidRDefault="00E23EDC" w:rsidP="00474EB5">
            <w:pPr>
              <w:pStyle w:val="BodyText"/>
              <w:ind w:left="0"/>
              <w:rPr>
                <w:color w:val="FFFFFF" w:themeColor="background1"/>
              </w:rPr>
            </w:pPr>
            <w:r w:rsidRPr="00D51B7D">
              <w:rPr>
                <w:color w:val="FFFFFF" w:themeColor="background1"/>
              </w:rPr>
              <w:t xml:space="preserve">w/c </w:t>
            </w:r>
            <w:r w:rsidR="00292938" w:rsidRPr="00D51B7D">
              <w:rPr>
                <w:color w:val="FFFFFF" w:themeColor="background1"/>
              </w:rPr>
              <w:t>11 March</w:t>
            </w:r>
          </w:p>
        </w:tc>
        <w:tc>
          <w:tcPr>
            <w:tcW w:w="7355" w:type="dxa"/>
          </w:tcPr>
          <w:p w14:paraId="3E88CA6B" w14:textId="3918D882" w:rsidR="00E23EDC" w:rsidRPr="00157906" w:rsidRDefault="00445444" w:rsidP="00474EB5">
            <w:pPr>
              <w:pStyle w:val="BodyText"/>
              <w:ind w:left="0"/>
              <w:cnfStyle w:val="000000010000" w:firstRow="0" w:lastRow="0" w:firstColumn="0" w:lastColumn="0" w:oddVBand="0" w:evenVBand="0" w:oddHBand="0" w:evenHBand="1" w:firstRowFirstColumn="0" w:firstRowLastColumn="0" w:lastRowFirstColumn="0" w:lastRowLastColumn="0"/>
            </w:pPr>
            <w:r>
              <w:t xml:space="preserve">Initial version of </w:t>
            </w:r>
            <w:r w:rsidR="00563595">
              <w:t>final</w:t>
            </w:r>
            <w:r w:rsidR="00E23EDC" w:rsidRPr="00157906">
              <w:t xml:space="preserve"> report</w:t>
            </w:r>
          </w:p>
        </w:tc>
      </w:tr>
      <w:tr w:rsidR="00E23EDC" w14:paraId="5FD63637" w14:textId="77777777" w:rsidTr="46905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BC8FFA3" w14:textId="0A7092D6" w:rsidR="00E23EDC" w:rsidRPr="00D51B7D" w:rsidRDefault="00E23EDC" w:rsidP="00474EB5">
            <w:pPr>
              <w:pStyle w:val="BodyText"/>
              <w:ind w:left="0"/>
              <w:rPr>
                <w:color w:val="FFFFFF" w:themeColor="background1"/>
              </w:rPr>
            </w:pPr>
            <w:r w:rsidRPr="00D51B7D">
              <w:rPr>
                <w:color w:val="FFFFFF" w:themeColor="background1"/>
              </w:rPr>
              <w:t xml:space="preserve">w/c </w:t>
            </w:r>
            <w:r w:rsidR="00292938" w:rsidRPr="00D51B7D">
              <w:rPr>
                <w:color w:val="FFFFFF" w:themeColor="background1"/>
              </w:rPr>
              <w:t>25 March</w:t>
            </w:r>
          </w:p>
        </w:tc>
        <w:tc>
          <w:tcPr>
            <w:tcW w:w="7355" w:type="dxa"/>
          </w:tcPr>
          <w:p w14:paraId="3903BF7F" w14:textId="38EFB934" w:rsidR="00E23EDC" w:rsidRPr="00157906" w:rsidRDefault="00E23EDC" w:rsidP="00474EB5">
            <w:pPr>
              <w:pStyle w:val="BodyText"/>
              <w:ind w:left="0"/>
              <w:cnfStyle w:val="000000100000" w:firstRow="0" w:lastRow="0" w:firstColumn="0" w:lastColumn="0" w:oddVBand="0" w:evenVBand="0" w:oddHBand="1" w:evenHBand="0" w:firstRowFirstColumn="0" w:firstRowLastColumn="0" w:lastRowFirstColumn="0" w:lastRowLastColumn="0"/>
            </w:pPr>
            <w:r w:rsidRPr="00157906">
              <w:t xml:space="preserve">Final report </w:t>
            </w:r>
            <w:r w:rsidR="00CF2E0A">
              <w:t xml:space="preserve">and quantitative outputs </w:t>
            </w:r>
            <w:r w:rsidRPr="00157906">
              <w:t>agreed with CCC, ready for publication</w:t>
            </w:r>
          </w:p>
        </w:tc>
      </w:tr>
    </w:tbl>
    <w:p w14:paraId="37EAB5F8" w14:textId="77777777" w:rsidR="00E23EDC" w:rsidRDefault="00E23EDC" w:rsidP="00911873">
      <w:pPr>
        <w:pStyle w:val="Norma"/>
      </w:pPr>
    </w:p>
    <w:p w14:paraId="29C0F52F" w14:textId="0AA972F7" w:rsidR="003A05B7" w:rsidRPr="0038388A" w:rsidRDefault="00E23EDC" w:rsidP="0040739F">
      <w:pPr>
        <w:pStyle w:val="Norma"/>
      </w:pPr>
      <w:r w:rsidRPr="008C4DC5">
        <w:t>The CCC is willing to be flexible with timelines and will consider alternative timetable proposals.</w:t>
      </w:r>
    </w:p>
    <w:p w14:paraId="6A8AE529" w14:textId="5D4B7155" w:rsidR="003A05B7" w:rsidRPr="005359A7" w:rsidRDefault="003A05B7" w:rsidP="00911873">
      <w:pPr>
        <w:pStyle w:val="Heading1"/>
        <w:numPr>
          <w:ilvl w:val="0"/>
          <w:numId w:val="1"/>
        </w:numPr>
      </w:pPr>
      <w:bookmarkStart w:id="22" w:name="_Ref357541731"/>
      <w:bookmarkStart w:id="23" w:name="_Toc381969514"/>
      <w:bookmarkStart w:id="24" w:name="_Toc405888463"/>
      <w:r w:rsidRPr="005359A7">
        <w:t>Challenges</w:t>
      </w:r>
      <w:bookmarkEnd w:id="22"/>
      <w:bookmarkEnd w:id="23"/>
      <w:bookmarkEnd w:id="24"/>
    </w:p>
    <w:p w14:paraId="06AEFA2E" w14:textId="08702195" w:rsidR="0038388A" w:rsidRPr="0038388A" w:rsidRDefault="007317B3" w:rsidP="0040739F">
      <w:pPr>
        <w:pStyle w:val="Norma"/>
      </w:pPr>
      <w:r w:rsidRPr="008C4DC5">
        <w:t>Tenderers should highlight any challenges or risks that they envisage in delivering all the outputs of the project, whether in terms of scope of the work, resources or timelines. Alternative suggestions will be considered if the risks are such that the project is unlikely to be able to be delivered in its current form.</w:t>
      </w:r>
    </w:p>
    <w:p w14:paraId="01C079ED" w14:textId="2003555E" w:rsidR="0038388A" w:rsidRPr="005359A7" w:rsidRDefault="0038388A" w:rsidP="00857AD6">
      <w:pPr>
        <w:pStyle w:val="Heading1"/>
        <w:numPr>
          <w:ilvl w:val="0"/>
          <w:numId w:val="1"/>
        </w:numPr>
      </w:pPr>
      <w:bookmarkStart w:id="25" w:name="_Ref338852517"/>
      <w:bookmarkStart w:id="26" w:name="_Toc381969516"/>
      <w:bookmarkStart w:id="27" w:name="_Toc405888465"/>
      <w:r w:rsidRPr="005359A7">
        <w:t>Working Arrangements</w:t>
      </w:r>
      <w:bookmarkEnd w:id="25"/>
      <w:bookmarkEnd w:id="26"/>
      <w:bookmarkEnd w:id="27"/>
    </w:p>
    <w:p w14:paraId="63E0399A" w14:textId="77777777" w:rsidR="0038388A" w:rsidRPr="0038388A" w:rsidRDefault="0038388A" w:rsidP="00911873">
      <w:pPr>
        <w:pStyle w:val="Norma"/>
      </w:pPr>
      <w:r w:rsidRPr="0038388A">
        <w:t xml:space="preserve">The successful contractor will be expected to identify one named point of contract through whom all enquiries can be filtered. A CCC project manager will be assigned to the project and will be the central point of contact. </w:t>
      </w:r>
    </w:p>
    <w:p w14:paraId="4A8773AC" w14:textId="77777777" w:rsidR="0038388A" w:rsidRPr="005359A7" w:rsidRDefault="0038388A" w:rsidP="00857AD6">
      <w:pPr>
        <w:pStyle w:val="Heading1"/>
        <w:numPr>
          <w:ilvl w:val="0"/>
          <w:numId w:val="1"/>
        </w:numPr>
      </w:pPr>
      <w:r w:rsidRPr="005359A7">
        <w:t>Skills and experience</w:t>
      </w:r>
    </w:p>
    <w:p w14:paraId="045E359F" w14:textId="4DD1BE6B" w:rsidR="0038388A" w:rsidRPr="00911873" w:rsidRDefault="0038388A" w:rsidP="00911873">
      <w:pPr>
        <w:pStyle w:val="Norma"/>
      </w:pPr>
      <w:r w:rsidRPr="0038388A">
        <w:t>CCC would like you to demonstrate that you have the experience and capabilities to undertake the project. Your tender response should include a summary of each proposed team members experience and capabilities.</w:t>
      </w:r>
      <w:r w:rsidRPr="00911873">
        <w:t xml:space="preserve"> </w:t>
      </w:r>
    </w:p>
    <w:p w14:paraId="2D3BD37A" w14:textId="77777777" w:rsidR="0038388A" w:rsidRPr="0038388A" w:rsidRDefault="0038388A" w:rsidP="00911873">
      <w:pPr>
        <w:pStyle w:val="Norma"/>
      </w:pPr>
    </w:p>
    <w:p w14:paraId="6B2CCA6E" w14:textId="0282DB27" w:rsidR="0038388A" w:rsidRPr="0038388A" w:rsidRDefault="0038388A" w:rsidP="00911873">
      <w:pPr>
        <w:pStyle w:val="Norma"/>
      </w:pPr>
      <w:r w:rsidRPr="0038388A">
        <w:t xml:space="preserve">Contractors should propose named members of the project </w:t>
      </w:r>
      <w:proofErr w:type="gramStart"/>
      <w:r w:rsidRPr="0038388A">
        <w:t>team, and</w:t>
      </w:r>
      <w:proofErr w:type="gramEnd"/>
      <w:r w:rsidRPr="0038388A">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00911873">
      <w:pPr>
        <w:pStyle w:val="PTablebodyCharCharChar"/>
      </w:pPr>
    </w:p>
    <w:p w14:paraId="5C1464B8" w14:textId="5D2DCDFC" w:rsidR="0038388A" w:rsidRPr="0038388A" w:rsidRDefault="0038388A" w:rsidP="0040739F">
      <w:pPr>
        <w:pStyle w:val="Norma"/>
      </w:pPr>
      <w:r w:rsidRPr="0038388A">
        <w:t>Contractors should identify the individual(s) who will be responsible for managing the project.</w:t>
      </w:r>
      <w:bookmarkStart w:id="28" w:name="_Ref338852499"/>
    </w:p>
    <w:p w14:paraId="1568BF56" w14:textId="77777777" w:rsidR="0038388A" w:rsidRPr="0038388A" w:rsidRDefault="0038388A" w:rsidP="00857AD6">
      <w:pPr>
        <w:pStyle w:val="Heading1"/>
        <w:numPr>
          <w:ilvl w:val="0"/>
          <w:numId w:val="1"/>
        </w:numPr>
        <w:rPr>
          <w:color w:val="FF0000"/>
        </w:rPr>
      </w:pPr>
      <w:bookmarkStart w:id="29" w:name="_Ref373505239"/>
      <w:bookmarkStart w:id="30" w:name="_Toc381969518"/>
      <w:bookmarkStart w:id="31" w:name="_Toc405888467"/>
      <w:r w:rsidRPr="005359A7">
        <w:t>Consortium Bids</w:t>
      </w:r>
      <w:bookmarkEnd w:id="29"/>
      <w:bookmarkEnd w:id="30"/>
      <w:bookmarkEnd w:id="31"/>
    </w:p>
    <w:p w14:paraId="67F2973E" w14:textId="77777777" w:rsidR="0038388A" w:rsidRPr="00911873" w:rsidRDefault="0038388A" w:rsidP="00911873">
      <w:pPr>
        <w:pStyle w:val="Norma"/>
      </w:pPr>
      <w:r w:rsidRPr="00911873">
        <w:t xml:space="preserve">In the case of a consortium tender, only one submission covering </w:t>
      </w:r>
      <w:proofErr w:type="gramStart"/>
      <w:r w:rsidRPr="00911873">
        <w:t>all of</w:t>
      </w:r>
      <w:proofErr w:type="gramEnd"/>
      <w:r w:rsidRPr="00911873">
        <w:t xml:space="preserve"> the partners is required but consortia are advised to make clear the proposed role that each partner will play in performing the contract as per the requirements of the technical specification.  We expect the bidder to indicate who in the consortium will be the lead contact for this project, and the organisation and governance associated with the consortia.</w:t>
      </w:r>
    </w:p>
    <w:p w14:paraId="60A11371" w14:textId="77777777" w:rsidR="0038388A" w:rsidRPr="00911873" w:rsidRDefault="0038388A" w:rsidP="00911873">
      <w:pPr>
        <w:pStyle w:val="Norma"/>
      </w:pPr>
    </w:p>
    <w:p w14:paraId="59DE9097" w14:textId="3382F432" w:rsidR="0038388A" w:rsidRDefault="0038388A" w:rsidP="00911873">
      <w:pPr>
        <w:pStyle w:val="Norma"/>
      </w:pPr>
      <w:r w:rsidRPr="00911873">
        <w:t>Contractors must provide details as to how they will manage any sub-contractors and what percentage of the tendered activity (in terms of monetary value) will be sub-contracted.</w:t>
      </w:r>
    </w:p>
    <w:p w14:paraId="41DEEEBE" w14:textId="77777777" w:rsidR="00911873" w:rsidRPr="00911873" w:rsidRDefault="00911873" w:rsidP="00911873">
      <w:pPr>
        <w:pStyle w:val="Norma"/>
      </w:pPr>
    </w:p>
    <w:p w14:paraId="4A5DD6C2" w14:textId="77777777" w:rsidR="0038388A" w:rsidRPr="00911873" w:rsidRDefault="0038388A" w:rsidP="00911873">
      <w:pPr>
        <w:pStyle w:val="Norma"/>
      </w:pPr>
      <w:r w:rsidRPr="00911873">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911873" w:rsidRDefault="0038388A" w:rsidP="00911873">
      <w:pPr>
        <w:pStyle w:val="Norma"/>
      </w:pPr>
    </w:p>
    <w:p w14:paraId="0734B508" w14:textId="068ED6DD" w:rsidR="0038388A" w:rsidRPr="00911873" w:rsidRDefault="0038388A" w:rsidP="00911873">
      <w:pPr>
        <w:pStyle w:val="Norma"/>
      </w:pPr>
      <w:r w:rsidRPr="00911873">
        <w:lastRenderedPageBreak/>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DDBDA6E" w14:textId="77777777" w:rsidR="0038388A" w:rsidRPr="005359A7" w:rsidRDefault="0038388A" w:rsidP="00857AD6">
      <w:pPr>
        <w:pStyle w:val="Heading1"/>
        <w:numPr>
          <w:ilvl w:val="0"/>
          <w:numId w:val="1"/>
        </w:numPr>
      </w:pPr>
      <w:bookmarkStart w:id="32" w:name="_Ref357541811"/>
      <w:bookmarkStart w:id="33" w:name="_Toc381969519"/>
      <w:bookmarkStart w:id="34" w:name="_Toc405888468"/>
      <w:bookmarkStart w:id="35" w:name="_Toc246831559"/>
      <w:bookmarkStart w:id="36" w:name="_Toc271272917"/>
      <w:bookmarkStart w:id="37" w:name="_Ref338852577"/>
      <w:bookmarkEnd w:id="28"/>
      <w:r w:rsidRPr="005359A7">
        <w:t>Budget</w:t>
      </w:r>
      <w:bookmarkEnd w:id="32"/>
      <w:bookmarkEnd w:id="33"/>
      <w:bookmarkEnd w:id="34"/>
      <w:r w:rsidRPr="005359A7">
        <w:t xml:space="preserve"> </w:t>
      </w:r>
    </w:p>
    <w:p w14:paraId="32334C7F" w14:textId="7D026E4D" w:rsidR="0038388A" w:rsidRPr="00911873" w:rsidRDefault="0038388A" w:rsidP="00911873">
      <w:r w:rsidRPr="00911873">
        <w:t xml:space="preserve">The budget for this </w:t>
      </w:r>
      <w:r w:rsidRPr="00AD101C">
        <w:t>project is £</w:t>
      </w:r>
      <w:r w:rsidR="00F000E2" w:rsidRPr="00AD101C">
        <w:t>25,000</w:t>
      </w:r>
      <w:r w:rsidR="0069254D" w:rsidRPr="00AD101C">
        <w:t xml:space="preserve"> </w:t>
      </w:r>
      <w:r w:rsidR="00AD101C" w:rsidRPr="00AD101C">
        <w:rPr>
          <w:u w:val="single"/>
        </w:rPr>
        <w:t>excluding</w:t>
      </w:r>
      <w:r w:rsidRPr="00AD101C">
        <w:t xml:space="preserve"> VAT.</w:t>
      </w:r>
    </w:p>
    <w:p w14:paraId="750A7CA0" w14:textId="77777777" w:rsidR="0038388A" w:rsidRPr="00911873" w:rsidRDefault="0038388A" w:rsidP="00911873"/>
    <w:p w14:paraId="2E5BF3D2" w14:textId="23157969" w:rsidR="0038388A" w:rsidRPr="00911873" w:rsidRDefault="0038388A" w:rsidP="00911873">
      <w:r w:rsidRPr="00911873">
        <w:t xml:space="preserve">Contractors should provide a full and detailed breakdown of costs (including options where appropriate). This should include staff (and day rate) allocated to specific tasks. </w:t>
      </w:r>
      <w:bookmarkEnd w:id="35"/>
      <w:bookmarkEnd w:id="36"/>
      <w:bookmarkEnd w:id="37"/>
    </w:p>
    <w:p w14:paraId="18A59622" w14:textId="77777777" w:rsidR="0038388A" w:rsidRPr="00911873" w:rsidRDefault="0038388A" w:rsidP="00911873"/>
    <w:p w14:paraId="237D5DD6" w14:textId="77777777" w:rsidR="0038388A" w:rsidRPr="00911873" w:rsidRDefault="0038388A" w:rsidP="00911873">
      <w:r w:rsidRPr="00911873">
        <w:t xml:space="preserve">Cost will be a criterion against which bids which will be assessed. </w:t>
      </w:r>
    </w:p>
    <w:p w14:paraId="1B859929" w14:textId="77777777" w:rsidR="0038388A" w:rsidRPr="00911873" w:rsidRDefault="0038388A" w:rsidP="00911873"/>
    <w:p w14:paraId="6F517922" w14:textId="4D958427" w:rsidR="0038388A" w:rsidRPr="00911873" w:rsidRDefault="0038388A" w:rsidP="00911873">
      <w:r w:rsidRPr="00911873">
        <w:t>Payments will be linked to delivery of key milestones. The indicative milestones and phasing of payments can be adjusted and agreed with the contractor and Project Manager. Please advise in your tender response how this breakdown reflects your usual payment processes</w:t>
      </w:r>
      <w:r w:rsidR="00496642">
        <w:t>.</w:t>
      </w:r>
    </w:p>
    <w:p w14:paraId="23A0F2E2" w14:textId="77777777" w:rsidR="0038388A" w:rsidRPr="00911873" w:rsidRDefault="0038388A" w:rsidP="00911873"/>
    <w:p w14:paraId="7092805F" w14:textId="77777777" w:rsidR="0038388A" w:rsidRPr="00911873" w:rsidRDefault="0038388A" w:rsidP="00911873">
      <w:pPr>
        <w:rPr>
          <w:rFonts w:eastAsia="MS Mincho"/>
        </w:rPr>
      </w:pPr>
      <w:r w:rsidRPr="00911873">
        <w:rPr>
          <w:rFonts w:eastAsia="MS Mincho"/>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911873" w:rsidRDefault="0038388A" w:rsidP="00911873">
      <w:pPr>
        <w:rPr>
          <w:rFonts w:eastAsia="MS Mincho"/>
        </w:rPr>
      </w:pPr>
    </w:p>
    <w:p w14:paraId="18E669ED" w14:textId="4B7AC9C1" w:rsidR="0038388A" w:rsidRPr="0040739F" w:rsidRDefault="0038388A" w:rsidP="0040739F">
      <w:pPr>
        <w:rPr>
          <w:rFonts w:eastAsia="MS Mincho"/>
        </w:rPr>
      </w:pPr>
      <w:r w:rsidRPr="00911873">
        <w:rPr>
          <w:rFonts w:eastAsia="MS Mincho"/>
        </w:rPr>
        <w:t>The Committee on Climate Change aims to pay all correctly submitted invoices as soon as possible with a target of 10 days from the date of receipt and within 30 days at the latest in line with standard terms and conditions of contract.</w:t>
      </w:r>
    </w:p>
    <w:p w14:paraId="5A7A6770" w14:textId="33F4C5AA" w:rsidR="0038388A" w:rsidRPr="005359A7" w:rsidRDefault="0038388A" w:rsidP="00857AD6">
      <w:pPr>
        <w:pStyle w:val="Heading1"/>
        <w:numPr>
          <w:ilvl w:val="0"/>
          <w:numId w:val="1"/>
        </w:numPr>
      </w:pPr>
      <w:bookmarkStart w:id="38" w:name="_Ref357541836"/>
      <w:bookmarkStart w:id="39" w:name="_Toc381969520"/>
      <w:bookmarkStart w:id="40" w:name="_Toc405888469"/>
      <w:r w:rsidRPr="005359A7">
        <w:t>Evaluation of Tenders</w:t>
      </w:r>
      <w:bookmarkEnd w:id="38"/>
      <w:bookmarkEnd w:id="39"/>
      <w:bookmarkEnd w:id="40"/>
    </w:p>
    <w:p w14:paraId="1CCEBD71" w14:textId="6DD32808" w:rsidR="0038388A" w:rsidRPr="0038388A" w:rsidRDefault="0038388A" w:rsidP="00911873">
      <w:r w:rsidRPr="0033317E">
        <w:t xml:space="preserve">Contractors are invited to submit full tenders of no more than </w:t>
      </w:r>
      <w:r w:rsidR="0027435F">
        <w:t>2</w:t>
      </w:r>
      <w:r w:rsidRPr="0033317E">
        <w:t xml:space="preserve">5 </w:t>
      </w:r>
      <w:r w:rsidRPr="0038388A">
        <w:t>pages, excluding declarations and CV’s. Tenders will be evaluated by at least three CCC staff.</w:t>
      </w:r>
    </w:p>
    <w:p w14:paraId="42464FDF" w14:textId="77777777" w:rsidR="0038388A" w:rsidRPr="0038388A" w:rsidRDefault="0038388A" w:rsidP="00911873"/>
    <w:p w14:paraId="1E730437" w14:textId="77777777" w:rsidR="0038388A" w:rsidRPr="0038388A" w:rsidRDefault="0038388A" w:rsidP="00911873">
      <w:r w:rsidRPr="0038388A">
        <w:t>CCC will select the bidder that scores highest against the criteria and weighting listed below, see the ITT for further information.</w:t>
      </w:r>
    </w:p>
    <w:p w14:paraId="3D758287" w14:textId="77777777" w:rsidR="0038388A" w:rsidRDefault="0038388A" w:rsidP="00911873"/>
    <w:p w14:paraId="60EC1450" w14:textId="44D66780" w:rsidR="0038388A" w:rsidRPr="00911873" w:rsidRDefault="00911873" w:rsidP="00911873">
      <w:pPr>
        <w:rPr>
          <w:b/>
          <w:bCs/>
        </w:rPr>
      </w:pPr>
      <w:r w:rsidRPr="00911873">
        <w:rPr>
          <w:b/>
          <w:bCs/>
        </w:rPr>
        <w:t>Evaluation criteria</w:t>
      </w:r>
    </w:p>
    <w:p w14:paraId="5BD42D8F" w14:textId="531ED810" w:rsidR="0038388A" w:rsidRDefault="0038388A" w:rsidP="00911873">
      <w:pPr>
        <w:pStyle w:val="Norma"/>
      </w:pPr>
    </w:p>
    <w:tbl>
      <w:tblPr>
        <w:tblStyle w:val="CCCTable"/>
        <w:tblW w:w="9481" w:type="dxa"/>
        <w:tblInd w:w="720" w:type="dxa"/>
        <w:tblLook w:val="04A0" w:firstRow="1" w:lastRow="0" w:firstColumn="1" w:lastColumn="0" w:noHBand="0" w:noVBand="1"/>
      </w:tblPr>
      <w:tblGrid>
        <w:gridCol w:w="1706"/>
        <w:gridCol w:w="5650"/>
        <w:gridCol w:w="2125"/>
      </w:tblGrid>
      <w:tr w:rsidR="0033317E" w:rsidRPr="008059A3" w14:paraId="0FD1273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6790671C" w14:textId="77777777" w:rsidR="0033317E" w:rsidRPr="00644C65" w:rsidRDefault="0033317E" w:rsidP="00911873">
            <w:pPr>
              <w:pStyle w:val="BodyText"/>
            </w:pPr>
            <w:r w:rsidRPr="00644C65">
              <w:t>Criterion</w:t>
            </w:r>
          </w:p>
        </w:tc>
        <w:tc>
          <w:tcPr>
            <w:tcW w:w="5670" w:type="dxa"/>
          </w:tcPr>
          <w:p w14:paraId="29D0809A" w14:textId="77777777" w:rsidR="0033317E" w:rsidRPr="008059A3" w:rsidRDefault="0033317E" w:rsidP="00911873">
            <w:pPr>
              <w:pStyle w:val="BodyText"/>
              <w:cnfStyle w:val="100000000000" w:firstRow="1" w:lastRow="0" w:firstColumn="0" w:lastColumn="0" w:oddVBand="0" w:evenVBand="0" w:oddHBand="0" w:evenHBand="0" w:firstRowFirstColumn="0" w:firstRowLastColumn="0" w:lastRowFirstColumn="0" w:lastRowLastColumn="0"/>
            </w:pPr>
            <w:r w:rsidRPr="008059A3">
              <w:t>Description</w:t>
            </w:r>
          </w:p>
        </w:tc>
        <w:tc>
          <w:tcPr>
            <w:tcW w:w="2126" w:type="dxa"/>
          </w:tcPr>
          <w:p w14:paraId="3EE26F35" w14:textId="77777777" w:rsidR="0033317E" w:rsidRPr="008059A3" w:rsidRDefault="0033317E" w:rsidP="00911873">
            <w:pPr>
              <w:pStyle w:val="BodyText"/>
              <w:cnfStyle w:val="100000000000" w:firstRow="1" w:lastRow="0" w:firstColumn="0" w:lastColumn="0" w:oddVBand="0" w:evenVBand="0" w:oddHBand="0" w:evenHBand="0" w:firstRowFirstColumn="0" w:firstRowLastColumn="0" w:lastRowFirstColumn="0" w:lastRowLastColumn="0"/>
            </w:pPr>
            <w:r w:rsidRPr="008059A3">
              <w:t>Weighting</w:t>
            </w:r>
          </w:p>
        </w:tc>
      </w:tr>
      <w:tr w:rsidR="0033317E" w:rsidRPr="008059A3" w14:paraId="64D02B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65DB009C" w14:textId="77777777" w:rsidR="0033317E" w:rsidRPr="008059A3" w:rsidRDefault="0033317E" w:rsidP="00911873">
            <w:pPr>
              <w:pStyle w:val="BodyText"/>
            </w:pPr>
            <w:r w:rsidRPr="008059A3">
              <w:t>1</w:t>
            </w:r>
          </w:p>
        </w:tc>
        <w:tc>
          <w:tcPr>
            <w:tcW w:w="5670" w:type="dxa"/>
          </w:tcPr>
          <w:p w14:paraId="1DB35C62" w14:textId="77777777" w:rsidR="0033317E" w:rsidRPr="008059A3" w:rsidRDefault="0033317E" w:rsidP="00F964F5">
            <w:pPr>
              <w:pStyle w:val="BodyText"/>
              <w:ind w:left="0"/>
              <w:cnfStyle w:val="000000100000" w:firstRow="0" w:lastRow="0" w:firstColumn="0" w:lastColumn="0" w:oddVBand="0" w:evenVBand="0" w:oddHBand="1" w:evenHBand="0" w:firstRowFirstColumn="0" w:firstRowLastColumn="0" w:lastRowFirstColumn="0" w:lastRowLastColumn="0"/>
            </w:pPr>
            <w:r w:rsidRPr="008059A3">
              <w:t>RELEVANT EXPERIENCE / DEMONSTRATION OF CABABILITY</w:t>
            </w:r>
          </w:p>
        </w:tc>
        <w:tc>
          <w:tcPr>
            <w:tcW w:w="2126" w:type="dxa"/>
          </w:tcPr>
          <w:p w14:paraId="04EBCACF" w14:textId="5B5C97F3" w:rsidR="0033317E" w:rsidRPr="008059A3" w:rsidRDefault="002958D6" w:rsidP="00911873">
            <w:pPr>
              <w:pStyle w:val="BodyText"/>
              <w:cnfStyle w:val="000000100000" w:firstRow="0" w:lastRow="0" w:firstColumn="0" w:lastColumn="0" w:oddVBand="0" w:evenVBand="0" w:oddHBand="1" w:evenHBand="0" w:firstRowFirstColumn="0" w:firstRowLastColumn="0" w:lastRowFirstColumn="0" w:lastRowLastColumn="0"/>
            </w:pPr>
            <w:r>
              <w:t>15</w:t>
            </w:r>
            <w:r w:rsidR="0033317E" w:rsidRPr="008059A3">
              <w:t>%</w:t>
            </w:r>
          </w:p>
        </w:tc>
      </w:tr>
      <w:tr w:rsidR="0033317E" w:rsidRPr="008059A3" w14:paraId="4C9074D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211A53D0" w14:textId="77777777" w:rsidR="0033317E" w:rsidRPr="008059A3" w:rsidRDefault="0033317E" w:rsidP="00911873">
            <w:pPr>
              <w:pStyle w:val="BodyText"/>
            </w:pPr>
            <w:r w:rsidRPr="008059A3">
              <w:t>2</w:t>
            </w:r>
          </w:p>
        </w:tc>
        <w:tc>
          <w:tcPr>
            <w:tcW w:w="5670" w:type="dxa"/>
          </w:tcPr>
          <w:p w14:paraId="0A0E0B70" w14:textId="77777777" w:rsidR="0033317E" w:rsidRPr="008059A3" w:rsidRDefault="0033317E" w:rsidP="00F964F5">
            <w:pPr>
              <w:pStyle w:val="BodyText"/>
              <w:ind w:left="0"/>
              <w:cnfStyle w:val="000000010000" w:firstRow="0" w:lastRow="0" w:firstColumn="0" w:lastColumn="0" w:oddVBand="0" w:evenVBand="0" w:oddHBand="0" w:evenHBand="1" w:firstRowFirstColumn="0" w:firstRowLastColumn="0" w:lastRowFirstColumn="0" w:lastRowLastColumn="0"/>
            </w:pPr>
            <w:r w:rsidRPr="008059A3">
              <w:t>MANAGING YOUR RELATIONSHIP WITH THE CCC</w:t>
            </w:r>
          </w:p>
        </w:tc>
        <w:tc>
          <w:tcPr>
            <w:tcW w:w="2126" w:type="dxa"/>
          </w:tcPr>
          <w:p w14:paraId="57D975FE" w14:textId="5CFEC64C" w:rsidR="0033317E" w:rsidRPr="008059A3" w:rsidRDefault="00FB26E1" w:rsidP="00911873">
            <w:pPr>
              <w:pStyle w:val="BodyText"/>
              <w:cnfStyle w:val="000000010000" w:firstRow="0" w:lastRow="0" w:firstColumn="0" w:lastColumn="0" w:oddVBand="0" w:evenVBand="0" w:oddHBand="0" w:evenHBand="1" w:firstRowFirstColumn="0" w:firstRowLastColumn="0" w:lastRowFirstColumn="0" w:lastRowLastColumn="0"/>
            </w:pPr>
            <w:r>
              <w:t>5</w:t>
            </w:r>
            <w:r w:rsidR="0033317E" w:rsidRPr="008059A3">
              <w:t>%</w:t>
            </w:r>
          </w:p>
        </w:tc>
      </w:tr>
      <w:tr w:rsidR="0033317E" w:rsidRPr="008059A3" w14:paraId="4521CA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5CDFB865" w14:textId="77777777" w:rsidR="0033317E" w:rsidRPr="008059A3" w:rsidRDefault="0033317E" w:rsidP="00911873">
            <w:pPr>
              <w:pStyle w:val="BodyText"/>
            </w:pPr>
            <w:r w:rsidRPr="008059A3">
              <w:t>3</w:t>
            </w:r>
          </w:p>
        </w:tc>
        <w:tc>
          <w:tcPr>
            <w:tcW w:w="5670" w:type="dxa"/>
          </w:tcPr>
          <w:p w14:paraId="0DB1D56F" w14:textId="77777777" w:rsidR="0033317E" w:rsidRPr="008059A3" w:rsidRDefault="0033317E" w:rsidP="00F964F5">
            <w:pPr>
              <w:pStyle w:val="BodyText"/>
              <w:ind w:left="0"/>
              <w:cnfStyle w:val="000000100000" w:firstRow="0" w:lastRow="0" w:firstColumn="0" w:lastColumn="0" w:oddVBand="0" w:evenVBand="0" w:oddHBand="1" w:evenHBand="0" w:firstRowFirstColumn="0" w:firstRowLastColumn="0" w:lastRowFirstColumn="0" w:lastRowLastColumn="0"/>
            </w:pPr>
            <w:r w:rsidRPr="008059A3">
              <w:t>QUALITY ASSURING THE SERVICES YOU PROVIDE</w:t>
            </w:r>
          </w:p>
        </w:tc>
        <w:tc>
          <w:tcPr>
            <w:tcW w:w="2126" w:type="dxa"/>
          </w:tcPr>
          <w:p w14:paraId="7A55B586" w14:textId="77777777" w:rsidR="0033317E" w:rsidRPr="008059A3" w:rsidRDefault="0033317E" w:rsidP="00911873">
            <w:pPr>
              <w:pStyle w:val="BodyText"/>
              <w:cnfStyle w:val="000000100000" w:firstRow="0" w:lastRow="0" w:firstColumn="0" w:lastColumn="0" w:oddVBand="0" w:evenVBand="0" w:oddHBand="1" w:evenHBand="0" w:firstRowFirstColumn="0" w:firstRowLastColumn="0" w:lastRowFirstColumn="0" w:lastRowLastColumn="0"/>
            </w:pPr>
            <w:r w:rsidRPr="008059A3">
              <w:t>10%</w:t>
            </w:r>
          </w:p>
        </w:tc>
      </w:tr>
      <w:tr w:rsidR="0033317E" w:rsidRPr="008059A3" w14:paraId="11CC9B9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3C5C64C4" w14:textId="77777777" w:rsidR="0033317E" w:rsidRPr="008059A3" w:rsidRDefault="0033317E" w:rsidP="00911873">
            <w:pPr>
              <w:pStyle w:val="BodyText"/>
            </w:pPr>
            <w:r w:rsidRPr="008059A3">
              <w:t>4</w:t>
            </w:r>
          </w:p>
        </w:tc>
        <w:tc>
          <w:tcPr>
            <w:tcW w:w="5670" w:type="dxa"/>
          </w:tcPr>
          <w:p w14:paraId="3F928207" w14:textId="77777777" w:rsidR="0033317E" w:rsidRPr="008059A3" w:rsidRDefault="0033317E" w:rsidP="00F964F5">
            <w:pPr>
              <w:pStyle w:val="BodyText"/>
              <w:ind w:left="0"/>
              <w:cnfStyle w:val="000000010000" w:firstRow="0" w:lastRow="0" w:firstColumn="0" w:lastColumn="0" w:oddVBand="0" w:evenVBand="0" w:oddHBand="0" w:evenHBand="1" w:firstRowFirstColumn="0" w:firstRowLastColumn="0" w:lastRowFirstColumn="0" w:lastRowLastColumn="0"/>
            </w:pPr>
            <w:r w:rsidRPr="008059A3">
              <w:t>MANAGEMENT STRUCTURE</w:t>
            </w:r>
          </w:p>
        </w:tc>
        <w:tc>
          <w:tcPr>
            <w:tcW w:w="2126" w:type="dxa"/>
          </w:tcPr>
          <w:p w14:paraId="729323AD" w14:textId="4D3C67E1" w:rsidR="0033317E" w:rsidRPr="008059A3" w:rsidRDefault="00FB26E1" w:rsidP="00911873">
            <w:pPr>
              <w:pStyle w:val="BodyText"/>
              <w:cnfStyle w:val="000000010000" w:firstRow="0" w:lastRow="0" w:firstColumn="0" w:lastColumn="0" w:oddVBand="0" w:evenVBand="0" w:oddHBand="0" w:evenHBand="1" w:firstRowFirstColumn="0" w:firstRowLastColumn="0" w:lastRowFirstColumn="0" w:lastRowLastColumn="0"/>
            </w:pPr>
            <w:r>
              <w:t>5</w:t>
            </w:r>
            <w:r w:rsidR="0033317E" w:rsidRPr="008059A3">
              <w:t>%</w:t>
            </w:r>
          </w:p>
        </w:tc>
      </w:tr>
      <w:tr w:rsidR="0033317E" w:rsidRPr="008059A3" w14:paraId="5826C7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1798728" w14:textId="77777777" w:rsidR="0033317E" w:rsidRPr="008059A3" w:rsidRDefault="0033317E" w:rsidP="00911873">
            <w:pPr>
              <w:pStyle w:val="BodyText"/>
            </w:pPr>
            <w:r w:rsidRPr="008059A3">
              <w:t>5</w:t>
            </w:r>
          </w:p>
        </w:tc>
        <w:tc>
          <w:tcPr>
            <w:tcW w:w="5670" w:type="dxa"/>
          </w:tcPr>
          <w:p w14:paraId="5E42F62D" w14:textId="77777777" w:rsidR="0033317E" w:rsidRPr="008059A3" w:rsidRDefault="0033317E" w:rsidP="00F964F5">
            <w:pPr>
              <w:pStyle w:val="BodyText"/>
              <w:ind w:left="0"/>
              <w:cnfStyle w:val="000000100000" w:firstRow="0" w:lastRow="0" w:firstColumn="0" w:lastColumn="0" w:oddVBand="0" w:evenVBand="0" w:oddHBand="1" w:evenHBand="0" w:firstRowFirstColumn="0" w:firstRowLastColumn="0" w:lastRowFirstColumn="0" w:lastRowLastColumn="0"/>
            </w:pPr>
            <w:r w:rsidRPr="008059A3">
              <w:t>PROJECT TEAM – SKILLS AND KNOWLEDGE</w:t>
            </w:r>
          </w:p>
        </w:tc>
        <w:tc>
          <w:tcPr>
            <w:tcW w:w="2126" w:type="dxa"/>
          </w:tcPr>
          <w:p w14:paraId="49EB04DF" w14:textId="78234B55" w:rsidR="0033317E" w:rsidRPr="008059A3" w:rsidRDefault="002958D6" w:rsidP="00911873">
            <w:pPr>
              <w:pStyle w:val="BodyText"/>
              <w:cnfStyle w:val="000000100000" w:firstRow="0" w:lastRow="0" w:firstColumn="0" w:lastColumn="0" w:oddVBand="0" w:evenVBand="0" w:oddHBand="1" w:evenHBand="0" w:firstRowFirstColumn="0" w:firstRowLastColumn="0" w:lastRowFirstColumn="0" w:lastRowLastColumn="0"/>
            </w:pPr>
            <w:r>
              <w:t>15</w:t>
            </w:r>
            <w:r w:rsidR="0033317E" w:rsidRPr="008059A3">
              <w:t>%</w:t>
            </w:r>
          </w:p>
        </w:tc>
      </w:tr>
      <w:tr w:rsidR="0033317E" w:rsidRPr="008059A3" w14:paraId="4B98591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62CA5B21" w14:textId="77777777" w:rsidR="0033317E" w:rsidRPr="008059A3" w:rsidRDefault="0033317E" w:rsidP="00911873">
            <w:pPr>
              <w:pStyle w:val="BodyText"/>
            </w:pPr>
            <w:r w:rsidRPr="008059A3">
              <w:t>6</w:t>
            </w:r>
          </w:p>
        </w:tc>
        <w:tc>
          <w:tcPr>
            <w:tcW w:w="5670" w:type="dxa"/>
          </w:tcPr>
          <w:p w14:paraId="0816F249" w14:textId="74B80CB0" w:rsidR="0033317E" w:rsidRPr="008059A3" w:rsidRDefault="0033317E" w:rsidP="00F964F5">
            <w:pPr>
              <w:pStyle w:val="BodyText"/>
              <w:ind w:left="0"/>
              <w:cnfStyle w:val="000000010000" w:firstRow="0" w:lastRow="0" w:firstColumn="0" w:lastColumn="0" w:oddVBand="0" w:evenVBand="0" w:oddHBand="0" w:evenHBand="1" w:firstRowFirstColumn="0" w:firstRowLastColumn="0" w:lastRowFirstColumn="0" w:lastRowLastColumn="0"/>
            </w:pPr>
            <w:r w:rsidRPr="008059A3">
              <w:t>METHOD, ABILITY AND TECHNICAL CAPACITY</w:t>
            </w:r>
          </w:p>
        </w:tc>
        <w:tc>
          <w:tcPr>
            <w:tcW w:w="2126" w:type="dxa"/>
          </w:tcPr>
          <w:p w14:paraId="73598035" w14:textId="6496EA81" w:rsidR="0033317E" w:rsidRPr="008059A3" w:rsidRDefault="00F21B55" w:rsidP="00911873">
            <w:pPr>
              <w:pStyle w:val="BodyText"/>
              <w:cnfStyle w:val="000000010000" w:firstRow="0" w:lastRow="0" w:firstColumn="0" w:lastColumn="0" w:oddVBand="0" w:evenVBand="0" w:oddHBand="0" w:evenHBand="1" w:firstRowFirstColumn="0" w:firstRowLastColumn="0" w:lastRowFirstColumn="0" w:lastRowLastColumn="0"/>
            </w:pPr>
            <w:r>
              <w:t>25</w:t>
            </w:r>
            <w:r w:rsidR="0033317E" w:rsidRPr="008059A3">
              <w:t>%</w:t>
            </w:r>
          </w:p>
        </w:tc>
      </w:tr>
      <w:tr w:rsidR="0033317E" w:rsidRPr="008059A3" w14:paraId="2AF637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2E9F315C" w14:textId="77777777" w:rsidR="0033317E" w:rsidRPr="008059A3" w:rsidRDefault="0033317E" w:rsidP="00911873">
            <w:pPr>
              <w:pStyle w:val="BodyText"/>
            </w:pPr>
            <w:r w:rsidRPr="008059A3">
              <w:t>7</w:t>
            </w:r>
          </w:p>
        </w:tc>
        <w:tc>
          <w:tcPr>
            <w:tcW w:w="5670" w:type="dxa"/>
          </w:tcPr>
          <w:p w14:paraId="2C355404" w14:textId="77777777" w:rsidR="0033317E" w:rsidRPr="008059A3" w:rsidRDefault="0033317E" w:rsidP="00F964F5">
            <w:pPr>
              <w:pStyle w:val="BodyText"/>
              <w:ind w:left="0"/>
              <w:cnfStyle w:val="000000100000" w:firstRow="0" w:lastRow="0" w:firstColumn="0" w:lastColumn="0" w:oddVBand="0" w:evenVBand="0" w:oddHBand="1" w:evenHBand="0" w:firstRowFirstColumn="0" w:firstRowLastColumn="0" w:lastRowFirstColumn="0" w:lastRowLastColumn="0"/>
            </w:pPr>
            <w:r w:rsidRPr="008059A3">
              <w:t>UNDERSTANDING OF REQUIREMENTS</w:t>
            </w:r>
          </w:p>
        </w:tc>
        <w:tc>
          <w:tcPr>
            <w:tcW w:w="2126" w:type="dxa"/>
          </w:tcPr>
          <w:p w14:paraId="14E4DCC5" w14:textId="319FEDF3" w:rsidR="0033317E" w:rsidRPr="008059A3" w:rsidRDefault="0033317E" w:rsidP="00911873">
            <w:pPr>
              <w:pStyle w:val="BodyText"/>
              <w:cnfStyle w:val="000000100000" w:firstRow="0" w:lastRow="0" w:firstColumn="0" w:lastColumn="0" w:oddVBand="0" w:evenVBand="0" w:oddHBand="1" w:evenHBand="0" w:firstRowFirstColumn="0" w:firstRowLastColumn="0" w:lastRowFirstColumn="0" w:lastRowLastColumn="0"/>
            </w:pPr>
            <w:r w:rsidRPr="008059A3">
              <w:t>1</w:t>
            </w:r>
            <w:r w:rsidR="00FB26E1">
              <w:t>5</w:t>
            </w:r>
            <w:r w:rsidRPr="008059A3">
              <w:t>%</w:t>
            </w:r>
          </w:p>
        </w:tc>
      </w:tr>
      <w:tr w:rsidR="0033317E" w:rsidRPr="008059A3" w14:paraId="5D81748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42C3A877" w14:textId="77777777" w:rsidR="0033317E" w:rsidRPr="008059A3" w:rsidRDefault="0033317E" w:rsidP="00911873">
            <w:pPr>
              <w:pStyle w:val="BodyText"/>
            </w:pPr>
            <w:r w:rsidRPr="008059A3">
              <w:t>8</w:t>
            </w:r>
          </w:p>
        </w:tc>
        <w:tc>
          <w:tcPr>
            <w:tcW w:w="5670" w:type="dxa"/>
          </w:tcPr>
          <w:p w14:paraId="6722C049" w14:textId="77777777" w:rsidR="0033317E" w:rsidRPr="008059A3" w:rsidRDefault="0033317E" w:rsidP="00F964F5">
            <w:pPr>
              <w:pStyle w:val="BodyText"/>
              <w:ind w:left="0"/>
              <w:cnfStyle w:val="000000010000" w:firstRow="0" w:lastRow="0" w:firstColumn="0" w:lastColumn="0" w:oddVBand="0" w:evenVBand="0" w:oddHBand="0" w:evenHBand="1" w:firstRowFirstColumn="0" w:firstRowLastColumn="0" w:lastRowFirstColumn="0" w:lastRowLastColumn="0"/>
            </w:pPr>
            <w:r w:rsidRPr="008059A3">
              <w:t>RISK AND CHALLENGES</w:t>
            </w:r>
          </w:p>
        </w:tc>
        <w:tc>
          <w:tcPr>
            <w:tcW w:w="2126" w:type="dxa"/>
          </w:tcPr>
          <w:p w14:paraId="3B378F4E" w14:textId="77777777" w:rsidR="0033317E" w:rsidRPr="008059A3" w:rsidRDefault="0033317E" w:rsidP="00911873">
            <w:pPr>
              <w:pStyle w:val="BodyText"/>
              <w:cnfStyle w:val="000000010000" w:firstRow="0" w:lastRow="0" w:firstColumn="0" w:lastColumn="0" w:oddVBand="0" w:evenVBand="0" w:oddHBand="0" w:evenHBand="1" w:firstRowFirstColumn="0" w:firstRowLastColumn="0" w:lastRowFirstColumn="0" w:lastRowLastColumn="0"/>
            </w:pPr>
            <w:r w:rsidRPr="008059A3">
              <w:t>10%</w:t>
            </w:r>
          </w:p>
        </w:tc>
      </w:tr>
    </w:tbl>
    <w:p w14:paraId="0F141D3E" w14:textId="77777777" w:rsidR="0038388A" w:rsidRDefault="0038388A" w:rsidP="00911873">
      <w:pPr>
        <w:pStyle w:val="BodyText"/>
      </w:pPr>
    </w:p>
    <w:p w14:paraId="11B27F82" w14:textId="7AC3E886" w:rsidR="0038388A" w:rsidRPr="00911873" w:rsidRDefault="0038388A" w:rsidP="00911873">
      <w:pPr>
        <w:rPr>
          <w:b/>
          <w:bCs/>
        </w:rPr>
      </w:pPr>
      <w:r w:rsidRPr="00911873">
        <w:rPr>
          <w:b/>
          <w:bCs/>
        </w:rPr>
        <w:t xml:space="preserve">Scoring </w:t>
      </w:r>
      <w:r w:rsidR="00911873">
        <w:rPr>
          <w:b/>
          <w:bCs/>
        </w:rPr>
        <w:t>m</w:t>
      </w:r>
      <w:r w:rsidRPr="00911873">
        <w:rPr>
          <w:b/>
          <w:bCs/>
        </w:rPr>
        <w:t>ethod</w:t>
      </w:r>
    </w:p>
    <w:p w14:paraId="2E2A2ECF" w14:textId="77777777" w:rsidR="0038388A" w:rsidRPr="0038388A" w:rsidRDefault="0038388A" w:rsidP="00911873">
      <w:pPr>
        <w:pStyle w:val="Norma"/>
      </w:pPr>
      <w:r w:rsidRPr="0038388A">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911873">
      <w:pPr>
        <w:pStyle w:val="Norma"/>
      </w:pPr>
    </w:p>
    <w:p w14:paraId="04533D31" w14:textId="1109633F" w:rsidR="00911873" w:rsidRDefault="0038388A" w:rsidP="0040739F">
      <w:pPr>
        <w:pStyle w:val="Norma"/>
      </w:pPr>
      <w:r w:rsidRPr="0038388A">
        <w:t>The total score will be calculated by applying the weighting set against each criterion, outlined above; the maximum number of marks possible will be 100.  Should any contractor score 1 in any of the criteria, they will be excluded from the tender competition.</w:t>
      </w:r>
    </w:p>
    <w:p w14:paraId="6AF1737F" w14:textId="77777777" w:rsidR="00315475" w:rsidRDefault="00315475" w:rsidP="0040739F">
      <w:pPr>
        <w:pStyle w:val="Norma"/>
      </w:pPr>
    </w:p>
    <w:p w14:paraId="3D898CCD" w14:textId="77777777" w:rsidR="00315475" w:rsidRPr="0038388A" w:rsidRDefault="00315475" w:rsidP="0040739F">
      <w:pPr>
        <w:pStyle w:val="Norma"/>
      </w:pPr>
    </w:p>
    <w:p w14:paraId="37F9D9A9" w14:textId="77777777" w:rsidR="002035FE" w:rsidRDefault="002035FE" w:rsidP="00911873">
      <w:pPr>
        <w:pStyle w:val="BodyText"/>
      </w:pPr>
      <w:r>
        <w:tab/>
      </w:r>
    </w:p>
    <w:tbl>
      <w:tblPr>
        <w:tblStyle w:val="CCCTable"/>
        <w:tblW w:w="9623" w:type="dxa"/>
        <w:tblInd w:w="720" w:type="dxa"/>
        <w:tblLook w:val="04A0" w:firstRow="1" w:lastRow="0" w:firstColumn="1" w:lastColumn="0" w:noHBand="0" w:noVBand="1"/>
      </w:tblPr>
      <w:tblGrid>
        <w:gridCol w:w="1685"/>
        <w:gridCol w:w="7938"/>
      </w:tblGrid>
      <w:tr w:rsidR="002035FE" w:rsidRPr="008059A3" w14:paraId="19875B2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0720042F" w14:textId="77777777" w:rsidR="002035FE" w:rsidRPr="00911873" w:rsidRDefault="002035FE" w:rsidP="00911873">
            <w:pPr>
              <w:pStyle w:val="BodyText"/>
              <w:ind w:left="0"/>
              <w:jc w:val="center"/>
              <w:rPr>
                <w:color w:val="FFFFFF" w:themeColor="background1"/>
              </w:rPr>
            </w:pPr>
            <w:r w:rsidRPr="00911873">
              <w:rPr>
                <w:color w:val="FFFFFF" w:themeColor="background1"/>
              </w:rPr>
              <w:lastRenderedPageBreak/>
              <w:t>Score</w:t>
            </w:r>
          </w:p>
        </w:tc>
        <w:tc>
          <w:tcPr>
            <w:tcW w:w="7938" w:type="dxa"/>
          </w:tcPr>
          <w:p w14:paraId="724D461A" w14:textId="77777777" w:rsidR="002035FE" w:rsidRPr="00911873" w:rsidRDefault="002035FE" w:rsidP="00911873">
            <w:pPr>
              <w:pStyle w:val="BodyText"/>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911873">
              <w:rPr>
                <w:color w:val="FFFFFF" w:themeColor="background1"/>
              </w:rPr>
              <w:t>Description</w:t>
            </w:r>
          </w:p>
        </w:tc>
      </w:tr>
      <w:tr w:rsidR="002035FE" w:rsidRPr="008059A3" w14:paraId="01134C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8C04C1E" w14:textId="77777777" w:rsidR="002035FE" w:rsidRPr="008059A3" w:rsidRDefault="002035FE" w:rsidP="00911873">
            <w:pPr>
              <w:pStyle w:val="BodyText"/>
            </w:pPr>
            <w:r w:rsidRPr="008059A3">
              <w:t>1</w:t>
            </w:r>
          </w:p>
        </w:tc>
        <w:tc>
          <w:tcPr>
            <w:tcW w:w="7938" w:type="dxa"/>
            <w:tcMar>
              <w:right w:w="113" w:type="dxa"/>
            </w:tcMar>
          </w:tcPr>
          <w:p w14:paraId="04350527" w14:textId="77777777" w:rsidR="002035FE" w:rsidRPr="008059A3" w:rsidRDefault="002035FE" w:rsidP="00911873">
            <w:pPr>
              <w:pStyle w:val="BodyText"/>
              <w:cnfStyle w:val="000000100000" w:firstRow="0" w:lastRow="0" w:firstColumn="0" w:lastColumn="0" w:oddVBand="0" w:evenVBand="0" w:oddHBand="1" w:evenHBand="0" w:firstRowFirstColumn="0" w:firstRowLastColumn="0" w:lastRowFirstColumn="0" w:lastRowLastColumn="0"/>
            </w:pPr>
            <w:r w:rsidRPr="008059A3">
              <w:t>Not Satisfactory: Proposal contains significant shortcomings and does not meet the required standard</w:t>
            </w:r>
          </w:p>
        </w:tc>
      </w:tr>
      <w:tr w:rsidR="002035FE" w:rsidRPr="008059A3" w14:paraId="3E5911A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5C5D9410" w14:textId="77777777" w:rsidR="002035FE" w:rsidRPr="008059A3" w:rsidRDefault="002035FE" w:rsidP="00911873">
            <w:pPr>
              <w:pStyle w:val="BodyText"/>
            </w:pPr>
            <w:r w:rsidRPr="008059A3">
              <w:t>2</w:t>
            </w:r>
          </w:p>
        </w:tc>
        <w:tc>
          <w:tcPr>
            <w:tcW w:w="7938" w:type="dxa"/>
            <w:tcMar>
              <w:right w:w="113" w:type="dxa"/>
            </w:tcMar>
          </w:tcPr>
          <w:p w14:paraId="0D061B7C" w14:textId="77777777" w:rsidR="002035FE" w:rsidRPr="008059A3" w:rsidRDefault="002035FE" w:rsidP="00911873">
            <w:pPr>
              <w:pStyle w:val="BodyText"/>
              <w:cnfStyle w:val="000000010000" w:firstRow="0" w:lastRow="0" w:firstColumn="0" w:lastColumn="0" w:oddVBand="0" w:evenVBand="0" w:oddHBand="0" w:evenHBand="1" w:firstRowFirstColumn="0" w:firstRowLastColumn="0" w:lastRowFirstColumn="0" w:lastRowLastColumn="0"/>
            </w:pPr>
            <w:r w:rsidRPr="008059A3">
              <w:t xml:space="preserve">Partially Satisfactory: Proposal partially meets the required standard, with one or more moderate weaknesses or gaps </w:t>
            </w:r>
          </w:p>
        </w:tc>
      </w:tr>
      <w:tr w:rsidR="002035FE" w:rsidRPr="008059A3" w14:paraId="527CF1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A080B70" w14:textId="77777777" w:rsidR="002035FE" w:rsidRPr="008059A3" w:rsidRDefault="002035FE" w:rsidP="00911873">
            <w:pPr>
              <w:pStyle w:val="BodyText"/>
            </w:pPr>
            <w:r w:rsidRPr="008059A3">
              <w:t>3</w:t>
            </w:r>
          </w:p>
        </w:tc>
        <w:tc>
          <w:tcPr>
            <w:tcW w:w="7938" w:type="dxa"/>
            <w:tcMar>
              <w:right w:w="113" w:type="dxa"/>
            </w:tcMar>
          </w:tcPr>
          <w:p w14:paraId="21ABAF9D" w14:textId="77777777" w:rsidR="002035FE" w:rsidRPr="008059A3" w:rsidRDefault="002035FE" w:rsidP="00911873">
            <w:pPr>
              <w:pStyle w:val="BodyText"/>
              <w:cnfStyle w:val="000000100000" w:firstRow="0" w:lastRow="0" w:firstColumn="0" w:lastColumn="0" w:oddVBand="0" w:evenVBand="0" w:oddHBand="1" w:evenHBand="0" w:firstRowFirstColumn="0" w:firstRowLastColumn="0" w:lastRowFirstColumn="0" w:lastRowLastColumn="0"/>
            </w:pPr>
            <w:r w:rsidRPr="008059A3">
              <w:t>Satisfactory: Proposal mostly meets the required standard, with one or more minor weaknesses or gaps.</w:t>
            </w:r>
          </w:p>
        </w:tc>
      </w:tr>
      <w:tr w:rsidR="002035FE" w:rsidRPr="008059A3" w14:paraId="293AF87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1E48AE30" w14:textId="77777777" w:rsidR="002035FE" w:rsidRPr="008059A3" w:rsidRDefault="002035FE" w:rsidP="00911873">
            <w:pPr>
              <w:pStyle w:val="BodyText"/>
            </w:pPr>
            <w:r w:rsidRPr="008059A3">
              <w:t>4</w:t>
            </w:r>
          </w:p>
        </w:tc>
        <w:tc>
          <w:tcPr>
            <w:tcW w:w="7938" w:type="dxa"/>
            <w:tcMar>
              <w:right w:w="113" w:type="dxa"/>
            </w:tcMar>
          </w:tcPr>
          <w:p w14:paraId="654F2B3F" w14:textId="77777777" w:rsidR="002035FE" w:rsidRPr="008059A3" w:rsidRDefault="002035FE" w:rsidP="00911873">
            <w:pPr>
              <w:pStyle w:val="BodyText"/>
              <w:cnfStyle w:val="000000010000" w:firstRow="0" w:lastRow="0" w:firstColumn="0" w:lastColumn="0" w:oddVBand="0" w:evenVBand="0" w:oddHBand="0" w:evenHBand="1" w:firstRowFirstColumn="0" w:firstRowLastColumn="0" w:lastRowFirstColumn="0" w:lastRowLastColumn="0"/>
            </w:pPr>
            <w:r w:rsidRPr="008059A3">
              <w:t>Good: Proposal meets the required standard, with moderate levels of assurance</w:t>
            </w:r>
          </w:p>
        </w:tc>
      </w:tr>
      <w:tr w:rsidR="002035FE" w:rsidRPr="008059A3" w14:paraId="10F4D4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565B9CC4" w14:textId="77777777" w:rsidR="002035FE" w:rsidRPr="008059A3" w:rsidRDefault="002035FE" w:rsidP="00911873">
            <w:pPr>
              <w:pStyle w:val="BodyText"/>
            </w:pPr>
            <w:r w:rsidRPr="008059A3">
              <w:t>5</w:t>
            </w:r>
          </w:p>
        </w:tc>
        <w:tc>
          <w:tcPr>
            <w:tcW w:w="7938" w:type="dxa"/>
            <w:tcMar>
              <w:right w:w="113" w:type="dxa"/>
            </w:tcMar>
          </w:tcPr>
          <w:p w14:paraId="1399DE60" w14:textId="77777777" w:rsidR="002035FE" w:rsidRPr="008059A3" w:rsidRDefault="002035FE" w:rsidP="00911873">
            <w:pPr>
              <w:pStyle w:val="BodyText"/>
              <w:cnfStyle w:val="000000100000" w:firstRow="0" w:lastRow="0" w:firstColumn="0" w:lastColumn="0" w:oddVBand="0" w:evenVBand="0" w:oddHBand="1" w:evenHBand="0" w:firstRowFirstColumn="0" w:firstRowLastColumn="0" w:lastRowFirstColumn="0" w:lastRowLastColumn="0"/>
            </w:pPr>
            <w:r w:rsidRPr="008059A3">
              <w:t>Excellent: Proposal fully meets the required standard with high levels of assurance</w:t>
            </w:r>
          </w:p>
        </w:tc>
      </w:tr>
    </w:tbl>
    <w:p w14:paraId="02D727CE" w14:textId="40592C00" w:rsidR="0038388A" w:rsidRDefault="0038388A" w:rsidP="00911873">
      <w:pPr>
        <w:pStyle w:val="BodyText"/>
      </w:pPr>
    </w:p>
    <w:p w14:paraId="57EED380" w14:textId="77777777" w:rsidR="004711FD" w:rsidRPr="004711FD" w:rsidRDefault="004711FD" w:rsidP="00911873">
      <w:r w:rsidRPr="00911873">
        <w:rPr>
          <w:b/>
          <w:bCs/>
        </w:rPr>
        <w:t>Scoring for Pricing Evaluation</w:t>
      </w:r>
    </w:p>
    <w:p w14:paraId="72B3902E" w14:textId="76D33A50" w:rsidR="004711FD" w:rsidRDefault="004711FD" w:rsidP="00911873">
      <w:pPr>
        <w:pStyle w:val="Norma"/>
      </w:pPr>
      <w:r w:rsidRPr="004711FD">
        <w:t>Price will be marked using proportionate pricing</w:t>
      </w:r>
      <w:r w:rsidR="00911873">
        <w:t xml:space="preserve">, </w:t>
      </w:r>
      <w:r w:rsidRPr="004711FD">
        <w:t xml:space="preserve">as set out </w:t>
      </w:r>
      <w:r w:rsidR="00911873">
        <w:t xml:space="preserve">in the example </w:t>
      </w:r>
      <w:r w:rsidRPr="004711FD">
        <w:t>below.</w:t>
      </w:r>
    </w:p>
    <w:p w14:paraId="20711077" w14:textId="77777777" w:rsidR="00911873" w:rsidRPr="004711FD" w:rsidRDefault="00911873" w:rsidP="00911873">
      <w:pPr>
        <w:pStyle w:val="Norma"/>
      </w:pPr>
    </w:p>
    <w:p w14:paraId="74064E52" w14:textId="6A49EC4E" w:rsidR="004711FD" w:rsidRPr="004711FD" w:rsidRDefault="004711FD" w:rsidP="00911873">
      <w:pPr>
        <w:pStyle w:val="Norma"/>
      </w:pPr>
      <w:r w:rsidRPr="004711FD">
        <w:t xml:space="preserve">There will be a maximum of </w:t>
      </w:r>
      <w:proofErr w:type="gramStart"/>
      <w:r w:rsidRPr="004711FD">
        <w:t>e.g.</w:t>
      </w:r>
      <w:proofErr w:type="gramEnd"/>
      <w:r w:rsidRPr="004711FD">
        <w:t xml:space="preserve"> 20 marks</w:t>
      </w:r>
      <w:r w:rsidR="00911873">
        <w:t xml:space="preserve">. </w:t>
      </w:r>
      <w:r w:rsidRPr="004711FD">
        <w:t xml:space="preserve">The lowest priced bid will receive the full 20 marks, all other bids will then be marked </w:t>
      </w:r>
      <w:r w:rsidR="00911873">
        <w:t>following the method illustrated in the table below.</w:t>
      </w:r>
    </w:p>
    <w:p w14:paraId="14BBE82D" w14:textId="77777777" w:rsidR="00857AD6" w:rsidRPr="004711FD" w:rsidRDefault="00857AD6" w:rsidP="00911873"/>
    <w:p w14:paraId="27E6D7D5" w14:textId="5DD4DEB7" w:rsidR="004711FD" w:rsidRDefault="004711FD" w:rsidP="0040739F">
      <w:r w:rsidRPr="004711FD">
        <w:t>Proportionate Pricing scoring example</w:t>
      </w:r>
      <w:r w:rsidR="00911873">
        <w:t>:</w:t>
      </w:r>
    </w:p>
    <w:p w14:paraId="4A70F65C" w14:textId="77777777" w:rsidR="00911873" w:rsidRPr="004711FD" w:rsidRDefault="00911873" w:rsidP="0040739F"/>
    <w:p w14:paraId="5DF2C205" w14:textId="3699976F" w:rsidR="004711FD" w:rsidRDefault="004711FD" w:rsidP="0040739F">
      <w:r w:rsidRPr="004711FD">
        <w:t>If 20% = 20 marks</w:t>
      </w:r>
    </w:p>
    <w:tbl>
      <w:tblPr>
        <w:tblStyle w:val="CCCTable"/>
        <w:tblW w:w="9481" w:type="dxa"/>
        <w:tblInd w:w="720" w:type="dxa"/>
        <w:tblLook w:val="04A0" w:firstRow="1" w:lastRow="0" w:firstColumn="1" w:lastColumn="0" w:noHBand="0" w:noVBand="1"/>
      </w:tblPr>
      <w:tblGrid>
        <w:gridCol w:w="1685"/>
        <w:gridCol w:w="5670"/>
        <w:gridCol w:w="2126"/>
      </w:tblGrid>
      <w:tr w:rsidR="00E23EDC" w:rsidRPr="00644C65" w14:paraId="2EE208B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41801537" w14:textId="77777777" w:rsidR="00E23EDC" w:rsidRPr="00911873" w:rsidRDefault="00E23EDC" w:rsidP="00911873">
            <w:pPr>
              <w:pStyle w:val="BodyText"/>
              <w:ind w:left="0"/>
              <w:jc w:val="center"/>
              <w:rPr>
                <w:color w:val="FFFFFF" w:themeColor="background1"/>
              </w:rPr>
            </w:pPr>
            <w:r w:rsidRPr="00911873">
              <w:rPr>
                <w:rFonts w:eastAsia="Calibri"/>
                <w:color w:val="FFFFFF" w:themeColor="background1"/>
              </w:rPr>
              <w:t>Supplier</w:t>
            </w:r>
          </w:p>
        </w:tc>
        <w:tc>
          <w:tcPr>
            <w:tcW w:w="5670" w:type="dxa"/>
          </w:tcPr>
          <w:p w14:paraId="69BAAE8D" w14:textId="77777777" w:rsidR="00E23EDC" w:rsidRPr="00911873" w:rsidRDefault="00E23EDC" w:rsidP="00911873">
            <w:pPr>
              <w:pStyle w:val="BodyText"/>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911873">
              <w:rPr>
                <w:rFonts w:eastAsia="Calibri"/>
                <w:color w:val="FFFFFF" w:themeColor="background1"/>
              </w:rPr>
              <w:t>Price</w:t>
            </w:r>
          </w:p>
        </w:tc>
        <w:tc>
          <w:tcPr>
            <w:tcW w:w="2126" w:type="dxa"/>
          </w:tcPr>
          <w:p w14:paraId="39C753AE" w14:textId="77777777" w:rsidR="00E23EDC" w:rsidRPr="00911873" w:rsidRDefault="00E23EDC" w:rsidP="00911873">
            <w:pPr>
              <w:pStyle w:val="BodyText"/>
              <w:ind w:left="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911873">
              <w:rPr>
                <w:rFonts w:eastAsia="Calibri"/>
                <w:color w:val="FFFFFF" w:themeColor="background1"/>
              </w:rPr>
              <w:t>Marks</w:t>
            </w:r>
          </w:p>
        </w:tc>
      </w:tr>
      <w:tr w:rsidR="00E23EDC" w:rsidRPr="00644C65" w14:paraId="3438DF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3075FBED" w14:textId="77777777" w:rsidR="00E23EDC" w:rsidRPr="00644C65" w:rsidRDefault="00E23EDC" w:rsidP="00911873">
            <w:pPr>
              <w:pStyle w:val="BodyText"/>
              <w:ind w:left="0"/>
              <w:jc w:val="center"/>
            </w:pPr>
            <w:r w:rsidRPr="00644C65">
              <w:rPr>
                <w:rFonts w:eastAsia="Calibri"/>
              </w:rPr>
              <w:t>1 (lowest bid)</w:t>
            </w:r>
          </w:p>
        </w:tc>
        <w:tc>
          <w:tcPr>
            <w:tcW w:w="5670" w:type="dxa"/>
          </w:tcPr>
          <w:p w14:paraId="394E6E97" w14:textId="265D8391" w:rsidR="00E23EDC" w:rsidRPr="00644C65" w:rsidRDefault="00E23EDC" w:rsidP="00911873">
            <w:pPr>
              <w:pStyle w:val="BodyText"/>
              <w:ind w:left="0"/>
              <w:jc w:val="center"/>
              <w:cnfStyle w:val="000000100000" w:firstRow="0" w:lastRow="0" w:firstColumn="0" w:lastColumn="0" w:oddVBand="0" w:evenVBand="0" w:oddHBand="1" w:evenHBand="0" w:firstRowFirstColumn="0" w:firstRowLastColumn="0" w:lastRowFirstColumn="0" w:lastRowLastColumn="0"/>
              <w:rPr>
                <w:color w:val="auto"/>
              </w:rPr>
            </w:pPr>
            <w:r w:rsidRPr="004711FD">
              <w:rPr>
                <w:rFonts w:eastAsia="Calibri"/>
              </w:rPr>
              <w:t>£</w:t>
            </w:r>
            <w:r w:rsidR="00262DF6">
              <w:rPr>
                <w:rFonts w:eastAsia="Calibri"/>
              </w:rPr>
              <w:t>50</w:t>
            </w:r>
            <w:r w:rsidRPr="004711FD">
              <w:rPr>
                <w:rFonts w:eastAsia="Calibri"/>
              </w:rPr>
              <w:t>,000</w:t>
            </w:r>
          </w:p>
        </w:tc>
        <w:tc>
          <w:tcPr>
            <w:tcW w:w="2126" w:type="dxa"/>
          </w:tcPr>
          <w:p w14:paraId="10F5793D" w14:textId="410E9EDA" w:rsidR="00E23EDC" w:rsidRPr="00644C65" w:rsidRDefault="00E23EDC" w:rsidP="00911873">
            <w:pPr>
              <w:pStyle w:val="BodyText"/>
              <w:ind w:left="0"/>
              <w:jc w:val="center"/>
              <w:cnfStyle w:val="000000100000" w:firstRow="0" w:lastRow="0" w:firstColumn="0" w:lastColumn="0" w:oddVBand="0" w:evenVBand="0" w:oddHBand="1" w:evenHBand="0" w:firstRowFirstColumn="0" w:firstRowLastColumn="0" w:lastRowFirstColumn="0" w:lastRowLastColumn="0"/>
              <w:rPr>
                <w:color w:val="auto"/>
              </w:rPr>
            </w:pPr>
            <w:r w:rsidRPr="004711FD">
              <w:rPr>
                <w:rFonts w:eastAsia="Calibri"/>
              </w:rPr>
              <w:t>20</w:t>
            </w:r>
          </w:p>
        </w:tc>
      </w:tr>
      <w:tr w:rsidR="00E23EDC" w:rsidRPr="00644C65" w14:paraId="57DDCD2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04E69A2C" w14:textId="77777777" w:rsidR="00E23EDC" w:rsidRPr="00644C65" w:rsidRDefault="00E23EDC" w:rsidP="00911873">
            <w:pPr>
              <w:pStyle w:val="BodyText"/>
              <w:ind w:left="0"/>
              <w:jc w:val="center"/>
            </w:pPr>
            <w:r w:rsidRPr="00644C65">
              <w:rPr>
                <w:rFonts w:eastAsia="Calibri"/>
              </w:rPr>
              <w:t>2</w:t>
            </w:r>
          </w:p>
        </w:tc>
        <w:tc>
          <w:tcPr>
            <w:tcW w:w="5670" w:type="dxa"/>
          </w:tcPr>
          <w:p w14:paraId="1DB53632" w14:textId="7B97FD7B" w:rsidR="00E23EDC" w:rsidRPr="00644C65" w:rsidRDefault="00E23EDC" w:rsidP="00911873">
            <w:pPr>
              <w:pStyle w:val="BodyText"/>
              <w:ind w:left="0"/>
              <w:jc w:val="center"/>
              <w:cnfStyle w:val="000000010000" w:firstRow="0" w:lastRow="0" w:firstColumn="0" w:lastColumn="0" w:oddVBand="0" w:evenVBand="0" w:oddHBand="0" w:evenHBand="1" w:firstRowFirstColumn="0" w:firstRowLastColumn="0" w:lastRowFirstColumn="0" w:lastRowLastColumn="0"/>
              <w:rPr>
                <w:color w:val="auto"/>
              </w:rPr>
            </w:pPr>
            <w:r w:rsidRPr="004711FD">
              <w:rPr>
                <w:rFonts w:eastAsia="Calibri"/>
              </w:rPr>
              <w:t>£</w:t>
            </w:r>
            <w:r w:rsidR="00262DF6">
              <w:rPr>
                <w:rFonts w:eastAsia="Calibri"/>
              </w:rPr>
              <w:t>6</w:t>
            </w:r>
            <w:r>
              <w:rPr>
                <w:rFonts w:eastAsia="Calibri"/>
              </w:rPr>
              <w:t>0</w:t>
            </w:r>
            <w:r w:rsidRPr="004711FD">
              <w:rPr>
                <w:rFonts w:eastAsia="Calibri"/>
              </w:rPr>
              <w:t>,000</w:t>
            </w:r>
          </w:p>
        </w:tc>
        <w:tc>
          <w:tcPr>
            <w:tcW w:w="2126" w:type="dxa"/>
          </w:tcPr>
          <w:p w14:paraId="4BECD615" w14:textId="748916CC" w:rsidR="00E23EDC" w:rsidRPr="00644C65" w:rsidRDefault="00262DF6" w:rsidP="00911873">
            <w:pPr>
              <w:pStyle w:val="BodyText"/>
              <w:ind w:left="0"/>
              <w:jc w:val="center"/>
              <w:cnfStyle w:val="000000010000" w:firstRow="0" w:lastRow="0" w:firstColumn="0" w:lastColumn="0" w:oddVBand="0" w:evenVBand="0" w:oddHBand="0" w:evenHBand="1" w:firstRowFirstColumn="0" w:firstRowLastColumn="0" w:lastRowFirstColumn="0" w:lastRowLastColumn="0"/>
              <w:rPr>
                <w:color w:val="auto"/>
              </w:rPr>
            </w:pPr>
            <w:r>
              <w:rPr>
                <w:rFonts w:eastAsia="Calibri"/>
              </w:rPr>
              <w:t>50</w:t>
            </w:r>
            <w:r w:rsidR="00E23EDC" w:rsidRPr="004711FD">
              <w:rPr>
                <w:rFonts w:eastAsia="Calibri"/>
              </w:rPr>
              <w:t>/</w:t>
            </w:r>
            <w:r>
              <w:rPr>
                <w:rFonts w:eastAsia="Calibri"/>
              </w:rPr>
              <w:t>6</w:t>
            </w:r>
            <w:r w:rsidR="00E23EDC" w:rsidRPr="004711FD">
              <w:rPr>
                <w:rFonts w:eastAsia="Calibri"/>
              </w:rPr>
              <w:t>0 * 20 = 16.7</w:t>
            </w:r>
          </w:p>
        </w:tc>
      </w:tr>
      <w:tr w:rsidR="00E23EDC" w:rsidRPr="00644C65" w14:paraId="27ECD9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3133B3C" w14:textId="77777777" w:rsidR="00E23EDC" w:rsidRPr="00644C65" w:rsidRDefault="00E23EDC" w:rsidP="00911873">
            <w:pPr>
              <w:pStyle w:val="BodyText"/>
              <w:ind w:left="0"/>
              <w:jc w:val="center"/>
            </w:pPr>
            <w:r w:rsidRPr="00644C65">
              <w:rPr>
                <w:rFonts w:eastAsia="Calibri"/>
              </w:rPr>
              <w:t>3</w:t>
            </w:r>
          </w:p>
        </w:tc>
        <w:tc>
          <w:tcPr>
            <w:tcW w:w="5670" w:type="dxa"/>
          </w:tcPr>
          <w:p w14:paraId="43D45B3E" w14:textId="0C1D7A35" w:rsidR="00E23EDC" w:rsidRPr="00644C65" w:rsidRDefault="00E23EDC" w:rsidP="00911873">
            <w:pPr>
              <w:pStyle w:val="BodyText"/>
              <w:ind w:left="0"/>
              <w:jc w:val="center"/>
              <w:cnfStyle w:val="000000100000" w:firstRow="0" w:lastRow="0" w:firstColumn="0" w:lastColumn="0" w:oddVBand="0" w:evenVBand="0" w:oddHBand="1" w:evenHBand="0" w:firstRowFirstColumn="0" w:firstRowLastColumn="0" w:lastRowFirstColumn="0" w:lastRowLastColumn="0"/>
              <w:rPr>
                <w:color w:val="auto"/>
              </w:rPr>
            </w:pPr>
            <w:r w:rsidRPr="004711FD">
              <w:rPr>
                <w:rFonts w:eastAsia="Calibri"/>
              </w:rPr>
              <w:t>£</w:t>
            </w:r>
            <w:r w:rsidR="00262DF6">
              <w:rPr>
                <w:rFonts w:eastAsia="Calibri"/>
              </w:rPr>
              <w:t>7</w:t>
            </w:r>
            <w:r w:rsidR="00250482">
              <w:rPr>
                <w:rFonts w:eastAsia="Calibri"/>
              </w:rPr>
              <w:t>0</w:t>
            </w:r>
            <w:r w:rsidRPr="004711FD">
              <w:rPr>
                <w:rFonts w:eastAsia="Calibri"/>
              </w:rPr>
              <w:t>,000</w:t>
            </w:r>
          </w:p>
        </w:tc>
        <w:tc>
          <w:tcPr>
            <w:tcW w:w="2126" w:type="dxa"/>
          </w:tcPr>
          <w:p w14:paraId="44BD2979" w14:textId="6C108D40" w:rsidR="00E23EDC" w:rsidRPr="00644C65" w:rsidRDefault="00262DF6" w:rsidP="00911873">
            <w:pPr>
              <w:pStyle w:val="BodyText"/>
              <w:ind w:left="0"/>
              <w:jc w:val="center"/>
              <w:cnfStyle w:val="000000100000" w:firstRow="0" w:lastRow="0" w:firstColumn="0" w:lastColumn="0" w:oddVBand="0" w:evenVBand="0" w:oddHBand="1" w:evenHBand="0" w:firstRowFirstColumn="0" w:firstRowLastColumn="0" w:lastRowFirstColumn="0" w:lastRowLastColumn="0"/>
              <w:rPr>
                <w:color w:val="auto"/>
              </w:rPr>
            </w:pPr>
            <w:r>
              <w:rPr>
                <w:rFonts w:eastAsia="Calibri"/>
              </w:rPr>
              <w:t>50</w:t>
            </w:r>
            <w:r w:rsidR="00E23EDC" w:rsidRPr="004711FD">
              <w:rPr>
                <w:rFonts w:eastAsia="Calibri"/>
              </w:rPr>
              <w:t>/</w:t>
            </w:r>
            <w:r w:rsidR="00250482">
              <w:rPr>
                <w:rFonts w:eastAsia="Calibri"/>
              </w:rPr>
              <w:t>70</w:t>
            </w:r>
            <w:r w:rsidR="00E23EDC" w:rsidRPr="004711FD">
              <w:rPr>
                <w:rFonts w:eastAsia="Calibri"/>
              </w:rPr>
              <w:t xml:space="preserve"> * 20 = 1</w:t>
            </w:r>
            <w:r w:rsidR="00E23EDC">
              <w:rPr>
                <w:rFonts w:eastAsia="Calibri"/>
              </w:rPr>
              <w:t>4</w:t>
            </w:r>
            <w:r w:rsidR="00E23EDC" w:rsidRPr="004711FD">
              <w:rPr>
                <w:rFonts w:eastAsia="Calibri"/>
              </w:rPr>
              <w:t>.3</w:t>
            </w:r>
          </w:p>
        </w:tc>
      </w:tr>
    </w:tbl>
    <w:p w14:paraId="3D5358BD" w14:textId="77777777" w:rsidR="00E23EDC" w:rsidRDefault="00E23EDC" w:rsidP="00911873">
      <w:pPr>
        <w:pStyle w:val="BodyText"/>
      </w:pPr>
    </w:p>
    <w:p w14:paraId="61F77B03" w14:textId="77777777" w:rsidR="004711FD" w:rsidRPr="00911873" w:rsidRDefault="004711FD" w:rsidP="00911873">
      <w:pPr>
        <w:pStyle w:val="Norma"/>
        <w:rPr>
          <w:b/>
          <w:bCs/>
        </w:rPr>
      </w:pPr>
      <w:r w:rsidRPr="00911873">
        <w:rPr>
          <w:b/>
          <w:bCs/>
        </w:rPr>
        <w:t>Structure of Tenders</w:t>
      </w:r>
    </w:p>
    <w:p w14:paraId="52767C93" w14:textId="77777777" w:rsidR="004711FD" w:rsidRPr="004711FD" w:rsidRDefault="004711FD" w:rsidP="00911873">
      <w:pPr>
        <w:pStyle w:val="Norma"/>
        <w:rPr>
          <w:rFonts w:eastAsia="Calibri"/>
        </w:rPr>
      </w:pPr>
      <w:r w:rsidRPr="004711FD">
        <w:t xml:space="preserve">Contractors are strongly advised to structure their tender submissions to cover each of the criteria above and supply a price </w:t>
      </w:r>
      <w:r w:rsidRPr="004711FD">
        <w:rPr>
          <w:rFonts w:eastAsia="Calibri"/>
        </w:rPr>
        <w:t xml:space="preserve">schedule specifying the daily rates (ex-VAT) you will charge for each level of your staff. </w:t>
      </w:r>
    </w:p>
    <w:p w14:paraId="62929FFC" w14:textId="77777777" w:rsidR="004711FD" w:rsidRPr="004711FD" w:rsidRDefault="004711FD" w:rsidP="00911873">
      <w:pPr>
        <w:pStyle w:val="Norma"/>
      </w:pPr>
    </w:p>
    <w:p w14:paraId="2E106EA0" w14:textId="77777777" w:rsidR="004711FD" w:rsidRPr="00911873" w:rsidRDefault="004711FD" w:rsidP="00911873">
      <w:pPr>
        <w:pStyle w:val="Norma"/>
        <w:rPr>
          <w:b/>
          <w:bCs/>
        </w:rPr>
      </w:pPr>
      <w:r w:rsidRPr="00911873">
        <w:rPr>
          <w:b/>
          <w:bCs/>
        </w:rPr>
        <w:t xml:space="preserve">Evaluation for Interviews, if held </w:t>
      </w:r>
    </w:p>
    <w:p w14:paraId="48F8E8D4" w14:textId="77777777" w:rsidR="004711FD" w:rsidRPr="004711FD" w:rsidRDefault="004711FD" w:rsidP="00911873">
      <w:pPr>
        <w:pStyle w:val="Norma"/>
      </w:pPr>
      <w:r w:rsidRPr="004711FD">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911873">
      <w:pPr>
        <w:pStyle w:val="Norma"/>
      </w:pPr>
    </w:p>
    <w:p w14:paraId="43BAACA2" w14:textId="4A50CFAB" w:rsidR="004711FD" w:rsidRPr="004711FD" w:rsidRDefault="004711FD" w:rsidP="00911873">
      <w:pPr>
        <w:pStyle w:val="Norma"/>
      </w:pPr>
      <w:r w:rsidRPr="004711FD">
        <w:t xml:space="preserve">Should interviews go ahead, CCC will shortlist the top three suppliers with the highest marks from the written proposals. Interviews are provisionally expected to be held </w:t>
      </w:r>
      <w:r w:rsidR="00F964F5">
        <w:t>in the week commencing</w:t>
      </w:r>
      <w:r w:rsidR="008A3CA4" w:rsidRPr="008A3CA4">
        <w:t xml:space="preserve"> </w:t>
      </w:r>
      <w:r w:rsidR="00366C58">
        <w:t>15</w:t>
      </w:r>
      <w:r w:rsidR="00A432F7" w:rsidRPr="00A432F7">
        <w:rPr>
          <w:vertAlign w:val="superscript"/>
        </w:rPr>
        <w:t>th</w:t>
      </w:r>
      <w:r w:rsidR="00A432F7">
        <w:t xml:space="preserve"> </w:t>
      </w:r>
      <w:r w:rsidR="00366C58">
        <w:t>January</w:t>
      </w:r>
      <w:r w:rsidR="00CF0FBA">
        <w:t xml:space="preserve"> </w:t>
      </w:r>
      <w:r w:rsidR="00A432F7">
        <w:t>202</w:t>
      </w:r>
      <w:r w:rsidR="00366C58">
        <w:t>4</w:t>
      </w:r>
      <w:r w:rsidRPr="008A3CA4">
        <w:t xml:space="preserve">. If </w:t>
      </w:r>
      <w:r w:rsidRPr="004711FD">
        <w:t xml:space="preserve">this date changes, CCC will notify applicants. </w:t>
      </w:r>
    </w:p>
    <w:p w14:paraId="6B7D8CE1" w14:textId="77777777" w:rsidR="004711FD" w:rsidRPr="004711FD" w:rsidRDefault="004711FD" w:rsidP="00911873">
      <w:pPr>
        <w:pStyle w:val="Norma"/>
      </w:pPr>
    </w:p>
    <w:p w14:paraId="4A927F43" w14:textId="77777777" w:rsidR="004711FD" w:rsidRPr="004711FD" w:rsidRDefault="004711FD" w:rsidP="00911873">
      <w:pPr>
        <w:pStyle w:val="Norma"/>
      </w:pPr>
      <w:r w:rsidRPr="004711FD">
        <w:t>The areas to be covered in the interview, and markings allocated to each topic area will be sent to the shortlisted supplier prior to interview.</w:t>
      </w:r>
    </w:p>
    <w:p w14:paraId="7128F9FD" w14:textId="77777777" w:rsidR="004711FD" w:rsidRPr="004711FD" w:rsidRDefault="004711FD" w:rsidP="00911873">
      <w:pPr>
        <w:pStyle w:val="Norma"/>
      </w:pPr>
    </w:p>
    <w:p w14:paraId="4C0B5825" w14:textId="77777777" w:rsidR="004711FD" w:rsidRPr="004711FD" w:rsidRDefault="004711FD" w:rsidP="00911873">
      <w:pPr>
        <w:pStyle w:val="Norma"/>
      </w:pPr>
      <w:r w:rsidRPr="004711FD">
        <w:t xml:space="preserve">Further details of interviews will be sent to successful applicants on selection. </w:t>
      </w:r>
    </w:p>
    <w:p w14:paraId="6A415962" w14:textId="77777777" w:rsidR="004711FD" w:rsidRPr="004711FD" w:rsidRDefault="004711FD" w:rsidP="00911873">
      <w:pPr>
        <w:pStyle w:val="Norma"/>
      </w:pPr>
    </w:p>
    <w:p w14:paraId="680EEB8D" w14:textId="77777777" w:rsidR="004711FD" w:rsidRPr="004711FD" w:rsidRDefault="004711FD" w:rsidP="00911873">
      <w:pPr>
        <w:pStyle w:val="Norma"/>
      </w:pPr>
      <w:r w:rsidRPr="00911873">
        <w:rPr>
          <w:b/>
          <w:bCs/>
        </w:rPr>
        <w:t>Feedback</w:t>
      </w:r>
    </w:p>
    <w:p w14:paraId="608DAF4A" w14:textId="4CD0F6F5" w:rsidR="004711FD" w:rsidRPr="004711FD" w:rsidRDefault="004711FD" w:rsidP="00CF0FBA">
      <w:pPr>
        <w:pStyle w:val="Norma"/>
      </w:pPr>
      <w:r w:rsidRPr="004711FD">
        <w:t>Feedback will be given in the unsuccessful letters</w:t>
      </w:r>
      <w:r w:rsidRPr="004711FD" w:rsidDel="00AA6AF5">
        <w:t xml:space="preserve"> </w:t>
      </w:r>
      <w:r w:rsidRPr="004711FD">
        <w:t>or emails.</w:t>
      </w:r>
    </w:p>
    <w:sectPr w:rsidR="004711FD" w:rsidRPr="004711FD" w:rsidSect="002F41A0">
      <w:headerReference w:type="default" r:id="rId13"/>
      <w:headerReference w:type="first" r:id="rId14"/>
      <w:footerReference w:type="first" r:id="rId15"/>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7105" w14:textId="77777777" w:rsidR="0040300F" w:rsidRDefault="0040300F" w:rsidP="00911873">
      <w:r>
        <w:separator/>
      </w:r>
    </w:p>
  </w:endnote>
  <w:endnote w:type="continuationSeparator" w:id="0">
    <w:p w14:paraId="798D1180" w14:textId="77777777" w:rsidR="0040300F" w:rsidRDefault="0040300F" w:rsidP="00911873">
      <w:r>
        <w:continuationSeparator/>
      </w:r>
    </w:p>
  </w:endnote>
  <w:endnote w:type="continuationNotice" w:id="1">
    <w:p w14:paraId="01C51117" w14:textId="77777777" w:rsidR="0040300F" w:rsidRDefault="00403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11873">
    <w:pPr>
      <w:pStyle w:val="Footer"/>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C891D" w14:textId="77777777" w:rsidR="0040300F" w:rsidRDefault="0040300F" w:rsidP="00911873">
      <w:r>
        <w:separator/>
      </w:r>
    </w:p>
  </w:footnote>
  <w:footnote w:type="continuationSeparator" w:id="0">
    <w:p w14:paraId="2CA8C42B" w14:textId="77777777" w:rsidR="0040300F" w:rsidRDefault="0040300F" w:rsidP="00911873">
      <w:r>
        <w:continuationSeparator/>
      </w:r>
    </w:p>
  </w:footnote>
  <w:footnote w:type="continuationNotice" w:id="1">
    <w:p w14:paraId="33EB9E5E" w14:textId="77777777" w:rsidR="0040300F" w:rsidRDefault="0040300F"/>
  </w:footnote>
  <w:footnote w:id="2">
    <w:p w14:paraId="5B158926" w14:textId="77777777" w:rsidR="000A7DEE" w:rsidRPr="000038D6" w:rsidRDefault="000A7DEE" w:rsidP="000A7DEE">
      <w:pPr>
        <w:pStyle w:val="FootnoteText"/>
        <w:rPr>
          <w:rFonts w:asciiTheme="majorHAnsi" w:hAnsiTheme="majorHAnsi"/>
          <w:sz w:val="16"/>
          <w:szCs w:val="16"/>
        </w:rPr>
      </w:pPr>
      <w:r w:rsidRPr="000038D6">
        <w:rPr>
          <w:rStyle w:val="FootnoteReference"/>
          <w:rFonts w:asciiTheme="majorHAnsi" w:hAnsiTheme="majorHAnsi"/>
          <w:sz w:val="16"/>
          <w:szCs w:val="16"/>
        </w:rPr>
        <w:footnoteRef/>
      </w:r>
      <w:r w:rsidRPr="000038D6">
        <w:rPr>
          <w:rFonts w:asciiTheme="majorHAnsi" w:hAnsiTheme="majorHAnsi"/>
          <w:sz w:val="16"/>
          <w:szCs w:val="16"/>
        </w:rPr>
        <w:t xml:space="preserve"> </w:t>
      </w:r>
      <w:r w:rsidRPr="000A7DEE">
        <w:rPr>
          <w:rFonts w:asciiTheme="majorHAnsi" w:hAnsiTheme="majorHAnsi"/>
          <w:sz w:val="16"/>
          <w:szCs w:val="16"/>
        </w:rPr>
        <w:t>Our proposed methodology for the Seventh Carbon Budget is available on our website</w:t>
      </w:r>
      <w:r>
        <w:rPr>
          <w:rFonts w:asciiTheme="majorHAnsi" w:hAnsiTheme="majorHAnsi"/>
          <w:sz w:val="16"/>
          <w:szCs w:val="16"/>
        </w:rPr>
        <w:t xml:space="preserve">: </w:t>
      </w:r>
      <w:hyperlink r:id="rId1" w:history="1">
        <w:r w:rsidRPr="00342ED5">
          <w:rPr>
            <w:rStyle w:val="Hyperlink"/>
            <w:rFonts w:asciiTheme="majorHAnsi" w:hAnsiTheme="majorHAnsi"/>
            <w:sz w:val="16"/>
            <w:szCs w:val="16"/>
          </w:rPr>
          <w:t>https://www.theccc.org.uk/publication/proposed-methodology-for-the-seventh-carbon-budget-advice/</w:t>
        </w:r>
      </w:hyperlink>
      <w:r>
        <w:rPr>
          <w:rFonts w:asciiTheme="majorHAnsi" w:hAnsiTheme="majorHAnsi"/>
          <w:sz w:val="16"/>
          <w:szCs w:val="16"/>
        </w:rPr>
        <w:t xml:space="preserve"> </w:t>
      </w:r>
    </w:p>
  </w:footnote>
  <w:footnote w:id="3">
    <w:p w14:paraId="3F05E52A" w14:textId="46779060" w:rsidR="00920988" w:rsidRPr="003B6859" w:rsidRDefault="00920988">
      <w:pPr>
        <w:pStyle w:val="FootnoteText"/>
        <w:rPr>
          <w:rFonts w:asciiTheme="majorHAnsi" w:hAnsiTheme="majorHAnsi"/>
          <w:sz w:val="16"/>
          <w:szCs w:val="16"/>
          <w:highlight w:val="yellow"/>
        </w:rPr>
      </w:pPr>
      <w:r w:rsidRPr="007E1ABA">
        <w:rPr>
          <w:rStyle w:val="FootnoteReference"/>
          <w:rFonts w:asciiTheme="majorHAnsi" w:hAnsiTheme="majorHAnsi"/>
          <w:sz w:val="16"/>
          <w:szCs w:val="16"/>
        </w:rPr>
        <w:footnoteRef/>
      </w:r>
      <w:r w:rsidRPr="007E1ABA">
        <w:rPr>
          <w:rFonts w:asciiTheme="majorHAnsi" w:hAnsiTheme="majorHAnsi"/>
          <w:sz w:val="16"/>
          <w:szCs w:val="16"/>
        </w:rPr>
        <w:t xml:space="preserve"> See </w:t>
      </w:r>
      <w:r w:rsidR="00233605" w:rsidRPr="007E1ABA">
        <w:rPr>
          <w:rFonts w:asciiTheme="majorHAnsi" w:hAnsiTheme="majorHAnsi"/>
          <w:sz w:val="16"/>
          <w:szCs w:val="16"/>
        </w:rPr>
        <w:t>wastewater</w:t>
      </w:r>
      <w:r w:rsidRPr="007E1ABA">
        <w:rPr>
          <w:rFonts w:asciiTheme="majorHAnsi" w:hAnsiTheme="majorHAnsi"/>
          <w:sz w:val="16"/>
          <w:szCs w:val="16"/>
        </w:rPr>
        <w:t xml:space="preserve"> section</w:t>
      </w:r>
      <w:r w:rsidR="007E1ABA" w:rsidRPr="007E1ABA">
        <w:rPr>
          <w:rFonts w:asciiTheme="majorHAnsi" w:hAnsiTheme="majorHAnsi"/>
          <w:sz w:val="16"/>
          <w:szCs w:val="16"/>
        </w:rPr>
        <w:t>s</w:t>
      </w:r>
      <w:r w:rsidRPr="007E1ABA">
        <w:rPr>
          <w:rFonts w:asciiTheme="majorHAnsi" w:hAnsiTheme="majorHAnsi"/>
          <w:sz w:val="16"/>
          <w:szCs w:val="16"/>
        </w:rPr>
        <w:t xml:space="preserve"> in our </w:t>
      </w:r>
      <w:r w:rsidR="00C82F1B" w:rsidRPr="007E1ABA">
        <w:rPr>
          <w:rFonts w:asciiTheme="majorHAnsi" w:hAnsiTheme="majorHAnsi"/>
          <w:sz w:val="16"/>
          <w:szCs w:val="16"/>
        </w:rPr>
        <w:t xml:space="preserve">Sixth Carbon Budget </w:t>
      </w:r>
      <w:r w:rsidR="007E1ABA" w:rsidRPr="007E1ABA">
        <w:rPr>
          <w:rFonts w:asciiTheme="majorHAnsi" w:hAnsiTheme="majorHAnsi"/>
          <w:sz w:val="16"/>
          <w:szCs w:val="16"/>
        </w:rPr>
        <w:t>waste</w:t>
      </w:r>
      <w:r w:rsidR="007E1ABA">
        <w:rPr>
          <w:rFonts w:asciiTheme="majorHAnsi" w:hAnsiTheme="majorHAnsi"/>
          <w:sz w:val="16"/>
          <w:szCs w:val="16"/>
        </w:rPr>
        <w:t xml:space="preserve"> sector</w:t>
      </w:r>
      <w:r w:rsidR="007E1ABA" w:rsidRPr="007E1ABA">
        <w:rPr>
          <w:rFonts w:asciiTheme="majorHAnsi" w:hAnsiTheme="majorHAnsi"/>
          <w:sz w:val="16"/>
          <w:szCs w:val="16"/>
        </w:rPr>
        <w:t xml:space="preserve"> summary report: </w:t>
      </w:r>
      <w:hyperlink r:id="rId2" w:history="1">
        <w:r w:rsidR="007E1ABA" w:rsidRPr="007E1ABA">
          <w:rPr>
            <w:rStyle w:val="Hyperlink"/>
            <w:rFonts w:asciiTheme="majorHAnsi" w:hAnsiTheme="majorHAnsi"/>
            <w:sz w:val="16"/>
            <w:szCs w:val="16"/>
          </w:rPr>
          <w:t>https://www.theccc.org.uk/wp-content/uploads/2020/12/Sector-summary-Waste.pdf</w:t>
        </w:r>
      </w:hyperlink>
      <w:r w:rsidR="007E1ABA">
        <w:rPr>
          <w:rFonts w:asciiTheme="majorHAnsi" w:hAnsiTheme="majorHAnsi"/>
          <w:sz w:val="16"/>
          <w:szCs w:val="16"/>
        </w:rPr>
        <w:t xml:space="preserve"> </w:t>
      </w:r>
    </w:p>
  </w:footnote>
  <w:footnote w:id="4">
    <w:p w14:paraId="049EBA03" w14:textId="45458615" w:rsidR="00B56C66" w:rsidRPr="00B56C66" w:rsidRDefault="00B56C66">
      <w:pPr>
        <w:pStyle w:val="FootnoteText"/>
        <w:rPr>
          <w:rFonts w:asciiTheme="majorHAnsi" w:hAnsiTheme="majorHAnsi"/>
          <w:sz w:val="16"/>
          <w:szCs w:val="16"/>
        </w:rPr>
      </w:pPr>
      <w:r w:rsidRPr="00B56C66">
        <w:rPr>
          <w:rStyle w:val="FootnoteReference"/>
          <w:rFonts w:asciiTheme="majorHAnsi" w:hAnsiTheme="majorHAnsi"/>
          <w:sz w:val="16"/>
          <w:szCs w:val="16"/>
        </w:rPr>
        <w:footnoteRef/>
      </w:r>
      <w:r w:rsidRPr="00B56C66">
        <w:rPr>
          <w:rFonts w:asciiTheme="majorHAnsi" w:hAnsiTheme="majorHAnsi"/>
          <w:sz w:val="16"/>
          <w:szCs w:val="16"/>
        </w:rPr>
        <w:t xml:space="preserve"> </w:t>
      </w:r>
      <w:hyperlink r:id="rId3" w:history="1">
        <w:r w:rsidRPr="00B56C66">
          <w:rPr>
            <w:rStyle w:val="Hyperlink"/>
            <w:rFonts w:asciiTheme="majorHAnsi" w:hAnsiTheme="majorHAnsi"/>
            <w:sz w:val="16"/>
            <w:szCs w:val="16"/>
          </w:rPr>
          <w:t>https://www.ofwat.gov.uk/regulated-companies/price-review/2024-price-review/business-plans/</w:t>
        </w:r>
      </w:hyperlink>
      <w:r w:rsidRPr="00B56C66">
        <w:rPr>
          <w:rFonts w:asciiTheme="majorHAnsi" w:hAnsiTheme="majorHAnsi"/>
          <w:sz w:val="16"/>
          <w:szCs w:val="16"/>
        </w:rPr>
        <w:t xml:space="preserve"> </w:t>
      </w:r>
    </w:p>
  </w:footnote>
  <w:footnote w:id="5">
    <w:p w14:paraId="730C4BBE" w14:textId="77777777" w:rsidR="0078622F" w:rsidRPr="007F46B3" w:rsidRDefault="0078622F" w:rsidP="0078622F">
      <w:pPr>
        <w:pStyle w:val="FootnoteText"/>
        <w:rPr>
          <w:rFonts w:asciiTheme="majorHAnsi" w:hAnsiTheme="majorHAnsi"/>
          <w:sz w:val="16"/>
          <w:szCs w:val="16"/>
        </w:rPr>
      </w:pPr>
      <w:r w:rsidRPr="007F46B3">
        <w:rPr>
          <w:rStyle w:val="FootnoteReference"/>
          <w:rFonts w:asciiTheme="majorHAnsi" w:hAnsiTheme="majorHAnsi"/>
          <w:sz w:val="16"/>
          <w:szCs w:val="16"/>
        </w:rPr>
        <w:footnoteRef/>
      </w:r>
      <w:r w:rsidRPr="007F46B3">
        <w:rPr>
          <w:rFonts w:asciiTheme="majorHAnsi" w:hAnsiTheme="majorHAnsi"/>
          <w:sz w:val="16"/>
          <w:szCs w:val="16"/>
        </w:rPr>
        <w:t xml:space="preserve"> See </w:t>
      </w:r>
      <w:r>
        <w:rPr>
          <w:rFonts w:asciiTheme="majorHAnsi" w:hAnsiTheme="majorHAnsi"/>
          <w:sz w:val="16"/>
          <w:szCs w:val="16"/>
        </w:rPr>
        <w:t>s</w:t>
      </w:r>
      <w:r w:rsidRPr="007F46B3">
        <w:rPr>
          <w:rFonts w:asciiTheme="majorHAnsi" w:hAnsiTheme="majorHAnsi"/>
          <w:sz w:val="16"/>
          <w:szCs w:val="16"/>
        </w:rPr>
        <w:t>ection 2.4 of our Seventh Carbon Budget methodology note for further details on our proposed approach to modelling baselines</w:t>
      </w:r>
      <w:r>
        <w:rPr>
          <w:rFonts w:asciiTheme="majorHAnsi" w:hAnsiTheme="majorHAnsi"/>
          <w:sz w:val="16"/>
          <w:szCs w:val="16"/>
        </w:rPr>
        <w:t xml:space="preserve">: </w:t>
      </w:r>
      <w:hyperlink r:id="rId4" w:history="1">
        <w:r w:rsidRPr="000064D6">
          <w:rPr>
            <w:rStyle w:val="Hyperlink"/>
            <w:rFonts w:asciiTheme="majorHAnsi" w:hAnsiTheme="majorHAnsi"/>
            <w:sz w:val="16"/>
            <w:szCs w:val="16"/>
          </w:rPr>
          <w:t>https://www.theccc.org.uk/publication/proposed-methodology-for-the-seventh-carbon-budget-advice/</w:t>
        </w:r>
      </w:hyperlink>
    </w:p>
  </w:footnote>
  <w:footnote w:id="6">
    <w:p w14:paraId="69602637" w14:textId="1F43C636" w:rsidR="00130D13" w:rsidRPr="007F46B3" w:rsidRDefault="00130D13" w:rsidP="00130D13">
      <w:pPr>
        <w:pStyle w:val="FootnoteText"/>
        <w:rPr>
          <w:rFonts w:asciiTheme="majorHAnsi" w:hAnsiTheme="majorHAnsi"/>
          <w:sz w:val="16"/>
          <w:szCs w:val="16"/>
        </w:rPr>
      </w:pPr>
      <w:r w:rsidRPr="007F46B3">
        <w:rPr>
          <w:rStyle w:val="FootnoteReference"/>
          <w:rFonts w:asciiTheme="majorHAnsi" w:hAnsiTheme="majorHAnsi"/>
          <w:sz w:val="16"/>
          <w:szCs w:val="16"/>
        </w:rPr>
        <w:footnoteRef/>
      </w:r>
      <w:r w:rsidRPr="007F46B3">
        <w:rPr>
          <w:rFonts w:asciiTheme="majorHAnsi" w:hAnsiTheme="majorHAnsi"/>
          <w:sz w:val="16"/>
          <w:szCs w:val="16"/>
        </w:rPr>
        <w:t xml:space="preserve"> </w:t>
      </w:r>
      <w:hyperlink r:id="rId5" w:history="1">
        <w:r w:rsidR="00005077" w:rsidRPr="007F46B3">
          <w:rPr>
            <w:rStyle w:val="Hyperlink"/>
            <w:rFonts w:asciiTheme="majorHAnsi" w:hAnsiTheme="majorHAnsi"/>
            <w:sz w:val="16"/>
            <w:szCs w:val="16"/>
          </w:rPr>
          <w:t>https://www.gov.uk/government/publications/energy-and-emissions-projections-2022-to-2040</w:t>
        </w:r>
      </w:hyperlink>
      <w:r w:rsidR="00005077" w:rsidRPr="007F46B3">
        <w:rPr>
          <w:rFonts w:asciiTheme="majorHAnsi" w:hAnsiTheme="majorHAnsi"/>
          <w:sz w:val="16"/>
          <w:szCs w:val="16"/>
        </w:rPr>
        <w:t xml:space="preserve"> </w:t>
      </w:r>
    </w:p>
  </w:footnote>
  <w:footnote w:id="7">
    <w:p w14:paraId="09C3412D" w14:textId="238A39B1" w:rsidR="00994B68" w:rsidRPr="007F46B3" w:rsidRDefault="00994B68">
      <w:pPr>
        <w:pStyle w:val="FootnoteText"/>
        <w:rPr>
          <w:rFonts w:asciiTheme="majorHAnsi" w:hAnsiTheme="majorHAnsi"/>
          <w:sz w:val="16"/>
          <w:szCs w:val="16"/>
        </w:rPr>
      </w:pPr>
      <w:r w:rsidRPr="007F46B3">
        <w:rPr>
          <w:rStyle w:val="FootnoteReference"/>
          <w:rFonts w:asciiTheme="majorHAnsi" w:hAnsiTheme="majorHAnsi"/>
          <w:sz w:val="16"/>
          <w:szCs w:val="16"/>
        </w:rPr>
        <w:footnoteRef/>
      </w:r>
      <w:r w:rsidRPr="007F46B3">
        <w:rPr>
          <w:rFonts w:asciiTheme="majorHAnsi" w:hAnsiTheme="majorHAnsi"/>
          <w:sz w:val="16"/>
          <w:szCs w:val="16"/>
        </w:rPr>
        <w:t xml:space="preserve"> </w:t>
      </w:r>
      <w:hyperlink r:id="rId6" w:history="1">
        <w:r w:rsidR="00005077" w:rsidRPr="007F46B3">
          <w:rPr>
            <w:rStyle w:val="Hyperlink"/>
            <w:rFonts w:asciiTheme="majorHAnsi" w:hAnsiTheme="majorHAnsi"/>
            <w:sz w:val="16"/>
            <w:szCs w:val="16"/>
          </w:rPr>
          <w:t>https://ukwir.org/quantifying-and-reducing-direct-greenhouse-gas-emissions-from-wastewater-treatment-processes-phase-2-0</w:t>
        </w:r>
      </w:hyperlink>
      <w:r w:rsidR="00005077" w:rsidRPr="007F46B3">
        <w:rPr>
          <w:rFonts w:asciiTheme="majorHAnsi" w:hAnsiTheme="majorHAnsi"/>
          <w:sz w:val="16"/>
          <w:szCs w:val="16"/>
        </w:rPr>
        <w:t xml:space="preserve"> </w:t>
      </w:r>
    </w:p>
  </w:footnote>
  <w:footnote w:id="8">
    <w:p w14:paraId="50456746" w14:textId="0F704AAE" w:rsidR="00704E5D" w:rsidRPr="007F46B3" w:rsidRDefault="00704E5D">
      <w:pPr>
        <w:pStyle w:val="FootnoteText"/>
        <w:rPr>
          <w:rFonts w:asciiTheme="majorHAnsi" w:hAnsiTheme="majorHAnsi"/>
          <w:sz w:val="16"/>
          <w:szCs w:val="16"/>
        </w:rPr>
      </w:pPr>
      <w:r w:rsidRPr="007F46B3">
        <w:rPr>
          <w:rStyle w:val="FootnoteReference"/>
          <w:rFonts w:asciiTheme="majorHAnsi" w:hAnsiTheme="majorHAnsi"/>
          <w:sz w:val="16"/>
          <w:szCs w:val="16"/>
        </w:rPr>
        <w:footnoteRef/>
      </w:r>
      <w:r w:rsidRPr="007F46B3">
        <w:rPr>
          <w:rFonts w:asciiTheme="majorHAnsi" w:hAnsiTheme="majorHAnsi"/>
          <w:sz w:val="16"/>
          <w:szCs w:val="16"/>
        </w:rPr>
        <w:t xml:space="preserve"> See section 2.2 </w:t>
      </w:r>
      <w:r w:rsidR="00CB19F2" w:rsidRPr="007F46B3">
        <w:rPr>
          <w:rFonts w:asciiTheme="majorHAnsi" w:hAnsiTheme="majorHAnsi"/>
          <w:sz w:val="16"/>
          <w:szCs w:val="16"/>
        </w:rPr>
        <w:t xml:space="preserve">of our Seventh Carbon Budget methodology note </w:t>
      </w:r>
      <w:r w:rsidR="00736693" w:rsidRPr="007F46B3">
        <w:rPr>
          <w:rFonts w:asciiTheme="majorHAnsi" w:hAnsiTheme="majorHAnsi"/>
          <w:sz w:val="16"/>
          <w:szCs w:val="16"/>
        </w:rPr>
        <w:t xml:space="preserve">for </w:t>
      </w:r>
      <w:r w:rsidR="00CB19F2">
        <w:rPr>
          <w:rFonts w:asciiTheme="majorHAnsi" w:hAnsiTheme="majorHAnsi"/>
          <w:sz w:val="16"/>
          <w:szCs w:val="16"/>
        </w:rPr>
        <w:t>further details</w:t>
      </w:r>
      <w:r w:rsidR="00736693" w:rsidRPr="007F46B3">
        <w:rPr>
          <w:rFonts w:asciiTheme="majorHAnsi" w:hAnsiTheme="majorHAnsi"/>
          <w:sz w:val="16"/>
          <w:szCs w:val="16"/>
        </w:rPr>
        <w:t xml:space="preserve"> on our proposed approach to developing pathways.</w:t>
      </w:r>
    </w:p>
  </w:footnote>
  <w:footnote w:id="9">
    <w:p w14:paraId="70154DA5" w14:textId="61EDB4D3" w:rsidR="00736693" w:rsidRDefault="00736693">
      <w:pPr>
        <w:pStyle w:val="FootnoteText"/>
      </w:pPr>
      <w:r w:rsidRPr="007F46B3">
        <w:rPr>
          <w:rStyle w:val="FootnoteReference"/>
          <w:rFonts w:asciiTheme="majorHAnsi" w:hAnsiTheme="majorHAnsi"/>
          <w:sz w:val="16"/>
          <w:szCs w:val="16"/>
        </w:rPr>
        <w:footnoteRef/>
      </w:r>
      <w:r w:rsidRPr="007F46B3">
        <w:rPr>
          <w:rFonts w:asciiTheme="majorHAnsi" w:hAnsiTheme="majorHAnsi"/>
          <w:sz w:val="16"/>
          <w:szCs w:val="16"/>
        </w:rPr>
        <w:t xml:space="preserve"> </w:t>
      </w:r>
      <w:r w:rsidR="00CB19F2">
        <w:rPr>
          <w:rFonts w:asciiTheme="majorHAnsi" w:hAnsiTheme="majorHAnsi"/>
          <w:sz w:val="16"/>
          <w:szCs w:val="16"/>
        </w:rPr>
        <w:t>S</w:t>
      </w:r>
      <w:r w:rsidRPr="007F46B3">
        <w:rPr>
          <w:rFonts w:asciiTheme="majorHAnsi" w:hAnsiTheme="majorHAnsi"/>
          <w:sz w:val="16"/>
          <w:szCs w:val="16"/>
        </w:rPr>
        <w:t>ee section 2.2.4 of our Seventh Carbon Budget methodology note for further details on our proposed approach determining decarbonisation options.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911873">
    <w:pPr>
      <w:pStyle w:val="BodyText"/>
    </w:pPr>
    <w:r w:rsidRPr="00DA2FBB">
      <w:rPr>
        <w:noProof/>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911873">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72A8F6FA"/>
    <w:lvl w:ilvl="0" w:tplc="6868E6A6">
      <w:start w:val="11"/>
      <w:numFmt w:val="decimal"/>
      <w:lvlText w:val="%1."/>
      <w:lvlJc w:val="left"/>
      <w:pPr>
        <w:ind w:left="1095" w:hanging="375"/>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6000AF"/>
    <w:multiLevelType w:val="hybridMultilevel"/>
    <w:tmpl w:val="E86E4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4339DE"/>
    <w:multiLevelType w:val="hybridMultilevel"/>
    <w:tmpl w:val="982AFC0A"/>
    <w:lvl w:ilvl="0" w:tplc="06427D6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D02675"/>
    <w:multiLevelType w:val="hybridMultilevel"/>
    <w:tmpl w:val="2AB4B2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0A78E8"/>
    <w:multiLevelType w:val="multilevel"/>
    <w:tmpl w:val="35766D4A"/>
    <w:styleLink w:val="CCCBullets"/>
    <w:lvl w:ilvl="0">
      <w:start w:val="1"/>
      <w:numFmt w:val="bullet"/>
      <w:lvlText w:val="•"/>
      <w:lvlJc w:val="left"/>
      <w:pPr>
        <w:ind w:left="714" w:hanging="357"/>
      </w:pPr>
      <w:rPr>
        <w:rFonts w:ascii="Century Gothic" w:hAnsi="Century Gothic" w:hint="default"/>
        <w:sz w:val="20"/>
      </w:rPr>
    </w:lvl>
    <w:lvl w:ilvl="1">
      <w:start w:val="1"/>
      <w:numFmt w:val="bullet"/>
      <w:lvlText w:val="•"/>
      <w:lvlJc w:val="left"/>
      <w:pPr>
        <w:tabs>
          <w:tab w:val="num" w:pos="992"/>
        </w:tabs>
        <w:ind w:left="1191" w:hanging="199"/>
      </w:pPr>
      <w:rPr>
        <w:rFonts w:ascii="Arial Nova Light" w:hAnsi="Arial Nova Light" w:hint="default"/>
        <w:sz w:val="20"/>
      </w:rPr>
    </w:lvl>
    <w:lvl w:ilvl="2">
      <w:start w:val="1"/>
      <w:numFmt w:val="bullet"/>
      <w:lvlText w:val="–"/>
      <w:lvlJc w:val="left"/>
      <w:pPr>
        <w:tabs>
          <w:tab w:val="num" w:pos="992"/>
        </w:tabs>
        <w:ind w:left="1191" w:hanging="199"/>
      </w:pPr>
      <w:rPr>
        <w:rFonts w:ascii="Century Gothic" w:hAnsi="Century Gothic" w:hint="default"/>
        <w:sz w:val="20"/>
      </w:rPr>
    </w:lvl>
    <w:lvl w:ilvl="3">
      <w:start w:val="1"/>
      <w:numFmt w:val="bullet"/>
      <w:lvlText w:val="•"/>
      <w:lvlJc w:val="left"/>
      <w:pPr>
        <w:ind w:left="1542" w:hanging="198"/>
      </w:pPr>
      <w:rPr>
        <w:rFonts w:ascii="Arial Nova Light" w:hAnsi="Arial Nova Light" w:hint="default"/>
        <w:sz w:val="20"/>
      </w:rPr>
    </w:lvl>
    <w:lvl w:ilvl="4">
      <w:start w:val="1"/>
      <w:numFmt w:val="bullet"/>
      <w:lvlText w:val="–"/>
      <w:lvlJc w:val="left"/>
      <w:pPr>
        <w:ind w:left="1542" w:hanging="198"/>
      </w:pPr>
      <w:rPr>
        <w:rFonts w:ascii="Century Gothic" w:hAnsi="Century Gothic" w:hint="default"/>
        <w:sz w:val="20"/>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1" w:hanging="361"/>
      </w:pPr>
      <w:rPr>
        <w:rFonts w:hint="default"/>
      </w:rPr>
    </w:lvl>
    <w:lvl w:ilvl="8">
      <w:start w:val="1"/>
      <w:numFmt w:val="none"/>
      <w:lvlText w:val=""/>
      <w:lvlJc w:val="left"/>
      <w:pPr>
        <w:ind w:left="6480" w:hanging="360"/>
      </w:pPr>
      <w:rPr>
        <w:rFonts w:hint="default"/>
      </w:rPr>
    </w:lvl>
  </w:abstractNum>
  <w:abstractNum w:abstractNumId="5" w15:restartNumberingAfterBreak="0">
    <w:nsid w:val="0FD63B8B"/>
    <w:multiLevelType w:val="hybridMultilevel"/>
    <w:tmpl w:val="95A68010"/>
    <w:lvl w:ilvl="0" w:tplc="62C49028">
      <w:start w:val="1"/>
      <w:numFmt w:val="decimal"/>
      <w:lvlText w:val="%1)"/>
      <w:lvlJc w:val="left"/>
      <w:pPr>
        <w:ind w:left="1069" w:hanging="360"/>
      </w:pPr>
      <w:rPr>
        <w:rFonts w:ascii="Century Gothic" w:eastAsiaTheme="minorHAnsi" w:hAnsi="Century Gothic" w:cstheme="minorBidi"/>
      </w:rPr>
    </w:lvl>
    <w:lvl w:ilvl="1" w:tplc="08090003">
      <w:start w:val="1"/>
      <w:numFmt w:val="bullet"/>
      <w:lvlText w:val="o"/>
      <w:lvlJc w:val="left"/>
      <w:pPr>
        <w:ind w:left="1789" w:hanging="360"/>
      </w:pPr>
      <w:rPr>
        <w:rFonts w:ascii="Courier New" w:hAnsi="Courier New" w:cs="Times New Roman"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Times New Roman"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Times New Roman" w:hint="default"/>
      </w:rPr>
    </w:lvl>
    <w:lvl w:ilvl="8" w:tplc="08090005">
      <w:start w:val="1"/>
      <w:numFmt w:val="bullet"/>
      <w:lvlText w:val=""/>
      <w:lvlJc w:val="left"/>
      <w:pPr>
        <w:ind w:left="6829" w:hanging="360"/>
      </w:pPr>
      <w:rPr>
        <w:rFonts w:ascii="Wingdings" w:hAnsi="Wingdings" w:hint="default"/>
      </w:rPr>
    </w:lvl>
  </w:abstractNum>
  <w:abstractNum w:abstractNumId="6" w15:restartNumberingAfterBreak="0">
    <w:nsid w:val="12655D4B"/>
    <w:multiLevelType w:val="hybridMultilevel"/>
    <w:tmpl w:val="00AE527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F70C4F"/>
    <w:multiLevelType w:val="hybridMultilevel"/>
    <w:tmpl w:val="C5A82FB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4C62A4A"/>
    <w:multiLevelType w:val="hybridMultilevel"/>
    <w:tmpl w:val="37007B88"/>
    <w:lvl w:ilvl="0" w:tplc="68BEB9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5E95036"/>
    <w:multiLevelType w:val="hybridMultilevel"/>
    <w:tmpl w:val="E480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60761"/>
    <w:multiLevelType w:val="hybridMultilevel"/>
    <w:tmpl w:val="A736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9336C"/>
    <w:multiLevelType w:val="multilevel"/>
    <w:tmpl w:val="385EFEFE"/>
    <w:lvl w:ilvl="0">
      <w:start w:val="1"/>
      <w:numFmt w:val="bullet"/>
      <w:lvlText w:val="•"/>
      <w:lvlJc w:val="left"/>
      <w:pPr>
        <w:ind w:left="714" w:hanging="357"/>
      </w:pPr>
      <w:rPr>
        <w:rFonts w:ascii="Century Gothic" w:hAnsi="Century Gothic" w:hint="default"/>
        <w:sz w:val="20"/>
      </w:rPr>
    </w:lvl>
    <w:lvl w:ilvl="1">
      <w:start w:val="1"/>
      <w:numFmt w:val="bullet"/>
      <w:lvlText w:val="•"/>
      <w:lvlJc w:val="left"/>
      <w:pPr>
        <w:tabs>
          <w:tab w:val="num" w:pos="992"/>
        </w:tabs>
        <w:ind w:left="1191" w:hanging="199"/>
      </w:pPr>
      <w:rPr>
        <w:rFonts w:ascii="Arial Nova Light" w:hAnsi="Arial Nova Light" w:hint="default"/>
        <w:sz w:val="20"/>
      </w:rPr>
    </w:lvl>
    <w:lvl w:ilvl="2">
      <w:start w:val="1"/>
      <w:numFmt w:val="bullet"/>
      <w:lvlText w:val="–"/>
      <w:lvlJc w:val="left"/>
      <w:pPr>
        <w:tabs>
          <w:tab w:val="num" w:pos="992"/>
        </w:tabs>
        <w:ind w:left="1191" w:hanging="199"/>
      </w:pPr>
      <w:rPr>
        <w:rFonts w:ascii="Century Gothic" w:hAnsi="Century Gothic" w:hint="default"/>
        <w:sz w:val="20"/>
      </w:rPr>
    </w:lvl>
    <w:lvl w:ilvl="3">
      <w:start w:val="1"/>
      <w:numFmt w:val="bullet"/>
      <w:lvlText w:val="•"/>
      <w:lvlJc w:val="left"/>
      <w:pPr>
        <w:ind w:left="1542" w:hanging="198"/>
      </w:pPr>
      <w:rPr>
        <w:rFonts w:ascii="Arial Nova Light" w:hAnsi="Arial Nova Light" w:hint="default"/>
        <w:sz w:val="20"/>
      </w:rPr>
    </w:lvl>
    <w:lvl w:ilvl="4">
      <w:start w:val="1"/>
      <w:numFmt w:val="bullet"/>
      <w:lvlText w:val=""/>
      <w:lvlJc w:val="left"/>
      <w:pPr>
        <w:ind w:left="1542" w:hanging="198"/>
      </w:pPr>
      <w:rPr>
        <w:rFonts w:ascii="Symbol" w:hAnsi="Symbol" w:hint="default"/>
        <w:sz w:val="20"/>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1" w:hanging="361"/>
      </w:pPr>
      <w:rPr>
        <w:rFonts w:hint="default"/>
      </w:rPr>
    </w:lvl>
    <w:lvl w:ilvl="8">
      <w:start w:val="1"/>
      <w:numFmt w:val="none"/>
      <w:lvlText w:val=""/>
      <w:lvlJc w:val="left"/>
      <w:pPr>
        <w:ind w:left="6480" w:hanging="360"/>
      </w:pPr>
      <w:rPr>
        <w:rFonts w:hint="default"/>
      </w:rPr>
    </w:lvl>
  </w:abstractNum>
  <w:abstractNum w:abstractNumId="12" w15:restartNumberingAfterBreak="0">
    <w:nsid w:val="1E64104A"/>
    <w:multiLevelType w:val="hybridMultilevel"/>
    <w:tmpl w:val="B71E83FC"/>
    <w:lvl w:ilvl="0" w:tplc="F0208934">
      <w:start w:val="1"/>
      <w:numFmt w:val="bullet"/>
      <w:pStyle w:val="BulletLevel3"/>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8EF151B"/>
    <w:multiLevelType w:val="hybridMultilevel"/>
    <w:tmpl w:val="14B49D2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A9309DF"/>
    <w:multiLevelType w:val="hybridMultilevel"/>
    <w:tmpl w:val="029EA01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5A694F"/>
    <w:multiLevelType w:val="multilevel"/>
    <w:tmpl w:val="AE1E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E677BD"/>
    <w:multiLevelType w:val="hybridMultilevel"/>
    <w:tmpl w:val="CAB8A9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4CD4D81"/>
    <w:multiLevelType w:val="hybridMultilevel"/>
    <w:tmpl w:val="5944DA4E"/>
    <w:lvl w:ilvl="0" w:tplc="31A636BC">
      <w:start w:val="3"/>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76B3875"/>
    <w:multiLevelType w:val="hybridMultilevel"/>
    <w:tmpl w:val="008EC7BE"/>
    <w:lvl w:ilvl="0" w:tplc="E332A2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BBB2EC7"/>
    <w:multiLevelType w:val="hybridMultilevel"/>
    <w:tmpl w:val="6362254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41691AEC"/>
    <w:multiLevelType w:val="hybridMultilevel"/>
    <w:tmpl w:val="FEAA8A46"/>
    <w:lvl w:ilvl="0" w:tplc="BE44D03A">
      <w:start w:val="1"/>
      <w:numFmt w:val="low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6E23F1"/>
    <w:multiLevelType w:val="hybridMultilevel"/>
    <w:tmpl w:val="D2F69F92"/>
    <w:lvl w:ilvl="0" w:tplc="F0243450">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F56B57"/>
    <w:multiLevelType w:val="multilevel"/>
    <w:tmpl w:val="47FE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3152EA"/>
    <w:multiLevelType w:val="multilevel"/>
    <w:tmpl w:val="385EFEFE"/>
    <w:lvl w:ilvl="0">
      <w:start w:val="1"/>
      <w:numFmt w:val="bullet"/>
      <w:lvlText w:val="•"/>
      <w:lvlJc w:val="left"/>
      <w:pPr>
        <w:ind w:left="714" w:hanging="357"/>
      </w:pPr>
      <w:rPr>
        <w:rFonts w:ascii="Century Gothic" w:hAnsi="Century Gothic" w:hint="default"/>
        <w:sz w:val="20"/>
      </w:rPr>
    </w:lvl>
    <w:lvl w:ilvl="1">
      <w:start w:val="1"/>
      <w:numFmt w:val="bullet"/>
      <w:lvlText w:val="•"/>
      <w:lvlJc w:val="left"/>
      <w:pPr>
        <w:tabs>
          <w:tab w:val="num" w:pos="992"/>
        </w:tabs>
        <w:ind w:left="1191" w:hanging="199"/>
      </w:pPr>
      <w:rPr>
        <w:rFonts w:ascii="Arial Nova Light" w:hAnsi="Arial Nova Light" w:hint="default"/>
        <w:sz w:val="20"/>
      </w:rPr>
    </w:lvl>
    <w:lvl w:ilvl="2">
      <w:start w:val="1"/>
      <w:numFmt w:val="bullet"/>
      <w:lvlText w:val="–"/>
      <w:lvlJc w:val="left"/>
      <w:pPr>
        <w:tabs>
          <w:tab w:val="num" w:pos="992"/>
        </w:tabs>
        <w:ind w:left="1191" w:hanging="199"/>
      </w:pPr>
      <w:rPr>
        <w:rFonts w:ascii="Century Gothic" w:hAnsi="Century Gothic" w:hint="default"/>
        <w:sz w:val="20"/>
      </w:rPr>
    </w:lvl>
    <w:lvl w:ilvl="3">
      <w:start w:val="1"/>
      <w:numFmt w:val="bullet"/>
      <w:lvlText w:val="•"/>
      <w:lvlJc w:val="left"/>
      <w:pPr>
        <w:ind w:left="1542" w:hanging="198"/>
      </w:pPr>
      <w:rPr>
        <w:rFonts w:ascii="Arial Nova Light" w:hAnsi="Arial Nova Light" w:hint="default"/>
        <w:sz w:val="20"/>
      </w:rPr>
    </w:lvl>
    <w:lvl w:ilvl="4">
      <w:start w:val="1"/>
      <w:numFmt w:val="bullet"/>
      <w:lvlText w:val=""/>
      <w:lvlJc w:val="left"/>
      <w:pPr>
        <w:ind w:left="1542" w:hanging="198"/>
      </w:pPr>
      <w:rPr>
        <w:rFonts w:ascii="Symbol" w:hAnsi="Symbol" w:hint="default"/>
        <w:sz w:val="20"/>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1" w:hanging="361"/>
      </w:pPr>
      <w:rPr>
        <w:rFonts w:hint="default"/>
      </w:rPr>
    </w:lvl>
    <w:lvl w:ilvl="8">
      <w:start w:val="1"/>
      <w:numFmt w:val="none"/>
      <w:lvlText w:val=""/>
      <w:lvlJc w:val="left"/>
      <w:pPr>
        <w:ind w:left="6480" w:hanging="360"/>
      </w:pPr>
      <w:rPr>
        <w:rFonts w:hint="default"/>
      </w:rPr>
    </w:lvl>
  </w:abstractNum>
  <w:abstractNum w:abstractNumId="25" w15:restartNumberingAfterBreak="0">
    <w:nsid w:val="53B04522"/>
    <w:multiLevelType w:val="hybridMultilevel"/>
    <w:tmpl w:val="BBE4BDEA"/>
    <w:lvl w:ilvl="0" w:tplc="F586CBDE">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4FA1ED7"/>
    <w:multiLevelType w:val="hybridMultilevel"/>
    <w:tmpl w:val="BADE5E72"/>
    <w:lvl w:ilvl="0" w:tplc="F586CBDE">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6756A37"/>
    <w:multiLevelType w:val="hybridMultilevel"/>
    <w:tmpl w:val="3148FD76"/>
    <w:lvl w:ilvl="0" w:tplc="18EC81D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C5C581F"/>
    <w:multiLevelType w:val="hybridMultilevel"/>
    <w:tmpl w:val="68AAE09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3E01CDA"/>
    <w:multiLevelType w:val="hybridMultilevel"/>
    <w:tmpl w:val="5328A0A4"/>
    <w:lvl w:ilvl="0" w:tplc="FFFFFFFF">
      <w:start w:val="1"/>
      <w:numFmt w:val="lowerRoman"/>
      <w:lvlText w:val="%1."/>
      <w:lvlJc w:val="right"/>
      <w:pPr>
        <w:ind w:left="1440" w:hanging="360"/>
      </w:pPr>
      <w:rPr>
        <w:sz w:val="20"/>
        <w:szCs w:val="20"/>
      </w:rPr>
    </w:lvl>
    <w:lvl w:ilvl="1" w:tplc="08090003">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4BA6327"/>
    <w:multiLevelType w:val="hybridMultilevel"/>
    <w:tmpl w:val="3B382936"/>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74FE0D7C"/>
    <w:multiLevelType w:val="singleLevel"/>
    <w:tmpl w:val="DC288608"/>
    <w:lvl w:ilvl="0">
      <w:start w:val="1"/>
      <w:numFmt w:val="bullet"/>
      <w:lvlText w:val=""/>
      <w:lvlJc w:val="left"/>
      <w:pPr>
        <w:ind w:left="1704" w:hanging="360"/>
      </w:pPr>
      <w:rPr>
        <w:rFonts w:ascii="Symbol" w:hAnsi="Symbol" w:hint="default"/>
      </w:rPr>
    </w:lvl>
  </w:abstractNum>
  <w:abstractNum w:abstractNumId="32" w15:restartNumberingAfterBreak="0">
    <w:nsid w:val="76E2006F"/>
    <w:multiLevelType w:val="hybridMultilevel"/>
    <w:tmpl w:val="6400E1B2"/>
    <w:lvl w:ilvl="0" w:tplc="0809001B">
      <w:start w:val="1"/>
      <w:numFmt w:val="lowerRoman"/>
      <w:lvlText w:val="%1."/>
      <w:lvlJc w:val="right"/>
      <w:pPr>
        <w:ind w:left="1440" w:hanging="360"/>
      </w:pPr>
      <w:rPr>
        <w:sz w:val="20"/>
        <w:szCs w:val="20"/>
      </w:rPr>
    </w:lvl>
    <w:lvl w:ilvl="1" w:tplc="F586CBDE">
      <w:start w:val="1"/>
      <w:numFmt w:val="bullet"/>
      <w:lvlText w:val="-"/>
      <w:lvlJc w:val="left"/>
      <w:pPr>
        <w:ind w:left="2160" w:hanging="360"/>
      </w:pPr>
      <w:rPr>
        <w:rFonts w:ascii="Courier New" w:hAnsi="Courier New"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F704070"/>
    <w:multiLevelType w:val="hybridMultilevel"/>
    <w:tmpl w:val="5BE26C3A"/>
    <w:lvl w:ilvl="0" w:tplc="FFFFFFFF">
      <w:start w:val="1"/>
      <w:numFmt w:val="lowerRoman"/>
      <w:lvlText w:val="%1."/>
      <w:lvlJc w:val="right"/>
      <w:pPr>
        <w:ind w:left="1440" w:hanging="360"/>
      </w:pPr>
      <w:rPr>
        <w:sz w:val="20"/>
        <w:szCs w:val="20"/>
      </w:rPr>
    </w:lvl>
    <w:lvl w:ilvl="1" w:tplc="F586CBDE">
      <w:start w:val="1"/>
      <w:numFmt w:val="bullet"/>
      <w:lvlText w:val="-"/>
      <w:lvlJc w:val="left"/>
      <w:pPr>
        <w:ind w:left="2160" w:hanging="360"/>
      </w:pPr>
      <w:rPr>
        <w:rFonts w:ascii="Courier New" w:hAnsi="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23750452">
    <w:abstractNumId w:val="22"/>
  </w:num>
  <w:num w:numId="2" w16cid:durableId="1355612963">
    <w:abstractNumId w:val="20"/>
  </w:num>
  <w:num w:numId="3" w16cid:durableId="3167371">
    <w:abstractNumId w:val="0"/>
  </w:num>
  <w:num w:numId="4" w16cid:durableId="1269510343">
    <w:abstractNumId w:val="9"/>
  </w:num>
  <w:num w:numId="5" w16cid:durableId="1615988554">
    <w:abstractNumId w:val="4"/>
  </w:num>
  <w:num w:numId="6" w16cid:durableId="867835989">
    <w:abstractNumId w:val="31"/>
  </w:num>
  <w:num w:numId="7" w16cid:durableId="91242631">
    <w:abstractNumId w:val="5"/>
  </w:num>
  <w:num w:numId="8" w16cid:durableId="1655640137">
    <w:abstractNumId w:val="10"/>
  </w:num>
  <w:num w:numId="9" w16cid:durableId="1890530518">
    <w:abstractNumId w:val="31"/>
  </w:num>
  <w:num w:numId="10" w16cid:durableId="112790657">
    <w:abstractNumId w:val="31"/>
  </w:num>
  <w:num w:numId="11" w16cid:durableId="2110008643">
    <w:abstractNumId w:val="24"/>
  </w:num>
  <w:num w:numId="12" w16cid:durableId="942804767">
    <w:abstractNumId w:val="31"/>
  </w:num>
  <w:num w:numId="13" w16cid:durableId="585112399">
    <w:abstractNumId w:val="1"/>
  </w:num>
  <w:num w:numId="14" w16cid:durableId="1824351886">
    <w:abstractNumId w:val="11"/>
  </w:num>
  <w:num w:numId="15" w16cid:durableId="626356690">
    <w:abstractNumId w:val="23"/>
  </w:num>
  <w:num w:numId="16" w16cid:durableId="980228633">
    <w:abstractNumId w:val="15"/>
  </w:num>
  <w:num w:numId="17" w16cid:durableId="1676691033">
    <w:abstractNumId w:val="27"/>
  </w:num>
  <w:num w:numId="18" w16cid:durableId="1161387153">
    <w:abstractNumId w:val="18"/>
  </w:num>
  <w:num w:numId="19" w16cid:durableId="1831946535">
    <w:abstractNumId w:val="8"/>
  </w:num>
  <w:num w:numId="20" w16cid:durableId="1454639721">
    <w:abstractNumId w:val="2"/>
  </w:num>
  <w:num w:numId="21" w16cid:durableId="548147481">
    <w:abstractNumId w:val="7"/>
  </w:num>
  <w:num w:numId="22" w16cid:durableId="1613705670">
    <w:abstractNumId w:val="19"/>
  </w:num>
  <w:num w:numId="23" w16cid:durableId="780221398">
    <w:abstractNumId w:val="21"/>
  </w:num>
  <w:num w:numId="24" w16cid:durableId="1126312598">
    <w:abstractNumId w:val="28"/>
  </w:num>
  <w:num w:numId="25" w16cid:durableId="1122311517">
    <w:abstractNumId w:val="12"/>
  </w:num>
  <w:num w:numId="26" w16cid:durableId="1656489066">
    <w:abstractNumId w:val="17"/>
  </w:num>
  <w:num w:numId="27" w16cid:durableId="1893879145">
    <w:abstractNumId w:val="3"/>
  </w:num>
  <w:num w:numId="28" w16cid:durableId="887760714">
    <w:abstractNumId w:val="32"/>
  </w:num>
  <w:num w:numId="29" w16cid:durableId="212469901">
    <w:abstractNumId w:val="29"/>
  </w:num>
  <w:num w:numId="30" w16cid:durableId="1387336055">
    <w:abstractNumId w:val="33"/>
  </w:num>
  <w:num w:numId="31" w16cid:durableId="260646489">
    <w:abstractNumId w:val="26"/>
  </w:num>
  <w:num w:numId="32" w16cid:durableId="1775248311">
    <w:abstractNumId w:val="25"/>
  </w:num>
  <w:num w:numId="33" w16cid:durableId="1336571541">
    <w:abstractNumId w:val="13"/>
  </w:num>
  <w:num w:numId="34" w16cid:durableId="531460137">
    <w:abstractNumId w:val="30"/>
  </w:num>
  <w:num w:numId="35" w16cid:durableId="1652710856">
    <w:abstractNumId w:val="14"/>
  </w:num>
  <w:num w:numId="36" w16cid:durableId="1120101028">
    <w:abstractNumId w:val="6"/>
  </w:num>
  <w:num w:numId="37" w16cid:durableId="1022825902">
    <w:abstractNumId w:val="12"/>
  </w:num>
  <w:num w:numId="38" w16cid:durableId="18551444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01FEA"/>
    <w:rsid w:val="000029DE"/>
    <w:rsid w:val="00002C4D"/>
    <w:rsid w:val="00002D52"/>
    <w:rsid w:val="000038D6"/>
    <w:rsid w:val="00005077"/>
    <w:rsid w:val="000064D6"/>
    <w:rsid w:val="00007A49"/>
    <w:rsid w:val="00010A93"/>
    <w:rsid w:val="00011674"/>
    <w:rsid w:val="00014D4A"/>
    <w:rsid w:val="00015DEC"/>
    <w:rsid w:val="000169DE"/>
    <w:rsid w:val="00016E3D"/>
    <w:rsid w:val="00017B75"/>
    <w:rsid w:val="0002046C"/>
    <w:rsid w:val="000207C6"/>
    <w:rsid w:val="00020B30"/>
    <w:rsid w:val="00027ACC"/>
    <w:rsid w:val="0003319C"/>
    <w:rsid w:val="00033593"/>
    <w:rsid w:val="000340F7"/>
    <w:rsid w:val="0003559A"/>
    <w:rsid w:val="0003665A"/>
    <w:rsid w:val="000431D7"/>
    <w:rsid w:val="00047D8F"/>
    <w:rsid w:val="00050E01"/>
    <w:rsid w:val="0005560B"/>
    <w:rsid w:val="00055C66"/>
    <w:rsid w:val="000563ED"/>
    <w:rsid w:val="0005718F"/>
    <w:rsid w:val="000610B7"/>
    <w:rsid w:val="00062D9E"/>
    <w:rsid w:val="00062DD0"/>
    <w:rsid w:val="000672DE"/>
    <w:rsid w:val="00080924"/>
    <w:rsid w:val="0008104C"/>
    <w:rsid w:val="00084D84"/>
    <w:rsid w:val="00085F2F"/>
    <w:rsid w:val="00091670"/>
    <w:rsid w:val="00095D40"/>
    <w:rsid w:val="00097422"/>
    <w:rsid w:val="00097773"/>
    <w:rsid w:val="000A65B8"/>
    <w:rsid w:val="000A67F5"/>
    <w:rsid w:val="000A7DEE"/>
    <w:rsid w:val="000C038F"/>
    <w:rsid w:val="000C0F6C"/>
    <w:rsid w:val="000C59A6"/>
    <w:rsid w:val="000C75B8"/>
    <w:rsid w:val="000D0BAE"/>
    <w:rsid w:val="000D130E"/>
    <w:rsid w:val="000D3DCF"/>
    <w:rsid w:val="000D633D"/>
    <w:rsid w:val="000D6B9D"/>
    <w:rsid w:val="000E4044"/>
    <w:rsid w:val="000E4278"/>
    <w:rsid w:val="000E49C7"/>
    <w:rsid w:val="000E6F15"/>
    <w:rsid w:val="000E79C6"/>
    <w:rsid w:val="000F3259"/>
    <w:rsid w:val="000F6F00"/>
    <w:rsid w:val="00101B21"/>
    <w:rsid w:val="0010220A"/>
    <w:rsid w:val="001041A9"/>
    <w:rsid w:val="00104362"/>
    <w:rsid w:val="00104968"/>
    <w:rsid w:val="001057F8"/>
    <w:rsid w:val="001110D5"/>
    <w:rsid w:val="0011174C"/>
    <w:rsid w:val="00114110"/>
    <w:rsid w:val="00115770"/>
    <w:rsid w:val="00116F97"/>
    <w:rsid w:val="001240A2"/>
    <w:rsid w:val="00124259"/>
    <w:rsid w:val="001244DF"/>
    <w:rsid w:val="001248A2"/>
    <w:rsid w:val="001248FF"/>
    <w:rsid w:val="00126B22"/>
    <w:rsid w:val="00130D13"/>
    <w:rsid w:val="00136795"/>
    <w:rsid w:val="00140CB5"/>
    <w:rsid w:val="001443B2"/>
    <w:rsid w:val="00144687"/>
    <w:rsid w:val="001509A7"/>
    <w:rsid w:val="00150F21"/>
    <w:rsid w:val="00154273"/>
    <w:rsid w:val="001550E8"/>
    <w:rsid w:val="00155C12"/>
    <w:rsid w:val="00160EB1"/>
    <w:rsid w:val="001661E9"/>
    <w:rsid w:val="00173AC4"/>
    <w:rsid w:val="001746F6"/>
    <w:rsid w:val="00175F44"/>
    <w:rsid w:val="00177188"/>
    <w:rsid w:val="00182C63"/>
    <w:rsid w:val="00182CE0"/>
    <w:rsid w:val="00184EFA"/>
    <w:rsid w:val="00191FC2"/>
    <w:rsid w:val="00193E5A"/>
    <w:rsid w:val="00195620"/>
    <w:rsid w:val="0019574E"/>
    <w:rsid w:val="00196792"/>
    <w:rsid w:val="0019728D"/>
    <w:rsid w:val="00197578"/>
    <w:rsid w:val="001A5425"/>
    <w:rsid w:val="001A56B7"/>
    <w:rsid w:val="001A6FE4"/>
    <w:rsid w:val="001B1E45"/>
    <w:rsid w:val="001B7FB3"/>
    <w:rsid w:val="001C1BC7"/>
    <w:rsid w:val="001C644D"/>
    <w:rsid w:val="001C71FB"/>
    <w:rsid w:val="001D0E68"/>
    <w:rsid w:val="001D2DCB"/>
    <w:rsid w:val="001D3CCF"/>
    <w:rsid w:val="001D69B8"/>
    <w:rsid w:val="001D6D2C"/>
    <w:rsid w:val="001D706C"/>
    <w:rsid w:val="001E1C09"/>
    <w:rsid w:val="001E404F"/>
    <w:rsid w:val="001E419B"/>
    <w:rsid w:val="001E6A91"/>
    <w:rsid w:val="001E7AB6"/>
    <w:rsid w:val="001F12C8"/>
    <w:rsid w:val="001F3FCE"/>
    <w:rsid w:val="001F77EE"/>
    <w:rsid w:val="002002CB"/>
    <w:rsid w:val="002012B5"/>
    <w:rsid w:val="002014B5"/>
    <w:rsid w:val="002035FE"/>
    <w:rsid w:val="00204886"/>
    <w:rsid w:val="0020539A"/>
    <w:rsid w:val="00213882"/>
    <w:rsid w:val="00221AEB"/>
    <w:rsid w:val="002266B5"/>
    <w:rsid w:val="00233605"/>
    <w:rsid w:val="00234406"/>
    <w:rsid w:val="0023573E"/>
    <w:rsid w:val="00236FBF"/>
    <w:rsid w:val="002379E3"/>
    <w:rsid w:val="002436D6"/>
    <w:rsid w:val="00250482"/>
    <w:rsid w:val="00251B58"/>
    <w:rsid w:val="002536F3"/>
    <w:rsid w:val="0025432B"/>
    <w:rsid w:val="002607DA"/>
    <w:rsid w:val="00262DF6"/>
    <w:rsid w:val="00263C8C"/>
    <w:rsid w:val="00264CF7"/>
    <w:rsid w:val="002659C3"/>
    <w:rsid w:val="00272C58"/>
    <w:rsid w:val="00273AFD"/>
    <w:rsid w:val="0027435F"/>
    <w:rsid w:val="00281470"/>
    <w:rsid w:val="00281747"/>
    <w:rsid w:val="00281B36"/>
    <w:rsid w:val="002844AA"/>
    <w:rsid w:val="002870CD"/>
    <w:rsid w:val="00292938"/>
    <w:rsid w:val="002958D6"/>
    <w:rsid w:val="00297123"/>
    <w:rsid w:val="002A0BF4"/>
    <w:rsid w:val="002A203E"/>
    <w:rsid w:val="002A4D13"/>
    <w:rsid w:val="002A644B"/>
    <w:rsid w:val="002B08F8"/>
    <w:rsid w:val="002B2B74"/>
    <w:rsid w:val="002C1C0D"/>
    <w:rsid w:val="002C2240"/>
    <w:rsid w:val="002C2D08"/>
    <w:rsid w:val="002C640F"/>
    <w:rsid w:val="002C721C"/>
    <w:rsid w:val="002E2F50"/>
    <w:rsid w:val="002E3C98"/>
    <w:rsid w:val="002F1E9F"/>
    <w:rsid w:val="002F41A0"/>
    <w:rsid w:val="002F7CE7"/>
    <w:rsid w:val="00300D1A"/>
    <w:rsid w:val="00302340"/>
    <w:rsid w:val="00302E4A"/>
    <w:rsid w:val="00303366"/>
    <w:rsid w:val="00303FDB"/>
    <w:rsid w:val="00306500"/>
    <w:rsid w:val="003077C6"/>
    <w:rsid w:val="00315475"/>
    <w:rsid w:val="00315B0E"/>
    <w:rsid w:val="0031765B"/>
    <w:rsid w:val="003254BC"/>
    <w:rsid w:val="003261BD"/>
    <w:rsid w:val="0033317E"/>
    <w:rsid w:val="00334B29"/>
    <w:rsid w:val="00337F7C"/>
    <w:rsid w:val="003436D8"/>
    <w:rsid w:val="00350910"/>
    <w:rsid w:val="00355A09"/>
    <w:rsid w:val="00356A86"/>
    <w:rsid w:val="00364E0F"/>
    <w:rsid w:val="00366C58"/>
    <w:rsid w:val="00367EA8"/>
    <w:rsid w:val="003778A7"/>
    <w:rsid w:val="0038388A"/>
    <w:rsid w:val="003876A6"/>
    <w:rsid w:val="00387B27"/>
    <w:rsid w:val="003936B7"/>
    <w:rsid w:val="003A05B7"/>
    <w:rsid w:val="003B33B8"/>
    <w:rsid w:val="003B3E64"/>
    <w:rsid w:val="003B5823"/>
    <w:rsid w:val="003B6859"/>
    <w:rsid w:val="003B77CF"/>
    <w:rsid w:val="003C0907"/>
    <w:rsid w:val="003C44CB"/>
    <w:rsid w:val="003D1140"/>
    <w:rsid w:val="003D5CFD"/>
    <w:rsid w:val="003D5DA3"/>
    <w:rsid w:val="003E1B9B"/>
    <w:rsid w:val="003E278F"/>
    <w:rsid w:val="003E310F"/>
    <w:rsid w:val="003E3E04"/>
    <w:rsid w:val="003E5FB9"/>
    <w:rsid w:val="003E67D8"/>
    <w:rsid w:val="003F1034"/>
    <w:rsid w:val="003F1F93"/>
    <w:rsid w:val="003F38EA"/>
    <w:rsid w:val="003F3AE2"/>
    <w:rsid w:val="003F4FF9"/>
    <w:rsid w:val="003F5752"/>
    <w:rsid w:val="003F58F3"/>
    <w:rsid w:val="004006D1"/>
    <w:rsid w:val="0040300F"/>
    <w:rsid w:val="004035BD"/>
    <w:rsid w:val="004045E3"/>
    <w:rsid w:val="0040636C"/>
    <w:rsid w:val="00407110"/>
    <w:rsid w:val="0040739F"/>
    <w:rsid w:val="0040760C"/>
    <w:rsid w:val="00410189"/>
    <w:rsid w:val="004138BB"/>
    <w:rsid w:val="00413ABD"/>
    <w:rsid w:val="0041526A"/>
    <w:rsid w:val="004211AC"/>
    <w:rsid w:val="0042547A"/>
    <w:rsid w:val="00425EB3"/>
    <w:rsid w:val="004316E6"/>
    <w:rsid w:val="00432832"/>
    <w:rsid w:val="004338EF"/>
    <w:rsid w:val="0043498C"/>
    <w:rsid w:val="004426FA"/>
    <w:rsid w:val="00443A49"/>
    <w:rsid w:val="00443FC6"/>
    <w:rsid w:val="004446C6"/>
    <w:rsid w:val="00444B40"/>
    <w:rsid w:val="00445444"/>
    <w:rsid w:val="00446F96"/>
    <w:rsid w:val="00450CCC"/>
    <w:rsid w:val="004512DD"/>
    <w:rsid w:val="00451737"/>
    <w:rsid w:val="004517F2"/>
    <w:rsid w:val="00453971"/>
    <w:rsid w:val="00453BDA"/>
    <w:rsid w:val="00457A0D"/>
    <w:rsid w:val="00460CDB"/>
    <w:rsid w:val="004622A4"/>
    <w:rsid w:val="004625BA"/>
    <w:rsid w:val="00462C7A"/>
    <w:rsid w:val="004637F6"/>
    <w:rsid w:val="004647E6"/>
    <w:rsid w:val="00465492"/>
    <w:rsid w:val="00465E0C"/>
    <w:rsid w:val="0046613B"/>
    <w:rsid w:val="00466237"/>
    <w:rsid w:val="004711FD"/>
    <w:rsid w:val="00471CCE"/>
    <w:rsid w:val="00472487"/>
    <w:rsid w:val="00474EB5"/>
    <w:rsid w:val="00476757"/>
    <w:rsid w:val="004816A4"/>
    <w:rsid w:val="004831E8"/>
    <w:rsid w:val="00485471"/>
    <w:rsid w:val="004873CE"/>
    <w:rsid w:val="00496642"/>
    <w:rsid w:val="004A51CE"/>
    <w:rsid w:val="004A59F5"/>
    <w:rsid w:val="004A64EA"/>
    <w:rsid w:val="004A7FD1"/>
    <w:rsid w:val="004B21CD"/>
    <w:rsid w:val="004B4F1F"/>
    <w:rsid w:val="004B5E59"/>
    <w:rsid w:val="004C145E"/>
    <w:rsid w:val="004C6377"/>
    <w:rsid w:val="004C7CD3"/>
    <w:rsid w:val="004D1891"/>
    <w:rsid w:val="004D359C"/>
    <w:rsid w:val="004D3765"/>
    <w:rsid w:val="004D38AE"/>
    <w:rsid w:val="004D5310"/>
    <w:rsid w:val="004D6C44"/>
    <w:rsid w:val="004E0D08"/>
    <w:rsid w:val="004E6806"/>
    <w:rsid w:val="004E7852"/>
    <w:rsid w:val="004E7E2F"/>
    <w:rsid w:val="004F16F1"/>
    <w:rsid w:val="004F315D"/>
    <w:rsid w:val="004F4948"/>
    <w:rsid w:val="004F713C"/>
    <w:rsid w:val="004F75F2"/>
    <w:rsid w:val="00500806"/>
    <w:rsid w:val="00501B46"/>
    <w:rsid w:val="00507357"/>
    <w:rsid w:val="00514723"/>
    <w:rsid w:val="005203EC"/>
    <w:rsid w:val="00520FAC"/>
    <w:rsid w:val="00521506"/>
    <w:rsid w:val="005237BF"/>
    <w:rsid w:val="00523E02"/>
    <w:rsid w:val="005259D7"/>
    <w:rsid w:val="00525B41"/>
    <w:rsid w:val="00531F91"/>
    <w:rsid w:val="00533AB1"/>
    <w:rsid w:val="005359A7"/>
    <w:rsid w:val="00535F81"/>
    <w:rsid w:val="005423C5"/>
    <w:rsid w:val="005440F2"/>
    <w:rsid w:val="00550C5D"/>
    <w:rsid w:val="00550D97"/>
    <w:rsid w:val="005511BE"/>
    <w:rsid w:val="00551485"/>
    <w:rsid w:val="00553392"/>
    <w:rsid w:val="00553FA4"/>
    <w:rsid w:val="00555D6B"/>
    <w:rsid w:val="00562234"/>
    <w:rsid w:val="00563595"/>
    <w:rsid w:val="00563CCF"/>
    <w:rsid w:val="00573E25"/>
    <w:rsid w:val="00574563"/>
    <w:rsid w:val="005807BC"/>
    <w:rsid w:val="005830B0"/>
    <w:rsid w:val="00584FB9"/>
    <w:rsid w:val="00587A1A"/>
    <w:rsid w:val="005903F4"/>
    <w:rsid w:val="005904D3"/>
    <w:rsid w:val="00590984"/>
    <w:rsid w:val="00591FB5"/>
    <w:rsid w:val="0059426D"/>
    <w:rsid w:val="00594399"/>
    <w:rsid w:val="00595436"/>
    <w:rsid w:val="005A0207"/>
    <w:rsid w:val="005A10D3"/>
    <w:rsid w:val="005A2B5B"/>
    <w:rsid w:val="005A4781"/>
    <w:rsid w:val="005A5E9E"/>
    <w:rsid w:val="005A7C19"/>
    <w:rsid w:val="005B259B"/>
    <w:rsid w:val="005C4685"/>
    <w:rsid w:val="005C4816"/>
    <w:rsid w:val="005C50C2"/>
    <w:rsid w:val="005C519D"/>
    <w:rsid w:val="005C52CF"/>
    <w:rsid w:val="005C77E7"/>
    <w:rsid w:val="005D24A8"/>
    <w:rsid w:val="005D3874"/>
    <w:rsid w:val="005D3AC8"/>
    <w:rsid w:val="005D3AFC"/>
    <w:rsid w:val="005D6C3F"/>
    <w:rsid w:val="005D7C03"/>
    <w:rsid w:val="005D7F77"/>
    <w:rsid w:val="005E61CF"/>
    <w:rsid w:val="005E71D7"/>
    <w:rsid w:val="005F0FD1"/>
    <w:rsid w:val="005F364B"/>
    <w:rsid w:val="005F574B"/>
    <w:rsid w:val="00605B4A"/>
    <w:rsid w:val="006066F0"/>
    <w:rsid w:val="00610516"/>
    <w:rsid w:val="00611B5C"/>
    <w:rsid w:val="00613D14"/>
    <w:rsid w:val="00614F2D"/>
    <w:rsid w:val="00620B55"/>
    <w:rsid w:val="006250C0"/>
    <w:rsid w:val="006252FD"/>
    <w:rsid w:val="00625629"/>
    <w:rsid w:val="00627FD9"/>
    <w:rsid w:val="006333CE"/>
    <w:rsid w:val="00640888"/>
    <w:rsid w:val="00641921"/>
    <w:rsid w:val="0064357F"/>
    <w:rsid w:val="00651AF2"/>
    <w:rsid w:val="00652CFD"/>
    <w:rsid w:val="00653484"/>
    <w:rsid w:val="0065375E"/>
    <w:rsid w:val="00653808"/>
    <w:rsid w:val="00661809"/>
    <w:rsid w:val="00670904"/>
    <w:rsid w:val="0067435C"/>
    <w:rsid w:val="006757F3"/>
    <w:rsid w:val="006809EB"/>
    <w:rsid w:val="00680B83"/>
    <w:rsid w:val="00690FEF"/>
    <w:rsid w:val="00691AEC"/>
    <w:rsid w:val="00692257"/>
    <w:rsid w:val="0069254D"/>
    <w:rsid w:val="0069725A"/>
    <w:rsid w:val="006A1DC3"/>
    <w:rsid w:val="006A1EA9"/>
    <w:rsid w:val="006A2832"/>
    <w:rsid w:val="006A2E04"/>
    <w:rsid w:val="006A33C3"/>
    <w:rsid w:val="006A34EB"/>
    <w:rsid w:val="006A5AA3"/>
    <w:rsid w:val="006A5BDD"/>
    <w:rsid w:val="006A74BE"/>
    <w:rsid w:val="006B007B"/>
    <w:rsid w:val="006B1A93"/>
    <w:rsid w:val="006B5185"/>
    <w:rsid w:val="006B719A"/>
    <w:rsid w:val="006B7435"/>
    <w:rsid w:val="006B7E0A"/>
    <w:rsid w:val="006C0002"/>
    <w:rsid w:val="006C6384"/>
    <w:rsid w:val="006C68A2"/>
    <w:rsid w:val="006D2415"/>
    <w:rsid w:val="006D6653"/>
    <w:rsid w:val="006D7091"/>
    <w:rsid w:val="006D763E"/>
    <w:rsid w:val="006E0E3A"/>
    <w:rsid w:val="006E3156"/>
    <w:rsid w:val="006E4D80"/>
    <w:rsid w:val="006E7173"/>
    <w:rsid w:val="006F0AEC"/>
    <w:rsid w:val="006F2779"/>
    <w:rsid w:val="006F4B31"/>
    <w:rsid w:val="006F5960"/>
    <w:rsid w:val="006F638E"/>
    <w:rsid w:val="0070287A"/>
    <w:rsid w:val="00704B82"/>
    <w:rsid w:val="00704E5D"/>
    <w:rsid w:val="00705C78"/>
    <w:rsid w:val="00712933"/>
    <w:rsid w:val="007317B3"/>
    <w:rsid w:val="007327B1"/>
    <w:rsid w:val="00736693"/>
    <w:rsid w:val="00743089"/>
    <w:rsid w:val="007464B1"/>
    <w:rsid w:val="00750E1B"/>
    <w:rsid w:val="007523D2"/>
    <w:rsid w:val="007528EC"/>
    <w:rsid w:val="00752925"/>
    <w:rsid w:val="00753F04"/>
    <w:rsid w:val="00760D86"/>
    <w:rsid w:val="00765EEE"/>
    <w:rsid w:val="00770A28"/>
    <w:rsid w:val="00771744"/>
    <w:rsid w:val="00776CAF"/>
    <w:rsid w:val="00785BE1"/>
    <w:rsid w:val="0078622F"/>
    <w:rsid w:val="00792334"/>
    <w:rsid w:val="00792AEF"/>
    <w:rsid w:val="0079308B"/>
    <w:rsid w:val="00794D1A"/>
    <w:rsid w:val="007950C0"/>
    <w:rsid w:val="007A1A80"/>
    <w:rsid w:val="007A2D68"/>
    <w:rsid w:val="007A53C3"/>
    <w:rsid w:val="007B384A"/>
    <w:rsid w:val="007B5FD8"/>
    <w:rsid w:val="007B694A"/>
    <w:rsid w:val="007C18EB"/>
    <w:rsid w:val="007C7428"/>
    <w:rsid w:val="007C7BBF"/>
    <w:rsid w:val="007D09A3"/>
    <w:rsid w:val="007D1C9F"/>
    <w:rsid w:val="007D2C5E"/>
    <w:rsid w:val="007E0061"/>
    <w:rsid w:val="007E1ABA"/>
    <w:rsid w:val="007E4D57"/>
    <w:rsid w:val="007F1A6C"/>
    <w:rsid w:val="007F337D"/>
    <w:rsid w:val="007F3EFB"/>
    <w:rsid w:val="007F46B3"/>
    <w:rsid w:val="007F55B9"/>
    <w:rsid w:val="007F6086"/>
    <w:rsid w:val="00801128"/>
    <w:rsid w:val="00805976"/>
    <w:rsid w:val="00805C7F"/>
    <w:rsid w:val="0080670A"/>
    <w:rsid w:val="0080681A"/>
    <w:rsid w:val="00806F4C"/>
    <w:rsid w:val="00811FC2"/>
    <w:rsid w:val="00812750"/>
    <w:rsid w:val="00815E90"/>
    <w:rsid w:val="00816402"/>
    <w:rsid w:val="00817334"/>
    <w:rsid w:val="00820FE6"/>
    <w:rsid w:val="00822490"/>
    <w:rsid w:val="008227E7"/>
    <w:rsid w:val="00823518"/>
    <w:rsid w:val="0082747C"/>
    <w:rsid w:val="0083151A"/>
    <w:rsid w:val="008334CE"/>
    <w:rsid w:val="00841486"/>
    <w:rsid w:val="00841B32"/>
    <w:rsid w:val="00841B40"/>
    <w:rsid w:val="00842E35"/>
    <w:rsid w:val="008436FB"/>
    <w:rsid w:val="0084452F"/>
    <w:rsid w:val="00844706"/>
    <w:rsid w:val="00844BEB"/>
    <w:rsid w:val="008455F6"/>
    <w:rsid w:val="00845D72"/>
    <w:rsid w:val="00850FB8"/>
    <w:rsid w:val="008578CD"/>
    <w:rsid w:val="00857A81"/>
    <w:rsid w:val="00857AD6"/>
    <w:rsid w:val="00860FD2"/>
    <w:rsid w:val="00864903"/>
    <w:rsid w:val="00873AC6"/>
    <w:rsid w:val="008742FF"/>
    <w:rsid w:val="008760D8"/>
    <w:rsid w:val="008764BF"/>
    <w:rsid w:val="00882832"/>
    <w:rsid w:val="008830E7"/>
    <w:rsid w:val="00884256"/>
    <w:rsid w:val="0089420E"/>
    <w:rsid w:val="00894E38"/>
    <w:rsid w:val="008960A9"/>
    <w:rsid w:val="008A2514"/>
    <w:rsid w:val="008A2ACC"/>
    <w:rsid w:val="008A3CA4"/>
    <w:rsid w:val="008A4AC2"/>
    <w:rsid w:val="008A6CBC"/>
    <w:rsid w:val="008A750E"/>
    <w:rsid w:val="008B1A7B"/>
    <w:rsid w:val="008B1EF4"/>
    <w:rsid w:val="008B6757"/>
    <w:rsid w:val="008C0B1F"/>
    <w:rsid w:val="008C0E8C"/>
    <w:rsid w:val="008C4DC5"/>
    <w:rsid w:val="008D7492"/>
    <w:rsid w:val="008E01C3"/>
    <w:rsid w:val="008E3397"/>
    <w:rsid w:val="008E5D72"/>
    <w:rsid w:val="008E663E"/>
    <w:rsid w:val="008F1EFA"/>
    <w:rsid w:val="008F5E6D"/>
    <w:rsid w:val="008F6FAE"/>
    <w:rsid w:val="00901276"/>
    <w:rsid w:val="00901BF5"/>
    <w:rsid w:val="0090540F"/>
    <w:rsid w:val="00906185"/>
    <w:rsid w:val="009065FD"/>
    <w:rsid w:val="009076A6"/>
    <w:rsid w:val="00911873"/>
    <w:rsid w:val="00911DFC"/>
    <w:rsid w:val="00913B37"/>
    <w:rsid w:val="00915B61"/>
    <w:rsid w:val="00916F68"/>
    <w:rsid w:val="00917025"/>
    <w:rsid w:val="00920988"/>
    <w:rsid w:val="00921375"/>
    <w:rsid w:val="00922EB4"/>
    <w:rsid w:val="00925066"/>
    <w:rsid w:val="00926266"/>
    <w:rsid w:val="0093570D"/>
    <w:rsid w:val="00935FC6"/>
    <w:rsid w:val="00937DD0"/>
    <w:rsid w:val="00940CD3"/>
    <w:rsid w:val="00944226"/>
    <w:rsid w:val="00950D1F"/>
    <w:rsid w:val="00951E08"/>
    <w:rsid w:val="009530E5"/>
    <w:rsid w:val="0095515B"/>
    <w:rsid w:val="00961B59"/>
    <w:rsid w:val="00964613"/>
    <w:rsid w:val="00965173"/>
    <w:rsid w:val="00965D66"/>
    <w:rsid w:val="00966BFE"/>
    <w:rsid w:val="00967C11"/>
    <w:rsid w:val="00970927"/>
    <w:rsid w:val="00970D9D"/>
    <w:rsid w:val="0097695A"/>
    <w:rsid w:val="009777B5"/>
    <w:rsid w:val="009777D2"/>
    <w:rsid w:val="00977AA8"/>
    <w:rsid w:val="0098429D"/>
    <w:rsid w:val="0098454D"/>
    <w:rsid w:val="00985BEE"/>
    <w:rsid w:val="00987C55"/>
    <w:rsid w:val="00991045"/>
    <w:rsid w:val="00992360"/>
    <w:rsid w:val="00994B68"/>
    <w:rsid w:val="00994C96"/>
    <w:rsid w:val="0099611F"/>
    <w:rsid w:val="00997577"/>
    <w:rsid w:val="009A027B"/>
    <w:rsid w:val="009A1AD7"/>
    <w:rsid w:val="009B2627"/>
    <w:rsid w:val="009B2BA6"/>
    <w:rsid w:val="009B73B6"/>
    <w:rsid w:val="009C3292"/>
    <w:rsid w:val="009C38A5"/>
    <w:rsid w:val="009C3C19"/>
    <w:rsid w:val="009C3DA8"/>
    <w:rsid w:val="009C446D"/>
    <w:rsid w:val="009C57AE"/>
    <w:rsid w:val="009D046A"/>
    <w:rsid w:val="009D2690"/>
    <w:rsid w:val="009D413D"/>
    <w:rsid w:val="009D53EE"/>
    <w:rsid w:val="009D5ADC"/>
    <w:rsid w:val="009E127B"/>
    <w:rsid w:val="009E1308"/>
    <w:rsid w:val="009E130B"/>
    <w:rsid w:val="009E292A"/>
    <w:rsid w:val="009E2FCB"/>
    <w:rsid w:val="009E409F"/>
    <w:rsid w:val="009E437B"/>
    <w:rsid w:val="009E4EAD"/>
    <w:rsid w:val="009E7220"/>
    <w:rsid w:val="009E7778"/>
    <w:rsid w:val="009F61C0"/>
    <w:rsid w:val="00A0023A"/>
    <w:rsid w:val="00A008FB"/>
    <w:rsid w:val="00A01C5C"/>
    <w:rsid w:val="00A04416"/>
    <w:rsid w:val="00A04B0E"/>
    <w:rsid w:val="00A06E17"/>
    <w:rsid w:val="00A11020"/>
    <w:rsid w:val="00A13E4E"/>
    <w:rsid w:val="00A16EC0"/>
    <w:rsid w:val="00A17A6E"/>
    <w:rsid w:val="00A223B9"/>
    <w:rsid w:val="00A23481"/>
    <w:rsid w:val="00A23987"/>
    <w:rsid w:val="00A323DE"/>
    <w:rsid w:val="00A33931"/>
    <w:rsid w:val="00A34974"/>
    <w:rsid w:val="00A3793D"/>
    <w:rsid w:val="00A40D67"/>
    <w:rsid w:val="00A412EB"/>
    <w:rsid w:val="00A432F7"/>
    <w:rsid w:val="00A43575"/>
    <w:rsid w:val="00A442F8"/>
    <w:rsid w:val="00A44A26"/>
    <w:rsid w:val="00A44F3E"/>
    <w:rsid w:val="00A456DE"/>
    <w:rsid w:val="00A45ADF"/>
    <w:rsid w:val="00A4657A"/>
    <w:rsid w:val="00A5142F"/>
    <w:rsid w:val="00A52B41"/>
    <w:rsid w:val="00A55EF7"/>
    <w:rsid w:val="00A56031"/>
    <w:rsid w:val="00A62B7C"/>
    <w:rsid w:val="00A649E5"/>
    <w:rsid w:val="00A67B13"/>
    <w:rsid w:val="00A75AAC"/>
    <w:rsid w:val="00A76F2E"/>
    <w:rsid w:val="00A80686"/>
    <w:rsid w:val="00A844F6"/>
    <w:rsid w:val="00A85738"/>
    <w:rsid w:val="00A862C3"/>
    <w:rsid w:val="00A9172E"/>
    <w:rsid w:val="00A91C64"/>
    <w:rsid w:val="00A91D60"/>
    <w:rsid w:val="00A926E3"/>
    <w:rsid w:val="00A93704"/>
    <w:rsid w:val="00A95769"/>
    <w:rsid w:val="00A9689E"/>
    <w:rsid w:val="00A9730B"/>
    <w:rsid w:val="00AA17F2"/>
    <w:rsid w:val="00AA1D56"/>
    <w:rsid w:val="00AA4E85"/>
    <w:rsid w:val="00AB539A"/>
    <w:rsid w:val="00AC162C"/>
    <w:rsid w:val="00AC2F56"/>
    <w:rsid w:val="00AC5ECD"/>
    <w:rsid w:val="00AD101C"/>
    <w:rsid w:val="00AD1274"/>
    <w:rsid w:val="00AD4A79"/>
    <w:rsid w:val="00AE10FA"/>
    <w:rsid w:val="00AE12A8"/>
    <w:rsid w:val="00AE5168"/>
    <w:rsid w:val="00AF3625"/>
    <w:rsid w:val="00AF436B"/>
    <w:rsid w:val="00B02A39"/>
    <w:rsid w:val="00B03582"/>
    <w:rsid w:val="00B11228"/>
    <w:rsid w:val="00B11330"/>
    <w:rsid w:val="00B1406C"/>
    <w:rsid w:val="00B1530A"/>
    <w:rsid w:val="00B2005A"/>
    <w:rsid w:val="00B270FB"/>
    <w:rsid w:val="00B30F69"/>
    <w:rsid w:val="00B35E4C"/>
    <w:rsid w:val="00B4557D"/>
    <w:rsid w:val="00B46B70"/>
    <w:rsid w:val="00B51017"/>
    <w:rsid w:val="00B56C66"/>
    <w:rsid w:val="00B605B1"/>
    <w:rsid w:val="00B609DD"/>
    <w:rsid w:val="00B60EB0"/>
    <w:rsid w:val="00B60F3B"/>
    <w:rsid w:val="00B61517"/>
    <w:rsid w:val="00B72DF6"/>
    <w:rsid w:val="00B73181"/>
    <w:rsid w:val="00B736FE"/>
    <w:rsid w:val="00B74132"/>
    <w:rsid w:val="00B77DD9"/>
    <w:rsid w:val="00B8154F"/>
    <w:rsid w:val="00B875D7"/>
    <w:rsid w:val="00B9244C"/>
    <w:rsid w:val="00BA1A91"/>
    <w:rsid w:val="00BA20A7"/>
    <w:rsid w:val="00BA38DF"/>
    <w:rsid w:val="00BB12D8"/>
    <w:rsid w:val="00BB2821"/>
    <w:rsid w:val="00BB528B"/>
    <w:rsid w:val="00BB5D07"/>
    <w:rsid w:val="00BC40D6"/>
    <w:rsid w:val="00BC4853"/>
    <w:rsid w:val="00BD0A83"/>
    <w:rsid w:val="00BD14B6"/>
    <w:rsid w:val="00BD1AC5"/>
    <w:rsid w:val="00BD261D"/>
    <w:rsid w:val="00BD32DC"/>
    <w:rsid w:val="00BD5AD7"/>
    <w:rsid w:val="00BD61D6"/>
    <w:rsid w:val="00BD62E7"/>
    <w:rsid w:val="00BD750D"/>
    <w:rsid w:val="00BE16AF"/>
    <w:rsid w:val="00BE64D3"/>
    <w:rsid w:val="00BF065F"/>
    <w:rsid w:val="00BF72DB"/>
    <w:rsid w:val="00C0022C"/>
    <w:rsid w:val="00C01F33"/>
    <w:rsid w:val="00C03DFD"/>
    <w:rsid w:val="00C06C81"/>
    <w:rsid w:val="00C070A4"/>
    <w:rsid w:val="00C10893"/>
    <w:rsid w:val="00C117E7"/>
    <w:rsid w:val="00C122AA"/>
    <w:rsid w:val="00C135FA"/>
    <w:rsid w:val="00C1674B"/>
    <w:rsid w:val="00C170DF"/>
    <w:rsid w:val="00C213AF"/>
    <w:rsid w:val="00C2489C"/>
    <w:rsid w:val="00C271F0"/>
    <w:rsid w:val="00C3057F"/>
    <w:rsid w:val="00C3064B"/>
    <w:rsid w:val="00C33106"/>
    <w:rsid w:val="00C37B13"/>
    <w:rsid w:val="00C40FA9"/>
    <w:rsid w:val="00C42457"/>
    <w:rsid w:val="00C42A67"/>
    <w:rsid w:val="00C50C16"/>
    <w:rsid w:val="00C50FB6"/>
    <w:rsid w:val="00C518D3"/>
    <w:rsid w:val="00C63888"/>
    <w:rsid w:val="00C638B9"/>
    <w:rsid w:val="00C65F20"/>
    <w:rsid w:val="00C662F6"/>
    <w:rsid w:val="00C668A6"/>
    <w:rsid w:val="00C711E8"/>
    <w:rsid w:val="00C77C5A"/>
    <w:rsid w:val="00C82706"/>
    <w:rsid w:val="00C829B9"/>
    <w:rsid w:val="00C82F1B"/>
    <w:rsid w:val="00C835C9"/>
    <w:rsid w:val="00C838A2"/>
    <w:rsid w:val="00C84469"/>
    <w:rsid w:val="00C85538"/>
    <w:rsid w:val="00C85EB7"/>
    <w:rsid w:val="00C85EE5"/>
    <w:rsid w:val="00C92673"/>
    <w:rsid w:val="00CA49F6"/>
    <w:rsid w:val="00CA770B"/>
    <w:rsid w:val="00CB134D"/>
    <w:rsid w:val="00CB19F2"/>
    <w:rsid w:val="00CB4FCA"/>
    <w:rsid w:val="00CB57B5"/>
    <w:rsid w:val="00CC2979"/>
    <w:rsid w:val="00CC3FA8"/>
    <w:rsid w:val="00CC6331"/>
    <w:rsid w:val="00CC6C70"/>
    <w:rsid w:val="00CC7A4C"/>
    <w:rsid w:val="00CD62BE"/>
    <w:rsid w:val="00CD716F"/>
    <w:rsid w:val="00CE0AFA"/>
    <w:rsid w:val="00CE3F89"/>
    <w:rsid w:val="00CE4851"/>
    <w:rsid w:val="00CE4ED1"/>
    <w:rsid w:val="00CE5C84"/>
    <w:rsid w:val="00CF0FBA"/>
    <w:rsid w:val="00CF1ABB"/>
    <w:rsid w:val="00CF23CB"/>
    <w:rsid w:val="00CF2E0A"/>
    <w:rsid w:val="00CF40B2"/>
    <w:rsid w:val="00CF6523"/>
    <w:rsid w:val="00CF6885"/>
    <w:rsid w:val="00D00A71"/>
    <w:rsid w:val="00D0409E"/>
    <w:rsid w:val="00D16892"/>
    <w:rsid w:val="00D21D7D"/>
    <w:rsid w:val="00D2323E"/>
    <w:rsid w:val="00D24761"/>
    <w:rsid w:val="00D259BB"/>
    <w:rsid w:val="00D33DE7"/>
    <w:rsid w:val="00D35471"/>
    <w:rsid w:val="00D372EA"/>
    <w:rsid w:val="00D3731D"/>
    <w:rsid w:val="00D37F8D"/>
    <w:rsid w:val="00D43B3C"/>
    <w:rsid w:val="00D44362"/>
    <w:rsid w:val="00D5015B"/>
    <w:rsid w:val="00D5186B"/>
    <w:rsid w:val="00D51B7D"/>
    <w:rsid w:val="00D529B5"/>
    <w:rsid w:val="00D563CB"/>
    <w:rsid w:val="00D57CF4"/>
    <w:rsid w:val="00D60D9D"/>
    <w:rsid w:val="00D76E70"/>
    <w:rsid w:val="00D76FD4"/>
    <w:rsid w:val="00D77676"/>
    <w:rsid w:val="00D903B6"/>
    <w:rsid w:val="00D93B5D"/>
    <w:rsid w:val="00DA2FBB"/>
    <w:rsid w:val="00DA3FC7"/>
    <w:rsid w:val="00DA5892"/>
    <w:rsid w:val="00DB0808"/>
    <w:rsid w:val="00DB2B40"/>
    <w:rsid w:val="00DB5892"/>
    <w:rsid w:val="00DB69D9"/>
    <w:rsid w:val="00DC1B05"/>
    <w:rsid w:val="00DC4138"/>
    <w:rsid w:val="00DC550D"/>
    <w:rsid w:val="00DD016D"/>
    <w:rsid w:val="00DD33BC"/>
    <w:rsid w:val="00DD7A49"/>
    <w:rsid w:val="00DD7AE9"/>
    <w:rsid w:val="00DE2843"/>
    <w:rsid w:val="00DE32D4"/>
    <w:rsid w:val="00DE6C73"/>
    <w:rsid w:val="00DE7DDA"/>
    <w:rsid w:val="00DF0387"/>
    <w:rsid w:val="00DF36A3"/>
    <w:rsid w:val="00DF5439"/>
    <w:rsid w:val="00DF66F5"/>
    <w:rsid w:val="00DF6C28"/>
    <w:rsid w:val="00DF6D16"/>
    <w:rsid w:val="00DF780F"/>
    <w:rsid w:val="00DF7CDF"/>
    <w:rsid w:val="00E00EF9"/>
    <w:rsid w:val="00E070E6"/>
    <w:rsid w:val="00E0735B"/>
    <w:rsid w:val="00E222C8"/>
    <w:rsid w:val="00E23AC1"/>
    <w:rsid w:val="00E23EDC"/>
    <w:rsid w:val="00E242CA"/>
    <w:rsid w:val="00E260AB"/>
    <w:rsid w:val="00E27688"/>
    <w:rsid w:val="00E27ADE"/>
    <w:rsid w:val="00E30C23"/>
    <w:rsid w:val="00E32188"/>
    <w:rsid w:val="00E372B7"/>
    <w:rsid w:val="00E4187D"/>
    <w:rsid w:val="00E47122"/>
    <w:rsid w:val="00E53795"/>
    <w:rsid w:val="00E5693C"/>
    <w:rsid w:val="00E602BE"/>
    <w:rsid w:val="00E67CE3"/>
    <w:rsid w:val="00E776A9"/>
    <w:rsid w:val="00E90C81"/>
    <w:rsid w:val="00E9218B"/>
    <w:rsid w:val="00E921D0"/>
    <w:rsid w:val="00E95332"/>
    <w:rsid w:val="00E97E3D"/>
    <w:rsid w:val="00EA1350"/>
    <w:rsid w:val="00EA1677"/>
    <w:rsid w:val="00EA45E2"/>
    <w:rsid w:val="00EA4634"/>
    <w:rsid w:val="00EA5174"/>
    <w:rsid w:val="00EB033A"/>
    <w:rsid w:val="00EB3457"/>
    <w:rsid w:val="00EB5F91"/>
    <w:rsid w:val="00EB7A67"/>
    <w:rsid w:val="00EC02BF"/>
    <w:rsid w:val="00EC04E5"/>
    <w:rsid w:val="00ED3F56"/>
    <w:rsid w:val="00EE1050"/>
    <w:rsid w:val="00EE427C"/>
    <w:rsid w:val="00EE614F"/>
    <w:rsid w:val="00EE71FF"/>
    <w:rsid w:val="00EE768D"/>
    <w:rsid w:val="00EF5E05"/>
    <w:rsid w:val="00EF637D"/>
    <w:rsid w:val="00F000E2"/>
    <w:rsid w:val="00F00F1F"/>
    <w:rsid w:val="00F010BB"/>
    <w:rsid w:val="00F04A18"/>
    <w:rsid w:val="00F12BFD"/>
    <w:rsid w:val="00F1311E"/>
    <w:rsid w:val="00F154B2"/>
    <w:rsid w:val="00F15832"/>
    <w:rsid w:val="00F21B55"/>
    <w:rsid w:val="00F22A43"/>
    <w:rsid w:val="00F25E1C"/>
    <w:rsid w:val="00F305F8"/>
    <w:rsid w:val="00F31D20"/>
    <w:rsid w:val="00F3256B"/>
    <w:rsid w:val="00F3307C"/>
    <w:rsid w:val="00F3404C"/>
    <w:rsid w:val="00F3415D"/>
    <w:rsid w:val="00F3560F"/>
    <w:rsid w:val="00F373A1"/>
    <w:rsid w:val="00F373FB"/>
    <w:rsid w:val="00F37798"/>
    <w:rsid w:val="00F40CCE"/>
    <w:rsid w:val="00F44E6D"/>
    <w:rsid w:val="00F54BE8"/>
    <w:rsid w:val="00F6040C"/>
    <w:rsid w:val="00F6138D"/>
    <w:rsid w:val="00F6380D"/>
    <w:rsid w:val="00F64D85"/>
    <w:rsid w:val="00F6750B"/>
    <w:rsid w:val="00F70157"/>
    <w:rsid w:val="00F718E9"/>
    <w:rsid w:val="00F74301"/>
    <w:rsid w:val="00F755A3"/>
    <w:rsid w:val="00F75C02"/>
    <w:rsid w:val="00F75C4A"/>
    <w:rsid w:val="00F80382"/>
    <w:rsid w:val="00F80CE5"/>
    <w:rsid w:val="00F80FB3"/>
    <w:rsid w:val="00F81042"/>
    <w:rsid w:val="00F9069B"/>
    <w:rsid w:val="00F92C41"/>
    <w:rsid w:val="00F93827"/>
    <w:rsid w:val="00F94021"/>
    <w:rsid w:val="00F948E5"/>
    <w:rsid w:val="00F94C8E"/>
    <w:rsid w:val="00F964F5"/>
    <w:rsid w:val="00FA03ED"/>
    <w:rsid w:val="00FA23E4"/>
    <w:rsid w:val="00FA2B00"/>
    <w:rsid w:val="00FA6592"/>
    <w:rsid w:val="00FB26E1"/>
    <w:rsid w:val="00FC38C1"/>
    <w:rsid w:val="00FC4DB8"/>
    <w:rsid w:val="00FC5013"/>
    <w:rsid w:val="00FC686E"/>
    <w:rsid w:val="00FD340B"/>
    <w:rsid w:val="00FE1296"/>
    <w:rsid w:val="00FE18A8"/>
    <w:rsid w:val="00FE2723"/>
    <w:rsid w:val="00FE3323"/>
    <w:rsid w:val="00FE4114"/>
    <w:rsid w:val="00FE4868"/>
    <w:rsid w:val="00FE70C3"/>
    <w:rsid w:val="00FF152D"/>
    <w:rsid w:val="0832BEC0"/>
    <w:rsid w:val="0899E975"/>
    <w:rsid w:val="0B7768A5"/>
    <w:rsid w:val="0D133906"/>
    <w:rsid w:val="0D98847D"/>
    <w:rsid w:val="0E8FF2C3"/>
    <w:rsid w:val="0F1D8746"/>
    <w:rsid w:val="1724EC80"/>
    <w:rsid w:val="182C1A2D"/>
    <w:rsid w:val="19E8B6BE"/>
    <w:rsid w:val="19F9A994"/>
    <w:rsid w:val="1AE7614E"/>
    <w:rsid w:val="2178E51C"/>
    <w:rsid w:val="2B199085"/>
    <w:rsid w:val="2CB560E6"/>
    <w:rsid w:val="2F48C99B"/>
    <w:rsid w:val="3159A978"/>
    <w:rsid w:val="343419FE"/>
    <w:rsid w:val="35C9F20E"/>
    <w:rsid w:val="36B5C77B"/>
    <w:rsid w:val="3A31303C"/>
    <w:rsid w:val="3B892E06"/>
    <w:rsid w:val="439D9F71"/>
    <w:rsid w:val="440B0A1C"/>
    <w:rsid w:val="44443ADF"/>
    <w:rsid w:val="45C23A2C"/>
    <w:rsid w:val="469054B0"/>
    <w:rsid w:val="475E0A8D"/>
    <w:rsid w:val="48F9DAEE"/>
    <w:rsid w:val="4B744C96"/>
    <w:rsid w:val="4F5BC009"/>
    <w:rsid w:val="553503D7"/>
    <w:rsid w:val="5E33D8AF"/>
    <w:rsid w:val="601DCA4D"/>
    <w:rsid w:val="6A5F93A4"/>
    <w:rsid w:val="6AF9335A"/>
    <w:rsid w:val="6B92E960"/>
    <w:rsid w:val="6C7268CB"/>
    <w:rsid w:val="6D325E04"/>
    <w:rsid w:val="6DA8273C"/>
    <w:rsid w:val="6DEBC7BC"/>
    <w:rsid w:val="6E7A1CE6"/>
    <w:rsid w:val="6EBB05DE"/>
    <w:rsid w:val="6F43F79D"/>
    <w:rsid w:val="7A39D3E6"/>
    <w:rsid w:val="7C095248"/>
    <w:rsid w:val="7F3ABA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5BF3EA1F-4E6F-4063-9762-51CECE59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911873"/>
    <w:pPr>
      <w:spacing w:after="0" w:line="240" w:lineRule="auto"/>
      <w:ind w:left="720"/>
    </w:pPr>
    <w:rPr>
      <w:rFonts w:asciiTheme="majorHAnsi" w:eastAsia="Times New Roman" w:hAnsiTheme="majorHAnsi" w:cs="Times New Roman"/>
      <w:sz w:val="20"/>
      <w:szCs w:val="20"/>
    </w:rPr>
  </w:style>
  <w:style w:type="paragraph" w:styleId="Heading1">
    <w:name w:val="heading 1"/>
    <w:basedOn w:val="Normal"/>
    <w:next w:val="Normal"/>
    <w:link w:val="Heading1Char"/>
    <w:uiPriority w:val="1"/>
    <w:qFormat/>
    <w:rsid w:val="002C721C"/>
    <w:pPr>
      <w:keepNext/>
      <w:widowControl w:val="0"/>
      <w:tabs>
        <w:tab w:val="left" w:pos="1418"/>
      </w:tabs>
      <w:overflowPunct w:val="0"/>
      <w:autoSpaceDE w:val="0"/>
      <w:autoSpaceDN w:val="0"/>
      <w:adjustRightInd w:val="0"/>
      <w:spacing w:before="240" w:after="60"/>
      <w:ind w:left="709"/>
      <w:jc w:val="both"/>
      <w:textAlignment w:val="baseline"/>
      <w:outlineLvl w:val="0"/>
    </w:pPr>
    <w:rPr>
      <w:rFonts w:cs="Arial"/>
      <w:b/>
      <w:bCs/>
      <w:kern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hAnsi="Myriad Pro"/>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911873"/>
    <w:pPr>
      <w:spacing w:after="0" w:line="240" w:lineRule="auto"/>
      <w:ind w:left="720"/>
    </w:pPr>
    <w:rPr>
      <w:rFonts w:asciiTheme="majorHAnsi" w:eastAsia="Times New Roman" w:hAnsiTheme="majorHAnsi" w:cs="Times New Roman"/>
      <w:sz w:val="20"/>
      <w:szCs w:val="20"/>
    </w:rPr>
  </w:style>
  <w:style w:type="paragraph" w:styleId="TOC1">
    <w:name w:val="toc 1"/>
    <w:basedOn w:val="Normal"/>
    <w:next w:val="Normal"/>
    <w:autoRedefine/>
    <w:uiPriority w:val="39"/>
    <w:unhideWhenUsed/>
    <w:rsid w:val="003A05B7"/>
    <w:pPr>
      <w:spacing w:after="120"/>
    </w:pPr>
    <w:rPr>
      <w:rFonts w:ascii="Myriad Pro" w:hAnsi="Myriad Pro"/>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2C721C"/>
    <w:rPr>
      <w:rFonts w:eastAsia="Times New Roman" w:cs="Arial"/>
      <w:b/>
      <w:bCs/>
      <w:kern w:val="32"/>
      <w:sz w:val="20"/>
      <w:szCs w:val="20"/>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contextualSpacing/>
    </w:pPr>
    <w:rPr>
      <w:rFonts w:ascii="Arial" w:eastAsia="Calibri" w:hAnsi="Arial"/>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hAnsi="Myriad Pro"/>
      <w:sz w:val="24"/>
      <w:szCs w:val="32"/>
    </w:rPr>
  </w:style>
  <w:style w:type="paragraph" w:styleId="FootnoteText">
    <w:name w:val="footnote text"/>
    <w:basedOn w:val="Normal"/>
    <w:link w:val="FootnoteTextChar"/>
    <w:uiPriority w:val="99"/>
    <w:unhideWhenUsed/>
    <w:rsid w:val="0038388A"/>
    <w:pPr>
      <w:spacing w:after="120"/>
    </w:pPr>
    <w:rPr>
      <w:rFonts w:ascii="Myriad Pro" w:hAnsi="Myriad Pro"/>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Bullet">
    <w:name w:val="Bullet"/>
    <w:basedOn w:val="BodyText"/>
    <w:uiPriority w:val="8"/>
    <w:qFormat/>
    <w:rsid w:val="00753F04"/>
    <w:pPr>
      <w:spacing w:before="170" w:line="260" w:lineRule="exact"/>
      <w:ind w:left="1418" w:hanging="284"/>
    </w:pPr>
    <w:rPr>
      <w:rFonts w:asciiTheme="minorHAnsi" w:eastAsiaTheme="minorHAnsi" w:hAnsiTheme="minorHAnsi" w:cstheme="minorBidi"/>
      <w:color w:val="auto"/>
      <w:szCs w:val="22"/>
    </w:rPr>
  </w:style>
  <w:style w:type="paragraph" w:customStyle="1" w:styleId="BulletLevel3">
    <w:name w:val="Bullet Level 3"/>
    <w:basedOn w:val="Bullet"/>
    <w:uiPriority w:val="11"/>
    <w:qFormat/>
    <w:rsid w:val="003B3E64"/>
    <w:pPr>
      <w:numPr>
        <w:numId w:val="25"/>
      </w:numPr>
    </w:pPr>
  </w:style>
  <w:style w:type="paragraph" w:customStyle="1" w:styleId="DashLevel3">
    <w:name w:val="Dash Level 3"/>
    <w:basedOn w:val="Bullet"/>
    <w:uiPriority w:val="12"/>
    <w:qFormat/>
    <w:rsid w:val="00965173"/>
    <w:pPr>
      <w:numPr>
        <w:ilvl w:val="4"/>
      </w:numPr>
      <w:tabs>
        <w:tab w:val="num" w:pos="360"/>
      </w:tabs>
      <w:ind w:left="1418" w:hanging="284"/>
    </w:pPr>
  </w:style>
  <w:style w:type="numbering" w:customStyle="1" w:styleId="CCCBullets">
    <w:name w:val="CCC Bullets"/>
    <w:uiPriority w:val="99"/>
    <w:rsid w:val="00965173"/>
    <w:pPr>
      <w:numPr>
        <w:numId w:val="5"/>
      </w:numPr>
    </w:pPr>
  </w:style>
  <w:style w:type="table" w:customStyle="1" w:styleId="CCCTable">
    <w:name w:val="CCC Table"/>
    <w:basedOn w:val="TableNormal"/>
    <w:uiPriority w:val="99"/>
    <w:rsid w:val="0033317E"/>
    <w:pPr>
      <w:spacing w:after="0" w:line="240" w:lineRule="auto"/>
    </w:pPr>
    <w:rPr>
      <w:sz w:val="18"/>
    </w:rPr>
    <w:tblPr>
      <w:tblStyleRowBandSize w:val="1"/>
      <w:tblInd w:w="-2608" w:type="dxa"/>
      <w:tblBorders>
        <w:top w:val="single" w:sz="4" w:space="0" w:color="280049"/>
        <w:left w:val="single" w:sz="4" w:space="0" w:color="280049"/>
        <w:bottom w:val="single" w:sz="4" w:space="0" w:color="280049"/>
        <w:right w:val="single" w:sz="4" w:space="0" w:color="280049"/>
        <w:insideH w:val="single" w:sz="4" w:space="0" w:color="280049"/>
        <w:insideV w:val="single" w:sz="4" w:space="0" w:color="280049"/>
      </w:tblBorders>
    </w:tblPr>
    <w:tcPr>
      <w:tcMar>
        <w:top w:w="0" w:type="dxa"/>
        <w:left w:w="85" w:type="dxa"/>
        <w:bottom w:w="0" w:type="dxa"/>
        <w:right w:w="85" w:type="dxa"/>
      </w:tcMar>
    </w:tcPr>
    <w:tblStylePr w:type="firstRow">
      <w:pPr>
        <w:jc w:val="left"/>
      </w:pPr>
      <w:rPr>
        <w:rFonts w:asciiTheme="minorHAnsi" w:hAnsiTheme="minorHAnsi"/>
        <w:color w:val="FFFFFF" w:themeColor="background1"/>
        <w:sz w:val="18"/>
      </w:rPr>
      <w:tblPr/>
      <w:tcPr>
        <w:shd w:val="clear" w:color="auto" w:fill="280049"/>
        <w:vAlign w:val="center"/>
      </w:tcPr>
    </w:tblStylePr>
    <w:tblStylePr w:type="firstCol">
      <w:rPr>
        <w:rFonts w:asciiTheme="minorHAnsi" w:hAnsiTheme="minorHAnsi"/>
        <w:b/>
        <w:color w:val="FFFFFF" w:themeColor="background1"/>
        <w:sz w:val="18"/>
      </w:rPr>
      <w:tblPr/>
      <w:tcPr>
        <w:shd w:val="clear" w:color="auto" w:fill="7142FF"/>
      </w:tcPr>
    </w:tblStylePr>
    <w:tblStylePr w:type="band1Horz">
      <w:pPr>
        <w:jc w:val="left"/>
      </w:pPr>
      <w:rPr>
        <w:rFonts w:asciiTheme="minorHAnsi" w:hAnsiTheme="minorHAnsi"/>
        <w:color w:val="280049" w:themeColor="text1"/>
        <w:sz w:val="18"/>
      </w:rPr>
      <w:tblPr/>
      <w:tcPr>
        <w:shd w:val="clear" w:color="auto" w:fill="FFFFFF" w:themeFill="background1"/>
      </w:tcPr>
    </w:tblStylePr>
    <w:tblStylePr w:type="band2Horz">
      <w:pPr>
        <w:jc w:val="left"/>
      </w:pPr>
      <w:rPr>
        <w:rFonts w:asciiTheme="minorHAnsi" w:hAnsiTheme="minorHAnsi"/>
        <w:sz w:val="18"/>
      </w:rPr>
      <w:tblPr/>
      <w:tcPr>
        <w:shd w:val="clear" w:color="auto" w:fill="FFFFFF" w:themeFill="background1"/>
      </w:tcPr>
    </w:tblStylePr>
  </w:style>
  <w:style w:type="character" w:styleId="FootnoteReference">
    <w:name w:val="footnote reference"/>
    <w:basedOn w:val="DefaultParagraphFont"/>
    <w:uiPriority w:val="99"/>
    <w:semiHidden/>
    <w:unhideWhenUsed/>
    <w:rsid w:val="008E5D72"/>
    <w:rPr>
      <w:vertAlign w:val="superscript"/>
    </w:rPr>
  </w:style>
  <w:style w:type="character" w:styleId="Hyperlink">
    <w:name w:val="Hyperlink"/>
    <w:basedOn w:val="DefaultParagraphFont"/>
    <w:uiPriority w:val="99"/>
    <w:unhideWhenUsed/>
    <w:rsid w:val="008E5D72"/>
    <w:rPr>
      <w:color w:val="0000FF"/>
      <w:u w:val="single"/>
    </w:rPr>
  </w:style>
  <w:style w:type="character" w:styleId="CommentReference">
    <w:name w:val="annotation reference"/>
    <w:basedOn w:val="DefaultParagraphFont"/>
    <w:uiPriority w:val="99"/>
    <w:semiHidden/>
    <w:unhideWhenUsed/>
    <w:rsid w:val="00704B82"/>
    <w:rPr>
      <w:sz w:val="16"/>
      <w:szCs w:val="16"/>
    </w:rPr>
  </w:style>
  <w:style w:type="paragraph" w:styleId="CommentText">
    <w:name w:val="annotation text"/>
    <w:basedOn w:val="Normal"/>
    <w:link w:val="CommentTextChar"/>
    <w:uiPriority w:val="99"/>
    <w:unhideWhenUsed/>
    <w:rsid w:val="00704B82"/>
  </w:style>
  <w:style w:type="character" w:customStyle="1" w:styleId="CommentTextChar">
    <w:name w:val="Comment Text Char"/>
    <w:basedOn w:val="DefaultParagraphFont"/>
    <w:link w:val="CommentText"/>
    <w:uiPriority w:val="99"/>
    <w:rsid w:val="00704B82"/>
    <w:rPr>
      <w:sz w:val="20"/>
      <w:szCs w:val="20"/>
    </w:rPr>
  </w:style>
  <w:style w:type="paragraph" w:styleId="CommentSubject">
    <w:name w:val="annotation subject"/>
    <w:basedOn w:val="CommentText"/>
    <w:next w:val="CommentText"/>
    <w:link w:val="CommentSubjectChar"/>
    <w:uiPriority w:val="99"/>
    <w:semiHidden/>
    <w:unhideWhenUsed/>
    <w:rsid w:val="00704B82"/>
    <w:rPr>
      <w:b/>
      <w:bCs/>
    </w:rPr>
  </w:style>
  <w:style w:type="character" w:customStyle="1" w:styleId="CommentSubjectChar">
    <w:name w:val="Comment Subject Char"/>
    <w:basedOn w:val="CommentTextChar"/>
    <w:link w:val="CommentSubject"/>
    <w:uiPriority w:val="99"/>
    <w:semiHidden/>
    <w:rsid w:val="00704B82"/>
    <w:rPr>
      <w:b/>
      <w:bCs/>
      <w:sz w:val="20"/>
      <w:szCs w:val="20"/>
    </w:rPr>
  </w:style>
  <w:style w:type="character" w:customStyle="1" w:styleId="normaltextrun">
    <w:name w:val="normaltextrun"/>
    <w:basedOn w:val="DefaultParagraphFont"/>
    <w:rsid w:val="00D372EA"/>
  </w:style>
  <w:style w:type="paragraph" w:customStyle="1" w:styleId="paragraph0">
    <w:name w:val="paragraph"/>
    <w:basedOn w:val="Normal"/>
    <w:rsid w:val="00AE5168"/>
    <w:pPr>
      <w:spacing w:before="100" w:beforeAutospacing="1" w:after="100" w:afterAutospacing="1"/>
    </w:pPr>
    <w:rPr>
      <w:rFonts w:ascii="Times New Roman" w:hAnsi="Times New Roman"/>
      <w:sz w:val="24"/>
      <w:szCs w:val="24"/>
      <w:lang w:eastAsia="en-GB"/>
    </w:rPr>
  </w:style>
  <w:style w:type="character" w:customStyle="1" w:styleId="eop">
    <w:name w:val="eop"/>
    <w:basedOn w:val="DefaultParagraphFont"/>
    <w:rsid w:val="00AE5168"/>
  </w:style>
  <w:style w:type="paragraph" w:styleId="Revision">
    <w:name w:val="Revision"/>
    <w:hidden/>
    <w:uiPriority w:val="99"/>
    <w:semiHidden/>
    <w:rsid w:val="00A16EC0"/>
    <w:pPr>
      <w:spacing w:after="0" w:line="240" w:lineRule="auto"/>
    </w:pPr>
    <w:rPr>
      <w:rFonts w:asciiTheme="majorHAnsi" w:eastAsia="Times New Roman" w:hAnsiTheme="majorHAnsi" w:cs="Times New Roman"/>
      <w:sz w:val="20"/>
      <w:szCs w:val="20"/>
    </w:rPr>
  </w:style>
  <w:style w:type="character" w:styleId="UnresolvedMention">
    <w:name w:val="Unresolved Mention"/>
    <w:basedOn w:val="DefaultParagraphFont"/>
    <w:uiPriority w:val="99"/>
    <w:semiHidden/>
    <w:unhideWhenUsed/>
    <w:rsid w:val="00CB134D"/>
    <w:rPr>
      <w:color w:val="605E5C"/>
      <w:shd w:val="clear" w:color="auto" w:fill="E1DFDD"/>
    </w:rPr>
  </w:style>
  <w:style w:type="character" w:styleId="FollowedHyperlink">
    <w:name w:val="FollowedHyperlink"/>
    <w:basedOn w:val="DefaultParagraphFont"/>
    <w:uiPriority w:val="99"/>
    <w:semiHidden/>
    <w:unhideWhenUsed/>
    <w:rsid w:val="00DF780F"/>
    <w:rPr>
      <w:color w:val="000000" w:themeColor="followedHyperlink"/>
      <w:u w:val="single"/>
    </w:rPr>
  </w:style>
  <w:style w:type="paragraph" w:styleId="EndnoteText">
    <w:name w:val="endnote text"/>
    <w:basedOn w:val="Normal"/>
    <w:link w:val="EndnoteTextChar"/>
    <w:uiPriority w:val="99"/>
    <w:semiHidden/>
    <w:unhideWhenUsed/>
    <w:rsid w:val="00736693"/>
  </w:style>
  <w:style w:type="character" w:customStyle="1" w:styleId="EndnoteTextChar">
    <w:name w:val="Endnote Text Char"/>
    <w:basedOn w:val="DefaultParagraphFont"/>
    <w:link w:val="EndnoteText"/>
    <w:uiPriority w:val="99"/>
    <w:semiHidden/>
    <w:rsid w:val="00736693"/>
    <w:rPr>
      <w:rFonts w:asciiTheme="majorHAnsi" w:eastAsia="Times New Roman" w:hAnsiTheme="majorHAnsi" w:cs="Times New Roman"/>
      <w:sz w:val="20"/>
      <w:szCs w:val="20"/>
    </w:rPr>
  </w:style>
  <w:style w:type="character" w:styleId="EndnoteReference">
    <w:name w:val="endnote reference"/>
    <w:basedOn w:val="DefaultParagraphFont"/>
    <w:uiPriority w:val="99"/>
    <w:semiHidden/>
    <w:unhideWhenUsed/>
    <w:rsid w:val="007366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776">
      <w:bodyDiv w:val="1"/>
      <w:marLeft w:val="0"/>
      <w:marRight w:val="0"/>
      <w:marTop w:val="0"/>
      <w:marBottom w:val="0"/>
      <w:divBdr>
        <w:top w:val="none" w:sz="0" w:space="0" w:color="auto"/>
        <w:left w:val="none" w:sz="0" w:space="0" w:color="auto"/>
        <w:bottom w:val="none" w:sz="0" w:space="0" w:color="auto"/>
        <w:right w:val="none" w:sz="0" w:space="0" w:color="auto"/>
      </w:divBdr>
      <w:divsChild>
        <w:div w:id="506360760">
          <w:marLeft w:val="0"/>
          <w:marRight w:val="0"/>
          <w:marTop w:val="0"/>
          <w:marBottom w:val="0"/>
          <w:divBdr>
            <w:top w:val="none" w:sz="0" w:space="0" w:color="auto"/>
            <w:left w:val="none" w:sz="0" w:space="0" w:color="auto"/>
            <w:bottom w:val="none" w:sz="0" w:space="0" w:color="auto"/>
            <w:right w:val="none" w:sz="0" w:space="0" w:color="auto"/>
          </w:divBdr>
        </w:div>
        <w:div w:id="2047607716">
          <w:marLeft w:val="0"/>
          <w:marRight w:val="0"/>
          <w:marTop w:val="0"/>
          <w:marBottom w:val="0"/>
          <w:divBdr>
            <w:top w:val="none" w:sz="0" w:space="0" w:color="auto"/>
            <w:left w:val="none" w:sz="0" w:space="0" w:color="auto"/>
            <w:bottom w:val="none" w:sz="0" w:space="0" w:color="auto"/>
            <w:right w:val="none" w:sz="0" w:space="0" w:color="auto"/>
          </w:divBdr>
        </w:div>
      </w:divsChild>
    </w:div>
    <w:div w:id="1845585663">
      <w:bodyDiv w:val="1"/>
      <w:marLeft w:val="0"/>
      <w:marRight w:val="0"/>
      <w:marTop w:val="0"/>
      <w:marBottom w:val="0"/>
      <w:divBdr>
        <w:top w:val="none" w:sz="0" w:space="0" w:color="auto"/>
        <w:left w:val="none" w:sz="0" w:space="0" w:color="auto"/>
        <w:bottom w:val="none" w:sz="0" w:space="0" w:color="auto"/>
        <w:right w:val="none" w:sz="0" w:space="0" w:color="auto"/>
      </w:divBdr>
      <w:divsChild>
        <w:div w:id="232011045">
          <w:marLeft w:val="0"/>
          <w:marRight w:val="0"/>
          <w:marTop w:val="0"/>
          <w:marBottom w:val="0"/>
          <w:divBdr>
            <w:top w:val="none" w:sz="0" w:space="0" w:color="auto"/>
            <w:left w:val="none" w:sz="0" w:space="0" w:color="auto"/>
            <w:bottom w:val="none" w:sz="0" w:space="0" w:color="auto"/>
            <w:right w:val="none" w:sz="0" w:space="0" w:color="auto"/>
          </w:divBdr>
        </w:div>
        <w:div w:id="2023774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heccc.org.uk/publication/proposed-methodology-for-the-seventh-carbon-budget-ad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ofwat.gov.uk/regulated-companies/price-review/2024-price-review/business-plans/" TargetMode="External"/><Relationship Id="rId2" Type="http://schemas.openxmlformats.org/officeDocument/2006/relationships/hyperlink" Target="https://www.theccc.org.uk/wp-content/uploads/2020/12/Sector-summary-Waste.pdf" TargetMode="External"/><Relationship Id="rId1" Type="http://schemas.openxmlformats.org/officeDocument/2006/relationships/hyperlink" Target="https://www.theccc.org.uk/publication/proposed-methodology-for-the-seventh-carbon-budget-advice/" TargetMode="External"/><Relationship Id="rId6" Type="http://schemas.openxmlformats.org/officeDocument/2006/relationships/hyperlink" Target="https://ukwir.org/quantifying-and-reducing-direct-greenhouse-gas-emissions-from-wastewater-treatment-processes-phase-2-0" TargetMode="External"/><Relationship Id="rId5" Type="http://schemas.openxmlformats.org/officeDocument/2006/relationships/hyperlink" Target="https://www.gov.uk/government/publications/energy-and-emissions-projections-2022-to-2040" TargetMode="External"/><Relationship Id="rId4" Type="http://schemas.openxmlformats.org/officeDocument/2006/relationships/hyperlink" Target="https://www.theccc.org.uk/publication/proposed-methodology-for-the-seventh-carbon-budget-ad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4" ma:contentTypeDescription="Create a new document." ma:contentTypeScope="" ma:versionID="3d538cd4dcd122028bb99c32e3c5e5f8">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1a8b1b88c91daa5e8ca444e17daf461d"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Mitigation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lcf76f155ced4ddcb4097134ff3c332f xmlns="7a4ed3e5-8539-4056-add8-8824f7d44d37">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B63B0134-39DC-450E-8A90-0379B595A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1C420-5603-4D25-A6D8-533AFAF60C47}">
  <ds:schemaRefs>
    <ds:schemaRef ds:uri="http://schemas.microsoft.com/sharepoint/v3/contenttype/forms"/>
  </ds:schemaRefs>
</ds:datastoreItem>
</file>

<file path=customXml/itemProps3.xml><?xml version="1.0" encoding="utf-8"?>
<ds:datastoreItem xmlns:ds="http://schemas.openxmlformats.org/officeDocument/2006/customXml" ds:itemID="{2A7C77E3-A222-4FA7-98CF-4D21B2DEADF3}">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customXml/itemProps4.xml><?xml version="1.0" encoding="utf-8"?>
<ds:datastoreItem xmlns:ds="http://schemas.openxmlformats.org/officeDocument/2006/customXml" ds:itemID="{9AF5B2D9-7ECE-4747-8790-6BB3E9958077}">
  <ds:schemaRefs>
    <ds:schemaRef ds:uri="http://schemas.openxmlformats.org/officeDocument/2006/bibliography"/>
  </ds:schemaRefs>
</ds:datastoreItem>
</file>

<file path=customXml/itemProps5.xml><?xml version="1.0" encoding="utf-8"?>
<ds:datastoreItem xmlns:ds="http://schemas.openxmlformats.org/officeDocument/2006/customXml" ds:itemID="{90FC4DC5-6B99-44AE-A785-41892D00C6D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2868</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19184</CharactersWithSpaces>
  <SharedDoc>false</SharedDoc>
  <HLinks>
    <vt:vector size="36" baseType="variant">
      <vt:variant>
        <vt:i4>851969</vt:i4>
      </vt:variant>
      <vt:variant>
        <vt:i4>15</vt:i4>
      </vt:variant>
      <vt:variant>
        <vt:i4>0</vt:i4>
      </vt:variant>
      <vt:variant>
        <vt:i4>5</vt:i4>
      </vt:variant>
      <vt:variant>
        <vt:lpwstr>https://ukwir.org/quantifying-and-reducing-direct-greenhouse-gas-emissions-from-wastewater-treatment-processes-phase-2-0</vt:lpwstr>
      </vt:variant>
      <vt:variant>
        <vt:lpwstr/>
      </vt:variant>
      <vt:variant>
        <vt:i4>5111892</vt:i4>
      </vt:variant>
      <vt:variant>
        <vt:i4>12</vt:i4>
      </vt:variant>
      <vt:variant>
        <vt:i4>0</vt:i4>
      </vt:variant>
      <vt:variant>
        <vt:i4>5</vt:i4>
      </vt:variant>
      <vt:variant>
        <vt:lpwstr>https://www.theccc.org.uk/publication/proposed-methodology-for-the-seventh-carbon-budget-advice/</vt:lpwstr>
      </vt:variant>
      <vt:variant>
        <vt:lpwstr/>
      </vt:variant>
      <vt:variant>
        <vt:i4>524313</vt:i4>
      </vt:variant>
      <vt:variant>
        <vt:i4>9</vt:i4>
      </vt:variant>
      <vt:variant>
        <vt:i4>0</vt:i4>
      </vt:variant>
      <vt:variant>
        <vt:i4>5</vt:i4>
      </vt:variant>
      <vt:variant>
        <vt:lpwstr>https://www.gov.uk/government/publications/energy-and-emissions-projections-2022-to-2040</vt:lpwstr>
      </vt:variant>
      <vt:variant>
        <vt:lpwstr/>
      </vt:variant>
      <vt:variant>
        <vt:i4>3866731</vt:i4>
      </vt:variant>
      <vt:variant>
        <vt:i4>6</vt:i4>
      </vt:variant>
      <vt:variant>
        <vt:i4>0</vt:i4>
      </vt:variant>
      <vt:variant>
        <vt:i4>5</vt:i4>
      </vt:variant>
      <vt:variant>
        <vt:lpwstr>https://www.ofwat.gov.uk/regulated-companies/price-review/2024-price-review/business-plans/</vt:lpwstr>
      </vt:variant>
      <vt:variant>
        <vt:lpwstr/>
      </vt:variant>
      <vt:variant>
        <vt:i4>4325397</vt:i4>
      </vt:variant>
      <vt:variant>
        <vt:i4>3</vt:i4>
      </vt:variant>
      <vt:variant>
        <vt:i4>0</vt:i4>
      </vt:variant>
      <vt:variant>
        <vt:i4>5</vt:i4>
      </vt:variant>
      <vt:variant>
        <vt:lpwstr>https://www.theccc.org.uk/wp-content/uploads/2020/12/Sector-summary-Waste.pdf</vt:lpwstr>
      </vt:variant>
      <vt:variant>
        <vt:lpwstr/>
      </vt:variant>
      <vt:variant>
        <vt:i4>5111892</vt:i4>
      </vt:variant>
      <vt:variant>
        <vt:i4>0</vt:i4>
      </vt:variant>
      <vt:variant>
        <vt:i4>0</vt:i4>
      </vt:variant>
      <vt:variant>
        <vt:i4>5</vt:i4>
      </vt:variant>
      <vt:variant>
        <vt:lpwstr>https://www.theccc.org.uk/publication/proposed-methodology-for-the-seventh-carbon-budget-advice/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Taylor, Sean</cp:lastModifiedBy>
  <cp:revision>5</cp:revision>
  <dcterms:created xsi:type="dcterms:W3CDTF">2023-12-05T15:22:00Z</dcterms:created>
  <dcterms:modified xsi:type="dcterms:W3CDTF">2023-12-05T15:36:00Z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