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3 (Insurance Requirements)</w:t>
      </w:r>
    </w:p>
    <w:p w:rsidR="00000000" w:rsidDel="00000000" w:rsidP="00000000" w:rsidRDefault="00000000" w:rsidRPr="00000000" w14:paraId="0000000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The insurance you need to have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other insurances as may be required by applicable Law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ensure that each of the Insurances is effective no later than: </w:t>
      </w:r>
    </w:p>
    <w:p w:rsidR="00000000" w:rsidDel="00000000" w:rsidP="00000000" w:rsidRDefault="00000000" w:rsidRPr="00000000" w14:paraId="0000000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Call-Off Contract Effective Date in respect of the Additional Insurances.</w:t>
      </w:r>
    </w:p>
    <w:p w:rsidR="00000000" w:rsidDel="00000000" w:rsidP="00000000" w:rsidRDefault="00000000" w:rsidRPr="00000000" w14:paraId="0000000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Insurances shall be: </w:t>
      </w:r>
    </w:p>
    <w:p w:rsidR="00000000" w:rsidDel="00000000" w:rsidP="00000000" w:rsidRDefault="00000000" w:rsidRPr="00000000" w14:paraId="000000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in accordance with Good Industry Practice; </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for at least six (6) years after the End Date.</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to manage the insurance</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limiting the other provisions of this Contract, the Supplier shall:</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 aren’t insured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Evidence of insurance you must provide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Cancelled Insurance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Insurance claims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requires payment of a premium, the Supplier shall be liable for and shall promptly pay such premium.</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20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648"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REQUIRED INSURANCES</w:t>
      </w:r>
    </w:p>
    <w:p w:rsidR="00000000" w:rsidDel="00000000" w:rsidP="00000000" w:rsidRDefault="00000000" w:rsidRPr="00000000" w14:paraId="0000002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the following standard insurance cover from the Framework Start Date in accordance with this Schedule:</w:t>
      </w:r>
      <w:r w:rsidDel="00000000" w:rsidR="00000000" w:rsidRPr="00000000">
        <w:rPr>
          <w:rtl w:val="0"/>
        </w:rPr>
      </w:r>
    </w:p>
    <w:bookmarkStart w:colFirst="0" w:colLast="0" w:name="bookmark=id.1fob9te" w:id="2"/>
    <w:bookmarkEnd w:id="2"/>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indemnity insurance with cover (for a single event or a series of related events and in the aggregate) of not less than one million pounds (£1,000,000);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liability insurance with cover (for a single event or a series of related events and in the aggregate) of not less than one million pounds (£1,000,000);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 liability insurance with cover (for a single event or a series of related events and in the aggregate) of not less than one million pounds (£1,000,000); and</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liability insurance with cover (for a single event or a series of related events and in the aggregate) of not less than five million pounds (£5,000,000). </w:t>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tabs>
        <w:tab w:val="center" w:pos="4513"/>
        <w:tab w:val="right"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2C">
    <w:pPr>
      <w:tabs>
        <w:tab w:val="center" w:pos="4513"/>
        <w:tab w:val="right"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RM6259</w:t>
      <w:tab/>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Joint Schedule 3 (Insurance Requirements)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3 (Insurance Requirements)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clear" w:pos="142"/>
      </w:tabs>
      <w:ind w:left="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11table" w:customStyle="1">
    <w:name w:val="1.1 table"/>
    <w:basedOn w:val="Normal"/>
    <w:qFormat w:val="1"/>
    <w:pPr>
      <w:numPr>
        <w:numId w:val="28"/>
      </w:numPr>
      <w:overflowPunct w:val="1"/>
      <w:autoSpaceDE w:val="1"/>
      <w:adjustRightInd w:val="1"/>
      <w:spacing w:after="0"/>
      <w:jc w:val="left"/>
      <w:textAlignment w:val="auto"/>
    </w:pPr>
    <w:rPr>
      <w:rFonts w:cs="Times New Roman" w:eastAsia="STZhongsong"/>
      <w:b w:val="1"/>
      <w:lang w:eastAsia="zh-CN"/>
    </w:rPr>
  </w:style>
  <w:style w:type="numbering" w:styleId="LFO9" w:customStyle="1">
    <w:name w:val="LFO9"/>
    <w:basedOn w:val="NoList"/>
    <w:pPr>
      <w:numPr>
        <w:numId w:val="28"/>
      </w:numPr>
    </w:p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53x/wMJzrbyFnBYho+THi1tRpA==">AMUW2mU28QtEn7X8VtZFnSrydBGy7mea5cGt+muQX9BinxQeFnA/k12TJOwB/Am0VcZJxD4pqsCrNNkxVasqqKmTuyEygfVNjh2WazyASGNlSmZf8xZpbF3QpYFcsNufkO/EGlKQvAFdQLvvP+dy675tYfjEYskldZ70ksSfcYTmuggApPjh09Sk3Cbpck2zgDQrLpubXaCY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