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bookmarkStart w:id="0" w:name="_GoBack"/>
      <w:bookmarkEnd w:id="0"/>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Pr="00055090" w:rsidRDefault="001F0B62" w:rsidP="001F0B62">
            <w:pPr>
              <w:spacing w:before="240" w:after="240" w:line="360" w:lineRule="auto"/>
              <w:contextualSpacing/>
              <w:jc w:val="center"/>
              <w:rPr>
                <w:rFonts w:cs="Arial"/>
              </w:rPr>
            </w:pPr>
            <w:r w:rsidRPr="00055090">
              <w:rPr>
                <w:rFonts w:cs="Arial"/>
              </w:rPr>
              <w:t>3</w:t>
            </w:r>
          </w:p>
        </w:tc>
        <w:tc>
          <w:tcPr>
            <w:tcW w:w="5669" w:type="dxa"/>
          </w:tcPr>
          <w:p w14:paraId="4D5168DA" w14:textId="5C3B2E0F" w:rsidR="001F0B62" w:rsidRPr="00055090" w:rsidRDefault="001F0B62" w:rsidP="00E7197A">
            <w:pPr>
              <w:spacing w:before="240" w:after="240" w:line="360" w:lineRule="auto"/>
              <w:contextualSpacing/>
              <w:jc w:val="both"/>
              <w:rPr>
                <w:rFonts w:cs="Arial"/>
              </w:rPr>
            </w:pPr>
            <w:r w:rsidRPr="00055090">
              <w:rPr>
                <w:rFonts w:cs="Arial"/>
              </w:rPr>
              <w:t>INFORMATION ONLY</w:t>
            </w:r>
          </w:p>
        </w:tc>
      </w:tr>
      <w:tr w:rsidR="00E3125E" w14:paraId="7F80810B" w14:textId="77777777" w:rsidTr="00714E0F">
        <w:tc>
          <w:tcPr>
            <w:tcW w:w="2961" w:type="dxa"/>
          </w:tcPr>
          <w:p w14:paraId="18658E74" w14:textId="4981E568" w:rsidR="00E3125E" w:rsidRPr="00055090" w:rsidRDefault="00E3125E" w:rsidP="001F0B62">
            <w:pPr>
              <w:spacing w:before="240" w:after="240" w:line="360" w:lineRule="auto"/>
              <w:contextualSpacing/>
              <w:jc w:val="center"/>
              <w:rPr>
                <w:rFonts w:cs="Arial"/>
              </w:rPr>
            </w:pPr>
            <w:r w:rsidRPr="00055090">
              <w:rPr>
                <w:rFonts w:cs="Arial"/>
              </w:rPr>
              <w:t>4</w:t>
            </w:r>
          </w:p>
        </w:tc>
        <w:tc>
          <w:tcPr>
            <w:tcW w:w="5669" w:type="dxa"/>
          </w:tcPr>
          <w:p w14:paraId="0B16A9E6" w14:textId="66248F14" w:rsidR="00E3125E" w:rsidRPr="00055090" w:rsidRDefault="00E3125E" w:rsidP="00E7197A">
            <w:pPr>
              <w:spacing w:before="240" w:after="240" w:line="360" w:lineRule="auto"/>
              <w:contextualSpacing/>
              <w:jc w:val="both"/>
              <w:rPr>
                <w:rFonts w:cs="Arial"/>
              </w:rPr>
            </w:pPr>
            <w:r w:rsidRPr="00055090">
              <w:rPr>
                <w:rFonts w:cs="Arial"/>
              </w:rPr>
              <w:t>QUALITY - METHODOLOGY</w:t>
            </w:r>
          </w:p>
        </w:tc>
      </w:tr>
      <w:tr w:rsidR="00E3125E" w14:paraId="561CADB1" w14:textId="77777777" w:rsidTr="00714E0F">
        <w:tc>
          <w:tcPr>
            <w:tcW w:w="2961" w:type="dxa"/>
          </w:tcPr>
          <w:p w14:paraId="5AE748CF" w14:textId="174AB3CE" w:rsidR="00E3125E" w:rsidRPr="00055090" w:rsidRDefault="00E3125E" w:rsidP="001F0B62">
            <w:pPr>
              <w:spacing w:before="240" w:after="240" w:line="360" w:lineRule="auto"/>
              <w:contextualSpacing/>
              <w:jc w:val="center"/>
              <w:rPr>
                <w:rFonts w:cs="Arial"/>
              </w:rPr>
            </w:pPr>
            <w:r w:rsidRPr="00055090">
              <w:rPr>
                <w:rFonts w:cs="Arial"/>
              </w:rPr>
              <w:t>5</w:t>
            </w:r>
          </w:p>
        </w:tc>
        <w:tc>
          <w:tcPr>
            <w:tcW w:w="5669" w:type="dxa"/>
          </w:tcPr>
          <w:p w14:paraId="75E10F81" w14:textId="513DC380" w:rsidR="00E3125E" w:rsidRPr="00055090" w:rsidRDefault="00E3125E" w:rsidP="00E7197A">
            <w:pPr>
              <w:spacing w:before="240" w:after="240" w:line="360" w:lineRule="auto"/>
              <w:contextualSpacing/>
              <w:jc w:val="both"/>
              <w:rPr>
                <w:rFonts w:cs="Arial"/>
              </w:rPr>
            </w:pPr>
            <w:r w:rsidRPr="00055090">
              <w:rPr>
                <w:rFonts w:cs="Arial"/>
              </w:rPr>
              <w:t>QUALITY - EXPERIENCE</w:t>
            </w:r>
          </w:p>
        </w:tc>
      </w:tr>
      <w:tr w:rsidR="001F0B62" w14:paraId="69FD7D79" w14:textId="77777777" w:rsidTr="00E3125E">
        <w:trPr>
          <w:trHeight w:val="293"/>
        </w:trPr>
        <w:tc>
          <w:tcPr>
            <w:tcW w:w="2961" w:type="dxa"/>
          </w:tcPr>
          <w:p w14:paraId="22A0A899" w14:textId="4FF90F50" w:rsidR="001F0B62" w:rsidRPr="00055090" w:rsidRDefault="00E3125E" w:rsidP="001F0B62">
            <w:pPr>
              <w:spacing w:before="240" w:after="240" w:line="360" w:lineRule="auto"/>
              <w:contextualSpacing/>
              <w:jc w:val="center"/>
              <w:rPr>
                <w:rFonts w:cs="Arial"/>
              </w:rPr>
            </w:pPr>
            <w:r w:rsidRPr="00055090">
              <w:rPr>
                <w:rFonts w:cs="Arial"/>
              </w:rPr>
              <w:t>6</w:t>
            </w:r>
          </w:p>
        </w:tc>
        <w:tc>
          <w:tcPr>
            <w:tcW w:w="5669" w:type="dxa"/>
          </w:tcPr>
          <w:p w14:paraId="0870C9E1" w14:textId="3696CC43" w:rsidR="001F0B62" w:rsidRPr="00055090" w:rsidRDefault="00C5393B" w:rsidP="00E7197A">
            <w:pPr>
              <w:spacing w:before="240" w:after="240" w:line="360" w:lineRule="auto"/>
              <w:contextualSpacing/>
              <w:jc w:val="both"/>
              <w:rPr>
                <w:rFonts w:cs="Arial"/>
              </w:rPr>
            </w:pPr>
            <w:r w:rsidRPr="00055090">
              <w:rPr>
                <w:rFonts w:cs="Arial"/>
              </w:rPr>
              <w:t>QUALITY</w:t>
            </w:r>
            <w:r w:rsidR="00E3125E" w:rsidRPr="00055090">
              <w:rPr>
                <w:rFonts w:cs="Arial"/>
              </w:rPr>
              <w:t xml:space="preserve"> – PROGRAM DELIVERY SUPPORT &amp; ACCOUNT MANAGEMENT</w:t>
            </w:r>
          </w:p>
        </w:tc>
      </w:tr>
      <w:tr w:rsidR="001F0B62" w14:paraId="40E3D890" w14:textId="77777777" w:rsidTr="00714E0F">
        <w:tc>
          <w:tcPr>
            <w:tcW w:w="2961" w:type="dxa"/>
          </w:tcPr>
          <w:p w14:paraId="3CC388C3" w14:textId="00ACBCAB" w:rsidR="001F0B62" w:rsidRDefault="00E3125E"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3AE24109"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ED60B81" w14:textId="77777777" w:rsidR="00C5393B" w:rsidRDefault="00C5393B" w:rsidP="00C5393B">
      <w:pPr>
        <w:pStyle w:val="ListParagraph"/>
        <w:rPr>
          <w:rFonts w:cs="Arial"/>
        </w:rPr>
      </w:pPr>
    </w:p>
    <w:p w14:paraId="08EA4631" w14:textId="1B4238F1" w:rsidR="00953729" w:rsidRPr="00953729" w:rsidRDefault="00C5393B" w:rsidP="00953729">
      <w:pPr>
        <w:numPr>
          <w:ilvl w:val="2"/>
          <w:numId w:val="7"/>
        </w:numPr>
        <w:spacing w:before="120" w:after="480" w:line="240" w:lineRule="auto"/>
        <w:ind w:left="1418" w:hanging="567"/>
        <w:contextualSpacing/>
        <w:jc w:val="both"/>
        <w:rPr>
          <w:rFonts w:cs="Arial"/>
        </w:rPr>
      </w:pPr>
      <w:r>
        <w:rPr>
          <w:rFonts w:cs="Arial"/>
        </w:rPr>
        <w:lastRenderedPageBreak/>
        <w:t>O</w:t>
      </w:r>
      <w:r w:rsidR="00953729" w:rsidRPr="00953729">
        <w:rPr>
          <w:rFonts w:cs="Arial"/>
        </w:rPr>
        <w:t xml:space="preserve">nce all quality responses have been evaluated in accordance with </w:t>
      </w:r>
      <w:r w:rsidR="00B1061B">
        <w:rPr>
          <w:rFonts w:cs="Arial"/>
        </w:rPr>
        <w:t>Section 8</w:t>
      </w:r>
      <w:r w:rsidR="00953729" w:rsidRPr="00953729">
        <w:rPr>
          <w:rFonts w:cs="Arial"/>
        </w:rPr>
        <w:t xml:space="preserve"> </w:t>
      </w:r>
      <w:r w:rsidR="00765406">
        <w:rPr>
          <w:rFonts w:cs="Arial"/>
        </w:rPr>
        <w:t xml:space="preserve">of the Invitation to Tender </w:t>
      </w:r>
      <w:r w:rsidR="00953729" w:rsidRPr="00953729">
        <w:rPr>
          <w:rFonts w:cs="Arial"/>
        </w:rPr>
        <w:t xml:space="preserve">the individual scores attributed to each response will be added together to provide a </w:t>
      </w:r>
      <w:r w:rsidR="00943DAE">
        <w:rPr>
          <w:rFonts w:cs="Arial"/>
        </w:rPr>
        <w:t>‘</w:t>
      </w:r>
      <w:r w:rsidR="00953729" w:rsidRPr="00953729">
        <w:rPr>
          <w:rFonts w:cs="Arial"/>
        </w:rPr>
        <w:t>Quality Score</w:t>
      </w:r>
      <w:r w:rsidR="00943DAE">
        <w:rPr>
          <w:rFonts w:cs="Arial"/>
        </w:rPr>
        <w:t>’</w:t>
      </w:r>
      <w:r w:rsidR="00953729"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0A8C3BC"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055090">
        <w:rPr>
          <w:rFonts w:cs="Arial"/>
        </w:rPr>
        <w:t>Price Schedule</w:t>
      </w:r>
      <w:r w:rsidR="002339C2" w:rsidRPr="00055090">
        <w:rPr>
          <w:rFonts w:cs="Arial"/>
        </w:rPr>
        <w:t xml:space="preserv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979FF92"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w:t>
      </w:r>
      <w:r w:rsidRPr="00055090">
        <w:rPr>
          <w:rFonts w:cs="Arial"/>
        </w:rPr>
        <w:t xml:space="preserve"> </w:t>
      </w:r>
      <w:r w:rsidR="00AB1FEC" w:rsidRPr="00055090">
        <w:rPr>
          <w:rFonts w:cs="Arial"/>
        </w:rPr>
        <w:t>requirement</w:t>
      </w:r>
      <w:r w:rsidR="009C0614" w:rsidRPr="00055090">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0C5CB476" w:rsidR="001C0C3F" w:rsidRPr="00AB1FEC" w:rsidRDefault="001C0C3F" w:rsidP="001C0C3F">
            <w:pPr>
              <w:spacing w:before="120" w:after="480" w:line="240" w:lineRule="auto"/>
              <w:contextualSpacing/>
              <w:jc w:val="center"/>
              <w:rPr>
                <w:rFonts w:cs="Arial"/>
                <w:b/>
              </w:rPr>
            </w:pPr>
            <w:r w:rsidRPr="00AB1FEC">
              <w:rPr>
                <w:rFonts w:cs="Arial"/>
                <w:b/>
              </w:rPr>
              <w:t>Price Submited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06B4D69E" w:rsidR="00E7197A" w:rsidRDefault="00E7197A" w:rsidP="00E7197A">
      <w:pPr>
        <w:numPr>
          <w:ilvl w:val="1"/>
          <w:numId w:val="7"/>
        </w:numPr>
        <w:spacing w:before="120" w:after="480" w:line="240" w:lineRule="auto"/>
        <w:contextualSpacing/>
        <w:jc w:val="both"/>
        <w:rPr>
          <w:rFonts w:cs="Arial"/>
        </w:rPr>
      </w:pPr>
      <w:r w:rsidRPr="002339C2">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6D1DA966"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lastRenderedPageBreak/>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D53AE1">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0302B79F" w:rsidR="00B52099" w:rsidRPr="00625CDE" w:rsidRDefault="002339C2"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80C8D94" w:rsidR="001005DC" w:rsidRPr="00625CDE" w:rsidRDefault="002339C2"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348D5874" w:rsidR="00BC2C3D" w:rsidRPr="00625CDE" w:rsidRDefault="002339C2"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5F2644F" w:rsidR="00BC2C3D" w:rsidRPr="00625CDE" w:rsidRDefault="00625CDE" w:rsidP="001B783C">
            <w:pPr>
              <w:spacing w:before="60" w:after="60" w:line="240" w:lineRule="auto"/>
              <w:rPr>
                <w:rFonts w:cs="Arial"/>
              </w:rPr>
            </w:pPr>
            <w:r w:rsidRPr="00625CDE">
              <w:rPr>
                <w:color w:val="000000" w:themeColor="text1"/>
              </w:rPr>
              <w:t xml:space="preserve">Do you agree, without caveats or </w:t>
            </w:r>
            <w:r w:rsidRPr="00055090">
              <w:t xml:space="preserve">limitations, that in the event that you are successful the Crown Commercial Service’s Terms and Conditions within Appendix C, will </w:t>
            </w:r>
            <w:r w:rsidRPr="00625CDE">
              <w:rPr>
                <w:color w:val="000000" w:themeColor="text1"/>
              </w:rPr>
              <w:t>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358BE53F" w:rsidR="00930F24" w:rsidRPr="00625CDE" w:rsidRDefault="002339C2"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2.2 is a Pass / Fail question. Potential Providers are required to provide details of how the identified conflict will be mitigated. The Contracting Authority </w:t>
            </w:r>
            <w:r w:rsidR="00336532" w:rsidRPr="00351F53">
              <w:rPr>
                <w:rFonts w:eastAsia="SimSun"/>
                <w:lang w:eastAsia="zh-CN"/>
              </w:rPr>
              <w:lastRenderedPageBreak/>
              <w:t>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F5350CC" w:rsidR="004F5DD4" w:rsidRPr="00147082" w:rsidRDefault="002339C2"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DD523F4" w:rsidR="00BD1E75" w:rsidRPr="00147082" w:rsidRDefault="002339C2"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23DAF9D0" w:rsidR="00BD1E75" w:rsidRDefault="002339C2"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22AE614D" w:rsidR="00FF05A6" w:rsidRDefault="002339C2"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16D79E6B"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6DD50F5F" w:rsidR="000737FF" w:rsidRDefault="000737FF" w:rsidP="00737BFF">
            <w:pPr>
              <w:jc w:val="center"/>
            </w:pPr>
            <w:r>
              <w:lastRenderedPageBreak/>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4FE45478" w14:textId="7CC1DFBC" w:rsidR="00C5393B" w:rsidRPr="00C5393B" w:rsidRDefault="00737AA5" w:rsidP="00C5393B">
      <w:pPr>
        <w:pStyle w:val="ListParagraph"/>
        <w:numPr>
          <w:ilvl w:val="1"/>
          <w:numId w:val="7"/>
        </w:numPr>
        <w:spacing w:after="0"/>
        <w:contextualSpacing/>
        <w:jc w:val="both"/>
        <w:rPr>
          <w:rFonts w:cs="Arial"/>
        </w:rPr>
      </w:pPr>
      <w:r w:rsidRPr="00C5393B">
        <w:rPr>
          <w:rFonts w:cs="Arial"/>
        </w:rPr>
        <w:t>Potential Providers</w:t>
      </w:r>
      <w:r w:rsidR="004F4B67" w:rsidRPr="00C5393B">
        <w:rPr>
          <w:rFonts w:cs="Arial"/>
        </w:rPr>
        <w:t xml:space="preserve"> are able to provide attachments against each question</w:t>
      </w:r>
      <w:r w:rsidRPr="00C5393B">
        <w:rPr>
          <w:rFonts w:cs="Arial"/>
        </w:rPr>
        <w:t xml:space="preserve">. </w:t>
      </w:r>
      <w:r w:rsidR="00D33192" w:rsidRPr="00C5393B">
        <w:rPr>
          <w:rFonts w:cs="Arial"/>
        </w:rPr>
        <w:t>Q</w:t>
      </w:r>
      <w:r w:rsidRPr="00C5393B">
        <w:rPr>
          <w:rFonts w:cs="Arial"/>
        </w:rPr>
        <w:t xml:space="preserve">uestion </w:t>
      </w:r>
      <w:r w:rsidR="00D33192" w:rsidRPr="00C5393B">
        <w:rPr>
          <w:rFonts w:cs="Arial"/>
        </w:rPr>
        <w:t xml:space="preserve">text fields must be populated with detailed references to relevant attachments or sections within </w:t>
      </w:r>
      <w:r w:rsidR="00384563" w:rsidRPr="00C5393B">
        <w:rPr>
          <w:rFonts w:cs="Arial"/>
        </w:rPr>
        <w:t xml:space="preserve">their </w:t>
      </w:r>
      <w:r w:rsidR="00C5393B" w:rsidRPr="00C5393B">
        <w:rPr>
          <w:rFonts w:cs="Arial"/>
        </w:rPr>
        <w:t>attachments.</w:t>
      </w:r>
    </w:p>
    <w:p w14:paraId="34B12FE0" w14:textId="77777777" w:rsidR="00C5393B" w:rsidRPr="00C5393B" w:rsidRDefault="00C5393B" w:rsidP="00C5393B">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07ABE85F" w14:textId="501C8D7B" w:rsidR="00925EC2" w:rsidRDefault="00925EC2" w:rsidP="00B96F0F">
      <w:pPr>
        <w:pStyle w:val="ListParagraph"/>
        <w:spacing w:after="0"/>
        <w:contextualSpacing/>
        <w:jc w:val="both"/>
        <w:rPr>
          <w:rFonts w:cs="Arial"/>
          <w:highlight w:val="yellow"/>
        </w:rPr>
      </w:pPr>
    </w:p>
    <w:p w14:paraId="79A434AB" w14:textId="77777777" w:rsidR="007065BF" w:rsidRPr="00C5393B" w:rsidRDefault="007065BF" w:rsidP="00553768">
      <w:pPr>
        <w:pStyle w:val="ListParagraph"/>
        <w:spacing w:before="0"/>
        <w:rPr>
          <w:rFonts w:cs="Arial"/>
        </w:rPr>
      </w:pPr>
    </w:p>
    <w:p w14:paraId="5DC8C115" w14:textId="00AC300A" w:rsidR="007065BF" w:rsidRPr="00C5393B" w:rsidRDefault="008023F4" w:rsidP="00553768">
      <w:pPr>
        <w:pStyle w:val="ListParagraph"/>
        <w:numPr>
          <w:ilvl w:val="1"/>
          <w:numId w:val="7"/>
        </w:numPr>
        <w:spacing w:before="0" w:after="0"/>
        <w:contextualSpacing/>
        <w:jc w:val="both"/>
        <w:rPr>
          <w:rFonts w:cs="Arial"/>
        </w:rPr>
      </w:pPr>
      <w:r w:rsidRPr="00C5393B">
        <w:rPr>
          <w:rFonts w:cs="Arial"/>
        </w:rPr>
        <w:lastRenderedPageBreak/>
        <w:t>As attachments are permitted, t</w:t>
      </w:r>
      <w:r w:rsidR="007065BF" w:rsidRPr="00C5393B">
        <w:rPr>
          <w:rFonts w:cs="Arial"/>
        </w:rPr>
        <w:t xml:space="preserve">he maximum word count is </w:t>
      </w:r>
      <w:r w:rsidR="00B96F0F" w:rsidRPr="00C5393B">
        <w:rPr>
          <w:rFonts w:cs="Arial"/>
          <w:b/>
        </w:rPr>
        <w:t xml:space="preserve">500 </w:t>
      </w:r>
      <w:r w:rsidR="007065BF" w:rsidRPr="00C5393B">
        <w:rPr>
          <w:rFonts w:cs="Arial"/>
        </w:rPr>
        <w:t>w</w:t>
      </w:r>
      <w:r w:rsidR="00553768" w:rsidRPr="00C5393B">
        <w:rPr>
          <w:rFonts w:cs="Arial"/>
        </w:rPr>
        <w:t xml:space="preserve">ords </w:t>
      </w:r>
      <w:r w:rsidR="00B96F0F" w:rsidRPr="00C5393B">
        <w:rPr>
          <w:rFonts w:cs="Arial"/>
        </w:rPr>
        <w:t xml:space="preserve">per question </w:t>
      </w:r>
      <w:r w:rsidR="00553768" w:rsidRPr="00C5393B">
        <w:rPr>
          <w:rFonts w:cs="Arial"/>
        </w:rPr>
        <w:t>including titles and p</w:t>
      </w:r>
      <w:r w:rsidR="007065BF" w:rsidRPr="00C5393B">
        <w:rPr>
          <w:rFonts w:cs="Arial"/>
        </w:rPr>
        <w:t>aragraph headings.</w:t>
      </w:r>
      <w:r w:rsidR="00553768" w:rsidRPr="00C5393B">
        <w:rPr>
          <w:rFonts w:cs="Arial"/>
        </w:rPr>
        <w:t xml:space="preserve"> This word count must not be exceeded and any text which is in excess of this limit shall be disregarded and shall not be considered in the evaluation process.</w:t>
      </w:r>
    </w:p>
    <w:p w14:paraId="5DD2504C" w14:textId="506E5030" w:rsidR="00B63924" w:rsidRDefault="00DD6E47">
      <w:pPr>
        <w:rPr>
          <w:b/>
          <w:color w:val="FFFFFF" w:themeColor="background1"/>
        </w:rPr>
      </w:pPr>
      <w:r>
        <w:rPr>
          <w:b/>
          <w:color w:val="FFFFFF" w:themeColor="background1"/>
        </w:rPr>
        <w:t>Qu- 60</w:t>
      </w:r>
      <w:r w:rsidRPr="006A087F">
        <w:rPr>
          <w:b/>
          <w:color w:val="FFFFFF" w:themeColor="background1"/>
        </w:rPr>
        <w:t xml:space="preserve"> </w:t>
      </w:r>
    </w:p>
    <w:p w14:paraId="2C875A01" w14:textId="5F9496B4" w:rsidR="00DD6E47" w:rsidRDefault="00DD6E47">
      <w:r w:rsidRPr="00DD6E47">
        <w:rPr>
          <w:b/>
          <w:color w:val="FFFFFF" w:themeColor="background1"/>
          <w:highlight w:val="black"/>
        </w:rPr>
        <w:t>Total QUALITY Weighting = 60%</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0DE46675" w:rsidR="006A087F" w:rsidRPr="006A087F" w:rsidRDefault="006A087F" w:rsidP="000D1A79">
            <w:pPr>
              <w:rPr>
                <w:b/>
                <w:color w:val="FFFFFF" w:themeColor="background1"/>
              </w:rPr>
            </w:pPr>
            <w:r w:rsidRPr="006A087F">
              <w:rPr>
                <w:b/>
                <w:color w:val="FFFFFF" w:themeColor="background1"/>
              </w:rPr>
              <w:t xml:space="preserve">QUESTIONNAIRE 4 </w:t>
            </w:r>
            <w:r w:rsidR="003D53D9">
              <w:rPr>
                <w:b/>
                <w:color w:val="FFFFFF" w:themeColor="background1"/>
              </w:rPr>
              <w:t>–</w:t>
            </w:r>
            <w:r w:rsidR="00CE4838">
              <w:rPr>
                <w:b/>
                <w:color w:val="FFFFFF" w:themeColor="background1"/>
              </w:rPr>
              <w:t xml:space="preserve"> </w:t>
            </w:r>
            <w:r w:rsidR="00E3125E">
              <w:rPr>
                <w:b/>
                <w:color w:val="FFFFFF" w:themeColor="background1"/>
              </w:rPr>
              <w:t>QUALITY</w:t>
            </w:r>
            <w:r w:rsidR="00055090">
              <w:rPr>
                <w:b/>
                <w:color w:val="FFFFFF" w:themeColor="background1"/>
              </w:rPr>
              <w:t xml:space="preserve"> </w:t>
            </w:r>
            <w:r w:rsidR="000D1A79">
              <w:rPr>
                <w:b/>
                <w:color w:val="FFFFFF" w:themeColor="background1"/>
              </w:rPr>
              <w:t xml:space="preserve"> - METHODOLOGY</w:t>
            </w:r>
          </w:p>
        </w:tc>
        <w:tc>
          <w:tcPr>
            <w:tcW w:w="2551" w:type="dxa"/>
            <w:gridSpan w:val="2"/>
            <w:shd w:val="clear" w:color="auto" w:fill="0D0D0D" w:themeFill="text1" w:themeFillTint="F2"/>
          </w:tcPr>
          <w:p w14:paraId="1290A9B6" w14:textId="78913317" w:rsidR="006A087F" w:rsidRPr="006A087F" w:rsidRDefault="006A087F" w:rsidP="005A76E8">
            <w:pPr>
              <w:rPr>
                <w:b/>
                <w:color w:val="FFFFFF" w:themeColor="background1"/>
              </w:rPr>
            </w:pP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D0FC4A8" w:rsidR="00F10B85" w:rsidRPr="00F10B85" w:rsidRDefault="00F10B85" w:rsidP="008D217E">
            <w:pPr>
              <w:jc w:val="center"/>
            </w:pPr>
            <w:r w:rsidRPr="00F10B85">
              <w:t xml:space="preserve">Weighting </w:t>
            </w:r>
            <w:r w:rsidR="008D217E">
              <w:t>20</w:t>
            </w:r>
            <w:r w:rsidR="00901A76">
              <w:t>%</w:t>
            </w:r>
          </w:p>
        </w:tc>
      </w:tr>
      <w:tr w:rsidR="00C5393B" w14:paraId="506ED0C0" w14:textId="77777777" w:rsidTr="00F10B85">
        <w:tc>
          <w:tcPr>
            <w:tcW w:w="1170" w:type="dxa"/>
          </w:tcPr>
          <w:p w14:paraId="42D1E5EB" w14:textId="71C98ECA" w:rsidR="00C5393B" w:rsidRDefault="00C5393B" w:rsidP="005A76E8">
            <w:pPr>
              <w:jc w:val="center"/>
            </w:pPr>
            <w:r>
              <w:t>4</w:t>
            </w:r>
            <w:r w:rsidR="005A76E8">
              <w:t>.</w:t>
            </w:r>
            <w:r w:rsidR="00F63A3F">
              <w:t>1</w:t>
            </w:r>
          </w:p>
        </w:tc>
        <w:tc>
          <w:tcPr>
            <w:tcW w:w="4212" w:type="dxa"/>
          </w:tcPr>
          <w:p w14:paraId="43E737B5" w14:textId="691ED191" w:rsidR="00EF6A0D" w:rsidRDefault="005A76E8" w:rsidP="005A76E8">
            <w:pPr>
              <w:spacing w:before="240"/>
              <w:rPr>
                <w:rFonts w:cs="Arial"/>
              </w:rPr>
            </w:pPr>
            <w:r>
              <w:rPr>
                <w:rFonts w:cs="Arial"/>
              </w:rPr>
              <w:t xml:space="preserve">Provide </w:t>
            </w:r>
            <w:r w:rsidR="00C5393B">
              <w:rPr>
                <w:rFonts w:cs="Arial"/>
              </w:rPr>
              <w:t xml:space="preserve">details </w:t>
            </w:r>
            <w:r w:rsidR="00DD6E47">
              <w:rPr>
                <w:rFonts w:cs="Arial"/>
              </w:rPr>
              <w:t xml:space="preserve">as to how you would propose to deliver the requirement </w:t>
            </w:r>
            <w:r w:rsidR="00055090">
              <w:rPr>
                <w:rFonts w:cs="Arial"/>
              </w:rPr>
              <w:t>t</w:t>
            </w:r>
            <w:r w:rsidR="00DD6E47">
              <w:rPr>
                <w:rFonts w:cs="Arial"/>
              </w:rPr>
              <w:t xml:space="preserve">o </w:t>
            </w:r>
            <w:r w:rsidR="00C5393B">
              <w:rPr>
                <w:rFonts w:cs="Arial"/>
              </w:rPr>
              <w:t>confirm</w:t>
            </w:r>
            <w:r w:rsidR="00F63A3F">
              <w:rPr>
                <w:rFonts w:cs="Arial"/>
              </w:rPr>
              <w:t>;</w:t>
            </w:r>
            <w:r w:rsidR="00C5393B">
              <w:rPr>
                <w:rFonts w:cs="Arial"/>
              </w:rPr>
              <w:t xml:space="preserve"> </w:t>
            </w:r>
          </w:p>
          <w:p w14:paraId="2D29A84F" w14:textId="40654BC9" w:rsidR="00C5393B" w:rsidRDefault="00EF6A0D" w:rsidP="005A76E8">
            <w:pPr>
              <w:spacing w:before="240"/>
              <w:rPr>
                <w:rFonts w:cs="Arial"/>
              </w:rPr>
            </w:pPr>
            <w:r>
              <w:rPr>
                <w:rFonts w:cs="Arial"/>
              </w:rPr>
              <w:t>(a) Y</w:t>
            </w:r>
            <w:r w:rsidR="00C5393B">
              <w:rPr>
                <w:rFonts w:cs="Arial"/>
              </w:rPr>
              <w:t xml:space="preserve">our ability &amp; </w:t>
            </w:r>
            <w:r w:rsidR="00C5393B" w:rsidRPr="00CB5339">
              <w:rPr>
                <w:rFonts w:cs="Arial"/>
              </w:rPr>
              <w:t xml:space="preserve">flexibility </w:t>
            </w:r>
            <w:r w:rsidR="00C5393B">
              <w:rPr>
                <w:rFonts w:cs="Arial"/>
              </w:rPr>
              <w:t>in</w:t>
            </w:r>
            <w:r w:rsidR="00C5393B" w:rsidRPr="00CB5339">
              <w:rPr>
                <w:rFonts w:cs="Arial"/>
              </w:rPr>
              <w:t xml:space="preserve"> </w:t>
            </w:r>
            <w:r w:rsidR="00C5393B">
              <w:rPr>
                <w:rFonts w:cs="Arial"/>
              </w:rPr>
              <w:t xml:space="preserve">being able to </w:t>
            </w:r>
            <w:r w:rsidR="00C5393B" w:rsidRPr="00CB5339">
              <w:rPr>
                <w:rFonts w:cs="Arial"/>
              </w:rPr>
              <w:t xml:space="preserve">meet the </w:t>
            </w:r>
            <w:r w:rsidR="00DD6E47">
              <w:rPr>
                <w:rFonts w:cs="Arial"/>
              </w:rPr>
              <w:t xml:space="preserve">proposed program of delivery and </w:t>
            </w:r>
            <w:r w:rsidR="00C5393B">
              <w:rPr>
                <w:rFonts w:cs="Arial"/>
              </w:rPr>
              <w:t xml:space="preserve">potential additional ad-hoc </w:t>
            </w:r>
            <w:r w:rsidR="00C5393B" w:rsidRPr="00F01EFE">
              <w:rPr>
                <w:rFonts w:cs="Arial"/>
              </w:rPr>
              <w:t>work outlined in the</w:t>
            </w:r>
            <w:r>
              <w:rPr>
                <w:rFonts w:cs="Arial"/>
              </w:rPr>
              <w:t xml:space="preserve"> Appendix B – Statement of Requirments</w:t>
            </w:r>
            <w:r w:rsidR="00C5393B">
              <w:rPr>
                <w:rFonts w:cs="Arial"/>
              </w:rPr>
              <w:t>.</w:t>
            </w:r>
          </w:p>
          <w:p w14:paraId="096E2FEE" w14:textId="6CA5C87E" w:rsidR="005A76E8" w:rsidRPr="003D53D9" w:rsidRDefault="005A76E8" w:rsidP="00F63A3F">
            <w:pPr>
              <w:rPr>
                <w:rFonts w:cs="Arial"/>
                <w:color w:val="000000" w:themeColor="text1"/>
              </w:rPr>
            </w:pPr>
            <w:r>
              <w:rPr>
                <w:rFonts w:cs="Arial"/>
              </w:rPr>
              <w:t xml:space="preserve">(b) Include example(s) of how you have managed delivery of similar </w:t>
            </w:r>
            <w:r w:rsidR="00DD6E47">
              <w:rPr>
                <w:rFonts w:cs="Arial"/>
              </w:rPr>
              <w:t>requ</w:t>
            </w:r>
            <w:r w:rsidR="00F63A3F">
              <w:rPr>
                <w:rFonts w:cs="Arial"/>
              </w:rPr>
              <w:t>i</w:t>
            </w:r>
            <w:r w:rsidR="00DD6E47">
              <w:rPr>
                <w:rFonts w:cs="Arial"/>
              </w:rPr>
              <w:t>rements for r</w:t>
            </w:r>
            <w:r>
              <w:rPr>
                <w:rFonts w:cs="Arial"/>
              </w:rPr>
              <w:t>oleplay/actor</w:t>
            </w:r>
            <w:r w:rsidR="00DD6E47">
              <w:rPr>
                <w:rFonts w:cs="Arial"/>
              </w:rPr>
              <w:t>s</w:t>
            </w:r>
            <w:r>
              <w:rPr>
                <w:rFonts w:cs="Arial"/>
              </w:rPr>
              <w:t xml:space="preserve"> </w:t>
            </w:r>
            <w:r w:rsidR="00F63A3F">
              <w:rPr>
                <w:rFonts w:cs="Arial"/>
              </w:rPr>
              <w:t>to other customers.</w:t>
            </w:r>
            <w:r w:rsidR="00DD6E47">
              <w:rPr>
                <w:rFonts w:cs="Arial"/>
              </w:rPr>
              <w:t xml:space="preserve"> </w:t>
            </w:r>
            <w:r w:rsidR="00DD6E47" w:rsidRPr="003D53D9">
              <w:rPr>
                <w:rFonts w:cs="Arial"/>
                <w:color w:val="000000" w:themeColor="text1"/>
              </w:rPr>
              <w:t>Contact details should be provided should the Authority wish to pursue references.</w:t>
            </w:r>
          </w:p>
        </w:tc>
        <w:tc>
          <w:tcPr>
            <w:tcW w:w="1417" w:type="dxa"/>
          </w:tcPr>
          <w:p w14:paraId="633182D8" w14:textId="1786C9F7" w:rsidR="00C5393B" w:rsidRPr="003D53D9" w:rsidRDefault="00C5393B" w:rsidP="00C5393B">
            <w:pPr>
              <w:jc w:val="center"/>
            </w:pPr>
            <w:r w:rsidRPr="003D53D9">
              <w:t>50</w:t>
            </w:r>
          </w:p>
        </w:tc>
        <w:tc>
          <w:tcPr>
            <w:tcW w:w="1271" w:type="dxa"/>
          </w:tcPr>
          <w:p w14:paraId="7D7579F2" w14:textId="28FED9CE" w:rsidR="00C5393B" w:rsidRDefault="00C5393B" w:rsidP="00C5393B">
            <w:pPr>
              <w:jc w:val="center"/>
            </w:pPr>
            <w:r>
              <w:t>100</w:t>
            </w:r>
          </w:p>
        </w:tc>
        <w:tc>
          <w:tcPr>
            <w:tcW w:w="1280" w:type="dxa"/>
          </w:tcPr>
          <w:p w14:paraId="1ED4452F" w14:textId="132107CB" w:rsidR="00C5393B" w:rsidRDefault="000D1A79" w:rsidP="00C5393B">
            <w:pPr>
              <w:jc w:val="center"/>
            </w:pPr>
            <w:r w:rsidRPr="00901A76">
              <w:t>100%</w:t>
            </w:r>
          </w:p>
        </w:tc>
      </w:tr>
      <w:tr w:rsidR="00055090" w14:paraId="49195AB2" w14:textId="77777777" w:rsidTr="005D4F4D">
        <w:tc>
          <w:tcPr>
            <w:tcW w:w="6799" w:type="dxa"/>
            <w:gridSpan w:val="3"/>
            <w:shd w:val="clear" w:color="auto" w:fill="0D0D0D" w:themeFill="text1" w:themeFillTint="F2"/>
          </w:tcPr>
          <w:p w14:paraId="734FD1B4" w14:textId="49441B82" w:rsidR="00055090" w:rsidRPr="006A087F" w:rsidRDefault="00055090" w:rsidP="000D1A79">
            <w:pPr>
              <w:rPr>
                <w:b/>
                <w:color w:val="FFFFFF" w:themeColor="background1"/>
              </w:rPr>
            </w:pPr>
            <w:r>
              <w:rPr>
                <w:b/>
                <w:color w:val="FFFFFF" w:themeColor="background1"/>
              </w:rPr>
              <w:t>QUESTIONNAIRE 5</w:t>
            </w:r>
            <w:r w:rsidRPr="006A087F">
              <w:rPr>
                <w:b/>
                <w:color w:val="FFFFFF" w:themeColor="background1"/>
              </w:rPr>
              <w:t xml:space="preserve"> </w:t>
            </w:r>
            <w:r>
              <w:rPr>
                <w:b/>
                <w:color w:val="FFFFFF" w:themeColor="background1"/>
              </w:rPr>
              <w:t>– QUALITY</w:t>
            </w:r>
            <w:r w:rsidR="000D1A79">
              <w:rPr>
                <w:b/>
                <w:color w:val="FFFFFF" w:themeColor="background1"/>
              </w:rPr>
              <w:t xml:space="preserve"> - EXPERIENCE</w:t>
            </w:r>
          </w:p>
        </w:tc>
        <w:tc>
          <w:tcPr>
            <w:tcW w:w="2551" w:type="dxa"/>
            <w:gridSpan w:val="2"/>
            <w:shd w:val="clear" w:color="auto" w:fill="0D0D0D" w:themeFill="text1" w:themeFillTint="F2"/>
          </w:tcPr>
          <w:p w14:paraId="582CC89F" w14:textId="24E4A67A" w:rsidR="00055090" w:rsidRPr="006A087F" w:rsidRDefault="00055090" w:rsidP="005D4F4D">
            <w:pPr>
              <w:jc w:val="right"/>
              <w:rPr>
                <w:b/>
                <w:color w:val="FFFFFF" w:themeColor="background1"/>
              </w:rPr>
            </w:pPr>
          </w:p>
        </w:tc>
      </w:tr>
      <w:tr w:rsidR="00055090" w14:paraId="70D0D76F" w14:textId="77777777" w:rsidTr="005D4F4D">
        <w:trPr>
          <w:trHeight w:val="1125"/>
        </w:trPr>
        <w:tc>
          <w:tcPr>
            <w:tcW w:w="1170" w:type="dxa"/>
            <w:shd w:val="clear" w:color="auto" w:fill="D9D9D9" w:themeFill="background1" w:themeFillShade="D9"/>
          </w:tcPr>
          <w:p w14:paraId="34BF8579" w14:textId="77777777" w:rsidR="00055090" w:rsidRPr="00F10B85" w:rsidRDefault="00055090" w:rsidP="005D4F4D">
            <w:pPr>
              <w:jc w:val="center"/>
            </w:pPr>
            <w:r w:rsidRPr="00F10B85">
              <w:t>Question Number</w:t>
            </w:r>
          </w:p>
        </w:tc>
        <w:tc>
          <w:tcPr>
            <w:tcW w:w="4212" w:type="dxa"/>
            <w:shd w:val="clear" w:color="auto" w:fill="D9D9D9" w:themeFill="background1" w:themeFillShade="D9"/>
          </w:tcPr>
          <w:p w14:paraId="32703C63" w14:textId="77777777" w:rsidR="00055090" w:rsidRDefault="00055090" w:rsidP="005D4F4D">
            <w:r>
              <w:t>Question</w:t>
            </w:r>
          </w:p>
        </w:tc>
        <w:tc>
          <w:tcPr>
            <w:tcW w:w="1417" w:type="dxa"/>
            <w:shd w:val="clear" w:color="auto" w:fill="D9D9D9" w:themeFill="background1" w:themeFillShade="D9"/>
          </w:tcPr>
          <w:p w14:paraId="16C97C1B" w14:textId="77777777" w:rsidR="00055090" w:rsidRPr="00F10B85" w:rsidRDefault="00055090" w:rsidP="005D4F4D">
            <w:pPr>
              <w:jc w:val="center"/>
            </w:pPr>
            <w:r w:rsidRPr="00F10B85">
              <w:t>Minimum Acceptable Score</w:t>
            </w:r>
          </w:p>
        </w:tc>
        <w:tc>
          <w:tcPr>
            <w:tcW w:w="1271" w:type="dxa"/>
            <w:shd w:val="clear" w:color="auto" w:fill="D9D9D9" w:themeFill="background1" w:themeFillShade="D9"/>
          </w:tcPr>
          <w:p w14:paraId="4AAADEFD" w14:textId="77777777" w:rsidR="00055090" w:rsidRPr="00F10B85" w:rsidRDefault="00055090" w:rsidP="005D4F4D">
            <w:pPr>
              <w:jc w:val="center"/>
            </w:pPr>
            <w:r w:rsidRPr="00F10B85">
              <w:t>Maximum Available Score</w:t>
            </w:r>
          </w:p>
        </w:tc>
        <w:tc>
          <w:tcPr>
            <w:tcW w:w="1280" w:type="dxa"/>
            <w:shd w:val="clear" w:color="auto" w:fill="D9D9D9" w:themeFill="background1" w:themeFillShade="D9"/>
          </w:tcPr>
          <w:p w14:paraId="18397F2E" w14:textId="0E44EB32" w:rsidR="00055090" w:rsidRPr="00901A76" w:rsidRDefault="00055090" w:rsidP="008D217E">
            <w:pPr>
              <w:jc w:val="center"/>
            </w:pPr>
            <w:r w:rsidRPr="00901A76">
              <w:t xml:space="preserve">Weighting </w:t>
            </w:r>
            <w:r w:rsidR="008D217E">
              <w:t>20</w:t>
            </w:r>
            <w:r w:rsidRPr="00901A76">
              <w:t>%</w:t>
            </w:r>
          </w:p>
        </w:tc>
      </w:tr>
      <w:tr w:rsidR="00055090" w14:paraId="142F3F60" w14:textId="77777777" w:rsidTr="005D4F4D">
        <w:tc>
          <w:tcPr>
            <w:tcW w:w="1170" w:type="dxa"/>
          </w:tcPr>
          <w:p w14:paraId="552382E3" w14:textId="69F186B4" w:rsidR="00055090" w:rsidRDefault="005A76E8" w:rsidP="005D4F4D">
            <w:pPr>
              <w:jc w:val="center"/>
            </w:pPr>
            <w:r>
              <w:t>5</w:t>
            </w:r>
            <w:r w:rsidR="00DD6E47">
              <w:t>.</w:t>
            </w:r>
            <w:r w:rsidR="00F63A3F">
              <w:t>1</w:t>
            </w:r>
          </w:p>
        </w:tc>
        <w:tc>
          <w:tcPr>
            <w:tcW w:w="4212" w:type="dxa"/>
          </w:tcPr>
          <w:p w14:paraId="4E6113A8" w14:textId="15B0D05B" w:rsidR="00055090" w:rsidRPr="003D53D9" w:rsidRDefault="00055090" w:rsidP="008007EC">
            <w:pPr>
              <w:rPr>
                <w:color w:val="000000" w:themeColor="text1"/>
                <w:highlight w:val="yellow"/>
              </w:rPr>
            </w:pPr>
            <w:r w:rsidRPr="003D53D9">
              <w:rPr>
                <w:rFonts w:cs="Arial"/>
                <w:color w:val="000000" w:themeColor="text1"/>
              </w:rPr>
              <w:t xml:space="preserve">Provide details of your proposed roleplay actors experience in undertaking similar </w:t>
            </w:r>
            <w:r w:rsidRPr="003D53D9">
              <w:rPr>
                <w:rFonts w:cs="Arial"/>
                <w:color w:val="000000" w:themeColor="text1"/>
              </w:rPr>
              <w:lastRenderedPageBreak/>
              <w:t xml:space="preserve">roles (e.g. include separate portfolio/CV information detailing relevant experience) as per the </w:t>
            </w:r>
            <w:r w:rsidR="008007EC">
              <w:rPr>
                <w:rFonts w:cs="Arial"/>
                <w:color w:val="000000" w:themeColor="text1"/>
              </w:rPr>
              <w:t xml:space="preserve">Appendix B </w:t>
            </w:r>
            <w:r w:rsidRPr="003D53D9">
              <w:rPr>
                <w:rFonts w:cs="Arial"/>
                <w:color w:val="000000" w:themeColor="text1"/>
              </w:rPr>
              <w:t>to illustrate your ability to deliver the services outlined in terms of provision of suitably qualified and experienced personnel.  Contact details should be provided should the Authority wish to pursue references.</w:t>
            </w:r>
          </w:p>
        </w:tc>
        <w:tc>
          <w:tcPr>
            <w:tcW w:w="1417" w:type="dxa"/>
          </w:tcPr>
          <w:p w14:paraId="7D3C0206" w14:textId="77777777" w:rsidR="00055090" w:rsidRPr="003D53D9" w:rsidRDefault="00055090" w:rsidP="005D4F4D">
            <w:pPr>
              <w:jc w:val="center"/>
            </w:pPr>
            <w:r w:rsidRPr="003D53D9">
              <w:lastRenderedPageBreak/>
              <w:t>50</w:t>
            </w:r>
          </w:p>
        </w:tc>
        <w:tc>
          <w:tcPr>
            <w:tcW w:w="1271" w:type="dxa"/>
          </w:tcPr>
          <w:p w14:paraId="022692E6" w14:textId="77777777" w:rsidR="00055090" w:rsidRDefault="00055090" w:rsidP="005D4F4D">
            <w:pPr>
              <w:jc w:val="center"/>
            </w:pPr>
            <w:r>
              <w:t>100</w:t>
            </w:r>
          </w:p>
        </w:tc>
        <w:tc>
          <w:tcPr>
            <w:tcW w:w="1280" w:type="dxa"/>
          </w:tcPr>
          <w:p w14:paraId="1CDE38A1" w14:textId="62933951" w:rsidR="00055090" w:rsidRPr="00901A76" w:rsidRDefault="000D1A79" w:rsidP="005D4F4D">
            <w:pPr>
              <w:jc w:val="center"/>
            </w:pPr>
            <w:r w:rsidRPr="00901A76">
              <w:t>100%</w:t>
            </w:r>
          </w:p>
        </w:tc>
      </w:tr>
      <w:tr w:rsidR="00DD6E47" w14:paraId="71779A47" w14:textId="77777777" w:rsidTr="00D24E58">
        <w:tc>
          <w:tcPr>
            <w:tcW w:w="9350" w:type="dxa"/>
            <w:gridSpan w:val="5"/>
            <w:shd w:val="clear" w:color="auto" w:fill="0D0D0D" w:themeFill="text1" w:themeFillTint="F2"/>
          </w:tcPr>
          <w:p w14:paraId="6C04066E" w14:textId="156CB77D" w:rsidR="00DD6E47" w:rsidRPr="006A087F" w:rsidRDefault="00DD6E47" w:rsidP="000D1A79">
            <w:pPr>
              <w:rPr>
                <w:b/>
                <w:color w:val="FFFFFF" w:themeColor="background1"/>
              </w:rPr>
            </w:pPr>
            <w:r w:rsidRPr="006A087F">
              <w:rPr>
                <w:b/>
                <w:color w:val="FFFFFF" w:themeColor="background1"/>
              </w:rPr>
              <w:t xml:space="preserve">QUESTIONNAIRE </w:t>
            </w:r>
            <w:r>
              <w:rPr>
                <w:b/>
                <w:color w:val="FFFFFF" w:themeColor="background1"/>
              </w:rPr>
              <w:t>6</w:t>
            </w:r>
            <w:r w:rsidRPr="006A087F">
              <w:rPr>
                <w:b/>
                <w:color w:val="FFFFFF" w:themeColor="background1"/>
              </w:rPr>
              <w:t xml:space="preserve"> </w:t>
            </w:r>
            <w:r>
              <w:rPr>
                <w:b/>
                <w:color w:val="FFFFFF" w:themeColor="background1"/>
              </w:rPr>
              <w:t xml:space="preserve">– </w:t>
            </w:r>
            <w:r w:rsidR="000D1A79">
              <w:rPr>
                <w:b/>
                <w:color w:val="FFFFFF" w:themeColor="background1"/>
              </w:rPr>
              <w:t>QUALITY - PROGRAM DELIVERY SUPPORT &amp; AC</w:t>
            </w:r>
            <w:r w:rsidR="00D05C9E">
              <w:rPr>
                <w:b/>
                <w:color w:val="FFFFFF" w:themeColor="background1"/>
              </w:rPr>
              <w:t>C</w:t>
            </w:r>
            <w:r w:rsidR="000D1A79">
              <w:rPr>
                <w:b/>
                <w:color w:val="FFFFFF" w:themeColor="background1"/>
              </w:rPr>
              <w:t>OUNT MANAGEMENT</w:t>
            </w:r>
          </w:p>
        </w:tc>
      </w:tr>
      <w:tr w:rsidR="00055090" w14:paraId="1CFCA8FB" w14:textId="77777777" w:rsidTr="005D4F4D">
        <w:trPr>
          <w:trHeight w:val="1125"/>
        </w:trPr>
        <w:tc>
          <w:tcPr>
            <w:tcW w:w="1170" w:type="dxa"/>
            <w:shd w:val="clear" w:color="auto" w:fill="D9D9D9" w:themeFill="background1" w:themeFillShade="D9"/>
          </w:tcPr>
          <w:p w14:paraId="76293D31" w14:textId="77777777" w:rsidR="00055090" w:rsidRPr="00F10B85" w:rsidRDefault="00055090" w:rsidP="005D4F4D">
            <w:pPr>
              <w:jc w:val="center"/>
            </w:pPr>
            <w:r w:rsidRPr="00F10B85">
              <w:t>Question Number</w:t>
            </w:r>
          </w:p>
        </w:tc>
        <w:tc>
          <w:tcPr>
            <w:tcW w:w="4212" w:type="dxa"/>
            <w:shd w:val="clear" w:color="auto" w:fill="D9D9D9" w:themeFill="background1" w:themeFillShade="D9"/>
          </w:tcPr>
          <w:p w14:paraId="271D80DB" w14:textId="77777777" w:rsidR="00055090" w:rsidRDefault="00055090" w:rsidP="005D4F4D">
            <w:r>
              <w:t>Question</w:t>
            </w:r>
          </w:p>
        </w:tc>
        <w:tc>
          <w:tcPr>
            <w:tcW w:w="1417" w:type="dxa"/>
            <w:shd w:val="clear" w:color="auto" w:fill="D9D9D9" w:themeFill="background1" w:themeFillShade="D9"/>
          </w:tcPr>
          <w:p w14:paraId="31E5155F" w14:textId="77777777" w:rsidR="00055090" w:rsidRPr="00F10B85" w:rsidRDefault="00055090" w:rsidP="005D4F4D">
            <w:pPr>
              <w:jc w:val="center"/>
            </w:pPr>
            <w:r w:rsidRPr="00F10B85">
              <w:t>Minimum Acceptable Score</w:t>
            </w:r>
          </w:p>
        </w:tc>
        <w:tc>
          <w:tcPr>
            <w:tcW w:w="1271" w:type="dxa"/>
            <w:shd w:val="clear" w:color="auto" w:fill="D9D9D9" w:themeFill="background1" w:themeFillShade="D9"/>
          </w:tcPr>
          <w:p w14:paraId="3C719FC0" w14:textId="77777777" w:rsidR="00055090" w:rsidRPr="00F10B85" w:rsidRDefault="00055090" w:rsidP="005D4F4D">
            <w:pPr>
              <w:jc w:val="center"/>
            </w:pPr>
            <w:r w:rsidRPr="00F10B85">
              <w:t>Maximum Available Score</w:t>
            </w:r>
          </w:p>
        </w:tc>
        <w:tc>
          <w:tcPr>
            <w:tcW w:w="1280" w:type="dxa"/>
            <w:shd w:val="clear" w:color="auto" w:fill="D9D9D9" w:themeFill="background1" w:themeFillShade="D9"/>
          </w:tcPr>
          <w:p w14:paraId="6E0A521A" w14:textId="13C147EE" w:rsidR="00055090" w:rsidRPr="00F10B85" w:rsidRDefault="00055090" w:rsidP="008D217E">
            <w:pPr>
              <w:jc w:val="center"/>
            </w:pPr>
            <w:r w:rsidRPr="00F10B85">
              <w:t xml:space="preserve">Weighting </w:t>
            </w:r>
            <w:r w:rsidR="008D217E">
              <w:t>20</w:t>
            </w:r>
            <w:r w:rsidR="00901A76">
              <w:t>%</w:t>
            </w:r>
          </w:p>
        </w:tc>
      </w:tr>
      <w:tr w:rsidR="00055090" w14:paraId="1F0AC786" w14:textId="77777777" w:rsidTr="005D4F4D">
        <w:tc>
          <w:tcPr>
            <w:tcW w:w="1170" w:type="dxa"/>
          </w:tcPr>
          <w:p w14:paraId="23EB70A3" w14:textId="52D99D24" w:rsidR="00055090" w:rsidRDefault="00DD6E47" w:rsidP="005D4F4D">
            <w:pPr>
              <w:jc w:val="center"/>
            </w:pPr>
            <w:r>
              <w:t>6.1</w:t>
            </w:r>
          </w:p>
        </w:tc>
        <w:tc>
          <w:tcPr>
            <w:tcW w:w="4212" w:type="dxa"/>
          </w:tcPr>
          <w:p w14:paraId="1A4CF3AF" w14:textId="77777777" w:rsidR="00055090" w:rsidRPr="003D53D9" w:rsidRDefault="00055090" w:rsidP="005D4F4D">
            <w:pPr>
              <w:rPr>
                <w:color w:val="000000" w:themeColor="text1"/>
                <w:highlight w:val="yellow"/>
              </w:rPr>
            </w:pPr>
            <w:r w:rsidRPr="003D53D9">
              <w:rPr>
                <w:rFonts w:cs="Arial"/>
                <w:color w:val="000000" w:themeColor="text1"/>
              </w:rPr>
              <w:t xml:space="preserve">Provide a detailed proposal (including Project Plan) as to how you will deliver the work outlined in </w:t>
            </w:r>
            <w:r w:rsidRPr="00055090">
              <w:rPr>
                <w:rFonts w:cs="Arial"/>
              </w:rPr>
              <w:t>Appendix B – Statement of Requir</w:t>
            </w:r>
            <w:r>
              <w:rPr>
                <w:rFonts w:cs="Arial"/>
              </w:rPr>
              <w:t>e</w:t>
            </w:r>
            <w:r w:rsidRPr="00055090">
              <w:rPr>
                <w:rFonts w:cs="Arial"/>
              </w:rPr>
              <w:t xml:space="preserve">ments and </w:t>
            </w:r>
            <w:r w:rsidRPr="003D53D9">
              <w:rPr>
                <w:rFonts w:cs="Arial"/>
                <w:color w:val="000000" w:themeColor="text1"/>
              </w:rPr>
              <w:t xml:space="preserve">how you would meet the timeframes listed.   </w:t>
            </w:r>
          </w:p>
        </w:tc>
        <w:tc>
          <w:tcPr>
            <w:tcW w:w="1417" w:type="dxa"/>
          </w:tcPr>
          <w:p w14:paraId="152D4B95" w14:textId="77777777" w:rsidR="00055090" w:rsidRPr="003D53D9" w:rsidRDefault="00055090" w:rsidP="005D4F4D">
            <w:pPr>
              <w:jc w:val="center"/>
            </w:pPr>
            <w:r w:rsidRPr="003D53D9">
              <w:t>50</w:t>
            </w:r>
          </w:p>
        </w:tc>
        <w:tc>
          <w:tcPr>
            <w:tcW w:w="1271" w:type="dxa"/>
          </w:tcPr>
          <w:p w14:paraId="05B93FCA" w14:textId="77777777" w:rsidR="00055090" w:rsidRDefault="00055090" w:rsidP="005D4F4D">
            <w:pPr>
              <w:jc w:val="center"/>
            </w:pPr>
            <w:r>
              <w:t>100</w:t>
            </w:r>
          </w:p>
        </w:tc>
        <w:tc>
          <w:tcPr>
            <w:tcW w:w="1280" w:type="dxa"/>
          </w:tcPr>
          <w:p w14:paraId="2ED0E5C0" w14:textId="016C58DB" w:rsidR="00055090" w:rsidRPr="00901A76" w:rsidRDefault="008C3FBE" w:rsidP="005D4F4D">
            <w:pPr>
              <w:jc w:val="center"/>
            </w:pPr>
            <w:r w:rsidRPr="00901A76">
              <w:t>40%</w:t>
            </w:r>
          </w:p>
        </w:tc>
      </w:tr>
      <w:tr w:rsidR="00055090" w14:paraId="7FE53FBA" w14:textId="77777777" w:rsidTr="005D4F4D">
        <w:tc>
          <w:tcPr>
            <w:tcW w:w="1170" w:type="dxa"/>
          </w:tcPr>
          <w:p w14:paraId="3C492719" w14:textId="01A12A55" w:rsidR="00055090" w:rsidRDefault="00DD6E47" w:rsidP="005D4F4D">
            <w:pPr>
              <w:jc w:val="center"/>
            </w:pPr>
            <w:r>
              <w:t>6.2</w:t>
            </w:r>
          </w:p>
        </w:tc>
        <w:tc>
          <w:tcPr>
            <w:tcW w:w="4212" w:type="dxa"/>
          </w:tcPr>
          <w:p w14:paraId="5D6DBDDA" w14:textId="77777777" w:rsidR="00055090" w:rsidRPr="003D53D9" w:rsidRDefault="00055090" w:rsidP="005D4F4D">
            <w:pPr>
              <w:rPr>
                <w:rFonts w:cs="Arial"/>
                <w:color w:val="000000" w:themeColor="text1"/>
              </w:rPr>
            </w:pPr>
            <w:r>
              <w:rPr>
                <w:rFonts w:cs="Arial"/>
              </w:rPr>
              <w:t>Include details in the proposal to indicate how you will guarantee</w:t>
            </w:r>
            <w:r w:rsidRPr="00CB5339">
              <w:rPr>
                <w:rFonts w:cs="Arial"/>
              </w:rPr>
              <w:t xml:space="preserve"> sufficient capacity</w:t>
            </w:r>
            <w:r>
              <w:rPr>
                <w:rFonts w:cs="Arial"/>
              </w:rPr>
              <w:t>/availability of roleplay actors</w:t>
            </w:r>
            <w:r w:rsidRPr="00CB5339">
              <w:rPr>
                <w:rFonts w:cs="Arial"/>
              </w:rPr>
              <w:t xml:space="preserve"> and </w:t>
            </w:r>
            <w:r>
              <w:rPr>
                <w:rFonts w:cs="Arial"/>
              </w:rPr>
              <w:t xml:space="preserve">include any </w:t>
            </w:r>
            <w:r w:rsidRPr="00CB5339">
              <w:rPr>
                <w:rFonts w:cs="Arial"/>
              </w:rPr>
              <w:t>appropriate mechanisms for sub-contracting or providing cover</w:t>
            </w:r>
            <w:r>
              <w:rPr>
                <w:rFonts w:cs="Arial"/>
              </w:rPr>
              <w:t>, for example,</w:t>
            </w:r>
            <w:r w:rsidRPr="00CB5339">
              <w:rPr>
                <w:rFonts w:cs="Arial"/>
              </w:rPr>
              <w:t xml:space="preserve"> in </w:t>
            </w:r>
            <w:r>
              <w:rPr>
                <w:rFonts w:cs="Arial"/>
              </w:rPr>
              <w:t xml:space="preserve">the </w:t>
            </w:r>
            <w:r w:rsidRPr="00CB5339">
              <w:rPr>
                <w:rFonts w:cs="Arial"/>
              </w:rPr>
              <w:t>event of illness</w:t>
            </w:r>
            <w:r>
              <w:rPr>
                <w:rFonts w:cs="Arial"/>
              </w:rPr>
              <w:t xml:space="preserve"> and/or other short notice issue(s) requiring contingency action(s) to be put in place.</w:t>
            </w:r>
          </w:p>
        </w:tc>
        <w:tc>
          <w:tcPr>
            <w:tcW w:w="1417" w:type="dxa"/>
          </w:tcPr>
          <w:p w14:paraId="561947E2" w14:textId="77777777" w:rsidR="00055090" w:rsidRPr="003D53D9" w:rsidRDefault="00055090" w:rsidP="005D4F4D">
            <w:pPr>
              <w:jc w:val="center"/>
            </w:pPr>
            <w:r w:rsidRPr="003D53D9">
              <w:t>50</w:t>
            </w:r>
          </w:p>
        </w:tc>
        <w:tc>
          <w:tcPr>
            <w:tcW w:w="1271" w:type="dxa"/>
          </w:tcPr>
          <w:p w14:paraId="22E79453" w14:textId="77777777" w:rsidR="00055090" w:rsidRDefault="00055090" w:rsidP="005D4F4D">
            <w:pPr>
              <w:jc w:val="center"/>
            </w:pPr>
            <w:r>
              <w:t>100</w:t>
            </w:r>
          </w:p>
        </w:tc>
        <w:tc>
          <w:tcPr>
            <w:tcW w:w="1280" w:type="dxa"/>
          </w:tcPr>
          <w:p w14:paraId="29320B39" w14:textId="0083D521" w:rsidR="00055090" w:rsidRPr="00901A76" w:rsidRDefault="008C3FBE" w:rsidP="005D4F4D">
            <w:pPr>
              <w:jc w:val="center"/>
            </w:pPr>
            <w:r w:rsidRPr="00901A76">
              <w:t>35%</w:t>
            </w:r>
          </w:p>
        </w:tc>
      </w:tr>
      <w:tr w:rsidR="00055090" w14:paraId="7DF7C0E7" w14:textId="77777777" w:rsidTr="005D4F4D">
        <w:tc>
          <w:tcPr>
            <w:tcW w:w="1170" w:type="dxa"/>
          </w:tcPr>
          <w:p w14:paraId="1A7B148A" w14:textId="5111866C" w:rsidR="00055090" w:rsidRDefault="00DD6E47" w:rsidP="005D4F4D">
            <w:pPr>
              <w:jc w:val="center"/>
            </w:pPr>
            <w:r>
              <w:t>6.3</w:t>
            </w:r>
          </w:p>
        </w:tc>
        <w:tc>
          <w:tcPr>
            <w:tcW w:w="4212" w:type="dxa"/>
          </w:tcPr>
          <w:p w14:paraId="7ECFBC4F" w14:textId="0734E3E5" w:rsidR="00055090" w:rsidRPr="008007EC" w:rsidRDefault="00055090" w:rsidP="008007EC">
            <w:pPr>
              <w:rPr>
                <w:rFonts w:cs="Arial"/>
              </w:rPr>
            </w:pPr>
            <w:r w:rsidRPr="008007EC">
              <w:rPr>
                <w:rFonts w:cs="Arial"/>
              </w:rPr>
              <w:t>Include details of your proposed account</w:t>
            </w:r>
            <w:r w:rsidR="008007EC">
              <w:rPr>
                <w:rFonts w:cs="Arial"/>
              </w:rPr>
              <w:t xml:space="preserve"> </w:t>
            </w:r>
            <w:r w:rsidRPr="008007EC">
              <w:rPr>
                <w:rFonts w:cs="Arial"/>
              </w:rPr>
              <w:t>management approach to:</w:t>
            </w:r>
          </w:p>
          <w:p w14:paraId="027827AA" w14:textId="77777777" w:rsidR="00055090" w:rsidRPr="003D53D9" w:rsidRDefault="00055090" w:rsidP="00055090">
            <w:pPr>
              <w:numPr>
                <w:ilvl w:val="0"/>
                <w:numId w:val="15"/>
              </w:numPr>
              <w:spacing w:after="0" w:line="240" w:lineRule="auto"/>
              <w:contextualSpacing/>
              <w:rPr>
                <w:rFonts w:cs="Arial"/>
                <w:color w:val="000000" w:themeColor="text1"/>
              </w:rPr>
            </w:pPr>
            <w:r w:rsidRPr="003D53D9">
              <w:rPr>
                <w:rFonts w:cs="Arial"/>
                <w:color w:val="000000" w:themeColor="text1"/>
              </w:rPr>
              <w:t>Confirm dedicated contact names who will be assigned to this contract; and</w:t>
            </w:r>
          </w:p>
          <w:p w14:paraId="5696517D" w14:textId="77777777" w:rsidR="00055090" w:rsidRPr="002339C2" w:rsidRDefault="00055090" w:rsidP="00055090">
            <w:pPr>
              <w:pStyle w:val="ListParagraph"/>
              <w:numPr>
                <w:ilvl w:val="0"/>
                <w:numId w:val="15"/>
              </w:numPr>
              <w:rPr>
                <w:rFonts w:cs="Arial"/>
                <w:color w:val="000000" w:themeColor="text1"/>
              </w:rPr>
            </w:pPr>
            <w:r w:rsidRPr="002339C2">
              <w:rPr>
                <w:rFonts w:eastAsia="Arial" w:cs="Arial"/>
                <w:color w:val="000000" w:themeColor="text1"/>
              </w:rPr>
              <w:lastRenderedPageBreak/>
              <w:t>C</w:t>
            </w:r>
            <w:r w:rsidRPr="002339C2">
              <w:rPr>
                <w:rFonts w:cs="Arial"/>
                <w:color w:val="000000" w:themeColor="text1"/>
              </w:rPr>
              <w:t>onfirm a robust approach to delivering client satisfaction and dealing with complaints.</w:t>
            </w:r>
          </w:p>
        </w:tc>
        <w:tc>
          <w:tcPr>
            <w:tcW w:w="1417" w:type="dxa"/>
          </w:tcPr>
          <w:p w14:paraId="5FC1131C" w14:textId="77777777" w:rsidR="00055090" w:rsidRPr="003D53D9" w:rsidRDefault="00055090" w:rsidP="005D4F4D">
            <w:pPr>
              <w:jc w:val="center"/>
            </w:pPr>
            <w:r w:rsidRPr="003D53D9">
              <w:lastRenderedPageBreak/>
              <w:t>50</w:t>
            </w:r>
          </w:p>
        </w:tc>
        <w:tc>
          <w:tcPr>
            <w:tcW w:w="1271" w:type="dxa"/>
          </w:tcPr>
          <w:p w14:paraId="0D06FCD4" w14:textId="77777777" w:rsidR="00055090" w:rsidRDefault="00055090" w:rsidP="005D4F4D">
            <w:pPr>
              <w:jc w:val="center"/>
            </w:pPr>
            <w:r>
              <w:t>100</w:t>
            </w:r>
          </w:p>
        </w:tc>
        <w:tc>
          <w:tcPr>
            <w:tcW w:w="1280" w:type="dxa"/>
          </w:tcPr>
          <w:p w14:paraId="601E1AD2" w14:textId="4D99CCA3" w:rsidR="00055090" w:rsidRPr="00901A76" w:rsidRDefault="008C3FBE" w:rsidP="005D4F4D">
            <w:pPr>
              <w:jc w:val="center"/>
            </w:pPr>
            <w:r w:rsidRPr="00901A76">
              <w:t>25%</w:t>
            </w:r>
          </w:p>
        </w:tc>
      </w:tr>
    </w:tbl>
    <w:p w14:paraId="147A66EC" w14:textId="27A85AB2" w:rsidR="00CE4838" w:rsidRDefault="00CE4838">
      <w:pPr>
        <w:spacing w:after="0" w:line="240" w:lineRule="auto"/>
      </w:pPr>
    </w:p>
    <w:p w14:paraId="183D4700" w14:textId="77777777" w:rsidR="00C5393B" w:rsidRDefault="00C5393B">
      <w:pPr>
        <w:spacing w:after="0" w:line="240" w:lineRule="auto"/>
      </w:pPr>
    </w:p>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55576C56" w:rsidR="000C1EA7" w:rsidRPr="003D53D9" w:rsidRDefault="000C1EA7" w:rsidP="00E3125E">
            <w:pPr>
              <w:spacing w:before="240" w:line="240" w:lineRule="auto"/>
              <w:rPr>
                <w:b/>
                <w:color w:val="FFFFFF" w:themeColor="background1"/>
              </w:rPr>
            </w:pPr>
            <w:r w:rsidRPr="003D53D9">
              <w:rPr>
                <w:b/>
                <w:color w:val="FFFFFF" w:themeColor="background1"/>
              </w:rPr>
              <w:t>Q</w:t>
            </w:r>
            <w:r w:rsidR="00336532" w:rsidRPr="003D53D9">
              <w:rPr>
                <w:b/>
                <w:color w:val="FFFFFF" w:themeColor="background1"/>
              </w:rPr>
              <w:t xml:space="preserve">UESTIONNAIRE </w:t>
            </w:r>
            <w:r w:rsidR="00E3125E">
              <w:rPr>
                <w:b/>
                <w:color w:val="FFFFFF" w:themeColor="background1"/>
              </w:rPr>
              <w:t>7</w:t>
            </w:r>
            <w:r w:rsidR="00831B96" w:rsidRPr="003D53D9">
              <w:rPr>
                <w:b/>
                <w:color w:val="FFFFFF" w:themeColor="background1"/>
              </w:rPr>
              <w:t xml:space="preserve"> – </w:t>
            </w:r>
            <w:r w:rsidRPr="003D53D9">
              <w:rPr>
                <w:b/>
                <w:color w:val="FFFFFF" w:themeColor="background1"/>
              </w:rPr>
              <w:t>PRICE</w:t>
            </w:r>
          </w:p>
        </w:tc>
        <w:tc>
          <w:tcPr>
            <w:tcW w:w="2410" w:type="dxa"/>
            <w:shd w:val="clear" w:color="auto" w:fill="000000" w:themeFill="text1"/>
            <w:vAlign w:val="center"/>
          </w:tcPr>
          <w:p w14:paraId="07CECAE6" w14:textId="77538F96" w:rsidR="000C1EA7" w:rsidRPr="000C1EA7" w:rsidRDefault="000C1EA7" w:rsidP="00475D1C">
            <w:pPr>
              <w:spacing w:before="240" w:line="240" w:lineRule="auto"/>
              <w:ind w:left="-391" w:firstLine="391"/>
              <w:jc w:val="right"/>
              <w:rPr>
                <w:b/>
                <w:color w:val="FFFFFF" w:themeColor="background1"/>
              </w:rPr>
            </w:pPr>
            <w:r w:rsidRPr="000C1EA7">
              <w:rPr>
                <w:b/>
                <w:color w:val="FFFFFF" w:themeColor="background1"/>
              </w:rPr>
              <w:t>Weighting –</w:t>
            </w:r>
            <w:r w:rsidR="001B783C">
              <w:rPr>
                <w:b/>
                <w:color w:val="FFFFFF" w:themeColor="background1"/>
              </w:rPr>
              <w:t xml:space="preserve"> </w:t>
            </w:r>
            <w:r w:rsidR="00475D1C" w:rsidRPr="00475D1C">
              <w:rPr>
                <w:b/>
                <w:color w:val="FFFFFF" w:themeColor="background1"/>
              </w:rPr>
              <w:t>40</w:t>
            </w:r>
            <w:r w:rsidRPr="00475D1C">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3D53D9" w:rsidRDefault="000C1EA7" w:rsidP="00831B96">
            <w:pPr>
              <w:spacing w:after="0" w:line="240" w:lineRule="auto"/>
              <w:rPr>
                <w:b/>
                <w:sz w:val="20"/>
                <w:szCs w:val="20"/>
              </w:rPr>
            </w:pPr>
            <w:r w:rsidRPr="003D53D9">
              <w:rPr>
                <w:b/>
                <w:sz w:val="20"/>
                <w:szCs w:val="20"/>
              </w:rPr>
              <w:t>GUIDANCE</w:t>
            </w:r>
          </w:p>
        </w:tc>
        <w:tc>
          <w:tcPr>
            <w:tcW w:w="8247" w:type="dxa"/>
            <w:gridSpan w:val="2"/>
            <w:shd w:val="clear" w:color="auto" w:fill="FFFFFF" w:themeFill="background1"/>
          </w:tcPr>
          <w:p w14:paraId="48C5E39B" w14:textId="02EE6985" w:rsidR="000C1EA7" w:rsidRPr="003D53D9" w:rsidRDefault="000C1EA7" w:rsidP="00831B96">
            <w:pPr>
              <w:spacing w:after="0" w:line="240" w:lineRule="auto"/>
            </w:pPr>
            <w:r w:rsidRPr="003D53D9">
              <w:t>Potential Providers must enter costs within the relevant Bid Fields</w:t>
            </w:r>
            <w:r w:rsidR="003D53D9" w:rsidRPr="003D53D9">
              <w:t>.</w:t>
            </w:r>
          </w:p>
          <w:p w14:paraId="0169A5F3" w14:textId="77777777" w:rsidR="00943DAE" w:rsidRPr="003D53D9" w:rsidRDefault="00943DAE" w:rsidP="00831B96">
            <w:pPr>
              <w:spacing w:after="0" w:line="240" w:lineRule="auto"/>
            </w:pPr>
          </w:p>
          <w:p w14:paraId="4D101A84" w14:textId="29CD2901" w:rsidR="00943DAE" w:rsidRPr="003D53D9" w:rsidRDefault="00943DAE" w:rsidP="00831B96">
            <w:pPr>
              <w:spacing w:after="0" w:line="240" w:lineRule="auto"/>
            </w:pPr>
            <w:r w:rsidRPr="003D53D9">
              <w:t>Prices should be submitted in pounds Sterling inclusive of any expenses but exclusive of VAT.</w:t>
            </w:r>
          </w:p>
          <w:p w14:paraId="6AB992A3" w14:textId="77777777" w:rsidR="0070789D" w:rsidRPr="003D53D9" w:rsidRDefault="0070789D" w:rsidP="00831B96">
            <w:pPr>
              <w:spacing w:after="0" w:line="240" w:lineRule="auto"/>
            </w:pPr>
          </w:p>
          <w:p w14:paraId="0DB8D805" w14:textId="77777777" w:rsidR="0070789D" w:rsidRDefault="00F464DC" w:rsidP="00831B96">
            <w:pPr>
              <w:spacing w:after="0" w:line="240" w:lineRule="auto"/>
            </w:pPr>
            <w:r w:rsidRPr="003D53D9">
              <w:t>Potential P</w:t>
            </w:r>
            <w:r w:rsidR="0070789D" w:rsidRPr="003D53D9">
              <w:t>roviders will be marked in accordance with the marking scheme at Section 2.</w:t>
            </w:r>
          </w:p>
          <w:p w14:paraId="0743EF6B" w14:textId="77777777" w:rsidR="001B783C" w:rsidRDefault="001B783C" w:rsidP="00831B96">
            <w:pPr>
              <w:spacing w:after="0" w:line="240" w:lineRule="auto"/>
            </w:pPr>
          </w:p>
          <w:p w14:paraId="61C804FF" w14:textId="6DBE021A" w:rsidR="001B783C" w:rsidRPr="004A6B98" w:rsidRDefault="004A6B98" w:rsidP="00831B96">
            <w:pPr>
              <w:spacing w:after="0" w:line="240" w:lineRule="auto"/>
            </w:pPr>
            <w:r>
              <w:rPr>
                <w:noProof/>
                <w:lang w:eastAsia="en-GB"/>
              </w:rPr>
              <w:drawing>
                <wp:inline distT="0" distB="0" distL="0" distR="0" wp14:anchorId="5742A0E5" wp14:editId="235778B2">
                  <wp:extent cx="5057775" cy="2192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06" t="33151" r="65545" b="24715"/>
                          <a:stretch/>
                        </pic:blipFill>
                        <pic:spPr bwMode="auto">
                          <a:xfrm>
                            <a:off x="0" y="0"/>
                            <a:ext cx="5081236" cy="2202472"/>
                          </a:xfrm>
                          <a:prstGeom prst="rect">
                            <a:avLst/>
                          </a:prstGeom>
                          <a:ln>
                            <a:noFill/>
                          </a:ln>
                          <a:extLst>
                            <a:ext uri="{53640926-AAD7-44D8-BBD7-CCE9431645EC}">
                              <a14:shadowObscured xmlns:a14="http://schemas.microsoft.com/office/drawing/2010/main"/>
                            </a:ext>
                          </a:extLst>
                        </pic:spPr>
                      </pic:pic>
                    </a:graphicData>
                  </a:graphic>
                </wp:inline>
              </w:drawing>
            </w:r>
          </w:p>
        </w:tc>
      </w:tr>
      <w:tr w:rsidR="000C1EA7" w14:paraId="6159C5A7" w14:textId="77777777" w:rsidTr="00831B96">
        <w:tc>
          <w:tcPr>
            <w:tcW w:w="1359" w:type="dxa"/>
            <w:shd w:val="clear" w:color="auto" w:fill="D9D9D9" w:themeFill="background1" w:themeFillShade="D9"/>
            <w:vAlign w:val="center"/>
          </w:tcPr>
          <w:p w14:paraId="015B07D8" w14:textId="4E0E32FE" w:rsidR="000C1EA7" w:rsidRPr="003D53D9" w:rsidRDefault="004515C5" w:rsidP="00831B96">
            <w:pPr>
              <w:spacing w:after="0" w:line="240" w:lineRule="auto"/>
              <w:jc w:val="center"/>
            </w:pPr>
            <w:r w:rsidRPr="003D53D9">
              <w:t xml:space="preserve">Question </w:t>
            </w:r>
            <w:r w:rsidR="00831B96" w:rsidRPr="003D53D9">
              <w:t>Number</w:t>
            </w:r>
          </w:p>
        </w:tc>
        <w:tc>
          <w:tcPr>
            <w:tcW w:w="5837" w:type="dxa"/>
            <w:shd w:val="clear" w:color="auto" w:fill="D9D9D9" w:themeFill="background1" w:themeFillShade="D9"/>
            <w:vAlign w:val="center"/>
          </w:tcPr>
          <w:p w14:paraId="1C48A869" w14:textId="3AA00D7E" w:rsidR="000C1EA7" w:rsidRPr="003D53D9" w:rsidRDefault="004515C5" w:rsidP="00831B96">
            <w:pPr>
              <w:spacing w:line="240" w:lineRule="auto"/>
              <w:jc w:val="center"/>
            </w:pPr>
            <w:r w:rsidRPr="003D53D9">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70987E0D" w14:textId="77777777" w:rsidR="000C1EA7" w:rsidRDefault="000C1EA7" w:rsidP="002339C2">
            <w:pPr>
              <w:spacing w:line="240" w:lineRule="auto"/>
            </w:pPr>
          </w:p>
          <w:p w14:paraId="2528BAE0" w14:textId="77777777" w:rsidR="002339C2" w:rsidRDefault="002339C2" w:rsidP="002339C2">
            <w:pPr>
              <w:spacing w:line="240" w:lineRule="auto"/>
            </w:pPr>
          </w:p>
          <w:p w14:paraId="4C00877F" w14:textId="4C10C2FC" w:rsidR="002339C2" w:rsidRPr="003D53D9" w:rsidRDefault="00E3125E" w:rsidP="002339C2">
            <w:pPr>
              <w:jc w:val="center"/>
            </w:pPr>
            <w:r>
              <w:t>7</w:t>
            </w:r>
            <w:r w:rsidR="002339C2">
              <w:t>.1</w:t>
            </w:r>
          </w:p>
        </w:tc>
        <w:tc>
          <w:tcPr>
            <w:tcW w:w="5837" w:type="dxa"/>
          </w:tcPr>
          <w:p w14:paraId="4B5B03FA" w14:textId="038A171F" w:rsidR="000C1EA7" w:rsidRPr="003D53D9" w:rsidRDefault="00943DAE" w:rsidP="004B61CE">
            <w:pPr>
              <w:spacing w:line="240" w:lineRule="auto"/>
            </w:pPr>
            <w:r w:rsidRPr="003D53D9">
              <w:t xml:space="preserve">Please confirm, by selecting ‘YES’ that you have </w:t>
            </w:r>
            <w:r w:rsidR="00F41778" w:rsidRPr="003D53D9">
              <w:t xml:space="preserve">attached a completed Price Schedule </w:t>
            </w:r>
            <w:r w:rsidR="004B61CE">
              <w:t>in</w:t>
            </w:r>
            <w:r w:rsidR="00F41778" w:rsidRPr="003D53D9">
              <w:t xml:space="preserve"> response to this question</w:t>
            </w:r>
            <w:r w:rsidR="003D53D9" w:rsidRPr="003D53D9">
              <w:t>.</w:t>
            </w:r>
            <w:r w:rsidR="00F41778" w:rsidRPr="003D53D9">
              <w:t xml:space="preserve"> In so doing, you are also confirming that prices offered are inclusive o</w:t>
            </w:r>
            <w:r w:rsidR="001C0C3F" w:rsidRPr="003D53D9">
              <w:t>f any expenses, exclusive of VAT</w:t>
            </w:r>
            <w:r w:rsidR="00F41778" w:rsidRPr="003D53D9">
              <w:t xml:space="preserve"> and firm for a period of 90 days following the Deadline for Submission.</w:t>
            </w:r>
          </w:p>
        </w:tc>
        <w:tc>
          <w:tcPr>
            <w:tcW w:w="2410" w:type="dxa"/>
          </w:tcPr>
          <w:p w14:paraId="7DB47CC9" w14:textId="1A6118B0" w:rsidR="000C1EA7" w:rsidRDefault="00EC34AD" w:rsidP="00EC34AD">
            <w:pPr>
              <w:spacing w:line="240" w:lineRule="auto"/>
              <w:jc w:val="center"/>
            </w:pPr>
            <w:r>
              <w:t>100</w:t>
            </w:r>
            <w:r w:rsidR="004B61CE">
              <w:t>%</w:t>
            </w:r>
          </w:p>
        </w:tc>
      </w:tr>
    </w:tbl>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4"/>
      <w:footerReference w:type="default" r:id="rId15"/>
      <w:headerReference w:type="first" r:id="rId16"/>
      <w:footerReference w:type="first" r:id="rId17"/>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06FEA" w14:textId="77777777" w:rsidR="000F7B33" w:rsidRDefault="000F7B33">
      <w:pPr>
        <w:spacing w:after="0" w:line="240" w:lineRule="auto"/>
      </w:pPr>
      <w:r>
        <w:separator/>
      </w:r>
    </w:p>
  </w:endnote>
  <w:endnote w:type="continuationSeparator" w:id="0">
    <w:p w14:paraId="610DA701" w14:textId="77777777" w:rsidR="000F7B33" w:rsidRDefault="000F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D33192" w:rsidRDefault="00D33192" w:rsidP="00BD4A1D">
    <w:pPr>
      <w:pStyle w:val="Footer"/>
      <w:pBdr>
        <w:top w:val="single" w:sz="6" w:space="1" w:color="auto"/>
      </w:pBdr>
      <w:tabs>
        <w:tab w:val="right" w:pos="8647"/>
      </w:tabs>
      <w:rPr>
        <w:sz w:val="16"/>
        <w:szCs w:val="16"/>
      </w:rPr>
    </w:pPr>
  </w:p>
  <w:p w14:paraId="34EEED2F" w14:textId="77777777" w:rsidR="00D33192" w:rsidRDefault="00D33192" w:rsidP="00C67CA1">
    <w:pPr>
      <w:pStyle w:val="Footer"/>
      <w:jc w:val="center"/>
    </w:pPr>
    <w:r>
      <w:t>OFFICIAL</w:t>
    </w:r>
  </w:p>
  <w:p w14:paraId="4D0E06AE" w14:textId="77777777" w:rsidR="00D33192" w:rsidRDefault="00D33192" w:rsidP="00C67CA1">
    <w:pPr>
      <w:pStyle w:val="Footer"/>
    </w:pPr>
    <w:r>
      <w:t>Appendix D – Response Guidance</w:t>
    </w:r>
  </w:p>
  <w:p w14:paraId="2E231C8D" w14:textId="53B58984" w:rsidR="00D33192" w:rsidRDefault="00B5366F" w:rsidP="00C67CA1">
    <w:pPr>
      <w:pStyle w:val="Footer"/>
    </w:pPr>
    <w:r>
      <w:t>Emily Barrow</w:t>
    </w:r>
  </w:p>
  <w:p w14:paraId="140B10D0" w14:textId="71862FDD" w:rsidR="00D33192" w:rsidRDefault="00901A76" w:rsidP="00C67CA1">
    <w:pPr>
      <w:pStyle w:val="Footer"/>
      <w:jc w:val="right"/>
    </w:pPr>
    <w:r>
      <w:t>V1.</w:t>
    </w:r>
    <w:r w:rsidR="00620C8C">
      <w:t>0</w:t>
    </w:r>
    <w:r w:rsidR="000217A3">
      <w:t xml:space="preserve"> </w:t>
    </w:r>
    <w:r w:rsidR="00984EDD">
      <w:t>1</w:t>
    </w:r>
    <w:r w:rsidR="00EF6A0D">
      <w:t>7</w:t>
    </w:r>
    <w:r w:rsidR="00B5366F">
      <w:t>/06/16</w:t>
    </w:r>
  </w:p>
  <w:p w14:paraId="0790A8E6" w14:textId="77777777" w:rsidR="00D33192" w:rsidRDefault="000F7B33" w:rsidP="00C67CA1">
    <w:pPr>
      <w:pStyle w:val="Footer"/>
      <w:jc w:val="center"/>
    </w:pPr>
    <w:sdt>
      <w:sdtPr>
        <w:id w:val="-1105721636"/>
        <w:docPartObj>
          <w:docPartGallery w:val="Page Numbers (Bottom of Page)"/>
          <w:docPartUnique/>
        </w:docPartObj>
      </w:sdtPr>
      <w:sdtEndPr>
        <w:rPr>
          <w:noProof/>
        </w:rPr>
      </w:sdtEndPr>
      <w:sdtContent>
        <w:r w:rsidR="00D33192">
          <w:fldChar w:fldCharType="begin"/>
        </w:r>
        <w:r w:rsidR="00D33192">
          <w:instrText xml:space="preserve"> PAGE   \* MERGEFORMAT </w:instrText>
        </w:r>
        <w:r w:rsidR="00D33192">
          <w:fldChar w:fldCharType="separate"/>
        </w:r>
        <w:r w:rsidR="009B7F83">
          <w:rPr>
            <w:noProof/>
          </w:rPr>
          <w:t>1</w:t>
        </w:r>
        <w:r w:rsidR="00D33192">
          <w:rPr>
            <w:noProof/>
          </w:rPr>
          <w:fldChar w:fldCharType="end"/>
        </w:r>
      </w:sdtContent>
    </w:sdt>
  </w:p>
  <w:p w14:paraId="278CD5DE" w14:textId="77777777" w:rsidR="00D33192" w:rsidRDefault="00D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D33192" w:rsidRDefault="00D33192" w:rsidP="00CF7C82">
    <w:pPr>
      <w:pStyle w:val="Footer"/>
      <w:pBdr>
        <w:top w:val="single" w:sz="4" w:space="1" w:color="auto"/>
      </w:pBdr>
      <w:jc w:val="center"/>
    </w:pPr>
    <w:r>
      <w:t>OFFICIAL</w:t>
    </w:r>
  </w:p>
  <w:p w14:paraId="62072C58" w14:textId="3BD7C74C" w:rsidR="00D33192" w:rsidRDefault="00D33192" w:rsidP="00CF7C82">
    <w:pPr>
      <w:pStyle w:val="Footer"/>
      <w:pBdr>
        <w:top w:val="single" w:sz="4" w:space="1" w:color="auto"/>
      </w:pBdr>
    </w:pPr>
    <w:r>
      <w:t>Appendix D – Response Guidance</w:t>
    </w:r>
  </w:p>
  <w:p w14:paraId="46335F31" w14:textId="6FDBB77D" w:rsidR="00D33192" w:rsidRDefault="00D3319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D33192" w:rsidRDefault="00D33192" w:rsidP="00CF7C82">
    <w:pPr>
      <w:pStyle w:val="Footer"/>
      <w:pBdr>
        <w:top w:val="single" w:sz="4" w:space="1" w:color="auto"/>
      </w:pBdr>
      <w:jc w:val="right"/>
    </w:pPr>
    <w:r>
      <w:t>V0.6 19/11/15</w:t>
    </w:r>
  </w:p>
  <w:p w14:paraId="4DA9F036" w14:textId="4559D95A" w:rsidR="00D33192" w:rsidRDefault="00D33192" w:rsidP="00C67CA1">
    <w:pPr>
      <w:pStyle w:val="Footer"/>
      <w:jc w:val="center"/>
    </w:pPr>
  </w:p>
  <w:p w14:paraId="2A10DA50" w14:textId="77777777" w:rsidR="00D33192" w:rsidRDefault="00D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7B07E" w14:textId="77777777" w:rsidR="000F7B33" w:rsidRDefault="000F7B33">
      <w:pPr>
        <w:spacing w:after="0" w:line="240" w:lineRule="auto"/>
      </w:pPr>
      <w:r>
        <w:separator/>
      </w:r>
    </w:p>
  </w:footnote>
  <w:footnote w:type="continuationSeparator" w:id="0">
    <w:p w14:paraId="29892C12" w14:textId="77777777" w:rsidR="000F7B33" w:rsidRDefault="000F7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D33192" w:rsidRPr="00923A7D" w:rsidRDefault="00D33192" w:rsidP="00C67CA1">
    <w:pPr>
      <w:pStyle w:val="Header"/>
      <w:spacing w:after="0"/>
      <w:jc w:val="center"/>
    </w:pPr>
    <w:r w:rsidRPr="00923A7D">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23A7D">
      <w:t>OFFICIAL</w:t>
    </w:r>
  </w:p>
  <w:p w14:paraId="24AFA076" w14:textId="24A42A49" w:rsidR="00D33192" w:rsidRPr="00923A7D" w:rsidRDefault="00D33192" w:rsidP="008D2A67">
    <w:pPr>
      <w:pStyle w:val="Header"/>
      <w:tabs>
        <w:tab w:val="clear" w:pos="4513"/>
        <w:tab w:val="clear" w:pos="9026"/>
        <w:tab w:val="left" w:pos="1884"/>
        <w:tab w:val="center" w:pos="4153"/>
        <w:tab w:val="center" w:pos="4680"/>
        <w:tab w:val="right" w:pos="8306"/>
      </w:tabs>
      <w:spacing w:after="0" w:line="240" w:lineRule="auto"/>
      <w:jc w:val="center"/>
      <w:rPr>
        <w:rFonts w:eastAsia="SimSun"/>
        <w:szCs w:val="24"/>
        <w:lang w:eastAsia="zh-CN"/>
      </w:rPr>
    </w:pPr>
    <w:r w:rsidRPr="00923A7D">
      <w:rPr>
        <w:rFonts w:eastAsia="SimSun"/>
        <w:szCs w:val="24"/>
        <w:lang w:eastAsia="zh-CN"/>
      </w:rPr>
      <w:t>Appendix D – Response Guidance</w:t>
    </w:r>
  </w:p>
  <w:p w14:paraId="4E831A7B" w14:textId="77777777" w:rsidR="008D2A67" w:rsidRPr="00923A7D" w:rsidRDefault="008D2A67" w:rsidP="008D2A67">
    <w:pPr>
      <w:pStyle w:val="Header"/>
      <w:tabs>
        <w:tab w:val="clear" w:pos="4513"/>
        <w:tab w:val="clear" w:pos="9026"/>
        <w:tab w:val="left" w:pos="1884"/>
        <w:tab w:val="center" w:pos="4153"/>
        <w:tab w:val="center" w:pos="4680"/>
        <w:tab w:val="right" w:pos="8306"/>
      </w:tabs>
      <w:spacing w:after="0" w:line="240" w:lineRule="auto"/>
      <w:jc w:val="center"/>
      <w:rPr>
        <w:rFonts w:eastAsia="SimSun"/>
        <w:szCs w:val="24"/>
        <w:lang w:eastAsia="zh-CN"/>
      </w:rPr>
    </w:pPr>
    <w:r w:rsidRPr="00923A7D">
      <w:rPr>
        <w:rFonts w:eastAsia="SimSun"/>
        <w:szCs w:val="24"/>
        <w:lang w:eastAsia="zh-CN"/>
      </w:rPr>
      <w:t>The Provision of Roleplay Actors for the College of Policing</w:t>
    </w:r>
  </w:p>
  <w:p w14:paraId="69D7780E" w14:textId="169BCFF4" w:rsidR="008D2A67" w:rsidRPr="00923A7D" w:rsidRDefault="008D2A67" w:rsidP="008D2A67">
    <w:pPr>
      <w:pStyle w:val="Header"/>
      <w:tabs>
        <w:tab w:val="clear" w:pos="4513"/>
        <w:tab w:val="clear" w:pos="9026"/>
        <w:tab w:val="left" w:pos="1884"/>
        <w:tab w:val="center" w:pos="4153"/>
        <w:tab w:val="center" w:pos="4680"/>
        <w:tab w:val="right" w:pos="8306"/>
      </w:tabs>
      <w:spacing w:after="0" w:line="240" w:lineRule="auto"/>
      <w:jc w:val="center"/>
      <w:rPr>
        <w:rFonts w:eastAsia="SimSun"/>
        <w:szCs w:val="24"/>
        <w:lang w:eastAsia="zh-CN"/>
      </w:rPr>
    </w:pPr>
    <w:r w:rsidRPr="00923A7D">
      <w:rPr>
        <w:rFonts w:eastAsia="SimSun"/>
        <w:szCs w:val="24"/>
        <w:lang w:eastAsia="zh-CN"/>
      </w:rPr>
      <w:t>SO19095</w:t>
    </w:r>
  </w:p>
  <w:p w14:paraId="0A259F9C" w14:textId="501CD4CB" w:rsidR="008D2A67" w:rsidRPr="008D2A67" w:rsidRDefault="009B7F83" w:rsidP="008D2A67">
    <w:pPr>
      <w:pStyle w:val="Header"/>
      <w:tabs>
        <w:tab w:val="clear" w:pos="4513"/>
        <w:tab w:val="clear" w:pos="9026"/>
        <w:tab w:val="left" w:pos="1884"/>
        <w:tab w:val="center" w:pos="4153"/>
        <w:tab w:val="center" w:pos="4680"/>
        <w:tab w:val="right" w:pos="8306"/>
      </w:tabs>
      <w:spacing w:after="0" w:line="240" w:lineRule="auto"/>
      <w:jc w:val="center"/>
      <w:rPr>
        <w:rFonts w:eastAsia="SimSun"/>
        <w:color w:val="FF0000"/>
        <w:szCs w:val="24"/>
        <w:lang w:eastAsia="zh-CN"/>
      </w:rPr>
    </w:pPr>
    <w:r>
      <w:rPr>
        <w:rFonts w:eastAsia="SimSun"/>
        <w:szCs w:val="24"/>
        <w:lang w:eastAsia="zh-CN"/>
      </w:rPr>
      <w:t>20</w:t>
    </w:r>
    <w:r w:rsidR="00901A76" w:rsidRPr="00620C8C">
      <w:rPr>
        <w:rFonts w:eastAsia="SimSun"/>
        <w:szCs w:val="24"/>
        <w:lang w:eastAsia="zh-CN"/>
      </w:rPr>
      <w:t>/06/</w:t>
    </w:r>
    <w:r w:rsidR="008D2A67" w:rsidRPr="00620C8C">
      <w:rPr>
        <w:rFonts w:eastAsia="SimSun"/>
        <w:szCs w:val="24"/>
        <w:lang w:eastAsia="zh-CN"/>
      </w:rPr>
      <w:t>16</w:t>
    </w:r>
  </w:p>
  <w:p w14:paraId="648AC685" w14:textId="0BCE5282" w:rsidR="00D33192" w:rsidRDefault="00D33192">
    <w:pPr>
      <w:pStyle w:val="Header"/>
    </w:pPr>
    <w:r>
      <w:rPr>
        <w:noProof/>
        <w:sz w:val="20"/>
        <w:szCs w:val="20"/>
        <w:lang w:eastAsia="en-GB"/>
      </w:rPr>
      <mc:AlternateContent>
        <mc:Choice Requires="wps">
          <w:drawing>
            <wp:anchor distT="0" distB="0" distL="114300" distR="114300" simplePos="0" relativeHeight="251668480"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90366"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D33192" w:rsidRDefault="00D33192"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D33192" w:rsidRDefault="00D33192" w:rsidP="00A840F2">
    <w:pPr>
      <w:pStyle w:val="Header"/>
      <w:spacing w:after="0"/>
      <w:jc w:val="center"/>
    </w:pPr>
    <w:r w:rsidRPr="00B51DFB">
      <w:t>Appendix D – Response Guidance</w:t>
    </w:r>
  </w:p>
  <w:p w14:paraId="5F46E552" w14:textId="2F08581A" w:rsidR="00D33192" w:rsidRPr="001F656C" w:rsidRDefault="00D3319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D33192" w:rsidRDefault="00D3319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D33192" w:rsidRPr="00F547BA" w:rsidRDefault="00D3319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9A961"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41EC"/>
    <w:multiLevelType w:val="hybridMultilevel"/>
    <w:tmpl w:val="41AE10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51E14"/>
    <w:multiLevelType w:val="hybridMultilevel"/>
    <w:tmpl w:val="41AE10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74751F"/>
    <w:multiLevelType w:val="hybridMultilevel"/>
    <w:tmpl w:val="41AE10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C6427"/>
    <w:multiLevelType w:val="hybridMultilevel"/>
    <w:tmpl w:val="1D16146E"/>
    <w:lvl w:ilvl="0" w:tplc="B73298BC">
      <w:start w:val="1"/>
      <w:numFmt w:val="lowerLetter"/>
      <w:lvlText w:val="%1)"/>
      <w:lvlJc w:val="left"/>
      <w:pPr>
        <w:ind w:left="1865" w:hanging="360"/>
      </w:pPr>
      <w:rPr>
        <w:rFonts w:eastAsia="Arial" w:hint="default"/>
      </w:rPr>
    </w:lvl>
    <w:lvl w:ilvl="1" w:tplc="04DCE788" w:tentative="1">
      <w:start w:val="1"/>
      <w:numFmt w:val="lowerLetter"/>
      <w:lvlText w:val="%2."/>
      <w:lvlJc w:val="left"/>
      <w:pPr>
        <w:ind w:left="2585" w:hanging="360"/>
      </w:pPr>
    </w:lvl>
    <w:lvl w:ilvl="2" w:tplc="01EE85C2" w:tentative="1">
      <w:start w:val="1"/>
      <w:numFmt w:val="lowerRoman"/>
      <w:lvlText w:val="%3."/>
      <w:lvlJc w:val="right"/>
      <w:pPr>
        <w:ind w:left="3305" w:hanging="180"/>
      </w:pPr>
    </w:lvl>
    <w:lvl w:ilvl="3" w:tplc="C73851E0" w:tentative="1">
      <w:start w:val="1"/>
      <w:numFmt w:val="decimal"/>
      <w:lvlText w:val="%4."/>
      <w:lvlJc w:val="left"/>
      <w:pPr>
        <w:ind w:left="4025" w:hanging="360"/>
      </w:pPr>
    </w:lvl>
    <w:lvl w:ilvl="4" w:tplc="4DB441EA" w:tentative="1">
      <w:start w:val="1"/>
      <w:numFmt w:val="lowerLetter"/>
      <w:lvlText w:val="%5."/>
      <w:lvlJc w:val="left"/>
      <w:pPr>
        <w:ind w:left="4745" w:hanging="360"/>
      </w:pPr>
    </w:lvl>
    <w:lvl w:ilvl="5" w:tplc="FB466EC2" w:tentative="1">
      <w:start w:val="1"/>
      <w:numFmt w:val="lowerRoman"/>
      <w:lvlText w:val="%6."/>
      <w:lvlJc w:val="right"/>
      <w:pPr>
        <w:ind w:left="5465" w:hanging="180"/>
      </w:pPr>
    </w:lvl>
    <w:lvl w:ilvl="6" w:tplc="95705130" w:tentative="1">
      <w:start w:val="1"/>
      <w:numFmt w:val="decimal"/>
      <w:lvlText w:val="%7."/>
      <w:lvlJc w:val="left"/>
      <w:pPr>
        <w:ind w:left="6185" w:hanging="360"/>
      </w:pPr>
    </w:lvl>
    <w:lvl w:ilvl="7" w:tplc="187C95A2" w:tentative="1">
      <w:start w:val="1"/>
      <w:numFmt w:val="lowerLetter"/>
      <w:lvlText w:val="%8."/>
      <w:lvlJc w:val="left"/>
      <w:pPr>
        <w:ind w:left="6905" w:hanging="360"/>
      </w:pPr>
    </w:lvl>
    <w:lvl w:ilvl="8" w:tplc="E8082D04" w:tentative="1">
      <w:start w:val="1"/>
      <w:numFmt w:val="lowerRoman"/>
      <w:lvlText w:val="%9."/>
      <w:lvlJc w:val="right"/>
      <w:pPr>
        <w:ind w:left="7625" w:hanging="180"/>
      </w:pPr>
    </w:lvl>
  </w:abstractNum>
  <w:num w:numId="1">
    <w:abstractNumId w:val="11"/>
  </w:num>
  <w:num w:numId="2">
    <w:abstractNumId w:val="14"/>
  </w:num>
  <w:num w:numId="3">
    <w:abstractNumId w:val="8"/>
  </w:num>
  <w:num w:numId="4">
    <w:abstractNumId w:val="5"/>
  </w:num>
  <w:num w:numId="5">
    <w:abstractNumId w:val="4"/>
  </w:num>
  <w:num w:numId="6">
    <w:abstractNumId w:val="13"/>
  </w:num>
  <w:num w:numId="7">
    <w:abstractNumId w:val="12"/>
  </w:num>
  <w:num w:numId="8">
    <w:abstractNumId w:val="2"/>
  </w:num>
  <w:num w:numId="9">
    <w:abstractNumId w:val="7"/>
  </w:num>
  <w:num w:numId="10">
    <w:abstractNumId w:val="10"/>
  </w:num>
  <w:num w:numId="11">
    <w:abstractNumId w:val="6"/>
  </w:num>
  <w:num w:numId="12">
    <w:abstractNumId w:val="15"/>
  </w:num>
  <w:num w:numId="13">
    <w:abstractNumId w:val="1"/>
  </w:num>
  <w:num w:numId="14">
    <w:abstractNumId w:val="3"/>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55090"/>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1A79"/>
    <w:rsid w:val="000D3530"/>
    <w:rsid w:val="000D6259"/>
    <w:rsid w:val="000D7AA8"/>
    <w:rsid w:val="000D7CB3"/>
    <w:rsid w:val="000D7EC9"/>
    <w:rsid w:val="000E2278"/>
    <w:rsid w:val="000F11B7"/>
    <w:rsid w:val="000F273C"/>
    <w:rsid w:val="000F32D5"/>
    <w:rsid w:val="000F7B33"/>
    <w:rsid w:val="001005DC"/>
    <w:rsid w:val="001024F5"/>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B783C"/>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00F3"/>
    <w:rsid w:val="002245DD"/>
    <w:rsid w:val="002275E1"/>
    <w:rsid w:val="0022770A"/>
    <w:rsid w:val="002339C2"/>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71BF"/>
    <w:rsid w:val="003C2ECD"/>
    <w:rsid w:val="003C3F0E"/>
    <w:rsid w:val="003C516E"/>
    <w:rsid w:val="003C5620"/>
    <w:rsid w:val="003C6E58"/>
    <w:rsid w:val="003D473E"/>
    <w:rsid w:val="003D53D9"/>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75D1C"/>
    <w:rsid w:val="004801B9"/>
    <w:rsid w:val="00485A4C"/>
    <w:rsid w:val="004875BB"/>
    <w:rsid w:val="0049111F"/>
    <w:rsid w:val="0049138F"/>
    <w:rsid w:val="0049349F"/>
    <w:rsid w:val="0049644C"/>
    <w:rsid w:val="00497629"/>
    <w:rsid w:val="004A01F7"/>
    <w:rsid w:val="004A17E9"/>
    <w:rsid w:val="004A255C"/>
    <w:rsid w:val="004A48B8"/>
    <w:rsid w:val="004A6024"/>
    <w:rsid w:val="004A6B98"/>
    <w:rsid w:val="004A71AD"/>
    <w:rsid w:val="004A7E77"/>
    <w:rsid w:val="004B0DD9"/>
    <w:rsid w:val="004B61CE"/>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019"/>
    <w:rsid w:val="00595AB2"/>
    <w:rsid w:val="005A0E78"/>
    <w:rsid w:val="005A1361"/>
    <w:rsid w:val="005A262B"/>
    <w:rsid w:val="005A4D39"/>
    <w:rsid w:val="005A576E"/>
    <w:rsid w:val="005A5DFA"/>
    <w:rsid w:val="005A7683"/>
    <w:rsid w:val="005A76E8"/>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0C8C"/>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4AEE"/>
    <w:rsid w:val="007057DB"/>
    <w:rsid w:val="007065BF"/>
    <w:rsid w:val="0070789D"/>
    <w:rsid w:val="00710B4F"/>
    <w:rsid w:val="00712BEC"/>
    <w:rsid w:val="00714E0F"/>
    <w:rsid w:val="007205F1"/>
    <w:rsid w:val="00722DC6"/>
    <w:rsid w:val="00723BBD"/>
    <w:rsid w:val="00723BC9"/>
    <w:rsid w:val="00723DB5"/>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07EC"/>
    <w:rsid w:val="008023F4"/>
    <w:rsid w:val="00802BA9"/>
    <w:rsid w:val="008168BB"/>
    <w:rsid w:val="00816DAA"/>
    <w:rsid w:val="00817D04"/>
    <w:rsid w:val="008206FA"/>
    <w:rsid w:val="00823C32"/>
    <w:rsid w:val="00823ECA"/>
    <w:rsid w:val="00824FD0"/>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2204"/>
    <w:rsid w:val="008C3FBE"/>
    <w:rsid w:val="008C57D0"/>
    <w:rsid w:val="008C6134"/>
    <w:rsid w:val="008C66F3"/>
    <w:rsid w:val="008C7B95"/>
    <w:rsid w:val="008C7C65"/>
    <w:rsid w:val="008D1509"/>
    <w:rsid w:val="008D217E"/>
    <w:rsid w:val="008D2A67"/>
    <w:rsid w:val="008D5A66"/>
    <w:rsid w:val="008E0679"/>
    <w:rsid w:val="008E1348"/>
    <w:rsid w:val="008E18A8"/>
    <w:rsid w:val="008E35BA"/>
    <w:rsid w:val="008E4A6C"/>
    <w:rsid w:val="008E5B2E"/>
    <w:rsid w:val="008E5DB4"/>
    <w:rsid w:val="008F347E"/>
    <w:rsid w:val="008F45C5"/>
    <w:rsid w:val="008F490B"/>
    <w:rsid w:val="009003C2"/>
    <w:rsid w:val="009013B8"/>
    <w:rsid w:val="00901A76"/>
    <w:rsid w:val="00906BEF"/>
    <w:rsid w:val="00911735"/>
    <w:rsid w:val="00912E69"/>
    <w:rsid w:val="0091324B"/>
    <w:rsid w:val="00915333"/>
    <w:rsid w:val="00915932"/>
    <w:rsid w:val="00916BE1"/>
    <w:rsid w:val="00916E84"/>
    <w:rsid w:val="00920D7E"/>
    <w:rsid w:val="00921B01"/>
    <w:rsid w:val="00922808"/>
    <w:rsid w:val="0092280D"/>
    <w:rsid w:val="00923A7D"/>
    <w:rsid w:val="00923F4D"/>
    <w:rsid w:val="00925EC2"/>
    <w:rsid w:val="00926388"/>
    <w:rsid w:val="00926521"/>
    <w:rsid w:val="00930F24"/>
    <w:rsid w:val="009338CF"/>
    <w:rsid w:val="00935ADB"/>
    <w:rsid w:val="00936DF8"/>
    <w:rsid w:val="00941689"/>
    <w:rsid w:val="0094196D"/>
    <w:rsid w:val="00942879"/>
    <w:rsid w:val="00943DAE"/>
    <w:rsid w:val="00945618"/>
    <w:rsid w:val="00952011"/>
    <w:rsid w:val="00952EA4"/>
    <w:rsid w:val="00953729"/>
    <w:rsid w:val="009542A3"/>
    <w:rsid w:val="00957856"/>
    <w:rsid w:val="00961178"/>
    <w:rsid w:val="00962A9D"/>
    <w:rsid w:val="00971930"/>
    <w:rsid w:val="00975684"/>
    <w:rsid w:val="00976FDC"/>
    <w:rsid w:val="0098213A"/>
    <w:rsid w:val="00982432"/>
    <w:rsid w:val="00983FE8"/>
    <w:rsid w:val="00984866"/>
    <w:rsid w:val="00984EDD"/>
    <w:rsid w:val="0098600D"/>
    <w:rsid w:val="00986728"/>
    <w:rsid w:val="00987DA0"/>
    <w:rsid w:val="009957D7"/>
    <w:rsid w:val="00997E25"/>
    <w:rsid w:val="009A16FE"/>
    <w:rsid w:val="009A6515"/>
    <w:rsid w:val="009A6A26"/>
    <w:rsid w:val="009B6491"/>
    <w:rsid w:val="009B7F83"/>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6A52"/>
    <w:rsid w:val="00A6718E"/>
    <w:rsid w:val="00A7484B"/>
    <w:rsid w:val="00A76194"/>
    <w:rsid w:val="00A820B6"/>
    <w:rsid w:val="00A83C37"/>
    <w:rsid w:val="00A840F2"/>
    <w:rsid w:val="00A842AD"/>
    <w:rsid w:val="00A8581B"/>
    <w:rsid w:val="00A9020C"/>
    <w:rsid w:val="00A93B28"/>
    <w:rsid w:val="00AA0DF8"/>
    <w:rsid w:val="00AA1526"/>
    <w:rsid w:val="00AA6073"/>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366F"/>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6F0F"/>
    <w:rsid w:val="00B97B4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07B1A"/>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393B"/>
    <w:rsid w:val="00C54286"/>
    <w:rsid w:val="00C62CA5"/>
    <w:rsid w:val="00C6498D"/>
    <w:rsid w:val="00C67CA1"/>
    <w:rsid w:val="00C70015"/>
    <w:rsid w:val="00C72792"/>
    <w:rsid w:val="00C74FA6"/>
    <w:rsid w:val="00C77FB4"/>
    <w:rsid w:val="00C811EA"/>
    <w:rsid w:val="00C828DE"/>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4838"/>
    <w:rsid w:val="00CE6A1C"/>
    <w:rsid w:val="00CE768E"/>
    <w:rsid w:val="00CF4D17"/>
    <w:rsid w:val="00CF55AD"/>
    <w:rsid w:val="00CF7867"/>
    <w:rsid w:val="00CF7B02"/>
    <w:rsid w:val="00CF7C82"/>
    <w:rsid w:val="00D00EE6"/>
    <w:rsid w:val="00D01802"/>
    <w:rsid w:val="00D02BFD"/>
    <w:rsid w:val="00D05C9E"/>
    <w:rsid w:val="00D05E83"/>
    <w:rsid w:val="00D11BF0"/>
    <w:rsid w:val="00D1383B"/>
    <w:rsid w:val="00D16821"/>
    <w:rsid w:val="00D2087A"/>
    <w:rsid w:val="00D30092"/>
    <w:rsid w:val="00D30D45"/>
    <w:rsid w:val="00D30D79"/>
    <w:rsid w:val="00D33192"/>
    <w:rsid w:val="00D3492C"/>
    <w:rsid w:val="00D36DA7"/>
    <w:rsid w:val="00D36FB6"/>
    <w:rsid w:val="00D40EFC"/>
    <w:rsid w:val="00D41205"/>
    <w:rsid w:val="00D4207E"/>
    <w:rsid w:val="00D45398"/>
    <w:rsid w:val="00D46EA6"/>
    <w:rsid w:val="00D507BF"/>
    <w:rsid w:val="00D529C1"/>
    <w:rsid w:val="00D53AE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532F"/>
    <w:rsid w:val="00DA7D13"/>
    <w:rsid w:val="00DB46CD"/>
    <w:rsid w:val="00DC05C2"/>
    <w:rsid w:val="00DC19D0"/>
    <w:rsid w:val="00DC1BA4"/>
    <w:rsid w:val="00DC6B36"/>
    <w:rsid w:val="00DD4F03"/>
    <w:rsid w:val="00DD6B29"/>
    <w:rsid w:val="00DD6E47"/>
    <w:rsid w:val="00DD76C9"/>
    <w:rsid w:val="00DE31B2"/>
    <w:rsid w:val="00DE5A8D"/>
    <w:rsid w:val="00DE644F"/>
    <w:rsid w:val="00DF04D5"/>
    <w:rsid w:val="00DF2235"/>
    <w:rsid w:val="00DF5C5E"/>
    <w:rsid w:val="00E01B8F"/>
    <w:rsid w:val="00E029C6"/>
    <w:rsid w:val="00E2022D"/>
    <w:rsid w:val="00E22728"/>
    <w:rsid w:val="00E237E3"/>
    <w:rsid w:val="00E23944"/>
    <w:rsid w:val="00E30543"/>
    <w:rsid w:val="00E3125E"/>
    <w:rsid w:val="00E31C23"/>
    <w:rsid w:val="00E34EB2"/>
    <w:rsid w:val="00E3617C"/>
    <w:rsid w:val="00E42008"/>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EF6A0D"/>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3A3F"/>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HeaderChar1">
    <w:name w:val="Header Char1"/>
    <w:rsid w:val="008D2A67"/>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2D67F6EB-32BC-458A-88E9-E8C99D64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Barrow</dc:creator>
  <cp:lastModifiedBy>Rhys Cooke</cp:lastModifiedBy>
  <cp:revision>5</cp:revision>
  <dcterms:created xsi:type="dcterms:W3CDTF">2016-06-16T15:18:00Z</dcterms:created>
  <dcterms:modified xsi:type="dcterms:W3CDTF">2016-06-20T13:57:00Z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