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C3ADF" w14:textId="147E4705" w:rsidR="00576608" w:rsidRPr="0077725E" w:rsidRDefault="00576608" w:rsidP="00576608">
      <w:pPr>
        <w:pStyle w:val="Heading1"/>
        <w:spacing w:line="240" w:lineRule="auto"/>
        <w:rPr>
          <w:sz w:val="24"/>
          <w:szCs w:val="24"/>
        </w:rPr>
      </w:pPr>
      <w:bookmarkStart w:id="0" w:name="_Toc343591381"/>
      <w:bookmarkStart w:id="1" w:name="_Toc33194107"/>
      <w:r w:rsidRPr="0077725E">
        <w:rPr>
          <w:sz w:val="24"/>
          <w:szCs w:val="24"/>
        </w:rPr>
        <w:t xml:space="preserve">SCHEDULE </w:t>
      </w:r>
      <w:r w:rsidR="00480E3A" w:rsidRPr="00AD3DC3">
        <w:rPr>
          <w:i/>
          <w:sz w:val="24"/>
          <w:szCs w:val="24"/>
          <w:highlight w:val="yellow"/>
        </w:rPr>
        <w:t>XX</w:t>
      </w:r>
      <w:r w:rsidRPr="0077725E">
        <w:rPr>
          <w:sz w:val="24"/>
          <w:szCs w:val="24"/>
        </w:rPr>
        <w:t xml:space="preserve"> – THE SERVICES</w:t>
      </w:r>
      <w:bookmarkEnd w:id="0"/>
      <w:bookmarkEnd w:id="1"/>
    </w:p>
    <w:p w14:paraId="487B4D69" w14:textId="77777777" w:rsidR="00576608" w:rsidRPr="0077725E" w:rsidRDefault="00576608" w:rsidP="00576608">
      <w:pPr>
        <w:widowControl w:val="0"/>
        <w:spacing w:after="0"/>
        <w:jc w:val="center"/>
        <w:rPr>
          <w:rFonts w:ascii="Arial" w:hAnsi="Arial" w:cs="Arial"/>
          <w:b/>
          <w:bCs/>
          <w:szCs w:val="24"/>
        </w:rPr>
      </w:pPr>
      <w:bookmarkStart w:id="2" w:name="_GoBack"/>
      <w:bookmarkEnd w:id="2"/>
    </w:p>
    <w:p w14:paraId="3D558B2A" w14:textId="77777777" w:rsidR="00576608" w:rsidRPr="0077725E" w:rsidRDefault="00576608" w:rsidP="00576608">
      <w:pPr>
        <w:pStyle w:val="ListParagraph"/>
        <w:numPr>
          <w:ilvl w:val="0"/>
          <w:numId w:val="1"/>
        </w:numPr>
        <w:ind w:left="0" w:firstLine="0"/>
        <w:contextualSpacing/>
        <w:jc w:val="center"/>
        <w:outlineLvl w:val="1"/>
        <w:rPr>
          <w:rFonts w:ascii="Arial" w:hAnsi="Arial" w:cs="Arial"/>
          <w:b/>
        </w:rPr>
      </w:pPr>
      <w:bookmarkStart w:id="3" w:name="_Toc343591382"/>
      <w:bookmarkStart w:id="4" w:name="_Toc33194108"/>
      <w:r w:rsidRPr="0077725E">
        <w:rPr>
          <w:rFonts w:ascii="Arial" w:hAnsi="Arial" w:cs="Arial"/>
          <w:b/>
        </w:rPr>
        <w:t>Service Specifications</w:t>
      </w:r>
      <w:bookmarkEnd w:id="3"/>
      <w:bookmarkEnd w:id="4"/>
    </w:p>
    <w:p w14:paraId="15C891D1" w14:textId="77777777" w:rsidR="00576608" w:rsidRPr="0077725E" w:rsidRDefault="00576608" w:rsidP="00576608">
      <w:pPr>
        <w:shd w:val="clear" w:color="auto" w:fill="FFFFFF" w:themeFill="background1"/>
        <w:spacing w:after="0"/>
        <w:jc w:val="both"/>
        <w:rPr>
          <w:rFonts w:ascii="Arial" w:hAnsi="Arial" w:cs="Arial"/>
          <w:szCs w:val="24"/>
        </w:rPr>
      </w:pPr>
    </w:p>
    <w:p w14:paraId="4A8EC44F" w14:textId="77777777" w:rsidR="00576608" w:rsidRPr="0077725E" w:rsidRDefault="00576608" w:rsidP="00576608">
      <w:pPr>
        <w:spacing w:after="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576608" w:rsidRPr="00055807" w14:paraId="397B1013" w14:textId="77777777" w:rsidTr="004F24A0">
        <w:tc>
          <w:tcPr>
            <w:tcW w:w="2970" w:type="dxa"/>
            <w:shd w:val="clear" w:color="auto" w:fill="auto"/>
          </w:tcPr>
          <w:p w14:paraId="620DEC2E" w14:textId="77777777" w:rsidR="00576608" w:rsidRPr="0077725E" w:rsidRDefault="00576608" w:rsidP="004F24A0">
            <w:pPr>
              <w:spacing w:after="0" w:line="360" w:lineRule="auto"/>
              <w:rPr>
                <w:rFonts w:ascii="Arial" w:hAnsi="Arial" w:cs="Arial"/>
                <w:b/>
                <w:szCs w:val="24"/>
              </w:rPr>
            </w:pPr>
            <w:r w:rsidRPr="0077725E">
              <w:rPr>
                <w:rFonts w:ascii="Arial" w:hAnsi="Arial" w:cs="Arial"/>
                <w:b/>
                <w:szCs w:val="24"/>
              </w:rPr>
              <w:t>Service Specification No.</w:t>
            </w:r>
          </w:p>
        </w:tc>
        <w:tc>
          <w:tcPr>
            <w:tcW w:w="5444" w:type="dxa"/>
            <w:shd w:val="clear" w:color="auto" w:fill="auto"/>
          </w:tcPr>
          <w:p w14:paraId="4B2A869D" w14:textId="686BA387" w:rsidR="00576608" w:rsidRPr="0077725E" w:rsidRDefault="00480E3A" w:rsidP="004F24A0">
            <w:pPr>
              <w:spacing w:after="0"/>
              <w:rPr>
                <w:rFonts w:ascii="Arial" w:hAnsi="Arial" w:cs="Arial"/>
                <w:szCs w:val="24"/>
              </w:rPr>
            </w:pPr>
            <w:r w:rsidRPr="00893EC9">
              <w:rPr>
                <w:rFonts w:ascii="Arial" w:hAnsi="Arial" w:cs="Arial"/>
                <w:szCs w:val="24"/>
                <w:highlight w:val="cyan"/>
              </w:rPr>
              <w:t xml:space="preserve">DRAFT </w:t>
            </w:r>
            <w:r w:rsidR="00893EC9" w:rsidRPr="00893EC9">
              <w:rPr>
                <w:rFonts w:ascii="Arial" w:hAnsi="Arial" w:cs="Arial"/>
                <w:szCs w:val="24"/>
                <w:highlight w:val="cyan"/>
              </w:rPr>
              <w:t>Market Engagement Process -published 05</w:t>
            </w:r>
            <w:r w:rsidR="00893EC9" w:rsidRPr="00893EC9">
              <w:rPr>
                <w:rFonts w:ascii="Arial" w:hAnsi="Arial" w:cs="Arial"/>
                <w:szCs w:val="24"/>
                <w:highlight w:val="cyan"/>
                <w:vertAlign w:val="superscript"/>
              </w:rPr>
              <w:t>th</w:t>
            </w:r>
            <w:r w:rsidR="00893EC9" w:rsidRPr="00893EC9">
              <w:rPr>
                <w:rFonts w:ascii="Arial" w:hAnsi="Arial" w:cs="Arial"/>
                <w:szCs w:val="24"/>
                <w:highlight w:val="cyan"/>
              </w:rPr>
              <w:t xml:space="preserve"> August 2020</w:t>
            </w:r>
          </w:p>
        </w:tc>
      </w:tr>
      <w:tr w:rsidR="00576608" w:rsidRPr="00055807" w14:paraId="10988939" w14:textId="77777777" w:rsidTr="004F24A0">
        <w:tc>
          <w:tcPr>
            <w:tcW w:w="2970" w:type="dxa"/>
            <w:shd w:val="clear" w:color="auto" w:fill="auto"/>
          </w:tcPr>
          <w:p w14:paraId="412476FA" w14:textId="77777777" w:rsidR="00576608" w:rsidRPr="0077725E" w:rsidRDefault="00576608" w:rsidP="004F24A0">
            <w:pPr>
              <w:spacing w:after="0" w:line="360" w:lineRule="auto"/>
              <w:rPr>
                <w:rFonts w:ascii="Arial" w:hAnsi="Arial" w:cs="Arial"/>
                <w:b/>
                <w:szCs w:val="24"/>
              </w:rPr>
            </w:pPr>
            <w:r w:rsidRPr="0077725E">
              <w:rPr>
                <w:rFonts w:ascii="Arial" w:hAnsi="Arial" w:cs="Arial"/>
                <w:b/>
                <w:szCs w:val="24"/>
              </w:rPr>
              <w:t>Service</w:t>
            </w:r>
          </w:p>
        </w:tc>
        <w:tc>
          <w:tcPr>
            <w:tcW w:w="5444" w:type="dxa"/>
            <w:shd w:val="clear" w:color="auto" w:fill="auto"/>
          </w:tcPr>
          <w:p w14:paraId="2EF53900" w14:textId="223445A8" w:rsidR="00576608" w:rsidRPr="0077725E" w:rsidRDefault="00C36128" w:rsidP="004F24A0">
            <w:pPr>
              <w:spacing w:after="0"/>
              <w:rPr>
                <w:rFonts w:ascii="Arial" w:hAnsi="Arial" w:cs="Arial"/>
                <w:szCs w:val="24"/>
              </w:rPr>
            </w:pPr>
            <w:bookmarkStart w:id="5" w:name="_Hlk44058526"/>
            <w:r w:rsidRPr="0077725E">
              <w:rPr>
                <w:rFonts w:ascii="Arial" w:hAnsi="Arial" w:cs="Arial"/>
                <w:szCs w:val="24"/>
              </w:rPr>
              <w:t xml:space="preserve">Genomic </w:t>
            </w:r>
            <w:r w:rsidR="005E6643" w:rsidRPr="0077725E">
              <w:rPr>
                <w:rFonts w:ascii="Arial" w:hAnsi="Arial" w:cs="Arial"/>
                <w:szCs w:val="24"/>
              </w:rPr>
              <w:t>Laboratory</w:t>
            </w:r>
            <w:r w:rsidRPr="0077725E">
              <w:rPr>
                <w:rFonts w:ascii="Arial" w:hAnsi="Arial" w:cs="Arial"/>
                <w:szCs w:val="24"/>
              </w:rPr>
              <w:t xml:space="preserve"> </w:t>
            </w:r>
            <w:r w:rsidR="000A6CA6" w:rsidRPr="0077725E">
              <w:rPr>
                <w:rFonts w:ascii="Arial" w:hAnsi="Arial" w:cs="Arial"/>
                <w:szCs w:val="24"/>
              </w:rPr>
              <w:t>Non-invasive prenatal testing (NIPT)</w:t>
            </w:r>
            <w:bookmarkEnd w:id="5"/>
            <w:r w:rsidR="001B0FE8" w:rsidRPr="0077725E">
              <w:rPr>
                <w:rFonts w:ascii="Arial" w:hAnsi="Arial" w:cs="Arial"/>
                <w:szCs w:val="24"/>
              </w:rPr>
              <w:t xml:space="preserve"> </w:t>
            </w:r>
            <w:r w:rsidR="005E6643" w:rsidRPr="0077725E">
              <w:rPr>
                <w:rFonts w:ascii="Arial" w:hAnsi="Arial" w:cs="Arial"/>
                <w:szCs w:val="24"/>
              </w:rPr>
              <w:t>Service</w:t>
            </w:r>
          </w:p>
        </w:tc>
      </w:tr>
      <w:tr w:rsidR="00576608" w:rsidRPr="00055807" w14:paraId="30997E98" w14:textId="77777777" w:rsidTr="004F24A0">
        <w:tc>
          <w:tcPr>
            <w:tcW w:w="2970" w:type="dxa"/>
            <w:shd w:val="clear" w:color="auto" w:fill="auto"/>
          </w:tcPr>
          <w:p w14:paraId="46D5097A" w14:textId="77777777" w:rsidR="00576608" w:rsidRPr="0077725E" w:rsidRDefault="00576608" w:rsidP="004F24A0">
            <w:pPr>
              <w:spacing w:after="0" w:line="360" w:lineRule="auto"/>
              <w:rPr>
                <w:rFonts w:ascii="Arial" w:hAnsi="Arial" w:cs="Arial"/>
                <w:b/>
                <w:szCs w:val="24"/>
              </w:rPr>
            </w:pPr>
            <w:r w:rsidRPr="0077725E">
              <w:rPr>
                <w:rFonts w:ascii="Arial" w:hAnsi="Arial" w:cs="Arial"/>
                <w:b/>
                <w:szCs w:val="24"/>
              </w:rPr>
              <w:t>Commissioner Lead</w:t>
            </w:r>
          </w:p>
        </w:tc>
        <w:tc>
          <w:tcPr>
            <w:tcW w:w="5444" w:type="dxa"/>
            <w:shd w:val="clear" w:color="auto" w:fill="auto"/>
          </w:tcPr>
          <w:p w14:paraId="75D968E1" w14:textId="77777777" w:rsidR="00576608" w:rsidRPr="0077725E" w:rsidRDefault="000A6CA6" w:rsidP="004F24A0">
            <w:pPr>
              <w:spacing w:after="0"/>
              <w:rPr>
                <w:rFonts w:ascii="Arial" w:hAnsi="Arial" w:cs="Arial"/>
                <w:szCs w:val="24"/>
              </w:rPr>
            </w:pPr>
            <w:r w:rsidRPr="00AD3DC3">
              <w:rPr>
                <w:rFonts w:ascii="Arial" w:hAnsi="Arial" w:cs="Arial"/>
                <w:i/>
                <w:szCs w:val="24"/>
                <w:highlight w:val="yellow"/>
              </w:rPr>
              <w:t>NAME</w:t>
            </w:r>
            <w:r w:rsidRPr="0077725E">
              <w:rPr>
                <w:rFonts w:ascii="Arial" w:hAnsi="Arial" w:cs="Arial"/>
                <w:szCs w:val="24"/>
              </w:rPr>
              <w:t>, Public Health England</w:t>
            </w:r>
            <w:r w:rsidR="00113B1B" w:rsidRPr="0077725E">
              <w:rPr>
                <w:rFonts w:ascii="Arial" w:hAnsi="Arial" w:cs="Arial"/>
                <w:szCs w:val="24"/>
              </w:rPr>
              <w:t xml:space="preserve"> (PHE)</w:t>
            </w:r>
          </w:p>
        </w:tc>
      </w:tr>
      <w:tr w:rsidR="00576608" w:rsidRPr="00055807" w14:paraId="27ACC98D" w14:textId="77777777" w:rsidTr="004F24A0">
        <w:tc>
          <w:tcPr>
            <w:tcW w:w="2970" w:type="dxa"/>
            <w:shd w:val="clear" w:color="auto" w:fill="auto"/>
          </w:tcPr>
          <w:p w14:paraId="0B9A54A1" w14:textId="77777777" w:rsidR="00576608" w:rsidRPr="0077725E" w:rsidRDefault="00576608" w:rsidP="004F24A0">
            <w:pPr>
              <w:spacing w:after="0" w:line="360" w:lineRule="auto"/>
              <w:rPr>
                <w:rFonts w:ascii="Arial" w:hAnsi="Arial" w:cs="Arial"/>
                <w:b/>
                <w:szCs w:val="24"/>
              </w:rPr>
            </w:pPr>
            <w:r w:rsidRPr="0077725E">
              <w:rPr>
                <w:rFonts w:ascii="Arial" w:hAnsi="Arial" w:cs="Arial"/>
                <w:b/>
                <w:szCs w:val="24"/>
              </w:rPr>
              <w:t>Provider Lead</w:t>
            </w:r>
          </w:p>
        </w:tc>
        <w:tc>
          <w:tcPr>
            <w:tcW w:w="5444" w:type="dxa"/>
            <w:shd w:val="clear" w:color="auto" w:fill="auto"/>
          </w:tcPr>
          <w:p w14:paraId="3AAD5BF0" w14:textId="551209A5" w:rsidR="00576608" w:rsidRPr="00AD3DC3" w:rsidRDefault="00EF209A" w:rsidP="004F24A0">
            <w:pPr>
              <w:spacing w:after="0"/>
              <w:rPr>
                <w:rFonts w:ascii="Arial" w:hAnsi="Arial" w:cs="Arial"/>
                <w:i/>
                <w:szCs w:val="24"/>
                <w:highlight w:val="yellow"/>
              </w:rPr>
            </w:pPr>
            <w:r w:rsidRPr="00AD3DC3">
              <w:rPr>
                <w:rFonts w:ascii="Arial" w:hAnsi="Arial" w:cs="Arial"/>
                <w:i/>
                <w:szCs w:val="24"/>
                <w:highlight w:val="yellow"/>
              </w:rPr>
              <w:t xml:space="preserve">TBC via </w:t>
            </w:r>
            <w:r w:rsidR="00655B31" w:rsidRPr="00AD3DC3">
              <w:rPr>
                <w:rFonts w:ascii="Arial" w:hAnsi="Arial" w:cs="Arial"/>
                <w:i/>
                <w:szCs w:val="24"/>
                <w:highlight w:val="yellow"/>
              </w:rPr>
              <w:t>Procurement Process(es)</w:t>
            </w:r>
          </w:p>
        </w:tc>
      </w:tr>
      <w:tr w:rsidR="00576608" w:rsidRPr="00055807" w14:paraId="47EA16E8" w14:textId="77777777" w:rsidTr="004F24A0">
        <w:tc>
          <w:tcPr>
            <w:tcW w:w="2970" w:type="dxa"/>
            <w:shd w:val="clear" w:color="auto" w:fill="auto"/>
          </w:tcPr>
          <w:p w14:paraId="2ABCE504" w14:textId="77777777" w:rsidR="00576608" w:rsidRPr="0077725E" w:rsidRDefault="00576608" w:rsidP="004F24A0">
            <w:pPr>
              <w:spacing w:after="0" w:line="360" w:lineRule="auto"/>
              <w:rPr>
                <w:rFonts w:ascii="Arial" w:hAnsi="Arial" w:cs="Arial"/>
                <w:b/>
                <w:szCs w:val="24"/>
              </w:rPr>
            </w:pPr>
            <w:r w:rsidRPr="0077725E">
              <w:rPr>
                <w:rFonts w:ascii="Arial" w:hAnsi="Arial" w:cs="Arial"/>
                <w:b/>
                <w:szCs w:val="24"/>
              </w:rPr>
              <w:t>Period</w:t>
            </w:r>
          </w:p>
        </w:tc>
        <w:tc>
          <w:tcPr>
            <w:tcW w:w="5444" w:type="dxa"/>
            <w:shd w:val="clear" w:color="auto" w:fill="auto"/>
          </w:tcPr>
          <w:p w14:paraId="2BAA862C" w14:textId="77777777" w:rsidR="00576608" w:rsidRPr="00AD3DC3" w:rsidRDefault="008A706B" w:rsidP="004F24A0">
            <w:pPr>
              <w:spacing w:after="0"/>
              <w:rPr>
                <w:rFonts w:ascii="Arial" w:hAnsi="Arial" w:cs="Arial"/>
                <w:i/>
                <w:szCs w:val="24"/>
              </w:rPr>
            </w:pPr>
            <w:r w:rsidRPr="00AD3DC3">
              <w:rPr>
                <w:rFonts w:ascii="Arial" w:hAnsi="Arial" w:cs="Arial"/>
                <w:i/>
                <w:szCs w:val="24"/>
                <w:highlight w:val="yellow"/>
              </w:rPr>
              <w:t>01</w:t>
            </w:r>
            <w:r w:rsidR="00E70710" w:rsidRPr="00AD3DC3">
              <w:rPr>
                <w:rFonts w:ascii="Arial" w:hAnsi="Arial" w:cs="Arial"/>
                <w:i/>
                <w:szCs w:val="24"/>
                <w:highlight w:val="yellow"/>
              </w:rPr>
              <w:t>/04/2021 – 31/03/2024</w:t>
            </w:r>
          </w:p>
        </w:tc>
      </w:tr>
      <w:tr w:rsidR="00576608" w:rsidRPr="00055807" w14:paraId="3D0C6ABE" w14:textId="77777777" w:rsidTr="004F24A0">
        <w:tc>
          <w:tcPr>
            <w:tcW w:w="2970" w:type="dxa"/>
            <w:shd w:val="clear" w:color="auto" w:fill="auto"/>
          </w:tcPr>
          <w:p w14:paraId="7A7DA2B6" w14:textId="77777777" w:rsidR="00576608" w:rsidRPr="0077725E" w:rsidRDefault="00576608" w:rsidP="004F24A0">
            <w:pPr>
              <w:spacing w:after="0" w:line="360" w:lineRule="auto"/>
              <w:rPr>
                <w:rFonts w:ascii="Arial" w:hAnsi="Arial" w:cs="Arial"/>
                <w:b/>
                <w:szCs w:val="24"/>
              </w:rPr>
            </w:pPr>
            <w:r w:rsidRPr="0077725E">
              <w:rPr>
                <w:rFonts w:ascii="Arial" w:hAnsi="Arial" w:cs="Arial"/>
                <w:b/>
                <w:szCs w:val="24"/>
              </w:rPr>
              <w:t>Date of Review</w:t>
            </w:r>
          </w:p>
        </w:tc>
        <w:tc>
          <w:tcPr>
            <w:tcW w:w="5444" w:type="dxa"/>
            <w:shd w:val="clear" w:color="auto" w:fill="auto"/>
          </w:tcPr>
          <w:p w14:paraId="40D8178E" w14:textId="7B06364C" w:rsidR="00576608" w:rsidRPr="00AD3DC3" w:rsidRDefault="00E70710" w:rsidP="004F24A0">
            <w:pPr>
              <w:spacing w:after="0"/>
              <w:rPr>
                <w:rFonts w:ascii="Arial" w:hAnsi="Arial" w:cs="Arial"/>
                <w:i/>
                <w:szCs w:val="24"/>
                <w:highlight w:val="yellow"/>
              </w:rPr>
            </w:pPr>
            <w:r w:rsidRPr="00AD3DC3">
              <w:rPr>
                <w:rFonts w:ascii="Arial" w:hAnsi="Arial" w:cs="Arial"/>
                <w:i/>
                <w:szCs w:val="24"/>
                <w:highlight w:val="yellow"/>
              </w:rPr>
              <w:t xml:space="preserve">As detailed throughout specification </w:t>
            </w:r>
            <w:r w:rsidR="00AD3DC3" w:rsidRPr="00AD3DC3">
              <w:rPr>
                <w:rFonts w:ascii="Arial" w:hAnsi="Arial" w:cs="Arial"/>
                <w:i/>
                <w:szCs w:val="24"/>
                <w:highlight w:val="yellow"/>
              </w:rPr>
              <w:t xml:space="preserve">and TBC </w:t>
            </w:r>
          </w:p>
        </w:tc>
      </w:tr>
    </w:tbl>
    <w:p w14:paraId="2067D1CB" w14:textId="77777777" w:rsidR="00576608" w:rsidRPr="0077725E" w:rsidRDefault="00576608" w:rsidP="00576608">
      <w:pPr>
        <w:spacing w:after="0"/>
        <w:jc w:val="cente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908"/>
      </w:tblGrid>
      <w:tr w:rsidR="00576608" w:rsidRPr="00055807" w14:paraId="681DE1E0" w14:textId="77777777" w:rsidTr="00392035">
        <w:tc>
          <w:tcPr>
            <w:tcW w:w="8908" w:type="dxa"/>
            <w:shd w:val="clear" w:color="auto" w:fill="auto"/>
          </w:tcPr>
          <w:p w14:paraId="49E81942" w14:textId="77777777" w:rsidR="00576608" w:rsidRPr="0077725E" w:rsidRDefault="00576608" w:rsidP="00392035">
            <w:pPr>
              <w:pStyle w:val="Heading1"/>
              <w:numPr>
                <w:ilvl w:val="0"/>
                <w:numId w:val="20"/>
              </w:numPr>
              <w:ind w:left="342"/>
              <w:jc w:val="left"/>
              <w:rPr>
                <w:sz w:val="24"/>
                <w:szCs w:val="24"/>
              </w:rPr>
            </w:pPr>
            <w:r w:rsidRPr="0077725E">
              <w:rPr>
                <w:sz w:val="24"/>
                <w:szCs w:val="24"/>
              </w:rPr>
              <w:t>Population Needs</w:t>
            </w:r>
          </w:p>
        </w:tc>
      </w:tr>
      <w:tr w:rsidR="00576608" w:rsidRPr="00055807" w14:paraId="51D09086" w14:textId="77777777" w:rsidTr="007754A9">
        <w:tc>
          <w:tcPr>
            <w:tcW w:w="8908" w:type="dxa"/>
            <w:shd w:val="clear" w:color="auto" w:fill="auto"/>
          </w:tcPr>
          <w:p w14:paraId="5D6F339A" w14:textId="77777777" w:rsidR="00D41B0A" w:rsidRPr="0077725E" w:rsidRDefault="00D41B0A" w:rsidP="00D41B0A">
            <w:pPr>
              <w:pStyle w:val="ListParagraph"/>
              <w:ind w:left="360"/>
              <w:rPr>
                <w:rFonts w:ascii="Arial" w:hAnsi="Arial" w:cs="Arial"/>
                <w:b/>
              </w:rPr>
            </w:pPr>
          </w:p>
          <w:p w14:paraId="0E1B8400" w14:textId="77777777" w:rsidR="00CD602E" w:rsidRPr="0077725E" w:rsidRDefault="00E70710" w:rsidP="005B30EB">
            <w:pPr>
              <w:pStyle w:val="Heading2"/>
              <w:numPr>
                <w:ilvl w:val="0"/>
                <w:numId w:val="21"/>
              </w:numPr>
              <w:ind w:left="342"/>
              <w:rPr>
                <w:rFonts w:ascii="Arial" w:hAnsi="Arial" w:cs="Arial"/>
                <w:sz w:val="24"/>
                <w:szCs w:val="24"/>
              </w:rPr>
            </w:pPr>
            <w:r w:rsidRPr="0077725E">
              <w:rPr>
                <w:rFonts w:ascii="Arial" w:hAnsi="Arial" w:cs="Arial"/>
                <w:sz w:val="24"/>
                <w:szCs w:val="24"/>
              </w:rPr>
              <w:t>C</w:t>
            </w:r>
            <w:r w:rsidR="00576608" w:rsidRPr="0077725E">
              <w:rPr>
                <w:rFonts w:ascii="Arial" w:hAnsi="Arial" w:cs="Arial"/>
                <w:sz w:val="24"/>
                <w:szCs w:val="24"/>
              </w:rPr>
              <w:t>ontext and evidence base</w:t>
            </w:r>
          </w:p>
          <w:p w14:paraId="50A39A70" w14:textId="77777777" w:rsidR="00D41B0A" w:rsidRPr="0077725E" w:rsidRDefault="00D41B0A" w:rsidP="00D41B0A">
            <w:pPr>
              <w:spacing w:after="0"/>
              <w:ind w:left="720"/>
              <w:rPr>
                <w:rFonts w:ascii="Arial" w:hAnsi="Arial" w:cs="Arial"/>
                <w:szCs w:val="24"/>
              </w:rPr>
            </w:pPr>
          </w:p>
          <w:p w14:paraId="2F689B7F" w14:textId="77777777" w:rsidR="00B738C9" w:rsidRPr="0077725E" w:rsidRDefault="00B738C9" w:rsidP="00D41B0A">
            <w:pPr>
              <w:numPr>
                <w:ilvl w:val="2"/>
                <w:numId w:val="2"/>
              </w:numPr>
              <w:spacing w:after="0"/>
              <w:rPr>
                <w:rFonts w:ascii="Arial" w:hAnsi="Arial" w:cs="Arial"/>
                <w:szCs w:val="24"/>
              </w:rPr>
            </w:pPr>
            <w:r w:rsidRPr="0077725E">
              <w:rPr>
                <w:rFonts w:ascii="Arial" w:hAnsi="Arial" w:cs="Arial"/>
                <w:szCs w:val="24"/>
              </w:rPr>
              <w:t>The UK National Screening Committee (</w:t>
            </w:r>
            <w:r w:rsidR="00E90305" w:rsidRPr="0077725E">
              <w:rPr>
                <w:rFonts w:ascii="Arial" w:hAnsi="Arial" w:cs="Arial"/>
                <w:szCs w:val="24"/>
              </w:rPr>
              <w:t>UK NSC</w:t>
            </w:r>
            <w:r w:rsidRPr="0077725E">
              <w:rPr>
                <w:rFonts w:ascii="Arial" w:hAnsi="Arial" w:cs="Arial"/>
                <w:szCs w:val="24"/>
              </w:rPr>
              <w:t>), through the</w:t>
            </w:r>
            <w:r w:rsidR="008E0BE1" w:rsidRPr="0077725E">
              <w:rPr>
                <w:rFonts w:ascii="Arial" w:hAnsi="Arial" w:cs="Arial"/>
                <w:szCs w:val="24"/>
              </w:rPr>
              <w:t xml:space="preserve"> NHS</w:t>
            </w:r>
            <w:r w:rsidRPr="0077725E">
              <w:rPr>
                <w:rFonts w:ascii="Arial" w:hAnsi="Arial" w:cs="Arial"/>
                <w:szCs w:val="24"/>
              </w:rPr>
              <w:t xml:space="preserve"> </w:t>
            </w:r>
            <w:bookmarkStart w:id="6" w:name="_Hlk41565578"/>
            <w:r w:rsidRPr="0077725E">
              <w:rPr>
                <w:rFonts w:ascii="Arial" w:hAnsi="Arial" w:cs="Arial"/>
                <w:szCs w:val="24"/>
              </w:rPr>
              <w:t xml:space="preserve">Fetal Anomaly Screening </w:t>
            </w:r>
            <w:proofErr w:type="spellStart"/>
            <w:r w:rsidRPr="0077725E">
              <w:rPr>
                <w:rFonts w:ascii="Arial" w:hAnsi="Arial" w:cs="Arial"/>
                <w:szCs w:val="24"/>
              </w:rPr>
              <w:t>Programme</w:t>
            </w:r>
            <w:proofErr w:type="spellEnd"/>
            <w:r w:rsidRPr="0077725E">
              <w:rPr>
                <w:rFonts w:ascii="Arial" w:hAnsi="Arial" w:cs="Arial"/>
                <w:szCs w:val="24"/>
              </w:rPr>
              <w:t xml:space="preserve"> </w:t>
            </w:r>
            <w:bookmarkEnd w:id="6"/>
            <w:r w:rsidR="008E0BE1" w:rsidRPr="0077725E">
              <w:rPr>
                <w:rFonts w:ascii="Arial" w:hAnsi="Arial" w:cs="Arial"/>
                <w:szCs w:val="24"/>
              </w:rPr>
              <w:t xml:space="preserve">(NHS FASP) </w:t>
            </w:r>
            <w:r w:rsidRPr="0077725E">
              <w:rPr>
                <w:rFonts w:ascii="Arial" w:hAnsi="Arial" w:cs="Arial"/>
                <w:szCs w:val="24"/>
              </w:rPr>
              <w:t>has recommended that NIPT be assessed as an additional option to the current screening pathway for Down’s syndrome, Edwards’ syndrome and Patau’s syndrome for women with chance results greater than or equal to 1 in 150 (1 in 2 to 1 in 150).</w:t>
            </w:r>
            <w:bookmarkStart w:id="7" w:name="_Ref501464846"/>
            <w:r w:rsidRPr="0077725E">
              <w:rPr>
                <w:rFonts w:ascii="Arial" w:hAnsi="Arial" w:cs="Arial"/>
                <w:szCs w:val="24"/>
              </w:rPr>
              <w:t xml:space="preserve"> </w:t>
            </w:r>
          </w:p>
          <w:p w14:paraId="5B2224B0" w14:textId="77777777" w:rsidR="00B738C9" w:rsidRPr="0077725E" w:rsidRDefault="00B738C9" w:rsidP="00D41B0A">
            <w:pPr>
              <w:pStyle w:val="ListParagraph"/>
              <w:numPr>
                <w:ilvl w:val="2"/>
                <w:numId w:val="2"/>
              </w:numPr>
              <w:rPr>
                <w:rFonts w:ascii="Arial" w:eastAsiaTheme="minorEastAsia" w:hAnsi="Arial" w:cs="Arial"/>
                <w:lang w:val="en-US" w:eastAsia="ja-JP"/>
              </w:rPr>
            </w:pPr>
            <w:r w:rsidRPr="0077725E">
              <w:rPr>
                <w:rFonts w:ascii="Arial" w:eastAsiaTheme="minorEastAsia" w:hAnsi="Arial" w:cs="Arial"/>
                <w:lang w:val="en-US" w:eastAsia="ja-JP"/>
              </w:rPr>
              <w:t>The recommendation from the UK NSC is to undertake an evaluative approach to introducing the offer of NIPT, as an additional option, for those women with a higher chance result of 1 in 2</w:t>
            </w:r>
            <w:r w:rsidR="00C72F85" w:rsidRPr="0077725E">
              <w:rPr>
                <w:rFonts w:ascii="Arial" w:eastAsiaTheme="minorEastAsia" w:hAnsi="Arial" w:cs="Arial"/>
                <w:lang w:val="en-US" w:eastAsia="ja-JP"/>
              </w:rPr>
              <w:t>,</w:t>
            </w:r>
            <w:r w:rsidRPr="0077725E">
              <w:rPr>
                <w:rFonts w:ascii="Arial" w:eastAsiaTheme="minorEastAsia" w:hAnsi="Arial" w:cs="Arial"/>
                <w:lang w:val="en-US" w:eastAsia="ja-JP"/>
              </w:rPr>
              <w:t xml:space="preserve"> to 1 in 150 following combined or quadruple screening.</w:t>
            </w:r>
            <w:bookmarkEnd w:id="7"/>
          </w:p>
          <w:p w14:paraId="47E64DB4" w14:textId="0F11E882" w:rsidR="00ED4571" w:rsidRPr="0077725E" w:rsidRDefault="00B738C9" w:rsidP="00D41B0A">
            <w:pPr>
              <w:pStyle w:val="ListParagraph"/>
              <w:numPr>
                <w:ilvl w:val="2"/>
                <w:numId w:val="2"/>
              </w:numPr>
              <w:rPr>
                <w:rFonts w:ascii="Arial" w:eastAsiaTheme="minorEastAsia" w:hAnsi="Arial" w:cs="Arial"/>
                <w:lang w:val="en-US" w:eastAsia="ja-JP"/>
              </w:rPr>
            </w:pPr>
            <w:r w:rsidRPr="0077725E">
              <w:rPr>
                <w:rFonts w:ascii="Arial" w:eastAsiaTheme="minorEastAsia" w:hAnsi="Arial" w:cs="Arial"/>
                <w:lang w:val="en-US" w:eastAsia="ja-JP"/>
              </w:rPr>
              <w:t xml:space="preserve">The UK National Screening Committee ("UK NSC") commissioned a full review of the published scientific and cost evidence (systematic review) relating to NIPT, </w:t>
            </w:r>
            <w:r w:rsidR="009B1499" w:rsidRPr="0077725E">
              <w:rPr>
                <w:rFonts w:ascii="Arial" w:eastAsiaTheme="minorEastAsia" w:hAnsi="Arial" w:cs="Arial"/>
                <w:lang w:val="en-US" w:eastAsia="ja-JP"/>
              </w:rPr>
              <w:t>for information this</w:t>
            </w:r>
            <w:r w:rsidRPr="0077725E">
              <w:rPr>
                <w:rFonts w:ascii="Arial" w:eastAsiaTheme="minorEastAsia" w:hAnsi="Arial" w:cs="Arial"/>
                <w:lang w:val="en-US" w:eastAsia="ja-JP"/>
              </w:rPr>
              <w:t xml:space="preserve"> was presented to the UK NSC in June 2015.</w:t>
            </w:r>
            <w:r w:rsidR="00ED4571" w:rsidRPr="0077725E">
              <w:rPr>
                <w:rFonts w:ascii="Arial" w:eastAsiaTheme="minorEastAsia" w:hAnsi="Arial" w:cs="Arial"/>
                <w:lang w:val="en-US" w:eastAsia="ja-JP"/>
              </w:rPr>
              <w:t xml:space="preserve"> A formal announcement following the UK NSC recommendations was made by the Department of Health on 29 October 2016. </w:t>
            </w:r>
            <w:r w:rsidR="009A06E1" w:rsidRPr="0077725E">
              <w:rPr>
                <w:rFonts w:ascii="Arial" w:eastAsiaTheme="minorEastAsia" w:hAnsi="Arial" w:cs="Arial"/>
                <w:lang w:val="en-US" w:eastAsia="ja-JP"/>
              </w:rPr>
              <w:t xml:space="preserve">Please see the PDF at the </w:t>
            </w:r>
            <w:r w:rsidR="00E90305" w:rsidRPr="0077725E">
              <w:rPr>
                <w:rFonts w:ascii="Arial" w:eastAsiaTheme="minorEastAsia" w:hAnsi="Arial" w:cs="Arial"/>
                <w:lang w:val="en-US" w:eastAsia="ja-JP"/>
              </w:rPr>
              <w:t xml:space="preserve">following hyperlink for a brief summary on the purpose of NIP testing from the UK NSC; </w:t>
            </w:r>
            <w:hyperlink r:id="rId11" w:history="1">
              <w:r w:rsidR="00D41B0A" w:rsidRPr="0077725E">
                <w:rPr>
                  <w:rStyle w:val="Hyperlink"/>
                  <w:rFonts w:ascii="Arial" w:eastAsiaTheme="minorEastAsia" w:hAnsi="Arial" w:cs="Arial"/>
                  <w:lang w:val="en-US" w:eastAsia="ja-JP"/>
                </w:rPr>
                <w:t>https://legacyscreening.phe.org.uk/policydb_download.php?doc=602</w:t>
              </w:r>
            </w:hyperlink>
            <w:r w:rsidR="00D41B0A" w:rsidRPr="0077725E">
              <w:rPr>
                <w:rFonts w:ascii="Arial" w:eastAsiaTheme="minorEastAsia" w:hAnsi="Arial" w:cs="Arial"/>
                <w:lang w:val="en-US" w:eastAsia="ja-JP"/>
              </w:rPr>
              <w:t>.</w:t>
            </w:r>
            <w:r w:rsidR="00577D80" w:rsidRPr="0077725E">
              <w:rPr>
                <w:rFonts w:ascii="Arial" w:eastAsiaTheme="minorEastAsia" w:hAnsi="Arial" w:cs="Arial"/>
                <w:lang w:val="en-US" w:eastAsia="ja-JP"/>
              </w:rPr>
              <w:t xml:space="preserve"> </w:t>
            </w:r>
          </w:p>
          <w:p w14:paraId="693FBD18" w14:textId="437D9027" w:rsidR="00B738C9" w:rsidRPr="0077725E" w:rsidRDefault="00B738C9" w:rsidP="004E1FA1">
            <w:pPr>
              <w:pStyle w:val="ListParagraph"/>
              <w:numPr>
                <w:ilvl w:val="2"/>
                <w:numId w:val="2"/>
              </w:numPr>
              <w:rPr>
                <w:rFonts w:ascii="Arial" w:eastAsiaTheme="minorEastAsia" w:hAnsi="Arial" w:cs="Arial"/>
                <w:lang w:val="en-US" w:eastAsia="ja-JP"/>
              </w:rPr>
            </w:pPr>
            <w:r w:rsidRPr="0077725E">
              <w:rPr>
                <w:rFonts w:ascii="Arial" w:eastAsiaTheme="minorEastAsia" w:hAnsi="Arial" w:cs="Arial"/>
                <w:lang w:val="en-US" w:eastAsia="ja-JP"/>
              </w:rPr>
              <w:t>A further review was undertaken in 2019 to include the offer of NIPT screening in twin pregnancies as part of the evaluation roll out. In addition</w:t>
            </w:r>
            <w:r w:rsidR="00257199" w:rsidRPr="0077725E">
              <w:rPr>
                <w:rFonts w:ascii="Arial" w:eastAsiaTheme="minorEastAsia" w:hAnsi="Arial" w:cs="Arial"/>
                <w:lang w:val="en-US" w:eastAsia="ja-JP"/>
              </w:rPr>
              <w:t>,</w:t>
            </w:r>
            <w:r w:rsidRPr="0077725E">
              <w:rPr>
                <w:rFonts w:ascii="Arial" w:eastAsiaTheme="minorEastAsia" w:hAnsi="Arial" w:cs="Arial"/>
                <w:lang w:val="en-US" w:eastAsia="ja-JP"/>
              </w:rPr>
              <w:t xml:space="preserve"> the UK NSC also updated the approved technology for use in NIPT screening as an additional option to the current screening pathway for Down’s syndrome, Edwards’ syndrome and Patau’s syndrome for women with chance results greater than or equal to 1 in 150 (1 in 2</w:t>
            </w:r>
            <w:r w:rsidR="0045646F" w:rsidRPr="0077725E">
              <w:rPr>
                <w:rFonts w:ascii="Arial" w:eastAsiaTheme="minorEastAsia" w:hAnsi="Arial" w:cs="Arial"/>
                <w:lang w:val="en-US" w:eastAsia="ja-JP"/>
              </w:rPr>
              <w:t>,</w:t>
            </w:r>
            <w:r w:rsidRPr="0077725E">
              <w:rPr>
                <w:rFonts w:ascii="Arial" w:eastAsiaTheme="minorEastAsia" w:hAnsi="Arial" w:cs="Arial"/>
                <w:lang w:val="en-US" w:eastAsia="ja-JP"/>
              </w:rPr>
              <w:t xml:space="preserve"> to 1 in 150).</w:t>
            </w:r>
            <w:r w:rsidR="004E1FA1" w:rsidRPr="0077725E">
              <w:rPr>
                <w:rFonts w:ascii="Arial" w:eastAsiaTheme="minorEastAsia" w:hAnsi="Arial" w:cs="Arial"/>
                <w:lang w:val="en-US" w:eastAsia="ja-JP"/>
              </w:rPr>
              <w:t xml:space="preserve"> </w:t>
            </w:r>
            <w:r w:rsidR="009C0A64" w:rsidRPr="0077725E">
              <w:rPr>
                <w:rFonts w:ascii="Arial" w:eastAsiaTheme="minorEastAsia" w:hAnsi="Arial" w:cs="Arial"/>
              </w:rPr>
              <w:t>The Provider must</w:t>
            </w:r>
            <w:r w:rsidR="004E1FA1" w:rsidRPr="0077725E">
              <w:rPr>
                <w:rFonts w:ascii="Arial" w:eastAsiaTheme="minorEastAsia" w:hAnsi="Arial" w:cs="Arial"/>
              </w:rPr>
              <w:t xml:space="preserve"> supply the class of tests which were evaluated in the two Warwick </w:t>
            </w:r>
            <w:hyperlink r:id="rId12" w:history="1">
              <w:r w:rsidR="004E1FA1" w:rsidRPr="0077725E">
                <w:rPr>
                  <w:rStyle w:val="Hyperlink"/>
                  <w:rFonts w:ascii="Arial" w:eastAsiaTheme="minorEastAsia" w:hAnsi="Arial" w:cs="Arial"/>
                </w:rPr>
                <w:t>reviews</w:t>
              </w:r>
            </w:hyperlink>
            <w:r w:rsidR="009C0A64" w:rsidRPr="0077725E">
              <w:rPr>
                <w:rFonts w:ascii="Arial" w:eastAsiaTheme="minorEastAsia" w:hAnsi="Arial" w:cs="Arial"/>
              </w:rPr>
              <w:t xml:space="preserve">. </w:t>
            </w:r>
            <w:r w:rsidR="004E1FA1" w:rsidRPr="0077725E">
              <w:rPr>
                <w:rFonts w:ascii="Arial" w:eastAsiaTheme="minorEastAsia" w:hAnsi="Arial" w:cs="Arial"/>
              </w:rPr>
              <w:t xml:space="preserve">These were based on sequencing and microarray methodologies. Elements of the test process may be modified but the </w:t>
            </w:r>
            <w:r w:rsidR="004E1FA1" w:rsidRPr="0077725E">
              <w:rPr>
                <w:rFonts w:ascii="Arial" w:eastAsiaTheme="minorEastAsia" w:hAnsi="Arial" w:cs="Arial"/>
              </w:rPr>
              <w:lastRenderedPageBreak/>
              <w:t>overall methodology must remain sequencing and microarray based. This will be effective for the duration of the contract</w:t>
            </w:r>
          </w:p>
          <w:p w14:paraId="4D461F3B" w14:textId="3D116A44" w:rsidR="00B738C9" w:rsidRPr="0077725E" w:rsidRDefault="00B738C9" w:rsidP="00D41B0A">
            <w:pPr>
              <w:pStyle w:val="ListParagraph"/>
              <w:numPr>
                <w:ilvl w:val="2"/>
                <w:numId w:val="2"/>
              </w:numPr>
              <w:rPr>
                <w:rFonts w:ascii="Arial" w:eastAsiaTheme="minorEastAsia" w:hAnsi="Arial" w:cs="Arial"/>
                <w:lang w:val="en-US" w:eastAsia="ja-JP"/>
              </w:rPr>
            </w:pPr>
            <w:r w:rsidRPr="0077725E">
              <w:rPr>
                <w:rFonts w:ascii="Arial" w:eastAsiaTheme="minorEastAsia" w:hAnsi="Arial" w:cs="Arial"/>
                <w:lang w:val="en-US" w:eastAsia="ja-JP"/>
              </w:rPr>
              <w:t xml:space="preserve">NIPT is a technique that can be </w:t>
            </w:r>
            <w:r w:rsidR="009045CA" w:rsidRPr="0077725E">
              <w:rPr>
                <w:rFonts w:ascii="Arial" w:eastAsiaTheme="minorEastAsia" w:hAnsi="Arial" w:cs="Arial"/>
                <w:lang w:val="en-US" w:eastAsia="ja-JP"/>
              </w:rPr>
              <w:t>used to</w:t>
            </w:r>
            <w:r w:rsidRPr="0077725E">
              <w:rPr>
                <w:rFonts w:ascii="Arial" w:eastAsiaTheme="minorEastAsia" w:hAnsi="Arial" w:cs="Arial"/>
                <w:lang w:val="en-US" w:eastAsia="ja-JP"/>
              </w:rPr>
              <w:t xml:space="preserve"> screen for Down’s syndrome, Edwards’ syndrome and Patau’s syndrome during pregnancy. It involves taking a sample of blood from the pregnant woman. The mother’s blood contains a mixture of her DNA and the placental DNA. This is known as the total cell free DNA (</w:t>
            </w:r>
            <w:proofErr w:type="spellStart"/>
            <w:r w:rsidR="00B62296" w:rsidRPr="0077725E">
              <w:rPr>
                <w:rFonts w:ascii="Arial" w:eastAsiaTheme="minorEastAsia" w:hAnsi="Arial" w:cs="Arial"/>
                <w:lang w:val="en-US" w:eastAsia="ja-JP"/>
              </w:rPr>
              <w:t>cfDNA</w:t>
            </w:r>
            <w:proofErr w:type="spellEnd"/>
            <w:r w:rsidRPr="0077725E">
              <w:rPr>
                <w:rFonts w:ascii="Arial" w:eastAsiaTheme="minorEastAsia" w:hAnsi="Arial" w:cs="Arial"/>
                <w:lang w:val="en-US" w:eastAsia="ja-JP"/>
              </w:rPr>
              <w:t xml:space="preserve">). In most cases, the placental DNA will be the same as the baby’s DNA. The contribution of DNA from the placenta is called </w:t>
            </w:r>
            <w:proofErr w:type="spellStart"/>
            <w:r w:rsidR="00B62296" w:rsidRPr="0077725E">
              <w:rPr>
                <w:rFonts w:ascii="Arial" w:eastAsiaTheme="minorEastAsia" w:hAnsi="Arial" w:cs="Arial"/>
                <w:lang w:val="en-US" w:eastAsia="ja-JP"/>
              </w:rPr>
              <w:t>cfDNA</w:t>
            </w:r>
            <w:proofErr w:type="spellEnd"/>
            <w:r w:rsidRPr="0077725E">
              <w:rPr>
                <w:rFonts w:ascii="Arial" w:eastAsiaTheme="minorEastAsia" w:hAnsi="Arial" w:cs="Arial"/>
                <w:lang w:val="en-US" w:eastAsia="ja-JP"/>
              </w:rPr>
              <w:t xml:space="preserve">. </w:t>
            </w:r>
          </w:p>
          <w:p w14:paraId="1628E849" w14:textId="77777777" w:rsidR="00B738C9" w:rsidRPr="0077725E" w:rsidRDefault="00B62296" w:rsidP="00D41B0A">
            <w:pPr>
              <w:pStyle w:val="ListParagraph"/>
              <w:numPr>
                <w:ilvl w:val="2"/>
                <w:numId w:val="2"/>
              </w:numPr>
              <w:rPr>
                <w:rFonts w:ascii="Arial" w:eastAsiaTheme="minorEastAsia" w:hAnsi="Arial" w:cs="Arial"/>
                <w:lang w:val="en-US" w:eastAsia="ja-JP"/>
              </w:rPr>
            </w:pPr>
            <w:proofErr w:type="spellStart"/>
            <w:r w:rsidRPr="0077725E">
              <w:rPr>
                <w:rFonts w:ascii="Arial" w:eastAsiaTheme="minorEastAsia" w:hAnsi="Arial" w:cs="Arial"/>
                <w:lang w:val="en-US" w:eastAsia="ja-JP"/>
              </w:rPr>
              <w:t>cfDNA</w:t>
            </w:r>
            <w:proofErr w:type="spellEnd"/>
            <w:r w:rsidR="00B738C9" w:rsidRPr="0077725E">
              <w:rPr>
                <w:rFonts w:ascii="Arial" w:eastAsiaTheme="minorEastAsia" w:hAnsi="Arial" w:cs="Arial"/>
                <w:lang w:val="en-US" w:eastAsia="ja-JP"/>
              </w:rPr>
              <w:t xml:space="preserve"> can be detected in maternal plasma as early as 5 to 7 weeks gestation. However, test results are more accurate after 10 weeks because the amount of </w:t>
            </w:r>
            <w:proofErr w:type="spellStart"/>
            <w:r w:rsidRPr="0077725E">
              <w:rPr>
                <w:rFonts w:ascii="Arial" w:eastAsiaTheme="minorEastAsia" w:hAnsi="Arial" w:cs="Arial"/>
                <w:lang w:val="en-US" w:eastAsia="ja-JP"/>
              </w:rPr>
              <w:t>cfDNA</w:t>
            </w:r>
            <w:proofErr w:type="spellEnd"/>
            <w:r w:rsidR="00B738C9" w:rsidRPr="0077725E">
              <w:rPr>
                <w:rFonts w:ascii="Arial" w:eastAsiaTheme="minorEastAsia" w:hAnsi="Arial" w:cs="Arial"/>
                <w:lang w:val="en-US" w:eastAsia="ja-JP"/>
              </w:rPr>
              <w:t xml:space="preserve"> increases over time. </w:t>
            </w:r>
            <w:proofErr w:type="spellStart"/>
            <w:r w:rsidRPr="0077725E">
              <w:rPr>
                <w:rFonts w:ascii="Arial" w:eastAsiaTheme="minorEastAsia" w:hAnsi="Arial" w:cs="Arial"/>
                <w:lang w:val="en-US" w:eastAsia="ja-JP"/>
              </w:rPr>
              <w:t>cfDNA</w:t>
            </w:r>
            <w:proofErr w:type="spellEnd"/>
            <w:r w:rsidR="00B738C9" w:rsidRPr="0077725E">
              <w:rPr>
                <w:rFonts w:ascii="Arial" w:eastAsiaTheme="minorEastAsia" w:hAnsi="Arial" w:cs="Arial"/>
                <w:lang w:val="en-US" w:eastAsia="ja-JP"/>
              </w:rPr>
              <w:t xml:space="preserve"> remains in the maternal circulation for only a few hours after each pregnancy, making it suitable for pregnancy-specific testing.</w:t>
            </w:r>
          </w:p>
          <w:p w14:paraId="3A6407CB" w14:textId="77777777" w:rsidR="00B738C9" w:rsidRPr="0077725E" w:rsidRDefault="00B738C9" w:rsidP="00D41B0A">
            <w:pPr>
              <w:pStyle w:val="ListParagraph"/>
              <w:numPr>
                <w:ilvl w:val="2"/>
                <w:numId w:val="2"/>
              </w:numPr>
              <w:rPr>
                <w:rFonts w:ascii="Arial" w:eastAsiaTheme="minorEastAsia" w:hAnsi="Arial" w:cs="Arial"/>
                <w:lang w:val="en-US" w:eastAsia="ja-JP"/>
              </w:rPr>
            </w:pPr>
            <w:r w:rsidRPr="0077725E">
              <w:rPr>
                <w:rFonts w:ascii="Arial" w:eastAsiaTheme="minorEastAsia" w:hAnsi="Arial" w:cs="Arial"/>
                <w:lang w:val="en-US" w:eastAsia="ja-JP"/>
              </w:rPr>
              <w:t xml:space="preserve">The evaluative roll will last for three years after which recommendations will be made by the UK NSC about the future commissioning arrangements for NIPT. </w:t>
            </w:r>
          </w:p>
          <w:p w14:paraId="2A8BD755" w14:textId="77777777" w:rsidR="00576608" w:rsidRPr="0077725E" w:rsidRDefault="00576608" w:rsidP="00D41B0A">
            <w:pPr>
              <w:spacing w:after="0"/>
              <w:rPr>
                <w:rFonts w:ascii="Arial" w:hAnsi="Arial" w:cs="Arial"/>
                <w:szCs w:val="24"/>
              </w:rPr>
            </w:pPr>
          </w:p>
        </w:tc>
      </w:tr>
      <w:tr w:rsidR="00576608" w:rsidRPr="00055807" w14:paraId="0253B0C8" w14:textId="77777777" w:rsidTr="007754A9">
        <w:tc>
          <w:tcPr>
            <w:tcW w:w="8908" w:type="dxa"/>
            <w:shd w:val="clear" w:color="auto" w:fill="auto"/>
          </w:tcPr>
          <w:p w14:paraId="49454ACF" w14:textId="77777777" w:rsidR="00576608" w:rsidRPr="0077725E" w:rsidRDefault="00576608" w:rsidP="005E3A38">
            <w:pPr>
              <w:pStyle w:val="Heading1"/>
              <w:numPr>
                <w:ilvl w:val="0"/>
                <w:numId w:val="20"/>
              </w:numPr>
              <w:ind w:left="342"/>
              <w:jc w:val="left"/>
              <w:rPr>
                <w:sz w:val="24"/>
                <w:szCs w:val="24"/>
              </w:rPr>
            </w:pPr>
            <w:r w:rsidRPr="0077725E">
              <w:rPr>
                <w:sz w:val="24"/>
                <w:szCs w:val="24"/>
              </w:rPr>
              <w:lastRenderedPageBreak/>
              <w:t>Outcomes</w:t>
            </w:r>
          </w:p>
        </w:tc>
      </w:tr>
      <w:tr w:rsidR="00576608" w:rsidRPr="00055807" w14:paraId="1FD205BF" w14:textId="77777777" w:rsidTr="007754A9">
        <w:tc>
          <w:tcPr>
            <w:tcW w:w="8908" w:type="dxa"/>
            <w:shd w:val="clear" w:color="auto" w:fill="auto"/>
          </w:tcPr>
          <w:p w14:paraId="5FB1AA5E" w14:textId="77777777" w:rsidR="00576608" w:rsidRPr="0077725E" w:rsidRDefault="00576608" w:rsidP="004F24A0">
            <w:pPr>
              <w:spacing w:after="0" w:line="276" w:lineRule="auto"/>
              <w:rPr>
                <w:rFonts w:ascii="Arial" w:hAnsi="Arial" w:cs="Arial"/>
                <w:b/>
                <w:szCs w:val="24"/>
              </w:rPr>
            </w:pPr>
          </w:p>
          <w:p w14:paraId="3DE1BD74" w14:textId="77777777" w:rsidR="00390934" w:rsidRPr="0077725E" w:rsidRDefault="00576608" w:rsidP="00D70851">
            <w:pPr>
              <w:pStyle w:val="Heading2"/>
              <w:rPr>
                <w:rFonts w:ascii="Arial" w:hAnsi="Arial" w:cs="Arial"/>
                <w:b/>
                <w:sz w:val="24"/>
                <w:szCs w:val="24"/>
                <w:u w:val="single"/>
              </w:rPr>
            </w:pPr>
            <w:r w:rsidRPr="0077725E">
              <w:rPr>
                <w:rFonts w:ascii="Arial" w:hAnsi="Arial" w:cs="Arial"/>
                <w:sz w:val="24"/>
                <w:szCs w:val="24"/>
              </w:rPr>
              <w:t>2.1</w:t>
            </w:r>
            <w:r w:rsidRPr="0077725E">
              <w:rPr>
                <w:rFonts w:ascii="Arial" w:hAnsi="Arial" w:cs="Arial"/>
                <w:sz w:val="24"/>
                <w:szCs w:val="24"/>
              </w:rPr>
              <w:tab/>
            </w:r>
            <w:r w:rsidR="00113B1B" w:rsidRPr="0077725E">
              <w:rPr>
                <w:rFonts w:ascii="Arial" w:hAnsi="Arial" w:cs="Arial"/>
                <w:sz w:val="24"/>
                <w:szCs w:val="24"/>
              </w:rPr>
              <w:t xml:space="preserve">Public Health England </w:t>
            </w:r>
            <w:r w:rsidR="00C166D3" w:rsidRPr="0077725E">
              <w:rPr>
                <w:rFonts w:ascii="Arial" w:hAnsi="Arial" w:cs="Arial"/>
                <w:sz w:val="24"/>
                <w:szCs w:val="24"/>
              </w:rPr>
              <w:t>Responsibilities</w:t>
            </w:r>
          </w:p>
          <w:p w14:paraId="182DEBCD" w14:textId="77777777" w:rsidR="00C166D3" w:rsidRPr="0077725E" w:rsidRDefault="00C166D3" w:rsidP="00C166D3">
            <w:pPr>
              <w:spacing w:after="0" w:line="276" w:lineRule="auto"/>
              <w:rPr>
                <w:rFonts w:ascii="Arial" w:hAnsi="Arial" w:cs="Arial"/>
                <w:b/>
                <w:szCs w:val="24"/>
                <w:u w:val="single"/>
              </w:rPr>
            </w:pPr>
          </w:p>
          <w:p w14:paraId="25374900" w14:textId="77777777" w:rsidR="00D70851" w:rsidRPr="0077725E" w:rsidRDefault="00D70851" w:rsidP="00055807">
            <w:pPr>
              <w:pStyle w:val="ListParagraph"/>
              <w:ind w:left="360"/>
              <w:rPr>
                <w:rFonts w:ascii="Arial" w:eastAsiaTheme="minorEastAsia" w:hAnsi="Arial" w:cs="Arial"/>
                <w:vanish/>
                <w:lang w:val="en-US" w:eastAsia="ja-JP"/>
              </w:rPr>
            </w:pPr>
          </w:p>
          <w:p w14:paraId="64B48916" w14:textId="77777777" w:rsidR="006B0D0B" w:rsidRPr="0077725E" w:rsidRDefault="006B0D0B" w:rsidP="006B0D0B">
            <w:pPr>
              <w:pStyle w:val="ListParagraph"/>
              <w:numPr>
                <w:ilvl w:val="0"/>
                <w:numId w:val="2"/>
              </w:numPr>
              <w:rPr>
                <w:rFonts w:ascii="Arial" w:eastAsiaTheme="minorEastAsia" w:hAnsi="Arial" w:cs="Arial"/>
                <w:vanish/>
                <w:lang w:val="en-US" w:eastAsia="ja-JP"/>
              </w:rPr>
            </w:pPr>
          </w:p>
          <w:p w14:paraId="6BE4CB94" w14:textId="77777777" w:rsidR="006B0D0B" w:rsidRPr="0077725E" w:rsidRDefault="006B0D0B" w:rsidP="006B0D0B">
            <w:pPr>
              <w:pStyle w:val="ListParagraph"/>
              <w:numPr>
                <w:ilvl w:val="1"/>
                <w:numId w:val="2"/>
              </w:numPr>
              <w:rPr>
                <w:rFonts w:ascii="Arial" w:eastAsiaTheme="minorEastAsia" w:hAnsi="Arial" w:cs="Arial"/>
                <w:vanish/>
                <w:lang w:val="en-US" w:eastAsia="ja-JP"/>
              </w:rPr>
            </w:pPr>
          </w:p>
          <w:p w14:paraId="50632BE1" w14:textId="02DCF4D5" w:rsidR="00542004" w:rsidRPr="00655B31" w:rsidRDefault="00542004" w:rsidP="00B375E2">
            <w:pPr>
              <w:pStyle w:val="ListParagraph"/>
              <w:numPr>
                <w:ilvl w:val="2"/>
                <w:numId w:val="2"/>
              </w:numPr>
              <w:rPr>
                <w:rFonts w:ascii="Arial" w:eastAsiaTheme="minorEastAsia" w:hAnsi="Arial" w:cs="Arial"/>
                <w:lang w:val="en-US" w:eastAsia="ja-JP"/>
              </w:rPr>
            </w:pPr>
            <w:r w:rsidRPr="00655B31">
              <w:rPr>
                <w:rFonts w:ascii="Arial" w:eastAsiaTheme="minorEastAsia" w:hAnsi="Arial" w:cs="Arial"/>
                <w:lang w:val="en-US" w:eastAsia="ja-JP"/>
              </w:rPr>
              <w:t xml:space="preserve">PHE is the expert national public health agency, providing the evidence, support and advice needed locally, nationally and internationally. PHE fulfils the Secretary of State for Health and Social Care duties and remains responsible for four critical functions: protecting the public’s health; improving the public’s health; improving population health by supporting sustainable health and care services; and supporting the capacity and capability of the public health system in England.   PHE broader priorities include: support and advice on the Government’s prevention and levelling up priorities, specifically including work on childhood obesity, mental health, smoking, health inequalities and the needs of the most vulnerable groups in society, and NHS-led national screening </w:t>
            </w:r>
            <w:proofErr w:type="spellStart"/>
            <w:r w:rsidRPr="00655B31">
              <w:rPr>
                <w:rFonts w:ascii="Arial" w:eastAsiaTheme="minorEastAsia" w:hAnsi="Arial" w:cs="Arial"/>
                <w:lang w:val="en-US" w:eastAsia="ja-JP"/>
              </w:rPr>
              <w:t>programmes</w:t>
            </w:r>
            <w:proofErr w:type="spellEnd"/>
            <w:r w:rsidRPr="00655B31">
              <w:rPr>
                <w:rFonts w:ascii="Arial" w:eastAsiaTheme="minorEastAsia" w:hAnsi="Arial" w:cs="Arial"/>
                <w:lang w:val="en-US" w:eastAsia="ja-JP"/>
              </w:rPr>
              <w:t xml:space="preserve">.  These priorities are set out in an annual strategic remit letter:  </w:t>
            </w:r>
          </w:p>
          <w:p w14:paraId="43148480" w14:textId="71A9489F" w:rsidR="00113B1B" w:rsidRDefault="00F76FC1" w:rsidP="004F24A0">
            <w:pPr>
              <w:spacing w:after="0" w:line="276" w:lineRule="auto"/>
              <w:rPr>
                <w:rFonts w:ascii="Arial" w:hAnsi="Arial" w:cs="Arial"/>
              </w:rPr>
            </w:pPr>
            <w:hyperlink r:id="rId13" w:history="1">
              <w:r w:rsidR="006B0D0B" w:rsidRPr="0077725E">
                <w:rPr>
                  <w:rStyle w:val="Hyperlink"/>
                  <w:rFonts w:ascii="Arial" w:hAnsi="Arial" w:cs="Arial"/>
                </w:rPr>
                <w:t>https://assets.publishing.service.gov.uk/government/uploads/system/uploads/attachment_data/file/882570/PHE_Remit_Letter_from_Jo_Churchill_to_Duncan_Selbie.pdf</w:t>
              </w:r>
            </w:hyperlink>
            <w:r w:rsidR="006B0D0B" w:rsidRPr="0077725E">
              <w:rPr>
                <w:rFonts w:ascii="Arial" w:hAnsi="Arial" w:cs="Arial"/>
              </w:rPr>
              <w:t xml:space="preserve">. </w:t>
            </w:r>
            <w:r w:rsidR="00542004" w:rsidRPr="0077725E">
              <w:rPr>
                <w:rFonts w:ascii="Arial" w:hAnsi="Arial" w:cs="Arial"/>
              </w:rPr>
              <w:t xml:space="preserve"> </w:t>
            </w:r>
          </w:p>
          <w:p w14:paraId="0653F347" w14:textId="77777777" w:rsidR="00655B31" w:rsidRPr="0077725E" w:rsidRDefault="00655B31" w:rsidP="004F24A0">
            <w:pPr>
              <w:spacing w:after="0" w:line="276" w:lineRule="auto"/>
              <w:rPr>
                <w:rFonts w:ascii="Arial" w:hAnsi="Arial" w:cs="Arial"/>
                <w:b/>
                <w:szCs w:val="24"/>
              </w:rPr>
            </w:pPr>
          </w:p>
          <w:p w14:paraId="052BF6E0" w14:textId="77777777" w:rsidR="00576608" w:rsidRPr="0077725E" w:rsidRDefault="00576608" w:rsidP="00756CCB">
            <w:pPr>
              <w:pStyle w:val="Heading2"/>
              <w:rPr>
                <w:rFonts w:ascii="Arial" w:hAnsi="Arial" w:cs="Arial"/>
                <w:sz w:val="24"/>
                <w:szCs w:val="24"/>
              </w:rPr>
            </w:pPr>
            <w:r w:rsidRPr="0077725E">
              <w:rPr>
                <w:rFonts w:ascii="Arial" w:hAnsi="Arial" w:cs="Arial"/>
                <w:sz w:val="24"/>
                <w:szCs w:val="24"/>
              </w:rPr>
              <w:t>2.2</w:t>
            </w:r>
            <w:r w:rsidRPr="0077725E">
              <w:rPr>
                <w:rFonts w:ascii="Arial" w:hAnsi="Arial" w:cs="Arial"/>
                <w:sz w:val="24"/>
                <w:szCs w:val="24"/>
              </w:rPr>
              <w:tab/>
            </w:r>
            <w:r w:rsidR="006C0D03" w:rsidRPr="0077725E">
              <w:rPr>
                <w:rFonts w:ascii="Arial" w:hAnsi="Arial" w:cs="Arial"/>
                <w:sz w:val="24"/>
                <w:szCs w:val="24"/>
              </w:rPr>
              <w:t>Specific</w:t>
            </w:r>
            <w:r w:rsidRPr="0077725E">
              <w:rPr>
                <w:rFonts w:ascii="Arial" w:hAnsi="Arial" w:cs="Arial"/>
                <w:sz w:val="24"/>
                <w:szCs w:val="24"/>
              </w:rPr>
              <w:t xml:space="preserve"> defined outcomes</w:t>
            </w:r>
          </w:p>
          <w:p w14:paraId="02AA90B9" w14:textId="77777777" w:rsidR="006C0D03" w:rsidRPr="0077725E" w:rsidRDefault="006C0D03" w:rsidP="004F24A0">
            <w:pPr>
              <w:spacing w:after="0" w:line="276" w:lineRule="auto"/>
              <w:rPr>
                <w:rFonts w:ascii="Arial" w:hAnsi="Arial" w:cs="Arial"/>
                <w:b/>
                <w:szCs w:val="24"/>
              </w:rPr>
            </w:pPr>
          </w:p>
          <w:p w14:paraId="6CCFD9BF" w14:textId="77777777" w:rsidR="00685F53" w:rsidRPr="0077725E" w:rsidRDefault="00685F53" w:rsidP="00055807">
            <w:pPr>
              <w:pStyle w:val="ListParagraph"/>
              <w:ind w:left="360"/>
              <w:rPr>
                <w:rFonts w:ascii="Arial" w:eastAsiaTheme="minorEastAsia" w:hAnsi="Arial" w:cs="Arial"/>
                <w:vanish/>
                <w:lang w:val="en-US" w:eastAsia="ja-JP"/>
              </w:rPr>
            </w:pPr>
          </w:p>
          <w:p w14:paraId="44CC1A0C" w14:textId="77777777" w:rsidR="00AF7C16" w:rsidRPr="0077725E" w:rsidRDefault="00AF7C16" w:rsidP="00AF7C16">
            <w:pPr>
              <w:pStyle w:val="ListParagraph"/>
              <w:numPr>
                <w:ilvl w:val="0"/>
                <w:numId w:val="32"/>
              </w:numPr>
              <w:rPr>
                <w:rFonts w:ascii="Arial" w:eastAsiaTheme="minorEastAsia" w:hAnsi="Arial" w:cs="Arial"/>
                <w:vanish/>
                <w:lang w:val="en-US" w:eastAsia="ja-JP"/>
              </w:rPr>
            </w:pPr>
          </w:p>
          <w:p w14:paraId="37FE315C" w14:textId="77777777" w:rsidR="00AF7C16" w:rsidRPr="0077725E" w:rsidRDefault="00AF7C16" w:rsidP="00AF7C16">
            <w:pPr>
              <w:pStyle w:val="ListParagraph"/>
              <w:numPr>
                <w:ilvl w:val="0"/>
                <w:numId w:val="32"/>
              </w:numPr>
              <w:rPr>
                <w:rFonts w:ascii="Arial" w:eastAsiaTheme="minorEastAsia" w:hAnsi="Arial" w:cs="Arial"/>
                <w:vanish/>
                <w:lang w:val="en-US" w:eastAsia="ja-JP"/>
              </w:rPr>
            </w:pPr>
          </w:p>
          <w:p w14:paraId="17E869D1" w14:textId="77777777" w:rsidR="00AF7C16" w:rsidRPr="0077725E" w:rsidRDefault="00AF7C16" w:rsidP="00AF7C16">
            <w:pPr>
              <w:pStyle w:val="ListParagraph"/>
              <w:numPr>
                <w:ilvl w:val="1"/>
                <w:numId w:val="32"/>
              </w:numPr>
              <w:rPr>
                <w:rFonts w:ascii="Arial" w:eastAsiaTheme="minorEastAsia" w:hAnsi="Arial" w:cs="Arial"/>
                <w:vanish/>
                <w:lang w:val="en-US" w:eastAsia="ja-JP"/>
              </w:rPr>
            </w:pPr>
          </w:p>
          <w:p w14:paraId="35C6185B" w14:textId="77777777" w:rsidR="00AF7C16" w:rsidRPr="0077725E" w:rsidRDefault="00AF7C16" w:rsidP="00AF7C16">
            <w:pPr>
              <w:pStyle w:val="ListParagraph"/>
              <w:numPr>
                <w:ilvl w:val="1"/>
                <w:numId w:val="32"/>
              </w:numPr>
              <w:rPr>
                <w:rFonts w:ascii="Arial" w:eastAsiaTheme="minorEastAsia" w:hAnsi="Arial" w:cs="Arial"/>
                <w:vanish/>
                <w:lang w:val="en-US" w:eastAsia="ja-JP"/>
              </w:rPr>
            </w:pPr>
          </w:p>
          <w:p w14:paraId="7CE16DC4" w14:textId="242FABFE" w:rsidR="003D41C3" w:rsidRPr="0077725E" w:rsidRDefault="003D41C3" w:rsidP="00AF7C16">
            <w:pPr>
              <w:pStyle w:val="ListParagraph"/>
              <w:numPr>
                <w:ilvl w:val="2"/>
                <w:numId w:val="32"/>
              </w:numPr>
              <w:rPr>
                <w:rFonts w:ascii="Arial" w:eastAsiaTheme="minorEastAsia" w:hAnsi="Arial" w:cs="Arial"/>
                <w:lang w:val="en-US" w:eastAsia="ja-JP"/>
              </w:rPr>
            </w:pPr>
            <w:r w:rsidRPr="0077725E">
              <w:rPr>
                <w:rFonts w:ascii="Arial" w:eastAsiaTheme="minorEastAsia" w:hAnsi="Arial" w:cs="Arial"/>
                <w:lang w:val="en-US" w:eastAsia="ja-JP"/>
              </w:rPr>
              <w:t>For clarity the service will be an evaluative roll out</w:t>
            </w:r>
            <w:r w:rsidR="00313193" w:rsidRPr="0077725E">
              <w:rPr>
                <w:rFonts w:ascii="Arial" w:eastAsiaTheme="minorEastAsia" w:hAnsi="Arial" w:cs="Arial"/>
                <w:lang w:val="en-US" w:eastAsia="ja-JP"/>
              </w:rPr>
              <w:t>.</w:t>
            </w:r>
            <w:r w:rsidRPr="0077725E">
              <w:rPr>
                <w:rFonts w:ascii="Arial" w:eastAsiaTheme="minorEastAsia" w:hAnsi="Arial" w:cs="Arial"/>
                <w:lang w:val="en-US" w:eastAsia="ja-JP"/>
              </w:rPr>
              <w:t xml:space="preserve"> </w:t>
            </w:r>
            <w:r w:rsidR="00BE6CF5" w:rsidRPr="0077725E">
              <w:rPr>
                <w:rFonts w:ascii="Arial" w:eastAsiaTheme="minorEastAsia" w:hAnsi="Arial" w:cs="Arial"/>
                <w:lang w:val="en-US" w:eastAsia="ja-JP"/>
              </w:rPr>
              <w:t>The Provider will be expected to provide</w:t>
            </w:r>
            <w:r w:rsidR="00880F6C" w:rsidRPr="0077725E">
              <w:rPr>
                <w:rFonts w:ascii="Arial" w:eastAsiaTheme="minorEastAsia" w:hAnsi="Arial" w:cs="Arial"/>
                <w:lang w:val="en-US" w:eastAsia="ja-JP"/>
              </w:rPr>
              <w:t xml:space="preserve"> feedback and information reporting</w:t>
            </w:r>
            <w:r w:rsidR="00DF47E7" w:rsidRPr="0077725E">
              <w:rPr>
                <w:rFonts w:ascii="Arial" w:eastAsiaTheme="minorEastAsia" w:hAnsi="Arial" w:cs="Arial"/>
                <w:lang w:val="en-US" w:eastAsia="ja-JP"/>
              </w:rPr>
              <w:t xml:space="preserve"> as set out in section XXXX of this specification</w:t>
            </w:r>
            <w:r w:rsidR="00880F6C" w:rsidRPr="0077725E">
              <w:rPr>
                <w:rFonts w:ascii="Arial" w:eastAsiaTheme="minorEastAsia" w:hAnsi="Arial" w:cs="Arial"/>
                <w:lang w:val="en-US" w:eastAsia="ja-JP"/>
              </w:rPr>
              <w:t>, as well as adapting the service as required by PHE</w:t>
            </w:r>
            <w:r w:rsidR="00FA6DEA" w:rsidRPr="0077725E">
              <w:rPr>
                <w:rFonts w:ascii="Arial" w:eastAsiaTheme="minorEastAsia" w:hAnsi="Arial" w:cs="Arial"/>
                <w:lang w:val="en-US" w:eastAsia="ja-JP"/>
              </w:rPr>
              <w:t xml:space="preserve"> throughout the term of the </w:t>
            </w:r>
            <w:r w:rsidR="00B62296" w:rsidRPr="0077725E">
              <w:rPr>
                <w:rFonts w:ascii="Arial" w:eastAsiaTheme="minorEastAsia" w:hAnsi="Arial" w:cs="Arial"/>
                <w:lang w:val="en-US" w:eastAsia="ja-JP"/>
              </w:rPr>
              <w:t>contract. This</w:t>
            </w:r>
            <w:r w:rsidR="00313193"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 xml:space="preserve">will enable the </w:t>
            </w:r>
            <w:proofErr w:type="spellStart"/>
            <w:r w:rsidRPr="0077725E">
              <w:rPr>
                <w:rFonts w:ascii="Arial" w:eastAsiaTheme="minorEastAsia" w:hAnsi="Arial" w:cs="Arial"/>
                <w:lang w:val="en-US" w:eastAsia="ja-JP"/>
              </w:rPr>
              <w:t>programme</w:t>
            </w:r>
            <w:proofErr w:type="spellEnd"/>
            <w:r w:rsidRPr="0077725E">
              <w:rPr>
                <w:rFonts w:ascii="Arial" w:eastAsiaTheme="minorEastAsia" w:hAnsi="Arial" w:cs="Arial"/>
                <w:lang w:val="en-US" w:eastAsia="ja-JP"/>
              </w:rPr>
              <w:t xml:space="preserve"> leads to evaluate the roll out </w:t>
            </w:r>
            <w:r w:rsidR="00DF47E7" w:rsidRPr="0077725E">
              <w:rPr>
                <w:rFonts w:ascii="Arial" w:eastAsiaTheme="minorEastAsia" w:hAnsi="Arial" w:cs="Arial"/>
                <w:lang w:val="en-US" w:eastAsia="ja-JP"/>
              </w:rPr>
              <w:t xml:space="preserve">at the </w:t>
            </w:r>
            <w:r w:rsidRPr="0077725E">
              <w:rPr>
                <w:rFonts w:ascii="Arial" w:eastAsiaTheme="minorEastAsia" w:hAnsi="Arial" w:cs="Arial"/>
                <w:lang w:val="en-US" w:eastAsia="ja-JP"/>
              </w:rPr>
              <w:t>stage</w:t>
            </w:r>
            <w:r w:rsidR="00DF47E7" w:rsidRPr="0077725E">
              <w:rPr>
                <w:rFonts w:ascii="Arial" w:eastAsiaTheme="minorEastAsia" w:hAnsi="Arial" w:cs="Arial"/>
                <w:lang w:val="en-US" w:eastAsia="ja-JP"/>
              </w:rPr>
              <w:t xml:space="preserve"> identified in the section XXX of this specification;</w:t>
            </w:r>
            <w:r w:rsidRPr="0077725E">
              <w:rPr>
                <w:rFonts w:ascii="Arial" w:eastAsiaTheme="minorEastAsia" w:hAnsi="Arial" w:cs="Arial"/>
                <w:lang w:val="en-US" w:eastAsia="ja-JP"/>
              </w:rPr>
              <w:t xml:space="preserve"> ensuring any required changes to the pathway and/or screening process can be made efficiently and effectively. </w:t>
            </w:r>
            <w:r w:rsidRPr="0077725E">
              <w:rPr>
                <w:rFonts w:ascii="Arial" w:eastAsiaTheme="minorEastAsia" w:hAnsi="Arial" w:cs="Arial"/>
                <w:lang w:val="en-US" w:eastAsia="ja-JP"/>
              </w:rPr>
              <w:lastRenderedPageBreak/>
              <w:t xml:space="preserve">If it becomes necessary, the </w:t>
            </w:r>
            <w:r w:rsidR="00E90305" w:rsidRPr="0077725E">
              <w:rPr>
                <w:rFonts w:ascii="Arial" w:eastAsiaTheme="minorEastAsia" w:hAnsi="Arial" w:cs="Arial"/>
                <w:lang w:val="en-US" w:eastAsia="ja-JP"/>
              </w:rPr>
              <w:t>UK NSC</w:t>
            </w:r>
            <w:r w:rsidRPr="0077725E">
              <w:rPr>
                <w:rFonts w:ascii="Arial" w:eastAsiaTheme="minorEastAsia" w:hAnsi="Arial" w:cs="Arial"/>
                <w:lang w:val="en-US" w:eastAsia="ja-JP"/>
              </w:rPr>
              <w:t xml:space="preserve"> would also be able to make a recommendation to cease use of NIPT as part of the screening pathway.</w:t>
            </w:r>
          </w:p>
          <w:p w14:paraId="6F3D024B" w14:textId="77777777" w:rsidR="00855A82" w:rsidRPr="0077725E" w:rsidRDefault="00855A82" w:rsidP="007754A9">
            <w:pPr>
              <w:pStyle w:val="ListParagraph"/>
              <w:spacing w:after="240"/>
              <w:ind w:left="426"/>
              <w:contextualSpacing/>
              <w:jc w:val="both"/>
              <w:rPr>
                <w:rFonts w:ascii="Arial" w:hAnsi="Arial" w:cs="Arial"/>
                <w:lang w:eastAsia="en-US"/>
              </w:rPr>
            </w:pPr>
          </w:p>
          <w:p w14:paraId="128DEE76" w14:textId="53E60777" w:rsidR="00855A82" w:rsidRPr="0077725E" w:rsidRDefault="003D41C3" w:rsidP="00191984">
            <w:pPr>
              <w:pStyle w:val="ListParagraph"/>
              <w:numPr>
                <w:ilvl w:val="2"/>
                <w:numId w:val="32"/>
              </w:numPr>
              <w:rPr>
                <w:rFonts w:ascii="Arial" w:hAnsi="Arial" w:cs="Arial"/>
              </w:rPr>
            </w:pPr>
            <w:r w:rsidRPr="0077725E">
              <w:rPr>
                <w:rFonts w:ascii="Arial" w:eastAsiaTheme="minorEastAsia" w:hAnsi="Arial" w:cs="Arial"/>
                <w:lang w:val="en-US" w:eastAsia="ja-JP"/>
              </w:rPr>
              <w:t xml:space="preserve">The main aims and objectives of </w:t>
            </w:r>
            <w:r w:rsidR="009C2F13" w:rsidRPr="0077725E">
              <w:rPr>
                <w:rFonts w:ascii="Arial" w:eastAsiaTheme="minorEastAsia" w:hAnsi="Arial" w:cs="Arial"/>
                <w:lang w:val="en-US" w:eastAsia="ja-JP"/>
              </w:rPr>
              <w:t xml:space="preserve">this laboratory </w:t>
            </w:r>
            <w:r w:rsidRPr="0077725E">
              <w:rPr>
                <w:rFonts w:ascii="Arial" w:eastAsiaTheme="minorEastAsia" w:hAnsi="Arial" w:cs="Arial"/>
                <w:lang w:val="en-US" w:eastAsia="ja-JP"/>
              </w:rPr>
              <w:t>service are:</w:t>
            </w:r>
          </w:p>
          <w:p w14:paraId="6A01D80A" w14:textId="77777777" w:rsidR="003D41C3" w:rsidRPr="0077725E" w:rsidRDefault="003D41C3" w:rsidP="007754A9">
            <w:pPr>
              <w:pStyle w:val="ListParagraph"/>
              <w:tabs>
                <w:tab w:val="left" w:pos="720"/>
              </w:tabs>
              <w:spacing w:after="240"/>
              <w:ind w:left="360"/>
              <w:contextualSpacing/>
              <w:jc w:val="both"/>
              <w:rPr>
                <w:rFonts w:ascii="Arial" w:hAnsi="Arial" w:cs="Arial"/>
              </w:rPr>
            </w:pPr>
            <w:r w:rsidRPr="0077725E">
              <w:rPr>
                <w:rFonts w:ascii="Arial" w:hAnsi="Arial" w:cs="Arial"/>
              </w:rPr>
              <w:tab/>
            </w:r>
          </w:p>
          <w:p w14:paraId="5B476522" w14:textId="23B5AD0E" w:rsidR="0037461E" w:rsidRPr="0077725E" w:rsidRDefault="0037461E" w:rsidP="0077496A">
            <w:pPr>
              <w:pStyle w:val="ListParagraph"/>
              <w:numPr>
                <w:ilvl w:val="2"/>
                <w:numId w:val="27"/>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To allow women to access the NIPT service with rapid turnaround times to enable </w:t>
            </w:r>
            <w:r w:rsidR="00593C08" w:rsidRPr="0077725E">
              <w:rPr>
                <w:rFonts w:ascii="Arial" w:eastAsiaTheme="minorEastAsia" w:hAnsi="Arial" w:cs="Arial"/>
                <w:lang w:val="en-US" w:eastAsia="ja-JP"/>
              </w:rPr>
              <w:t xml:space="preserve">appropriate clinical decisions to be taken, at an appropriate time during pregnancy. </w:t>
            </w:r>
          </w:p>
          <w:p w14:paraId="63C9FA28" w14:textId="36119329" w:rsidR="00B40BF2" w:rsidRPr="0077725E" w:rsidRDefault="003D41C3" w:rsidP="0077496A">
            <w:pPr>
              <w:pStyle w:val="ListParagraph"/>
              <w:numPr>
                <w:ilvl w:val="2"/>
                <w:numId w:val="27"/>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Support the model for the Fetal Anomaly Screening </w:t>
            </w:r>
            <w:proofErr w:type="spellStart"/>
            <w:r w:rsidRPr="0077725E">
              <w:rPr>
                <w:rFonts w:ascii="Arial" w:eastAsiaTheme="minorEastAsia" w:hAnsi="Arial" w:cs="Arial"/>
                <w:lang w:val="en-US" w:eastAsia="ja-JP"/>
              </w:rPr>
              <w:t>Programme</w:t>
            </w:r>
            <w:proofErr w:type="spellEnd"/>
            <w:r w:rsidRPr="0077725E">
              <w:rPr>
                <w:rFonts w:ascii="Arial" w:eastAsiaTheme="minorEastAsia" w:hAnsi="Arial" w:cs="Arial"/>
                <w:lang w:val="en-US" w:eastAsia="ja-JP"/>
              </w:rPr>
              <w:t xml:space="preserve">, as recommended by </w:t>
            </w:r>
            <w:r w:rsidR="00E90305" w:rsidRPr="0077725E">
              <w:rPr>
                <w:rFonts w:ascii="Arial" w:eastAsiaTheme="minorEastAsia" w:hAnsi="Arial" w:cs="Arial"/>
                <w:lang w:val="en-US" w:eastAsia="ja-JP"/>
              </w:rPr>
              <w:t>UK NSC</w:t>
            </w:r>
            <w:r w:rsidRPr="0077725E">
              <w:rPr>
                <w:rFonts w:ascii="Arial" w:eastAsiaTheme="minorEastAsia" w:hAnsi="Arial" w:cs="Arial"/>
                <w:lang w:val="en-US" w:eastAsia="ja-JP"/>
              </w:rPr>
              <w:t xml:space="preserve"> for evaluation as an additional option to the current screening pathway for Down’s syndrome, Edwards’ syndrome and Patau’s syndrome for women with chance results greater than or equal to 1 in 150 (1 in 2 to 1 in 150). </w:t>
            </w:r>
          </w:p>
          <w:p w14:paraId="53A424F7" w14:textId="56854930" w:rsidR="002271AD" w:rsidRPr="0077725E" w:rsidRDefault="003D41C3" w:rsidP="0077496A">
            <w:pPr>
              <w:pStyle w:val="ListParagraph"/>
              <w:numPr>
                <w:ilvl w:val="2"/>
                <w:numId w:val="27"/>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To provide </w:t>
            </w:r>
            <w:r w:rsidR="009A5A5E" w:rsidRPr="0077725E">
              <w:rPr>
                <w:rFonts w:ascii="Arial" w:eastAsiaTheme="minorEastAsia" w:hAnsi="Arial" w:cs="Arial"/>
                <w:lang w:val="en-US" w:eastAsia="ja-JP"/>
              </w:rPr>
              <w:t xml:space="preserve">evidence </w:t>
            </w:r>
            <w:r w:rsidR="007E35FE" w:rsidRPr="0077725E">
              <w:rPr>
                <w:rFonts w:ascii="Arial" w:eastAsiaTheme="minorEastAsia" w:hAnsi="Arial" w:cs="Arial"/>
                <w:lang w:val="en-US" w:eastAsia="ja-JP"/>
              </w:rPr>
              <w:t xml:space="preserve">and feedback </w:t>
            </w:r>
            <w:r w:rsidR="009A5A5E" w:rsidRPr="0077725E">
              <w:rPr>
                <w:rFonts w:ascii="Arial" w:eastAsiaTheme="minorEastAsia" w:hAnsi="Arial" w:cs="Arial"/>
                <w:lang w:val="en-US" w:eastAsia="ja-JP"/>
              </w:rPr>
              <w:t>to NHSFASP</w:t>
            </w:r>
            <w:r w:rsidRPr="0077725E">
              <w:rPr>
                <w:rFonts w:ascii="Arial" w:eastAsiaTheme="minorEastAsia" w:hAnsi="Arial" w:cs="Arial"/>
                <w:lang w:val="en-US" w:eastAsia="ja-JP"/>
              </w:rPr>
              <w:t xml:space="preserve"> </w:t>
            </w:r>
            <w:r w:rsidR="007E35FE" w:rsidRPr="0077725E">
              <w:rPr>
                <w:rFonts w:ascii="Arial" w:eastAsiaTheme="minorEastAsia" w:hAnsi="Arial" w:cs="Arial"/>
                <w:lang w:val="en-US" w:eastAsia="ja-JP"/>
              </w:rPr>
              <w:t xml:space="preserve">to enable </w:t>
            </w:r>
            <w:r w:rsidR="002271AD" w:rsidRPr="0077725E">
              <w:rPr>
                <w:rFonts w:ascii="Arial" w:eastAsiaTheme="minorEastAsia" w:hAnsi="Arial" w:cs="Arial"/>
                <w:lang w:val="en-US" w:eastAsia="ja-JP"/>
              </w:rPr>
              <w:t>developments and changes to be made in term to facilitate the evaluative roll-out</w:t>
            </w:r>
            <w:r w:rsidR="00DF47E7" w:rsidRPr="0077725E">
              <w:rPr>
                <w:rFonts w:ascii="Arial" w:eastAsiaTheme="minorEastAsia" w:hAnsi="Arial" w:cs="Arial"/>
                <w:lang w:val="en-US" w:eastAsia="ja-JP"/>
              </w:rPr>
              <w:t xml:space="preserve">. </w:t>
            </w:r>
          </w:p>
          <w:p w14:paraId="568EBA67" w14:textId="10EFB83D" w:rsidR="00B40BF2" w:rsidRPr="0077725E" w:rsidRDefault="002271AD" w:rsidP="0077496A">
            <w:pPr>
              <w:pStyle w:val="ListParagraph"/>
              <w:numPr>
                <w:ilvl w:val="2"/>
                <w:numId w:val="27"/>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To provide the evidence to allow the UK NSC to </w:t>
            </w:r>
            <w:r w:rsidR="008E7A0B" w:rsidRPr="0077725E">
              <w:rPr>
                <w:rFonts w:ascii="Arial" w:eastAsiaTheme="minorEastAsia" w:hAnsi="Arial" w:cs="Arial"/>
                <w:lang w:val="en-US" w:eastAsia="ja-JP"/>
              </w:rPr>
              <w:t xml:space="preserve">assess the evaluation </w:t>
            </w:r>
            <w:r w:rsidR="000B45FB" w:rsidRPr="0077725E">
              <w:rPr>
                <w:rFonts w:ascii="Arial" w:eastAsiaTheme="minorEastAsia" w:hAnsi="Arial" w:cs="Arial"/>
                <w:lang w:val="en-US" w:eastAsia="ja-JP"/>
              </w:rPr>
              <w:t>of</w:t>
            </w:r>
            <w:r w:rsidRPr="0077725E">
              <w:rPr>
                <w:rFonts w:ascii="Arial" w:eastAsiaTheme="minorEastAsia" w:hAnsi="Arial" w:cs="Arial"/>
                <w:lang w:val="en-US" w:eastAsia="ja-JP"/>
              </w:rPr>
              <w:t xml:space="preserve"> the </w:t>
            </w:r>
            <w:r w:rsidR="00A972C9" w:rsidRPr="0077725E">
              <w:rPr>
                <w:rFonts w:ascii="Arial" w:eastAsiaTheme="minorEastAsia" w:hAnsi="Arial" w:cs="Arial"/>
                <w:lang w:val="en-US" w:eastAsia="ja-JP"/>
              </w:rPr>
              <w:t>NIPT service.</w:t>
            </w:r>
          </w:p>
          <w:p w14:paraId="3C91F482" w14:textId="525593A6" w:rsidR="003D41C3" w:rsidRPr="0077725E" w:rsidRDefault="003D41C3" w:rsidP="0077496A">
            <w:pPr>
              <w:pStyle w:val="ListParagraph"/>
              <w:numPr>
                <w:ilvl w:val="2"/>
                <w:numId w:val="27"/>
              </w:numPr>
              <w:ind w:left="1193" w:hanging="284"/>
              <w:rPr>
                <w:rFonts w:ascii="Arial" w:eastAsiaTheme="minorEastAsia" w:hAnsi="Arial" w:cs="Arial"/>
                <w:lang w:val="en-US" w:eastAsia="ja-JP"/>
              </w:rPr>
            </w:pPr>
            <w:r w:rsidRPr="0077725E">
              <w:rPr>
                <w:rFonts w:ascii="Arial" w:eastAsiaTheme="minorEastAsia" w:hAnsi="Arial" w:cs="Arial"/>
                <w:lang w:val="en-US" w:eastAsia="ja-JP"/>
              </w:rPr>
              <w:t>Set out the roles and responsibilities of the NIPT Provider in delivering the service and meeting the key performance indicators. The NIPT Provider agrees, as further detailed in the description of the NIPT Services below, to be responsive to the findings of the evaluative roll out as it proceeds.</w:t>
            </w:r>
            <w:r w:rsidR="00577D80"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 xml:space="preserve">The NIPT Provider commits to working with NHS fetal anomaly screening </w:t>
            </w:r>
            <w:proofErr w:type="spellStart"/>
            <w:r w:rsidRPr="0077725E">
              <w:rPr>
                <w:rFonts w:ascii="Arial" w:eastAsiaTheme="minorEastAsia" w:hAnsi="Arial" w:cs="Arial"/>
                <w:lang w:val="en-US" w:eastAsia="ja-JP"/>
              </w:rPr>
              <w:t>programme</w:t>
            </w:r>
            <w:proofErr w:type="spellEnd"/>
            <w:r w:rsidRPr="0077725E">
              <w:rPr>
                <w:rFonts w:ascii="Arial" w:eastAsiaTheme="minorEastAsia" w:hAnsi="Arial" w:cs="Arial"/>
                <w:lang w:val="en-US" w:eastAsia="ja-JP"/>
              </w:rPr>
              <w:t xml:space="preserve"> ("NHS FASP") to develop, adapt and modify the laboratory pathways, ordering systems, sample management processes and data requirements as the evaluative rollout progresses.</w:t>
            </w:r>
          </w:p>
          <w:p w14:paraId="465DF911" w14:textId="77777777" w:rsidR="00B40BF2" w:rsidRPr="0077725E" w:rsidRDefault="00B40BF2" w:rsidP="007754A9">
            <w:pPr>
              <w:pStyle w:val="ListParagraph"/>
              <w:spacing w:after="240"/>
              <w:ind w:left="993"/>
              <w:contextualSpacing/>
              <w:jc w:val="both"/>
              <w:rPr>
                <w:rFonts w:ascii="Arial" w:hAnsi="Arial" w:cs="Arial"/>
              </w:rPr>
            </w:pPr>
          </w:p>
          <w:p w14:paraId="1E28D2DA" w14:textId="380E1FA5" w:rsidR="003D41C3" w:rsidRPr="0077725E" w:rsidRDefault="003D41C3" w:rsidP="00191984">
            <w:pPr>
              <w:pStyle w:val="ListParagraph"/>
              <w:numPr>
                <w:ilvl w:val="2"/>
                <w:numId w:val="32"/>
              </w:numPr>
              <w:rPr>
                <w:rFonts w:ascii="Arial" w:eastAsiaTheme="minorEastAsia" w:hAnsi="Arial" w:cs="Arial"/>
                <w:lang w:val="en-US" w:eastAsia="ja-JP"/>
              </w:rPr>
            </w:pPr>
            <w:r w:rsidRPr="0077725E">
              <w:rPr>
                <w:rFonts w:ascii="Arial" w:eastAsiaTheme="minorEastAsia" w:hAnsi="Arial" w:cs="Arial"/>
                <w:lang w:val="en-US" w:eastAsia="ja-JP"/>
              </w:rPr>
              <w:t xml:space="preserve">Further, the specification sets out the NIPT Provider’s need to comply with data reporting requirements set out in this specification to fulfil both the on-going quality assurance of laboratory services for NHS FASP and </w:t>
            </w:r>
            <w:r w:rsidR="009045CA" w:rsidRPr="0077725E">
              <w:rPr>
                <w:rFonts w:ascii="Arial" w:eastAsiaTheme="minorEastAsia" w:hAnsi="Arial" w:cs="Arial"/>
                <w:lang w:val="en-US" w:eastAsia="ja-JP"/>
              </w:rPr>
              <w:t>shorter-term</w:t>
            </w:r>
            <w:r w:rsidRPr="0077725E">
              <w:rPr>
                <w:rFonts w:ascii="Arial" w:eastAsiaTheme="minorEastAsia" w:hAnsi="Arial" w:cs="Arial"/>
                <w:lang w:val="en-US" w:eastAsia="ja-JP"/>
              </w:rPr>
              <w:t xml:space="preserve"> reporting to inform and support the evaluative rollout of NIPT as part of the screening pathway.</w:t>
            </w:r>
          </w:p>
          <w:p w14:paraId="1F2DA839" w14:textId="77777777" w:rsidR="006C0D03" w:rsidRPr="0077725E" w:rsidRDefault="006C0D03" w:rsidP="004F24A0">
            <w:pPr>
              <w:spacing w:after="0" w:line="276" w:lineRule="auto"/>
              <w:rPr>
                <w:rFonts w:ascii="Arial" w:hAnsi="Arial" w:cs="Arial"/>
                <w:b/>
                <w:szCs w:val="24"/>
              </w:rPr>
            </w:pPr>
          </w:p>
          <w:p w14:paraId="359B60EF" w14:textId="77777777" w:rsidR="00576608" w:rsidRPr="0077725E" w:rsidRDefault="00576608" w:rsidP="004F24A0">
            <w:pPr>
              <w:spacing w:after="0" w:line="276" w:lineRule="auto"/>
              <w:rPr>
                <w:rFonts w:ascii="Arial" w:hAnsi="Arial" w:cs="Arial"/>
                <w:b/>
                <w:szCs w:val="24"/>
              </w:rPr>
            </w:pPr>
          </w:p>
          <w:p w14:paraId="24E27C94" w14:textId="77777777" w:rsidR="00576608" w:rsidRPr="0077725E" w:rsidRDefault="00576608" w:rsidP="004F24A0">
            <w:pPr>
              <w:spacing w:after="0" w:line="276" w:lineRule="auto"/>
              <w:rPr>
                <w:rFonts w:ascii="Arial" w:hAnsi="Arial" w:cs="Arial"/>
                <w:b/>
                <w:szCs w:val="24"/>
              </w:rPr>
            </w:pPr>
          </w:p>
        </w:tc>
      </w:tr>
      <w:tr w:rsidR="00576608" w:rsidRPr="00055807" w14:paraId="6101DACC" w14:textId="77777777" w:rsidTr="007754A9">
        <w:tc>
          <w:tcPr>
            <w:tcW w:w="8908" w:type="dxa"/>
            <w:shd w:val="clear" w:color="auto" w:fill="auto"/>
          </w:tcPr>
          <w:p w14:paraId="57332AE8" w14:textId="77777777" w:rsidR="00576608" w:rsidRPr="0077725E" w:rsidRDefault="00576608" w:rsidP="0077496A">
            <w:pPr>
              <w:pStyle w:val="Heading1"/>
              <w:numPr>
                <w:ilvl w:val="0"/>
                <w:numId w:val="20"/>
              </w:numPr>
              <w:ind w:left="342"/>
              <w:jc w:val="left"/>
              <w:rPr>
                <w:sz w:val="24"/>
                <w:szCs w:val="24"/>
              </w:rPr>
            </w:pPr>
            <w:r w:rsidRPr="0077725E">
              <w:rPr>
                <w:sz w:val="24"/>
                <w:szCs w:val="24"/>
              </w:rPr>
              <w:lastRenderedPageBreak/>
              <w:t>Scope</w:t>
            </w:r>
          </w:p>
        </w:tc>
      </w:tr>
      <w:tr w:rsidR="00576608" w:rsidRPr="00055807" w14:paraId="64961B45" w14:textId="77777777" w:rsidTr="007754A9">
        <w:tc>
          <w:tcPr>
            <w:tcW w:w="8908" w:type="dxa"/>
            <w:shd w:val="clear" w:color="auto" w:fill="auto"/>
          </w:tcPr>
          <w:p w14:paraId="1F33C01E" w14:textId="77777777" w:rsidR="00576608" w:rsidRPr="0077725E" w:rsidRDefault="00576608" w:rsidP="004F24A0">
            <w:pPr>
              <w:spacing w:after="0"/>
              <w:rPr>
                <w:rFonts w:ascii="Arial" w:hAnsi="Arial" w:cs="Arial"/>
                <w:szCs w:val="24"/>
              </w:rPr>
            </w:pPr>
          </w:p>
          <w:p w14:paraId="1F5E09FB" w14:textId="77777777" w:rsidR="00576608" w:rsidRPr="0077725E" w:rsidRDefault="00576608" w:rsidP="000C1354">
            <w:pPr>
              <w:pStyle w:val="Heading2"/>
              <w:rPr>
                <w:rFonts w:ascii="Arial" w:hAnsi="Arial" w:cs="Arial"/>
                <w:sz w:val="24"/>
                <w:szCs w:val="24"/>
              </w:rPr>
            </w:pPr>
            <w:r w:rsidRPr="0077725E">
              <w:rPr>
                <w:rFonts w:ascii="Arial" w:hAnsi="Arial" w:cs="Arial"/>
                <w:sz w:val="24"/>
                <w:szCs w:val="24"/>
              </w:rPr>
              <w:t>3.1</w:t>
            </w:r>
            <w:r w:rsidRPr="0077725E">
              <w:rPr>
                <w:rFonts w:ascii="Arial" w:hAnsi="Arial" w:cs="Arial"/>
                <w:sz w:val="24"/>
                <w:szCs w:val="24"/>
              </w:rPr>
              <w:tab/>
              <w:t>Aims and objectives of service</w:t>
            </w:r>
          </w:p>
          <w:p w14:paraId="75B195CE" w14:textId="77777777" w:rsidR="00576608" w:rsidRPr="0077725E" w:rsidRDefault="00576608" w:rsidP="004F24A0">
            <w:pPr>
              <w:spacing w:after="0"/>
              <w:rPr>
                <w:rFonts w:ascii="Arial" w:hAnsi="Arial" w:cs="Arial"/>
                <w:szCs w:val="24"/>
              </w:rPr>
            </w:pPr>
          </w:p>
          <w:p w14:paraId="38CD05CF" w14:textId="77777777" w:rsidR="000C1354" w:rsidRPr="0077725E" w:rsidRDefault="000C1354" w:rsidP="00191984">
            <w:pPr>
              <w:pStyle w:val="ListParagraph"/>
              <w:numPr>
                <w:ilvl w:val="0"/>
                <w:numId w:val="32"/>
              </w:numPr>
              <w:rPr>
                <w:rFonts w:ascii="Arial" w:eastAsiaTheme="minorEastAsia" w:hAnsi="Arial" w:cs="Arial"/>
                <w:vanish/>
                <w:lang w:val="en-US" w:eastAsia="ja-JP"/>
              </w:rPr>
            </w:pPr>
          </w:p>
          <w:p w14:paraId="2C64A759" w14:textId="77777777" w:rsidR="000C1354" w:rsidRPr="0077725E" w:rsidRDefault="000C1354" w:rsidP="00191984">
            <w:pPr>
              <w:pStyle w:val="ListParagraph"/>
              <w:numPr>
                <w:ilvl w:val="1"/>
                <w:numId w:val="32"/>
              </w:numPr>
              <w:rPr>
                <w:rFonts w:ascii="Arial" w:eastAsiaTheme="minorEastAsia" w:hAnsi="Arial" w:cs="Arial"/>
                <w:vanish/>
                <w:lang w:val="en-US" w:eastAsia="ja-JP"/>
              </w:rPr>
            </w:pPr>
          </w:p>
          <w:p w14:paraId="69A6CAA0" w14:textId="283DC69B" w:rsidR="00DF47E7" w:rsidRPr="00902187" w:rsidRDefault="00DF47E7" w:rsidP="00191984">
            <w:pPr>
              <w:pStyle w:val="ListParagraph"/>
              <w:numPr>
                <w:ilvl w:val="2"/>
                <w:numId w:val="32"/>
              </w:numPr>
              <w:rPr>
                <w:rFonts w:ascii="Arial" w:eastAsiaTheme="minorEastAsia" w:hAnsi="Arial" w:cs="Arial"/>
                <w:lang w:val="en-US" w:eastAsia="ja-JP"/>
              </w:rPr>
            </w:pPr>
            <w:r w:rsidRPr="00902187">
              <w:rPr>
                <w:rFonts w:ascii="Arial" w:eastAsiaTheme="minorEastAsia" w:hAnsi="Arial" w:cs="Arial"/>
                <w:lang w:val="en-US" w:eastAsia="ja-JP"/>
              </w:rPr>
              <w:t>I</w:t>
            </w:r>
            <w:r w:rsidR="00F45A8B" w:rsidRPr="00902187">
              <w:rPr>
                <w:rFonts w:ascii="Arial" w:eastAsiaTheme="minorEastAsia" w:hAnsi="Arial" w:cs="Arial"/>
                <w:lang w:val="en-US" w:eastAsia="ja-JP"/>
              </w:rPr>
              <w:t>n</w:t>
            </w:r>
            <w:r w:rsidRPr="00902187">
              <w:rPr>
                <w:rFonts w:ascii="Arial" w:eastAsiaTheme="minorEastAsia" w:hAnsi="Arial" w:cs="Arial"/>
                <w:lang w:val="en-US" w:eastAsia="ja-JP"/>
              </w:rPr>
              <w:t xml:space="preserve"> delivering the aims and objectives of this service the provide</w:t>
            </w:r>
            <w:r w:rsidR="00F45A8B" w:rsidRPr="00902187">
              <w:rPr>
                <w:rFonts w:ascii="Arial" w:eastAsiaTheme="minorEastAsia" w:hAnsi="Arial" w:cs="Arial"/>
                <w:lang w:val="en-US" w:eastAsia="ja-JP"/>
              </w:rPr>
              <w:t>r</w:t>
            </w:r>
            <w:r w:rsidRPr="00902187">
              <w:rPr>
                <w:rFonts w:ascii="Arial" w:eastAsiaTheme="minorEastAsia" w:hAnsi="Arial" w:cs="Arial"/>
                <w:lang w:val="en-US" w:eastAsia="ja-JP"/>
              </w:rPr>
              <w:t xml:space="preserve"> will meet all the key indicators (e.g. sample turnaround times) as set out </w:t>
            </w:r>
            <w:r w:rsidR="00902187" w:rsidRPr="00902187">
              <w:rPr>
                <w:rFonts w:ascii="Arial" w:eastAsiaTheme="minorEastAsia" w:hAnsi="Arial" w:cs="Arial"/>
                <w:i/>
                <w:lang w:val="en-US" w:eastAsia="ja-JP"/>
              </w:rPr>
              <w:t>later in</w:t>
            </w:r>
            <w:r w:rsidRPr="00902187">
              <w:rPr>
                <w:rFonts w:ascii="Arial" w:eastAsiaTheme="minorEastAsia" w:hAnsi="Arial" w:cs="Arial"/>
                <w:lang w:val="en-US" w:eastAsia="ja-JP"/>
              </w:rPr>
              <w:t xml:space="preserve"> this specification. </w:t>
            </w:r>
          </w:p>
          <w:p w14:paraId="3D6825FA" w14:textId="77777777" w:rsidR="00DF47E7" w:rsidRPr="0077725E" w:rsidRDefault="00DF47E7" w:rsidP="00DF47E7">
            <w:pPr>
              <w:pStyle w:val="ListParagraph"/>
              <w:rPr>
                <w:rFonts w:ascii="Arial" w:eastAsiaTheme="minorEastAsia" w:hAnsi="Arial" w:cs="Arial"/>
                <w:lang w:val="en-US" w:eastAsia="ja-JP"/>
              </w:rPr>
            </w:pPr>
          </w:p>
          <w:p w14:paraId="2C74D04F" w14:textId="3EB83F7B" w:rsidR="00574B02" w:rsidRPr="0077725E" w:rsidRDefault="006A3CDD" w:rsidP="00191984">
            <w:pPr>
              <w:pStyle w:val="ListParagraph"/>
              <w:numPr>
                <w:ilvl w:val="2"/>
                <w:numId w:val="32"/>
              </w:numPr>
              <w:rPr>
                <w:rFonts w:ascii="Arial" w:eastAsiaTheme="minorEastAsia" w:hAnsi="Arial" w:cs="Arial"/>
                <w:lang w:val="en-US" w:eastAsia="ja-JP"/>
              </w:rPr>
            </w:pPr>
            <w:r w:rsidRPr="0077725E">
              <w:rPr>
                <w:rFonts w:ascii="Arial" w:eastAsiaTheme="minorEastAsia" w:hAnsi="Arial" w:cs="Arial"/>
                <w:lang w:val="en-US" w:eastAsia="ja-JP"/>
              </w:rPr>
              <w:t>Taken from the UK NSC recommendation in 2016</w:t>
            </w:r>
            <w:r w:rsidR="00574B02" w:rsidRPr="0077725E">
              <w:rPr>
                <w:rFonts w:ascii="Arial" w:eastAsiaTheme="minorEastAsia" w:hAnsi="Arial" w:cs="Arial"/>
                <w:lang w:val="en-US" w:eastAsia="ja-JP"/>
              </w:rPr>
              <w:t xml:space="preserve">, the overall aims </w:t>
            </w:r>
            <w:r w:rsidR="00A533AB" w:rsidRPr="0077725E">
              <w:rPr>
                <w:rFonts w:ascii="Arial" w:eastAsiaTheme="minorEastAsia" w:hAnsi="Arial" w:cs="Arial"/>
                <w:lang w:val="en-US" w:eastAsia="ja-JP"/>
              </w:rPr>
              <w:t xml:space="preserve">and objectives </w:t>
            </w:r>
            <w:r w:rsidR="00574B02" w:rsidRPr="0077725E">
              <w:rPr>
                <w:rFonts w:ascii="Arial" w:eastAsiaTheme="minorEastAsia" w:hAnsi="Arial" w:cs="Arial"/>
                <w:lang w:val="en-US" w:eastAsia="ja-JP"/>
              </w:rPr>
              <w:t>of the service are</w:t>
            </w:r>
            <w:r w:rsidR="00A533AB" w:rsidRPr="0077725E">
              <w:rPr>
                <w:rFonts w:ascii="Arial" w:eastAsiaTheme="minorEastAsia" w:hAnsi="Arial" w:cs="Arial"/>
                <w:lang w:val="en-US" w:eastAsia="ja-JP"/>
              </w:rPr>
              <w:t xml:space="preserve"> described below.</w:t>
            </w:r>
          </w:p>
          <w:p w14:paraId="18682B69" w14:textId="77777777" w:rsidR="00574B02" w:rsidRPr="0077725E" w:rsidRDefault="00574B02" w:rsidP="004F24A0">
            <w:pPr>
              <w:spacing w:after="0"/>
              <w:rPr>
                <w:rFonts w:ascii="Arial" w:hAnsi="Arial" w:cs="Arial"/>
                <w:szCs w:val="24"/>
              </w:rPr>
            </w:pPr>
          </w:p>
          <w:p w14:paraId="6F562446" w14:textId="77777777" w:rsidR="00574B02" w:rsidRPr="0077725E" w:rsidRDefault="00574B02" w:rsidP="00191984">
            <w:pPr>
              <w:pStyle w:val="ListParagraph"/>
              <w:numPr>
                <w:ilvl w:val="2"/>
                <w:numId w:val="32"/>
              </w:numPr>
              <w:rPr>
                <w:rFonts w:ascii="Arial" w:eastAsiaTheme="minorEastAsia" w:hAnsi="Arial" w:cs="Arial"/>
                <w:lang w:val="en-US" w:eastAsia="ja-JP"/>
              </w:rPr>
            </w:pPr>
            <w:r w:rsidRPr="0077725E">
              <w:rPr>
                <w:rFonts w:ascii="Arial" w:eastAsiaTheme="minorEastAsia" w:hAnsi="Arial" w:cs="Arial"/>
                <w:lang w:val="en-US" w:eastAsia="ja-JP"/>
              </w:rPr>
              <w:lastRenderedPageBreak/>
              <w:t>Pregnant women are already offered a screening test for Down’s syndrome, Edwards’ syndrome and Patau’s syndrome from 10-14 weeks of pregnancy (the combined test, involving an ultrasound scan and blood test), or a screening test for Down’s syndrome only (the quadruple test, involving a blood test alone) if booking between 14-20 weeks.</w:t>
            </w:r>
          </w:p>
          <w:p w14:paraId="56BA760F" w14:textId="7194F1C8" w:rsidR="00574B02" w:rsidRPr="0077725E" w:rsidRDefault="00574B02" w:rsidP="00191984">
            <w:pPr>
              <w:pStyle w:val="ListParagraph"/>
              <w:numPr>
                <w:ilvl w:val="2"/>
                <w:numId w:val="32"/>
              </w:numPr>
              <w:rPr>
                <w:rFonts w:ascii="Arial" w:eastAsiaTheme="minorEastAsia" w:hAnsi="Arial" w:cs="Arial"/>
                <w:lang w:val="en-US" w:eastAsia="ja-JP"/>
              </w:rPr>
            </w:pPr>
            <w:r w:rsidRPr="0077725E">
              <w:rPr>
                <w:rFonts w:ascii="Arial" w:eastAsiaTheme="minorEastAsia" w:hAnsi="Arial" w:cs="Arial"/>
                <w:lang w:val="en-US" w:eastAsia="ja-JP"/>
              </w:rPr>
              <w:t>If the screening test shows that the chance of having a baby with Down’s</w:t>
            </w:r>
            <w:r w:rsidR="004F24A0" w:rsidRPr="0077725E">
              <w:rPr>
                <w:rFonts w:ascii="Arial" w:eastAsiaTheme="minorEastAsia" w:hAnsi="Arial" w:cs="Arial"/>
                <w:lang w:val="en-US" w:eastAsia="ja-JP"/>
              </w:rPr>
              <w:t xml:space="preserve"> syndrome</w:t>
            </w:r>
            <w:r w:rsidRPr="0077725E">
              <w:rPr>
                <w:rFonts w:ascii="Arial" w:eastAsiaTheme="minorEastAsia" w:hAnsi="Arial" w:cs="Arial"/>
                <w:lang w:val="en-US" w:eastAsia="ja-JP"/>
              </w:rPr>
              <w:t>, Edwards’</w:t>
            </w:r>
            <w:r w:rsidR="004F24A0" w:rsidRPr="0077725E">
              <w:rPr>
                <w:rFonts w:ascii="Arial" w:eastAsiaTheme="minorEastAsia" w:hAnsi="Arial" w:cs="Arial"/>
                <w:lang w:val="en-US" w:eastAsia="ja-JP"/>
              </w:rPr>
              <w:t xml:space="preserve"> syndrome</w:t>
            </w:r>
            <w:r w:rsidRPr="0077725E">
              <w:rPr>
                <w:rFonts w:ascii="Arial" w:eastAsiaTheme="minorEastAsia" w:hAnsi="Arial" w:cs="Arial"/>
                <w:lang w:val="en-US" w:eastAsia="ja-JP"/>
              </w:rPr>
              <w:t xml:space="preserve"> and Patau’s syndrome is higher than 1 in 150, this is called a higher-</w:t>
            </w:r>
            <w:r w:rsidR="004F24A0" w:rsidRPr="0077725E">
              <w:rPr>
                <w:rFonts w:ascii="Arial" w:eastAsiaTheme="minorEastAsia" w:hAnsi="Arial" w:cs="Arial"/>
                <w:lang w:val="en-US" w:eastAsia="ja-JP"/>
              </w:rPr>
              <w:t xml:space="preserve"> chance </w:t>
            </w:r>
            <w:r w:rsidRPr="0077725E">
              <w:rPr>
                <w:rFonts w:ascii="Arial" w:eastAsiaTheme="minorEastAsia" w:hAnsi="Arial" w:cs="Arial"/>
                <w:lang w:val="en-US" w:eastAsia="ja-JP"/>
              </w:rPr>
              <w:t>result. Currently, women who have a higher</w:t>
            </w:r>
            <w:r w:rsidR="000B45FB" w:rsidRPr="0077725E">
              <w:rPr>
                <w:rFonts w:ascii="Arial" w:eastAsiaTheme="minorEastAsia" w:hAnsi="Arial" w:cs="Arial"/>
                <w:lang w:val="en-US" w:eastAsia="ja-JP"/>
              </w:rPr>
              <w:t xml:space="preserve"> </w:t>
            </w:r>
            <w:r w:rsidR="004F24A0" w:rsidRPr="0077725E">
              <w:rPr>
                <w:rFonts w:ascii="Arial" w:eastAsiaTheme="minorEastAsia" w:hAnsi="Arial" w:cs="Arial"/>
                <w:lang w:val="en-US" w:eastAsia="ja-JP"/>
              </w:rPr>
              <w:t xml:space="preserve">chance </w:t>
            </w:r>
            <w:r w:rsidRPr="0077725E">
              <w:rPr>
                <w:rFonts w:ascii="Arial" w:eastAsiaTheme="minorEastAsia" w:hAnsi="Arial" w:cs="Arial"/>
                <w:lang w:val="en-US" w:eastAsia="ja-JP"/>
              </w:rPr>
              <w:t>result have the option of having an invasive diagnostic test (amniocentesis or CVS).</w:t>
            </w:r>
          </w:p>
          <w:p w14:paraId="4A4FF531" w14:textId="4E1BF339" w:rsidR="00A533AB" w:rsidRPr="0077725E" w:rsidRDefault="00574B02" w:rsidP="00191984">
            <w:pPr>
              <w:pStyle w:val="ListParagraph"/>
              <w:numPr>
                <w:ilvl w:val="2"/>
                <w:numId w:val="32"/>
              </w:numPr>
              <w:rPr>
                <w:rFonts w:ascii="Arial" w:eastAsiaTheme="minorEastAsia" w:hAnsi="Arial" w:cs="Arial"/>
                <w:lang w:val="en-US" w:eastAsia="ja-JP"/>
              </w:rPr>
            </w:pPr>
            <w:r w:rsidRPr="0077725E">
              <w:rPr>
                <w:rFonts w:ascii="Arial" w:eastAsiaTheme="minorEastAsia" w:hAnsi="Arial" w:cs="Arial"/>
                <w:lang w:val="en-US" w:eastAsia="ja-JP"/>
              </w:rPr>
              <w:t>The proposed change is for Non-Invasive Prenatal Testing to be offered to women who are deemed at higher</w:t>
            </w:r>
            <w:r w:rsidR="000B45FB" w:rsidRPr="0077725E">
              <w:rPr>
                <w:rFonts w:ascii="Arial" w:eastAsiaTheme="minorEastAsia" w:hAnsi="Arial" w:cs="Arial"/>
                <w:lang w:val="en-US" w:eastAsia="ja-JP"/>
              </w:rPr>
              <w:t xml:space="preserve"> </w:t>
            </w:r>
            <w:r w:rsidR="00F82300" w:rsidRPr="0077725E">
              <w:rPr>
                <w:rFonts w:ascii="Arial" w:eastAsiaTheme="minorEastAsia" w:hAnsi="Arial" w:cs="Arial"/>
                <w:lang w:val="en-US" w:eastAsia="ja-JP"/>
              </w:rPr>
              <w:t>chance</w:t>
            </w:r>
            <w:r w:rsidRPr="0077725E">
              <w:rPr>
                <w:rFonts w:ascii="Arial" w:eastAsiaTheme="minorEastAsia" w:hAnsi="Arial" w:cs="Arial"/>
                <w:lang w:val="en-US" w:eastAsia="ja-JP"/>
              </w:rPr>
              <w:t xml:space="preserve"> following the current primary screen. NIPT is not diagnostic and an invasive diagnostic test is still required to receive a definitive diagnosis</w:t>
            </w:r>
          </w:p>
          <w:p w14:paraId="787E272C" w14:textId="77777777" w:rsidR="006966DA" w:rsidRPr="0077725E" w:rsidRDefault="006966DA" w:rsidP="00191984">
            <w:pPr>
              <w:pStyle w:val="ListParagraph"/>
              <w:numPr>
                <w:ilvl w:val="2"/>
                <w:numId w:val="32"/>
              </w:numPr>
              <w:rPr>
                <w:rFonts w:ascii="Arial" w:eastAsiaTheme="minorEastAsia" w:hAnsi="Arial" w:cs="Arial"/>
                <w:lang w:val="en-US" w:eastAsia="ja-JP"/>
              </w:rPr>
            </w:pPr>
            <w:r w:rsidRPr="0077725E">
              <w:rPr>
                <w:rFonts w:ascii="Arial" w:eastAsiaTheme="minorEastAsia" w:hAnsi="Arial" w:cs="Arial"/>
                <w:lang w:val="en-US" w:eastAsia="ja-JP"/>
              </w:rPr>
              <w:t>Key findings supporting the UK NSC recommendation:</w:t>
            </w:r>
          </w:p>
          <w:p w14:paraId="1AB1C30A" w14:textId="77777777" w:rsidR="006966DA" w:rsidRPr="0077725E" w:rsidRDefault="006966DA" w:rsidP="00FB275D">
            <w:pPr>
              <w:pStyle w:val="ListParagraph"/>
              <w:numPr>
                <w:ilvl w:val="2"/>
                <w:numId w:val="29"/>
              </w:numPr>
              <w:ind w:left="1193" w:hanging="284"/>
              <w:rPr>
                <w:rFonts w:ascii="Arial" w:eastAsiaTheme="minorEastAsia" w:hAnsi="Arial" w:cs="Arial"/>
                <w:lang w:val="en-US" w:eastAsia="ja-JP"/>
              </w:rPr>
            </w:pPr>
            <w:r w:rsidRPr="0077725E">
              <w:rPr>
                <w:rFonts w:ascii="Arial" w:eastAsiaTheme="minorEastAsia" w:hAnsi="Arial" w:cs="Arial"/>
                <w:lang w:val="en-US" w:eastAsia="ja-JP"/>
              </w:rPr>
              <w:t>an invasive diagnostic test carries a small risk of miscarriage. The evidence suggests that NIPT will reduce the number of women being offered an invasive test.</w:t>
            </w:r>
          </w:p>
          <w:p w14:paraId="30941A72" w14:textId="3A9A1C3F" w:rsidR="006966DA" w:rsidRPr="0077725E" w:rsidRDefault="006966DA" w:rsidP="004F24A0">
            <w:pPr>
              <w:pStyle w:val="ListParagraph"/>
              <w:numPr>
                <w:ilvl w:val="2"/>
                <w:numId w:val="29"/>
              </w:numPr>
              <w:ind w:left="1193" w:hanging="284"/>
              <w:rPr>
                <w:rFonts w:ascii="Arial" w:eastAsiaTheme="minorEastAsia" w:hAnsi="Arial" w:cs="Arial"/>
                <w:lang w:val="en-US" w:eastAsia="ja-JP"/>
              </w:rPr>
            </w:pPr>
            <w:r w:rsidRPr="0077725E">
              <w:rPr>
                <w:rFonts w:ascii="Arial" w:eastAsiaTheme="minorEastAsia" w:hAnsi="Arial" w:cs="Arial"/>
                <w:lang w:val="en-US" w:eastAsia="ja-JP"/>
              </w:rPr>
              <w:t>however, while we know that the accuracy of NIPT is good, we don’t yet know how it will</w:t>
            </w:r>
            <w:r w:rsidR="005F58BF"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 xml:space="preserve">perform in an NHS screening </w:t>
            </w:r>
            <w:proofErr w:type="spellStart"/>
            <w:r w:rsidRPr="0077725E">
              <w:rPr>
                <w:rFonts w:ascii="Arial" w:eastAsiaTheme="minorEastAsia" w:hAnsi="Arial" w:cs="Arial"/>
                <w:lang w:val="en-US" w:eastAsia="ja-JP"/>
              </w:rPr>
              <w:t>programme</w:t>
            </w:r>
            <w:proofErr w:type="spellEnd"/>
            <w:r w:rsidRPr="0077725E">
              <w:rPr>
                <w:rFonts w:ascii="Arial" w:eastAsiaTheme="minorEastAsia" w:hAnsi="Arial" w:cs="Arial"/>
                <w:lang w:val="en-US" w:eastAsia="ja-JP"/>
              </w:rPr>
              <w:t xml:space="preserve"> pathway</w:t>
            </w:r>
            <w:r w:rsidR="009133D9" w:rsidRPr="0077725E">
              <w:rPr>
                <w:rFonts w:ascii="Arial" w:eastAsiaTheme="minorEastAsia" w:hAnsi="Arial" w:cs="Arial"/>
                <w:lang w:val="en-US" w:eastAsia="ja-JP"/>
              </w:rPr>
              <w:t xml:space="preserve"> (hence the evaluative roll out service commissioned here),</w:t>
            </w:r>
          </w:p>
          <w:p w14:paraId="3CC749A7" w14:textId="6B491903" w:rsidR="006966DA" w:rsidRPr="0077725E" w:rsidRDefault="006966DA" w:rsidP="00FB275D">
            <w:pPr>
              <w:pStyle w:val="ListParagraph"/>
              <w:numPr>
                <w:ilvl w:val="2"/>
                <w:numId w:val="29"/>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for women who choose to have NIPT, this will add in an extra step in the screening </w:t>
            </w:r>
            <w:proofErr w:type="spellStart"/>
            <w:r w:rsidRPr="0077725E">
              <w:rPr>
                <w:rFonts w:ascii="Arial" w:eastAsiaTheme="minorEastAsia" w:hAnsi="Arial" w:cs="Arial"/>
                <w:lang w:val="en-US" w:eastAsia="ja-JP"/>
              </w:rPr>
              <w:t>programme</w:t>
            </w:r>
            <w:proofErr w:type="spellEnd"/>
            <w:r w:rsidRPr="0077725E">
              <w:rPr>
                <w:rFonts w:ascii="Arial" w:eastAsiaTheme="minorEastAsia" w:hAnsi="Arial" w:cs="Arial"/>
                <w:lang w:val="en-US" w:eastAsia="ja-JP"/>
              </w:rPr>
              <w:t>. The</w:t>
            </w:r>
            <w:r w:rsidR="009133D9"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impact of this, and the choices women make at different points in the pathway, is something that</w:t>
            </w:r>
            <w:r w:rsidR="009133D9"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 xml:space="preserve">we hope to gain a better understanding of through further </w:t>
            </w:r>
            <w:r w:rsidR="00FD07A8" w:rsidRPr="0077725E">
              <w:rPr>
                <w:rFonts w:ascii="Arial" w:eastAsiaTheme="minorEastAsia" w:hAnsi="Arial" w:cs="Arial"/>
                <w:lang w:val="en-US" w:eastAsia="ja-JP"/>
              </w:rPr>
              <w:t>evaluation</w:t>
            </w:r>
            <w:r w:rsidR="009133D9" w:rsidRPr="0077725E">
              <w:rPr>
                <w:rFonts w:ascii="Arial" w:eastAsiaTheme="minorEastAsia" w:hAnsi="Arial" w:cs="Arial"/>
                <w:lang w:val="en-US" w:eastAsia="ja-JP"/>
              </w:rPr>
              <w:t>.</w:t>
            </w:r>
          </w:p>
          <w:p w14:paraId="44615506" w14:textId="77777777" w:rsidR="006966DA" w:rsidRPr="0077725E" w:rsidRDefault="00FB275D" w:rsidP="00191984">
            <w:pPr>
              <w:pStyle w:val="ListParagraph"/>
              <w:numPr>
                <w:ilvl w:val="2"/>
                <w:numId w:val="32"/>
              </w:numPr>
              <w:rPr>
                <w:rFonts w:ascii="Arial" w:eastAsiaTheme="minorEastAsia" w:hAnsi="Arial" w:cs="Arial"/>
                <w:lang w:val="en-US" w:eastAsia="ja-JP"/>
              </w:rPr>
            </w:pPr>
            <w:r w:rsidRPr="0077725E">
              <w:rPr>
                <w:rFonts w:ascii="Arial" w:eastAsiaTheme="minorEastAsia" w:hAnsi="Arial" w:cs="Arial"/>
                <w:lang w:val="en-US" w:eastAsia="ja-JP"/>
              </w:rPr>
              <w:t>A</w:t>
            </w:r>
            <w:r w:rsidR="006966DA" w:rsidRPr="0077725E">
              <w:rPr>
                <w:rFonts w:ascii="Arial" w:eastAsiaTheme="minorEastAsia" w:hAnsi="Arial" w:cs="Arial"/>
                <w:lang w:val="en-US" w:eastAsia="ja-JP"/>
              </w:rPr>
              <w:t xml:space="preserve"> recommendation has therefore been made to evaluate the introduction of non-invasive prenatal</w:t>
            </w:r>
            <w:r w:rsidR="009133D9" w:rsidRPr="0077725E">
              <w:rPr>
                <w:rFonts w:ascii="Arial" w:eastAsiaTheme="minorEastAsia" w:hAnsi="Arial" w:cs="Arial"/>
                <w:lang w:val="en-US" w:eastAsia="ja-JP"/>
              </w:rPr>
              <w:t xml:space="preserve"> </w:t>
            </w:r>
            <w:r w:rsidR="006966DA" w:rsidRPr="0077725E">
              <w:rPr>
                <w:rFonts w:ascii="Arial" w:eastAsiaTheme="minorEastAsia" w:hAnsi="Arial" w:cs="Arial"/>
                <w:lang w:val="en-US" w:eastAsia="ja-JP"/>
              </w:rPr>
              <w:t>testing (NIPT) to Down’s syndrome</w:t>
            </w:r>
            <w:r w:rsidR="00F82300" w:rsidRPr="0077725E">
              <w:rPr>
                <w:rFonts w:ascii="Arial" w:eastAsiaTheme="minorEastAsia" w:hAnsi="Arial" w:cs="Arial"/>
                <w:lang w:val="en-US" w:eastAsia="ja-JP"/>
              </w:rPr>
              <w:t>, Edwards’ syndrome and Patau’s syndrome</w:t>
            </w:r>
            <w:r w:rsidR="006966DA" w:rsidRPr="0077725E">
              <w:rPr>
                <w:rFonts w:ascii="Arial" w:eastAsiaTheme="minorEastAsia" w:hAnsi="Arial" w:cs="Arial"/>
                <w:lang w:val="en-US" w:eastAsia="ja-JP"/>
              </w:rPr>
              <w:t xml:space="preserve"> screening. This will include scientific, ethical and user input to</w:t>
            </w:r>
            <w:r w:rsidR="00A04EF9" w:rsidRPr="0077725E">
              <w:rPr>
                <w:rFonts w:ascii="Arial" w:eastAsiaTheme="minorEastAsia" w:hAnsi="Arial" w:cs="Arial"/>
                <w:lang w:val="en-US" w:eastAsia="ja-JP"/>
              </w:rPr>
              <w:t xml:space="preserve"> </w:t>
            </w:r>
            <w:r w:rsidR="006966DA" w:rsidRPr="0077725E">
              <w:rPr>
                <w:rFonts w:ascii="Arial" w:eastAsiaTheme="minorEastAsia" w:hAnsi="Arial" w:cs="Arial"/>
                <w:lang w:val="en-US" w:eastAsia="ja-JP"/>
              </w:rPr>
              <w:t xml:space="preserve">better understand the impact on women, their partners and the screening </w:t>
            </w:r>
            <w:proofErr w:type="spellStart"/>
            <w:r w:rsidR="006966DA" w:rsidRPr="0077725E">
              <w:rPr>
                <w:rFonts w:ascii="Arial" w:eastAsiaTheme="minorEastAsia" w:hAnsi="Arial" w:cs="Arial"/>
                <w:lang w:val="en-US" w:eastAsia="ja-JP"/>
              </w:rPr>
              <w:t>programme</w:t>
            </w:r>
            <w:proofErr w:type="spellEnd"/>
            <w:r w:rsidR="006966DA" w:rsidRPr="0077725E">
              <w:rPr>
                <w:rFonts w:ascii="Arial" w:eastAsiaTheme="minorEastAsia" w:hAnsi="Arial" w:cs="Arial"/>
                <w:lang w:val="en-US" w:eastAsia="ja-JP"/>
              </w:rPr>
              <w:t xml:space="preserve"> around the</w:t>
            </w:r>
            <w:r w:rsidR="00A04EF9" w:rsidRPr="0077725E">
              <w:rPr>
                <w:rFonts w:ascii="Arial" w:eastAsiaTheme="minorEastAsia" w:hAnsi="Arial" w:cs="Arial"/>
                <w:lang w:val="en-US" w:eastAsia="ja-JP"/>
              </w:rPr>
              <w:t xml:space="preserve"> </w:t>
            </w:r>
            <w:r w:rsidR="006966DA" w:rsidRPr="0077725E">
              <w:rPr>
                <w:rFonts w:ascii="Arial" w:eastAsiaTheme="minorEastAsia" w:hAnsi="Arial" w:cs="Arial"/>
                <w:lang w:val="en-US" w:eastAsia="ja-JP"/>
              </w:rPr>
              <w:t xml:space="preserve">offer of </w:t>
            </w:r>
            <w:proofErr w:type="spellStart"/>
            <w:r w:rsidR="006966DA" w:rsidRPr="0077725E">
              <w:rPr>
                <w:rFonts w:ascii="Arial" w:eastAsiaTheme="minorEastAsia" w:hAnsi="Arial" w:cs="Arial"/>
                <w:lang w:val="en-US" w:eastAsia="ja-JP"/>
              </w:rPr>
              <w:t>cfDNA</w:t>
            </w:r>
            <w:proofErr w:type="spellEnd"/>
            <w:r w:rsidR="006966DA" w:rsidRPr="0077725E">
              <w:rPr>
                <w:rFonts w:ascii="Arial" w:eastAsiaTheme="minorEastAsia" w:hAnsi="Arial" w:cs="Arial"/>
                <w:lang w:val="en-US" w:eastAsia="ja-JP"/>
              </w:rPr>
              <w:t xml:space="preserve"> or invasive testing following a screening test result where:</w:t>
            </w:r>
          </w:p>
          <w:p w14:paraId="65079A59" w14:textId="06DAA78D" w:rsidR="006966DA" w:rsidRPr="0077725E" w:rsidRDefault="006966DA" w:rsidP="005F58BF">
            <w:pPr>
              <w:pStyle w:val="ListParagraph"/>
              <w:numPr>
                <w:ilvl w:val="2"/>
                <w:numId w:val="30"/>
              </w:numPr>
              <w:ind w:left="1193" w:hanging="284"/>
              <w:rPr>
                <w:rFonts w:ascii="Arial" w:eastAsiaTheme="minorEastAsia" w:hAnsi="Arial" w:cs="Arial"/>
                <w:lang w:val="en-US" w:eastAsia="ja-JP"/>
              </w:rPr>
            </w:pPr>
            <w:r w:rsidRPr="0077725E">
              <w:rPr>
                <w:rFonts w:ascii="Arial" w:eastAsiaTheme="minorEastAsia" w:hAnsi="Arial" w:cs="Arial"/>
                <w:lang w:val="en-US" w:eastAsia="ja-JP"/>
              </w:rPr>
              <w:t>the screening test</w:t>
            </w:r>
            <w:r w:rsidR="000B45FB" w:rsidRPr="0077725E">
              <w:rPr>
                <w:rFonts w:ascii="Arial" w:eastAsiaTheme="minorEastAsia" w:hAnsi="Arial" w:cs="Arial"/>
                <w:lang w:val="en-US" w:eastAsia="ja-JP"/>
              </w:rPr>
              <w:t xml:space="preserve"> </w:t>
            </w:r>
            <w:r w:rsidR="00F82300" w:rsidRPr="0077725E">
              <w:rPr>
                <w:rFonts w:ascii="Arial" w:eastAsiaTheme="minorEastAsia" w:hAnsi="Arial" w:cs="Arial"/>
                <w:lang w:val="en-US" w:eastAsia="ja-JP"/>
              </w:rPr>
              <w:t>chance</w:t>
            </w:r>
            <w:r w:rsidR="000B45FB" w:rsidRPr="0077725E">
              <w:rPr>
                <w:rFonts w:ascii="Arial" w:eastAsiaTheme="minorEastAsia" w:hAnsi="Arial" w:cs="Arial"/>
                <w:lang w:val="en-US" w:eastAsia="ja-JP"/>
              </w:rPr>
              <w:t xml:space="preserve"> </w:t>
            </w:r>
            <w:r w:rsidR="00F82300" w:rsidRPr="0077725E">
              <w:rPr>
                <w:rFonts w:ascii="Arial" w:eastAsiaTheme="minorEastAsia" w:hAnsi="Arial" w:cs="Arial"/>
                <w:lang w:val="en-US" w:eastAsia="ja-JP"/>
              </w:rPr>
              <w:t xml:space="preserve">result </w:t>
            </w:r>
            <w:r w:rsidRPr="0077725E">
              <w:rPr>
                <w:rFonts w:ascii="Arial" w:eastAsiaTheme="minorEastAsia" w:hAnsi="Arial" w:cs="Arial"/>
                <w:lang w:val="en-US" w:eastAsia="ja-JP"/>
              </w:rPr>
              <w:t>for trisomy 21 (T21) is greater than or equal to 1 in 150</w:t>
            </w:r>
          </w:p>
          <w:p w14:paraId="6FB939FF" w14:textId="1E2A851F" w:rsidR="00A533AB" w:rsidRPr="0077725E" w:rsidRDefault="006966DA" w:rsidP="005F58BF">
            <w:pPr>
              <w:pStyle w:val="ListParagraph"/>
              <w:numPr>
                <w:ilvl w:val="2"/>
                <w:numId w:val="30"/>
              </w:numPr>
              <w:ind w:left="1193" w:hanging="284"/>
              <w:rPr>
                <w:rFonts w:ascii="Arial" w:eastAsiaTheme="minorEastAsia" w:hAnsi="Arial" w:cs="Arial"/>
                <w:lang w:val="en-US" w:eastAsia="ja-JP"/>
              </w:rPr>
            </w:pPr>
            <w:r w:rsidRPr="0077725E">
              <w:rPr>
                <w:rFonts w:ascii="Arial" w:eastAsiaTheme="minorEastAsia" w:hAnsi="Arial" w:cs="Arial"/>
                <w:lang w:val="en-US" w:eastAsia="ja-JP"/>
              </w:rPr>
              <w:t>the combined test</w:t>
            </w:r>
            <w:r w:rsidR="000B45FB" w:rsidRPr="0077725E">
              <w:rPr>
                <w:rFonts w:ascii="Arial" w:eastAsiaTheme="minorEastAsia" w:hAnsi="Arial" w:cs="Arial"/>
                <w:lang w:val="en-US" w:eastAsia="ja-JP"/>
              </w:rPr>
              <w:t xml:space="preserve"> </w:t>
            </w:r>
            <w:r w:rsidR="00F82300" w:rsidRPr="0077725E">
              <w:rPr>
                <w:rFonts w:ascii="Arial" w:eastAsiaTheme="minorEastAsia" w:hAnsi="Arial" w:cs="Arial"/>
                <w:lang w:val="en-US" w:eastAsia="ja-JP"/>
              </w:rPr>
              <w:t>chance</w:t>
            </w:r>
            <w:r w:rsidR="000B45FB" w:rsidRPr="0077725E">
              <w:rPr>
                <w:rFonts w:ascii="Arial" w:eastAsiaTheme="minorEastAsia" w:hAnsi="Arial" w:cs="Arial"/>
                <w:lang w:val="en-US" w:eastAsia="ja-JP"/>
              </w:rPr>
              <w:t xml:space="preserve"> </w:t>
            </w:r>
            <w:r w:rsidR="00F82300" w:rsidRPr="0077725E">
              <w:rPr>
                <w:rFonts w:ascii="Arial" w:eastAsiaTheme="minorEastAsia" w:hAnsi="Arial" w:cs="Arial"/>
                <w:lang w:val="en-US" w:eastAsia="ja-JP"/>
              </w:rPr>
              <w:t>result f</w:t>
            </w:r>
            <w:r w:rsidRPr="0077725E">
              <w:rPr>
                <w:rFonts w:ascii="Arial" w:eastAsiaTheme="minorEastAsia" w:hAnsi="Arial" w:cs="Arial"/>
                <w:lang w:val="en-US" w:eastAsia="ja-JP"/>
              </w:rPr>
              <w:t>or trisomy 18 (T18) and trisomy 13 (T13) is greater than or equal to</w:t>
            </w:r>
            <w:r w:rsidR="00A04EF9"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1 in 15</w:t>
            </w:r>
            <w:r w:rsidR="00F82300" w:rsidRPr="0077725E">
              <w:rPr>
                <w:rFonts w:ascii="Arial" w:eastAsiaTheme="minorEastAsia" w:hAnsi="Arial" w:cs="Arial"/>
                <w:lang w:val="en-US" w:eastAsia="ja-JP"/>
              </w:rPr>
              <w:t>0</w:t>
            </w:r>
            <w:r w:rsidR="005F58BF" w:rsidRPr="0077725E">
              <w:rPr>
                <w:rFonts w:ascii="Arial" w:eastAsiaTheme="minorEastAsia" w:hAnsi="Arial" w:cs="Arial"/>
                <w:lang w:val="en-US" w:eastAsia="ja-JP"/>
              </w:rPr>
              <w:t>.</w:t>
            </w:r>
          </w:p>
          <w:p w14:paraId="2FF2DA88" w14:textId="77777777" w:rsidR="00576608" w:rsidRPr="0077725E" w:rsidRDefault="00576608" w:rsidP="004F24A0">
            <w:pPr>
              <w:spacing w:after="0"/>
              <w:rPr>
                <w:rFonts w:ascii="Arial" w:hAnsi="Arial" w:cs="Arial"/>
                <w:szCs w:val="24"/>
              </w:rPr>
            </w:pPr>
          </w:p>
          <w:p w14:paraId="12B666A8" w14:textId="79700DFA" w:rsidR="00576608" w:rsidRPr="0077725E" w:rsidRDefault="00576608" w:rsidP="005F58BF">
            <w:pPr>
              <w:pStyle w:val="Heading2"/>
              <w:rPr>
                <w:rFonts w:ascii="Arial" w:hAnsi="Arial" w:cs="Arial"/>
                <w:sz w:val="24"/>
                <w:szCs w:val="24"/>
              </w:rPr>
            </w:pPr>
            <w:r w:rsidRPr="0077725E">
              <w:rPr>
                <w:rFonts w:ascii="Arial" w:hAnsi="Arial" w:cs="Arial"/>
                <w:sz w:val="24"/>
                <w:szCs w:val="24"/>
              </w:rPr>
              <w:t>3.2</w:t>
            </w:r>
            <w:r w:rsidRPr="0077725E">
              <w:rPr>
                <w:rFonts w:ascii="Arial" w:hAnsi="Arial" w:cs="Arial"/>
                <w:sz w:val="24"/>
                <w:szCs w:val="24"/>
              </w:rPr>
              <w:tab/>
            </w:r>
            <w:r w:rsidR="00250E71" w:rsidRPr="00250E71">
              <w:rPr>
                <w:rFonts w:ascii="Arial" w:hAnsi="Arial" w:cs="Arial"/>
                <w:sz w:val="24"/>
                <w:szCs w:val="24"/>
              </w:rPr>
              <w:t xml:space="preserve">Laboratory </w:t>
            </w:r>
            <w:r w:rsidRPr="0077725E">
              <w:rPr>
                <w:rFonts w:ascii="Arial" w:hAnsi="Arial" w:cs="Arial"/>
                <w:sz w:val="24"/>
                <w:szCs w:val="24"/>
              </w:rPr>
              <w:t>Service description</w:t>
            </w:r>
          </w:p>
          <w:p w14:paraId="7A8CE6F0" w14:textId="77777777" w:rsidR="00032DEA" w:rsidRPr="0077725E" w:rsidRDefault="00032DEA" w:rsidP="004F24A0">
            <w:pPr>
              <w:spacing w:after="0"/>
              <w:rPr>
                <w:rFonts w:ascii="Arial" w:hAnsi="Arial" w:cs="Arial"/>
                <w:b/>
                <w:szCs w:val="24"/>
              </w:rPr>
            </w:pPr>
          </w:p>
          <w:p w14:paraId="0A846FF7" w14:textId="77777777" w:rsidR="00685F53" w:rsidRPr="0077725E" w:rsidRDefault="00685F53" w:rsidP="00685F53">
            <w:pPr>
              <w:pStyle w:val="ListParagraph"/>
              <w:numPr>
                <w:ilvl w:val="0"/>
                <w:numId w:val="33"/>
              </w:numPr>
              <w:rPr>
                <w:rFonts w:ascii="Arial" w:eastAsiaTheme="minorEastAsia" w:hAnsi="Arial" w:cs="Arial"/>
                <w:vanish/>
                <w:lang w:val="en-US" w:eastAsia="ja-JP"/>
              </w:rPr>
            </w:pPr>
          </w:p>
          <w:p w14:paraId="15C80411" w14:textId="77777777" w:rsidR="00685F53" w:rsidRPr="0077725E" w:rsidRDefault="00685F53" w:rsidP="00685F53">
            <w:pPr>
              <w:pStyle w:val="ListParagraph"/>
              <w:numPr>
                <w:ilvl w:val="0"/>
                <w:numId w:val="33"/>
              </w:numPr>
              <w:rPr>
                <w:rFonts w:ascii="Arial" w:eastAsiaTheme="minorEastAsia" w:hAnsi="Arial" w:cs="Arial"/>
                <w:vanish/>
                <w:lang w:val="en-US" w:eastAsia="ja-JP"/>
              </w:rPr>
            </w:pPr>
          </w:p>
          <w:p w14:paraId="3550AF88" w14:textId="77777777" w:rsidR="00685F53" w:rsidRPr="0077725E" w:rsidRDefault="00685F53" w:rsidP="00685F53">
            <w:pPr>
              <w:pStyle w:val="ListParagraph"/>
              <w:numPr>
                <w:ilvl w:val="0"/>
                <w:numId w:val="33"/>
              </w:numPr>
              <w:rPr>
                <w:rFonts w:ascii="Arial" w:eastAsiaTheme="minorEastAsia" w:hAnsi="Arial" w:cs="Arial"/>
                <w:vanish/>
                <w:lang w:val="en-US" w:eastAsia="ja-JP"/>
              </w:rPr>
            </w:pPr>
          </w:p>
          <w:p w14:paraId="736AC673" w14:textId="77777777" w:rsidR="00685F53" w:rsidRPr="0077725E" w:rsidRDefault="00685F53" w:rsidP="00685F53">
            <w:pPr>
              <w:pStyle w:val="ListParagraph"/>
              <w:numPr>
                <w:ilvl w:val="1"/>
                <w:numId w:val="33"/>
              </w:numPr>
              <w:rPr>
                <w:rFonts w:ascii="Arial" w:eastAsiaTheme="minorEastAsia" w:hAnsi="Arial" w:cs="Arial"/>
                <w:vanish/>
                <w:lang w:val="en-US" w:eastAsia="ja-JP"/>
              </w:rPr>
            </w:pPr>
          </w:p>
          <w:p w14:paraId="624C2602" w14:textId="77777777" w:rsidR="00685F53" w:rsidRPr="0077725E" w:rsidRDefault="00685F53" w:rsidP="00685F53">
            <w:pPr>
              <w:pStyle w:val="ListParagraph"/>
              <w:numPr>
                <w:ilvl w:val="1"/>
                <w:numId w:val="33"/>
              </w:numPr>
              <w:rPr>
                <w:rFonts w:ascii="Arial" w:eastAsiaTheme="minorEastAsia" w:hAnsi="Arial" w:cs="Arial"/>
                <w:vanish/>
                <w:lang w:val="en-US" w:eastAsia="ja-JP"/>
              </w:rPr>
            </w:pPr>
          </w:p>
          <w:p w14:paraId="1E5AFADD" w14:textId="77777777" w:rsidR="00F7009A" w:rsidRPr="0077725E" w:rsidRDefault="00F7009A" w:rsidP="00685F53">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A Provider of NIPT will be as a minimum be a Genomic Laboratory Hub (GLH).</w:t>
            </w:r>
          </w:p>
          <w:p w14:paraId="2356A57C" w14:textId="77777777" w:rsidR="00F7009A" w:rsidRPr="0077725E" w:rsidRDefault="00F7009A" w:rsidP="00685F53">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In order to perform NIPT, the NIPT Provider must be ISO 15189:2012 accredited and must participate in ISO 17043 NIPT accredited </w:t>
            </w:r>
            <w:r w:rsidR="00193695" w:rsidRPr="0077725E">
              <w:rPr>
                <w:rFonts w:ascii="Arial" w:eastAsiaTheme="minorEastAsia" w:hAnsi="Arial" w:cs="Arial"/>
                <w:lang w:val="en-US" w:eastAsia="ja-JP"/>
              </w:rPr>
              <w:t>external quality accredited (</w:t>
            </w:r>
            <w:r w:rsidRPr="0077725E">
              <w:rPr>
                <w:rFonts w:ascii="Arial" w:eastAsiaTheme="minorEastAsia" w:hAnsi="Arial" w:cs="Arial"/>
                <w:lang w:val="en-US" w:eastAsia="ja-JP"/>
              </w:rPr>
              <w:t>EQA</w:t>
            </w:r>
            <w:r w:rsidR="00193695" w:rsidRPr="0077725E">
              <w:rPr>
                <w:rFonts w:ascii="Arial" w:eastAsiaTheme="minorEastAsia" w:hAnsi="Arial" w:cs="Arial"/>
                <w:lang w:val="en-US" w:eastAsia="ja-JP"/>
              </w:rPr>
              <w:t>)</w:t>
            </w:r>
            <w:r w:rsidRPr="0077725E">
              <w:rPr>
                <w:rFonts w:ascii="Arial" w:eastAsiaTheme="minorEastAsia" w:hAnsi="Arial" w:cs="Arial"/>
                <w:lang w:val="en-US" w:eastAsia="ja-JP"/>
              </w:rPr>
              <w:t xml:space="preserve"> scheme.</w:t>
            </w:r>
          </w:p>
          <w:p w14:paraId="4E175E89" w14:textId="7F5258F6" w:rsidR="00F7009A" w:rsidRPr="0077725E" w:rsidRDefault="00F7009A" w:rsidP="00685F53">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Where NIPT services are sub-contracted the sub-contractor should be a defined as a Local Genomic Laboratory (LGL) and </w:t>
            </w:r>
            <w:r w:rsidR="00921EF6" w:rsidRPr="0077725E">
              <w:rPr>
                <w:rFonts w:ascii="Arial" w:eastAsiaTheme="minorEastAsia" w:hAnsi="Arial" w:cs="Arial"/>
                <w:lang w:val="en-US" w:eastAsia="ja-JP"/>
              </w:rPr>
              <w:t>will</w:t>
            </w:r>
            <w:r w:rsidRPr="0077725E">
              <w:rPr>
                <w:rFonts w:ascii="Arial" w:eastAsiaTheme="minorEastAsia" w:hAnsi="Arial" w:cs="Arial"/>
                <w:lang w:val="en-US" w:eastAsia="ja-JP"/>
              </w:rPr>
              <w:t xml:space="preserve"> comply with the requirements set out in this specification.</w:t>
            </w:r>
            <w:r w:rsidR="00921EF6" w:rsidRPr="0077725E">
              <w:rPr>
                <w:rFonts w:ascii="Arial" w:eastAsiaTheme="minorEastAsia" w:hAnsi="Arial" w:cs="Arial"/>
                <w:lang w:val="en-US" w:eastAsia="ja-JP"/>
              </w:rPr>
              <w:t xml:space="preserve"> For clarity, it is the responsibility of the contract holder (GLH) to ensure specification compliance</w:t>
            </w:r>
            <w:r w:rsidR="0026508A" w:rsidRPr="0077725E">
              <w:rPr>
                <w:rFonts w:ascii="Arial" w:eastAsiaTheme="minorEastAsia" w:hAnsi="Arial" w:cs="Arial"/>
                <w:lang w:val="en-US" w:eastAsia="ja-JP"/>
              </w:rPr>
              <w:t xml:space="preserve"> of any sub-contractor (LGL)</w:t>
            </w:r>
            <w:r w:rsidR="001F22BB" w:rsidRPr="0077725E">
              <w:rPr>
                <w:rFonts w:ascii="Arial" w:eastAsiaTheme="minorEastAsia" w:hAnsi="Arial" w:cs="Arial"/>
                <w:lang w:val="en-US" w:eastAsia="ja-JP"/>
              </w:rPr>
              <w:t xml:space="preserve"> and the GLH shall be fully responsible for the delivery of this service and service specification</w:t>
            </w:r>
            <w:r w:rsidR="00D12D1A" w:rsidRPr="0077725E">
              <w:rPr>
                <w:rFonts w:ascii="Arial" w:eastAsiaTheme="minorEastAsia" w:hAnsi="Arial" w:cs="Arial"/>
                <w:lang w:val="en-US" w:eastAsia="ja-JP"/>
              </w:rPr>
              <w:t xml:space="preserve">, never mind its own contractual </w:t>
            </w:r>
            <w:r w:rsidR="00D12D1A" w:rsidRPr="0077725E">
              <w:rPr>
                <w:rFonts w:ascii="Arial" w:eastAsiaTheme="minorEastAsia" w:hAnsi="Arial" w:cs="Arial"/>
                <w:lang w:val="en-US" w:eastAsia="ja-JP"/>
              </w:rPr>
              <w:lastRenderedPageBreak/>
              <w:t>relationship with an LGL should the service in whole or in part be sub-contracted</w:t>
            </w:r>
            <w:r w:rsidR="0026508A" w:rsidRPr="0077725E">
              <w:rPr>
                <w:rFonts w:ascii="Arial" w:eastAsiaTheme="minorEastAsia" w:hAnsi="Arial" w:cs="Arial"/>
                <w:lang w:val="en-US" w:eastAsia="ja-JP"/>
              </w:rPr>
              <w:t xml:space="preserve">. </w:t>
            </w:r>
          </w:p>
          <w:p w14:paraId="71929B76" w14:textId="4881E34D" w:rsidR="00F7009A" w:rsidRPr="0077725E" w:rsidRDefault="00F7009A" w:rsidP="00685F53">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Where such NIPT services have been sub-contracted out the G</w:t>
            </w:r>
            <w:r w:rsidR="00B508F2" w:rsidRPr="0077725E">
              <w:rPr>
                <w:rFonts w:ascii="Arial" w:eastAsiaTheme="minorEastAsia" w:hAnsi="Arial" w:cs="Arial"/>
                <w:lang w:val="en-US" w:eastAsia="ja-JP"/>
              </w:rPr>
              <w:t>LH</w:t>
            </w:r>
            <w:r w:rsidRPr="0077725E">
              <w:rPr>
                <w:rFonts w:ascii="Arial" w:eastAsiaTheme="minorEastAsia" w:hAnsi="Arial" w:cs="Arial"/>
                <w:lang w:val="en-US" w:eastAsia="ja-JP"/>
              </w:rPr>
              <w:t xml:space="preserve"> NIPT lead shall ensure the sub-contractor complies with the provisions and requirements as set out in this specification. </w:t>
            </w:r>
          </w:p>
          <w:p w14:paraId="2062FB13" w14:textId="77777777" w:rsidR="00F7009A" w:rsidRPr="0077725E" w:rsidRDefault="00F7009A" w:rsidP="004F24A0">
            <w:pPr>
              <w:spacing w:after="0"/>
              <w:rPr>
                <w:rFonts w:ascii="Arial" w:hAnsi="Arial" w:cs="Arial"/>
                <w:b/>
                <w:szCs w:val="24"/>
              </w:rPr>
            </w:pPr>
          </w:p>
          <w:p w14:paraId="1046CF76" w14:textId="77777777" w:rsidR="004A4644" w:rsidRPr="0077725E" w:rsidRDefault="004A4644" w:rsidP="004F24A0">
            <w:pPr>
              <w:spacing w:after="0"/>
              <w:rPr>
                <w:rFonts w:ascii="Arial" w:hAnsi="Arial" w:cs="Arial"/>
                <w:b/>
                <w:szCs w:val="24"/>
              </w:rPr>
            </w:pPr>
          </w:p>
          <w:p w14:paraId="0791A741" w14:textId="39F9DAAA" w:rsidR="004A4644" w:rsidRPr="0077725E" w:rsidRDefault="004A4644" w:rsidP="004F24A0">
            <w:pPr>
              <w:spacing w:after="0"/>
              <w:rPr>
                <w:rFonts w:ascii="Arial" w:hAnsi="Arial" w:cs="Arial"/>
                <w:b/>
                <w:szCs w:val="24"/>
              </w:rPr>
            </w:pPr>
          </w:p>
          <w:p w14:paraId="79CA23BA" w14:textId="77777777" w:rsidR="009C06A7" w:rsidRPr="0077725E" w:rsidRDefault="009C06A7" w:rsidP="004F24A0">
            <w:pPr>
              <w:spacing w:after="0"/>
              <w:rPr>
                <w:rFonts w:ascii="Arial" w:hAnsi="Arial" w:cs="Arial"/>
                <w:b/>
                <w:szCs w:val="24"/>
              </w:rPr>
            </w:pPr>
            <w:r w:rsidRPr="0077725E">
              <w:rPr>
                <w:rFonts w:ascii="Arial" w:hAnsi="Arial" w:cs="Arial"/>
                <w:noProof/>
                <w:szCs w:val="24"/>
              </w:rPr>
              <w:lastRenderedPageBreak/>
              <w:drawing>
                <wp:inline distT="0" distB="0" distL="0" distR="0" wp14:anchorId="3278B555" wp14:editId="5BD15206">
                  <wp:extent cx="5731510" cy="8097520"/>
                  <wp:effectExtent l="0" t="0" r="2540" b="0"/>
                  <wp:docPr id="2" name="Picture 2" descr="C:\Users\annette.mchugh\AppData\Local\Microsoft\Windows\INetCache\Content.Word\FASP T21, T18, T13 NIPT pathway.png"/>
                  <wp:cNvGraphicFramePr/>
                  <a:graphic xmlns:a="http://schemas.openxmlformats.org/drawingml/2006/main">
                    <a:graphicData uri="http://schemas.openxmlformats.org/drawingml/2006/picture">
                      <pic:pic xmlns:pic="http://schemas.openxmlformats.org/drawingml/2006/picture">
                        <pic:nvPicPr>
                          <pic:cNvPr id="2" name="Picture 2" descr="C:\Users\annette.mchugh\AppData\Local\Microsoft\Windows\INetCache\Content.Word\FASP T21, T18, T13 NIPT pathway.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8097520"/>
                          </a:xfrm>
                          <a:prstGeom prst="rect">
                            <a:avLst/>
                          </a:prstGeom>
                          <a:noFill/>
                          <a:ln>
                            <a:noFill/>
                          </a:ln>
                        </pic:spPr>
                      </pic:pic>
                    </a:graphicData>
                  </a:graphic>
                </wp:inline>
              </w:drawing>
            </w:r>
          </w:p>
          <w:p w14:paraId="5AC9A2D6" w14:textId="77777777" w:rsidR="007C4DA7" w:rsidRPr="0077725E" w:rsidRDefault="007C4DA7" w:rsidP="005F2028">
            <w:pPr>
              <w:pStyle w:val="Heading2"/>
              <w:ind w:left="626"/>
              <w:rPr>
                <w:rFonts w:ascii="Arial" w:hAnsi="Arial" w:cs="Arial"/>
                <w:sz w:val="24"/>
                <w:szCs w:val="24"/>
              </w:rPr>
            </w:pPr>
            <w:bookmarkStart w:id="8" w:name="_Toc41578062"/>
          </w:p>
          <w:p w14:paraId="0478C6C9" w14:textId="77777777" w:rsidR="005F2028" w:rsidRPr="0077725E" w:rsidRDefault="005F2028" w:rsidP="005F2028">
            <w:pPr>
              <w:rPr>
                <w:rFonts w:ascii="Arial" w:hAnsi="Arial" w:cs="Arial"/>
                <w:szCs w:val="24"/>
              </w:rPr>
            </w:pPr>
          </w:p>
          <w:p w14:paraId="286EB4BC" w14:textId="77777777" w:rsidR="00647287" w:rsidRPr="0077725E" w:rsidRDefault="00647287" w:rsidP="007C4DA7">
            <w:pPr>
              <w:pStyle w:val="Heading2"/>
              <w:numPr>
                <w:ilvl w:val="1"/>
                <w:numId w:val="33"/>
              </w:numPr>
              <w:ind w:left="626" w:hanging="626"/>
              <w:rPr>
                <w:rFonts w:ascii="Arial" w:hAnsi="Arial" w:cs="Arial"/>
                <w:sz w:val="24"/>
                <w:szCs w:val="24"/>
              </w:rPr>
            </w:pPr>
            <w:r w:rsidRPr="0077725E">
              <w:rPr>
                <w:rFonts w:ascii="Arial" w:hAnsi="Arial" w:cs="Arial"/>
                <w:sz w:val="24"/>
                <w:szCs w:val="24"/>
              </w:rPr>
              <w:lastRenderedPageBreak/>
              <w:t>Testing repertoire</w:t>
            </w:r>
            <w:bookmarkEnd w:id="8"/>
            <w:r w:rsidRPr="0077725E">
              <w:rPr>
                <w:rFonts w:ascii="Arial" w:hAnsi="Arial" w:cs="Arial"/>
                <w:sz w:val="24"/>
                <w:szCs w:val="24"/>
              </w:rPr>
              <w:t xml:space="preserve"> </w:t>
            </w:r>
          </w:p>
          <w:p w14:paraId="3A184E1D" w14:textId="77777777" w:rsidR="00647287" w:rsidRPr="0077725E" w:rsidRDefault="00647287" w:rsidP="00647287">
            <w:pPr>
              <w:jc w:val="both"/>
              <w:rPr>
                <w:rFonts w:ascii="Arial" w:hAnsi="Arial" w:cs="Arial"/>
                <w:bCs/>
                <w:szCs w:val="24"/>
              </w:rPr>
            </w:pPr>
          </w:p>
          <w:p w14:paraId="517982C1" w14:textId="77777777" w:rsidR="00647287" w:rsidRPr="0077725E" w:rsidRDefault="00647287" w:rsidP="007C4DA7">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The NIPT Provider shall perform NIPT and FASP reporting on T21, T18 &amp; T13 only in singleton and twin pregnancies with no inclusion of fetal sex or other chromosomal findings.</w:t>
            </w:r>
          </w:p>
          <w:p w14:paraId="3D9A063F" w14:textId="77777777" w:rsidR="00647287" w:rsidRPr="0077725E" w:rsidRDefault="00647287" w:rsidP="007C4DA7">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shall only undertake NIPT as part of the NHS screening </w:t>
            </w:r>
            <w:proofErr w:type="spellStart"/>
            <w:r w:rsidRPr="0077725E">
              <w:rPr>
                <w:rFonts w:ascii="Arial" w:eastAsiaTheme="minorEastAsia" w:hAnsi="Arial" w:cs="Arial"/>
                <w:lang w:val="en-US" w:eastAsia="ja-JP"/>
              </w:rPr>
              <w:t>programme</w:t>
            </w:r>
            <w:proofErr w:type="spellEnd"/>
            <w:r w:rsidRPr="0077725E">
              <w:rPr>
                <w:rFonts w:ascii="Arial" w:eastAsiaTheme="minorEastAsia" w:hAnsi="Arial" w:cs="Arial"/>
                <w:lang w:val="en-US" w:eastAsia="ja-JP"/>
              </w:rPr>
              <w:t>:</w:t>
            </w:r>
          </w:p>
          <w:p w14:paraId="58EE7A73" w14:textId="77777777" w:rsidR="00647287" w:rsidRPr="0077725E" w:rsidRDefault="00647287" w:rsidP="007C4DA7">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for those women with a higher chance result of 1 in 2 to 1 in 150 from combined or quadruple testing offered; and </w:t>
            </w:r>
          </w:p>
          <w:p w14:paraId="255C3D0D" w14:textId="5504E7B5" w:rsidR="00DB43EE" w:rsidRPr="00902187" w:rsidRDefault="00647287" w:rsidP="007C4DA7">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where there is evidence provided by the NIPT Provider that the </w:t>
            </w:r>
            <w:r w:rsidR="00F82300" w:rsidRPr="0077725E">
              <w:rPr>
                <w:rFonts w:ascii="Arial" w:eastAsiaTheme="minorEastAsia" w:hAnsi="Arial" w:cs="Arial"/>
                <w:lang w:val="en-US" w:eastAsia="ja-JP"/>
              </w:rPr>
              <w:t>woman</w:t>
            </w:r>
            <w:r w:rsidR="000B45FB"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 xml:space="preserve">been offered the clinical options as described in the NHS FASP pathway (Appendix 1) prior to their sample being taken (the </w:t>
            </w:r>
            <w:r w:rsidRPr="00902187">
              <w:rPr>
                <w:rFonts w:ascii="Arial" w:eastAsiaTheme="minorEastAsia" w:hAnsi="Arial" w:cs="Arial"/>
                <w:lang w:val="en-US" w:eastAsia="ja-JP"/>
              </w:rPr>
              <w:t>"NIPT Eligibility Criteria").</w:t>
            </w:r>
          </w:p>
          <w:p w14:paraId="1B478BDD" w14:textId="77777777" w:rsidR="003E2E6B" w:rsidRPr="0077725E" w:rsidRDefault="003E2E6B" w:rsidP="00171C7E">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Women who have received a higher chance result from either combined or quadruple tests who choose to have NIPT may accept the offer of screening for: </w:t>
            </w:r>
          </w:p>
          <w:p w14:paraId="11B6FE28" w14:textId="77777777" w:rsidR="003E2E6B" w:rsidRPr="0077725E" w:rsidRDefault="003E2E6B" w:rsidP="003E2E6B">
            <w:pPr>
              <w:pStyle w:val="ListParagraph"/>
              <w:numPr>
                <w:ilvl w:val="2"/>
                <w:numId w:val="54"/>
              </w:numPr>
              <w:rPr>
                <w:rFonts w:ascii="Arial" w:eastAsiaTheme="minorEastAsia" w:hAnsi="Arial" w:cs="Arial"/>
                <w:lang w:val="en-US" w:eastAsia="ja-JP"/>
              </w:rPr>
            </w:pPr>
            <w:r w:rsidRPr="0077725E">
              <w:rPr>
                <w:rFonts w:ascii="Arial" w:eastAsiaTheme="minorEastAsia" w:hAnsi="Arial" w:cs="Arial"/>
                <w:lang w:val="en-US" w:eastAsia="ja-JP"/>
              </w:rPr>
              <w:t xml:space="preserve">Down’s syndrome only, </w:t>
            </w:r>
          </w:p>
          <w:p w14:paraId="200BF395" w14:textId="77777777" w:rsidR="003E2E6B" w:rsidRPr="0077725E" w:rsidRDefault="003E2E6B" w:rsidP="003E2E6B">
            <w:pPr>
              <w:pStyle w:val="ListParagraph"/>
              <w:numPr>
                <w:ilvl w:val="2"/>
                <w:numId w:val="54"/>
              </w:numPr>
              <w:rPr>
                <w:rFonts w:ascii="Arial" w:eastAsiaTheme="minorEastAsia" w:hAnsi="Arial" w:cs="Arial"/>
                <w:lang w:val="en-US" w:eastAsia="ja-JP"/>
              </w:rPr>
            </w:pPr>
            <w:r w:rsidRPr="0077725E">
              <w:rPr>
                <w:rFonts w:ascii="Arial" w:eastAsiaTheme="minorEastAsia" w:hAnsi="Arial" w:cs="Arial"/>
                <w:lang w:val="en-US" w:eastAsia="ja-JP"/>
              </w:rPr>
              <w:t xml:space="preserve">Edwards’ syndrome and Patau’s syndrome only, or </w:t>
            </w:r>
          </w:p>
          <w:p w14:paraId="4FDC6644" w14:textId="058C592C" w:rsidR="002E4111" w:rsidRPr="0077725E" w:rsidRDefault="003E2E6B" w:rsidP="000D4B03">
            <w:pPr>
              <w:pStyle w:val="ListParagraph"/>
              <w:numPr>
                <w:ilvl w:val="2"/>
                <w:numId w:val="54"/>
              </w:numPr>
              <w:rPr>
                <w:rFonts w:ascii="Arial" w:eastAsiaTheme="minorEastAsia" w:hAnsi="Arial" w:cs="Arial"/>
                <w:lang w:val="en-US" w:eastAsia="ja-JP"/>
              </w:rPr>
            </w:pPr>
            <w:r w:rsidRPr="0077725E">
              <w:rPr>
                <w:rFonts w:ascii="Arial" w:eastAsiaTheme="minorEastAsia" w:hAnsi="Arial" w:cs="Arial"/>
                <w:lang w:val="en-US" w:eastAsia="ja-JP"/>
              </w:rPr>
              <w:t>All 3 conditions.</w:t>
            </w:r>
          </w:p>
          <w:p w14:paraId="554C2C66" w14:textId="77777777" w:rsidR="002E4111" w:rsidRPr="0077725E" w:rsidRDefault="00CA3EB6" w:rsidP="007C4DA7">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Eligibility Criteria </w:t>
            </w:r>
            <w:r w:rsidR="00806A94" w:rsidRPr="0077725E">
              <w:rPr>
                <w:rFonts w:ascii="Arial" w:eastAsiaTheme="minorEastAsia" w:hAnsi="Arial" w:cs="Arial"/>
                <w:lang w:val="en-US" w:eastAsia="ja-JP"/>
              </w:rPr>
              <w:t xml:space="preserve">check will be performed by the maternity services that refer the service user to the NIPT Provider. </w:t>
            </w:r>
          </w:p>
          <w:p w14:paraId="66501BE5" w14:textId="77777777" w:rsidR="002E0C1D" w:rsidRPr="0077725E" w:rsidRDefault="002E0C1D" w:rsidP="002E0C1D">
            <w:pPr>
              <w:pStyle w:val="ListParagraph"/>
              <w:rPr>
                <w:rFonts w:ascii="Arial" w:eastAsiaTheme="minorEastAsia" w:hAnsi="Arial" w:cs="Arial"/>
                <w:lang w:val="en-US" w:eastAsia="ja-JP"/>
              </w:rPr>
            </w:pPr>
          </w:p>
          <w:p w14:paraId="2A4B0E0A" w14:textId="77777777" w:rsidR="00647287" w:rsidRPr="0077725E" w:rsidRDefault="00647287" w:rsidP="002E0C1D">
            <w:pPr>
              <w:pStyle w:val="Heading2"/>
              <w:numPr>
                <w:ilvl w:val="1"/>
                <w:numId w:val="33"/>
              </w:numPr>
              <w:ind w:left="626" w:hanging="626"/>
              <w:rPr>
                <w:rFonts w:ascii="Arial" w:hAnsi="Arial" w:cs="Arial"/>
                <w:sz w:val="24"/>
                <w:szCs w:val="24"/>
              </w:rPr>
            </w:pPr>
            <w:bookmarkStart w:id="9" w:name="_Toc41578063"/>
            <w:r w:rsidRPr="0077725E">
              <w:rPr>
                <w:rFonts w:ascii="Arial" w:hAnsi="Arial" w:cs="Arial"/>
                <w:sz w:val="24"/>
                <w:szCs w:val="24"/>
              </w:rPr>
              <w:t>Sample collection, handling and processing</w:t>
            </w:r>
            <w:bookmarkEnd w:id="9"/>
            <w:r w:rsidRPr="0077725E">
              <w:rPr>
                <w:rFonts w:ascii="Arial" w:hAnsi="Arial" w:cs="Arial"/>
                <w:sz w:val="24"/>
                <w:szCs w:val="24"/>
              </w:rPr>
              <w:t xml:space="preserve"> </w:t>
            </w:r>
          </w:p>
          <w:p w14:paraId="1C66540D" w14:textId="77777777" w:rsidR="00647287" w:rsidRPr="0077725E" w:rsidRDefault="00647287" w:rsidP="00647287">
            <w:pPr>
              <w:jc w:val="both"/>
              <w:rPr>
                <w:rFonts w:ascii="Arial" w:eastAsia="Times New Roman" w:hAnsi="Arial" w:cs="Arial"/>
                <w:bCs/>
                <w:szCs w:val="24"/>
              </w:rPr>
            </w:pPr>
          </w:p>
          <w:p w14:paraId="1CB335F7" w14:textId="04B1EC1D" w:rsidR="00647287" w:rsidRPr="0077725E" w:rsidRDefault="00647287" w:rsidP="002E0C1D">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must create, maintain and comply with </w:t>
            </w:r>
            <w:r w:rsidR="00490AC0" w:rsidRPr="0077725E">
              <w:rPr>
                <w:rFonts w:ascii="Arial" w:eastAsiaTheme="minorEastAsia" w:hAnsi="Arial" w:cs="Arial"/>
                <w:lang w:val="en-US" w:eastAsia="ja-JP"/>
              </w:rPr>
              <w:t>ISO 15189</w:t>
            </w:r>
            <w:r w:rsidR="00130EF2" w:rsidRPr="0077725E">
              <w:rPr>
                <w:rFonts w:ascii="Arial" w:eastAsiaTheme="minorEastAsia" w:hAnsi="Arial" w:cs="Arial"/>
                <w:lang w:val="en-US" w:eastAsia="ja-JP"/>
              </w:rPr>
              <w:t xml:space="preserve"> and Human Tissue Act 2004</w:t>
            </w:r>
            <w:r w:rsidR="00490AC0" w:rsidRPr="0077725E">
              <w:rPr>
                <w:rFonts w:ascii="Arial" w:eastAsiaTheme="minorEastAsia" w:hAnsi="Arial" w:cs="Arial"/>
                <w:lang w:val="en-US" w:eastAsia="ja-JP"/>
              </w:rPr>
              <w:t xml:space="preserve"> compliant </w:t>
            </w:r>
            <w:r w:rsidRPr="0077725E">
              <w:rPr>
                <w:rFonts w:ascii="Arial" w:eastAsiaTheme="minorEastAsia" w:hAnsi="Arial" w:cs="Arial"/>
                <w:lang w:val="en-US" w:eastAsia="ja-JP"/>
              </w:rPr>
              <w:t xml:space="preserve">Standard Operating Procedures </w:t>
            </w:r>
            <w:r w:rsidR="00130EF2" w:rsidRPr="0077725E">
              <w:rPr>
                <w:rFonts w:ascii="Arial" w:eastAsiaTheme="minorEastAsia" w:hAnsi="Arial" w:cs="Arial"/>
                <w:lang w:val="en-US" w:eastAsia="ja-JP"/>
              </w:rPr>
              <w:t xml:space="preserve">(SOPs) </w:t>
            </w:r>
            <w:r w:rsidRPr="0077725E">
              <w:rPr>
                <w:rFonts w:ascii="Arial" w:eastAsiaTheme="minorEastAsia" w:hAnsi="Arial" w:cs="Arial"/>
                <w:lang w:val="en-US" w:eastAsia="ja-JP"/>
              </w:rPr>
              <w:t>setting out processes in respect of sample receipt, storage, extraction, preparation, sequencing, microarray, analysis (including bioinformatics), transportation, and a reporting protocol for NIPT (including specific sample requirements) and the further details required as set out in in this specification.</w:t>
            </w:r>
          </w:p>
          <w:p w14:paraId="38BBC7F0" w14:textId="6962CB22" w:rsidR="00EC25B0" w:rsidRPr="0077725E" w:rsidRDefault="00EC25B0" w:rsidP="002E0C1D">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The Provider will follow the flow chart as defined in Section xx of this specification and meet all the key indicators as specified in section xxx of this specification</w:t>
            </w:r>
            <w:r w:rsidR="006E08C4" w:rsidRPr="0077725E">
              <w:rPr>
                <w:rFonts w:ascii="Arial" w:eastAsiaTheme="minorEastAsia" w:hAnsi="Arial" w:cs="Arial"/>
                <w:lang w:val="en-US" w:eastAsia="ja-JP"/>
              </w:rPr>
              <w:t>.</w:t>
            </w:r>
          </w:p>
          <w:p w14:paraId="222A03E6" w14:textId="77777777" w:rsidR="000010CB" w:rsidRPr="0077725E" w:rsidRDefault="000010CB" w:rsidP="000010CB">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will purchase sample kits and distribute these to the Clinical Services (referring services); these sample kits will not be chargeable to the Clinical Services. </w:t>
            </w:r>
          </w:p>
          <w:p w14:paraId="40E446C0" w14:textId="77777777" w:rsidR="00A958A4" w:rsidRPr="0077725E" w:rsidRDefault="00A958A4" w:rsidP="000010CB">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All timings referred use Day 1 definition as the day the </w:t>
            </w:r>
            <w:r w:rsidR="0008464E" w:rsidRPr="0077725E">
              <w:rPr>
                <w:rFonts w:ascii="Arial" w:eastAsiaTheme="minorEastAsia" w:hAnsi="Arial" w:cs="Arial"/>
                <w:lang w:val="en-US" w:eastAsia="ja-JP"/>
              </w:rPr>
              <w:t xml:space="preserve">NIPT Provider receives the sample; Day 1 is NOT the day the NIPT Provider receipts the sample if samples are not receipted </w:t>
            </w:r>
            <w:r w:rsidR="00786CCA" w:rsidRPr="0077725E">
              <w:rPr>
                <w:rFonts w:ascii="Arial" w:eastAsiaTheme="minorEastAsia" w:hAnsi="Arial" w:cs="Arial"/>
                <w:lang w:val="en-US" w:eastAsia="ja-JP"/>
              </w:rPr>
              <w:t>immediately</w:t>
            </w:r>
            <w:r w:rsidR="0008464E" w:rsidRPr="0077725E">
              <w:rPr>
                <w:rFonts w:ascii="Arial" w:eastAsiaTheme="minorEastAsia" w:hAnsi="Arial" w:cs="Arial"/>
                <w:lang w:val="en-US" w:eastAsia="ja-JP"/>
              </w:rPr>
              <w:t xml:space="preserve"> upon </w:t>
            </w:r>
            <w:r w:rsidR="00786CCA" w:rsidRPr="0077725E">
              <w:rPr>
                <w:rFonts w:ascii="Arial" w:eastAsiaTheme="minorEastAsia" w:hAnsi="Arial" w:cs="Arial"/>
                <w:lang w:val="en-US" w:eastAsia="ja-JP"/>
              </w:rPr>
              <w:t xml:space="preserve">receiving. </w:t>
            </w:r>
          </w:p>
          <w:p w14:paraId="107B166F" w14:textId="77777777" w:rsidR="00786CCA" w:rsidRPr="0077725E" w:rsidRDefault="00786CCA" w:rsidP="000010CB">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Samples are not able to be refrigerated </w:t>
            </w:r>
            <w:r w:rsidR="00EB7A6A" w:rsidRPr="0077725E">
              <w:rPr>
                <w:rFonts w:ascii="Arial" w:eastAsiaTheme="minorEastAsia" w:hAnsi="Arial" w:cs="Arial"/>
                <w:lang w:val="en-US" w:eastAsia="ja-JP"/>
              </w:rPr>
              <w:t xml:space="preserve">and storage should comply with the Human Tissue Act 2004. </w:t>
            </w:r>
          </w:p>
          <w:p w14:paraId="5D185C44" w14:textId="2059A903" w:rsidR="00A01FA0" w:rsidRPr="0077725E" w:rsidRDefault="006916CB" w:rsidP="000010CB">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T</w:t>
            </w:r>
            <w:r w:rsidR="00A01FA0" w:rsidRPr="0077725E">
              <w:rPr>
                <w:rFonts w:ascii="Arial" w:eastAsiaTheme="minorEastAsia" w:hAnsi="Arial" w:cs="Arial"/>
                <w:lang w:val="en-US" w:eastAsia="ja-JP"/>
              </w:rPr>
              <w:t>he Clinical Services</w:t>
            </w:r>
            <w:r w:rsidR="000B45FB"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 xml:space="preserve">will </w:t>
            </w:r>
            <w:r w:rsidR="00F45A8B" w:rsidRPr="0077725E">
              <w:rPr>
                <w:rFonts w:ascii="Arial" w:eastAsiaTheme="minorEastAsia" w:hAnsi="Arial" w:cs="Arial"/>
                <w:lang w:val="en-US" w:eastAsia="ja-JP"/>
              </w:rPr>
              <w:t>notif</w:t>
            </w:r>
            <w:r w:rsidRPr="0077725E">
              <w:rPr>
                <w:rFonts w:ascii="Arial" w:eastAsiaTheme="minorEastAsia" w:hAnsi="Arial" w:cs="Arial"/>
                <w:lang w:val="en-US" w:eastAsia="ja-JP"/>
              </w:rPr>
              <w:t>y</w:t>
            </w:r>
            <w:r w:rsidR="00D77BB5" w:rsidRPr="0077725E">
              <w:rPr>
                <w:rFonts w:ascii="Arial" w:eastAsiaTheme="minorEastAsia" w:hAnsi="Arial" w:cs="Arial"/>
                <w:lang w:val="en-US" w:eastAsia="ja-JP"/>
              </w:rPr>
              <w:t xml:space="preserve"> the NIPT Provider that a sample is being sent; the NIPT Provider should develop (during </w:t>
            </w:r>
            <w:proofErr w:type="spellStart"/>
            <w:r w:rsidR="00D77BB5" w:rsidRPr="0077725E">
              <w:rPr>
                <w:rFonts w:ascii="Arial" w:eastAsiaTheme="minorEastAsia" w:hAnsi="Arial" w:cs="Arial"/>
                <w:lang w:val="en-US" w:eastAsia="ja-JP"/>
              </w:rPr>
              <w:t>mobilisation</w:t>
            </w:r>
            <w:proofErr w:type="spellEnd"/>
            <w:r w:rsidR="00D77BB5" w:rsidRPr="0077725E">
              <w:rPr>
                <w:rFonts w:ascii="Arial" w:eastAsiaTheme="minorEastAsia" w:hAnsi="Arial" w:cs="Arial"/>
                <w:lang w:val="en-US" w:eastAsia="ja-JP"/>
              </w:rPr>
              <w:t xml:space="preserve">) and </w:t>
            </w:r>
            <w:r w:rsidR="00A7468E" w:rsidRPr="0077725E">
              <w:rPr>
                <w:rFonts w:ascii="Arial" w:eastAsiaTheme="minorEastAsia" w:hAnsi="Arial" w:cs="Arial"/>
                <w:lang w:val="en-US" w:eastAsia="ja-JP"/>
              </w:rPr>
              <w:t xml:space="preserve">provide (during the contract term) </w:t>
            </w:r>
            <w:r w:rsidRPr="0077725E">
              <w:rPr>
                <w:rFonts w:ascii="Arial" w:eastAsiaTheme="minorEastAsia" w:hAnsi="Arial" w:cs="Arial"/>
                <w:lang w:val="en-US" w:eastAsia="ja-JP"/>
              </w:rPr>
              <w:t>a</w:t>
            </w:r>
            <w:r w:rsidR="00A7468E" w:rsidRPr="0077725E">
              <w:rPr>
                <w:rFonts w:ascii="Arial" w:eastAsiaTheme="minorEastAsia" w:hAnsi="Arial" w:cs="Arial"/>
                <w:lang w:val="en-US" w:eastAsia="ja-JP"/>
              </w:rPr>
              <w:t xml:space="preserve"> means of communication for this to occur </w:t>
            </w:r>
            <w:r w:rsidRPr="0077725E">
              <w:rPr>
                <w:rFonts w:ascii="Arial" w:eastAsiaTheme="minorEastAsia" w:hAnsi="Arial" w:cs="Arial"/>
                <w:lang w:val="en-US" w:eastAsia="ja-JP"/>
              </w:rPr>
              <w:t>and a record maintained</w:t>
            </w:r>
            <w:r w:rsidR="00A7468E" w:rsidRPr="0077725E">
              <w:rPr>
                <w:rFonts w:ascii="Arial" w:eastAsiaTheme="minorEastAsia" w:hAnsi="Arial" w:cs="Arial"/>
                <w:lang w:val="en-US" w:eastAsia="ja-JP"/>
              </w:rPr>
              <w:t xml:space="preserve">. </w:t>
            </w:r>
          </w:p>
          <w:p w14:paraId="0A988289" w14:textId="5EED7492" w:rsidR="00565804" w:rsidRPr="00902187" w:rsidRDefault="00565804">
            <w:pPr>
              <w:pStyle w:val="ListParagraph"/>
              <w:numPr>
                <w:ilvl w:val="2"/>
                <w:numId w:val="33"/>
              </w:numPr>
              <w:rPr>
                <w:rFonts w:ascii="Arial" w:eastAsiaTheme="minorEastAsia" w:hAnsi="Arial" w:cs="Arial"/>
                <w:lang w:val="en-US" w:eastAsia="ja-JP"/>
              </w:rPr>
            </w:pPr>
            <w:r w:rsidRPr="00902187">
              <w:rPr>
                <w:rFonts w:ascii="Arial" w:eastAsiaTheme="minorEastAsia" w:hAnsi="Arial" w:cs="Arial"/>
                <w:lang w:val="en-US" w:eastAsia="ja-JP"/>
              </w:rPr>
              <w:lastRenderedPageBreak/>
              <w:t xml:space="preserve">If samples are delayed, exception reporting will be undertaken to determine the cause </w:t>
            </w:r>
            <w:r w:rsidR="000F126A" w:rsidRPr="00902187">
              <w:rPr>
                <w:rFonts w:ascii="Arial" w:eastAsiaTheme="minorEastAsia" w:hAnsi="Arial" w:cs="Arial"/>
                <w:lang w:val="en-US" w:eastAsia="ja-JP"/>
              </w:rPr>
              <w:t xml:space="preserve">however if at fault the NIPT Provider will be held accountable in line with </w:t>
            </w:r>
            <w:r w:rsidR="00ED1C1F" w:rsidRPr="00902187">
              <w:rPr>
                <w:rFonts w:ascii="Arial" w:eastAsiaTheme="minorEastAsia" w:hAnsi="Arial" w:cs="Arial"/>
                <w:i/>
                <w:lang w:val="en-US" w:eastAsia="ja-JP"/>
              </w:rPr>
              <w:t>Relevant</w:t>
            </w:r>
            <w:r w:rsidR="00ED1C1F" w:rsidRPr="00902187">
              <w:rPr>
                <w:rFonts w:ascii="Arial" w:eastAsiaTheme="minorEastAsia" w:hAnsi="Arial" w:cs="Arial"/>
                <w:lang w:val="en-US" w:eastAsia="ja-JP"/>
              </w:rPr>
              <w:t xml:space="preserve"> </w:t>
            </w:r>
            <w:r w:rsidR="00ED1C1F" w:rsidRPr="00902187">
              <w:rPr>
                <w:rFonts w:ascii="Arial" w:eastAsiaTheme="minorEastAsia" w:hAnsi="Arial" w:cs="Arial"/>
                <w:i/>
                <w:lang w:val="en-US" w:eastAsia="ja-JP"/>
              </w:rPr>
              <w:t>Clause to be added</w:t>
            </w:r>
            <w:r w:rsidR="000F126A" w:rsidRPr="00902187">
              <w:rPr>
                <w:rFonts w:ascii="Arial" w:eastAsiaTheme="minorEastAsia" w:hAnsi="Arial" w:cs="Arial"/>
                <w:lang w:val="en-US" w:eastAsia="ja-JP"/>
              </w:rPr>
              <w:t xml:space="preserve">. </w:t>
            </w:r>
          </w:p>
          <w:p w14:paraId="4BC56D84" w14:textId="77777777" w:rsidR="00647287" w:rsidRPr="0077725E" w:rsidRDefault="00647287" w:rsidP="002E0C1D">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must provide evidence of and report in the Monthly Performance Report on its compliance with such </w:t>
            </w:r>
            <w:r w:rsidR="00130EF2" w:rsidRPr="0077725E">
              <w:rPr>
                <w:rFonts w:ascii="Arial" w:eastAsiaTheme="minorEastAsia" w:hAnsi="Arial" w:cs="Arial"/>
                <w:lang w:val="en-US" w:eastAsia="ja-JP"/>
              </w:rPr>
              <w:t>SOPs</w:t>
            </w:r>
            <w:r w:rsidRPr="0077725E">
              <w:rPr>
                <w:rFonts w:ascii="Arial" w:eastAsiaTheme="minorEastAsia" w:hAnsi="Arial" w:cs="Arial"/>
                <w:lang w:val="en-US" w:eastAsia="ja-JP"/>
              </w:rPr>
              <w:t xml:space="preserve">. </w:t>
            </w:r>
          </w:p>
          <w:p w14:paraId="700744C1" w14:textId="77777777" w:rsidR="00647287" w:rsidRPr="0077725E" w:rsidRDefault="00647287" w:rsidP="002E0C1D">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w:t>
            </w:r>
            <w:r w:rsidR="00130EF2" w:rsidRPr="0077725E">
              <w:rPr>
                <w:rFonts w:ascii="Arial" w:eastAsiaTheme="minorEastAsia" w:hAnsi="Arial" w:cs="Arial"/>
                <w:lang w:val="en-US" w:eastAsia="ja-JP"/>
              </w:rPr>
              <w:t>SOPs</w:t>
            </w:r>
            <w:r w:rsidRPr="0077725E">
              <w:rPr>
                <w:rFonts w:ascii="Arial" w:eastAsiaTheme="minorEastAsia" w:hAnsi="Arial" w:cs="Arial"/>
                <w:lang w:val="en-US" w:eastAsia="ja-JP"/>
              </w:rPr>
              <w:t xml:space="preserve"> for NIPT shall detail:</w:t>
            </w:r>
          </w:p>
          <w:p w14:paraId="61E59E37" w14:textId="77777777" w:rsidR="00647287" w:rsidRPr="0077725E" w:rsidRDefault="00647287" w:rsidP="00647287">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the provision of specialist cell stabilising blood tubes by the NIPT Provider as applicable to Clinical Services;</w:t>
            </w:r>
          </w:p>
          <w:p w14:paraId="40F398CB" w14:textId="3A665A06" w:rsidR="00647287" w:rsidRPr="0077725E" w:rsidRDefault="00647287" w:rsidP="00647287">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the provision of appropriate standardised request forms (paper and/or electronic) by the NIPT Provider as applicable to Clinical Services</w:t>
            </w:r>
            <w:r w:rsidR="006538B2" w:rsidRPr="0077725E">
              <w:rPr>
                <w:rFonts w:ascii="Arial" w:hAnsi="Arial" w:cs="Arial"/>
              </w:rPr>
              <w:t>, which meet NHS FASP</w:t>
            </w:r>
            <w:r w:rsidR="00F72B27" w:rsidRPr="0077725E">
              <w:rPr>
                <w:rFonts w:ascii="Arial" w:hAnsi="Arial" w:cs="Arial"/>
              </w:rPr>
              <w:t xml:space="preserve"> minimum data requirements</w:t>
            </w:r>
            <w:r w:rsidRPr="0077725E">
              <w:rPr>
                <w:rFonts w:ascii="Arial" w:hAnsi="Arial" w:cs="Arial"/>
              </w:rPr>
              <w:t>;</w:t>
            </w:r>
          </w:p>
          <w:p w14:paraId="5C398467" w14:textId="77777777" w:rsidR="00647287" w:rsidRPr="0077725E" w:rsidRDefault="00647287" w:rsidP="00647287">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the provision of transportation and storage of samples from Clinical Services to the NIPT Provider as applicable;</w:t>
            </w:r>
          </w:p>
          <w:p w14:paraId="25994966" w14:textId="77777777" w:rsidR="00647287" w:rsidRPr="0077725E" w:rsidRDefault="00647287" w:rsidP="00647287">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the competency/grade level of staff which will be required at each step of the NIPT process;</w:t>
            </w:r>
          </w:p>
          <w:p w14:paraId="04A189B4" w14:textId="77777777" w:rsidR="00647287" w:rsidRPr="0077725E" w:rsidRDefault="00647287" w:rsidP="00647287">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processing times for each stage of the workflow which are consistent with the NIPT Turnaround Times;</w:t>
            </w:r>
          </w:p>
          <w:p w14:paraId="442C61FB" w14:textId="75A13103" w:rsidR="00647287" w:rsidRPr="00ED1C1F" w:rsidRDefault="00647287" w:rsidP="00647287">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 xml:space="preserve">all manual processing of NIPT within the NIPT pathway of the NIPT Provider including </w:t>
            </w:r>
            <w:r w:rsidR="00B861E1" w:rsidRPr="0077725E">
              <w:rPr>
                <w:rFonts w:ascii="Arial" w:hAnsi="Arial" w:cs="Arial"/>
              </w:rPr>
              <w:t>Quality Control (</w:t>
            </w:r>
            <w:r w:rsidRPr="0077725E">
              <w:rPr>
                <w:rFonts w:ascii="Arial" w:hAnsi="Arial" w:cs="Arial"/>
              </w:rPr>
              <w:t>QC</w:t>
            </w:r>
            <w:r w:rsidR="00B861E1" w:rsidRPr="0077725E">
              <w:rPr>
                <w:rFonts w:ascii="Arial" w:hAnsi="Arial" w:cs="Arial"/>
              </w:rPr>
              <w:t>)</w:t>
            </w:r>
            <w:r w:rsidRPr="0077725E">
              <w:rPr>
                <w:rFonts w:ascii="Arial" w:hAnsi="Arial" w:cs="Arial"/>
              </w:rPr>
              <w:t xml:space="preserve"> laboratory protocol for each </w:t>
            </w:r>
            <w:r w:rsidRPr="00ED1C1F">
              <w:rPr>
                <w:rFonts w:ascii="Arial" w:hAnsi="Arial" w:cs="Arial"/>
              </w:rPr>
              <w:t>step of the NIPT process;</w:t>
            </w:r>
          </w:p>
          <w:p w14:paraId="75B7BEBC" w14:textId="47222CB5" w:rsidR="00647287" w:rsidRPr="00ED1C1F" w:rsidRDefault="00B03F28" w:rsidP="00647287">
            <w:pPr>
              <w:pStyle w:val="ListParagraph"/>
              <w:numPr>
                <w:ilvl w:val="1"/>
                <w:numId w:val="10"/>
              </w:numPr>
              <w:tabs>
                <w:tab w:val="left" w:pos="1440"/>
              </w:tabs>
              <w:spacing w:after="240"/>
              <w:contextualSpacing/>
              <w:jc w:val="both"/>
              <w:rPr>
                <w:rFonts w:ascii="Arial" w:hAnsi="Arial" w:cs="Arial"/>
              </w:rPr>
            </w:pPr>
            <w:bookmarkStart w:id="10" w:name="_Hlk43904367"/>
            <w:r w:rsidRPr="00ED1C1F">
              <w:rPr>
                <w:rFonts w:ascii="Arial" w:hAnsi="Arial" w:cs="Arial"/>
              </w:rPr>
              <w:t>the processes designed should minimise cross contamination</w:t>
            </w:r>
            <w:r w:rsidR="00647287" w:rsidRPr="00ED1C1F">
              <w:rPr>
                <w:rFonts w:ascii="Arial" w:hAnsi="Arial" w:cs="Arial"/>
              </w:rPr>
              <w:t xml:space="preserve">; </w:t>
            </w:r>
          </w:p>
          <w:bookmarkEnd w:id="10"/>
          <w:p w14:paraId="251D295C" w14:textId="77777777" w:rsidR="00CF63C2" w:rsidRPr="0077725E" w:rsidRDefault="00647287" w:rsidP="007754A9">
            <w:pPr>
              <w:pStyle w:val="ListParagraph"/>
              <w:numPr>
                <w:ilvl w:val="2"/>
                <w:numId w:val="10"/>
              </w:numPr>
              <w:tabs>
                <w:tab w:val="left" w:pos="1440"/>
              </w:tabs>
              <w:spacing w:after="240"/>
              <w:contextualSpacing/>
              <w:jc w:val="both"/>
              <w:rPr>
                <w:rFonts w:ascii="Arial" w:hAnsi="Arial" w:cs="Arial"/>
              </w:rPr>
            </w:pPr>
            <w:r w:rsidRPr="0077725E">
              <w:rPr>
                <w:rFonts w:ascii="Arial" w:hAnsi="Arial" w:cs="Arial"/>
              </w:rPr>
              <w:t>processes to ensure that if there is a single test failure in a particular sample run that: only the sample which failed will need to be re-tested or a repeat sample obtained; and</w:t>
            </w:r>
            <w:r w:rsidR="0086435D" w:rsidRPr="0077725E">
              <w:rPr>
                <w:rFonts w:ascii="Arial" w:hAnsi="Arial" w:cs="Arial"/>
              </w:rPr>
              <w:t xml:space="preserve"> </w:t>
            </w:r>
            <w:r w:rsidRPr="0077725E">
              <w:rPr>
                <w:rFonts w:ascii="Arial" w:hAnsi="Arial" w:cs="Arial"/>
              </w:rPr>
              <w:t>none of the other samples tested in that run are affected. These processes should include stop points and re-start points which allow for the repeat of certain steps in the process should a technical failure in the laboratory process occur;</w:t>
            </w:r>
          </w:p>
          <w:p w14:paraId="6AC87A06" w14:textId="77777777" w:rsidR="00647287" w:rsidRPr="0077725E" w:rsidRDefault="00647287" w:rsidP="007754A9">
            <w:pPr>
              <w:pStyle w:val="ListParagraph"/>
              <w:numPr>
                <w:ilvl w:val="2"/>
                <w:numId w:val="10"/>
              </w:numPr>
              <w:tabs>
                <w:tab w:val="left" w:pos="1440"/>
              </w:tabs>
              <w:spacing w:after="240"/>
              <w:contextualSpacing/>
              <w:jc w:val="both"/>
              <w:rPr>
                <w:rFonts w:ascii="Arial" w:hAnsi="Arial" w:cs="Arial"/>
              </w:rPr>
            </w:pPr>
            <w:r w:rsidRPr="0077725E">
              <w:rPr>
                <w:rFonts w:ascii="Arial" w:hAnsi="Arial" w:cs="Arial"/>
              </w:rPr>
              <w:t xml:space="preserve">the number of re-tests that can be run on a single patient sample (minimum of 10 ml sample) without requiring a new sample to be taken; </w:t>
            </w:r>
          </w:p>
          <w:p w14:paraId="27FE1C96" w14:textId="77777777" w:rsidR="00647287" w:rsidRPr="0077725E" w:rsidRDefault="00647287" w:rsidP="00647287">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the policy for informing NHS FASP, Clinical Services and Public Health England of any downtime in test availability (for example extended holiday periods, instrumentation failure or equipment maintenance). This policy should include a requirement to notify Clinical Services in advance (where technically possible) of any of the foregoing and advise NHS FASP, and Public Health England of any impact on NIPT Turnaround Times. The NIPT Provider will be required to have contingency plans in place to cover such eventualities;</w:t>
            </w:r>
          </w:p>
          <w:p w14:paraId="5A9B6941" w14:textId="77777777" w:rsidR="00647287" w:rsidRPr="0077725E" w:rsidRDefault="00647287" w:rsidP="00647287">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procedures for monitoring, labelling and tracking samples from sample receipt to reporting results back to Clinical Services, including details of expected timeframes which shall be in line with the NIPT Turnaround Times. The procedure should include a process for cross-referencing samples received against results reported;</w:t>
            </w:r>
          </w:p>
          <w:p w14:paraId="1721B663" w14:textId="77777777" w:rsidR="00647287" w:rsidRPr="00ED1C1F" w:rsidRDefault="00647287" w:rsidP="00ED1C1F">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 xml:space="preserve">all consumables required to run NIPT from receipt of patient sample to reporting the result to Clinical Services and include information as to </w:t>
            </w:r>
            <w:r w:rsidRPr="00ED1C1F">
              <w:rPr>
                <w:rFonts w:ascii="Arial" w:hAnsi="Arial" w:cs="Arial"/>
              </w:rPr>
              <w:t xml:space="preserve">whether a "kit" is used or separate elements; </w:t>
            </w:r>
          </w:p>
          <w:p w14:paraId="035EAA4B" w14:textId="77777777" w:rsidR="00647287" w:rsidRPr="00ED1C1F" w:rsidRDefault="00647287" w:rsidP="00ED1C1F">
            <w:pPr>
              <w:pStyle w:val="ListParagraph"/>
              <w:numPr>
                <w:ilvl w:val="1"/>
                <w:numId w:val="10"/>
              </w:numPr>
              <w:tabs>
                <w:tab w:val="left" w:pos="1440"/>
              </w:tabs>
              <w:spacing w:after="240"/>
              <w:contextualSpacing/>
              <w:jc w:val="both"/>
              <w:rPr>
                <w:rFonts w:ascii="Arial" w:hAnsi="Arial" w:cs="Arial"/>
              </w:rPr>
            </w:pPr>
            <w:r w:rsidRPr="00ED1C1F">
              <w:rPr>
                <w:rFonts w:ascii="Arial" w:hAnsi="Arial" w:cs="Arial"/>
              </w:rPr>
              <w:lastRenderedPageBreak/>
              <w:t xml:space="preserve">the quality assurance processes which build in robust quality-control (QC) fail safes into the laboratory pathway for NIPT and set out how samples that fail to meet the QC thresholds are identified. </w:t>
            </w:r>
          </w:p>
          <w:p w14:paraId="61B7A6CE" w14:textId="77777777" w:rsidR="00647287" w:rsidRPr="00ED1C1F" w:rsidRDefault="00647287" w:rsidP="00ED1C1F">
            <w:pPr>
              <w:pStyle w:val="ListParagraph"/>
              <w:numPr>
                <w:ilvl w:val="1"/>
                <w:numId w:val="10"/>
              </w:numPr>
              <w:tabs>
                <w:tab w:val="left" w:pos="1440"/>
              </w:tabs>
              <w:spacing w:after="240"/>
              <w:contextualSpacing/>
              <w:jc w:val="both"/>
              <w:rPr>
                <w:rFonts w:ascii="Arial" w:hAnsi="Arial" w:cs="Arial"/>
              </w:rPr>
            </w:pPr>
            <w:r w:rsidRPr="00ED1C1F">
              <w:rPr>
                <w:rFonts w:ascii="Arial" w:hAnsi="Arial" w:cs="Arial"/>
              </w:rPr>
              <w:t xml:space="preserve">all instruments and equipment used in the screening process; </w:t>
            </w:r>
          </w:p>
          <w:p w14:paraId="5D872971" w14:textId="77777777" w:rsidR="00647287" w:rsidRPr="00ED1C1F" w:rsidRDefault="00647287" w:rsidP="00ED1C1F">
            <w:pPr>
              <w:pStyle w:val="ListParagraph"/>
              <w:numPr>
                <w:ilvl w:val="1"/>
                <w:numId w:val="10"/>
              </w:numPr>
              <w:tabs>
                <w:tab w:val="left" w:pos="1440"/>
              </w:tabs>
              <w:spacing w:after="240"/>
              <w:contextualSpacing/>
              <w:jc w:val="both"/>
              <w:rPr>
                <w:rFonts w:ascii="Arial" w:hAnsi="Arial" w:cs="Arial"/>
              </w:rPr>
            </w:pPr>
            <w:r w:rsidRPr="00ED1C1F">
              <w:rPr>
                <w:rFonts w:ascii="Arial" w:hAnsi="Arial" w:cs="Arial"/>
              </w:rPr>
              <w:t xml:space="preserve">the technology method used for NIPT </w:t>
            </w:r>
          </w:p>
          <w:p w14:paraId="254DB084" w14:textId="4676FB1E" w:rsidR="00647287" w:rsidRPr="00ED1C1F" w:rsidRDefault="00647287" w:rsidP="00ED1C1F">
            <w:pPr>
              <w:pStyle w:val="ListParagraph"/>
              <w:numPr>
                <w:ilvl w:val="1"/>
                <w:numId w:val="10"/>
              </w:numPr>
              <w:tabs>
                <w:tab w:val="left" w:pos="1440"/>
              </w:tabs>
              <w:spacing w:after="240"/>
              <w:contextualSpacing/>
              <w:jc w:val="both"/>
              <w:rPr>
                <w:rFonts w:ascii="Arial" w:hAnsi="Arial" w:cs="Arial"/>
              </w:rPr>
            </w:pPr>
            <w:bookmarkStart w:id="11" w:name="_Hlk43899835"/>
            <w:r w:rsidRPr="00ED1C1F">
              <w:rPr>
                <w:rFonts w:ascii="Arial" w:hAnsi="Arial" w:cs="Arial"/>
              </w:rPr>
              <w:t>the process to collect and follow up outcomes for all NIPT performed as part of the NHS screening programme including to confirm screening results by either following up IPD results or assessment of baby at birth for confirmation</w:t>
            </w:r>
            <w:r w:rsidR="00D2499C" w:rsidRPr="00ED1C1F">
              <w:rPr>
                <w:rFonts w:ascii="Arial" w:hAnsi="Arial" w:cs="Arial"/>
              </w:rPr>
              <w:t xml:space="preserve"> (this will be collected in collaboration NCARDRS)</w:t>
            </w:r>
            <w:r w:rsidRPr="00ED1C1F">
              <w:rPr>
                <w:rFonts w:ascii="Arial" w:hAnsi="Arial" w:cs="Arial"/>
              </w:rPr>
              <w:t xml:space="preserve">; </w:t>
            </w:r>
          </w:p>
          <w:bookmarkEnd w:id="11"/>
          <w:p w14:paraId="307970FA" w14:textId="77777777" w:rsidR="00647287" w:rsidRPr="0077725E" w:rsidRDefault="00647287" w:rsidP="00647287">
            <w:pPr>
              <w:pStyle w:val="ListParagraph"/>
              <w:numPr>
                <w:ilvl w:val="1"/>
                <w:numId w:val="10"/>
              </w:numPr>
              <w:tabs>
                <w:tab w:val="left" w:pos="1440"/>
              </w:tabs>
              <w:spacing w:after="240"/>
              <w:contextualSpacing/>
              <w:jc w:val="both"/>
              <w:rPr>
                <w:rFonts w:ascii="Arial" w:hAnsi="Arial" w:cs="Arial"/>
              </w:rPr>
            </w:pPr>
            <w:r w:rsidRPr="00ED1C1F">
              <w:rPr>
                <w:rFonts w:ascii="Arial" w:hAnsi="Arial" w:cs="Arial"/>
              </w:rPr>
              <w:t>the number of DNA</w:t>
            </w:r>
            <w:r w:rsidRPr="0077725E">
              <w:rPr>
                <w:rFonts w:ascii="Arial" w:hAnsi="Arial" w:cs="Arial"/>
              </w:rPr>
              <w:t xml:space="preserve"> samples it can process in a single batch and processes demonstrating that: </w:t>
            </w:r>
          </w:p>
          <w:p w14:paraId="3DEFE310" w14:textId="77777777" w:rsidR="00647287" w:rsidRPr="0077725E" w:rsidRDefault="00647287" w:rsidP="00A41990">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 xml:space="preserve">DNA samples will be run regularly in batches of scalable numbers; and </w:t>
            </w:r>
          </w:p>
          <w:p w14:paraId="36E6B827" w14:textId="77777777" w:rsidR="00647287" w:rsidRPr="0077725E" w:rsidRDefault="00647287" w:rsidP="00A41990">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the analysis protocol is able to adjust to scaling up in numbers in order to meet the NIPT Turnaround Times; and</w:t>
            </w:r>
          </w:p>
          <w:p w14:paraId="4C3373C1" w14:textId="607A7293" w:rsidR="00647287" w:rsidRPr="0077725E" w:rsidRDefault="00647287" w:rsidP="00647287">
            <w:pPr>
              <w:pStyle w:val="ListParagraph"/>
              <w:numPr>
                <w:ilvl w:val="1"/>
                <w:numId w:val="10"/>
              </w:numPr>
              <w:tabs>
                <w:tab w:val="left" w:pos="1440"/>
              </w:tabs>
              <w:spacing w:after="240"/>
              <w:contextualSpacing/>
              <w:jc w:val="both"/>
              <w:rPr>
                <w:rFonts w:ascii="Arial" w:hAnsi="Arial" w:cs="Arial"/>
              </w:rPr>
            </w:pPr>
            <w:r w:rsidRPr="0077725E">
              <w:rPr>
                <w:rFonts w:ascii="Arial" w:hAnsi="Arial" w:cs="Arial"/>
              </w:rPr>
              <w:t xml:space="preserve">a mechanism for the NIPT Provider to obtain ordering information and other data where NIPT services have been let to a NHS </w:t>
            </w:r>
            <w:r w:rsidR="00800644" w:rsidRPr="0077725E">
              <w:rPr>
                <w:rFonts w:ascii="Arial" w:hAnsi="Arial" w:cs="Arial"/>
              </w:rPr>
              <w:t xml:space="preserve">LGL </w:t>
            </w:r>
            <w:r w:rsidRPr="0077725E">
              <w:rPr>
                <w:rFonts w:ascii="Arial" w:hAnsi="Arial" w:cs="Arial"/>
              </w:rPr>
              <w:t xml:space="preserve">to provide NIPT so that the NIPT Provider can fulfil its reporting obligations in accordance </w:t>
            </w:r>
            <w:r w:rsidR="003B3B64" w:rsidRPr="0077725E">
              <w:rPr>
                <w:rFonts w:ascii="Arial" w:hAnsi="Arial" w:cs="Arial"/>
              </w:rPr>
              <w:t>this service specification</w:t>
            </w:r>
            <w:r w:rsidRPr="0077725E">
              <w:rPr>
                <w:rFonts w:ascii="Arial" w:hAnsi="Arial" w:cs="Arial"/>
              </w:rPr>
              <w:t>.</w:t>
            </w:r>
          </w:p>
          <w:p w14:paraId="6CEC86CE" w14:textId="77777777" w:rsidR="00647287" w:rsidRPr="0077725E" w:rsidRDefault="00647287" w:rsidP="00360E8F">
            <w:pPr>
              <w:pStyle w:val="ListParagraph"/>
              <w:numPr>
                <w:ilvl w:val="2"/>
                <w:numId w:val="33"/>
              </w:numPr>
              <w:rPr>
                <w:rFonts w:ascii="Arial" w:hAnsi="Arial" w:cs="Arial"/>
              </w:rPr>
            </w:pPr>
            <w:r w:rsidRPr="0077725E">
              <w:rPr>
                <w:rFonts w:ascii="Arial" w:eastAsiaTheme="minorEastAsia" w:hAnsi="Arial" w:cs="Arial"/>
                <w:lang w:val="en-US" w:eastAsia="ja-JP"/>
              </w:rPr>
              <w:t>The NIPT Provider shall:</w:t>
            </w:r>
          </w:p>
          <w:p w14:paraId="48FC88EB" w14:textId="548A5AAD" w:rsidR="00647287" w:rsidRPr="0077725E" w:rsidRDefault="00647287" w:rsidP="00A41990">
            <w:pPr>
              <w:pStyle w:val="ListParagraph"/>
              <w:numPr>
                <w:ilvl w:val="0"/>
                <w:numId w:val="35"/>
              </w:numPr>
              <w:tabs>
                <w:tab w:val="left" w:pos="1440"/>
              </w:tabs>
              <w:spacing w:after="240"/>
              <w:contextualSpacing/>
              <w:jc w:val="both"/>
              <w:rPr>
                <w:rFonts w:ascii="Arial" w:hAnsi="Arial" w:cs="Arial"/>
              </w:rPr>
            </w:pPr>
            <w:r w:rsidRPr="0077725E">
              <w:rPr>
                <w:rFonts w:ascii="Arial" w:hAnsi="Arial" w:cs="Arial"/>
              </w:rPr>
              <w:t xml:space="preserve">receive and acknowledge receipt of the NIPT order in accordance with the </w:t>
            </w:r>
            <w:r w:rsidR="005F67E9" w:rsidRPr="0077725E">
              <w:rPr>
                <w:rFonts w:ascii="Arial" w:hAnsi="Arial" w:cs="Arial"/>
              </w:rPr>
              <w:t>SOPs</w:t>
            </w:r>
            <w:r w:rsidRPr="0077725E">
              <w:rPr>
                <w:rFonts w:ascii="Arial" w:hAnsi="Arial" w:cs="Arial"/>
              </w:rPr>
              <w:t>;</w:t>
            </w:r>
          </w:p>
          <w:p w14:paraId="1B1D716C" w14:textId="77777777" w:rsidR="00647287" w:rsidRPr="0077725E" w:rsidRDefault="00647287" w:rsidP="00A41990">
            <w:pPr>
              <w:pStyle w:val="ListParagraph"/>
              <w:numPr>
                <w:ilvl w:val="0"/>
                <w:numId w:val="35"/>
              </w:numPr>
              <w:tabs>
                <w:tab w:val="left" w:pos="1440"/>
              </w:tabs>
              <w:spacing w:after="240"/>
              <w:contextualSpacing/>
              <w:jc w:val="both"/>
              <w:rPr>
                <w:rFonts w:ascii="Arial" w:hAnsi="Arial" w:cs="Arial"/>
              </w:rPr>
            </w:pPr>
            <w:r w:rsidRPr="0077725E">
              <w:rPr>
                <w:rFonts w:ascii="Arial" w:hAnsi="Arial" w:cs="Arial"/>
              </w:rPr>
              <w:t xml:space="preserve">only processes orders which meet the NIPT Eligibility Criteria; </w:t>
            </w:r>
          </w:p>
          <w:p w14:paraId="5394EBBD" w14:textId="77777777" w:rsidR="00647287" w:rsidRPr="0077725E" w:rsidRDefault="00647287" w:rsidP="00A41990">
            <w:pPr>
              <w:pStyle w:val="ListParagraph"/>
              <w:numPr>
                <w:ilvl w:val="0"/>
                <w:numId w:val="35"/>
              </w:numPr>
              <w:tabs>
                <w:tab w:val="left" w:pos="1440"/>
              </w:tabs>
              <w:spacing w:after="240"/>
              <w:contextualSpacing/>
              <w:jc w:val="both"/>
              <w:rPr>
                <w:rFonts w:ascii="Arial" w:hAnsi="Arial" w:cs="Arial"/>
              </w:rPr>
            </w:pPr>
            <w:r w:rsidRPr="0077725E">
              <w:rPr>
                <w:rFonts w:ascii="Arial" w:hAnsi="Arial" w:cs="Arial"/>
              </w:rPr>
              <w:t xml:space="preserve">check that all the NIPT Minimum Data has been supplied and submitted correctly alongside the complete sample; </w:t>
            </w:r>
          </w:p>
          <w:p w14:paraId="132491A5" w14:textId="77777777" w:rsidR="00647287" w:rsidRPr="0077725E" w:rsidRDefault="00647287" w:rsidP="00A41990">
            <w:pPr>
              <w:pStyle w:val="ListParagraph"/>
              <w:numPr>
                <w:ilvl w:val="0"/>
                <w:numId w:val="35"/>
              </w:numPr>
              <w:tabs>
                <w:tab w:val="left" w:pos="1440"/>
              </w:tabs>
              <w:spacing w:after="240"/>
              <w:contextualSpacing/>
              <w:jc w:val="both"/>
              <w:rPr>
                <w:rFonts w:ascii="Arial" w:hAnsi="Arial" w:cs="Arial"/>
              </w:rPr>
            </w:pPr>
            <w:r w:rsidRPr="0077725E">
              <w:rPr>
                <w:rFonts w:ascii="Arial" w:hAnsi="Arial" w:cs="Arial"/>
              </w:rPr>
              <w:t>check that the sample and accompanying patient referring card/specimen labels provided is complete; if the information is not complete, the Provider must seek this correct information whilst storing and holding the sample(s) provided;</w:t>
            </w:r>
          </w:p>
          <w:p w14:paraId="7CF43490" w14:textId="5AC5808E" w:rsidR="00647287" w:rsidRPr="0077725E" w:rsidRDefault="00241FB6" w:rsidP="00A41990">
            <w:pPr>
              <w:pStyle w:val="ListParagraph"/>
              <w:numPr>
                <w:ilvl w:val="0"/>
                <w:numId w:val="35"/>
              </w:numPr>
              <w:tabs>
                <w:tab w:val="left" w:pos="1440"/>
              </w:tabs>
              <w:spacing w:after="240"/>
              <w:contextualSpacing/>
              <w:jc w:val="both"/>
              <w:rPr>
                <w:rFonts w:ascii="Arial" w:hAnsi="Arial" w:cs="Arial"/>
              </w:rPr>
            </w:pPr>
            <w:r w:rsidRPr="0077725E">
              <w:rPr>
                <w:rFonts w:ascii="Arial" w:hAnsi="Arial" w:cs="Arial"/>
              </w:rPr>
              <w:t>Check that the choices made regarding conditions that the screening offer is accepted for is clearly documented on the request form. If it is not clear or the relevant parts of the form have been left blank it is the responsibility of the laboratory to clarify the screening required with the requestor before the sample is analysed</w:t>
            </w:r>
            <w:r w:rsidR="00647287" w:rsidRPr="0077725E">
              <w:rPr>
                <w:rFonts w:ascii="Arial" w:hAnsi="Arial" w:cs="Arial"/>
              </w:rPr>
              <w:t xml:space="preserve">; </w:t>
            </w:r>
          </w:p>
          <w:p w14:paraId="3F917F69" w14:textId="7F5EA3E1" w:rsidR="00647287" w:rsidRPr="0077725E" w:rsidRDefault="00B861E1" w:rsidP="00A41990">
            <w:pPr>
              <w:pStyle w:val="ListParagraph"/>
              <w:numPr>
                <w:ilvl w:val="0"/>
                <w:numId w:val="35"/>
              </w:numPr>
              <w:tabs>
                <w:tab w:val="left" w:pos="1440"/>
              </w:tabs>
              <w:spacing w:after="240"/>
              <w:contextualSpacing/>
              <w:jc w:val="both"/>
              <w:rPr>
                <w:rFonts w:ascii="Arial" w:hAnsi="Arial" w:cs="Arial"/>
              </w:rPr>
            </w:pPr>
            <w:bookmarkStart w:id="12" w:name="_Hlk43900325"/>
            <w:r w:rsidRPr="0077725E">
              <w:rPr>
                <w:rFonts w:ascii="Arial" w:hAnsi="Arial" w:cs="Arial"/>
              </w:rPr>
              <w:t>perform the relevant QC on the sample at all steps of the pipeline to determine if the sample is of sufficient quality to proceed to NIPT</w:t>
            </w:r>
            <w:r w:rsidR="00F55291">
              <w:rPr>
                <w:rFonts w:ascii="Arial" w:hAnsi="Arial" w:cs="Arial"/>
              </w:rPr>
              <w:t xml:space="preserve"> and at all steps of the procedure</w:t>
            </w:r>
            <w:r w:rsidR="00647287" w:rsidRPr="0077725E">
              <w:rPr>
                <w:rFonts w:ascii="Arial" w:hAnsi="Arial" w:cs="Arial"/>
              </w:rPr>
              <w:t>;</w:t>
            </w:r>
            <w:bookmarkEnd w:id="12"/>
          </w:p>
          <w:p w14:paraId="4BD1A5CD" w14:textId="77777777" w:rsidR="00647287" w:rsidRPr="00ED1C1F" w:rsidRDefault="00647287" w:rsidP="00ED1C1F">
            <w:pPr>
              <w:pStyle w:val="ListParagraph"/>
              <w:numPr>
                <w:ilvl w:val="0"/>
                <w:numId w:val="35"/>
              </w:numPr>
              <w:tabs>
                <w:tab w:val="left" w:pos="1440"/>
              </w:tabs>
              <w:spacing w:after="240"/>
              <w:contextualSpacing/>
              <w:jc w:val="both"/>
              <w:rPr>
                <w:rFonts w:ascii="Arial" w:hAnsi="Arial" w:cs="Arial"/>
              </w:rPr>
            </w:pPr>
            <w:r w:rsidRPr="0077725E">
              <w:rPr>
                <w:rFonts w:ascii="Arial" w:hAnsi="Arial" w:cs="Arial"/>
              </w:rPr>
              <w:t xml:space="preserve">perform NIPT in </w:t>
            </w:r>
            <w:r w:rsidRPr="00ED1C1F">
              <w:rPr>
                <w:rFonts w:ascii="Arial" w:hAnsi="Arial" w:cs="Arial"/>
              </w:rPr>
              <w:t>accordance with the applicable Standards for NIPT, set out in this Schedule 4 (Service Specification) of the Contract; and</w:t>
            </w:r>
          </w:p>
          <w:p w14:paraId="44D28E53" w14:textId="77777777" w:rsidR="00647287" w:rsidRPr="00ED1C1F" w:rsidRDefault="00647287" w:rsidP="00ED1C1F">
            <w:pPr>
              <w:pStyle w:val="ListParagraph"/>
              <w:numPr>
                <w:ilvl w:val="0"/>
                <w:numId w:val="35"/>
              </w:numPr>
              <w:tabs>
                <w:tab w:val="left" w:pos="1440"/>
              </w:tabs>
              <w:spacing w:after="240"/>
              <w:contextualSpacing/>
              <w:jc w:val="both"/>
              <w:rPr>
                <w:rFonts w:ascii="Arial" w:hAnsi="Arial" w:cs="Arial"/>
              </w:rPr>
            </w:pPr>
            <w:r w:rsidRPr="00ED1C1F">
              <w:rPr>
                <w:rFonts w:ascii="Arial" w:hAnsi="Arial" w:cs="Arial"/>
              </w:rPr>
              <w:t>return the complete results to Clinical Services in accordance with the NIPT Turnaround Times,</w:t>
            </w:r>
          </w:p>
          <w:p w14:paraId="5CAAF2B9" w14:textId="2350D688" w:rsidR="00647287" w:rsidRDefault="00647287" w:rsidP="00ED1C1F">
            <w:pPr>
              <w:pStyle w:val="ListParagraph"/>
              <w:numPr>
                <w:ilvl w:val="0"/>
                <w:numId w:val="35"/>
              </w:numPr>
              <w:autoSpaceDE w:val="0"/>
              <w:autoSpaceDN w:val="0"/>
              <w:adjustRightInd w:val="0"/>
              <w:spacing w:after="240"/>
              <w:jc w:val="both"/>
              <w:rPr>
                <w:rFonts w:ascii="Arial" w:hAnsi="Arial" w:cs="Arial"/>
              </w:rPr>
            </w:pPr>
            <w:r w:rsidRPr="00ED1C1F">
              <w:rPr>
                <w:rFonts w:ascii="Arial" w:hAnsi="Arial" w:cs="Arial"/>
              </w:rPr>
              <w:t xml:space="preserve">collectively referred to as the </w:t>
            </w:r>
            <w:r w:rsidRPr="00ED1C1F">
              <w:rPr>
                <w:rFonts w:ascii="Arial" w:hAnsi="Arial" w:cs="Arial"/>
                <w:b/>
              </w:rPr>
              <w:t>"NIPT Gateway Services"</w:t>
            </w:r>
            <w:r w:rsidRPr="00ED1C1F">
              <w:rPr>
                <w:rFonts w:ascii="Arial" w:hAnsi="Arial" w:cs="Arial"/>
              </w:rPr>
              <w:t>, and</w:t>
            </w:r>
            <w:r w:rsidRPr="0077725E">
              <w:rPr>
                <w:rFonts w:ascii="Arial" w:hAnsi="Arial" w:cs="Arial"/>
              </w:rPr>
              <w:t xml:space="preserve"> the NIPT Provider shall monitor the performance of the NIPT Subcontractor in respect of the NIPT Gateway Services.</w:t>
            </w:r>
            <w:r w:rsidR="00577D80" w:rsidRPr="0077725E">
              <w:rPr>
                <w:rFonts w:ascii="Arial" w:hAnsi="Arial" w:cs="Arial"/>
              </w:rPr>
              <w:t xml:space="preserve"> </w:t>
            </w:r>
          </w:p>
          <w:p w14:paraId="6F42DAF9" w14:textId="03B97FBC" w:rsidR="00ED1C1F" w:rsidRDefault="00ED1C1F" w:rsidP="00ED1C1F">
            <w:pPr>
              <w:pStyle w:val="ListParagraph"/>
              <w:autoSpaceDE w:val="0"/>
              <w:autoSpaceDN w:val="0"/>
              <w:adjustRightInd w:val="0"/>
              <w:spacing w:after="240"/>
              <w:ind w:left="1440"/>
              <w:jc w:val="both"/>
              <w:rPr>
                <w:rFonts w:ascii="Arial" w:hAnsi="Arial" w:cs="Arial"/>
              </w:rPr>
            </w:pPr>
          </w:p>
          <w:p w14:paraId="7E65F6B5" w14:textId="7E8C68B0" w:rsidR="00ED1C1F" w:rsidRDefault="00ED1C1F" w:rsidP="00ED1C1F">
            <w:pPr>
              <w:pStyle w:val="ListParagraph"/>
              <w:autoSpaceDE w:val="0"/>
              <w:autoSpaceDN w:val="0"/>
              <w:adjustRightInd w:val="0"/>
              <w:spacing w:after="240"/>
              <w:ind w:left="1440"/>
              <w:jc w:val="both"/>
              <w:rPr>
                <w:rFonts w:ascii="Arial" w:hAnsi="Arial" w:cs="Arial"/>
              </w:rPr>
            </w:pPr>
          </w:p>
          <w:p w14:paraId="252E849E" w14:textId="77777777" w:rsidR="00EF1B72" w:rsidRPr="0077725E" w:rsidRDefault="00EF1B72" w:rsidP="00A06E86">
            <w:pPr>
              <w:pStyle w:val="Heading2"/>
              <w:numPr>
                <w:ilvl w:val="1"/>
                <w:numId w:val="33"/>
              </w:numPr>
              <w:ind w:left="626" w:hanging="626"/>
              <w:rPr>
                <w:rFonts w:ascii="Arial" w:hAnsi="Arial" w:cs="Arial"/>
                <w:sz w:val="24"/>
                <w:szCs w:val="24"/>
              </w:rPr>
            </w:pPr>
            <w:bookmarkStart w:id="13" w:name="_Toc41578064"/>
            <w:r w:rsidRPr="0077725E">
              <w:rPr>
                <w:rFonts w:ascii="Arial" w:hAnsi="Arial" w:cs="Arial"/>
                <w:sz w:val="24"/>
                <w:szCs w:val="24"/>
              </w:rPr>
              <w:lastRenderedPageBreak/>
              <w:t>Technical and Analytical platforms and Capability</w:t>
            </w:r>
            <w:bookmarkEnd w:id="13"/>
            <w:r w:rsidRPr="0077725E">
              <w:rPr>
                <w:rFonts w:ascii="Arial" w:hAnsi="Arial" w:cs="Arial"/>
                <w:sz w:val="24"/>
                <w:szCs w:val="24"/>
              </w:rPr>
              <w:t xml:space="preserve"> </w:t>
            </w:r>
          </w:p>
          <w:p w14:paraId="04A259F9" w14:textId="77777777" w:rsidR="00EF1B72" w:rsidRPr="0077725E" w:rsidRDefault="00EF1B72" w:rsidP="00EF1B72">
            <w:pPr>
              <w:jc w:val="both"/>
              <w:rPr>
                <w:rFonts w:ascii="Arial" w:hAnsi="Arial" w:cs="Arial"/>
                <w:bCs/>
                <w:szCs w:val="24"/>
              </w:rPr>
            </w:pPr>
          </w:p>
          <w:p w14:paraId="63625E40" w14:textId="77777777" w:rsidR="00EF1B72" w:rsidRPr="0077725E" w:rsidRDefault="00EF1B72" w:rsidP="003E7237">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Business Continuity Plan and procedures which the NIPT Provider is to have in place, maintain and comply with in accordance with Clause 5 of Schedule 2 (General Terms and Conditions) of the Contract must include a contingency procedure to ensure continuity of NIPT in the event of service failure. </w:t>
            </w:r>
          </w:p>
          <w:p w14:paraId="4FC6B150" w14:textId="77777777" w:rsidR="00EF1B72" w:rsidRPr="0077725E" w:rsidRDefault="00EF1B72" w:rsidP="003E7237">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should report to Public Health England if it proposes to make any upgrades in development of laboratory equipment and consumables and other similar items used in the performance of NIPT, what the upgrade is for, and an estimated launch date to NHS FASP and Public Health England. </w:t>
            </w:r>
          </w:p>
          <w:p w14:paraId="148D31C4" w14:textId="77777777" w:rsidR="003E7237" w:rsidRPr="0077725E" w:rsidRDefault="003E7237" w:rsidP="003E7237">
            <w:pPr>
              <w:pStyle w:val="ListParagraph"/>
              <w:rPr>
                <w:rFonts w:ascii="Arial" w:eastAsiaTheme="minorEastAsia" w:hAnsi="Arial" w:cs="Arial"/>
                <w:lang w:val="en-US" w:eastAsia="ja-JP"/>
              </w:rPr>
            </w:pPr>
          </w:p>
          <w:p w14:paraId="07BAEEAB" w14:textId="77777777" w:rsidR="00EF1B72" w:rsidRPr="0077725E" w:rsidRDefault="00EF1B72" w:rsidP="003E7237">
            <w:pPr>
              <w:pStyle w:val="Heading2"/>
              <w:numPr>
                <w:ilvl w:val="1"/>
                <w:numId w:val="33"/>
              </w:numPr>
              <w:ind w:left="626" w:hanging="626"/>
              <w:rPr>
                <w:rFonts w:ascii="Arial" w:hAnsi="Arial" w:cs="Arial"/>
                <w:sz w:val="24"/>
                <w:szCs w:val="24"/>
              </w:rPr>
            </w:pPr>
            <w:bookmarkStart w:id="14" w:name="_Toc41578065"/>
            <w:r w:rsidRPr="0077725E">
              <w:rPr>
                <w:rFonts w:ascii="Arial" w:hAnsi="Arial" w:cs="Arial"/>
                <w:sz w:val="24"/>
                <w:szCs w:val="24"/>
              </w:rPr>
              <w:t>Bioinformatics, Annotation and Validation</w:t>
            </w:r>
            <w:bookmarkEnd w:id="14"/>
            <w:r w:rsidRPr="0077725E">
              <w:rPr>
                <w:rFonts w:ascii="Arial" w:hAnsi="Arial" w:cs="Arial"/>
                <w:sz w:val="24"/>
                <w:szCs w:val="24"/>
              </w:rPr>
              <w:t xml:space="preserve"> </w:t>
            </w:r>
          </w:p>
          <w:p w14:paraId="2962CE05" w14:textId="77777777" w:rsidR="00EF1B72" w:rsidRPr="0077725E" w:rsidRDefault="00EF1B72" w:rsidP="00EF1B72">
            <w:pPr>
              <w:jc w:val="both"/>
              <w:rPr>
                <w:rFonts w:ascii="Arial" w:hAnsi="Arial" w:cs="Arial"/>
                <w:bCs/>
                <w:szCs w:val="24"/>
              </w:rPr>
            </w:pPr>
          </w:p>
          <w:p w14:paraId="4E865CA0" w14:textId="7C846F1F" w:rsidR="00EF1B72" w:rsidRPr="001A7FB2" w:rsidRDefault="00EF1B72" w:rsidP="003E7237">
            <w:pPr>
              <w:pStyle w:val="ListParagraph"/>
              <w:numPr>
                <w:ilvl w:val="2"/>
                <w:numId w:val="33"/>
              </w:numPr>
              <w:rPr>
                <w:rFonts w:ascii="Arial" w:eastAsiaTheme="minorEastAsia" w:hAnsi="Arial" w:cs="Arial"/>
                <w:color w:val="000000" w:themeColor="text1"/>
                <w:lang w:val="en-US" w:eastAsia="ja-JP"/>
              </w:rPr>
            </w:pPr>
            <w:r w:rsidRPr="0077725E">
              <w:rPr>
                <w:rFonts w:ascii="Arial" w:eastAsiaTheme="minorEastAsia" w:hAnsi="Arial" w:cs="Arial"/>
                <w:lang w:val="en-US" w:eastAsia="ja-JP"/>
              </w:rPr>
              <w:t xml:space="preserve">The NIPT Provider shall set out in the </w:t>
            </w:r>
            <w:r w:rsidR="005F67E9" w:rsidRPr="001A7FB2">
              <w:rPr>
                <w:rFonts w:ascii="Arial" w:eastAsiaTheme="minorEastAsia" w:hAnsi="Arial" w:cs="Arial"/>
                <w:color w:val="000000" w:themeColor="text1"/>
                <w:lang w:val="en-US" w:eastAsia="ja-JP"/>
              </w:rPr>
              <w:t>SOPs</w:t>
            </w:r>
            <w:r w:rsidRPr="001A7FB2">
              <w:rPr>
                <w:rFonts w:ascii="Arial" w:eastAsiaTheme="minorEastAsia" w:hAnsi="Arial" w:cs="Arial"/>
                <w:color w:val="000000" w:themeColor="text1"/>
                <w:lang w:val="en-US" w:eastAsia="ja-JP"/>
              </w:rPr>
              <w:t xml:space="preserve"> required under Paragraph </w:t>
            </w:r>
            <w:r w:rsidR="001A7FB2" w:rsidRPr="001A7FB2">
              <w:rPr>
                <w:rFonts w:ascii="Arial" w:eastAsiaTheme="minorEastAsia" w:hAnsi="Arial" w:cs="Arial"/>
                <w:color w:val="000000" w:themeColor="text1"/>
                <w:lang w:val="en-US" w:eastAsia="ja-JP"/>
              </w:rPr>
              <w:t>3.4.9</w:t>
            </w:r>
            <w:r w:rsidRPr="001A7FB2">
              <w:rPr>
                <w:rFonts w:ascii="Arial" w:eastAsiaTheme="minorEastAsia" w:hAnsi="Arial" w:cs="Arial"/>
                <w:color w:val="000000" w:themeColor="text1"/>
                <w:lang w:val="en-US" w:eastAsia="ja-JP"/>
              </w:rPr>
              <w:t>:</w:t>
            </w:r>
          </w:p>
          <w:p w14:paraId="139C328E" w14:textId="77777777" w:rsidR="00EF1B72" w:rsidRPr="0077725E" w:rsidRDefault="00EF1B72" w:rsidP="00DA233F">
            <w:pPr>
              <w:pStyle w:val="ListParagraph"/>
              <w:numPr>
                <w:ilvl w:val="0"/>
                <w:numId w:val="36"/>
              </w:numPr>
              <w:autoSpaceDE w:val="0"/>
              <w:autoSpaceDN w:val="0"/>
              <w:adjustRightInd w:val="0"/>
              <w:spacing w:after="240"/>
              <w:jc w:val="both"/>
              <w:rPr>
                <w:rFonts w:ascii="Arial" w:hAnsi="Arial" w:cs="Arial"/>
              </w:rPr>
            </w:pPr>
            <w:r w:rsidRPr="0077725E">
              <w:rPr>
                <w:rFonts w:ascii="Arial" w:hAnsi="Arial" w:cs="Arial"/>
              </w:rPr>
              <w:t xml:space="preserve">full details of the process for validation/verification of NIPT results using the ISO 15189:2012 guidance. This must include as a minimum the "ISO 15189:2012 Standard 5.5.1 Selection, Validation and Verification of Examination Procedures" document for NIPT; </w:t>
            </w:r>
          </w:p>
          <w:p w14:paraId="6A4C2F8D" w14:textId="77777777" w:rsidR="00EF1B72" w:rsidRPr="0077725E" w:rsidRDefault="00EF1B72" w:rsidP="00DA233F">
            <w:pPr>
              <w:pStyle w:val="ListParagraph"/>
              <w:numPr>
                <w:ilvl w:val="0"/>
                <w:numId w:val="36"/>
              </w:numPr>
              <w:autoSpaceDE w:val="0"/>
              <w:autoSpaceDN w:val="0"/>
              <w:adjustRightInd w:val="0"/>
              <w:spacing w:after="240"/>
              <w:jc w:val="both"/>
              <w:rPr>
                <w:rFonts w:ascii="Arial" w:hAnsi="Arial" w:cs="Arial"/>
              </w:rPr>
            </w:pPr>
            <w:r w:rsidRPr="0077725E">
              <w:rPr>
                <w:rFonts w:ascii="Arial" w:hAnsi="Arial" w:cs="Arial"/>
              </w:rPr>
              <w:t xml:space="preserve">the specific parameters used to generate final NIPT results. This must include parameters (for example, a priori risk) used to determine the lower and higher chance result; </w:t>
            </w:r>
          </w:p>
          <w:p w14:paraId="07C91662" w14:textId="71CF2FAE" w:rsidR="00EF1B72" w:rsidRPr="0077725E" w:rsidRDefault="00EF1B72" w:rsidP="00DA233F">
            <w:pPr>
              <w:pStyle w:val="ListParagraph"/>
              <w:numPr>
                <w:ilvl w:val="0"/>
                <w:numId w:val="36"/>
              </w:numPr>
              <w:autoSpaceDE w:val="0"/>
              <w:autoSpaceDN w:val="0"/>
              <w:adjustRightInd w:val="0"/>
              <w:spacing w:after="240"/>
              <w:jc w:val="both"/>
              <w:rPr>
                <w:rFonts w:ascii="Arial" w:hAnsi="Arial" w:cs="Arial"/>
              </w:rPr>
            </w:pPr>
            <w:r w:rsidRPr="0077725E">
              <w:rPr>
                <w:rFonts w:ascii="Arial" w:hAnsi="Arial" w:cs="Arial"/>
              </w:rPr>
              <w:t xml:space="preserve">the key quality parameters used in their analysis of NIPT results to pass or fail each sample (for example, minimum/maximum library yield QC, minimum samples for analysis, specific sequencing data quality control, minimum </w:t>
            </w:r>
            <w:proofErr w:type="spellStart"/>
            <w:r w:rsidRPr="0077725E">
              <w:rPr>
                <w:rFonts w:ascii="Arial" w:hAnsi="Arial" w:cs="Arial"/>
              </w:rPr>
              <w:t>fetal</w:t>
            </w:r>
            <w:proofErr w:type="spellEnd"/>
            <w:r w:rsidRPr="0077725E">
              <w:rPr>
                <w:rFonts w:ascii="Arial" w:hAnsi="Arial" w:cs="Arial"/>
              </w:rPr>
              <w:t xml:space="preserve"> fraction); and</w:t>
            </w:r>
          </w:p>
          <w:p w14:paraId="486C5F21" w14:textId="77777777" w:rsidR="00EF1B72" w:rsidRPr="0077725E" w:rsidRDefault="00EF1B72" w:rsidP="00DA233F">
            <w:pPr>
              <w:pStyle w:val="ListParagraph"/>
              <w:numPr>
                <w:ilvl w:val="0"/>
                <w:numId w:val="36"/>
              </w:numPr>
              <w:autoSpaceDE w:val="0"/>
              <w:autoSpaceDN w:val="0"/>
              <w:adjustRightInd w:val="0"/>
              <w:spacing w:after="240"/>
              <w:jc w:val="both"/>
              <w:rPr>
                <w:rFonts w:ascii="Arial" w:hAnsi="Arial" w:cs="Arial"/>
              </w:rPr>
            </w:pPr>
            <w:r w:rsidRPr="0077725E">
              <w:rPr>
                <w:rFonts w:ascii="Arial" w:hAnsi="Arial" w:cs="Arial"/>
              </w:rPr>
              <w:t>the auditing processes and procedures on reporting of NIPT Turnaround Times.</w:t>
            </w:r>
          </w:p>
          <w:p w14:paraId="008A514E" w14:textId="77777777" w:rsidR="00EF1B72" w:rsidRPr="0077725E" w:rsidRDefault="00EF1B72" w:rsidP="00DA233F">
            <w:pPr>
              <w:pStyle w:val="Heading2"/>
              <w:numPr>
                <w:ilvl w:val="1"/>
                <w:numId w:val="33"/>
              </w:numPr>
              <w:ind w:left="626" w:hanging="626"/>
              <w:rPr>
                <w:rFonts w:ascii="Arial" w:hAnsi="Arial" w:cs="Arial"/>
                <w:sz w:val="24"/>
                <w:szCs w:val="24"/>
              </w:rPr>
            </w:pPr>
            <w:bookmarkStart w:id="15" w:name="_Toc41578066"/>
            <w:r w:rsidRPr="0077725E">
              <w:rPr>
                <w:rFonts w:ascii="Arial" w:hAnsi="Arial" w:cs="Arial"/>
                <w:sz w:val="24"/>
                <w:szCs w:val="24"/>
              </w:rPr>
              <w:t>Clinical interpretation, reporting, returning of results and measuring outcomes</w:t>
            </w:r>
            <w:bookmarkEnd w:id="15"/>
            <w:r w:rsidRPr="0077725E">
              <w:rPr>
                <w:rFonts w:ascii="Arial" w:hAnsi="Arial" w:cs="Arial"/>
                <w:sz w:val="24"/>
                <w:szCs w:val="24"/>
              </w:rPr>
              <w:t xml:space="preserve"> </w:t>
            </w:r>
          </w:p>
          <w:p w14:paraId="555DC86B" w14:textId="77777777" w:rsidR="00EF1B72" w:rsidRPr="0077725E" w:rsidRDefault="00EF1B72" w:rsidP="00EF1B72">
            <w:pPr>
              <w:jc w:val="both"/>
              <w:rPr>
                <w:rFonts w:ascii="Arial" w:hAnsi="Arial" w:cs="Arial"/>
                <w:bCs/>
                <w:szCs w:val="24"/>
              </w:rPr>
            </w:pPr>
          </w:p>
          <w:p w14:paraId="09DE9BB9" w14:textId="5D8491BF" w:rsidR="00EF1B72" w:rsidRPr="0077725E" w:rsidRDefault="00EF1B72" w:rsidP="00DA233F">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shall, ensure that they perform the NIPT and return the result to Clinician </w:t>
            </w:r>
            <w:r w:rsidR="005C5A84" w:rsidRPr="0077725E">
              <w:rPr>
                <w:rFonts w:ascii="Arial" w:eastAsiaTheme="minorEastAsia" w:hAnsi="Arial" w:cs="Arial"/>
                <w:lang w:val="en-US" w:eastAsia="ja-JP"/>
              </w:rPr>
              <w:t xml:space="preserve">(referring) </w:t>
            </w:r>
            <w:r w:rsidRPr="0077725E">
              <w:rPr>
                <w:rFonts w:ascii="Arial" w:eastAsiaTheme="minorEastAsia" w:hAnsi="Arial" w:cs="Arial"/>
                <w:lang w:val="en-US" w:eastAsia="ja-JP"/>
              </w:rPr>
              <w:t>Services (the maternity service that will provide the service user(s) with the test result(s)) within seven (7) days of receipt of the sample at the NIPT Provider</w:t>
            </w:r>
            <w:r w:rsidR="00983AA4"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 xml:space="preserve">("NIPT Turnaround Times"). </w:t>
            </w:r>
            <w:r w:rsidRPr="0077725E">
              <w:rPr>
                <w:rFonts w:ascii="Arial" w:eastAsiaTheme="minorEastAsia" w:hAnsi="Arial" w:cs="Arial"/>
                <w:b/>
                <w:lang w:val="en-US" w:eastAsia="ja-JP"/>
              </w:rPr>
              <w:t xml:space="preserve">The NIPT Provider shall turnaround in five (5) days from receipt of sample at the NIPT Provider to reporting of the result(s) to Clinician Services. </w:t>
            </w:r>
            <w:r w:rsidR="008F0F45" w:rsidRPr="0077725E">
              <w:rPr>
                <w:rFonts w:ascii="Arial" w:eastAsiaTheme="minorEastAsia" w:hAnsi="Arial" w:cs="Arial"/>
                <w:b/>
                <w:lang w:val="en-US" w:eastAsia="ja-JP"/>
              </w:rPr>
              <w:t xml:space="preserve">Receiving </w:t>
            </w:r>
            <w:r w:rsidRPr="0077725E">
              <w:rPr>
                <w:rFonts w:ascii="Arial" w:eastAsiaTheme="minorEastAsia" w:hAnsi="Arial" w:cs="Arial"/>
                <w:b/>
                <w:lang w:val="en-US" w:eastAsia="ja-JP"/>
              </w:rPr>
              <w:t>of the sample equals day one (1)</w:t>
            </w:r>
            <w:r w:rsidRPr="0077725E">
              <w:rPr>
                <w:rFonts w:ascii="Arial" w:eastAsiaTheme="minorEastAsia" w:hAnsi="Arial" w:cs="Arial"/>
                <w:lang w:val="en-US" w:eastAsia="ja-JP"/>
              </w:rPr>
              <w:t>.</w:t>
            </w:r>
          </w:p>
          <w:p w14:paraId="3C08C7E6" w14:textId="77777777" w:rsidR="00EF1B72" w:rsidRPr="0077725E" w:rsidRDefault="00EF1B72" w:rsidP="00DA233F">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If there is a sample testing failure, the NIPT Provider shall, report this immediately to Clinical Services, advise if a second sample needs to be obtained from a patient, and advise of any impact of such failure on NIPT Turnaround Times.</w:t>
            </w:r>
          </w:p>
          <w:p w14:paraId="37E9852B" w14:textId="77777777" w:rsidR="00EF1B72" w:rsidRPr="0077725E" w:rsidRDefault="00EF1B72" w:rsidP="00DA233F">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lastRenderedPageBreak/>
              <w:t xml:space="preserve">The NIPT Provider must provide, as part of its regular report to PHE and NHS FASP such information as necessary to fulfil the NIPT Provider's obligations) and shall report directly to NHS FASP: </w:t>
            </w:r>
          </w:p>
          <w:p w14:paraId="14A68875" w14:textId="77777777" w:rsidR="00EF1B72" w:rsidRPr="0077725E" w:rsidRDefault="00EF1B72" w:rsidP="00DA233F">
            <w:pPr>
              <w:pStyle w:val="ListParagraph"/>
              <w:numPr>
                <w:ilvl w:val="2"/>
                <w:numId w:val="37"/>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examples of NIPT reports (include 'higher chance', 'lower chance' and 'no result'); </w:t>
            </w:r>
          </w:p>
          <w:p w14:paraId="53CDAF11" w14:textId="77777777" w:rsidR="00EF1B72" w:rsidRPr="0077725E" w:rsidRDefault="00EF1B72" w:rsidP="00DA233F">
            <w:pPr>
              <w:pStyle w:val="ListParagraph"/>
              <w:numPr>
                <w:ilvl w:val="2"/>
                <w:numId w:val="37"/>
              </w:numPr>
              <w:ind w:left="1193" w:hanging="284"/>
              <w:rPr>
                <w:rFonts w:ascii="Arial" w:eastAsiaTheme="minorEastAsia" w:hAnsi="Arial" w:cs="Arial"/>
                <w:lang w:val="en-US" w:eastAsia="ja-JP"/>
              </w:rPr>
            </w:pPr>
            <w:r w:rsidRPr="0077725E">
              <w:rPr>
                <w:rFonts w:ascii="Arial" w:eastAsiaTheme="minorEastAsia" w:hAnsi="Arial" w:cs="Arial"/>
                <w:lang w:val="en-US" w:eastAsia="ja-JP"/>
              </w:rPr>
              <w:t>details of current NIPT 'no result' numbers and reasons for 'no result' and provide evidence for both first sample and re-sample requests;</w:t>
            </w:r>
          </w:p>
          <w:p w14:paraId="14C212B8" w14:textId="77777777" w:rsidR="00EF1B72" w:rsidRPr="0077725E" w:rsidRDefault="00EF1B72" w:rsidP="00DA233F">
            <w:pPr>
              <w:pStyle w:val="ListParagraph"/>
              <w:numPr>
                <w:ilvl w:val="2"/>
                <w:numId w:val="37"/>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information on the NIPT Provider's false positive and false negative rate; </w:t>
            </w:r>
          </w:p>
          <w:p w14:paraId="7454D3C3" w14:textId="77777777" w:rsidR="00EF1B72" w:rsidRPr="0077725E" w:rsidRDefault="00EF1B72" w:rsidP="00DA233F">
            <w:pPr>
              <w:pStyle w:val="ListParagraph"/>
              <w:numPr>
                <w:ilvl w:val="2"/>
                <w:numId w:val="37"/>
              </w:numPr>
              <w:ind w:left="1193" w:hanging="284"/>
              <w:rPr>
                <w:rFonts w:ascii="Arial" w:eastAsiaTheme="minorEastAsia" w:hAnsi="Arial" w:cs="Arial"/>
                <w:lang w:val="en-US" w:eastAsia="ja-JP"/>
              </w:rPr>
            </w:pPr>
            <w:r w:rsidRPr="0077725E">
              <w:rPr>
                <w:rFonts w:ascii="Arial" w:eastAsiaTheme="minorEastAsia" w:hAnsi="Arial" w:cs="Arial"/>
                <w:lang w:val="en-US" w:eastAsia="ja-JP"/>
              </w:rPr>
              <w:t>details on the NIPT Provider's performance against the NIPT Turnaround Times and any failures to meet the NIPT Turnaround Times and the reason for such failure;</w:t>
            </w:r>
          </w:p>
          <w:p w14:paraId="754CE582" w14:textId="61A8C555" w:rsidR="00EF1B72" w:rsidRPr="0077725E" w:rsidRDefault="00EF1B72" w:rsidP="00DA233F">
            <w:pPr>
              <w:pStyle w:val="ListParagraph"/>
              <w:numPr>
                <w:ilvl w:val="2"/>
                <w:numId w:val="37"/>
              </w:numPr>
              <w:ind w:left="1193" w:hanging="284"/>
              <w:rPr>
                <w:rFonts w:ascii="Arial" w:eastAsiaTheme="minorEastAsia" w:hAnsi="Arial" w:cs="Arial"/>
                <w:lang w:val="en-US" w:eastAsia="ja-JP"/>
              </w:rPr>
            </w:pPr>
            <w:bookmarkStart w:id="16" w:name="_Hlk43900466"/>
            <w:r w:rsidRPr="0077725E">
              <w:rPr>
                <w:rFonts w:ascii="Arial" w:eastAsiaTheme="minorEastAsia" w:hAnsi="Arial" w:cs="Arial"/>
                <w:lang w:val="en-US" w:eastAsia="ja-JP"/>
              </w:rPr>
              <w:t xml:space="preserve">instances where samples require to be repeated, where additional samples need to be obtained due to test failure, and the impact on the overall NIPT Turnaround Times; any failures to meet the </w:t>
            </w:r>
            <w:proofErr w:type="spellStart"/>
            <w:r w:rsidR="00F833F0" w:rsidRPr="0077725E">
              <w:rPr>
                <w:rFonts w:ascii="Arial" w:eastAsiaTheme="minorEastAsia" w:hAnsi="Arial" w:cs="Arial"/>
                <w:lang w:val="en-US" w:eastAsia="ja-JP"/>
              </w:rPr>
              <w:t>laboratries</w:t>
            </w:r>
            <w:proofErr w:type="spellEnd"/>
            <w:r w:rsidR="00F833F0"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QC thresholds.</w:t>
            </w:r>
          </w:p>
          <w:bookmarkEnd w:id="16"/>
          <w:p w14:paraId="220DAE3B" w14:textId="77777777" w:rsidR="00EF1B72" w:rsidRPr="0077725E" w:rsidRDefault="00EF1B72" w:rsidP="009C77F5">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shall develop a documented evaluation, reporting and audit </w:t>
            </w:r>
            <w:proofErr w:type="spellStart"/>
            <w:r w:rsidRPr="0077725E">
              <w:rPr>
                <w:rFonts w:ascii="Arial" w:eastAsiaTheme="minorEastAsia" w:hAnsi="Arial" w:cs="Arial"/>
                <w:lang w:val="en-US" w:eastAsia="ja-JP"/>
              </w:rPr>
              <w:t>programme</w:t>
            </w:r>
            <w:proofErr w:type="spellEnd"/>
            <w:r w:rsidRPr="0077725E">
              <w:rPr>
                <w:rFonts w:ascii="Arial" w:eastAsiaTheme="minorEastAsia" w:hAnsi="Arial" w:cs="Arial"/>
                <w:lang w:val="en-US" w:eastAsia="ja-JP"/>
              </w:rPr>
              <w:t xml:space="preserve"> to assess screening safety and performance as defined by NHS FASP requirements. This will include providing returns to Down's syndrome screening quality assurance support service (DQASS) and National Congenital Anomaly and Rare Disease Registration Service (NCARDRS) and providing to PHE</w:t>
            </w:r>
            <w:r w:rsidR="0020514C" w:rsidRPr="0077725E">
              <w:rPr>
                <w:rFonts w:ascii="Arial" w:eastAsiaTheme="minorEastAsia" w:hAnsi="Arial" w:cs="Arial"/>
                <w:lang w:val="en-US" w:eastAsia="ja-JP"/>
              </w:rPr>
              <w:t xml:space="preserve">, </w:t>
            </w:r>
            <w:r w:rsidRPr="0077725E">
              <w:rPr>
                <w:rFonts w:ascii="Arial" w:eastAsiaTheme="minorEastAsia" w:hAnsi="Arial" w:cs="Arial"/>
                <w:lang w:val="en-US" w:eastAsia="ja-JP"/>
              </w:rPr>
              <w:t>NHS FASP</w:t>
            </w:r>
            <w:r w:rsidR="0020514C" w:rsidRPr="0077725E">
              <w:rPr>
                <w:rFonts w:ascii="Arial" w:eastAsiaTheme="minorEastAsia" w:hAnsi="Arial" w:cs="Arial"/>
                <w:lang w:val="en-US" w:eastAsia="ja-JP"/>
              </w:rPr>
              <w:t xml:space="preserve"> and</w:t>
            </w:r>
            <w:r w:rsidRPr="0077725E">
              <w:rPr>
                <w:rFonts w:ascii="Arial" w:eastAsiaTheme="minorEastAsia" w:hAnsi="Arial" w:cs="Arial"/>
                <w:lang w:val="en-US" w:eastAsia="ja-JP"/>
              </w:rPr>
              <w:t xml:space="preserve"> Clinical Services:</w:t>
            </w:r>
          </w:p>
          <w:p w14:paraId="01E1C69C" w14:textId="77777777" w:rsidR="00EF1B72" w:rsidRPr="0077725E" w:rsidRDefault="00EF1B72" w:rsidP="00167C2A">
            <w:pPr>
              <w:pStyle w:val="ListParagraph"/>
              <w:numPr>
                <w:ilvl w:val="2"/>
                <w:numId w:val="38"/>
              </w:numPr>
              <w:ind w:left="1193" w:hanging="284"/>
              <w:rPr>
                <w:rFonts w:ascii="Arial" w:eastAsiaTheme="minorEastAsia" w:hAnsi="Arial" w:cs="Arial"/>
                <w:lang w:val="en-US" w:eastAsia="ja-JP"/>
              </w:rPr>
            </w:pPr>
            <w:r w:rsidRPr="0077725E">
              <w:rPr>
                <w:rFonts w:ascii="Arial" w:eastAsiaTheme="minorEastAsia" w:hAnsi="Arial" w:cs="Arial"/>
                <w:lang w:val="en-US" w:eastAsia="ja-JP"/>
              </w:rPr>
              <w:t>annual data returns and reports on national standards;</w:t>
            </w:r>
          </w:p>
          <w:p w14:paraId="4D8CF27D" w14:textId="77777777" w:rsidR="00EF1B72" w:rsidRPr="0077725E" w:rsidRDefault="00EF1B72" w:rsidP="00167C2A">
            <w:pPr>
              <w:pStyle w:val="ListParagraph"/>
              <w:numPr>
                <w:ilvl w:val="2"/>
                <w:numId w:val="38"/>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details of such returns to DQASS and NCARDRS; and </w:t>
            </w:r>
          </w:p>
          <w:p w14:paraId="333F7882" w14:textId="77777777" w:rsidR="00EF1B72" w:rsidRPr="0077725E" w:rsidRDefault="00EF1B72" w:rsidP="00167C2A">
            <w:pPr>
              <w:pStyle w:val="ListParagraph"/>
              <w:numPr>
                <w:ilvl w:val="2"/>
                <w:numId w:val="38"/>
              </w:numPr>
              <w:ind w:left="1193" w:hanging="284"/>
              <w:rPr>
                <w:rFonts w:ascii="Arial" w:eastAsiaTheme="minorEastAsia" w:hAnsi="Arial" w:cs="Arial"/>
                <w:lang w:val="en-US" w:eastAsia="ja-JP"/>
              </w:rPr>
            </w:pPr>
            <w:r w:rsidRPr="0077725E">
              <w:rPr>
                <w:rFonts w:ascii="Arial" w:eastAsiaTheme="minorEastAsia" w:hAnsi="Arial" w:cs="Arial"/>
                <w:lang w:val="en-US" w:eastAsia="ja-JP"/>
              </w:rPr>
              <w:t>other requirements during the evaluative roll-out as defined by NHS FASP, all within the timescales specified by NHS FASP</w:t>
            </w:r>
          </w:p>
          <w:p w14:paraId="24FEEE91" w14:textId="77777777" w:rsidR="00032DEA" w:rsidRPr="0077725E" w:rsidRDefault="00032DEA" w:rsidP="004F24A0">
            <w:pPr>
              <w:spacing w:after="0"/>
              <w:rPr>
                <w:rFonts w:ascii="Arial" w:hAnsi="Arial" w:cs="Arial"/>
                <w:b/>
                <w:szCs w:val="24"/>
              </w:rPr>
            </w:pPr>
          </w:p>
          <w:p w14:paraId="6312F442" w14:textId="77777777" w:rsidR="00576608" w:rsidRPr="0077725E" w:rsidRDefault="00576608" w:rsidP="004F24A0">
            <w:pPr>
              <w:spacing w:after="0"/>
              <w:rPr>
                <w:rFonts w:ascii="Arial" w:hAnsi="Arial" w:cs="Arial"/>
                <w:szCs w:val="24"/>
              </w:rPr>
            </w:pPr>
          </w:p>
          <w:p w14:paraId="69318208" w14:textId="77777777" w:rsidR="00576608" w:rsidRPr="0077725E" w:rsidRDefault="00576608" w:rsidP="00BB6D36">
            <w:pPr>
              <w:pStyle w:val="Heading2"/>
              <w:numPr>
                <w:ilvl w:val="1"/>
                <w:numId w:val="33"/>
              </w:numPr>
              <w:ind w:left="626" w:hanging="626"/>
              <w:rPr>
                <w:rFonts w:ascii="Arial" w:hAnsi="Arial" w:cs="Arial"/>
                <w:sz w:val="24"/>
                <w:szCs w:val="24"/>
              </w:rPr>
            </w:pPr>
            <w:r w:rsidRPr="0077725E">
              <w:rPr>
                <w:rFonts w:ascii="Arial" w:hAnsi="Arial" w:cs="Arial"/>
                <w:sz w:val="24"/>
                <w:szCs w:val="24"/>
              </w:rPr>
              <w:t>Population covered</w:t>
            </w:r>
          </w:p>
          <w:p w14:paraId="2B5668FD" w14:textId="77777777" w:rsidR="00647A8B" w:rsidRPr="0077725E" w:rsidRDefault="00647A8B" w:rsidP="00647A8B">
            <w:pPr>
              <w:rPr>
                <w:rFonts w:ascii="Arial" w:hAnsi="Arial" w:cs="Arial"/>
                <w:szCs w:val="24"/>
              </w:rPr>
            </w:pPr>
          </w:p>
          <w:p w14:paraId="2D0683F5" w14:textId="77777777" w:rsidR="00647A8B" w:rsidRPr="0077725E" w:rsidRDefault="00BC2954" w:rsidP="006B6684">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population covered will be </w:t>
            </w:r>
            <w:r w:rsidR="00FA066B" w:rsidRPr="0077725E">
              <w:rPr>
                <w:rFonts w:ascii="Arial" w:eastAsiaTheme="minorEastAsia" w:hAnsi="Arial" w:cs="Arial"/>
                <w:lang w:val="en-US" w:eastAsia="ja-JP"/>
              </w:rPr>
              <w:t>eligible</w:t>
            </w:r>
            <w:r w:rsidRPr="0077725E">
              <w:rPr>
                <w:rFonts w:ascii="Arial" w:eastAsiaTheme="minorEastAsia" w:hAnsi="Arial" w:cs="Arial"/>
                <w:lang w:val="en-US" w:eastAsia="ja-JP"/>
              </w:rPr>
              <w:t xml:space="preserve"> patients registered with a General Medical Practice (GP) in England. </w:t>
            </w:r>
            <w:r w:rsidR="006B6684" w:rsidRPr="0077725E">
              <w:rPr>
                <w:rFonts w:ascii="Arial" w:eastAsiaTheme="minorEastAsia" w:hAnsi="Arial" w:cs="Arial"/>
                <w:lang w:val="en-US" w:eastAsia="ja-JP"/>
              </w:rPr>
              <w:t xml:space="preserve">Eligibility will be checked and confirmed by the referring service (Clinical Services). </w:t>
            </w:r>
          </w:p>
          <w:p w14:paraId="6E0123DF" w14:textId="77777777" w:rsidR="00576608" w:rsidRPr="0077725E" w:rsidRDefault="00576608" w:rsidP="004F24A0">
            <w:pPr>
              <w:spacing w:after="0"/>
              <w:rPr>
                <w:rFonts w:ascii="Arial" w:hAnsi="Arial" w:cs="Arial"/>
                <w:szCs w:val="24"/>
              </w:rPr>
            </w:pPr>
          </w:p>
          <w:p w14:paraId="3CCA01FF" w14:textId="77777777" w:rsidR="00576608" w:rsidRPr="0077725E" w:rsidRDefault="00576608" w:rsidP="004F24A0">
            <w:pPr>
              <w:spacing w:after="0"/>
              <w:rPr>
                <w:rFonts w:ascii="Arial" w:hAnsi="Arial" w:cs="Arial"/>
                <w:szCs w:val="24"/>
              </w:rPr>
            </w:pPr>
          </w:p>
          <w:p w14:paraId="2CBB6157" w14:textId="77777777" w:rsidR="00FA066B" w:rsidRPr="0077725E" w:rsidRDefault="00576608" w:rsidP="00FA066B">
            <w:pPr>
              <w:pStyle w:val="Heading2"/>
              <w:numPr>
                <w:ilvl w:val="1"/>
                <w:numId w:val="33"/>
              </w:numPr>
              <w:ind w:left="626" w:hanging="626"/>
              <w:rPr>
                <w:rFonts w:ascii="Arial" w:hAnsi="Arial" w:cs="Arial"/>
                <w:sz w:val="24"/>
                <w:szCs w:val="24"/>
              </w:rPr>
            </w:pPr>
            <w:r w:rsidRPr="0077725E">
              <w:rPr>
                <w:rFonts w:ascii="Arial" w:hAnsi="Arial" w:cs="Arial"/>
                <w:sz w:val="24"/>
                <w:szCs w:val="24"/>
              </w:rPr>
              <w:t>Any acceptance and exclusion criteria and thresholds</w:t>
            </w:r>
          </w:p>
          <w:p w14:paraId="2B9207F2" w14:textId="77777777" w:rsidR="00C11F5D" w:rsidRPr="0077725E" w:rsidRDefault="00C11F5D" w:rsidP="00C11F5D">
            <w:pPr>
              <w:pStyle w:val="ListParagraph"/>
              <w:rPr>
                <w:rFonts w:ascii="Arial" w:eastAsiaTheme="minorEastAsia" w:hAnsi="Arial" w:cs="Arial"/>
                <w:lang w:val="en-US" w:eastAsia="ja-JP"/>
              </w:rPr>
            </w:pPr>
          </w:p>
          <w:p w14:paraId="1C479161" w14:textId="77777777" w:rsidR="00FA066B" w:rsidRPr="0077725E" w:rsidRDefault="00FA066B" w:rsidP="00585C5D">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As per Section 3.8</w:t>
            </w:r>
            <w:r w:rsidR="00585C5D" w:rsidRPr="0077725E">
              <w:rPr>
                <w:rFonts w:ascii="Arial" w:eastAsiaTheme="minorEastAsia" w:hAnsi="Arial" w:cs="Arial"/>
                <w:lang w:val="en-US" w:eastAsia="ja-JP"/>
              </w:rPr>
              <w:t>.</w:t>
            </w:r>
          </w:p>
          <w:p w14:paraId="00A0EE24" w14:textId="77777777" w:rsidR="00576608" w:rsidRPr="0077725E" w:rsidRDefault="00576608" w:rsidP="004F24A0">
            <w:pPr>
              <w:spacing w:after="0"/>
              <w:rPr>
                <w:rFonts w:ascii="Arial" w:hAnsi="Arial" w:cs="Arial"/>
                <w:szCs w:val="24"/>
              </w:rPr>
            </w:pPr>
          </w:p>
          <w:p w14:paraId="38DC7B86" w14:textId="77777777" w:rsidR="00576608" w:rsidRPr="0077725E" w:rsidRDefault="00576608" w:rsidP="004F24A0">
            <w:pPr>
              <w:spacing w:after="0"/>
              <w:rPr>
                <w:rFonts w:ascii="Arial" w:hAnsi="Arial" w:cs="Arial"/>
                <w:szCs w:val="24"/>
              </w:rPr>
            </w:pPr>
          </w:p>
          <w:p w14:paraId="7D7B901B" w14:textId="77777777" w:rsidR="00576608" w:rsidRPr="0077725E" w:rsidRDefault="00576608" w:rsidP="006B6684">
            <w:pPr>
              <w:pStyle w:val="Heading2"/>
              <w:numPr>
                <w:ilvl w:val="1"/>
                <w:numId w:val="33"/>
              </w:numPr>
              <w:ind w:left="626" w:hanging="626"/>
              <w:rPr>
                <w:rFonts w:ascii="Arial" w:hAnsi="Arial" w:cs="Arial"/>
                <w:sz w:val="24"/>
                <w:szCs w:val="24"/>
              </w:rPr>
            </w:pPr>
            <w:r w:rsidRPr="0077725E">
              <w:rPr>
                <w:rFonts w:ascii="Arial" w:hAnsi="Arial" w:cs="Arial"/>
                <w:sz w:val="24"/>
                <w:szCs w:val="24"/>
              </w:rPr>
              <w:t>Interdependence with other services/providers</w:t>
            </w:r>
          </w:p>
          <w:p w14:paraId="08544B9B" w14:textId="77777777" w:rsidR="00585C5D" w:rsidRPr="0077725E" w:rsidRDefault="00585C5D" w:rsidP="00261BE7">
            <w:pPr>
              <w:pStyle w:val="ListParagraph"/>
              <w:rPr>
                <w:rFonts w:ascii="Arial" w:eastAsiaTheme="minorEastAsia" w:hAnsi="Arial" w:cs="Arial"/>
                <w:lang w:val="en-US" w:eastAsia="ja-JP"/>
              </w:rPr>
            </w:pPr>
          </w:p>
          <w:p w14:paraId="24E52D16" w14:textId="77777777" w:rsidR="00585C5D" w:rsidRPr="0077725E" w:rsidRDefault="001E13AF" w:rsidP="00261BE7">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service will be </w:t>
            </w:r>
            <w:r w:rsidR="000E1C02" w:rsidRPr="0077725E">
              <w:rPr>
                <w:rFonts w:ascii="Arial" w:eastAsiaTheme="minorEastAsia" w:hAnsi="Arial" w:cs="Arial"/>
                <w:lang w:val="en-US" w:eastAsia="ja-JP"/>
              </w:rPr>
              <w:t xml:space="preserve">interdependent with the referring healthcare services, which will not in their total be listed here, but will generally be </w:t>
            </w:r>
            <w:r w:rsidR="0075065A" w:rsidRPr="0077725E">
              <w:rPr>
                <w:rFonts w:ascii="Arial" w:eastAsiaTheme="minorEastAsia" w:hAnsi="Arial" w:cs="Arial"/>
                <w:lang w:val="en-US" w:eastAsia="ja-JP"/>
              </w:rPr>
              <w:t>maternity services</w:t>
            </w:r>
            <w:r w:rsidR="00791389" w:rsidRPr="0077725E">
              <w:rPr>
                <w:rFonts w:ascii="Arial" w:eastAsiaTheme="minorEastAsia" w:hAnsi="Arial" w:cs="Arial"/>
                <w:lang w:val="en-US" w:eastAsia="ja-JP"/>
              </w:rPr>
              <w:t xml:space="preserve"> where the patient is registered with their </w:t>
            </w:r>
            <w:r w:rsidR="00261BE7" w:rsidRPr="0077725E">
              <w:rPr>
                <w:rFonts w:ascii="Arial" w:eastAsiaTheme="minorEastAsia" w:hAnsi="Arial" w:cs="Arial"/>
                <w:lang w:val="en-US" w:eastAsia="ja-JP"/>
              </w:rPr>
              <w:t>GP,</w:t>
            </w:r>
            <w:r w:rsidR="00791389" w:rsidRPr="0077725E">
              <w:rPr>
                <w:rFonts w:ascii="Arial" w:eastAsiaTheme="minorEastAsia" w:hAnsi="Arial" w:cs="Arial"/>
                <w:lang w:val="en-US" w:eastAsia="ja-JP"/>
              </w:rPr>
              <w:t xml:space="preserve"> or </w:t>
            </w:r>
            <w:r w:rsidR="00261BE7" w:rsidRPr="0077725E">
              <w:rPr>
                <w:rFonts w:ascii="Arial" w:eastAsiaTheme="minorEastAsia" w:hAnsi="Arial" w:cs="Arial"/>
                <w:lang w:val="en-US" w:eastAsia="ja-JP"/>
              </w:rPr>
              <w:t xml:space="preserve">where they have </w:t>
            </w:r>
            <w:r w:rsidR="00791389" w:rsidRPr="0077725E">
              <w:rPr>
                <w:rFonts w:ascii="Arial" w:eastAsiaTheme="minorEastAsia" w:hAnsi="Arial" w:cs="Arial"/>
                <w:lang w:val="en-US" w:eastAsia="ja-JP"/>
              </w:rPr>
              <w:t xml:space="preserve">chosen to receive treatment. </w:t>
            </w:r>
          </w:p>
          <w:p w14:paraId="7C806455" w14:textId="46B889DA" w:rsidR="00576608" w:rsidRPr="0077725E" w:rsidRDefault="00C11F5D" w:rsidP="002446D6">
            <w:pPr>
              <w:pStyle w:val="ListParagraph"/>
              <w:numPr>
                <w:ilvl w:val="2"/>
                <w:numId w:val="33"/>
              </w:numPr>
              <w:rPr>
                <w:rFonts w:ascii="Arial" w:hAnsi="Arial" w:cs="Arial"/>
              </w:rPr>
            </w:pPr>
            <w:r w:rsidRPr="002446D6">
              <w:rPr>
                <w:rFonts w:ascii="Arial" w:eastAsiaTheme="minorEastAsia" w:hAnsi="Arial" w:cs="Arial"/>
                <w:lang w:val="en-US" w:eastAsia="ja-JP"/>
              </w:rPr>
              <w:t>The interdependenc</w:t>
            </w:r>
            <w:r w:rsidR="000F0CBC" w:rsidRPr="002446D6">
              <w:rPr>
                <w:rFonts w:ascii="Arial" w:eastAsiaTheme="minorEastAsia" w:hAnsi="Arial" w:cs="Arial"/>
                <w:lang w:val="en-US" w:eastAsia="ja-JP"/>
              </w:rPr>
              <w:t>ies</w:t>
            </w:r>
            <w:r w:rsidRPr="002446D6">
              <w:rPr>
                <w:rFonts w:ascii="Arial" w:eastAsiaTheme="minorEastAsia" w:hAnsi="Arial" w:cs="Arial"/>
                <w:lang w:val="en-US" w:eastAsia="ja-JP"/>
              </w:rPr>
              <w:t xml:space="preserve"> with PHE, NHS FASP and </w:t>
            </w:r>
            <w:r w:rsidR="000F0CBC" w:rsidRPr="002446D6">
              <w:rPr>
                <w:rFonts w:ascii="Arial" w:eastAsiaTheme="minorEastAsia" w:hAnsi="Arial" w:cs="Arial"/>
                <w:lang w:val="en-US" w:eastAsia="ja-JP"/>
              </w:rPr>
              <w:t xml:space="preserve">NHS England and NHS Improvement (NHSE&amp;I) </w:t>
            </w:r>
            <w:r w:rsidRPr="002446D6">
              <w:rPr>
                <w:rFonts w:ascii="Arial" w:eastAsiaTheme="minorEastAsia" w:hAnsi="Arial" w:cs="Arial"/>
                <w:lang w:val="en-US" w:eastAsia="ja-JP"/>
              </w:rPr>
              <w:t xml:space="preserve">are described throughout this document and will not be repeated here. </w:t>
            </w:r>
          </w:p>
        </w:tc>
      </w:tr>
      <w:tr w:rsidR="00576608" w:rsidRPr="00055807" w14:paraId="575A985D" w14:textId="77777777" w:rsidTr="007754A9">
        <w:tc>
          <w:tcPr>
            <w:tcW w:w="8908" w:type="dxa"/>
            <w:shd w:val="clear" w:color="auto" w:fill="auto"/>
          </w:tcPr>
          <w:p w14:paraId="6DA112C9" w14:textId="77777777" w:rsidR="00576608" w:rsidRPr="0077725E" w:rsidRDefault="00576608" w:rsidP="00B36899">
            <w:pPr>
              <w:pStyle w:val="Heading1"/>
              <w:numPr>
                <w:ilvl w:val="0"/>
                <w:numId w:val="20"/>
              </w:numPr>
              <w:ind w:left="342"/>
              <w:jc w:val="left"/>
              <w:rPr>
                <w:sz w:val="24"/>
                <w:szCs w:val="24"/>
              </w:rPr>
            </w:pPr>
            <w:r w:rsidRPr="0077725E">
              <w:rPr>
                <w:sz w:val="24"/>
                <w:szCs w:val="24"/>
              </w:rPr>
              <w:lastRenderedPageBreak/>
              <w:t>Applicable Service Standards</w:t>
            </w:r>
          </w:p>
        </w:tc>
      </w:tr>
      <w:tr w:rsidR="00576608" w:rsidRPr="00055807" w14:paraId="52612D70" w14:textId="77777777" w:rsidTr="007754A9">
        <w:tc>
          <w:tcPr>
            <w:tcW w:w="8908" w:type="dxa"/>
            <w:shd w:val="clear" w:color="auto" w:fill="auto"/>
          </w:tcPr>
          <w:p w14:paraId="4993FEA0" w14:textId="77777777" w:rsidR="00576608" w:rsidRPr="0077725E" w:rsidRDefault="00576608" w:rsidP="004F24A0">
            <w:pPr>
              <w:spacing w:after="0"/>
              <w:rPr>
                <w:rFonts w:ascii="Arial" w:hAnsi="Arial" w:cs="Arial"/>
                <w:szCs w:val="24"/>
              </w:rPr>
            </w:pPr>
          </w:p>
          <w:p w14:paraId="4D9C2DF8" w14:textId="77777777" w:rsidR="00D4724F" w:rsidRPr="0077725E" w:rsidRDefault="00D4724F" w:rsidP="00D4724F">
            <w:pPr>
              <w:pStyle w:val="ListParagraph"/>
              <w:keepNext/>
              <w:keepLines/>
              <w:numPr>
                <w:ilvl w:val="0"/>
                <w:numId w:val="33"/>
              </w:numPr>
              <w:spacing w:before="40"/>
              <w:outlineLvl w:val="1"/>
              <w:rPr>
                <w:rFonts w:ascii="Arial" w:eastAsiaTheme="majorEastAsia" w:hAnsi="Arial" w:cs="Arial"/>
                <w:vanish/>
                <w:color w:val="2F5496" w:themeColor="accent1" w:themeShade="BF"/>
                <w:lang w:val="en-US" w:eastAsia="ja-JP"/>
              </w:rPr>
            </w:pPr>
          </w:p>
          <w:p w14:paraId="7B9C67DE" w14:textId="77777777" w:rsidR="00576608" w:rsidRPr="0077725E" w:rsidRDefault="00576608" w:rsidP="00D4724F">
            <w:pPr>
              <w:pStyle w:val="Heading2"/>
              <w:numPr>
                <w:ilvl w:val="1"/>
                <w:numId w:val="33"/>
              </w:numPr>
              <w:ind w:left="626" w:hanging="626"/>
              <w:rPr>
                <w:rFonts w:ascii="Arial" w:hAnsi="Arial" w:cs="Arial"/>
                <w:sz w:val="24"/>
                <w:szCs w:val="24"/>
              </w:rPr>
            </w:pPr>
            <w:r w:rsidRPr="0077725E">
              <w:rPr>
                <w:rFonts w:ascii="Arial" w:hAnsi="Arial" w:cs="Arial"/>
                <w:sz w:val="24"/>
                <w:szCs w:val="24"/>
              </w:rPr>
              <w:t xml:space="preserve">Applicable national standards </w:t>
            </w:r>
          </w:p>
          <w:p w14:paraId="3A49BB9D" w14:textId="77777777" w:rsidR="00EA1B54" w:rsidRPr="0077725E" w:rsidRDefault="00EA1B54" w:rsidP="004F24A0">
            <w:pPr>
              <w:spacing w:after="0"/>
              <w:rPr>
                <w:rFonts w:ascii="Arial" w:hAnsi="Arial" w:cs="Arial"/>
                <w:b/>
                <w:szCs w:val="24"/>
              </w:rPr>
            </w:pPr>
          </w:p>
          <w:p w14:paraId="39AF5B90" w14:textId="77777777" w:rsidR="00EA1B54" w:rsidRPr="0077725E" w:rsidRDefault="00D4724F" w:rsidP="00D4724F">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The GLH</w:t>
            </w:r>
            <w:r w:rsidR="00F40DCB" w:rsidRPr="0077725E">
              <w:rPr>
                <w:rFonts w:ascii="Arial" w:eastAsiaTheme="minorEastAsia" w:hAnsi="Arial" w:cs="Arial"/>
                <w:lang w:val="en-US" w:eastAsia="ja-JP"/>
              </w:rPr>
              <w:t xml:space="preserve">, and LGL if a sub-contractor, must be </w:t>
            </w:r>
            <w:r w:rsidR="00EA1B54" w:rsidRPr="0077725E">
              <w:rPr>
                <w:rFonts w:ascii="Arial" w:eastAsiaTheme="minorEastAsia" w:hAnsi="Arial" w:cs="Arial"/>
                <w:lang w:val="en-US" w:eastAsia="ja-JP"/>
              </w:rPr>
              <w:t>ISO 15189:2012 accredited for NIPT, and participate in ISO 17043 accredited EQA NIPT</w:t>
            </w:r>
            <w:r w:rsidR="00F40DCB" w:rsidRPr="0077725E">
              <w:rPr>
                <w:rFonts w:ascii="Arial" w:eastAsiaTheme="minorEastAsia" w:hAnsi="Arial" w:cs="Arial"/>
                <w:lang w:val="en-US" w:eastAsia="ja-JP"/>
              </w:rPr>
              <w:t xml:space="preserve"> scheme</w:t>
            </w:r>
            <w:r w:rsidR="00E95E30" w:rsidRPr="0077725E">
              <w:rPr>
                <w:rFonts w:ascii="Arial" w:eastAsiaTheme="minorEastAsia" w:hAnsi="Arial" w:cs="Arial"/>
                <w:lang w:val="en-US" w:eastAsia="ja-JP"/>
              </w:rPr>
              <w:t xml:space="preserve"> for aneuploidies</w:t>
            </w:r>
            <w:r w:rsidR="00F40DCB" w:rsidRPr="0077725E">
              <w:rPr>
                <w:rFonts w:ascii="Arial" w:eastAsiaTheme="minorEastAsia" w:hAnsi="Arial" w:cs="Arial"/>
                <w:lang w:val="en-US" w:eastAsia="ja-JP"/>
              </w:rPr>
              <w:t xml:space="preserve">. </w:t>
            </w:r>
          </w:p>
          <w:p w14:paraId="175881E0" w14:textId="77777777" w:rsidR="00576608" w:rsidRPr="0077725E" w:rsidRDefault="00576608" w:rsidP="004F24A0">
            <w:pPr>
              <w:spacing w:after="0"/>
              <w:rPr>
                <w:rFonts w:ascii="Arial" w:hAnsi="Arial" w:cs="Arial"/>
                <w:szCs w:val="24"/>
              </w:rPr>
            </w:pPr>
          </w:p>
          <w:p w14:paraId="397B2AB1" w14:textId="77777777" w:rsidR="00576608" w:rsidRPr="0077725E" w:rsidRDefault="00576608" w:rsidP="004F24A0">
            <w:pPr>
              <w:spacing w:after="0"/>
              <w:rPr>
                <w:rFonts w:ascii="Arial" w:hAnsi="Arial" w:cs="Arial"/>
                <w:szCs w:val="24"/>
              </w:rPr>
            </w:pPr>
          </w:p>
          <w:p w14:paraId="4521AA9B" w14:textId="4C05A1C7" w:rsidR="0086435D" w:rsidRPr="0077725E" w:rsidRDefault="00576608" w:rsidP="0086435D">
            <w:pPr>
              <w:pStyle w:val="Heading2"/>
              <w:numPr>
                <w:ilvl w:val="1"/>
                <w:numId w:val="33"/>
              </w:numPr>
              <w:ind w:left="626" w:hanging="626"/>
              <w:rPr>
                <w:rFonts w:ascii="Arial" w:hAnsi="Arial" w:cs="Arial"/>
                <w:sz w:val="24"/>
                <w:szCs w:val="24"/>
              </w:rPr>
            </w:pPr>
            <w:r w:rsidRPr="0077725E">
              <w:rPr>
                <w:rFonts w:ascii="Arial" w:hAnsi="Arial" w:cs="Arial"/>
                <w:sz w:val="24"/>
                <w:szCs w:val="24"/>
              </w:rPr>
              <w:t>Applicable standards set out in Guidance and/or issued by a competent body (</w:t>
            </w:r>
            <w:r w:rsidR="009045CA" w:rsidRPr="0077725E">
              <w:rPr>
                <w:rFonts w:ascii="Arial" w:hAnsi="Arial" w:cs="Arial"/>
                <w:sz w:val="24"/>
                <w:szCs w:val="24"/>
              </w:rPr>
              <w:t>e.g.</w:t>
            </w:r>
            <w:r w:rsidRPr="0077725E">
              <w:rPr>
                <w:rFonts w:ascii="Arial" w:hAnsi="Arial" w:cs="Arial"/>
                <w:sz w:val="24"/>
                <w:szCs w:val="24"/>
              </w:rPr>
              <w:t xml:space="preserve"> Royal Colleges)</w:t>
            </w:r>
          </w:p>
          <w:p w14:paraId="379AE223" w14:textId="77777777" w:rsidR="00021F26" w:rsidRPr="0077725E" w:rsidRDefault="00021F26" w:rsidP="00021F26">
            <w:pPr>
              <w:pStyle w:val="ListParagraph"/>
              <w:rPr>
                <w:rFonts w:ascii="Arial" w:eastAsiaTheme="minorEastAsia" w:hAnsi="Arial" w:cs="Arial"/>
                <w:lang w:val="en-US" w:eastAsia="ja-JP"/>
              </w:rPr>
            </w:pPr>
          </w:p>
          <w:p w14:paraId="4BE22CC9" w14:textId="77777777" w:rsidR="0086435D" w:rsidRPr="0077725E" w:rsidRDefault="00021F26" w:rsidP="0086435D">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No standards</w:t>
            </w:r>
            <w:r w:rsidR="0086435D" w:rsidRPr="0077725E">
              <w:rPr>
                <w:rFonts w:ascii="Arial" w:eastAsiaTheme="minorEastAsia" w:hAnsi="Arial" w:cs="Arial"/>
                <w:lang w:val="en-US" w:eastAsia="ja-JP"/>
              </w:rPr>
              <w:t xml:space="preserve"> are applicable </w:t>
            </w:r>
            <w:r w:rsidR="008D0773" w:rsidRPr="0077725E">
              <w:rPr>
                <w:rFonts w:ascii="Arial" w:eastAsiaTheme="minorEastAsia" w:hAnsi="Arial" w:cs="Arial"/>
                <w:lang w:val="en-US" w:eastAsia="ja-JP"/>
              </w:rPr>
              <w:t xml:space="preserve">at the time of tender publish </w:t>
            </w:r>
            <w:r w:rsidR="0086435D" w:rsidRPr="0077725E">
              <w:rPr>
                <w:rFonts w:ascii="Arial" w:eastAsiaTheme="minorEastAsia" w:hAnsi="Arial" w:cs="Arial"/>
                <w:lang w:val="en-US" w:eastAsia="ja-JP"/>
              </w:rPr>
              <w:t xml:space="preserve">however this may be varied throughout the evaluative roll out. </w:t>
            </w:r>
          </w:p>
          <w:p w14:paraId="3EDCED37" w14:textId="77777777" w:rsidR="00576608" w:rsidRPr="0077725E" w:rsidRDefault="00576608" w:rsidP="004F24A0">
            <w:pPr>
              <w:spacing w:after="0"/>
              <w:ind w:left="743" w:hanging="743"/>
              <w:rPr>
                <w:rFonts w:ascii="Arial" w:hAnsi="Arial" w:cs="Arial"/>
                <w:szCs w:val="24"/>
              </w:rPr>
            </w:pPr>
          </w:p>
          <w:p w14:paraId="3C853AC9" w14:textId="77777777" w:rsidR="00576608" w:rsidRPr="0077725E" w:rsidRDefault="00576608" w:rsidP="00BB5243">
            <w:pPr>
              <w:pStyle w:val="Heading2"/>
              <w:numPr>
                <w:ilvl w:val="1"/>
                <w:numId w:val="33"/>
              </w:numPr>
              <w:ind w:left="626" w:hanging="626"/>
              <w:rPr>
                <w:rFonts w:ascii="Arial" w:hAnsi="Arial" w:cs="Arial"/>
                <w:sz w:val="24"/>
                <w:szCs w:val="24"/>
              </w:rPr>
            </w:pPr>
            <w:r w:rsidRPr="0077725E">
              <w:rPr>
                <w:rFonts w:ascii="Arial" w:hAnsi="Arial" w:cs="Arial"/>
                <w:sz w:val="24"/>
                <w:szCs w:val="24"/>
              </w:rPr>
              <w:t>Applicable local standards</w:t>
            </w:r>
          </w:p>
          <w:p w14:paraId="5E2D08C2" w14:textId="77777777" w:rsidR="00021F26" w:rsidRPr="0077725E" w:rsidRDefault="00021F26" w:rsidP="00021F26">
            <w:pPr>
              <w:pStyle w:val="ListParagraph"/>
              <w:rPr>
                <w:rFonts w:ascii="Arial" w:eastAsiaTheme="minorEastAsia" w:hAnsi="Arial" w:cs="Arial"/>
                <w:lang w:val="en-US" w:eastAsia="ja-JP"/>
              </w:rPr>
            </w:pPr>
          </w:p>
          <w:p w14:paraId="00B5EF38" w14:textId="77777777" w:rsidR="008D0773" w:rsidRPr="0077725E" w:rsidRDefault="008D0773" w:rsidP="008D0773">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No standards are applicable at the time of tender publish however this may be varied throughout the evaluative roll out. </w:t>
            </w:r>
          </w:p>
          <w:p w14:paraId="5EA6EAAB" w14:textId="77777777" w:rsidR="00576608" w:rsidRPr="0077725E" w:rsidRDefault="00576608" w:rsidP="004F24A0">
            <w:pPr>
              <w:spacing w:after="0"/>
              <w:rPr>
                <w:rFonts w:ascii="Arial" w:hAnsi="Arial" w:cs="Arial"/>
                <w:szCs w:val="24"/>
              </w:rPr>
            </w:pPr>
          </w:p>
          <w:p w14:paraId="44858C39" w14:textId="77777777" w:rsidR="00576608" w:rsidRPr="0077725E" w:rsidRDefault="00576608" w:rsidP="004F24A0">
            <w:pPr>
              <w:spacing w:after="0"/>
              <w:rPr>
                <w:rFonts w:ascii="Arial" w:hAnsi="Arial" w:cs="Arial"/>
                <w:szCs w:val="24"/>
              </w:rPr>
            </w:pPr>
          </w:p>
        </w:tc>
      </w:tr>
      <w:tr w:rsidR="00576608" w:rsidRPr="00055807" w14:paraId="5D281CAD" w14:textId="77777777" w:rsidTr="007754A9">
        <w:tc>
          <w:tcPr>
            <w:tcW w:w="8908" w:type="dxa"/>
            <w:shd w:val="clear" w:color="auto" w:fill="auto"/>
          </w:tcPr>
          <w:p w14:paraId="75190D82" w14:textId="77777777" w:rsidR="00576608" w:rsidRPr="0077725E" w:rsidRDefault="00576608" w:rsidP="000C18F4">
            <w:pPr>
              <w:pStyle w:val="Heading1"/>
              <w:numPr>
                <w:ilvl w:val="0"/>
                <w:numId w:val="20"/>
              </w:numPr>
              <w:ind w:left="342"/>
              <w:jc w:val="left"/>
              <w:rPr>
                <w:sz w:val="24"/>
                <w:szCs w:val="24"/>
              </w:rPr>
            </w:pPr>
            <w:r w:rsidRPr="0077725E">
              <w:rPr>
                <w:sz w:val="24"/>
                <w:szCs w:val="24"/>
              </w:rPr>
              <w:t xml:space="preserve">Applicable quality requirements </w:t>
            </w:r>
          </w:p>
        </w:tc>
      </w:tr>
      <w:tr w:rsidR="00576608" w:rsidRPr="00055807" w14:paraId="2E1E8DBF" w14:textId="77777777" w:rsidTr="007754A9">
        <w:tc>
          <w:tcPr>
            <w:tcW w:w="8908" w:type="dxa"/>
            <w:shd w:val="clear" w:color="auto" w:fill="auto"/>
          </w:tcPr>
          <w:p w14:paraId="66E0FAC7" w14:textId="77777777" w:rsidR="00576608" w:rsidRPr="0077725E" w:rsidRDefault="00576608" w:rsidP="004F24A0">
            <w:pPr>
              <w:spacing w:after="0"/>
              <w:rPr>
                <w:rFonts w:ascii="Arial" w:hAnsi="Arial" w:cs="Arial"/>
                <w:szCs w:val="24"/>
              </w:rPr>
            </w:pPr>
          </w:p>
          <w:p w14:paraId="60018DA4" w14:textId="77777777" w:rsidR="00DB3DA2" w:rsidRPr="0077725E" w:rsidRDefault="00DB3DA2" w:rsidP="00DB3DA2">
            <w:pPr>
              <w:pStyle w:val="ListParagraph"/>
              <w:keepNext/>
              <w:keepLines/>
              <w:numPr>
                <w:ilvl w:val="0"/>
                <w:numId w:val="33"/>
              </w:numPr>
              <w:spacing w:before="40"/>
              <w:outlineLvl w:val="1"/>
              <w:rPr>
                <w:rFonts w:ascii="Arial" w:eastAsiaTheme="majorEastAsia" w:hAnsi="Arial" w:cs="Arial"/>
                <w:vanish/>
                <w:color w:val="2F5496" w:themeColor="accent1" w:themeShade="BF"/>
                <w:lang w:val="en-US" w:eastAsia="ja-JP"/>
              </w:rPr>
            </w:pPr>
          </w:p>
          <w:p w14:paraId="36A3B541" w14:textId="77777777" w:rsidR="000C18F4" w:rsidRPr="0077725E" w:rsidRDefault="00576608" w:rsidP="00DB3DA2">
            <w:pPr>
              <w:pStyle w:val="Heading2"/>
              <w:numPr>
                <w:ilvl w:val="1"/>
                <w:numId w:val="33"/>
              </w:numPr>
              <w:rPr>
                <w:rFonts w:ascii="Arial" w:hAnsi="Arial" w:cs="Arial"/>
                <w:sz w:val="24"/>
                <w:szCs w:val="24"/>
              </w:rPr>
            </w:pPr>
            <w:r w:rsidRPr="0077725E">
              <w:rPr>
                <w:rFonts w:ascii="Arial" w:hAnsi="Arial" w:cs="Arial"/>
                <w:sz w:val="24"/>
                <w:szCs w:val="24"/>
              </w:rPr>
              <w:t xml:space="preserve">Applicable Quality Requirements </w:t>
            </w:r>
          </w:p>
          <w:p w14:paraId="416D4EF0" w14:textId="77777777" w:rsidR="00DB3DA2" w:rsidRPr="0077725E" w:rsidRDefault="00DB3DA2" w:rsidP="00DB3DA2">
            <w:pPr>
              <w:pStyle w:val="ListParagraph"/>
              <w:rPr>
                <w:rFonts w:ascii="Arial" w:eastAsiaTheme="minorEastAsia" w:hAnsi="Arial" w:cs="Arial"/>
                <w:highlight w:val="yellow"/>
                <w:lang w:val="en-US" w:eastAsia="ja-JP"/>
              </w:rPr>
            </w:pPr>
          </w:p>
          <w:p w14:paraId="197A1C3D" w14:textId="09E7D6C8" w:rsidR="00576608" w:rsidRPr="001A7FB2" w:rsidRDefault="00576608" w:rsidP="00DB3DA2">
            <w:pPr>
              <w:pStyle w:val="ListParagraph"/>
              <w:numPr>
                <w:ilvl w:val="2"/>
                <w:numId w:val="33"/>
              </w:numPr>
              <w:rPr>
                <w:rFonts w:ascii="Arial" w:eastAsiaTheme="minorEastAsia" w:hAnsi="Arial" w:cs="Arial"/>
                <w:i/>
                <w:lang w:val="en-US" w:eastAsia="ja-JP"/>
              </w:rPr>
            </w:pPr>
            <w:r w:rsidRPr="001A7FB2">
              <w:rPr>
                <w:rFonts w:ascii="Arial" w:eastAsiaTheme="minorEastAsia" w:hAnsi="Arial" w:cs="Arial"/>
                <w:i/>
                <w:lang w:val="en-US" w:eastAsia="ja-JP"/>
              </w:rPr>
              <w:t>(See Schedule 4A-C</w:t>
            </w:r>
            <w:r w:rsidR="002446D6" w:rsidRPr="001A7FB2">
              <w:rPr>
                <w:rFonts w:ascii="Arial" w:eastAsiaTheme="minorEastAsia" w:hAnsi="Arial" w:cs="Arial"/>
                <w:i/>
                <w:lang w:val="en-US" w:eastAsia="ja-JP"/>
              </w:rPr>
              <w:t xml:space="preserve"> (TBC)</w:t>
            </w:r>
            <w:r w:rsidRPr="001A7FB2">
              <w:rPr>
                <w:rFonts w:ascii="Arial" w:eastAsiaTheme="minorEastAsia" w:hAnsi="Arial" w:cs="Arial"/>
                <w:i/>
                <w:lang w:val="en-US" w:eastAsia="ja-JP"/>
              </w:rPr>
              <w:t>)</w:t>
            </w:r>
          </w:p>
          <w:p w14:paraId="7C9A1BD6" w14:textId="77777777" w:rsidR="00576608" w:rsidRPr="0077725E" w:rsidRDefault="00576608" w:rsidP="004F24A0">
            <w:pPr>
              <w:pStyle w:val="ListParagraph"/>
              <w:ind w:left="743"/>
              <w:rPr>
                <w:rFonts w:ascii="Arial" w:hAnsi="Arial" w:cs="Arial"/>
                <w:b/>
              </w:rPr>
            </w:pPr>
          </w:p>
          <w:p w14:paraId="3F2ACC1D" w14:textId="77777777" w:rsidR="00633884" w:rsidRPr="0077725E" w:rsidRDefault="00633884" w:rsidP="000C18F4">
            <w:pPr>
              <w:pStyle w:val="Heading2"/>
              <w:numPr>
                <w:ilvl w:val="1"/>
                <w:numId w:val="33"/>
              </w:numPr>
              <w:ind w:left="626" w:hanging="626"/>
              <w:rPr>
                <w:rFonts w:ascii="Arial" w:hAnsi="Arial" w:cs="Arial"/>
                <w:sz w:val="24"/>
                <w:szCs w:val="24"/>
              </w:rPr>
            </w:pPr>
            <w:bookmarkStart w:id="17" w:name="_Toc41578068"/>
            <w:bookmarkStart w:id="18" w:name="_Toc501387129"/>
            <w:bookmarkStart w:id="19" w:name="_Toc501379022"/>
            <w:bookmarkStart w:id="20" w:name="_Toc497732653"/>
            <w:r w:rsidRPr="0077725E">
              <w:rPr>
                <w:rFonts w:ascii="Arial" w:hAnsi="Arial" w:cs="Arial"/>
                <w:sz w:val="24"/>
                <w:szCs w:val="24"/>
              </w:rPr>
              <w:t>Quality Assurance</w:t>
            </w:r>
            <w:bookmarkEnd w:id="17"/>
            <w:bookmarkEnd w:id="18"/>
            <w:bookmarkEnd w:id="19"/>
            <w:bookmarkEnd w:id="20"/>
          </w:p>
          <w:p w14:paraId="67E5599C" w14:textId="77777777" w:rsidR="00633884" w:rsidRPr="0077725E" w:rsidRDefault="00633884" w:rsidP="00633884">
            <w:pPr>
              <w:keepNext/>
              <w:jc w:val="both"/>
              <w:rPr>
                <w:rFonts w:ascii="Arial" w:hAnsi="Arial" w:cs="Arial"/>
                <w:bCs/>
                <w:szCs w:val="24"/>
              </w:rPr>
            </w:pPr>
          </w:p>
          <w:p w14:paraId="64ABB725" w14:textId="77777777" w:rsidR="00DD6118" w:rsidRPr="0077725E" w:rsidRDefault="00DD6118" w:rsidP="003D5703">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The NIPT Provider will provide evidence on request to Public Health England and NHS FASP of its (and the NIPT Subcontractors') UKAS accreditation.</w:t>
            </w:r>
          </w:p>
          <w:p w14:paraId="2A9E01DA" w14:textId="77777777" w:rsidR="00633884" w:rsidRPr="0077725E" w:rsidRDefault="00633884" w:rsidP="003D5703">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must evidence to NHS FASP, when requested by either party, that their quality management system incorporates all the requirements of the screening pathway as set out in both Appendix 1 and the NHS FASP Guidance as may be updated from time to time. The NIPT Provider shall manage incidents in accordance with the </w:t>
            </w:r>
            <w:hyperlink r:id="rId15" w:history="1">
              <w:r w:rsidRPr="0077725E">
                <w:rPr>
                  <w:rFonts w:ascii="Arial" w:eastAsiaTheme="minorEastAsia" w:hAnsi="Arial" w:cs="Arial"/>
                  <w:lang w:val="en-US" w:eastAsia="ja-JP"/>
                </w:rPr>
                <w:t>NHS Screening Safety Incidents Framework</w:t>
              </w:r>
            </w:hyperlink>
            <w:r w:rsidRPr="0077725E">
              <w:rPr>
                <w:rFonts w:ascii="Arial" w:eastAsiaTheme="minorEastAsia" w:hAnsi="Arial" w:cs="Arial"/>
                <w:lang w:val="en-US" w:eastAsia="ja-JP"/>
              </w:rPr>
              <w:t xml:space="preserve"> and the </w:t>
            </w:r>
            <w:hyperlink r:id="rId16" w:history="1">
              <w:r w:rsidRPr="0077725E">
                <w:rPr>
                  <w:rFonts w:ascii="Arial" w:eastAsiaTheme="minorEastAsia" w:hAnsi="Arial" w:cs="Arial"/>
                  <w:lang w:val="en-US" w:eastAsia="ja-JP"/>
                </w:rPr>
                <w:t>PHE Managing Safety Incidents in NHS Screening Programmes</w:t>
              </w:r>
            </w:hyperlink>
            <w:r w:rsidRPr="0077725E">
              <w:rPr>
                <w:rFonts w:ascii="Arial" w:eastAsiaTheme="minorEastAsia" w:hAnsi="Arial" w:cs="Arial"/>
                <w:lang w:val="en-US" w:eastAsia="ja-JP"/>
              </w:rPr>
              <w:t xml:space="preserve"> guidance</w:t>
            </w:r>
            <w:r w:rsidR="006355C3" w:rsidRPr="0077725E">
              <w:rPr>
                <w:rFonts w:ascii="Arial" w:eastAsiaTheme="minorEastAsia" w:hAnsi="Arial" w:cs="Arial"/>
                <w:lang w:val="en-US" w:eastAsia="ja-JP"/>
              </w:rPr>
              <w:t xml:space="preserve"> (https://www.gov.uk/government/publications/managing-safety-incidents-in-nhs-screening-programmes)</w:t>
            </w:r>
            <w:r w:rsidRPr="0077725E">
              <w:rPr>
                <w:rFonts w:ascii="Arial" w:eastAsiaTheme="minorEastAsia" w:hAnsi="Arial" w:cs="Arial"/>
                <w:lang w:val="en-US" w:eastAsia="ja-JP"/>
              </w:rPr>
              <w:t>.</w:t>
            </w:r>
          </w:p>
          <w:p w14:paraId="0AB9C1E5" w14:textId="77777777" w:rsidR="00633884" w:rsidRPr="0077725E" w:rsidRDefault="00633884" w:rsidP="003D5703">
            <w:pPr>
              <w:pStyle w:val="ListParagraph"/>
              <w:numPr>
                <w:ilvl w:val="2"/>
                <w:numId w:val="33"/>
              </w:numPr>
              <w:rPr>
                <w:rFonts w:ascii="Arial" w:eastAsiaTheme="minorEastAsia" w:hAnsi="Arial" w:cs="Arial"/>
                <w:lang w:val="en-US" w:eastAsia="ja-JP"/>
              </w:rPr>
            </w:pPr>
            <w:bookmarkStart w:id="21" w:name="_Ref498444181"/>
            <w:bookmarkStart w:id="22" w:name="_Toc497732654"/>
            <w:bookmarkStart w:id="23" w:name="_Toc496796557"/>
            <w:bookmarkStart w:id="24" w:name="_Toc496796488"/>
            <w:r w:rsidRPr="0077725E">
              <w:rPr>
                <w:rFonts w:ascii="Arial" w:eastAsiaTheme="minorEastAsia" w:hAnsi="Arial" w:cs="Arial"/>
                <w:lang w:val="en-US" w:eastAsia="ja-JP"/>
              </w:rPr>
              <w:t>The NIPT Provider shall participate in the ISO 17043 accredited EQA NIPT scheme for aneuploidies. The NIPT Provider shall, on request, share its data on EQA performance and the reports on the outcomes of the screening samples set to them via the NEQAS scheme, with NHS FASP, NCARDRS, and Public Health England.</w:t>
            </w:r>
            <w:bookmarkEnd w:id="21"/>
            <w:bookmarkEnd w:id="22"/>
            <w:bookmarkEnd w:id="23"/>
            <w:bookmarkEnd w:id="24"/>
            <w:r w:rsidRPr="0077725E">
              <w:rPr>
                <w:rFonts w:ascii="Arial" w:eastAsiaTheme="minorEastAsia" w:hAnsi="Arial" w:cs="Arial"/>
                <w:lang w:val="en-US" w:eastAsia="ja-JP"/>
              </w:rPr>
              <w:t xml:space="preserve"> If the NIPT Provider has </w:t>
            </w:r>
            <w:r w:rsidRPr="0077725E">
              <w:rPr>
                <w:rFonts w:ascii="Arial" w:eastAsiaTheme="minorEastAsia" w:hAnsi="Arial" w:cs="Arial"/>
                <w:lang w:val="en-US" w:eastAsia="ja-JP"/>
              </w:rPr>
              <w:lastRenderedPageBreak/>
              <w:t>subcontracted NIPT to an NIPT Subcontractor, it shall obtain the performance data and reports relating to such NIPT Subcontractor and provide this to the aforementioned parties.</w:t>
            </w:r>
          </w:p>
          <w:p w14:paraId="13501C6D" w14:textId="28AC2E9A" w:rsidR="00633884" w:rsidRPr="0077725E" w:rsidRDefault="00633884" w:rsidP="003D5703">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w:t>
            </w:r>
            <w:r w:rsidR="00765967" w:rsidRPr="0077725E">
              <w:rPr>
                <w:rFonts w:ascii="Arial" w:eastAsiaTheme="minorEastAsia" w:hAnsi="Arial" w:cs="Arial"/>
                <w:lang w:val="en-US" w:eastAsia="ja-JP"/>
              </w:rPr>
              <w:t xml:space="preserve">will </w:t>
            </w:r>
            <w:r w:rsidRPr="0077725E">
              <w:rPr>
                <w:rFonts w:ascii="Arial" w:eastAsiaTheme="minorEastAsia" w:hAnsi="Arial" w:cs="Arial"/>
                <w:lang w:val="en-US" w:eastAsia="ja-JP"/>
              </w:rPr>
              <w:t xml:space="preserve">be responsive to the findings of the evaluative roll out as it proceeds, usually communicated by NHS FASP. Therefore, the NIPT Provider commits (and shall ensure the commitment of any NIPT Subcontractor) to working with NHS FASP to adapt and modify the laboratory pathways, processes and data requirements and </w:t>
            </w:r>
            <w:r w:rsidR="00076BB6" w:rsidRPr="0077725E">
              <w:rPr>
                <w:rFonts w:ascii="Arial" w:eastAsiaTheme="minorEastAsia" w:hAnsi="Arial" w:cs="Arial"/>
                <w:lang w:val="en-US" w:eastAsia="ja-JP"/>
              </w:rPr>
              <w:t>SOPs</w:t>
            </w:r>
            <w:r w:rsidRPr="0077725E">
              <w:rPr>
                <w:rFonts w:ascii="Arial" w:eastAsiaTheme="minorEastAsia" w:hAnsi="Arial" w:cs="Arial"/>
                <w:lang w:val="en-US" w:eastAsia="ja-JP"/>
              </w:rPr>
              <w:t xml:space="preserve"> created by the NIPT Provider in accordance the evaluative rollout</w:t>
            </w:r>
            <w:r w:rsidR="00076BB6" w:rsidRPr="0077725E">
              <w:rPr>
                <w:rFonts w:ascii="Arial" w:eastAsiaTheme="minorEastAsia" w:hAnsi="Arial" w:cs="Arial"/>
                <w:lang w:val="en-US" w:eastAsia="ja-JP"/>
              </w:rPr>
              <w:t>, as it</w:t>
            </w:r>
            <w:r w:rsidRPr="0077725E">
              <w:rPr>
                <w:rFonts w:ascii="Arial" w:eastAsiaTheme="minorEastAsia" w:hAnsi="Arial" w:cs="Arial"/>
                <w:lang w:val="en-US" w:eastAsia="ja-JP"/>
              </w:rPr>
              <w:t xml:space="preserve"> progresses in accordance with </w:t>
            </w:r>
            <w:r w:rsidR="00076BB6" w:rsidRPr="0077725E">
              <w:rPr>
                <w:rFonts w:ascii="Arial" w:eastAsiaTheme="minorEastAsia" w:hAnsi="Arial" w:cs="Arial"/>
                <w:lang w:val="en-US" w:eastAsia="ja-JP"/>
              </w:rPr>
              <w:t>PHE</w:t>
            </w:r>
            <w:r w:rsidR="000F0CBC" w:rsidRPr="0077725E">
              <w:rPr>
                <w:rFonts w:ascii="Arial" w:eastAsiaTheme="minorEastAsia" w:hAnsi="Arial" w:cs="Arial"/>
                <w:lang w:val="en-US" w:eastAsia="ja-JP"/>
              </w:rPr>
              <w:t xml:space="preserve"> NHSE&amp;I </w:t>
            </w:r>
            <w:r w:rsidRPr="0077725E">
              <w:rPr>
                <w:rFonts w:ascii="Arial" w:eastAsiaTheme="minorEastAsia" w:hAnsi="Arial" w:cs="Arial"/>
                <w:lang w:val="en-US" w:eastAsia="ja-JP"/>
              </w:rPr>
              <w:t xml:space="preserve">and NHS FASP instructions. The NIPT Provider shall also be required to perform data </w:t>
            </w:r>
            <w:r w:rsidR="00577D80" w:rsidRPr="0077725E">
              <w:rPr>
                <w:rFonts w:ascii="Arial" w:eastAsiaTheme="minorEastAsia" w:hAnsi="Arial" w:cs="Arial"/>
                <w:lang w:val="en-US" w:eastAsia="ja-JP"/>
              </w:rPr>
              <w:t>reporting to</w:t>
            </w:r>
            <w:r w:rsidRPr="0077725E">
              <w:rPr>
                <w:rFonts w:ascii="Arial" w:eastAsiaTheme="minorEastAsia" w:hAnsi="Arial" w:cs="Arial"/>
                <w:lang w:val="en-US" w:eastAsia="ja-JP"/>
              </w:rPr>
              <w:t xml:space="preserve"> fulfil both the on-going quality assurance of laboratory services for NHS FASP in the long term and in the shorter term to inform and support the evaluative rollout of NIPT as part of the screening pathway.</w:t>
            </w:r>
            <w:r w:rsidR="007B5AF7" w:rsidRPr="0077725E">
              <w:rPr>
                <w:rFonts w:ascii="Arial" w:eastAsiaTheme="minorEastAsia" w:hAnsi="Arial" w:cs="Arial"/>
                <w:lang w:val="en-US" w:eastAsia="ja-JP"/>
              </w:rPr>
              <w:t xml:space="preserve"> </w:t>
            </w:r>
            <w:r w:rsidR="00F13CDC" w:rsidRPr="0077725E">
              <w:rPr>
                <w:rFonts w:ascii="Arial" w:eastAsiaTheme="minorEastAsia" w:hAnsi="Arial" w:cs="Arial"/>
                <w:b/>
                <w:lang w:val="en-US" w:eastAsia="ja-JP"/>
              </w:rPr>
              <w:t>If the NIPT Provider fails to develop or change the service as required throughout this evaluative roll-out, upon instruction from NHS FASP, PHE or NHSE&amp;I</w:t>
            </w:r>
            <w:r w:rsidR="00426038" w:rsidRPr="0077725E">
              <w:rPr>
                <w:rFonts w:ascii="Arial" w:eastAsiaTheme="minorEastAsia" w:hAnsi="Arial" w:cs="Arial"/>
                <w:b/>
                <w:lang w:val="en-US" w:eastAsia="ja-JP"/>
              </w:rPr>
              <w:t xml:space="preserve">, PHE reserve the right to terminate the contract due to failure </w:t>
            </w:r>
            <w:r w:rsidR="00310A2A" w:rsidRPr="0077725E">
              <w:rPr>
                <w:rFonts w:ascii="Arial" w:eastAsiaTheme="minorEastAsia" w:hAnsi="Arial" w:cs="Arial"/>
                <w:b/>
                <w:lang w:val="en-US" w:eastAsia="ja-JP"/>
              </w:rPr>
              <w:t>to provide the contracted service.</w:t>
            </w:r>
            <w:r w:rsidR="000B45FB" w:rsidRPr="0077725E">
              <w:rPr>
                <w:rFonts w:ascii="Arial" w:eastAsiaTheme="minorEastAsia" w:hAnsi="Arial" w:cs="Arial"/>
                <w:b/>
                <w:lang w:val="en-US" w:eastAsia="ja-JP"/>
              </w:rPr>
              <w:t xml:space="preserve"> </w:t>
            </w:r>
            <w:r w:rsidR="000B45FB" w:rsidRPr="0077725E">
              <w:rPr>
                <w:rFonts w:ascii="Arial" w:eastAsiaTheme="minorEastAsia" w:hAnsi="Arial" w:cs="Arial"/>
                <w:lang w:val="en-US" w:eastAsia="ja-JP"/>
              </w:rPr>
              <w:t xml:space="preserve">          </w:t>
            </w:r>
            <w:r w:rsidR="007B5AF7" w:rsidRPr="0077725E">
              <w:rPr>
                <w:rFonts w:ascii="Arial" w:eastAsiaTheme="minorEastAsia" w:hAnsi="Arial" w:cs="Arial"/>
                <w:lang w:val="en-US" w:eastAsia="ja-JP"/>
              </w:rPr>
              <w:t xml:space="preserve"> </w:t>
            </w:r>
          </w:p>
          <w:p w14:paraId="035F37DA" w14:textId="77777777" w:rsidR="00576608" w:rsidRPr="0077725E" w:rsidRDefault="00576608" w:rsidP="004F24A0">
            <w:pPr>
              <w:spacing w:after="0"/>
              <w:rPr>
                <w:rFonts w:ascii="Arial" w:hAnsi="Arial" w:cs="Arial"/>
                <w:szCs w:val="24"/>
              </w:rPr>
            </w:pPr>
          </w:p>
          <w:p w14:paraId="76EE46C9" w14:textId="77777777" w:rsidR="00576608" w:rsidRPr="0077725E" w:rsidRDefault="00576608" w:rsidP="004F24A0">
            <w:pPr>
              <w:spacing w:after="0"/>
              <w:rPr>
                <w:rFonts w:ascii="Arial" w:hAnsi="Arial" w:cs="Arial"/>
                <w:szCs w:val="24"/>
              </w:rPr>
            </w:pPr>
          </w:p>
        </w:tc>
      </w:tr>
      <w:tr w:rsidR="00576608" w:rsidRPr="00055807" w14:paraId="188E289B" w14:textId="77777777" w:rsidTr="007754A9">
        <w:tc>
          <w:tcPr>
            <w:tcW w:w="8908" w:type="dxa"/>
            <w:shd w:val="clear" w:color="auto" w:fill="auto"/>
          </w:tcPr>
          <w:p w14:paraId="6530B49F" w14:textId="77777777" w:rsidR="00576608" w:rsidRPr="0077725E" w:rsidRDefault="00054EEC" w:rsidP="00E45D9D">
            <w:pPr>
              <w:pStyle w:val="Heading1"/>
              <w:numPr>
                <w:ilvl w:val="0"/>
                <w:numId w:val="20"/>
              </w:numPr>
              <w:ind w:left="342"/>
              <w:jc w:val="left"/>
              <w:rPr>
                <w:sz w:val="24"/>
                <w:szCs w:val="24"/>
              </w:rPr>
            </w:pPr>
            <w:r w:rsidRPr="0077725E">
              <w:rPr>
                <w:sz w:val="24"/>
                <w:szCs w:val="24"/>
              </w:rPr>
              <w:lastRenderedPageBreak/>
              <w:t xml:space="preserve">Governance and </w:t>
            </w:r>
            <w:r w:rsidR="00CF694A" w:rsidRPr="0077725E">
              <w:rPr>
                <w:sz w:val="24"/>
                <w:szCs w:val="24"/>
              </w:rPr>
              <w:t>organisational</w:t>
            </w:r>
            <w:r w:rsidRPr="0077725E">
              <w:rPr>
                <w:sz w:val="24"/>
                <w:szCs w:val="24"/>
              </w:rPr>
              <w:t xml:space="preserve"> structure</w:t>
            </w:r>
          </w:p>
        </w:tc>
      </w:tr>
      <w:tr w:rsidR="00576608" w:rsidRPr="00055807" w14:paraId="329BA693" w14:textId="77777777" w:rsidTr="007754A9">
        <w:tc>
          <w:tcPr>
            <w:tcW w:w="8908" w:type="dxa"/>
            <w:shd w:val="clear" w:color="auto" w:fill="auto"/>
          </w:tcPr>
          <w:p w14:paraId="20B88AEB" w14:textId="77777777" w:rsidR="00576608" w:rsidRPr="0077725E" w:rsidRDefault="00576608" w:rsidP="004F24A0">
            <w:pPr>
              <w:spacing w:after="0"/>
              <w:rPr>
                <w:rFonts w:ascii="Arial" w:hAnsi="Arial" w:cs="Arial"/>
                <w:szCs w:val="24"/>
              </w:rPr>
            </w:pPr>
          </w:p>
          <w:p w14:paraId="62B60D38" w14:textId="51C55DFD" w:rsidR="00236038" w:rsidRPr="0077725E" w:rsidRDefault="00236038" w:rsidP="00795615">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shall be fully compliant, with the NHS FASP specific requirements and standards. These requirements and standards will be more fully described in the NHS FASP operational guidance ("NHS FASP Guidance"). The NIPT Provider shall work with Public Health </w:t>
            </w:r>
            <w:r w:rsidR="00577D80" w:rsidRPr="0077725E">
              <w:rPr>
                <w:rFonts w:ascii="Arial" w:eastAsiaTheme="minorEastAsia" w:hAnsi="Arial" w:cs="Arial"/>
                <w:lang w:val="en-US" w:eastAsia="ja-JP"/>
              </w:rPr>
              <w:t>England and</w:t>
            </w:r>
            <w:r w:rsidRPr="0077725E">
              <w:rPr>
                <w:rFonts w:ascii="Arial" w:eastAsiaTheme="minorEastAsia" w:hAnsi="Arial" w:cs="Arial"/>
                <w:lang w:val="en-US" w:eastAsia="ja-JP"/>
              </w:rPr>
              <w:t xml:space="preserve"> NHS FASP to develop the NHS FASP Guidance following the Signature Date. </w:t>
            </w:r>
            <w:bookmarkStart w:id="25" w:name="_Ref498349896"/>
          </w:p>
          <w:p w14:paraId="7D2611DB" w14:textId="77777777" w:rsidR="00236038" w:rsidRPr="0077725E" w:rsidRDefault="00236038" w:rsidP="00795615">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shall provide evidence on request to Public Health England and NHS FASP of its laboratory </w:t>
            </w:r>
            <w:proofErr w:type="spellStart"/>
            <w:r w:rsidRPr="0077725E">
              <w:rPr>
                <w:rFonts w:ascii="Arial" w:eastAsiaTheme="minorEastAsia" w:hAnsi="Arial" w:cs="Arial"/>
                <w:lang w:val="en-US" w:eastAsia="ja-JP"/>
              </w:rPr>
              <w:t>organisational</w:t>
            </w:r>
            <w:proofErr w:type="spellEnd"/>
            <w:r w:rsidRPr="0077725E">
              <w:rPr>
                <w:rFonts w:ascii="Arial" w:eastAsiaTheme="minorEastAsia" w:hAnsi="Arial" w:cs="Arial"/>
                <w:lang w:val="en-US" w:eastAsia="ja-JP"/>
              </w:rPr>
              <w:t xml:space="preserve"> structure for performing NIPT (including the structure of any NHS </w:t>
            </w:r>
            <w:bookmarkStart w:id="26" w:name="_Hlk41571143"/>
            <w:r w:rsidR="00835033" w:rsidRPr="0077725E">
              <w:rPr>
                <w:rFonts w:ascii="Arial" w:eastAsiaTheme="minorEastAsia" w:hAnsi="Arial" w:cs="Arial"/>
                <w:lang w:val="en-US" w:eastAsia="ja-JP"/>
              </w:rPr>
              <w:t>LGL</w:t>
            </w:r>
            <w:r w:rsidRPr="0077725E">
              <w:rPr>
                <w:rFonts w:ascii="Arial" w:eastAsiaTheme="minorEastAsia" w:hAnsi="Arial" w:cs="Arial"/>
                <w:lang w:val="en-US" w:eastAsia="ja-JP"/>
              </w:rPr>
              <w:t xml:space="preserve"> </w:t>
            </w:r>
            <w:bookmarkEnd w:id="26"/>
            <w:r w:rsidRPr="0077725E">
              <w:rPr>
                <w:rFonts w:ascii="Arial" w:eastAsiaTheme="minorEastAsia" w:hAnsi="Arial" w:cs="Arial"/>
                <w:lang w:val="en-US" w:eastAsia="ja-JP"/>
              </w:rPr>
              <w:t xml:space="preserve">subcontracted to carry out NIPT in accordance with Paragraph </w:t>
            </w:r>
            <w:r w:rsidRPr="0077725E">
              <w:rPr>
                <w:rFonts w:ascii="Arial" w:eastAsiaTheme="minorEastAsia" w:hAnsi="Arial" w:cs="Arial"/>
                <w:lang w:val="en-US" w:eastAsia="ja-JP"/>
              </w:rPr>
              <w:fldChar w:fldCharType="begin"/>
            </w:r>
            <w:r w:rsidRPr="0077725E">
              <w:rPr>
                <w:rFonts w:ascii="Arial" w:eastAsiaTheme="minorEastAsia" w:hAnsi="Arial" w:cs="Arial"/>
                <w:lang w:val="en-US" w:eastAsia="ja-JP"/>
              </w:rPr>
              <w:instrText xml:space="preserve"> REF _Ref498003900 \r \h  \* MERGEFORMAT </w:instrText>
            </w:r>
            <w:r w:rsidRPr="0077725E">
              <w:rPr>
                <w:rFonts w:ascii="Arial" w:eastAsiaTheme="minorEastAsia" w:hAnsi="Arial" w:cs="Arial"/>
                <w:lang w:val="en-US" w:eastAsia="ja-JP"/>
              </w:rPr>
            </w:r>
            <w:r w:rsidRPr="0077725E">
              <w:rPr>
                <w:rFonts w:ascii="Arial" w:eastAsiaTheme="minorEastAsia" w:hAnsi="Arial" w:cs="Arial"/>
                <w:lang w:val="en-US" w:eastAsia="ja-JP"/>
              </w:rPr>
              <w:fldChar w:fldCharType="separate"/>
            </w:r>
            <w:r w:rsidRPr="0077725E">
              <w:rPr>
                <w:rFonts w:ascii="Arial" w:eastAsiaTheme="minorEastAsia" w:hAnsi="Arial" w:cs="Arial"/>
                <w:lang w:val="en-US" w:eastAsia="ja-JP"/>
              </w:rPr>
              <w:t>12</w:t>
            </w:r>
            <w:r w:rsidRPr="0077725E">
              <w:rPr>
                <w:rFonts w:ascii="Arial" w:eastAsiaTheme="minorEastAsia" w:hAnsi="Arial" w:cs="Arial"/>
                <w:lang w:val="en-US" w:eastAsia="ja-JP"/>
              </w:rPr>
              <w:fldChar w:fldCharType="end"/>
            </w:r>
            <w:r w:rsidRPr="0077725E">
              <w:rPr>
                <w:rFonts w:ascii="Arial" w:eastAsiaTheme="minorEastAsia" w:hAnsi="Arial" w:cs="Arial"/>
                <w:lang w:val="en-US" w:eastAsia="ja-JP"/>
              </w:rPr>
              <w:t xml:space="preserve"> ("NIPT Subcontractor") and how its provision of NIPT sits in the context of the overall Services provided by the </w:t>
            </w:r>
            <w:r w:rsidR="00835033" w:rsidRPr="0077725E">
              <w:rPr>
                <w:rFonts w:ascii="Arial" w:eastAsiaTheme="minorEastAsia" w:hAnsi="Arial" w:cs="Arial"/>
                <w:lang w:val="en-US" w:eastAsia="ja-JP"/>
              </w:rPr>
              <w:t>GLH.</w:t>
            </w:r>
            <w:r w:rsidRPr="0077725E">
              <w:rPr>
                <w:rFonts w:ascii="Arial" w:eastAsiaTheme="minorEastAsia" w:hAnsi="Arial" w:cs="Arial"/>
                <w:lang w:val="en-US" w:eastAsia="ja-JP"/>
              </w:rPr>
              <w:t xml:space="preserve"> On receipt of such evidence, NHS FASP shall assess whether to approve such </w:t>
            </w:r>
            <w:proofErr w:type="spellStart"/>
            <w:r w:rsidRPr="0077725E">
              <w:rPr>
                <w:rFonts w:ascii="Arial" w:eastAsiaTheme="minorEastAsia" w:hAnsi="Arial" w:cs="Arial"/>
                <w:lang w:val="en-US" w:eastAsia="ja-JP"/>
              </w:rPr>
              <w:t>organisational</w:t>
            </w:r>
            <w:proofErr w:type="spellEnd"/>
            <w:r w:rsidRPr="0077725E">
              <w:rPr>
                <w:rFonts w:ascii="Arial" w:eastAsiaTheme="minorEastAsia" w:hAnsi="Arial" w:cs="Arial"/>
                <w:lang w:val="en-US" w:eastAsia="ja-JP"/>
              </w:rPr>
              <w:t xml:space="preserve"> structure or require changes prior to engaging the NIPT Provider to perform NIPT. In the event of any changes to the </w:t>
            </w:r>
            <w:proofErr w:type="spellStart"/>
            <w:r w:rsidRPr="0077725E">
              <w:rPr>
                <w:rFonts w:ascii="Arial" w:eastAsiaTheme="minorEastAsia" w:hAnsi="Arial" w:cs="Arial"/>
                <w:lang w:val="en-US" w:eastAsia="ja-JP"/>
              </w:rPr>
              <w:t>organisational</w:t>
            </w:r>
            <w:proofErr w:type="spellEnd"/>
            <w:r w:rsidRPr="0077725E">
              <w:rPr>
                <w:rFonts w:ascii="Arial" w:eastAsiaTheme="minorEastAsia" w:hAnsi="Arial" w:cs="Arial"/>
                <w:lang w:val="en-US" w:eastAsia="ja-JP"/>
              </w:rPr>
              <w:t xml:space="preserve"> structure of the NIPT Provider and/or the NIPT Subcontractor during the Term, the NIPT Provider shall provide details of such changes and shall determine whether to approve the same or request further changes. This </w:t>
            </w:r>
            <w:proofErr w:type="spellStart"/>
            <w:r w:rsidRPr="0077725E">
              <w:rPr>
                <w:rFonts w:ascii="Arial" w:eastAsiaTheme="minorEastAsia" w:hAnsi="Arial" w:cs="Arial"/>
                <w:lang w:val="en-US" w:eastAsia="ja-JP"/>
              </w:rPr>
              <w:t>organisational</w:t>
            </w:r>
            <w:proofErr w:type="spellEnd"/>
            <w:r w:rsidRPr="0077725E">
              <w:rPr>
                <w:rFonts w:ascii="Arial" w:eastAsiaTheme="minorEastAsia" w:hAnsi="Arial" w:cs="Arial"/>
                <w:lang w:val="en-US" w:eastAsia="ja-JP"/>
              </w:rPr>
              <w:t xml:space="preserve"> structure shall include details of:</w:t>
            </w:r>
            <w:bookmarkEnd w:id="25"/>
          </w:p>
          <w:p w14:paraId="3887E9B5" w14:textId="77777777" w:rsidR="00236038" w:rsidRPr="0077725E" w:rsidRDefault="00236038" w:rsidP="00795615">
            <w:pPr>
              <w:pStyle w:val="ListParagraph"/>
              <w:numPr>
                <w:ilvl w:val="2"/>
                <w:numId w:val="39"/>
              </w:numPr>
              <w:ind w:left="1193" w:hanging="284"/>
              <w:rPr>
                <w:rFonts w:ascii="Arial" w:eastAsiaTheme="minorEastAsia" w:hAnsi="Arial" w:cs="Arial"/>
                <w:lang w:val="en-US" w:eastAsia="ja-JP"/>
              </w:rPr>
            </w:pPr>
            <w:bookmarkStart w:id="27" w:name="_Ref498349898"/>
            <w:r w:rsidRPr="0077725E">
              <w:rPr>
                <w:rFonts w:ascii="Arial" w:eastAsiaTheme="minorEastAsia" w:hAnsi="Arial" w:cs="Arial"/>
                <w:lang w:val="en-US" w:eastAsia="ja-JP"/>
              </w:rPr>
              <w:t xml:space="preserve">the named clinical lead for the GLH (and where NIPT has been subcontracted the clinical lead for the NIPT Subcontractor) as further detailed in Paragraph </w:t>
            </w:r>
            <w:r w:rsidRPr="0077725E">
              <w:rPr>
                <w:rFonts w:ascii="Arial" w:eastAsiaTheme="minorEastAsia" w:hAnsi="Arial" w:cs="Arial"/>
                <w:lang w:val="en-US" w:eastAsia="ja-JP"/>
              </w:rPr>
              <w:fldChar w:fldCharType="begin"/>
            </w:r>
            <w:r w:rsidRPr="0077725E">
              <w:rPr>
                <w:rFonts w:ascii="Arial" w:eastAsiaTheme="minorEastAsia" w:hAnsi="Arial" w:cs="Arial"/>
                <w:lang w:val="en-US" w:eastAsia="ja-JP"/>
              </w:rPr>
              <w:instrText xml:space="preserve"> REF _Ref498349562 \r \h  \* MERGEFORMAT </w:instrText>
            </w:r>
            <w:r w:rsidRPr="0077725E">
              <w:rPr>
                <w:rFonts w:ascii="Arial" w:eastAsiaTheme="minorEastAsia" w:hAnsi="Arial" w:cs="Arial"/>
                <w:lang w:val="en-US" w:eastAsia="ja-JP"/>
              </w:rPr>
            </w:r>
            <w:r w:rsidRPr="0077725E">
              <w:rPr>
                <w:rFonts w:ascii="Arial" w:eastAsiaTheme="minorEastAsia" w:hAnsi="Arial" w:cs="Arial"/>
                <w:lang w:val="en-US" w:eastAsia="ja-JP"/>
              </w:rPr>
              <w:fldChar w:fldCharType="separate"/>
            </w:r>
            <w:r w:rsidRPr="0077725E">
              <w:rPr>
                <w:rFonts w:ascii="Arial" w:eastAsiaTheme="minorEastAsia" w:hAnsi="Arial" w:cs="Arial"/>
                <w:lang w:val="en-US" w:eastAsia="ja-JP"/>
              </w:rPr>
              <w:t>10</w:t>
            </w:r>
            <w:r w:rsidRPr="0077725E">
              <w:rPr>
                <w:rFonts w:ascii="Arial" w:eastAsiaTheme="minorEastAsia" w:hAnsi="Arial" w:cs="Arial"/>
                <w:lang w:val="en-US" w:eastAsia="ja-JP"/>
              </w:rPr>
              <w:fldChar w:fldCharType="end"/>
            </w:r>
            <w:r w:rsidRPr="0077725E">
              <w:rPr>
                <w:rFonts w:ascii="Arial" w:eastAsiaTheme="minorEastAsia" w:hAnsi="Arial" w:cs="Arial"/>
                <w:lang w:val="en-US" w:eastAsia="ja-JP"/>
              </w:rPr>
              <w:t>, who shall form part of the Service Delivery Team; and</w:t>
            </w:r>
            <w:bookmarkEnd w:id="27"/>
            <w:r w:rsidRPr="0077725E">
              <w:rPr>
                <w:rFonts w:ascii="Arial" w:eastAsiaTheme="minorEastAsia" w:hAnsi="Arial" w:cs="Arial"/>
                <w:lang w:val="en-US" w:eastAsia="ja-JP"/>
              </w:rPr>
              <w:t xml:space="preserve"> </w:t>
            </w:r>
          </w:p>
          <w:p w14:paraId="511D9500" w14:textId="77777777" w:rsidR="00236038" w:rsidRPr="0077725E" w:rsidRDefault="00236038" w:rsidP="00795615">
            <w:pPr>
              <w:pStyle w:val="ListParagraph"/>
              <w:numPr>
                <w:ilvl w:val="2"/>
                <w:numId w:val="39"/>
              </w:numPr>
              <w:ind w:left="1193" w:hanging="284"/>
              <w:rPr>
                <w:rFonts w:ascii="Arial" w:eastAsiaTheme="minorEastAsia" w:hAnsi="Arial" w:cs="Arial"/>
                <w:lang w:val="en-US" w:eastAsia="ja-JP"/>
              </w:rPr>
            </w:pPr>
            <w:r w:rsidRPr="0077725E">
              <w:rPr>
                <w:rFonts w:ascii="Arial" w:eastAsiaTheme="minorEastAsia" w:hAnsi="Arial" w:cs="Arial"/>
                <w:lang w:val="en-US" w:eastAsia="ja-JP"/>
              </w:rPr>
              <w:t>the management and governance structure.</w:t>
            </w:r>
          </w:p>
          <w:p w14:paraId="76EA0F71" w14:textId="77777777" w:rsidR="00464966" w:rsidRPr="0077725E" w:rsidRDefault="00464966" w:rsidP="00464966">
            <w:pPr>
              <w:pStyle w:val="ListParagraph"/>
              <w:ind w:left="1193"/>
              <w:rPr>
                <w:rFonts w:ascii="Arial" w:eastAsiaTheme="minorEastAsia" w:hAnsi="Arial" w:cs="Arial"/>
                <w:lang w:val="en-US" w:eastAsia="ja-JP"/>
              </w:rPr>
            </w:pPr>
          </w:p>
          <w:p w14:paraId="0C5F5837" w14:textId="16B6A4AD" w:rsidR="00236038" w:rsidRPr="0077725E" w:rsidRDefault="00236038" w:rsidP="00F13C33">
            <w:pPr>
              <w:pStyle w:val="ListParagraph"/>
              <w:numPr>
                <w:ilvl w:val="2"/>
                <w:numId w:val="33"/>
              </w:numPr>
              <w:rPr>
                <w:rFonts w:ascii="Arial" w:eastAsiaTheme="minorEastAsia" w:hAnsi="Arial" w:cs="Arial"/>
                <w:lang w:val="en-US" w:eastAsia="ja-JP"/>
              </w:rPr>
            </w:pPr>
            <w:bookmarkStart w:id="28" w:name="_Ref498349562"/>
            <w:r w:rsidRPr="0077725E">
              <w:rPr>
                <w:rFonts w:ascii="Arial" w:eastAsiaTheme="minorEastAsia" w:hAnsi="Arial" w:cs="Arial"/>
                <w:lang w:val="en-US" w:eastAsia="ja-JP"/>
              </w:rPr>
              <w:lastRenderedPageBreak/>
              <w:t xml:space="preserve">The named clinical lead referred to in Paragraph </w:t>
            </w:r>
            <w:r w:rsidRPr="0077725E">
              <w:rPr>
                <w:rFonts w:ascii="Arial" w:eastAsiaTheme="minorEastAsia" w:hAnsi="Arial" w:cs="Arial"/>
                <w:lang w:val="en-US" w:eastAsia="ja-JP"/>
              </w:rPr>
              <w:fldChar w:fldCharType="begin"/>
            </w:r>
            <w:r w:rsidRPr="0077725E">
              <w:rPr>
                <w:rFonts w:ascii="Arial" w:eastAsiaTheme="minorEastAsia" w:hAnsi="Arial" w:cs="Arial"/>
                <w:lang w:val="en-US" w:eastAsia="ja-JP"/>
              </w:rPr>
              <w:instrText xml:space="preserve"> REF _Ref498349898 \r \h  \* MERGEFORMAT </w:instrText>
            </w:r>
            <w:r w:rsidRPr="0077725E">
              <w:rPr>
                <w:rFonts w:ascii="Arial" w:eastAsiaTheme="minorEastAsia" w:hAnsi="Arial" w:cs="Arial"/>
                <w:lang w:val="en-US" w:eastAsia="ja-JP"/>
              </w:rPr>
            </w:r>
            <w:r w:rsidRPr="0077725E">
              <w:rPr>
                <w:rFonts w:ascii="Arial" w:eastAsiaTheme="minorEastAsia" w:hAnsi="Arial" w:cs="Arial"/>
                <w:lang w:val="en-US" w:eastAsia="ja-JP"/>
              </w:rPr>
              <w:fldChar w:fldCharType="separate"/>
            </w:r>
            <w:r w:rsidRPr="0077725E">
              <w:rPr>
                <w:rFonts w:ascii="Arial" w:eastAsiaTheme="minorEastAsia" w:hAnsi="Arial" w:cs="Arial"/>
                <w:lang w:val="en-US" w:eastAsia="ja-JP"/>
              </w:rPr>
              <w:t>9.1</w:t>
            </w:r>
            <w:r w:rsidRPr="0077725E">
              <w:rPr>
                <w:rFonts w:ascii="Arial" w:eastAsiaTheme="minorEastAsia" w:hAnsi="Arial" w:cs="Arial"/>
                <w:lang w:val="en-US" w:eastAsia="ja-JP"/>
              </w:rPr>
              <w:fldChar w:fldCharType="end"/>
            </w:r>
            <w:r w:rsidRPr="0077725E">
              <w:rPr>
                <w:rFonts w:ascii="Arial" w:eastAsiaTheme="minorEastAsia" w:hAnsi="Arial" w:cs="Arial"/>
                <w:lang w:val="en-US" w:eastAsia="ja-JP"/>
              </w:rPr>
              <w:t xml:space="preserve"> for NIPT screening for T21</w:t>
            </w:r>
            <w:r w:rsidR="000F0CBC" w:rsidRPr="0077725E">
              <w:rPr>
                <w:rFonts w:ascii="Arial" w:eastAsiaTheme="minorEastAsia" w:hAnsi="Arial" w:cs="Arial"/>
                <w:lang w:val="en-US" w:eastAsia="ja-JP"/>
              </w:rPr>
              <w:t>,</w:t>
            </w:r>
            <w:r w:rsidRPr="0077725E">
              <w:rPr>
                <w:rFonts w:ascii="Arial" w:eastAsiaTheme="minorEastAsia" w:hAnsi="Arial" w:cs="Arial"/>
                <w:lang w:val="en-US" w:eastAsia="ja-JP"/>
              </w:rPr>
              <w:t>T18 and T13 must be a suitably qualified clinician or clinical scientist who:</w:t>
            </w:r>
          </w:p>
          <w:p w14:paraId="40C7FAB1" w14:textId="77777777" w:rsidR="00236038" w:rsidRPr="0077725E" w:rsidRDefault="00236038" w:rsidP="00F13C33">
            <w:pPr>
              <w:pStyle w:val="ListParagraph"/>
              <w:numPr>
                <w:ilvl w:val="2"/>
                <w:numId w:val="40"/>
              </w:numPr>
              <w:ind w:left="1193" w:hanging="284"/>
              <w:rPr>
                <w:rFonts w:ascii="Arial" w:eastAsiaTheme="minorEastAsia" w:hAnsi="Arial" w:cs="Arial"/>
                <w:lang w:val="en-US" w:eastAsia="ja-JP"/>
              </w:rPr>
            </w:pPr>
            <w:r w:rsidRPr="0077725E">
              <w:rPr>
                <w:rFonts w:ascii="Arial" w:eastAsiaTheme="minorEastAsia" w:hAnsi="Arial" w:cs="Arial"/>
                <w:lang w:val="en-US" w:eastAsia="ja-JP"/>
              </w:rPr>
              <w:t>is either at the level of a laboratory director or is directly responsible thereto;</w:t>
            </w:r>
          </w:p>
          <w:p w14:paraId="52E9216E" w14:textId="77777777" w:rsidR="00236038" w:rsidRPr="0077725E" w:rsidRDefault="00236038" w:rsidP="00F13C33">
            <w:pPr>
              <w:pStyle w:val="ListParagraph"/>
              <w:numPr>
                <w:ilvl w:val="2"/>
                <w:numId w:val="40"/>
              </w:numPr>
              <w:ind w:left="1193" w:hanging="284"/>
              <w:rPr>
                <w:rFonts w:ascii="Arial" w:eastAsiaTheme="minorEastAsia" w:hAnsi="Arial" w:cs="Arial"/>
                <w:lang w:val="en-US" w:eastAsia="ja-JP"/>
              </w:rPr>
            </w:pPr>
            <w:r w:rsidRPr="0077725E">
              <w:rPr>
                <w:rFonts w:ascii="Arial" w:eastAsiaTheme="minorEastAsia" w:hAnsi="Arial" w:cs="Arial"/>
                <w:lang w:val="en-US" w:eastAsia="ja-JP"/>
              </w:rPr>
              <w:t>has management oversight and responsibilities; and</w:t>
            </w:r>
          </w:p>
          <w:p w14:paraId="54B45D97" w14:textId="77777777" w:rsidR="00236038" w:rsidRPr="0077725E" w:rsidRDefault="00236038" w:rsidP="00F13C33">
            <w:pPr>
              <w:pStyle w:val="ListParagraph"/>
              <w:numPr>
                <w:ilvl w:val="2"/>
                <w:numId w:val="40"/>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is </w:t>
            </w:r>
            <w:proofErr w:type="spellStart"/>
            <w:r w:rsidRPr="0077725E">
              <w:rPr>
                <w:rFonts w:ascii="Arial" w:eastAsiaTheme="minorEastAsia" w:hAnsi="Arial" w:cs="Arial"/>
                <w:lang w:val="en-US" w:eastAsia="ja-JP"/>
              </w:rPr>
              <w:t>FRCPath</w:t>
            </w:r>
            <w:proofErr w:type="spellEnd"/>
            <w:r w:rsidRPr="0077725E">
              <w:rPr>
                <w:rFonts w:ascii="Arial" w:eastAsiaTheme="minorEastAsia" w:hAnsi="Arial" w:cs="Arial"/>
                <w:lang w:val="en-US" w:eastAsia="ja-JP"/>
              </w:rPr>
              <w:t xml:space="preserve"> qualified, </w:t>
            </w:r>
          </w:p>
          <w:p w14:paraId="26774186" w14:textId="77777777" w:rsidR="00236038" w:rsidRPr="0077725E" w:rsidRDefault="00236038" w:rsidP="00236038">
            <w:pPr>
              <w:autoSpaceDE w:val="0"/>
              <w:autoSpaceDN w:val="0"/>
              <w:adjustRightInd w:val="0"/>
              <w:spacing w:after="240"/>
              <w:ind w:left="720"/>
              <w:jc w:val="both"/>
              <w:rPr>
                <w:rFonts w:ascii="Arial" w:hAnsi="Arial" w:cs="Arial"/>
                <w:szCs w:val="24"/>
              </w:rPr>
            </w:pPr>
            <w:r w:rsidRPr="0077725E">
              <w:rPr>
                <w:rFonts w:ascii="Arial" w:eastAsiaTheme="minorHAnsi" w:hAnsi="Arial" w:cs="Arial"/>
                <w:bCs/>
                <w:szCs w:val="24"/>
              </w:rPr>
              <w:t>referred</w:t>
            </w:r>
            <w:r w:rsidRPr="0077725E">
              <w:rPr>
                <w:rFonts w:ascii="Arial" w:hAnsi="Arial" w:cs="Arial"/>
                <w:szCs w:val="24"/>
              </w:rPr>
              <w:t xml:space="preserve"> to as the "NIPT Screening Lead" ("</w:t>
            </w:r>
            <w:r w:rsidRPr="0077725E">
              <w:rPr>
                <w:rFonts w:ascii="Arial" w:hAnsi="Arial" w:cs="Arial"/>
                <w:b/>
                <w:szCs w:val="24"/>
              </w:rPr>
              <w:t>NIPT Screening Leads</w:t>
            </w:r>
            <w:r w:rsidRPr="0077725E">
              <w:rPr>
                <w:rFonts w:ascii="Arial" w:hAnsi="Arial" w:cs="Arial"/>
                <w:szCs w:val="24"/>
              </w:rPr>
              <w:t>").</w:t>
            </w:r>
            <w:bookmarkEnd w:id="28"/>
          </w:p>
          <w:p w14:paraId="48197916" w14:textId="77777777" w:rsidR="00236038" w:rsidRPr="0077725E" w:rsidRDefault="00236038" w:rsidP="00464966">
            <w:pPr>
              <w:pStyle w:val="ListParagraph"/>
              <w:numPr>
                <w:ilvl w:val="2"/>
                <w:numId w:val="33"/>
              </w:numPr>
              <w:rPr>
                <w:rFonts w:ascii="Arial" w:eastAsiaTheme="minorEastAsia" w:hAnsi="Arial" w:cs="Arial"/>
                <w:lang w:val="en-US" w:eastAsia="ja-JP"/>
              </w:rPr>
            </w:pPr>
            <w:bookmarkStart w:id="29" w:name="_Ref500874977"/>
            <w:r w:rsidRPr="0077725E">
              <w:rPr>
                <w:rFonts w:ascii="Arial" w:eastAsiaTheme="minorEastAsia" w:hAnsi="Arial" w:cs="Arial"/>
                <w:lang w:val="en-US" w:eastAsia="ja-JP"/>
              </w:rPr>
              <w:t>The NIPT Provider shall participate, and shall procure the participation of any NIPT Subcontractor, in cross-</w:t>
            </w:r>
            <w:proofErr w:type="spellStart"/>
            <w:r w:rsidRPr="0077725E">
              <w:rPr>
                <w:rFonts w:ascii="Arial" w:eastAsiaTheme="minorEastAsia" w:hAnsi="Arial" w:cs="Arial"/>
                <w:lang w:val="en-US" w:eastAsia="ja-JP"/>
              </w:rPr>
              <w:t>organisational</w:t>
            </w:r>
            <w:proofErr w:type="spellEnd"/>
            <w:r w:rsidRPr="0077725E">
              <w:rPr>
                <w:rFonts w:ascii="Arial" w:eastAsiaTheme="minorEastAsia" w:hAnsi="Arial" w:cs="Arial"/>
                <w:lang w:val="en-US" w:eastAsia="ja-JP"/>
              </w:rPr>
              <w:t xml:space="preserve"> and multi-disciplinary arrangements for the governance, management, communication and development of the screening pathway. This will include the sharing of data and information, as specified by NHS FASP on its and any NIPT Subcontractors' performance and quality in respect of NIPT (which shall include the submission of Monthly Performance Reports), with NHS FASP, the National Congenital Anomaly and Rare Diseases Registration Service ("NCARDRS"), Public Health England, and Public Health England Screening Quality Assurance Services. If NIPT has been subcontracted in accordance with Paragraph </w:t>
            </w:r>
            <w:r w:rsidRPr="0077725E">
              <w:rPr>
                <w:rFonts w:ascii="Arial" w:eastAsiaTheme="minorEastAsia" w:hAnsi="Arial" w:cs="Arial"/>
                <w:lang w:val="en-US" w:eastAsia="ja-JP"/>
              </w:rPr>
              <w:fldChar w:fldCharType="begin"/>
            </w:r>
            <w:r w:rsidRPr="0077725E">
              <w:rPr>
                <w:rFonts w:ascii="Arial" w:eastAsiaTheme="minorEastAsia" w:hAnsi="Arial" w:cs="Arial"/>
                <w:lang w:val="en-US" w:eastAsia="ja-JP"/>
              </w:rPr>
              <w:instrText xml:space="preserve"> REF _Ref498003900 \r \h  \* MERGEFORMAT </w:instrText>
            </w:r>
            <w:r w:rsidRPr="0077725E">
              <w:rPr>
                <w:rFonts w:ascii="Arial" w:eastAsiaTheme="minorEastAsia" w:hAnsi="Arial" w:cs="Arial"/>
                <w:lang w:val="en-US" w:eastAsia="ja-JP"/>
              </w:rPr>
            </w:r>
            <w:r w:rsidRPr="0077725E">
              <w:rPr>
                <w:rFonts w:ascii="Arial" w:eastAsiaTheme="minorEastAsia" w:hAnsi="Arial" w:cs="Arial"/>
                <w:lang w:val="en-US" w:eastAsia="ja-JP"/>
              </w:rPr>
              <w:fldChar w:fldCharType="separate"/>
            </w:r>
            <w:r w:rsidRPr="0077725E">
              <w:rPr>
                <w:rFonts w:ascii="Arial" w:eastAsiaTheme="minorEastAsia" w:hAnsi="Arial" w:cs="Arial"/>
                <w:lang w:val="en-US" w:eastAsia="ja-JP"/>
              </w:rPr>
              <w:t>12</w:t>
            </w:r>
            <w:r w:rsidRPr="0077725E">
              <w:rPr>
                <w:rFonts w:ascii="Arial" w:eastAsiaTheme="minorEastAsia" w:hAnsi="Arial" w:cs="Arial"/>
                <w:lang w:val="en-US" w:eastAsia="ja-JP"/>
              </w:rPr>
              <w:fldChar w:fldCharType="end"/>
            </w:r>
            <w:r w:rsidRPr="0077725E">
              <w:rPr>
                <w:rFonts w:ascii="Arial" w:eastAsiaTheme="minorEastAsia" w:hAnsi="Arial" w:cs="Arial"/>
                <w:lang w:val="en-US" w:eastAsia="ja-JP"/>
              </w:rPr>
              <w:t xml:space="preserve">, the NIPT Provider shall require the NIPT Subcontractor to provide it with sufficiently detailed information on its performance and quality in order for the NIPT Provider to fulfil its obligations under this Paragraph </w:t>
            </w:r>
            <w:r w:rsidRPr="0077725E">
              <w:rPr>
                <w:rFonts w:ascii="Arial" w:eastAsiaTheme="minorEastAsia" w:hAnsi="Arial" w:cs="Arial"/>
                <w:lang w:val="en-US" w:eastAsia="ja-JP"/>
              </w:rPr>
              <w:fldChar w:fldCharType="begin"/>
            </w:r>
            <w:r w:rsidRPr="0077725E">
              <w:rPr>
                <w:rFonts w:ascii="Arial" w:eastAsiaTheme="minorEastAsia" w:hAnsi="Arial" w:cs="Arial"/>
                <w:lang w:val="en-US" w:eastAsia="ja-JP"/>
              </w:rPr>
              <w:instrText xml:space="preserve"> REF _Ref500874977 \r \h  \* MERGEFORMAT </w:instrText>
            </w:r>
            <w:r w:rsidRPr="0077725E">
              <w:rPr>
                <w:rFonts w:ascii="Arial" w:eastAsiaTheme="minorEastAsia" w:hAnsi="Arial" w:cs="Arial"/>
                <w:lang w:val="en-US" w:eastAsia="ja-JP"/>
              </w:rPr>
            </w:r>
            <w:r w:rsidRPr="0077725E">
              <w:rPr>
                <w:rFonts w:ascii="Arial" w:eastAsiaTheme="minorEastAsia" w:hAnsi="Arial" w:cs="Arial"/>
                <w:lang w:val="en-US" w:eastAsia="ja-JP"/>
              </w:rPr>
              <w:fldChar w:fldCharType="separate"/>
            </w:r>
            <w:r w:rsidRPr="0077725E">
              <w:rPr>
                <w:rFonts w:ascii="Arial" w:eastAsiaTheme="minorEastAsia" w:hAnsi="Arial" w:cs="Arial"/>
                <w:lang w:val="en-US" w:eastAsia="ja-JP"/>
              </w:rPr>
              <w:t>11</w:t>
            </w:r>
            <w:r w:rsidRPr="0077725E">
              <w:rPr>
                <w:rFonts w:ascii="Arial" w:eastAsiaTheme="minorEastAsia" w:hAnsi="Arial" w:cs="Arial"/>
                <w:lang w:val="en-US" w:eastAsia="ja-JP"/>
              </w:rPr>
              <w:fldChar w:fldCharType="end"/>
            </w:r>
            <w:r w:rsidRPr="0077725E">
              <w:rPr>
                <w:rFonts w:ascii="Arial" w:eastAsiaTheme="minorEastAsia" w:hAnsi="Arial" w:cs="Arial"/>
                <w:lang w:val="en-US" w:eastAsia="ja-JP"/>
              </w:rPr>
              <w:t>.</w:t>
            </w:r>
            <w:bookmarkEnd w:id="29"/>
          </w:p>
          <w:p w14:paraId="14471ECE" w14:textId="0DEAF6A5" w:rsidR="00236038" w:rsidRPr="0077725E" w:rsidRDefault="00236038" w:rsidP="00464966">
            <w:pPr>
              <w:pStyle w:val="ListParagraph"/>
              <w:numPr>
                <w:ilvl w:val="2"/>
                <w:numId w:val="33"/>
              </w:numPr>
              <w:rPr>
                <w:rFonts w:ascii="Arial" w:eastAsiaTheme="minorEastAsia" w:hAnsi="Arial" w:cs="Arial"/>
                <w:lang w:val="en-US" w:eastAsia="ja-JP"/>
              </w:rPr>
            </w:pPr>
            <w:bookmarkStart w:id="30" w:name="_Ref498003900"/>
            <w:r w:rsidRPr="0077725E">
              <w:rPr>
                <w:rFonts w:ascii="Arial" w:eastAsiaTheme="minorEastAsia" w:hAnsi="Arial" w:cs="Arial"/>
                <w:lang w:val="en-US" w:eastAsia="ja-JP"/>
              </w:rPr>
              <w:t xml:space="preserve">The NIPT Provider can only subcontract NIPT to an NHS LGL, and only with the prior written approval of Public Health England </w:t>
            </w:r>
            <w:r w:rsidR="00332751" w:rsidRPr="0077725E">
              <w:rPr>
                <w:rFonts w:ascii="Arial" w:eastAsiaTheme="minorEastAsia" w:hAnsi="Arial" w:cs="Arial"/>
                <w:lang w:val="en-US" w:eastAsia="ja-JP"/>
              </w:rPr>
              <w:t>prior to any service commencement or entering in to contract(s)</w:t>
            </w:r>
            <w:r w:rsidRPr="0077725E">
              <w:rPr>
                <w:rFonts w:ascii="Arial" w:eastAsiaTheme="minorEastAsia" w:hAnsi="Arial" w:cs="Arial"/>
                <w:lang w:val="en-US" w:eastAsia="ja-JP"/>
              </w:rPr>
              <w:t>. Where an NHS LGL is acting as an NIPT Subcontractor, the NIPT Provider shall ensure that the relevant NHS LGL Subcontract contains:</w:t>
            </w:r>
          </w:p>
          <w:p w14:paraId="07758833" w14:textId="77777777" w:rsidR="00236038" w:rsidRPr="0077725E" w:rsidRDefault="00236038" w:rsidP="00464966">
            <w:pPr>
              <w:pStyle w:val="ListParagraph"/>
              <w:numPr>
                <w:ilvl w:val="3"/>
                <w:numId w:val="33"/>
              </w:numPr>
              <w:ind w:left="1335"/>
              <w:rPr>
                <w:rFonts w:ascii="Arial" w:eastAsiaTheme="minorEastAsia" w:hAnsi="Arial" w:cs="Arial"/>
                <w:lang w:val="en-US" w:eastAsia="ja-JP"/>
              </w:rPr>
            </w:pPr>
            <w:r w:rsidRPr="0077725E">
              <w:rPr>
                <w:rFonts w:ascii="Arial" w:eastAsiaTheme="minorEastAsia" w:hAnsi="Arial" w:cs="Arial"/>
                <w:lang w:val="en-US" w:eastAsia="ja-JP"/>
              </w:rPr>
              <w:t>details of service level agreements and risk assessed protocols between the NIPT Provider and such NIPT Subcontractor;</w:t>
            </w:r>
          </w:p>
          <w:p w14:paraId="42F6CB51" w14:textId="77777777" w:rsidR="00236038" w:rsidRPr="0077725E" w:rsidRDefault="00236038" w:rsidP="00464966">
            <w:pPr>
              <w:pStyle w:val="ListParagraph"/>
              <w:numPr>
                <w:ilvl w:val="3"/>
                <w:numId w:val="33"/>
              </w:numPr>
              <w:ind w:left="1335"/>
              <w:rPr>
                <w:rFonts w:ascii="Arial" w:eastAsiaTheme="minorEastAsia" w:hAnsi="Arial" w:cs="Arial"/>
                <w:lang w:val="en-US" w:eastAsia="ja-JP"/>
              </w:rPr>
            </w:pPr>
            <w:r w:rsidRPr="0077725E">
              <w:rPr>
                <w:rFonts w:ascii="Arial" w:eastAsiaTheme="minorEastAsia" w:hAnsi="Arial" w:cs="Arial"/>
                <w:lang w:val="en-US" w:eastAsia="ja-JP"/>
              </w:rPr>
              <w:t>provisions that set out the responsibilities and working arrangements for screening samples sent by Clinical Services to the NIPT Subcontractor;</w:t>
            </w:r>
          </w:p>
          <w:p w14:paraId="10E2C483" w14:textId="77777777" w:rsidR="00236038" w:rsidRPr="0077725E" w:rsidRDefault="00236038" w:rsidP="00464966">
            <w:pPr>
              <w:pStyle w:val="ListParagraph"/>
              <w:numPr>
                <w:ilvl w:val="3"/>
                <w:numId w:val="33"/>
              </w:numPr>
              <w:ind w:left="1335"/>
              <w:rPr>
                <w:rFonts w:ascii="Arial" w:eastAsiaTheme="minorEastAsia" w:hAnsi="Arial" w:cs="Arial"/>
                <w:lang w:val="en-US" w:eastAsia="ja-JP"/>
              </w:rPr>
            </w:pPr>
            <w:r w:rsidRPr="0077725E">
              <w:rPr>
                <w:rFonts w:ascii="Arial" w:eastAsiaTheme="minorEastAsia" w:hAnsi="Arial" w:cs="Arial"/>
                <w:lang w:val="en-US" w:eastAsia="ja-JP"/>
              </w:rPr>
              <w:t>arrangements and obligations on the NIPT Subcontractor in respect of:</w:t>
            </w:r>
            <w:bookmarkEnd w:id="30"/>
            <w:r w:rsidRPr="0077725E">
              <w:rPr>
                <w:rFonts w:ascii="Arial" w:eastAsiaTheme="minorEastAsia" w:hAnsi="Arial" w:cs="Arial"/>
                <w:lang w:val="en-US" w:eastAsia="ja-JP"/>
              </w:rPr>
              <w:t xml:space="preserve"> </w:t>
            </w:r>
          </w:p>
          <w:p w14:paraId="66998026" w14:textId="77777777" w:rsidR="00236038" w:rsidRPr="0077725E" w:rsidRDefault="00236038" w:rsidP="002130F7">
            <w:pPr>
              <w:pStyle w:val="ListParagraph"/>
              <w:numPr>
                <w:ilvl w:val="2"/>
                <w:numId w:val="41"/>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confirming sample receipt; </w:t>
            </w:r>
          </w:p>
          <w:p w14:paraId="29D6123D" w14:textId="77777777" w:rsidR="00236038" w:rsidRPr="0077725E" w:rsidRDefault="00236038" w:rsidP="002130F7">
            <w:pPr>
              <w:pStyle w:val="ListParagraph"/>
              <w:numPr>
                <w:ilvl w:val="2"/>
                <w:numId w:val="41"/>
              </w:numPr>
              <w:ind w:left="1193" w:hanging="284"/>
              <w:rPr>
                <w:rFonts w:ascii="Arial" w:eastAsiaTheme="minorEastAsia" w:hAnsi="Arial" w:cs="Arial"/>
                <w:lang w:val="en-US" w:eastAsia="ja-JP"/>
              </w:rPr>
            </w:pPr>
            <w:r w:rsidRPr="0077725E">
              <w:rPr>
                <w:rFonts w:ascii="Arial" w:eastAsiaTheme="minorEastAsia" w:hAnsi="Arial" w:cs="Arial"/>
                <w:lang w:val="en-US" w:eastAsia="ja-JP"/>
              </w:rPr>
              <w:t>meeting NIPT Turnaround Times;</w:t>
            </w:r>
          </w:p>
          <w:p w14:paraId="14867F3C" w14:textId="77777777" w:rsidR="00236038" w:rsidRPr="0077725E" w:rsidRDefault="00236038" w:rsidP="002130F7">
            <w:pPr>
              <w:pStyle w:val="ListParagraph"/>
              <w:numPr>
                <w:ilvl w:val="2"/>
                <w:numId w:val="41"/>
              </w:numPr>
              <w:ind w:left="1193" w:hanging="284"/>
              <w:rPr>
                <w:rFonts w:ascii="Arial" w:eastAsiaTheme="minorEastAsia" w:hAnsi="Arial" w:cs="Arial"/>
                <w:lang w:val="en-US" w:eastAsia="ja-JP"/>
              </w:rPr>
            </w:pPr>
            <w:r w:rsidRPr="0077725E">
              <w:rPr>
                <w:rFonts w:ascii="Arial" w:eastAsiaTheme="minorEastAsia" w:hAnsi="Arial" w:cs="Arial"/>
                <w:lang w:val="en-US" w:eastAsia="ja-JP"/>
              </w:rPr>
              <w:t>ensuring all screening results reach the responsible Clinical Services and the instructing NIPT Provider (as further detailed in the NHS FASP Guidance);</w:t>
            </w:r>
          </w:p>
          <w:p w14:paraId="06CBE8CF" w14:textId="38030F47" w:rsidR="00236038" w:rsidRPr="0077725E" w:rsidRDefault="00236038" w:rsidP="002130F7">
            <w:pPr>
              <w:pStyle w:val="ListParagraph"/>
              <w:numPr>
                <w:ilvl w:val="2"/>
                <w:numId w:val="41"/>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reporting to the NIPT Provider all the information that the NIPT Provider is required to provide to Public Health in accordance with </w:t>
            </w:r>
            <w:r w:rsidR="00F45CD3" w:rsidRPr="0077725E">
              <w:rPr>
                <w:rFonts w:ascii="Arial" w:eastAsiaTheme="minorEastAsia" w:hAnsi="Arial" w:cs="Arial"/>
                <w:lang w:val="en-US" w:eastAsia="ja-JP"/>
              </w:rPr>
              <w:t>service specification</w:t>
            </w:r>
            <w:r w:rsidRPr="0077725E">
              <w:rPr>
                <w:rFonts w:ascii="Arial" w:eastAsiaTheme="minorEastAsia" w:hAnsi="Arial" w:cs="Arial"/>
                <w:lang w:val="en-US" w:eastAsia="ja-JP"/>
              </w:rPr>
              <w:t>;</w:t>
            </w:r>
          </w:p>
          <w:p w14:paraId="57AEEFAA" w14:textId="77777777" w:rsidR="00236038" w:rsidRPr="0077725E" w:rsidRDefault="00236038" w:rsidP="002130F7">
            <w:pPr>
              <w:pStyle w:val="ListParagraph"/>
              <w:numPr>
                <w:ilvl w:val="2"/>
                <w:numId w:val="41"/>
              </w:numPr>
              <w:ind w:left="1193" w:hanging="284"/>
              <w:rPr>
                <w:rFonts w:ascii="Arial" w:eastAsiaTheme="minorEastAsia" w:hAnsi="Arial" w:cs="Arial"/>
                <w:lang w:val="en-US" w:eastAsia="ja-JP"/>
              </w:rPr>
            </w:pPr>
            <w:r w:rsidRPr="0077725E">
              <w:rPr>
                <w:rFonts w:ascii="Arial" w:eastAsiaTheme="minorEastAsia" w:hAnsi="Arial" w:cs="Arial"/>
                <w:lang w:val="en-US" w:eastAsia="ja-JP"/>
              </w:rPr>
              <w:t>performing the NIPT Gateway Services;</w:t>
            </w:r>
          </w:p>
          <w:p w14:paraId="6D2D3BE0" w14:textId="4B20598A" w:rsidR="00236038" w:rsidRPr="0077725E" w:rsidRDefault="00236038" w:rsidP="002130F7">
            <w:pPr>
              <w:pStyle w:val="ListParagraph"/>
              <w:numPr>
                <w:ilvl w:val="2"/>
                <w:numId w:val="41"/>
              </w:numPr>
              <w:ind w:left="1193" w:hanging="284"/>
              <w:rPr>
                <w:rFonts w:ascii="Arial" w:eastAsiaTheme="minorEastAsia" w:hAnsi="Arial" w:cs="Arial"/>
                <w:lang w:val="en-US" w:eastAsia="ja-JP"/>
              </w:rPr>
            </w:pPr>
            <w:r w:rsidRPr="0077725E">
              <w:rPr>
                <w:rFonts w:ascii="Arial" w:eastAsiaTheme="minorEastAsia" w:hAnsi="Arial" w:cs="Arial"/>
                <w:lang w:val="en-US" w:eastAsia="ja-JP"/>
              </w:rPr>
              <w:t xml:space="preserve">complying with the </w:t>
            </w:r>
            <w:r w:rsidR="003F275A" w:rsidRPr="0077725E">
              <w:rPr>
                <w:rFonts w:ascii="Arial" w:eastAsiaTheme="minorEastAsia" w:hAnsi="Arial" w:cs="Arial"/>
                <w:lang w:val="en-US" w:eastAsia="ja-JP"/>
              </w:rPr>
              <w:t>SOPs</w:t>
            </w:r>
            <w:r w:rsidRPr="0077725E">
              <w:rPr>
                <w:rFonts w:ascii="Arial" w:eastAsiaTheme="minorEastAsia" w:hAnsi="Arial" w:cs="Arial"/>
                <w:lang w:val="en-US" w:eastAsia="ja-JP"/>
              </w:rPr>
              <w:t xml:space="preserve"> created by the NIPT Provider in accordance with </w:t>
            </w:r>
            <w:r w:rsidR="005B0A51" w:rsidRPr="0077725E">
              <w:rPr>
                <w:rFonts w:ascii="Arial" w:eastAsiaTheme="minorEastAsia" w:hAnsi="Arial" w:cs="Arial"/>
                <w:lang w:val="en-US" w:eastAsia="ja-JP"/>
              </w:rPr>
              <w:t>3.4.3 above</w:t>
            </w:r>
            <w:r w:rsidRPr="0077725E">
              <w:rPr>
                <w:rFonts w:ascii="Arial" w:eastAsiaTheme="minorEastAsia" w:hAnsi="Arial" w:cs="Arial"/>
                <w:lang w:val="en-US" w:eastAsia="ja-JP"/>
              </w:rPr>
              <w:t xml:space="preserve"> and the NHS FASP Guidance;</w:t>
            </w:r>
          </w:p>
          <w:p w14:paraId="7B5EE886" w14:textId="77777777" w:rsidR="00236038" w:rsidRPr="0077725E" w:rsidRDefault="00236038" w:rsidP="00464966">
            <w:pPr>
              <w:pStyle w:val="ListParagraph"/>
              <w:numPr>
                <w:ilvl w:val="3"/>
                <w:numId w:val="33"/>
              </w:numPr>
              <w:ind w:left="1335"/>
              <w:rPr>
                <w:rFonts w:ascii="Arial" w:eastAsiaTheme="minorEastAsia" w:hAnsi="Arial" w:cs="Arial"/>
                <w:lang w:val="en-US" w:eastAsia="ja-JP"/>
              </w:rPr>
            </w:pPr>
            <w:r w:rsidRPr="0077725E">
              <w:rPr>
                <w:rFonts w:ascii="Arial" w:eastAsiaTheme="minorEastAsia" w:hAnsi="Arial" w:cs="Arial"/>
                <w:lang w:val="en-US" w:eastAsia="ja-JP"/>
              </w:rPr>
              <w:t xml:space="preserve">performance monitoring and reporting mechanisms to enable the NIPT Provider to monitor the compliance of the NIPT Subcontractor; and </w:t>
            </w:r>
          </w:p>
          <w:p w14:paraId="030B491B" w14:textId="2CFCC1A2" w:rsidR="00236038" w:rsidRPr="0077725E" w:rsidRDefault="00236038" w:rsidP="00464966">
            <w:pPr>
              <w:pStyle w:val="ListParagraph"/>
              <w:numPr>
                <w:ilvl w:val="3"/>
                <w:numId w:val="33"/>
              </w:numPr>
              <w:ind w:left="1335"/>
              <w:rPr>
                <w:rFonts w:ascii="Arial" w:eastAsiaTheme="minorEastAsia" w:hAnsi="Arial" w:cs="Arial"/>
                <w:lang w:val="en-US" w:eastAsia="ja-JP"/>
              </w:rPr>
            </w:pPr>
            <w:r w:rsidRPr="0077725E">
              <w:rPr>
                <w:rFonts w:ascii="Arial" w:eastAsiaTheme="minorEastAsia" w:hAnsi="Arial" w:cs="Arial"/>
                <w:lang w:val="en-US" w:eastAsia="ja-JP"/>
              </w:rPr>
              <w:lastRenderedPageBreak/>
              <w:t>a requirement on the NIPT Subcontractor to be ISO 15189:2012 accredited for NIPT, and participate in ISO 17043 accredited EQA NIPT schemes,</w:t>
            </w:r>
          </w:p>
          <w:p w14:paraId="63003DFD" w14:textId="779D3166" w:rsidR="00236038" w:rsidRPr="0077725E" w:rsidRDefault="00236038" w:rsidP="00236038">
            <w:pPr>
              <w:autoSpaceDE w:val="0"/>
              <w:autoSpaceDN w:val="0"/>
              <w:adjustRightInd w:val="0"/>
              <w:spacing w:after="240"/>
              <w:ind w:left="720"/>
              <w:jc w:val="both"/>
              <w:rPr>
                <w:rFonts w:ascii="Arial" w:hAnsi="Arial" w:cs="Arial"/>
                <w:szCs w:val="24"/>
              </w:rPr>
            </w:pPr>
            <w:r w:rsidRPr="0077725E">
              <w:rPr>
                <w:rFonts w:ascii="Arial" w:hAnsi="Arial" w:cs="Arial"/>
                <w:szCs w:val="24"/>
              </w:rPr>
              <w:t xml:space="preserve">and all such provisions and arrangements must align with the </w:t>
            </w:r>
            <w:r w:rsidR="003F275A" w:rsidRPr="0077725E">
              <w:rPr>
                <w:rFonts w:ascii="Arial" w:hAnsi="Arial" w:cs="Arial"/>
                <w:szCs w:val="24"/>
              </w:rPr>
              <w:t>SOPs</w:t>
            </w:r>
            <w:r w:rsidRPr="0077725E">
              <w:rPr>
                <w:rFonts w:ascii="Arial" w:hAnsi="Arial" w:cs="Arial"/>
                <w:szCs w:val="24"/>
              </w:rPr>
              <w:t xml:space="preserve"> set by </w:t>
            </w:r>
            <w:r w:rsidRPr="0077725E">
              <w:rPr>
                <w:rFonts w:ascii="Arial" w:eastAsiaTheme="minorHAnsi" w:hAnsi="Arial" w:cs="Arial"/>
                <w:bCs/>
                <w:szCs w:val="24"/>
              </w:rPr>
              <w:t>the</w:t>
            </w:r>
            <w:r w:rsidRPr="0077725E">
              <w:rPr>
                <w:rFonts w:ascii="Arial" w:hAnsi="Arial" w:cs="Arial"/>
                <w:szCs w:val="24"/>
              </w:rPr>
              <w:t xml:space="preserve"> NIPT Provider in accordance with Paragraph </w:t>
            </w:r>
            <w:r w:rsidRPr="0077725E">
              <w:rPr>
                <w:rFonts w:ascii="Arial" w:hAnsi="Arial" w:cs="Arial"/>
                <w:szCs w:val="24"/>
              </w:rPr>
              <w:fldChar w:fldCharType="begin"/>
            </w:r>
            <w:r w:rsidRPr="0077725E">
              <w:rPr>
                <w:rFonts w:ascii="Arial" w:hAnsi="Arial" w:cs="Arial"/>
                <w:szCs w:val="24"/>
              </w:rPr>
              <w:instrText xml:space="preserve"> REF _Ref501384900 \w \h  \* MERGEFORMAT </w:instrText>
            </w:r>
            <w:r w:rsidRPr="0077725E">
              <w:rPr>
                <w:rFonts w:ascii="Arial" w:hAnsi="Arial" w:cs="Arial"/>
                <w:szCs w:val="24"/>
              </w:rPr>
            </w:r>
            <w:r w:rsidRPr="0077725E">
              <w:rPr>
                <w:rFonts w:ascii="Arial" w:hAnsi="Arial" w:cs="Arial"/>
                <w:szCs w:val="24"/>
              </w:rPr>
              <w:fldChar w:fldCharType="separate"/>
            </w:r>
            <w:r w:rsidRPr="0077725E">
              <w:rPr>
                <w:rFonts w:ascii="Arial" w:hAnsi="Arial" w:cs="Arial"/>
                <w:szCs w:val="24"/>
              </w:rPr>
              <w:t>19</w:t>
            </w:r>
            <w:r w:rsidRPr="0077725E">
              <w:rPr>
                <w:rFonts w:ascii="Arial" w:hAnsi="Arial" w:cs="Arial"/>
                <w:szCs w:val="24"/>
              </w:rPr>
              <w:fldChar w:fldCharType="end"/>
            </w:r>
            <w:r w:rsidRPr="0077725E">
              <w:rPr>
                <w:rFonts w:ascii="Arial" w:hAnsi="Arial" w:cs="Arial"/>
                <w:szCs w:val="24"/>
              </w:rPr>
              <w:t xml:space="preserve">. </w:t>
            </w:r>
          </w:p>
          <w:p w14:paraId="1B57010F" w14:textId="77777777" w:rsidR="00236038" w:rsidRPr="0077725E" w:rsidRDefault="00236038" w:rsidP="00CA3640">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The NIPT Provider must provide details to Public Health England of their information governance processes (including those of all NIPT Subcontractors).</w:t>
            </w:r>
          </w:p>
          <w:p w14:paraId="73D06760" w14:textId="77777777" w:rsidR="00236038" w:rsidRPr="0077725E" w:rsidRDefault="00236038" w:rsidP="00CA3640">
            <w:pPr>
              <w:pStyle w:val="ListParagraph"/>
              <w:numPr>
                <w:ilvl w:val="2"/>
                <w:numId w:val="33"/>
              </w:numPr>
              <w:rPr>
                <w:rFonts w:ascii="Arial" w:eastAsiaTheme="minorEastAsia" w:hAnsi="Arial" w:cs="Arial"/>
                <w:lang w:val="en-US" w:eastAsia="ja-JP"/>
              </w:rPr>
            </w:pPr>
            <w:bookmarkStart w:id="31" w:name="_Ref497744687"/>
            <w:r w:rsidRPr="0077725E">
              <w:rPr>
                <w:rFonts w:ascii="Arial" w:eastAsiaTheme="minorEastAsia" w:hAnsi="Arial" w:cs="Arial"/>
                <w:lang w:val="en-US" w:eastAsia="ja-JP"/>
              </w:rPr>
              <w:t>The NIPT Provider shall comply, and shall procure the compliance of all NIPT Subcontractors, with the screening policy and pathways of NHS FASP, as will be set out in the NHS FASP Guidance to support the evaluative rollout of NIPT as an additional option within NHS FASP.</w:t>
            </w:r>
            <w:bookmarkEnd w:id="31"/>
          </w:p>
          <w:p w14:paraId="1D1AC04B" w14:textId="77777777" w:rsidR="00576608" w:rsidRPr="0077725E" w:rsidRDefault="00576608" w:rsidP="004F24A0">
            <w:pPr>
              <w:spacing w:after="0"/>
              <w:rPr>
                <w:rFonts w:ascii="Arial" w:hAnsi="Arial" w:cs="Arial"/>
                <w:b/>
                <w:szCs w:val="24"/>
              </w:rPr>
            </w:pPr>
          </w:p>
          <w:p w14:paraId="264FBECF" w14:textId="77777777" w:rsidR="00576608" w:rsidRPr="0077725E" w:rsidRDefault="00576608" w:rsidP="004F24A0">
            <w:pPr>
              <w:spacing w:after="0"/>
              <w:rPr>
                <w:rFonts w:ascii="Arial" w:hAnsi="Arial" w:cs="Arial"/>
                <w:szCs w:val="24"/>
              </w:rPr>
            </w:pPr>
          </w:p>
          <w:p w14:paraId="5C57E290" w14:textId="77777777" w:rsidR="00576608" w:rsidRPr="0077725E" w:rsidRDefault="00576608" w:rsidP="004F24A0">
            <w:pPr>
              <w:spacing w:after="0"/>
              <w:rPr>
                <w:rFonts w:ascii="Arial" w:hAnsi="Arial" w:cs="Arial"/>
                <w:szCs w:val="24"/>
              </w:rPr>
            </w:pPr>
          </w:p>
        </w:tc>
      </w:tr>
      <w:tr w:rsidR="00576608" w:rsidRPr="00055807" w14:paraId="213C2E1B" w14:textId="77777777" w:rsidTr="007754A9">
        <w:tc>
          <w:tcPr>
            <w:tcW w:w="8908" w:type="dxa"/>
            <w:shd w:val="clear" w:color="auto" w:fill="auto"/>
          </w:tcPr>
          <w:p w14:paraId="18521D56" w14:textId="77777777" w:rsidR="00576608" w:rsidRPr="0077725E" w:rsidRDefault="004727BE" w:rsidP="00CA3640">
            <w:pPr>
              <w:pStyle w:val="Heading1"/>
              <w:numPr>
                <w:ilvl w:val="0"/>
                <w:numId w:val="20"/>
              </w:numPr>
              <w:ind w:left="342"/>
              <w:jc w:val="left"/>
              <w:rPr>
                <w:sz w:val="24"/>
                <w:szCs w:val="24"/>
              </w:rPr>
            </w:pPr>
            <w:r w:rsidRPr="0077725E">
              <w:rPr>
                <w:sz w:val="24"/>
                <w:szCs w:val="24"/>
              </w:rPr>
              <w:lastRenderedPageBreak/>
              <w:t>Workforce Development</w:t>
            </w:r>
            <w:r w:rsidR="006C5F24" w:rsidRPr="0077725E">
              <w:rPr>
                <w:sz w:val="24"/>
                <w:szCs w:val="24"/>
              </w:rPr>
              <w:t xml:space="preserve"> and Personnel</w:t>
            </w:r>
          </w:p>
        </w:tc>
      </w:tr>
      <w:tr w:rsidR="00576608" w:rsidRPr="00055807" w14:paraId="00CF241D" w14:textId="77777777" w:rsidTr="003C296D">
        <w:tc>
          <w:tcPr>
            <w:tcW w:w="8908" w:type="dxa"/>
            <w:shd w:val="clear" w:color="auto" w:fill="auto"/>
          </w:tcPr>
          <w:p w14:paraId="1CC18EB0" w14:textId="77777777" w:rsidR="00576608" w:rsidRPr="0077725E" w:rsidRDefault="00576608" w:rsidP="004F24A0">
            <w:pPr>
              <w:spacing w:after="0"/>
              <w:rPr>
                <w:rFonts w:ascii="Arial" w:hAnsi="Arial" w:cs="Arial"/>
                <w:szCs w:val="24"/>
              </w:rPr>
            </w:pPr>
          </w:p>
          <w:p w14:paraId="488BB75A" w14:textId="77777777" w:rsidR="00243EE4" w:rsidRPr="0077725E" w:rsidRDefault="00243EE4" w:rsidP="00243EE4">
            <w:pPr>
              <w:pStyle w:val="ListParagraph"/>
              <w:numPr>
                <w:ilvl w:val="0"/>
                <w:numId w:val="33"/>
              </w:numPr>
              <w:rPr>
                <w:rFonts w:ascii="Arial" w:eastAsiaTheme="minorEastAsia" w:hAnsi="Arial" w:cs="Arial"/>
                <w:vanish/>
                <w:lang w:val="en-US" w:eastAsia="ja-JP"/>
              </w:rPr>
            </w:pPr>
          </w:p>
          <w:p w14:paraId="3305C120" w14:textId="77777777" w:rsidR="00243EE4" w:rsidRPr="0077725E" w:rsidRDefault="00243EE4" w:rsidP="00243EE4">
            <w:pPr>
              <w:pStyle w:val="ListParagraph"/>
              <w:numPr>
                <w:ilvl w:val="0"/>
                <w:numId w:val="33"/>
              </w:numPr>
              <w:rPr>
                <w:rFonts w:ascii="Arial" w:eastAsiaTheme="minorEastAsia" w:hAnsi="Arial" w:cs="Arial"/>
                <w:vanish/>
                <w:lang w:val="en-US" w:eastAsia="ja-JP"/>
              </w:rPr>
            </w:pPr>
          </w:p>
          <w:p w14:paraId="7ECEC2C3" w14:textId="77777777" w:rsidR="00243EE4" w:rsidRPr="0077725E" w:rsidRDefault="00243EE4" w:rsidP="00243EE4">
            <w:pPr>
              <w:pStyle w:val="ListParagraph"/>
              <w:numPr>
                <w:ilvl w:val="1"/>
                <w:numId w:val="33"/>
              </w:numPr>
              <w:rPr>
                <w:rFonts w:ascii="Arial" w:eastAsiaTheme="minorEastAsia" w:hAnsi="Arial" w:cs="Arial"/>
                <w:vanish/>
                <w:lang w:val="en-US" w:eastAsia="ja-JP"/>
              </w:rPr>
            </w:pPr>
          </w:p>
          <w:p w14:paraId="5D12A062" w14:textId="699D6205" w:rsidR="004727BE" w:rsidRPr="0077725E" w:rsidRDefault="004727BE" w:rsidP="00243EE4">
            <w:pPr>
              <w:pStyle w:val="ListParagraph"/>
              <w:numPr>
                <w:ilvl w:val="2"/>
                <w:numId w:val="33"/>
              </w:numPr>
              <w:rPr>
                <w:rFonts w:ascii="Arial" w:eastAsiaTheme="minorEastAsia" w:hAnsi="Arial" w:cs="Arial"/>
                <w:lang w:val="en-US" w:eastAsia="ja-JP"/>
              </w:rPr>
            </w:pPr>
            <w:r w:rsidRPr="0077725E">
              <w:rPr>
                <w:rFonts w:ascii="Arial" w:eastAsiaTheme="minorEastAsia" w:hAnsi="Arial" w:cs="Arial"/>
                <w:lang w:val="en-US" w:eastAsia="ja-JP"/>
              </w:rPr>
              <w:t xml:space="preserve">The NIPT Provider must ensure, and evidence on request, that all its staff participating in NIPT (including, all of the NIPT Subcontractor's staff who participate in NIPT) undertake Continued Professional Development (CPD) and revalidation, including the recommended eLearning modules relevant to laboratory staff for the NHS FASP </w:t>
            </w:r>
            <w:proofErr w:type="spellStart"/>
            <w:r w:rsidRPr="0077725E">
              <w:rPr>
                <w:rFonts w:ascii="Arial" w:eastAsiaTheme="minorEastAsia" w:hAnsi="Arial" w:cs="Arial"/>
                <w:lang w:val="en-US" w:eastAsia="ja-JP"/>
              </w:rPr>
              <w:t>programme</w:t>
            </w:r>
            <w:proofErr w:type="spellEnd"/>
            <w:r w:rsidRPr="0077725E">
              <w:rPr>
                <w:rFonts w:ascii="Arial" w:eastAsiaTheme="minorEastAsia" w:hAnsi="Arial" w:cs="Arial"/>
                <w:lang w:val="en-US" w:eastAsia="ja-JP"/>
              </w:rPr>
              <w:t xml:space="preserve">. The NIPT Provider must ensure (and must ensure compliance of the NIPT Subcontractor) that all staff participating in NIPT shall complete the </w:t>
            </w:r>
            <w:r w:rsidR="00823EE8" w:rsidRPr="0077725E">
              <w:rPr>
                <w:rFonts w:ascii="Arial" w:eastAsiaTheme="minorEastAsia" w:hAnsi="Arial" w:cs="Arial"/>
                <w:lang w:val="en-US" w:eastAsia="ja-JP"/>
              </w:rPr>
              <w:t>Down's, Edwards' and Patau's Screening e-</w:t>
            </w:r>
            <w:r w:rsidR="00823EE8" w:rsidRPr="002446D6">
              <w:rPr>
                <w:rFonts w:ascii="Arial" w:eastAsiaTheme="minorEastAsia" w:hAnsi="Arial" w:cs="Arial"/>
                <w:lang w:val="en-US" w:eastAsia="ja-JP"/>
              </w:rPr>
              <w:t xml:space="preserve">Learning </w:t>
            </w:r>
            <w:r w:rsidR="008F0F45" w:rsidRPr="002446D6">
              <w:rPr>
                <w:rFonts w:ascii="Arial" w:eastAsiaTheme="minorEastAsia" w:hAnsi="Arial" w:cs="Arial"/>
                <w:lang w:val="en-US" w:eastAsia="ja-JP"/>
              </w:rPr>
              <w:t>Resource</w:t>
            </w:r>
            <w:r w:rsidRPr="002446D6">
              <w:rPr>
                <w:rFonts w:ascii="Arial" w:eastAsiaTheme="minorEastAsia" w:hAnsi="Arial" w:cs="Arial"/>
                <w:lang w:val="en-US" w:eastAsia="ja-JP"/>
              </w:rPr>
              <w:t xml:space="preserve"> </w:t>
            </w:r>
            <w:r w:rsidR="00F94275" w:rsidRPr="002446D6">
              <w:rPr>
                <w:rFonts w:ascii="Arial" w:eastAsiaTheme="minorEastAsia" w:hAnsi="Arial" w:cs="Arial"/>
                <w:lang w:val="en-US" w:eastAsia="ja-JP"/>
              </w:rPr>
              <w:t>(</w:t>
            </w:r>
            <w:hyperlink r:id="rId17" w:history="1">
              <w:r w:rsidR="00F94275" w:rsidRPr="002446D6">
                <w:rPr>
                  <w:rStyle w:val="Hyperlink"/>
                  <w:rFonts w:ascii="Arial" w:eastAsiaTheme="minorEastAsia" w:hAnsi="Arial" w:cs="Arial"/>
                  <w:lang w:val="en-US" w:eastAsia="ja-JP"/>
                </w:rPr>
                <w:t>https://phescreening.blog.gov.uk/2017/03/24/new-e-learning-module-for-screening-for-downs-edwards-and-pataus-syndromes/</w:t>
              </w:r>
            </w:hyperlink>
            <w:r w:rsidR="00F94275" w:rsidRPr="002446D6">
              <w:rPr>
                <w:rFonts w:ascii="Arial" w:eastAsiaTheme="minorEastAsia" w:hAnsi="Arial" w:cs="Arial"/>
                <w:lang w:val="en-US" w:eastAsia="ja-JP"/>
              </w:rPr>
              <w:t xml:space="preserve">) </w:t>
            </w:r>
            <w:r w:rsidRPr="002446D6">
              <w:rPr>
                <w:rFonts w:ascii="Arial" w:eastAsiaTheme="minorEastAsia" w:hAnsi="Arial" w:cs="Arial"/>
                <w:lang w:val="en-US" w:eastAsia="ja-JP"/>
              </w:rPr>
              <w:t>module</w:t>
            </w:r>
            <w:r w:rsidRPr="0077725E">
              <w:rPr>
                <w:rFonts w:ascii="Arial" w:eastAsiaTheme="minorEastAsia" w:hAnsi="Arial" w:cs="Arial"/>
                <w:lang w:val="en-US" w:eastAsia="ja-JP"/>
              </w:rPr>
              <w:t xml:space="preserve"> by the end of the Mobilisation Period. Such e-Learning Resource should be completed by each member of staff (within the NIPT Provider and NIPT Subcontractor) every 24 months. Any other specific courses which</w:t>
            </w:r>
            <w:r w:rsidR="000F0CBC" w:rsidRPr="0077725E">
              <w:rPr>
                <w:rFonts w:ascii="Arial" w:eastAsiaTheme="minorEastAsia" w:hAnsi="Arial" w:cs="Arial"/>
                <w:lang w:val="en-US" w:eastAsia="ja-JP"/>
              </w:rPr>
              <w:t xml:space="preserve"> NHSE&amp;I </w:t>
            </w:r>
            <w:r w:rsidRPr="0077725E">
              <w:rPr>
                <w:rFonts w:ascii="Arial" w:eastAsiaTheme="minorEastAsia" w:hAnsi="Arial" w:cs="Arial"/>
                <w:lang w:val="en-US" w:eastAsia="ja-JP"/>
              </w:rPr>
              <w:t>requires staff participating in NIPT to complete during the Term shall be advised to the NIPT Provider from time to time. The NIPT Provider shall thereafter advise any NIPT Subcontractors of any such additional courses and ensure that the NIPT Subcontractors' staff participate in such courses.</w:t>
            </w:r>
          </w:p>
          <w:p w14:paraId="2E9FBF05" w14:textId="77777777" w:rsidR="00576608" w:rsidRPr="0077725E" w:rsidRDefault="00576608" w:rsidP="004F24A0">
            <w:pPr>
              <w:spacing w:after="0"/>
              <w:rPr>
                <w:rFonts w:ascii="Arial" w:hAnsi="Arial" w:cs="Arial"/>
                <w:szCs w:val="24"/>
              </w:rPr>
            </w:pPr>
          </w:p>
          <w:p w14:paraId="4170007A" w14:textId="77777777" w:rsidR="00576608" w:rsidRPr="0077725E" w:rsidRDefault="00576608" w:rsidP="004F24A0">
            <w:pPr>
              <w:spacing w:after="0"/>
              <w:rPr>
                <w:rFonts w:ascii="Arial" w:hAnsi="Arial" w:cs="Arial"/>
                <w:szCs w:val="24"/>
              </w:rPr>
            </w:pPr>
          </w:p>
        </w:tc>
      </w:tr>
    </w:tbl>
    <w:p w14:paraId="25A90D35" w14:textId="77777777" w:rsidR="00596757" w:rsidRPr="00055807" w:rsidRDefault="00596757">
      <w:pPr>
        <w:rPr>
          <w:rFonts w:ascii="Arial" w:hAnsi="Arial" w:cs="Arial"/>
        </w:rPr>
      </w:pPr>
      <w:r w:rsidRPr="00055807">
        <w:rPr>
          <w:rFonts w:ascii="Arial" w:hAnsi="Arial" w:cs="Arial"/>
          <w:b/>
        </w:rPr>
        <w:br w:type="page"/>
      </w:r>
    </w:p>
    <w:p w14:paraId="616C6539" w14:textId="77777777" w:rsidR="00596757" w:rsidRPr="0077725E" w:rsidRDefault="00596757" w:rsidP="00487492">
      <w:pPr>
        <w:pStyle w:val="Heading1"/>
        <w:numPr>
          <w:ilvl w:val="0"/>
          <w:numId w:val="20"/>
        </w:numPr>
        <w:ind w:left="342"/>
        <w:jc w:val="left"/>
        <w:rPr>
          <w:sz w:val="24"/>
          <w:szCs w:val="24"/>
        </w:rPr>
        <w:sectPr w:rsidR="00596757" w:rsidRPr="0077725E" w:rsidSect="0005580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016"/>
      </w:tblGrid>
      <w:tr w:rsidR="00487492" w:rsidRPr="00055807" w14:paraId="7FDCCCDF" w14:textId="77777777" w:rsidTr="000D4B03">
        <w:tc>
          <w:tcPr>
            <w:tcW w:w="5000" w:type="pct"/>
            <w:shd w:val="clear" w:color="auto" w:fill="auto"/>
          </w:tcPr>
          <w:p w14:paraId="16741F2D" w14:textId="77777777" w:rsidR="00487492" w:rsidRPr="0077725E" w:rsidRDefault="00891177" w:rsidP="000D4B03">
            <w:pPr>
              <w:pStyle w:val="Heading1"/>
              <w:numPr>
                <w:ilvl w:val="0"/>
                <w:numId w:val="20"/>
              </w:numPr>
              <w:ind w:left="342"/>
              <w:jc w:val="left"/>
              <w:rPr>
                <w:sz w:val="24"/>
                <w:szCs w:val="24"/>
              </w:rPr>
            </w:pPr>
            <w:r w:rsidRPr="0077725E">
              <w:rPr>
                <w:sz w:val="24"/>
                <w:szCs w:val="24"/>
              </w:rPr>
              <w:lastRenderedPageBreak/>
              <w:t>Data Reporting</w:t>
            </w:r>
          </w:p>
        </w:tc>
      </w:tr>
      <w:tr w:rsidR="00487492" w:rsidRPr="00055807" w14:paraId="1AD6F8DD" w14:textId="77777777" w:rsidTr="000D4B03">
        <w:tc>
          <w:tcPr>
            <w:tcW w:w="5000" w:type="pct"/>
            <w:shd w:val="clear" w:color="auto" w:fill="auto"/>
          </w:tcPr>
          <w:p w14:paraId="34DC39F3" w14:textId="77777777" w:rsidR="00557096" w:rsidRPr="00055807" w:rsidRDefault="00557096" w:rsidP="00557096">
            <w:pPr>
              <w:rPr>
                <w:rFonts w:ascii="Arial" w:hAnsi="Arial" w:cs="Arial"/>
                <w:b/>
                <w:i/>
                <w:szCs w:val="24"/>
              </w:rPr>
            </w:pPr>
            <w:bookmarkStart w:id="32" w:name="KPI_ID3"/>
            <w:bookmarkEnd w:id="32"/>
            <w:r w:rsidRPr="00055807">
              <w:rPr>
                <w:rFonts w:ascii="Arial" w:hAnsi="Arial" w:cs="Arial"/>
                <w:b/>
                <w:i/>
                <w:szCs w:val="24"/>
              </w:rPr>
              <w:t xml:space="preserve">Data requirements from genomic laboratories to support NIPT evaluation questions </w:t>
            </w:r>
          </w:p>
          <w:tbl>
            <w:tblPr>
              <w:tblStyle w:val="TableGrid"/>
              <w:tblW w:w="7824" w:type="dxa"/>
              <w:tblLook w:val="04A0" w:firstRow="1" w:lastRow="0" w:firstColumn="1" w:lastColumn="0" w:noHBand="0" w:noVBand="1"/>
            </w:tblPr>
            <w:tblGrid>
              <w:gridCol w:w="1956"/>
              <w:gridCol w:w="1956"/>
              <w:gridCol w:w="1956"/>
              <w:gridCol w:w="1956"/>
            </w:tblGrid>
            <w:tr w:rsidR="00557096" w:rsidRPr="00055807" w14:paraId="294A5F65" w14:textId="77777777" w:rsidTr="00055807">
              <w:trPr>
                <w:tblHeader/>
              </w:trPr>
              <w:tc>
                <w:tcPr>
                  <w:tcW w:w="1956" w:type="dxa"/>
                </w:tcPr>
                <w:p w14:paraId="6A3DA35F" w14:textId="77777777" w:rsidR="00557096" w:rsidRPr="00055807" w:rsidRDefault="00557096" w:rsidP="00557096">
                  <w:pPr>
                    <w:rPr>
                      <w:rFonts w:ascii="Arial" w:hAnsi="Arial" w:cs="Arial"/>
                      <w:sz w:val="20"/>
                    </w:rPr>
                  </w:pPr>
                  <w:r w:rsidRPr="00055807">
                    <w:rPr>
                      <w:rFonts w:ascii="Arial" w:hAnsi="Arial" w:cs="Arial"/>
                      <w:b/>
                      <w:sz w:val="20"/>
                    </w:rPr>
                    <w:t>Data title</w:t>
                  </w:r>
                </w:p>
              </w:tc>
              <w:tc>
                <w:tcPr>
                  <w:tcW w:w="1956" w:type="dxa"/>
                </w:tcPr>
                <w:p w14:paraId="59B153A5" w14:textId="77777777" w:rsidR="00557096" w:rsidRPr="00055807" w:rsidRDefault="00557096" w:rsidP="00557096">
                  <w:pPr>
                    <w:rPr>
                      <w:rFonts w:ascii="Arial" w:hAnsi="Arial" w:cs="Arial"/>
                      <w:b/>
                      <w:sz w:val="20"/>
                    </w:rPr>
                  </w:pPr>
                  <w:r w:rsidRPr="00055807">
                    <w:rPr>
                      <w:rFonts w:ascii="Arial" w:hAnsi="Arial" w:cs="Arial"/>
                      <w:b/>
                      <w:sz w:val="20"/>
                    </w:rPr>
                    <w:t>Data source</w:t>
                  </w:r>
                </w:p>
              </w:tc>
              <w:tc>
                <w:tcPr>
                  <w:tcW w:w="1956" w:type="dxa"/>
                </w:tcPr>
                <w:p w14:paraId="02E2BC82" w14:textId="77777777" w:rsidR="00557096" w:rsidRPr="00055807" w:rsidRDefault="00557096" w:rsidP="00557096">
                  <w:pPr>
                    <w:rPr>
                      <w:rFonts w:ascii="Arial" w:hAnsi="Arial" w:cs="Arial"/>
                      <w:sz w:val="20"/>
                    </w:rPr>
                  </w:pPr>
                  <w:r w:rsidRPr="00055807">
                    <w:rPr>
                      <w:rFonts w:ascii="Arial" w:hAnsi="Arial" w:cs="Arial"/>
                      <w:b/>
                      <w:sz w:val="20"/>
                    </w:rPr>
                    <w:t>Data collection system</w:t>
                  </w:r>
                </w:p>
              </w:tc>
              <w:tc>
                <w:tcPr>
                  <w:tcW w:w="1956" w:type="dxa"/>
                </w:tcPr>
                <w:p w14:paraId="4F66795A" w14:textId="77777777" w:rsidR="00557096" w:rsidRPr="00055807" w:rsidRDefault="00557096" w:rsidP="00557096">
                  <w:pPr>
                    <w:rPr>
                      <w:rFonts w:ascii="Arial" w:hAnsi="Arial" w:cs="Arial"/>
                      <w:sz w:val="20"/>
                    </w:rPr>
                  </w:pPr>
                  <w:r w:rsidRPr="00055807">
                    <w:rPr>
                      <w:rFonts w:ascii="Arial" w:hAnsi="Arial" w:cs="Arial"/>
                      <w:b/>
                      <w:sz w:val="20"/>
                    </w:rPr>
                    <w:t>Data collection- frequency</w:t>
                  </w:r>
                </w:p>
              </w:tc>
            </w:tr>
            <w:tr w:rsidR="00557096" w:rsidRPr="00055807" w14:paraId="3276BD2B" w14:textId="77777777" w:rsidTr="00055807">
              <w:tc>
                <w:tcPr>
                  <w:tcW w:w="1956" w:type="dxa"/>
                </w:tcPr>
                <w:p w14:paraId="253A6D2D" w14:textId="77777777" w:rsidR="00557096" w:rsidRPr="00055807" w:rsidRDefault="00557096" w:rsidP="00557096">
                  <w:pPr>
                    <w:rPr>
                      <w:rFonts w:ascii="Arial" w:hAnsi="Arial" w:cs="Arial"/>
                      <w:sz w:val="20"/>
                    </w:rPr>
                  </w:pPr>
                  <w:r w:rsidRPr="00055807">
                    <w:rPr>
                      <w:rFonts w:ascii="Arial" w:hAnsi="Arial" w:cs="Arial"/>
                      <w:sz w:val="20"/>
                    </w:rPr>
                    <w:t>What is the impact if any of maternal age, demographics (post code), geography, ethnicity, gestational age, any differences between singleton and twins numerical chance result value or other morphology e.g. USS findings on the above choices?</w:t>
                  </w:r>
                </w:p>
                <w:p w14:paraId="4D7B15C3" w14:textId="77777777" w:rsidR="00557096" w:rsidRPr="00055807" w:rsidRDefault="00557096" w:rsidP="00557096">
                  <w:pPr>
                    <w:rPr>
                      <w:rFonts w:ascii="Arial" w:hAnsi="Arial" w:cs="Arial"/>
                      <w:sz w:val="20"/>
                    </w:rPr>
                  </w:pPr>
                </w:p>
              </w:tc>
              <w:tc>
                <w:tcPr>
                  <w:tcW w:w="1956" w:type="dxa"/>
                </w:tcPr>
                <w:p w14:paraId="05FEBF72" w14:textId="77777777" w:rsidR="00557096" w:rsidRPr="00055807" w:rsidRDefault="00557096" w:rsidP="00557096">
                  <w:pPr>
                    <w:rPr>
                      <w:rFonts w:ascii="Arial" w:hAnsi="Arial" w:cs="Arial"/>
                      <w:sz w:val="20"/>
                    </w:rPr>
                  </w:pPr>
                  <w:r w:rsidRPr="00055807">
                    <w:rPr>
                      <w:rFonts w:ascii="Arial" w:hAnsi="Arial" w:cs="Arial"/>
                      <w:sz w:val="20"/>
                    </w:rPr>
                    <w:t>Maternity provider</w:t>
                  </w:r>
                </w:p>
                <w:p w14:paraId="19033795" w14:textId="77777777" w:rsidR="00557096" w:rsidRPr="00055807" w:rsidRDefault="00557096" w:rsidP="00557096">
                  <w:pPr>
                    <w:rPr>
                      <w:rFonts w:ascii="Arial" w:hAnsi="Arial" w:cs="Arial"/>
                      <w:sz w:val="20"/>
                    </w:rPr>
                  </w:pPr>
                </w:p>
                <w:p w14:paraId="2B780754" w14:textId="77777777" w:rsidR="00557096" w:rsidRPr="00055807" w:rsidRDefault="00557096" w:rsidP="00557096">
                  <w:pPr>
                    <w:rPr>
                      <w:rFonts w:ascii="Arial" w:hAnsi="Arial" w:cs="Arial"/>
                      <w:sz w:val="20"/>
                    </w:rPr>
                  </w:pPr>
                  <w:r w:rsidRPr="00055807">
                    <w:rPr>
                      <w:rFonts w:ascii="Arial" w:hAnsi="Arial" w:cs="Arial"/>
                      <w:sz w:val="20"/>
                    </w:rPr>
                    <w:t>Cytogenetics laboratory</w:t>
                  </w:r>
                </w:p>
                <w:p w14:paraId="36BDDDD5" w14:textId="77777777" w:rsidR="00557096" w:rsidRPr="00055807" w:rsidRDefault="00557096" w:rsidP="00557096">
                  <w:pPr>
                    <w:rPr>
                      <w:rFonts w:ascii="Arial" w:hAnsi="Arial" w:cs="Arial"/>
                      <w:sz w:val="20"/>
                    </w:rPr>
                  </w:pPr>
                </w:p>
                <w:p w14:paraId="2CF416B0" w14:textId="77777777" w:rsidR="00557096" w:rsidRPr="00055807" w:rsidRDefault="00557096" w:rsidP="00557096">
                  <w:pPr>
                    <w:rPr>
                      <w:rFonts w:ascii="Arial" w:hAnsi="Arial" w:cs="Arial"/>
                      <w:sz w:val="20"/>
                    </w:rPr>
                  </w:pPr>
                  <w:r w:rsidRPr="00055807">
                    <w:rPr>
                      <w:rFonts w:ascii="Arial" w:hAnsi="Arial" w:cs="Arial"/>
                      <w:sz w:val="20"/>
                    </w:rPr>
                    <w:t>Genomics laboratory</w:t>
                  </w:r>
                </w:p>
                <w:p w14:paraId="2B171D67" w14:textId="77777777" w:rsidR="00557096" w:rsidRPr="00055807" w:rsidRDefault="00557096" w:rsidP="00557096">
                  <w:pPr>
                    <w:rPr>
                      <w:rFonts w:ascii="Arial" w:hAnsi="Arial" w:cs="Arial"/>
                      <w:sz w:val="20"/>
                    </w:rPr>
                  </w:pPr>
                </w:p>
              </w:tc>
              <w:tc>
                <w:tcPr>
                  <w:tcW w:w="1956" w:type="dxa"/>
                </w:tcPr>
                <w:p w14:paraId="30CFCC7D" w14:textId="77777777" w:rsidR="00557096" w:rsidRPr="00055807" w:rsidRDefault="00557096" w:rsidP="00557096">
                  <w:pPr>
                    <w:rPr>
                      <w:rFonts w:ascii="Arial" w:hAnsi="Arial" w:cs="Arial"/>
                      <w:sz w:val="20"/>
                    </w:rPr>
                  </w:pPr>
                  <w:r w:rsidRPr="00055807">
                    <w:rPr>
                      <w:rFonts w:ascii="Arial" w:hAnsi="Arial" w:cs="Arial"/>
                      <w:sz w:val="20"/>
                    </w:rPr>
                    <w:t>NCARDRS</w:t>
                  </w:r>
                </w:p>
              </w:tc>
              <w:tc>
                <w:tcPr>
                  <w:tcW w:w="1956" w:type="dxa"/>
                </w:tcPr>
                <w:p w14:paraId="2EE4A99C" w14:textId="77777777" w:rsidR="00557096" w:rsidRPr="00055807" w:rsidRDefault="00557096" w:rsidP="00557096">
                  <w:pPr>
                    <w:rPr>
                      <w:rFonts w:ascii="Arial" w:hAnsi="Arial" w:cs="Arial"/>
                      <w:sz w:val="20"/>
                    </w:rPr>
                  </w:pPr>
                  <w:r w:rsidRPr="00055807">
                    <w:rPr>
                      <w:rFonts w:ascii="Arial" w:hAnsi="Arial" w:cs="Arial"/>
                      <w:sz w:val="20"/>
                    </w:rPr>
                    <w:t>Quarterly</w:t>
                  </w:r>
                </w:p>
                <w:p w14:paraId="154B831E" w14:textId="77777777" w:rsidR="00557096" w:rsidRPr="00055807" w:rsidRDefault="00557096" w:rsidP="00557096">
                  <w:pPr>
                    <w:rPr>
                      <w:rFonts w:ascii="Arial" w:hAnsi="Arial" w:cs="Arial"/>
                      <w:sz w:val="20"/>
                    </w:rPr>
                  </w:pPr>
                </w:p>
                <w:p w14:paraId="0CF1C748" w14:textId="77777777" w:rsidR="00557096" w:rsidRPr="00055807" w:rsidRDefault="00557096" w:rsidP="00557096">
                  <w:pPr>
                    <w:rPr>
                      <w:rFonts w:ascii="Arial" w:hAnsi="Arial" w:cs="Arial"/>
                      <w:sz w:val="20"/>
                    </w:rPr>
                  </w:pPr>
                  <w:r w:rsidRPr="00055807">
                    <w:rPr>
                      <w:rFonts w:ascii="Arial" w:hAnsi="Arial" w:cs="Arial"/>
                      <w:sz w:val="20"/>
                    </w:rPr>
                    <w:t>Annual</w:t>
                  </w:r>
                </w:p>
              </w:tc>
            </w:tr>
            <w:tr w:rsidR="00557096" w:rsidRPr="00055807" w14:paraId="697B67C5" w14:textId="77777777" w:rsidTr="00055807">
              <w:tc>
                <w:tcPr>
                  <w:tcW w:w="1956" w:type="dxa"/>
                </w:tcPr>
                <w:p w14:paraId="1043F450" w14:textId="77777777" w:rsidR="00557096" w:rsidRPr="00055807" w:rsidRDefault="00557096" w:rsidP="00557096">
                  <w:pPr>
                    <w:rPr>
                      <w:rFonts w:ascii="Arial" w:hAnsi="Arial" w:cs="Arial"/>
                      <w:sz w:val="20"/>
                    </w:rPr>
                  </w:pPr>
                  <w:r w:rsidRPr="00055807">
                    <w:rPr>
                      <w:rFonts w:ascii="Arial" w:hAnsi="Arial" w:cs="Arial"/>
                      <w:sz w:val="20"/>
                    </w:rPr>
                    <w:t>Test arrival in laboratory (time from sample draw to receipt in the genomic laboratory</w:t>
                  </w:r>
                </w:p>
              </w:tc>
              <w:tc>
                <w:tcPr>
                  <w:tcW w:w="1956" w:type="dxa"/>
                </w:tcPr>
                <w:p w14:paraId="1A0064CD" w14:textId="77777777" w:rsidR="00557096" w:rsidRPr="00055807" w:rsidRDefault="00557096" w:rsidP="00557096">
                  <w:pPr>
                    <w:rPr>
                      <w:rFonts w:ascii="Arial" w:hAnsi="Arial" w:cs="Arial"/>
                      <w:sz w:val="20"/>
                    </w:rPr>
                  </w:pPr>
                  <w:r w:rsidRPr="00055807">
                    <w:rPr>
                      <w:rFonts w:ascii="Arial" w:hAnsi="Arial" w:cs="Arial"/>
                      <w:sz w:val="20"/>
                    </w:rPr>
                    <w:t>Genomic laboratory</w:t>
                  </w:r>
                </w:p>
              </w:tc>
              <w:tc>
                <w:tcPr>
                  <w:tcW w:w="1956" w:type="dxa"/>
                </w:tcPr>
                <w:p w14:paraId="1C27C7BE" w14:textId="77777777" w:rsidR="00557096" w:rsidRPr="00055807" w:rsidRDefault="00557096" w:rsidP="00557096">
                  <w:pPr>
                    <w:rPr>
                      <w:rFonts w:ascii="Arial" w:hAnsi="Arial" w:cs="Arial"/>
                      <w:sz w:val="20"/>
                    </w:rPr>
                  </w:pPr>
                  <w:r w:rsidRPr="00055807">
                    <w:rPr>
                      <w:rFonts w:ascii="Arial" w:hAnsi="Arial" w:cs="Arial"/>
                      <w:sz w:val="20"/>
                    </w:rPr>
                    <w:t>NIPT experimental metric 3 -agreed single process with NCARDRS</w:t>
                  </w:r>
                </w:p>
                <w:p w14:paraId="3D269180" w14:textId="77777777" w:rsidR="00557096" w:rsidRPr="00055807" w:rsidRDefault="00557096" w:rsidP="00557096">
                  <w:pPr>
                    <w:rPr>
                      <w:rFonts w:ascii="Arial" w:hAnsi="Arial" w:cs="Arial"/>
                      <w:sz w:val="20"/>
                    </w:rPr>
                  </w:pPr>
                  <w:r w:rsidRPr="00055807">
                    <w:rPr>
                      <w:rFonts w:ascii="Arial" w:hAnsi="Arial" w:cs="Arial"/>
                      <w:sz w:val="20"/>
                    </w:rPr>
                    <w:t>(See NIPT 3 standard below)</w:t>
                  </w:r>
                </w:p>
                <w:p w14:paraId="0BA8AE4D" w14:textId="77777777" w:rsidR="00557096" w:rsidRPr="00055807" w:rsidRDefault="00557096" w:rsidP="00557096">
                  <w:pPr>
                    <w:rPr>
                      <w:rFonts w:ascii="Arial" w:hAnsi="Arial" w:cs="Arial"/>
                      <w:sz w:val="20"/>
                    </w:rPr>
                  </w:pPr>
                </w:p>
              </w:tc>
              <w:tc>
                <w:tcPr>
                  <w:tcW w:w="1956" w:type="dxa"/>
                </w:tcPr>
                <w:p w14:paraId="6133686F" w14:textId="77777777" w:rsidR="00557096" w:rsidRPr="00055807" w:rsidRDefault="00557096" w:rsidP="00557096">
                  <w:pPr>
                    <w:rPr>
                      <w:rFonts w:ascii="Arial" w:hAnsi="Arial" w:cs="Arial"/>
                      <w:sz w:val="20"/>
                    </w:rPr>
                  </w:pPr>
                  <w:r w:rsidRPr="0077725E">
                    <w:rPr>
                      <w:rFonts w:ascii="Arial" w:hAnsi="Arial" w:cs="Arial"/>
                      <w:sz w:val="20"/>
                    </w:rPr>
                    <w:t>Surveillance-monthly</w:t>
                  </w:r>
                  <w:r w:rsidRPr="00055807">
                    <w:rPr>
                      <w:rFonts w:ascii="Arial" w:hAnsi="Arial" w:cs="Arial"/>
                      <w:sz w:val="20"/>
                    </w:rPr>
                    <w:t xml:space="preserve"> </w:t>
                  </w:r>
                </w:p>
                <w:p w14:paraId="0C3A4777" w14:textId="77777777" w:rsidR="00557096" w:rsidRPr="00055807" w:rsidRDefault="00557096" w:rsidP="00557096">
                  <w:pPr>
                    <w:rPr>
                      <w:rFonts w:ascii="Arial" w:hAnsi="Arial" w:cs="Arial"/>
                      <w:sz w:val="20"/>
                    </w:rPr>
                  </w:pPr>
                </w:p>
                <w:p w14:paraId="32D44B3E" w14:textId="77777777" w:rsidR="00557096" w:rsidRPr="00055807" w:rsidRDefault="00557096" w:rsidP="00557096">
                  <w:pPr>
                    <w:rPr>
                      <w:rFonts w:ascii="Arial" w:hAnsi="Arial" w:cs="Arial"/>
                      <w:sz w:val="20"/>
                    </w:rPr>
                  </w:pPr>
                  <w:r w:rsidRPr="00055807">
                    <w:rPr>
                      <w:rFonts w:ascii="Arial" w:hAnsi="Arial" w:cs="Arial"/>
                      <w:sz w:val="20"/>
                    </w:rPr>
                    <w:t>Quarterly</w:t>
                  </w:r>
                </w:p>
                <w:p w14:paraId="1557470B" w14:textId="77777777" w:rsidR="00557096" w:rsidRPr="00055807" w:rsidRDefault="00557096" w:rsidP="00557096">
                  <w:pPr>
                    <w:rPr>
                      <w:rFonts w:ascii="Arial" w:hAnsi="Arial" w:cs="Arial"/>
                      <w:sz w:val="20"/>
                    </w:rPr>
                  </w:pPr>
                </w:p>
                <w:p w14:paraId="504D2957" w14:textId="77777777" w:rsidR="00557096" w:rsidRPr="00055807" w:rsidRDefault="00557096" w:rsidP="00557096">
                  <w:pPr>
                    <w:rPr>
                      <w:rFonts w:ascii="Arial" w:hAnsi="Arial" w:cs="Arial"/>
                      <w:sz w:val="20"/>
                    </w:rPr>
                  </w:pPr>
                  <w:r w:rsidRPr="00055807">
                    <w:rPr>
                      <w:rFonts w:ascii="Arial" w:hAnsi="Arial" w:cs="Arial"/>
                      <w:sz w:val="20"/>
                    </w:rPr>
                    <w:t>Annual</w:t>
                  </w:r>
                </w:p>
                <w:p w14:paraId="3B37DF39" w14:textId="77777777" w:rsidR="00557096" w:rsidRPr="00055807" w:rsidRDefault="00557096" w:rsidP="00557096">
                  <w:pPr>
                    <w:rPr>
                      <w:rFonts w:ascii="Arial" w:hAnsi="Arial" w:cs="Arial"/>
                      <w:sz w:val="20"/>
                    </w:rPr>
                  </w:pPr>
                </w:p>
              </w:tc>
            </w:tr>
            <w:tr w:rsidR="00557096" w:rsidRPr="00055807" w14:paraId="0E78228A" w14:textId="77777777" w:rsidTr="00055807">
              <w:tc>
                <w:tcPr>
                  <w:tcW w:w="1956" w:type="dxa"/>
                </w:tcPr>
                <w:p w14:paraId="3E48D725" w14:textId="77777777" w:rsidR="00557096" w:rsidRPr="00055807" w:rsidRDefault="00557096" w:rsidP="00557096">
                  <w:pPr>
                    <w:rPr>
                      <w:rFonts w:ascii="Arial" w:hAnsi="Arial" w:cs="Arial"/>
                      <w:color w:val="C00000"/>
                      <w:sz w:val="20"/>
                    </w:rPr>
                  </w:pPr>
                  <w:r w:rsidRPr="00055807">
                    <w:rPr>
                      <w:rFonts w:ascii="Arial" w:hAnsi="Arial" w:cs="Arial"/>
                      <w:sz w:val="20"/>
                    </w:rPr>
                    <w:t>Test turnaround time (receipt of sample to NIPT result)</w:t>
                  </w:r>
                </w:p>
              </w:tc>
              <w:tc>
                <w:tcPr>
                  <w:tcW w:w="1956" w:type="dxa"/>
                </w:tcPr>
                <w:p w14:paraId="0B727379" w14:textId="77777777" w:rsidR="00557096" w:rsidRPr="00055807" w:rsidRDefault="00557096" w:rsidP="00557096">
                  <w:pPr>
                    <w:rPr>
                      <w:rFonts w:ascii="Arial" w:hAnsi="Arial" w:cs="Arial"/>
                      <w:sz w:val="20"/>
                    </w:rPr>
                  </w:pPr>
                  <w:r w:rsidRPr="00055807">
                    <w:rPr>
                      <w:rFonts w:ascii="Arial" w:hAnsi="Arial" w:cs="Arial"/>
                      <w:sz w:val="20"/>
                    </w:rPr>
                    <w:t>Genomic laboratory</w:t>
                  </w:r>
                </w:p>
              </w:tc>
              <w:tc>
                <w:tcPr>
                  <w:tcW w:w="1956" w:type="dxa"/>
                </w:tcPr>
                <w:p w14:paraId="40C491F1" w14:textId="77777777" w:rsidR="00557096" w:rsidRPr="00055807" w:rsidRDefault="00557096" w:rsidP="00557096">
                  <w:pPr>
                    <w:rPr>
                      <w:rFonts w:ascii="Arial" w:hAnsi="Arial" w:cs="Arial"/>
                      <w:sz w:val="20"/>
                    </w:rPr>
                  </w:pPr>
                  <w:r w:rsidRPr="00055807">
                    <w:rPr>
                      <w:rFonts w:ascii="Arial" w:hAnsi="Arial" w:cs="Arial"/>
                      <w:sz w:val="20"/>
                    </w:rPr>
                    <w:t>NIPT experimental metric- 4 agreed single process with NCARDRS</w:t>
                  </w:r>
                </w:p>
                <w:p w14:paraId="501FB21A" w14:textId="77777777" w:rsidR="00557096" w:rsidRPr="00055807" w:rsidRDefault="00557096" w:rsidP="00557096">
                  <w:pPr>
                    <w:rPr>
                      <w:rFonts w:ascii="Arial" w:hAnsi="Arial" w:cs="Arial"/>
                      <w:color w:val="0070C0"/>
                      <w:sz w:val="20"/>
                    </w:rPr>
                  </w:pPr>
                  <w:r w:rsidRPr="00055807">
                    <w:rPr>
                      <w:rFonts w:ascii="Arial" w:hAnsi="Arial" w:cs="Arial"/>
                      <w:sz w:val="20"/>
                    </w:rPr>
                    <w:t>(see NIPT 4 standard below)</w:t>
                  </w:r>
                </w:p>
              </w:tc>
              <w:tc>
                <w:tcPr>
                  <w:tcW w:w="1956" w:type="dxa"/>
                </w:tcPr>
                <w:p w14:paraId="6B006A55" w14:textId="77777777" w:rsidR="00557096" w:rsidRPr="00055807" w:rsidRDefault="00557096" w:rsidP="00557096">
                  <w:pPr>
                    <w:rPr>
                      <w:rFonts w:ascii="Arial" w:hAnsi="Arial" w:cs="Arial"/>
                      <w:sz w:val="20"/>
                    </w:rPr>
                  </w:pPr>
                  <w:r w:rsidRPr="0077725E">
                    <w:rPr>
                      <w:rFonts w:ascii="Arial" w:hAnsi="Arial" w:cs="Arial"/>
                      <w:sz w:val="20"/>
                    </w:rPr>
                    <w:t>Surveillance-monthly</w:t>
                  </w:r>
                  <w:r w:rsidRPr="00055807">
                    <w:rPr>
                      <w:rFonts w:ascii="Arial" w:hAnsi="Arial" w:cs="Arial"/>
                      <w:sz w:val="20"/>
                    </w:rPr>
                    <w:t xml:space="preserve"> </w:t>
                  </w:r>
                </w:p>
                <w:p w14:paraId="09FC2562" w14:textId="77777777" w:rsidR="00557096" w:rsidRPr="00055807" w:rsidRDefault="00557096" w:rsidP="00557096">
                  <w:pPr>
                    <w:rPr>
                      <w:rFonts w:ascii="Arial" w:hAnsi="Arial" w:cs="Arial"/>
                      <w:sz w:val="20"/>
                    </w:rPr>
                  </w:pPr>
                </w:p>
                <w:p w14:paraId="2932E6A9" w14:textId="77777777" w:rsidR="00557096" w:rsidRPr="00055807" w:rsidRDefault="00557096" w:rsidP="00557096">
                  <w:pPr>
                    <w:rPr>
                      <w:rFonts w:ascii="Arial" w:hAnsi="Arial" w:cs="Arial"/>
                      <w:sz w:val="20"/>
                    </w:rPr>
                  </w:pPr>
                  <w:r w:rsidRPr="00055807">
                    <w:rPr>
                      <w:rFonts w:ascii="Arial" w:hAnsi="Arial" w:cs="Arial"/>
                      <w:sz w:val="20"/>
                    </w:rPr>
                    <w:t>Quarterly</w:t>
                  </w:r>
                </w:p>
                <w:p w14:paraId="20C7B4DE" w14:textId="77777777" w:rsidR="00557096" w:rsidRPr="00055807" w:rsidRDefault="00557096" w:rsidP="00557096">
                  <w:pPr>
                    <w:rPr>
                      <w:rFonts w:ascii="Arial" w:hAnsi="Arial" w:cs="Arial"/>
                      <w:sz w:val="20"/>
                    </w:rPr>
                  </w:pPr>
                </w:p>
                <w:p w14:paraId="28726977" w14:textId="77777777" w:rsidR="00557096" w:rsidRPr="00055807" w:rsidRDefault="00557096" w:rsidP="00557096">
                  <w:pPr>
                    <w:rPr>
                      <w:rFonts w:ascii="Arial" w:hAnsi="Arial" w:cs="Arial"/>
                      <w:sz w:val="20"/>
                    </w:rPr>
                  </w:pPr>
                  <w:r w:rsidRPr="00055807">
                    <w:rPr>
                      <w:rFonts w:ascii="Arial" w:hAnsi="Arial" w:cs="Arial"/>
                      <w:sz w:val="20"/>
                    </w:rPr>
                    <w:t>Annual</w:t>
                  </w:r>
                </w:p>
                <w:p w14:paraId="4844B247" w14:textId="77777777" w:rsidR="00557096" w:rsidRPr="0077725E" w:rsidRDefault="00557096" w:rsidP="00557096">
                  <w:pPr>
                    <w:rPr>
                      <w:rFonts w:ascii="Arial" w:hAnsi="Arial" w:cs="Arial"/>
                      <w:sz w:val="20"/>
                    </w:rPr>
                  </w:pPr>
                </w:p>
              </w:tc>
            </w:tr>
            <w:tr w:rsidR="00557096" w:rsidRPr="00055807" w14:paraId="6E2BC9E4" w14:textId="77777777" w:rsidTr="00055807">
              <w:tc>
                <w:tcPr>
                  <w:tcW w:w="1956" w:type="dxa"/>
                </w:tcPr>
                <w:p w14:paraId="31D1CC52" w14:textId="77777777" w:rsidR="00557096" w:rsidRPr="00055807" w:rsidRDefault="00557096" w:rsidP="00557096">
                  <w:pPr>
                    <w:rPr>
                      <w:rFonts w:ascii="Arial" w:hAnsi="Arial" w:cs="Arial"/>
                      <w:i/>
                      <w:sz w:val="20"/>
                    </w:rPr>
                  </w:pPr>
                  <w:r w:rsidRPr="00055807">
                    <w:rPr>
                      <w:rFonts w:ascii="Arial" w:hAnsi="Arial" w:cs="Arial"/>
                      <w:sz w:val="20"/>
                    </w:rPr>
                    <w:t xml:space="preserve">What is the ‘no result’ rate of the NIPT test? </w:t>
                  </w:r>
                  <w:r w:rsidRPr="00055807">
                    <w:rPr>
                      <w:rFonts w:ascii="Arial" w:hAnsi="Arial" w:cs="Arial"/>
                      <w:i/>
                      <w:sz w:val="20"/>
                    </w:rPr>
                    <w:t>(UK NSC question)</w:t>
                  </w:r>
                </w:p>
                <w:p w14:paraId="58982481" w14:textId="77777777" w:rsidR="00557096" w:rsidRPr="00055807" w:rsidRDefault="00557096" w:rsidP="00557096">
                  <w:pPr>
                    <w:rPr>
                      <w:rFonts w:ascii="Arial" w:hAnsi="Arial" w:cs="Arial"/>
                      <w:i/>
                      <w:sz w:val="20"/>
                    </w:rPr>
                  </w:pPr>
                </w:p>
                <w:p w14:paraId="5FBD43F9" w14:textId="77777777" w:rsidR="00557096" w:rsidRPr="00055807" w:rsidRDefault="00557096" w:rsidP="00557096">
                  <w:pPr>
                    <w:rPr>
                      <w:rFonts w:ascii="Arial" w:hAnsi="Arial" w:cs="Arial"/>
                      <w:sz w:val="20"/>
                    </w:rPr>
                  </w:pPr>
                  <w:r w:rsidRPr="00055807">
                    <w:rPr>
                      <w:rFonts w:ascii="Arial" w:hAnsi="Arial" w:cs="Arial"/>
                      <w:sz w:val="20"/>
                    </w:rPr>
                    <w:lastRenderedPageBreak/>
                    <w:t>Singleton and twins</w:t>
                  </w:r>
                </w:p>
                <w:p w14:paraId="7AE5A2DC" w14:textId="77777777" w:rsidR="00557096" w:rsidRPr="00055807" w:rsidRDefault="00557096" w:rsidP="00557096">
                  <w:pPr>
                    <w:rPr>
                      <w:rFonts w:ascii="Arial" w:hAnsi="Arial" w:cs="Arial"/>
                      <w:sz w:val="20"/>
                    </w:rPr>
                  </w:pPr>
                </w:p>
                <w:p w14:paraId="56A5D858" w14:textId="77777777" w:rsidR="00557096" w:rsidRPr="00055807" w:rsidRDefault="00557096" w:rsidP="00557096">
                  <w:pPr>
                    <w:rPr>
                      <w:rFonts w:ascii="Arial" w:hAnsi="Arial" w:cs="Arial"/>
                      <w:sz w:val="20"/>
                    </w:rPr>
                  </w:pPr>
                  <w:r w:rsidRPr="00055807">
                    <w:rPr>
                      <w:rFonts w:ascii="Arial" w:hAnsi="Arial" w:cs="Arial"/>
                      <w:sz w:val="20"/>
                    </w:rPr>
                    <w:t>Defined as a no result from first or second NIPT sample</w:t>
                  </w:r>
                </w:p>
                <w:p w14:paraId="33697CB7" w14:textId="77777777" w:rsidR="00557096" w:rsidRPr="00055807" w:rsidRDefault="00557096" w:rsidP="00557096">
                  <w:pPr>
                    <w:rPr>
                      <w:rFonts w:ascii="Arial" w:hAnsi="Arial" w:cs="Arial"/>
                      <w:sz w:val="20"/>
                    </w:rPr>
                  </w:pPr>
                </w:p>
              </w:tc>
              <w:tc>
                <w:tcPr>
                  <w:tcW w:w="1956" w:type="dxa"/>
                </w:tcPr>
                <w:p w14:paraId="70E23CAA" w14:textId="77777777" w:rsidR="00557096" w:rsidRPr="00055807" w:rsidRDefault="00557096" w:rsidP="00557096">
                  <w:pPr>
                    <w:rPr>
                      <w:rFonts w:ascii="Arial" w:hAnsi="Arial" w:cs="Arial"/>
                      <w:sz w:val="20"/>
                    </w:rPr>
                  </w:pPr>
                  <w:r w:rsidRPr="00055807">
                    <w:rPr>
                      <w:rFonts w:ascii="Arial" w:hAnsi="Arial" w:cs="Arial"/>
                      <w:sz w:val="20"/>
                    </w:rPr>
                    <w:lastRenderedPageBreak/>
                    <w:t>Genomics laboratory</w:t>
                  </w:r>
                </w:p>
              </w:tc>
              <w:tc>
                <w:tcPr>
                  <w:tcW w:w="1956" w:type="dxa"/>
                </w:tcPr>
                <w:p w14:paraId="323E2AD6" w14:textId="77777777" w:rsidR="00557096" w:rsidRPr="00055807" w:rsidRDefault="00557096" w:rsidP="00557096">
                  <w:pPr>
                    <w:rPr>
                      <w:rFonts w:ascii="Arial" w:hAnsi="Arial" w:cs="Arial"/>
                      <w:sz w:val="20"/>
                    </w:rPr>
                  </w:pPr>
                  <w:r w:rsidRPr="00055807">
                    <w:rPr>
                      <w:rFonts w:ascii="Arial" w:hAnsi="Arial" w:cs="Arial"/>
                      <w:sz w:val="20"/>
                    </w:rPr>
                    <w:t>Agreed single process with NCARDRS</w:t>
                  </w:r>
                </w:p>
              </w:tc>
              <w:tc>
                <w:tcPr>
                  <w:tcW w:w="1956" w:type="dxa"/>
                </w:tcPr>
                <w:p w14:paraId="15FE2EEF" w14:textId="77777777" w:rsidR="00557096" w:rsidRPr="00055807" w:rsidRDefault="00557096" w:rsidP="00557096">
                  <w:pPr>
                    <w:rPr>
                      <w:rFonts w:ascii="Arial" w:hAnsi="Arial" w:cs="Arial"/>
                      <w:sz w:val="20"/>
                    </w:rPr>
                  </w:pPr>
                  <w:r w:rsidRPr="0077725E">
                    <w:rPr>
                      <w:rFonts w:ascii="Arial" w:hAnsi="Arial" w:cs="Arial"/>
                      <w:sz w:val="20"/>
                    </w:rPr>
                    <w:t>Surveillance- monthly</w:t>
                  </w:r>
                  <w:r w:rsidRPr="00055807">
                    <w:rPr>
                      <w:rFonts w:ascii="Arial" w:hAnsi="Arial" w:cs="Arial"/>
                      <w:sz w:val="20"/>
                    </w:rPr>
                    <w:t xml:space="preserve"> </w:t>
                  </w:r>
                </w:p>
                <w:p w14:paraId="535B3C79" w14:textId="77777777" w:rsidR="00557096" w:rsidRPr="00055807" w:rsidRDefault="00557096" w:rsidP="00557096">
                  <w:pPr>
                    <w:rPr>
                      <w:rFonts w:ascii="Arial" w:hAnsi="Arial" w:cs="Arial"/>
                      <w:sz w:val="20"/>
                    </w:rPr>
                  </w:pPr>
                </w:p>
              </w:tc>
            </w:tr>
            <w:tr w:rsidR="00557096" w:rsidRPr="00055807" w14:paraId="0AB66948" w14:textId="77777777" w:rsidTr="00055807">
              <w:tc>
                <w:tcPr>
                  <w:tcW w:w="1956" w:type="dxa"/>
                </w:tcPr>
                <w:p w14:paraId="20ED2B2A" w14:textId="77777777" w:rsidR="00557096" w:rsidRPr="00055807" w:rsidRDefault="00557096" w:rsidP="00557096">
                  <w:pPr>
                    <w:rPr>
                      <w:rFonts w:ascii="Arial" w:hAnsi="Arial" w:cs="Arial"/>
                      <w:sz w:val="20"/>
                    </w:rPr>
                  </w:pPr>
                  <w:r w:rsidRPr="00055807">
                    <w:rPr>
                      <w:rFonts w:ascii="Arial" w:hAnsi="Arial" w:cs="Arial"/>
                      <w:sz w:val="20"/>
                    </w:rPr>
                    <w:t>Number of higher chance NIPT results</w:t>
                  </w:r>
                </w:p>
              </w:tc>
              <w:tc>
                <w:tcPr>
                  <w:tcW w:w="1956" w:type="dxa"/>
                </w:tcPr>
                <w:p w14:paraId="459D9D22" w14:textId="77777777" w:rsidR="00557096" w:rsidRPr="00055807" w:rsidRDefault="00557096" w:rsidP="00557096">
                  <w:pPr>
                    <w:rPr>
                      <w:rFonts w:ascii="Arial" w:hAnsi="Arial" w:cs="Arial"/>
                      <w:sz w:val="20"/>
                    </w:rPr>
                  </w:pPr>
                  <w:r w:rsidRPr="00055807">
                    <w:rPr>
                      <w:rFonts w:ascii="Arial" w:hAnsi="Arial" w:cs="Arial"/>
                      <w:sz w:val="20"/>
                    </w:rPr>
                    <w:t>Genomics laboratory</w:t>
                  </w:r>
                </w:p>
              </w:tc>
              <w:tc>
                <w:tcPr>
                  <w:tcW w:w="1956" w:type="dxa"/>
                </w:tcPr>
                <w:p w14:paraId="4AA20801" w14:textId="77777777" w:rsidR="00557096" w:rsidRPr="00055807" w:rsidRDefault="00557096" w:rsidP="00557096">
                  <w:pPr>
                    <w:rPr>
                      <w:rFonts w:ascii="Arial" w:hAnsi="Arial" w:cs="Arial"/>
                      <w:sz w:val="20"/>
                    </w:rPr>
                  </w:pPr>
                  <w:r w:rsidRPr="00055807">
                    <w:rPr>
                      <w:rFonts w:ascii="Arial" w:hAnsi="Arial" w:cs="Arial"/>
                      <w:sz w:val="20"/>
                    </w:rPr>
                    <w:t>NCARDRS</w:t>
                  </w:r>
                </w:p>
              </w:tc>
              <w:tc>
                <w:tcPr>
                  <w:tcW w:w="1956" w:type="dxa"/>
                </w:tcPr>
                <w:p w14:paraId="4519E25C" w14:textId="77777777" w:rsidR="00557096" w:rsidRPr="00055807" w:rsidRDefault="00557096" w:rsidP="00557096">
                  <w:pPr>
                    <w:rPr>
                      <w:rFonts w:ascii="Arial" w:hAnsi="Arial" w:cs="Arial"/>
                      <w:sz w:val="20"/>
                    </w:rPr>
                  </w:pPr>
                  <w:r w:rsidRPr="00055807">
                    <w:rPr>
                      <w:rFonts w:ascii="Arial" w:hAnsi="Arial" w:cs="Arial"/>
                      <w:sz w:val="20"/>
                    </w:rPr>
                    <w:t>Monthly</w:t>
                  </w:r>
                </w:p>
                <w:p w14:paraId="0D0DAEA7" w14:textId="77777777" w:rsidR="00557096" w:rsidRPr="00055807" w:rsidRDefault="00557096" w:rsidP="00557096">
                  <w:pPr>
                    <w:rPr>
                      <w:rFonts w:ascii="Arial" w:hAnsi="Arial" w:cs="Arial"/>
                      <w:sz w:val="20"/>
                    </w:rPr>
                  </w:pPr>
                </w:p>
                <w:p w14:paraId="60F1FE3B" w14:textId="77777777" w:rsidR="00557096" w:rsidRPr="00055807" w:rsidRDefault="00557096" w:rsidP="00557096">
                  <w:pPr>
                    <w:rPr>
                      <w:rFonts w:ascii="Arial" w:hAnsi="Arial" w:cs="Arial"/>
                      <w:sz w:val="20"/>
                    </w:rPr>
                  </w:pPr>
                  <w:r w:rsidRPr="00055807">
                    <w:rPr>
                      <w:rFonts w:ascii="Arial" w:hAnsi="Arial" w:cs="Arial"/>
                      <w:sz w:val="20"/>
                    </w:rPr>
                    <w:t>Quarterly</w:t>
                  </w:r>
                </w:p>
                <w:p w14:paraId="3EB2F4CD" w14:textId="77777777" w:rsidR="00557096" w:rsidRPr="00055807" w:rsidRDefault="00557096" w:rsidP="00557096">
                  <w:pPr>
                    <w:rPr>
                      <w:rFonts w:ascii="Arial" w:hAnsi="Arial" w:cs="Arial"/>
                      <w:sz w:val="20"/>
                    </w:rPr>
                  </w:pPr>
                </w:p>
                <w:p w14:paraId="72662E5E" w14:textId="77777777" w:rsidR="00557096" w:rsidRPr="00055807" w:rsidRDefault="00557096" w:rsidP="00557096">
                  <w:pPr>
                    <w:rPr>
                      <w:rFonts w:ascii="Arial" w:hAnsi="Arial" w:cs="Arial"/>
                      <w:sz w:val="20"/>
                    </w:rPr>
                  </w:pPr>
                  <w:r w:rsidRPr="00055807">
                    <w:rPr>
                      <w:rFonts w:ascii="Arial" w:hAnsi="Arial" w:cs="Arial"/>
                      <w:sz w:val="20"/>
                    </w:rPr>
                    <w:t>Annual</w:t>
                  </w:r>
                </w:p>
                <w:p w14:paraId="550DBA71" w14:textId="77777777" w:rsidR="00557096" w:rsidRPr="00055807" w:rsidRDefault="00557096" w:rsidP="00557096">
                  <w:pPr>
                    <w:rPr>
                      <w:rFonts w:ascii="Arial" w:hAnsi="Arial" w:cs="Arial"/>
                      <w:sz w:val="20"/>
                    </w:rPr>
                  </w:pPr>
                </w:p>
              </w:tc>
            </w:tr>
            <w:tr w:rsidR="00557096" w:rsidRPr="00055807" w14:paraId="6AC57148" w14:textId="77777777" w:rsidTr="00055807">
              <w:tc>
                <w:tcPr>
                  <w:tcW w:w="1956" w:type="dxa"/>
                </w:tcPr>
                <w:p w14:paraId="12F195AC" w14:textId="77777777" w:rsidR="00557096" w:rsidRPr="00055807" w:rsidRDefault="00557096" w:rsidP="00557096">
                  <w:pPr>
                    <w:rPr>
                      <w:rFonts w:ascii="Arial" w:hAnsi="Arial" w:cs="Arial"/>
                      <w:sz w:val="20"/>
                    </w:rPr>
                  </w:pPr>
                  <w:r w:rsidRPr="00055807">
                    <w:rPr>
                      <w:rFonts w:ascii="Arial" w:hAnsi="Arial" w:cs="Arial"/>
                      <w:sz w:val="20"/>
                    </w:rPr>
                    <w:t>Positive and negative predictive values for T21, T18 and T13 in the tested population</w:t>
                  </w:r>
                </w:p>
                <w:p w14:paraId="5907A8E5" w14:textId="77777777" w:rsidR="00557096" w:rsidRPr="00055807" w:rsidRDefault="00557096" w:rsidP="00557096">
                  <w:pPr>
                    <w:rPr>
                      <w:rFonts w:ascii="Arial" w:hAnsi="Arial" w:cs="Arial"/>
                      <w:sz w:val="20"/>
                    </w:rPr>
                  </w:pPr>
                </w:p>
              </w:tc>
              <w:tc>
                <w:tcPr>
                  <w:tcW w:w="1956" w:type="dxa"/>
                </w:tcPr>
                <w:p w14:paraId="15E748FD" w14:textId="77777777" w:rsidR="00557096" w:rsidRPr="00055807" w:rsidRDefault="00557096" w:rsidP="00557096">
                  <w:pPr>
                    <w:rPr>
                      <w:rFonts w:ascii="Arial" w:hAnsi="Arial" w:cs="Arial"/>
                      <w:sz w:val="20"/>
                    </w:rPr>
                  </w:pPr>
                  <w:r w:rsidRPr="00055807">
                    <w:rPr>
                      <w:rFonts w:ascii="Arial" w:hAnsi="Arial" w:cs="Arial"/>
                      <w:sz w:val="20"/>
                    </w:rPr>
                    <w:t>Cytogenetics laboratory</w:t>
                  </w:r>
                </w:p>
                <w:p w14:paraId="64E7C5AF" w14:textId="77777777" w:rsidR="00557096" w:rsidRPr="00055807" w:rsidRDefault="00557096" w:rsidP="00557096">
                  <w:pPr>
                    <w:rPr>
                      <w:rFonts w:ascii="Arial" w:hAnsi="Arial" w:cs="Arial"/>
                      <w:sz w:val="20"/>
                    </w:rPr>
                  </w:pPr>
                </w:p>
                <w:p w14:paraId="2A97B81F" w14:textId="77777777" w:rsidR="00557096" w:rsidRPr="00055807" w:rsidRDefault="00557096" w:rsidP="00557096">
                  <w:pPr>
                    <w:rPr>
                      <w:rFonts w:ascii="Arial" w:hAnsi="Arial" w:cs="Arial"/>
                      <w:sz w:val="20"/>
                    </w:rPr>
                  </w:pPr>
                  <w:r w:rsidRPr="00055807">
                    <w:rPr>
                      <w:rFonts w:ascii="Arial" w:hAnsi="Arial" w:cs="Arial"/>
                      <w:sz w:val="20"/>
                    </w:rPr>
                    <w:t>Genomic laboratory</w:t>
                  </w:r>
                </w:p>
              </w:tc>
              <w:tc>
                <w:tcPr>
                  <w:tcW w:w="1956" w:type="dxa"/>
                </w:tcPr>
                <w:p w14:paraId="197F462B" w14:textId="77777777" w:rsidR="00557096" w:rsidRPr="00055807" w:rsidRDefault="00557096" w:rsidP="00557096">
                  <w:pPr>
                    <w:rPr>
                      <w:rFonts w:ascii="Arial" w:hAnsi="Arial" w:cs="Arial"/>
                      <w:sz w:val="20"/>
                    </w:rPr>
                  </w:pPr>
                  <w:r w:rsidRPr="00055807">
                    <w:rPr>
                      <w:rFonts w:ascii="Arial" w:hAnsi="Arial" w:cs="Arial"/>
                      <w:sz w:val="20"/>
                    </w:rPr>
                    <w:t>NCARDRS</w:t>
                  </w:r>
                </w:p>
              </w:tc>
              <w:tc>
                <w:tcPr>
                  <w:tcW w:w="1956" w:type="dxa"/>
                </w:tcPr>
                <w:p w14:paraId="42B3AF58" w14:textId="77777777" w:rsidR="00557096" w:rsidRPr="00055807" w:rsidRDefault="00557096" w:rsidP="00557096">
                  <w:pPr>
                    <w:rPr>
                      <w:rFonts w:ascii="Arial" w:hAnsi="Arial" w:cs="Arial"/>
                      <w:sz w:val="20"/>
                    </w:rPr>
                  </w:pPr>
                  <w:r w:rsidRPr="00055807">
                    <w:rPr>
                      <w:rFonts w:ascii="Arial" w:hAnsi="Arial" w:cs="Arial"/>
                      <w:sz w:val="20"/>
                    </w:rPr>
                    <w:t>Annual</w:t>
                  </w:r>
                </w:p>
                <w:p w14:paraId="025AA701" w14:textId="77777777" w:rsidR="00557096" w:rsidRPr="00055807" w:rsidRDefault="00557096" w:rsidP="00557096">
                  <w:pPr>
                    <w:rPr>
                      <w:rFonts w:ascii="Arial" w:hAnsi="Arial" w:cs="Arial"/>
                      <w:sz w:val="20"/>
                    </w:rPr>
                  </w:pPr>
                </w:p>
              </w:tc>
            </w:tr>
            <w:tr w:rsidR="00557096" w:rsidRPr="00055807" w14:paraId="5C3F9CA1" w14:textId="77777777" w:rsidTr="00055807">
              <w:tc>
                <w:tcPr>
                  <w:tcW w:w="1956" w:type="dxa"/>
                </w:tcPr>
                <w:p w14:paraId="3397BF89" w14:textId="77777777" w:rsidR="00557096" w:rsidRPr="00055807" w:rsidRDefault="00557096" w:rsidP="00557096">
                  <w:pPr>
                    <w:rPr>
                      <w:rFonts w:ascii="Arial" w:hAnsi="Arial" w:cs="Arial"/>
                      <w:sz w:val="20"/>
                    </w:rPr>
                  </w:pPr>
                  <w:r w:rsidRPr="00055807">
                    <w:rPr>
                      <w:rFonts w:ascii="Arial" w:hAnsi="Arial" w:cs="Arial"/>
                      <w:sz w:val="20"/>
                    </w:rPr>
                    <w:t>Training log</w:t>
                  </w:r>
                </w:p>
                <w:p w14:paraId="5F9BB639" w14:textId="77777777" w:rsidR="00557096" w:rsidRPr="00055807" w:rsidRDefault="00557096" w:rsidP="00557096">
                  <w:pPr>
                    <w:rPr>
                      <w:rFonts w:ascii="Arial" w:hAnsi="Arial" w:cs="Arial"/>
                      <w:sz w:val="20"/>
                    </w:rPr>
                  </w:pPr>
                </w:p>
                <w:p w14:paraId="73AA7F2C" w14:textId="77777777" w:rsidR="00557096" w:rsidRPr="00055807" w:rsidRDefault="00557096" w:rsidP="00557096">
                  <w:pPr>
                    <w:rPr>
                      <w:rFonts w:ascii="Arial" w:hAnsi="Arial" w:cs="Arial"/>
                      <w:sz w:val="20"/>
                    </w:rPr>
                  </w:pPr>
                  <w:r w:rsidRPr="00055807">
                    <w:rPr>
                      <w:rFonts w:ascii="Arial" w:hAnsi="Arial" w:cs="Arial"/>
                      <w:sz w:val="20"/>
                    </w:rPr>
                    <w:t>Evaluation of training- e learning and face to face sessions</w:t>
                  </w:r>
                </w:p>
              </w:tc>
              <w:tc>
                <w:tcPr>
                  <w:tcW w:w="1956" w:type="dxa"/>
                </w:tcPr>
                <w:p w14:paraId="6EDDAC59" w14:textId="77777777" w:rsidR="00557096" w:rsidRPr="00055807" w:rsidRDefault="00557096" w:rsidP="00557096">
                  <w:pPr>
                    <w:rPr>
                      <w:rFonts w:ascii="Arial" w:hAnsi="Arial" w:cs="Arial"/>
                      <w:sz w:val="20"/>
                    </w:rPr>
                  </w:pPr>
                  <w:r w:rsidRPr="00055807">
                    <w:rPr>
                      <w:rFonts w:ascii="Arial" w:hAnsi="Arial" w:cs="Arial"/>
                      <w:sz w:val="20"/>
                    </w:rPr>
                    <w:t>Maternity/ biochemistry laboratory providers/ genomics laboratory providers</w:t>
                  </w:r>
                </w:p>
              </w:tc>
              <w:tc>
                <w:tcPr>
                  <w:tcW w:w="1956" w:type="dxa"/>
                </w:tcPr>
                <w:p w14:paraId="4929CBCA" w14:textId="77777777" w:rsidR="00557096" w:rsidRPr="00055807" w:rsidRDefault="00557096" w:rsidP="00557096">
                  <w:pPr>
                    <w:rPr>
                      <w:rFonts w:ascii="Arial" w:hAnsi="Arial" w:cs="Arial"/>
                      <w:sz w:val="20"/>
                    </w:rPr>
                  </w:pPr>
                  <w:r w:rsidRPr="00055807">
                    <w:rPr>
                      <w:rFonts w:ascii="Arial" w:hAnsi="Arial" w:cs="Arial"/>
                      <w:sz w:val="20"/>
                    </w:rPr>
                    <w:t>IEPP</w:t>
                  </w:r>
                </w:p>
              </w:tc>
              <w:tc>
                <w:tcPr>
                  <w:tcW w:w="1956" w:type="dxa"/>
                </w:tcPr>
                <w:p w14:paraId="637BEF27" w14:textId="77777777" w:rsidR="00557096" w:rsidRPr="00055807" w:rsidRDefault="00557096" w:rsidP="00557096">
                  <w:pPr>
                    <w:rPr>
                      <w:rFonts w:ascii="Arial" w:hAnsi="Arial" w:cs="Arial"/>
                      <w:sz w:val="20"/>
                    </w:rPr>
                  </w:pPr>
                  <w:r w:rsidRPr="00055807">
                    <w:rPr>
                      <w:rFonts w:ascii="Arial" w:hAnsi="Arial" w:cs="Arial"/>
                      <w:sz w:val="20"/>
                    </w:rPr>
                    <w:t>Monthly</w:t>
                  </w:r>
                </w:p>
                <w:p w14:paraId="2492A527" w14:textId="77777777" w:rsidR="00557096" w:rsidRPr="00055807" w:rsidRDefault="00557096" w:rsidP="00557096">
                  <w:pPr>
                    <w:rPr>
                      <w:rFonts w:ascii="Arial" w:hAnsi="Arial" w:cs="Arial"/>
                      <w:sz w:val="20"/>
                    </w:rPr>
                  </w:pPr>
                  <w:r w:rsidRPr="00055807">
                    <w:rPr>
                      <w:rFonts w:ascii="Arial" w:hAnsi="Arial" w:cs="Arial"/>
                      <w:sz w:val="20"/>
                    </w:rPr>
                    <w:t xml:space="preserve"> </w:t>
                  </w:r>
                </w:p>
                <w:p w14:paraId="28D697EB" w14:textId="77777777" w:rsidR="00557096" w:rsidRPr="00055807" w:rsidRDefault="00557096" w:rsidP="00557096">
                  <w:pPr>
                    <w:rPr>
                      <w:rFonts w:ascii="Arial" w:hAnsi="Arial" w:cs="Arial"/>
                      <w:sz w:val="20"/>
                    </w:rPr>
                  </w:pPr>
                  <w:r w:rsidRPr="00055807">
                    <w:rPr>
                      <w:rFonts w:ascii="Arial" w:hAnsi="Arial" w:cs="Arial"/>
                      <w:sz w:val="20"/>
                    </w:rPr>
                    <w:t xml:space="preserve">Quarterly  </w:t>
                  </w:r>
                </w:p>
                <w:p w14:paraId="4B8EE88A" w14:textId="77777777" w:rsidR="00557096" w:rsidRPr="00055807" w:rsidRDefault="00557096" w:rsidP="00557096">
                  <w:pPr>
                    <w:rPr>
                      <w:rFonts w:ascii="Arial" w:hAnsi="Arial" w:cs="Arial"/>
                      <w:sz w:val="20"/>
                    </w:rPr>
                  </w:pPr>
                </w:p>
                <w:p w14:paraId="447BCBA0" w14:textId="77777777" w:rsidR="00557096" w:rsidRPr="00055807" w:rsidRDefault="00557096" w:rsidP="00557096">
                  <w:pPr>
                    <w:rPr>
                      <w:rFonts w:ascii="Arial" w:hAnsi="Arial" w:cs="Arial"/>
                      <w:sz w:val="20"/>
                    </w:rPr>
                  </w:pPr>
                  <w:r w:rsidRPr="00055807">
                    <w:rPr>
                      <w:rFonts w:ascii="Arial" w:hAnsi="Arial" w:cs="Arial"/>
                      <w:sz w:val="20"/>
                    </w:rPr>
                    <w:t>Annual</w:t>
                  </w:r>
                </w:p>
              </w:tc>
            </w:tr>
          </w:tbl>
          <w:p w14:paraId="0F68AEB9" w14:textId="77777777" w:rsidR="00557096" w:rsidRPr="0077725E" w:rsidRDefault="00557096" w:rsidP="00557096">
            <w:pPr>
              <w:spacing w:after="0"/>
              <w:rPr>
                <w:rFonts w:ascii="Arial" w:hAnsi="Arial" w:cs="Arial"/>
                <w:b/>
                <w:sz w:val="28"/>
                <w:szCs w:val="28"/>
              </w:rPr>
            </w:pPr>
          </w:p>
          <w:p w14:paraId="3E03A7B4" w14:textId="77777777" w:rsidR="00557096" w:rsidRPr="00055807" w:rsidRDefault="00557096" w:rsidP="00557096">
            <w:pPr>
              <w:spacing w:after="0"/>
              <w:rPr>
                <w:rFonts w:ascii="Arial" w:hAnsi="Arial" w:cs="Arial"/>
                <w:b/>
                <w:i/>
                <w:szCs w:val="24"/>
              </w:rPr>
            </w:pPr>
            <w:r w:rsidRPr="00055807">
              <w:rPr>
                <w:rFonts w:ascii="Arial" w:hAnsi="Arial" w:cs="Arial"/>
                <w:b/>
                <w:i/>
                <w:szCs w:val="24"/>
              </w:rPr>
              <w:t>Surveillance</w:t>
            </w:r>
          </w:p>
          <w:p w14:paraId="2D457C95" w14:textId="77777777" w:rsidR="00557096" w:rsidRPr="00E40D69" w:rsidRDefault="00557096" w:rsidP="00557096">
            <w:pPr>
              <w:spacing w:after="0"/>
              <w:ind w:firstLine="720"/>
              <w:rPr>
                <w:rFonts w:ascii="Arial" w:hAnsi="Arial" w:cs="Arial"/>
                <w:szCs w:val="24"/>
              </w:rPr>
            </w:pPr>
          </w:p>
          <w:p w14:paraId="5DC931F3" w14:textId="1D7B9FB0" w:rsidR="00557096" w:rsidRPr="00E40D69" w:rsidRDefault="00557096" w:rsidP="00557096">
            <w:pPr>
              <w:spacing w:after="0"/>
              <w:rPr>
                <w:rFonts w:ascii="Arial" w:hAnsi="Arial" w:cs="Arial"/>
                <w:szCs w:val="24"/>
              </w:rPr>
            </w:pPr>
            <w:r w:rsidRPr="00E40D69">
              <w:rPr>
                <w:rFonts w:ascii="Arial" w:hAnsi="Arial" w:cs="Arial"/>
                <w:szCs w:val="24"/>
              </w:rPr>
              <w:t xml:space="preserve">PHE aim to set up a surveillance system during the evaluative period where real time learning can occur about NIPT tests that do not produce a result- no result and inconclusive or indeterminate results. Inconclusive or indeterminate results happens when the result is in a middle range which is neither positive nor negative. The rate of indeterminate results was found to range from 0 to 11%. The Warwick evidence review estimated that offering NIPT as a second stage screening test following combined screening would result in 385 initial test failures. These no results and inconclusive results potentially delay the screening pathway and we would need to understand the extent and impact of this on women. </w:t>
            </w:r>
          </w:p>
          <w:p w14:paraId="0A8E1E9B" w14:textId="77777777" w:rsidR="00557096" w:rsidRPr="00E40D69" w:rsidRDefault="00557096" w:rsidP="00557096">
            <w:pPr>
              <w:spacing w:after="0"/>
              <w:rPr>
                <w:rFonts w:ascii="Arial" w:hAnsi="Arial" w:cs="Arial"/>
                <w:szCs w:val="24"/>
              </w:rPr>
            </w:pPr>
          </w:p>
          <w:p w14:paraId="0938E64C" w14:textId="77777777" w:rsidR="00557096" w:rsidRPr="00E40D69" w:rsidRDefault="00557096" w:rsidP="00557096">
            <w:pPr>
              <w:spacing w:after="0"/>
              <w:rPr>
                <w:rFonts w:ascii="Arial" w:hAnsi="Arial" w:cs="Arial"/>
                <w:szCs w:val="24"/>
              </w:rPr>
            </w:pPr>
          </w:p>
          <w:p w14:paraId="66E797BF" w14:textId="77777777" w:rsidR="00557096" w:rsidRPr="00E40D69" w:rsidRDefault="00557096" w:rsidP="00557096">
            <w:pPr>
              <w:spacing w:after="0"/>
              <w:rPr>
                <w:rFonts w:ascii="Arial" w:hAnsi="Arial" w:cs="Arial"/>
                <w:szCs w:val="24"/>
              </w:rPr>
            </w:pPr>
            <w:r w:rsidRPr="00E40D69">
              <w:rPr>
                <w:rFonts w:ascii="Arial" w:hAnsi="Arial" w:cs="Arial"/>
                <w:szCs w:val="24"/>
              </w:rPr>
              <w:t>Getting a ‘no result’ can occur at any stage of the following process</w:t>
            </w:r>
          </w:p>
          <w:p w14:paraId="5DB565AF" w14:textId="77777777" w:rsidR="00557096" w:rsidRPr="00E40D69" w:rsidRDefault="00557096" w:rsidP="00557096">
            <w:pPr>
              <w:spacing w:after="0"/>
              <w:rPr>
                <w:rFonts w:ascii="Arial" w:hAnsi="Arial" w:cs="Arial"/>
                <w:szCs w:val="24"/>
              </w:rPr>
            </w:pPr>
            <w:r w:rsidRPr="00E40D69">
              <w:rPr>
                <w:rFonts w:ascii="Arial" w:hAnsi="Arial" w:cs="Arial"/>
                <w:noProof/>
                <w:szCs w:val="24"/>
                <w:lang w:eastAsia="en-GB"/>
              </w:rPr>
              <w:lastRenderedPageBreak/>
              <w:drawing>
                <wp:inline distT="0" distB="0" distL="0" distR="0" wp14:anchorId="6A3AEB92" wp14:editId="716C3C6B">
                  <wp:extent cx="5038725" cy="685800"/>
                  <wp:effectExtent l="19050" t="0" r="9525"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30AC89D" w14:textId="77777777" w:rsidR="00557096" w:rsidRPr="00E40D69" w:rsidRDefault="00557096" w:rsidP="00557096">
            <w:pPr>
              <w:pStyle w:val="ListParagraph"/>
              <w:numPr>
                <w:ilvl w:val="0"/>
                <w:numId w:val="51"/>
              </w:numPr>
              <w:contextualSpacing/>
              <w:rPr>
                <w:rFonts w:ascii="Arial" w:hAnsi="Arial" w:cs="Arial"/>
              </w:rPr>
            </w:pPr>
            <w:r w:rsidRPr="00E40D69">
              <w:rPr>
                <w:rFonts w:ascii="Arial" w:hAnsi="Arial" w:cs="Arial"/>
              </w:rPr>
              <w:t>problems with sample collection (inadequate blood volume, haemolysis, incorrect labelling) or transportation (delayed arrival of sample in laboratory) [estimated rate of 0.03 to 11.1%]</w:t>
            </w:r>
          </w:p>
          <w:p w14:paraId="1FBEE0F1" w14:textId="77777777" w:rsidR="00557096" w:rsidRPr="00E40D69" w:rsidRDefault="00557096" w:rsidP="00557096">
            <w:pPr>
              <w:pStyle w:val="ListParagraph"/>
              <w:numPr>
                <w:ilvl w:val="0"/>
                <w:numId w:val="51"/>
              </w:numPr>
              <w:contextualSpacing/>
              <w:rPr>
                <w:rFonts w:ascii="Arial" w:hAnsi="Arial" w:cs="Arial"/>
              </w:rPr>
            </w:pPr>
            <w:r w:rsidRPr="00E40D69">
              <w:rPr>
                <w:rFonts w:ascii="Arial" w:hAnsi="Arial" w:cs="Arial"/>
              </w:rPr>
              <w:t xml:space="preserve">low </w:t>
            </w:r>
            <w:proofErr w:type="spellStart"/>
            <w:r w:rsidRPr="00E40D69">
              <w:rPr>
                <w:rFonts w:ascii="Arial" w:hAnsi="Arial" w:cs="Arial"/>
              </w:rPr>
              <w:t>fetal</w:t>
            </w:r>
            <w:proofErr w:type="spellEnd"/>
            <w:r w:rsidRPr="00E40D69">
              <w:rPr>
                <w:rFonts w:ascii="Arial" w:hAnsi="Arial" w:cs="Arial"/>
              </w:rPr>
              <w:t xml:space="preserve"> fraction -usually below 4% [estimated rate of 0.5 to 6.1%]</w:t>
            </w:r>
          </w:p>
          <w:p w14:paraId="78C82FF9" w14:textId="77777777" w:rsidR="00557096" w:rsidRPr="00E40D69" w:rsidRDefault="00557096" w:rsidP="00557096">
            <w:pPr>
              <w:ind w:left="720"/>
              <w:rPr>
                <w:rFonts w:ascii="Arial" w:hAnsi="Arial" w:cs="Arial"/>
                <w:szCs w:val="24"/>
              </w:rPr>
            </w:pPr>
            <w:r w:rsidRPr="00E40D69">
              <w:rPr>
                <w:rFonts w:ascii="Arial" w:hAnsi="Arial" w:cs="Arial"/>
                <w:szCs w:val="24"/>
              </w:rPr>
              <w:t>assay failure for a variety of reasons- failure at DNA extraction, amplification or sequencing [estimated rate of 0 to 12.2%]</w:t>
            </w:r>
          </w:p>
          <w:p w14:paraId="32E56D07" w14:textId="77777777" w:rsidR="00557096" w:rsidRPr="00E40D69" w:rsidRDefault="00557096" w:rsidP="00557096">
            <w:pPr>
              <w:rPr>
                <w:rFonts w:ascii="Arial" w:hAnsi="Arial" w:cs="Arial"/>
                <w:b/>
                <w:szCs w:val="24"/>
              </w:rPr>
            </w:pPr>
          </w:p>
          <w:p w14:paraId="26946BE7" w14:textId="77777777" w:rsidR="00557096" w:rsidRPr="00E40D69" w:rsidRDefault="00557096" w:rsidP="00557096">
            <w:pPr>
              <w:rPr>
                <w:rFonts w:ascii="Arial" w:hAnsi="Arial" w:cs="Arial"/>
                <w:b/>
                <w:szCs w:val="24"/>
              </w:rPr>
            </w:pPr>
            <w:r w:rsidRPr="00E40D69">
              <w:rPr>
                <w:rFonts w:ascii="Arial" w:hAnsi="Arial" w:cs="Arial"/>
                <w:b/>
                <w:szCs w:val="24"/>
              </w:rPr>
              <w:t>No result NIPT pathway</w:t>
            </w:r>
          </w:p>
          <w:p w14:paraId="26FC45E6" w14:textId="2855DA1F" w:rsidR="00557096" w:rsidRPr="00E40D69" w:rsidRDefault="00557096" w:rsidP="00557096">
            <w:pPr>
              <w:rPr>
                <w:rFonts w:ascii="Arial" w:hAnsi="Arial" w:cs="Arial"/>
                <w:szCs w:val="24"/>
              </w:rPr>
            </w:pPr>
            <w:r w:rsidRPr="00E40D69">
              <w:rPr>
                <w:rFonts w:ascii="Arial" w:hAnsi="Arial" w:cs="Arial"/>
                <w:szCs w:val="24"/>
              </w:rPr>
              <w:t xml:space="preserve">PHE aim to collect information regarding the above steps, how these are managed in the laboratory, whether rates are technology dependent or not, by how long does a no result extend the pathway for the woman and how do factors like gestational age, BMI and a fetus with a confirmed trisomy contribute to no results. This will require matching each no result with pregnancy outcomes. Genomic laboratories would report no result cases to PHE screening via the NCARDRS process using a web-based portal. For this surveillance arm we require monthly reporting. </w:t>
            </w:r>
          </w:p>
          <w:p w14:paraId="37125F3F" w14:textId="00207F70" w:rsidR="00557096" w:rsidRPr="00E40D69" w:rsidRDefault="00557096" w:rsidP="00557096">
            <w:pPr>
              <w:rPr>
                <w:rFonts w:ascii="Arial" w:hAnsi="Arial" w:cs="Arial"/>
                <w:i/>
                <w:szCs w:val="24"/>
              </w:rPr>
            </w:pPr>
            <w:r w:rsidRPr="00E40D69">
              <w:rPr>
                <w:rFonts w:ascii="Arial" w:hAnsi="Arial" w:cs="Arial"/>
                <w:b/>
                <w:szCs w:val="24"/>
              </w:rPr>
              <w:t>Data fields required for reporting on surveillance</w:t>
            </w:r>
            <w:r w:rsidRPr="00E40D69">
              <w:rPr>
                <w:rFonts w:ascii="Arial" w:hAnsi="Arial" w:cs="Arial"/>
                <w:szCs w:val="24"/>
              </w:rPr>
              <w:t xml:space="preserve"> </w:t>
            </w:r>
            <w:r w:rsidRPr="00E40D69">
              <w:rPr>
                <w:rFonts w:ascii="Arial" w:hAnsi="Arial" w:cs="Arial"/>
                <w:i/>
                <w:szCs w:val="24"/>
              </w:rPr>
              <w:t>(this would be in the form of a drop-down menu)</w:t>
            </w:r>
          </w:p>
          <w:tbl>
            <w:tblPr>
              <w:tblW w:w="5000" w:type="pct"/>
              <w:tblLook w:val="04A0" w:firstRow="1" w:lastRow="0" w:firstColumn="1" w:lastColumn="0" w:noHBand="0" w:noVBand="1"/>
            </w:tblPr>
            <w:tblGrid>
              <w:gridCol w:w="2380"/>
              <w:gridCol w:w="1104"/>
              <w:gridCol w:w="3010"/>
              <w:gridCol w:w="1532"/>
              <w:gridCol w:w="374"/>
              <w:gridCol w:w="8"/>
              <w:gridCol w:w="15"/>
              <w:gridCol w:w="372"/>
            </w:tblGrid>
            <w:tr w:rsidR="00557096" w:rsidRPr="00055807" w14:paraId="422F0167" w14:textId="77777777" w:rsidTr="0015368B">
              <w:trPr>
                <w:trHeight w:val="300"/>
              </w:trPr>
              <w:tc>
                <w:tcPr>
                  <w:tcW w:w="1362" w:type="pct"/>
                  <w:tcBorders>
                    <w:top w:val="single" w:sz="4" w:space="0" w:color="auto"/>
                    <w:left w:val="single" w:sz="4" w:space="0" w:color="auto"/>
                    <w:bottom w:val="single" w:sz="4" w:space="0" w:color="auto"/>
                    <w:right w:val="single" w:sz="4" w:space="0" w:color="auto"/>
                  </w:tcBorders>
                  <w:shd w:val="clear" w:color="auto" w:fill="auto"/>
                  <w:noWrap/>
                  <w:hideMark/>
                </w:tcPr>
                <w:p w14:paraId="56DCD3CB"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Case identifier</w:t>
                  </w:r>
                </w:p>
              </w:tc>
              <w:tc>
                <w:tcPr>
                  <w:tcW w:w="613" w:type="pct"/>
                  <w:tcBorders>
                    <w:top w:val="nil"/>
                    <w:left w:val="nil"/>
                    <w:bottom w:val="nil"/>
                    <w:right w:val="nil"/>
                  </w:tcBorders>
                  <w:shd w:val="clear" w:color="auto" w:fill="auto"/>
                  <w:noWrap/>
                  <w:hideMark/>
                </w:tcPr>
                <w:p w14:paraId="70B5FFC4"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nil"/>
                    <w:right w:val="nil"/>
                  </w:tcBorders>
                  <w:shd w:val="clear" w:color="auto" w:fill="auto"/>
                  <w:noWrap/>
                  <w:hideMark/>
                </w:tcPr>
                <w:p w14:paraId="1121E70F" w14:textId="77777777" w:rsidR="00557096" w:rsidRPr="00055807" w:rsidRDefault="00557096" w:rsidP="00557096">
                  <w:pPr>
                    <w:spacing w:after="0"/>
                    <w:rPr>
                      <w:rFonts w:ascii="Arial" w:eastAsia="Times New Roman" w:hAnsi="Arial" w:cs="Arial"/>
                      <w:sz w:val="20"/>
                      <w:lang w:eastAsia="en-GB"/>
                    </w:rPr>
                  </w:pPr>
                </w:p>
              </w:tc>
              <w:tc>
                <w:tcPr>
                  <w:tcW w:w="876" w:type="pct"/>
                  <w:tcBorders>
                    <w:top w:val="nil"/>
                    <w:left w:val="nil"/>
                    <w:bottom w:val="nil"/>
                    <w:right w:val="nil"/>
                  </w:tcBorders>
                  <w:shd w:val="clear" w:color="auto" w:fill="auto"/>
                  <w:noWrap/>
                  <w:hideMark/>
                </w:tcPr>
                <w:p w14:paraId="5CA9F0CE" w14:textId="77777777" w:rsidR="00557096" w:rsidRPr="00055807" w:rsidRDefault="00557096" w:rsidP="00557096">
                  <w:pPr>
                    <w:spacing w:after="0"/>
                    <w:rPr>
                      <w:rFonts w:ascii="Arial" w:eastAsia="Times New Roman" w:hAnsi="Arial" w:cs="Arial"/>
                      <w:sz w:val="20"/>
                      <w:lang w:eastAsia="en-GB"/>
                    </w:rPr>
                  </w:pPr>
                </w:p>
              </w:tc>
              <w:tc>
                <w:tcPr>
                  <w:tcW w:w="431" w:type="pct"/>
                  <w:gridSpan w:val="4"/>
                  <w:tcBorders>
                    <w:top w:val="nil"/>
                    <w:left w:val="nil"/>
                    <w:bottom w:val="nil"/>
                    <w:right w:val="nil"/>
                  </w:tcBorders>
                  <w:shd w:val="clear" w:color="auto" w:fill="auto"/>
                  <w:noWrap/>
                  <w:hideMark/>
                </w:tcPr>
                <w:p w14:paraId="7E87FE2D" w14:textId="77777777" w:rsidR="00557096" w:rsidRPr="00055807" w:rsidRDefault="00557096" w:rsidP="00557096">
                  <w:pPr>
                    <w:spacing w:after="0"/>
                    <w:rPr>
                      <w:rFonts w:ascii="Arial" w:eastAsia="Times New Roman" w:hAnsi="Arial" w:cs="Arial"/>
                      <w:sz w:val="20"/>
                      <w:lang w:eastAsia="en-GB"/>
                    </w:rPr>
                  </w:pPr>
                </w:p>
              </w:tc>
            </w:tr>
            <w:tr w:rsidR="00557096" w:rsidRPr="00055807" w14:paraId="265CC670" w14:textId="77777777" w:rsidTr="0015368B">
              <w:trPr>
                <w:trHeight w:val="300"/>
              </w:trPr>
              <w:tc>
                <w:tcPr>
                  <w:tcW w:w="1362" w:type="pct"/>
                  <w:tcBorders>
                    <w:top w:val="nil"/>
                    <w:left w:val="single" w:sz="4" w:space="0" w:color="auto"/>
                    <w:bottom w:val="single" w:sz="4" w:space="0" w:color="auto"/>
                    <w:right w:val="single" w:sz="4" w:space="0" w:color="auto"/>
                  </w:tcBorders>
                  <w:shd w:val="clear" w:color="auto" w:fill="auto"/>
                  <w:noWrap/>
                  <w:hideMark/>
                </w:tcPr>
                <w:p w14:paraId="2055AC67"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Maternal BMI</w:t>
                  </w:r>
                </w:p>
              </w:tc>
              <w:tc>
                <w:tcPr>
                  <w:tcW w:w="613" w:type="pct"/>
                  <w:tcBorders>
                    <w:top w:val="nil"/>
                    <w:left w:val="nil"/>
                    <w:bottom w:val="nil"/>
                    <w:right w:val="nil"/>
                  </w:tcBorders>
                  <w:shd w:val="clear" w:color="auto" w:fill="auto"/>
                  <w:noWrap/>
                  <w:hideMark/>
                </w:tcPr>
                <w:p w14:paraId="11C3B90C"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nil"/>
                    <w:right w:val="nil"/>
                  </w:tcBorders>
                  <w:shd w:val="clear" w:color="auto" w:fill="auto"/>
                  <w:noWrap/>
                  <w:hideMark/>
                </w:tcPr>
                <w:p w14:paraId="1C9EBBBB" w14:textId="77777777" w:rsidR="00557096" w:rsidRPr="00055807" w:rsidRDefault="00557096" w:rsidP="00557096">
                  <w:pPr>
                    <w:spacing w:after="0"/>
                    <w:rPr>
                      <w:rFonts w:ascii="Arial" w:eastAsia="Times New Roman" w:hAnsi="Arial" w:cs="Arial"/>
                      <w:sz w:val="20"/>
                      <w:lang w:eastAsia="en-GB"/>
                    </w:rPr>
                  </w:pPr>
                </w:p>
              </w:tc>
              <w:tc>
                <w:tcPr>
                  <w:tcW w:w="876" w:type="pct"/>
                  <w:tcBorders>
                    <w:top w:val="nil"/>
                    <w:left w:val="nil"/>
                    <w:bottom w:val="nil"/>
                    <w:right w:val="nil"/>
                  </w:tcBorders>
                  <w:shd w:val="clear" w:color="auto" w:fill="auto"/>
                  <w:noWrap/>
                  <w:hideMark/>
                </w:tcPr>
                <w:p w14:paraId="1094BB85" w14:textId="77777777" w:rsidR="00557096" w:rsidRPr="00055807" w:rsidRDefault="00557096" w:rsidP="00557096">
                  <w:pPr>
                    <w:spacing w:after="0"/>
                    <w:rPr>
                      <w:rFonts w:ascii="Arial" w:eastAsia="Times New Roman" w:hAnsi="Arial" w:cs="Arial"/>
                      <w:sz w:val="20"/>
                      <w:lang w:eastAsia="en-GB"/>
                    </w:rPr>
                  </w:pPr>
                </w:p>
              </w:tc>
              <w:tc>
                <w:tcPr>
                  <w:tcW w:w="431" w:type="pct"/>
                  <w:gridSpan w:val="4"/>
                  <w:tcBorders>
                    <w:top w:val="nil"/>
                    <w:left w:val="nil"/>
                    <w:bottom w:val="nil"/>
                    <w:right w:val="nil"/>
                  </w:tcBorders>
                  <w:shd w:val="clear" w:color="auto" w:fill="auto"/>
                  <w:noWrap/>
                  <w:hideMark/>
                </w:tcPr>
                <w:p w14:paraId="34EA94D7" w14:textId="77777777" w:rsidR="00557096" w:rsidRPr="00055807" w:rsidRDefault="00557096" w:rsidP="00557096">
                  <w:pPr>
                    <w:spacing w:after="0"/>
                    <w:rPr>
                      <w:rFonts w:ascii="Arial" w:eastAsia="Times New Roman" w:hAnsi="Arial" w:cs="Arial"/>
                      <w:sz w:val="20"/>
                      <w:lang w:eastAsia="en-GB"/>
                    </w:rPr>
                  </w:pPr>
                </w:p>
              </w:tc>
            </w:tr>
            <w:tr w:rsidR="00557096" w:rsidRPr="00055807" w14:paraId="51AB2CE8" w14:textId="77777777" w:rsidTr="0015368B">
              <w:trPr>
                <w:trHeight w:val="300"/>
              </w:trPr>
              <w:tc>
                <w:tcPr>
                  <w:tcW w:w="1362" w:type="pct"/>
                  <w:tcBorders>
                    <w:top w:val="nil"/>
                    <w:left w:val="nil"/>
                    <w:bottom w:val="nil"/>
                    <w:right w:val="nil"/>
                  </w:tcBorders>
                  <w:shd w:val="clear" w:color="auto" w:fill="auto"/>
                  <w:noWrap/>
                  <w:hideMark/>
                </w:tcPr>
                <w:p w14:paraId="5035715B" w14:textId="77777777" w:rsidR="00557096" w:rsidRPr="00055807" w:rsidRDefault="00557096" w:rsidP="00557096">
                  <w:pPr>
                    <w:spacing w:after="0"/>
                    <w:rPr>
                      <w:rFonts w:ascii="Arial" w:eastAsia="Times New Roman" w:hAnsi="Arial" w:cs="Arial"/>
                      <w:sz w:val="20"/>
                      <w:lang w:eastAsia="en-GB"/>
                    </w:rPr>
                  </w:pPr>
                </w:p>
              </w:tc>
              <w:tc>
                <w:tcPr>
                  <w:tcW w:w="613" w:type="pct"/>
                  <w:tcBorders>
                    <w:top w:val="nil"/>
                    <w:left w:val="nil"/>
                    <w:bottom w:val="nil"/>
                    <w:right w:val="nil"/>
                  </w:tcBorders>
                  <w:shd w:val="clear" w:color="auto" w:fill="auto"/>
                  <w:noWrap/>
                  <w:hideMark/>
                </w:tcPr>
                <w:p w14:paraId="2D4A9284" w14:textId="77777777" w:rsidR="00557096" w:rsidRPr="00055807" w:rsidRDefault="00557096" w:rsidP="00557096">
                  <w:pPr>
                    <w:spacing w:after="0"/>
                    <w:rPr>
                      <w:rFonts w:ascii="Arial" w:eastAsia="Times New Roman" w:hAnsi="Arial" w:cs="Arial"/>
                      <w:sz w:val="20"/>
                      <w:lang w:eastAsia="en-GB"/>
                    </w:rPr>
                  </w:pPr>
                </w:p>
              </w:tc>
              <w:tc>
                <w:tcPr>
                  <w:tcW w:w="1718" w:type="pct"/>
                  <w:tcBorders>
                    <w:top w:val="nil"/>
                    <w:left w:val="nil"/>
                    <w:bottom w:val="nil"/>
                    <w:right w:val="nil"/>
                  </w:tcBorders>
                  <w:shd w:val="clear" w:color="auto" w:fill="auto"/>
                  <w:noWrap/>
                  <w:hideMark/>
                </w:tcPr>
                <w:p w14:paraId="20E39F5B" w14:textId="77777777" w:rsidR="00557096" w:rsidRPr="00055807" w:rsidRDefault="00557096" w:rsidP="00557096">
                  <w:pPr>
                    <w:spacing w:after="0"/>
                    <w:rPr>
                      <w:rFonts w:ascii="Arial" w:eastAsia="Times New Roman" w:hAnsi="Arial" w:cs="Arial"/>
                      <w:sz w:val="20"/>
                      <w:lang w:eastAsia="en-GB"/>
                    </w:rPr>
                  </w:pPr>
                </w:p>
              </w:tc>
              <w:tc>
                <w:tcPr>
                  <w:tcW w:w="876" w:type="pct"/>
                  <w:tcBorders>
                    <w:top w:val="nil"/>
                    <w:left w:val="nil"/>
                    <w:bottom w:val="nil"/>
                    <w:right w:val="nil"/>
                  </w:tcBorders>
                  <w:shd w:val="clear" w:color="auto" w:fill="auto"/>
                  <w:noWrap/>
                  <w:hideMark/>
                </w:tcPr>
                <w:p w14:paraId="576531E3" w14:textId="77777777" w:rsidR="00557096" w:rsidRPr="00055807" w:rsidRDefault="00557096" w:rsidP="00557096">
                  <w:pPr>
                    <w:spacing w:after="0"/>
                    <w:rPr>
                      <w:rFonts w:ascii="Arial" w:eastAsia="Times New Roman" w:hAnsi="Arial" w:cs="Arial"/>
                      <w:sz w:val="20"/>
                      <w:lang w:eastAsia="en-GB"/>
                    </w:rPr>
                  </w:pPr>
                </w:p>
              </w:tc>
              <w:tc>
                <w:tcPr>
                  <w:tcW w:w="431" w:type="pct"/>
                  <w:gridSpan w:val="4"/>
                  <w:tcBorders>
                    <w:top w:val="nil"/>
                    <w:left w:val="nil"/>
                    <w:bottom w:val="nil"/>
                    <w:right w:val="nil"/>
                  </w:tcBorders>
                  <w:shd w:val="clear" w:color="auto" w:fill="auto"/>
                  <w:noWrap/>
                  <w:hideMark/>
                </w:tcPr>
                <w:p w14:paraId="6037A469" w14:textId="77777777" w:rsidR="00557096" w:rsidRPr="00055807" w:rsidRDefault="00557096" w:rsidP="00557096">
                  <w:pPr>
                    <w:spacing w:after="0"/>
                    <w:rPr>
                      <w:rFonts w:ascii="Arial" w:eastAsia="Times New Roman" w:hAnsi="Arial" w:cs="Arial"/>
                      <w:sz w:val="20"/>
                      <w:lang w:eastAsia="en-GB"/>
                    </w:rPr>
                  </w:pPr>
                </w:p>
              </w:tc>
            </w:tr>
            <w:tr w:rsidR="00557096" w:rsidRPr="00055807" w14:paraId="17BC27E2" w14:textId="77777777" w:rsidTr="0015368B">
              <w:trPr>
                <w:trHeight w:val="300"/>
              </w:trPr>
              <w:tc>
                <w:tcPr>
                  <w:tcW w:w="136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EE6952D"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NIPT no result/indeterminate result</w:t>
                  </w:r>
                </w:p>
              </w:tc>
              <w:tc>
                <w:tcPr>
                  <w:tcW w:w="613" w:type="pct"/>
                  <w:vMerge w:val="restart"/>
                  <w:tcBorders>
                    <w:top w:val="single" w:sz="4" w:space="0" w:color="auto"/>
                    <w:left w:val="nil"/>
                    <w:bottom w:val="single" w:sz="4" w:space="0" w:color="auto"/>
                    <w:right w:val="single" w:sz="4" w:space="0" w:color="auto"/>
                  </w:tcBorders>
                  <w:shd w:val="clear" w:color="auto" w:fill="auto"/>
                  <w:hideMark/>
                </w:tcPr>
                <w:p w14:paraId="5EF5B178"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1st NIPT sample (need gestational age at sampling)</w:t>
                  </w:r>
                </w:p>
              </w:tc>
              <w:tc>
                <w:tcPr>
                  <w:tcW w:w="1718" w:type="pct"/>
                  <w:tcBorders>
                    <w:top w:val="single" w:sz="4" w:space="0" w:color="auto"/>
                    <w:left w:val="nil"/>
                    <w:bottom w:val="single" w:sz="4" w:space="0" w:color="auto"/>
                    <w:right w:val="single" w:sz="4" w:space="0" w:color="auto"/>
                  </w:tcBorders>
                  <w:shd w:val="clear" w:color="auto" w:fill="auto"/>
                  <w:noWrap/>
                  <w:hideMark/>
                </w:tcPr>
                <w:p w14:paraId="12A6256F"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2nd NIPT sample</w:t>
                  </w:r>
                </w:p>
              </w:tc>
              <w:tc>
                <w:tcPr>
                  <w:tcW w:w="876" w:type="pct"/>
                  <w:tcBorders>
                    <w:top w:val="nil"/>
                    <w:left w:val="nil"/>
                    <w:bottom w:val="nil"/>
                    <w:right w:val="nil"/>
                  </w:tcBorders>
                  <w:shd w:val="clear" w:color="auto" w:fill="auto"/>
                  <w:noWrap/>
                  <w:hideMark/>
                </w:tcPr>
                <w:p w14:paraId="0AF6C8D4" w14:textId="77777777" w:rsidR="00557096" w:rsidRPr="00055807" w:rsidRDefault="00557096" w:rsidP="00557096">
                  <w:pPr>
                    <w:spacing w:after="0"/>
                    <w:rPr>
                      <w:rFonts w:ascii="Arial" w:eastAsia="Times New Roman" w:hAnsi="Arial" w:cs="Arial"/>
                      <w:color w:val="000000"/>
                      <w:sz w:val="20"/>
                      <w:lang w:eastAsia="en-GB"/>
                    </w:rPr>
                  </w:pPr>
                </w:p>
              </w:tc>
              <w:tc>
                <w:tcPr>
                  <w:tcW w:w="431" w:type="pct"/>
                  <w:gridSpan w:val="4"/>
                  <w:tcBorders>
                    <w:top w:val="nil"/>
                    <w:left w:val="nil"/>
                    <w:bottom w:val="nil"/>
                    <w:right w:val="nil"/>
                  </w:tcBorders>
                  <w:shd w:val="clear" w:color="auto" w:fill="auto"/>
                  <w:noWrap/>
                  <w:hideMark/>
                </w:tcPr>
                <w:p w14:paraId="388314A7" w14:textId="77777777" w:rsidR="00557096" w:rsidRPr="00055807" w:rsidRDefault="00557096" w:rsidP="00557096">
                  <w:pPr>
                    <w:spacing w:after="0"/>
                    <w:rPr>
                      <w:rFonts w:ascii="Arial" w:eastAsia="Times New Roman" w:hAnsi="Arial" w:cs="Arial"/>
                      <w:sz w:val="20"/>
                      <w:lang w:eastAsia="en-GB"/>
                    </w:rPr>
                  </w:pPr>
                </w:p>
              </w:tc>
            </w:tr>
            <w:tr w:rsidR="00557096" w:rsidRPr="00055807" w14:paraId="0D0BFFE5"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2852BB15"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auto"/>
                    <w:right w:val="single" w:sz="4" w:space="0" w:color="auto"/>
                  </w:tcBorders>
                  <w:vAlign w:val="center"/>
                  <w:hideMark/>
                </w:tcPr>
                <w:p w14:paraId="08DFCE07"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noWrap/>
                  <w:hideMark/>
                </w:tcPr>
                <w:p w14:paraId="0CEF9B44"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IPD</w:t>
                  </w:r>
                </w:p>
              </w:tc>
              <w:tc>
                <w:tcPr>
                  <w:tcW w:w="876" w:type="pct"/>
                  <w:tcBorders>
                    <w:top w:val="nil"/>
                    <w:left w:val="nil"/>
                    <w:bottom w:val="nil"/>
                    <w:right w:val="nil"/>
                  </w:tcBorders>
                  <w:shd w:val="clear" w:color="auto" w:fill="auto"/>
                  <w:noWrap/>
                  <w:hideMark/>
                </w:tcPr>
                <w:p w14:paraId="5F24466F" w14:textId="77777777" w:rsidR="00557096" w:rsidRPr="00055807" w:rsidRDefault="00557096" w:rsidP="00557096">
                  <w:pPr>
                    <w:spacing w:after="0"/>
                    <w:rPr>
                      <w:rFonts w:ascii="Arial" w:eastAsia="Times New Roman" w:hAnsi="Arial" w:cs="Arial"/>
                      <w:color w:val="000000"/>
                      <w:sz w:val="20"/>
                      <w:lang w:eastAsia="en-GB"/>
                    </w:rPr>
                  </w:pPr>
                </w:p>
              </w:tc>
              <w:tc>
                <w:tcPr>
                  <w:tcW w:w="431" w:type="pct"/>
                  <w:gridSpan w:val="4"/>
                  <w:tcBorders>
                    <w:top w:val="nil"/>
                    <w:left w:val="nil"/>
                    <w:bottom w:val="nil"/>
                    <w:right w:val="nil"/>
                  </w:tcBorders>
                  <w:shd w:val="clear" w:color="auto" w:fill="auto"/>
                  <w:noWrap/>
                  <w:hideMark/>
                </w:tcPr>
                <w:p w14:paraId="0DAEFC26" w14:textId="77777777" w:rsidR="00557096" w:rsidRPr="00055807" w:rsidRDefault="00557096" w:rsidP="00557096">
                  <w:pPr>
                    <w:spacing w:after="0"/>
                    <w:rPr>
                      <w:rFonts w:ascii="Arial" w:eastAsia="Times New Roman" w:hAnsi="Arial" w:cs="Arial"/>
                      <w:sz w:val="20"/>
                      <w:lang w:eastAsia="en-GB"/>
                    </w:rPr>
                  </w:pPr>
                </w:p>
              </w:tc>
            </w:tr>
            <w:tr w:rsidR="00557096" w:rsidRPr="00055807" w14:paraId="213E7666"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2064AF9D"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auto"/>
                    <w:right w:val="single" w:sz="4" w:space="0" w:color="auto"/>
                  </w:tcBorders>
                  <w:vAlign w:val="center"/>
                  <w:hideMark/>
                </w:tcPr>
                <w:p w14:paraId="51B1CF15"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noWrap/>
                  <w:hideMark/>
                </w:tcPr>
                <w:p w14:paraId="2D62498C"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 xml:space="preserve">No further testing </w:t>
                  </w:r>
                </w:p>
              </w:tc>
              <w:tc>
                <w:tcPr>
                  <w:tcW w:w="876" w:type="pct"/>
                  <w:tcBorders>
                    <w:top w:val="nil"/>
                    <w:left w:val="nil"/>
                    <w:bottom w:val="nil"/>
                    <w:right w:val="nil"/>
                  </w:tcBorders>
                  <w:shd w:val="clear" w:color="auto" w:fill="auto"/>
                  <w:noWrap/>
                  <w:hideMark/>
                </w:tcPr>
                <w:p w14:paraId="2EAC4F6F" w14:textId="77777777" w:rsidR="00557096" w:rsidRPr="00055807" w:rsidRDefault="00557096" w:rsidP="00557096">
                  <w:pPr>
                    <w:spacing w:after="0"/>
                    <w:rPr>
                      <w:rFonts w:ascii="Arial" w:eastAsia="Times New Roman" w:hAnsi="Arial" w:cs="Arial"/>
                      <w:color w:val="000000"/>
                      <w:sz w:val="20"/>
                      <w:lang w:eastAsia="en-GB"/>
                    </w:rPr>
                  </w:pPr>
                </w:p>
              </w:tc>
              <w:tc>
                <w:tcPr>
                  <w:tcW w:w="431" w:type="pct"/>
                  <w:gridSpan w:val="4"/>
                  <w:tcBorders>
                    <w:top w:val="nil"/>
                    <w:left w:val="nil"/>
                    <w:bottom w:val="nil"/>
                    <w:right w:val="nil"/>
                  </w:tcBorders>
                  <w:shd w:val="clear" w:color="auto" w:fill="auto"/>
                  <w:noWrap/>
                  <w:hideMark/>
                </w:tcPr>
                <w:p w14:paraId="23702B6B" w14:textId="77777777" w:rsidR="00557096" w:rsidRPr="00055807" w:rsidRDefault="00557096" w:rsidP="00557096">
                  <w:pPr>
                    <w:spacing w:after="0"/>
                    <w:rPr>
                      <w:rFonts w:ascii="Arial" w:eastAsia="Times New Roman" w:hAnsi="Arial" w:cs="Arial"/>
                      <w:sz w:val="20"/>
                      <w:lang w:eastAsia="en-GB"/>
                    </w:rPr>
                  </w:pPr>
                </w:p>
              </w:tc>
            </w:tr>
            <w:tr w:rsidR="00557096" w:rsidRPr="00055807" w14:paraId="0D3ADC1B"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7450E850" w14:textId="77777777" w:rsidR="00557096" w:rsidRPr="00055807" w:rsidRDefault="00557096" w:rsidP="00557096">
                  <w:pPr>
                    <w:spacing w:after="0"/>
                    <w:rPr>
                      <w:rFonts w:ascii="Arial" w:eastAsia="Times New Roman" w:hAnsi="Arial" w:cs="Arial"/>
                      <w:color w:val="000000"/>
                      <w:sz w:val="20"/>
                      <w:lang w:eastAsia="en-GB"/>
                    </w:rPr>
                  </w:pPr>
                </w:p>
              </w:tc>
              <w:tc>
                <w:tcPr>
                  <w:tcW w:w="613" w:type="pct"/>
                  <w:tcBorders>
                    <w:top w:val="nil"/>
                    <w:left w:val="nil"/>
                    <w:bottom w:val="nil"/>
                    <w:right w:val="nil"/>
                  </w:tcBorders>
                  <w:shd w:val="clear" w:color="auto" w:fill="auto"/>
                  <w:hideMark/>
                </w:tcPr>
                <w:p w14:paraId="5EED4D48" w14:textId="77777777" w:rsidR="00557096" w:rsidRPr="00055807" w:rsidRDefault="00557096" w:rsidP="00557096">
                  <w:pPr>
                    <w:spacing w:after="0"/>
                    <w:rPr>
                      <w:rFonts w:ascii="Arial" w:eastAsia="Times New Roman" w:hAnsi="Arial" w:cs="Arial"/>
                      <w:sz w:val="20"/>
                      <w:lang w:eastAsia="en-GB"/>
                    </w:rPr>
                  </w:pPr>
                </w:p>
              </w:tc>
              <w:tc>
                <w:tcPr>
                  <w:tcW w:w="1718" w:type="pct"/>
                  <w:tcBorders>
                    <w:top w:val="nil"/>
                    <w:left w:val="nil"/>
                    <w:bottom w:val="nil"/>
                    <w:right w:val="nil"/>
                  </w:tcBorders>
                  <w:shd w:val="clear" w:color="auto" w:fill="auto"/>
                  <w:noWrap/>
                  <w:hideMark/>
                </w:tcPr>
                <w:p w14:paraId="50BAA5B0" w14:textId="77777777" w:rsidR="00557096" w:rsidRPr="00055807" w:rsidRDefault="00557096" w:rsidP="00557096">
                  <w:pPr>
                    <w:spacing w:after="0"/>
                    <w:rPr>
                      <w:rFonts w:ascii="Arial" w:eastAsia="Times New Roman" w:hAnsi="Arial" w:cs="Arial"/>
                      <w:sz w:val="20"/>
                      <w:lang w:eastAsia="en-GB"/>
                    </w:rPr>
                  </w:pPr>
                </w:p>
              </w:tc>
              <w:tc>
                <w:tcPr>
                  <w:tcW w:w="876" w:type="pct"/>
                  <w:tcBorders>
                    <w:top w:val="nil"/>
                    <w:left w:val="nil"/>
                    <w:bottom w:val="nil"/>
                    <w:right w:val="nil"/>
                  </w:tcBorders>
                  <w:shd w:val="clear" w:color="auto" w:fill="auto"/>
                  <w:noWrap/>
                  <w:hideMark/>
                </w:tcPr>
                <w:p w14:paraId="2373254F" w14:textId="77777777" w:rsidR="00557096" w:rsidRPr="00055807" w:rsidRDefault="00557096" w:rsidP="00557096">
                  <w:pPr>
                    <w:spacing w:after="0"/>
                    <w:rPr>
                      <w:rFonts w:ascii="Arial" w:eastAsia="Times New Roman" w:hAnsi="Arial" w:cs="Arial"/>
                      <w:sz w:val="20"/>
                      <w:lang w:eastAsia="en-GB"/>
                    </w:rPr>
                  </w:pPr>
                </w:p>
              </w:tc>
              <w:tc>
                <w:tcPr>
                  <w:tcW w:w="431" w:type="pct"/>
                  <w:gridSpan w:val="4"/>
                  <w:tcBorders>
                    <w:top w:val="nil"/>
                    <w:left w:val="nil"/>
                    <w:bottom w:val="nil"/>
                    <w:right w:val="nil"/>
                  </w:tcBorders>
                  <w:shd w:val="clear" w:color="auto" w:fill="auto"/>
                  <w:noWrap/>
                  <w:hideMark/>
                </w:tcPr>
                <w:p w14:paraId="136B0F69" w14:textId="77777777" w:rsidR="00557096" w:rsidRPr="00055807" w:rsidRDefault="00557096" w:rsidP="00557096">
                  <w:pPr>
                    <w:spacing w:after="0"/>
                    <w:rPr>
                      <w:rFonts w:ascii="Arial" w:eastAsia="Times New Roman" w:hAnsi="Arial" w:cs="Arial"/>
                      <w:sz w:val="20"/>
                      <w:lang w:eastAsia="en-GB"/>
                    </w:rPr>
                  </w:pPr>
                </w:p>
              </w:tc>
            </w:tr>
            <w:tr w:rsidR="00557096" w:rsidRPr="00055807" w14:paraId="279DC958"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261AAAB0"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val="restart"/>
                  <w:tcBorders>
                    <w:top w:val="single" w:sz="4" w:space="0" w:color="auto"/>
                    <w:left w:val="nil"/>
                    <w:bottom w:val="single" w:sz="4" w:space="0" w:color="auto"/>
                    <w:right w:val="single" w:sz="4" w:space="0" w:color="auto"/>
                  </w:tcBorders>
                  <w:shd w:val="clear" w:color="auto" w:fill="auto"/>
                  <w:hideMark/>
                </w:tcPr>
                <w:p w14:paraId="6812E239"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2nd NIPT sample (need gestational age at sampling)</w:t>
                  </w:r>
                </w:p>
              </w:tc>
              <w:tc>
                <w:tcPr>
                  <w:tcW w:w="1718" w:type="pct"/>
                  <w:tcBorders>
                    <w:top w:val="single" w:sz="4" w:space="0" w:color="auto"/>
                    <w:left w:val="nil"/>
                    <w:bottom w:val="single" w:sz="4" w:space="0" w:color="auto"/>
                    <w:right w:val="single" w:sz="4" w:space="0" w:color="auto"/>
                  </w:tcBorders>
                  <w:shd w:val="clear" w:color="auto" w:fill="auto"/>
                  <w:noWrap/>
                  <w:hideMark/>
                </w:tcPr>
                <w:p w14:paraId="377D9F11"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IPD</w:t>
                  </w:r>
                </w:p>
              </w:tc>
              <w:tc>
                <w:tcPr>
                  <w:tcW w:w="1307" w:type="pct"/>
                  <w:gridSpan w:val="5"/>
                  <w:tcBorders>
                    <w:top w:val="nil"/>
                    <w:left w:val="nil"/>
                    <w:bottom w:val="nil"/>
                    <w:right w:val="nil"/>
                  </w:tcBorders>
                  <w:shd w:val="clear" w:color="auto" w:fill="auto"/>
                  <w:noWrap/>
                  <w:hideMark/>
                </w:tcPr>
                <w:p w14:paraId="694C1A67" w14:textId="77777777" w:rsidR="00557096" w:rsidRPr="00055807" w:rsidRDefault="00557096" w:rsidP="00557096">
                  <w:pPr>
                    <w:spacing w:after="0"/>
                    <w:rPr>
                      <w:rFonts w:ascii="Arial" w:eastAsia="Times New Roman" w:hAnsi="Arial" w:cs="Arial"/>
                      <w:color w:val="000000"/>
                      <w:sz w:val="20"/>
                      <w:lang w:eastAsia="en-GB"/>
                    </w:rPr>
                  </w:pPr>
                </w:p>
              </w:tc>
            </w:tr>
            <w:tr w:rsidR="00557096" w:rsidRPr="00055807" w14:paraId="02225569" w14:textId="77777777" w:rsidTr="0015368B">
              <w:trPr>
                <w:gridAfter w:val="3"/>
                <w:wAfter w:w="242"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6B420C55"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auto"/>
                    <w:right w:val="single" w:sz="4" w:space="0" w:color="auto"/>
                  </w:tcBorders>
                  <w:vAlign w:val="center"/>
                  <w:hideMark/>
                </w:tcPr>
                <w:p w14:paraId="5FE01123"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noWrap/>
                  <w:hideMark/>
                </w:tcPr>
                <w:p w14:paraId="31FE5A16"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 xml:space="preserve">No further testing </w:t>
                  </w:r>
                </w:p>
              </w:tc>
              <w:tc>
                <w:tcPr>
                  <w:tcW w:w="1065" w:type="pct"/>
                  <w:gridSpan w:val="2"/>
                  <w:tcBorders>
                    <w:top w:val="nil"/>
                    <w:left w:val="nil"/>
                    <w:bottom w:val="nil"/>
                    <w:right w:val="nil"/>
                  </w:tcBorders>
                  <w:shd w:val="clear" w:color="auto" w:fill="auto"/>
                  <w:noWrap/>
                  <w:hideMark/>
                </w:tcPr>
                <w:p w14:paraId="05D2C6D4" w14:textId="77777777" w:rsidR="00557096" w:rsidRPr="00055807" w:rsidRDefault="00557096" w:rsidP="00557096">
                  <w:pPr>
                    <w:spacing w:after="0"/>
                    <w:rPr>
                      <w:rFonts w:ascii="Arial" w:eastAsia="Times New Roman" w:hAnsi="Arial" w:cs="Arial"/>
                      <w:color w:val="000000"/>
                      <w:sz w:val="20"/>
                      <w:lang w:eastAsia="en-GB"/>
                    </w:rPr>
                  </w:pPr>
                </w:p>
              </w:tc>
            </w:tr>
            <w:tr w:rsidR="00557096" w:rsidRPr="00055807" w14:paraId="51F47595" w14:textId="77777777" w:rsidTr="0015368B">
              <w:trPr>
                <w:trHeight w:val="300"/>
              </w:trPr>
              <w:tc>
                <w:tcPr>
                  <w:tcW w:w="1362" w:type="pct"/>
                  <w:tcBorders>
                    <w:top w:val="nil"/>
                    <w:left w:val="nil"/>
                    <w:bottom w:val="nil"/>
                    <w:right w:val="nil"/>
                  </w:tcBorders>
                  <w:shd w:val="clear" w:color="auto" w:fill="auto"/>
                  <w:noWrap/>
                  <w:hideMark/>
                </w:tcPr>
                <w:p w14:paraId="7A335EEE" w14:textId="77777777" w:rsidR="00557096" w:rsidRPr="00055807" w:rsidRDefault="00557096" w:rsidP="00557096">
                  <w:pPr>
                    <w:spacing w:after="0"/>
                    <w:rPr>
                      <w:rFonts w:ascii="Arial" w:eastAsia="Times New Roman" w:hAnsi="Arial" w:cs="Arial"/>
                      <w:sz w:val="20"/>
                      <w:lang w:eastAsia="en-GB"/>
                    </w:rPr>
                  </w:pPr>
                </w:p>
              </w:tc>
              <w:tc>
                <w:tcPr>
                  <w:tcW w:w="613" w:type="pct"/>
                  <w:tcBorders>
                    <w:top w:val="nil"/>
                    <w:left w:val="nil"/>
                    <w:bottom w:val="nil"/>
                    <w:right w:val="nil"/>
                  </w:tcBorders>
                  <w:shd w:val="clear" w:color="auto" w:fill="auto"/>
                  <w:noWrap/>
                  <w:hideMark/>
                </w:tcPr>
                <w:p w14:paraId="1FCDBCBD" w14:textId="77777777" w:rsidR="00557096" w:rsidRPr="00055807" w:rsidRDefault="00557096" w:rsidP="00557096">
                  <w:pPr>
                    <w:spacing w:after="0"/>
                    <w:rPr>
                      <w:rFonts w:ascii="Arial" w:eastAsia="Times New Roman" w:hAnsi="Arial" w:cs="Arial"/>
                      <w:sz w:val="20"/>
                      <w:lang w:eastAsia="en-GB"/>
                    </w:rPr>
                  </w:pPr>
                </w:p>
              </w:tc>
              <w:tc>
                <w:tcPr>
                  <w:tcW w:w="1718" w:type="pct"/>
                  <w:tcBorders>
                    <w:top w:val="nil"/>
                    <w:left w:val="nil"/>
                    <w:bottom w:val="nil"/>
                    <w:right w:val="nil"/>
                  </w:tcBorders>
                  <w:shd w:val="clear" w:color="auto" w:fill="auto"/>
                  <w:noWrap/>
                  <w:hideMark/>
                </w:tcPr>
                <w:p w14:paraId="32CE54D6" w14:textId="77777777" w:rsidR="00557096" w:rsidRPr="00055807" w:rsidRDefault="00557096" w:rsidP="00557096">
                  <w:pPr>
                    <w:spacing w:after="0"/>
                    <w:rPr>
                      <w:rFonts w:ascii="Arial" w:eastAsia="Times New Roman" w:hAnsi="Arial" w:cs="Arial"/>
                      <w:sz w:val="20"/>
                      <w:lang w:eastAsia="en-GB"/>
                    </w:rPr>
                  </w:pPr>
                </w:p>
              </w:tc>
              <w:tc>
                <w:tcPr>
                  <w:tcW w:w="876" w:type="pct"/>
                  <w:tcBorders>
                    <w:top w:val="nil"/>
                    <w:left w:val="nil"/>
                    <w:bottom w:val="nil"/>
                    <w:right w:val="nil"/>
                  </w:tcBorders>
                  <w:shd w:val="clear" w:color="auto" w:fill="auto"/>
                  <w:noWrap/>
                  <w:hideMark/>
                </w:tcPr>
                <w:p w14:paraId="309955BB" w14:textId="77777777" w:rsidR="00557096" w:rsidRPr="00055807" w:rsidRDefault="00557096" w:rsidP="00557096">
                  <w:pPr>
                    <w:spacing w:after="0"/>
                    <w:rPr>
                      <w:rFonts w:ascii="Arial" w:eastAsia="Times New Roman" w:hAnsi="Arial" w:cs="Arial"/>
                      <w:sz w:val="20"/>
                      <w:lang w:eastAsia="en-GB"/>
                    </w:rPr>
                  </w:pPr>
                </w:p>
              </w:tc>
              <w:tc>
                <w:tcPr>
                  <w:tcW w:w="431" w:type="pct"/>
                  <w:gridSpan w:val="4"/>
                  <w:tcBorders>
                    <w:top w:val="nil"/>
                    <w:left w:val="nil"/>
                    <w:bottom w:val="nil"/>
                    <w:right w:val="nil"/>
                  </w:tcBorders>
                  <w:shd w:val="clear" w:color="auto" w:fill="auto"/>
                  <w:noWrap/>
                  <w:hideMark/>
                </w:tcPr>
                <w:p w14:paraId="057AC56C" w14:textId="77777777" w:rsidR="00557096" w:rsidRPr="00055807" w:rsidRDefault="00557096" w:rsidP="00557096">
                  <w:pPr>
                    <w:spacing w:after="0"/>
                    <w:rPr>
                      <w:rFonts w:ascii="Arial" w:eastAsia="Times New Roman" w:hAnsi="Arial" w:cs="Arial"/>
                      <w:sz w:val="20"/>
                      <w:lang w:eastAsia="en-GB"/>
                    </w:rPr>
                  </w:pPr>
                </w:p>
              </w:tc>
            </w:tr>
            <w:tr w:rsidR="00557096" w:rsidRPr="00055807" w14:paraId="2F554529" w14:textId="77777777" w:rsidTr="0015368B">
              <w:trPr>
                <w:gridAfter w:val="2"/>
                <w:wAfter w:w="237" w:type="pct"/>
                <w:trHeight w:val="300"/>
              </w:trPr>
              <w:tc>
                <w:tcPr>
                  <w:tcW w:w="136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A4FBB8F"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Reasons for no results/indeterminate results</w:t>
                  </w:r>
                </w:p>
              </w:tc>
              <w:tc>
                <w:tcPr>
                  <w:tcW w:w="613" w:type="pct"/>
                  <w:vMerge w:val="restart"/>
                  <w:tcBorders>
                    <w:top w:val="single" w:sz="4" w:space="0" w:color="auto"/>
                    <w:left w:val="nil"/>
                    <w:bottom w:val="single" w:sz="4" w:space="0" w:color="000000"/>
                    <w:right w:val="single" w:sz="4" w:space="0" w:color="auto"/>
                  </w:tcBorders>
                  <w:shd w:val="clear" w:color="auto" w:fill="auto"/>
                  <w:hideMark/>
                </w:tcPr>
                <w:p w14:paraId="4FDB1C0A"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Sampling problems</w:t>
                  </w:r>
                </w:p>
              </w:tc>
              <w:tc>
                <w:tcPr>
                  <w:tcW w:w="1718" w:type="pct"/>
                  <w:tcBorders>
                    <w:top w:val="single" w:sz="4" w:space="0" w:color="auto"/>
                    <w:left w:val="nil"/>
                    <w:bottom w:val="single" w:sz="4" w:space="0" w:color="auto"/>
                    <w:right w:val="single" w:sz="4" w:space="0" w:color="auto"/>
                  </w:tcBorders>
                  <w:shd w:val="clear" w:color="auto" w:fill="auto"/>
                  <w:hideMark/>
                </w:tcPr>
                <w:p w14:paraId="23CF833A"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Sample not received</w:t>
                  </w:r>
                </w:p>
              </w:tc>
              <w:tc>
                <w:tcPr>
                  <w:tcW w:w="1070"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6AEA0882"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08FDDECB" w14:textId="77777777" w:rsidTr="0015368B">
              <w:trPr>
                <w:gridAfter w:val="2"/>
                <w:wAfter w:w="237"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754AF8F4"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000000"/>
                    <w:right w:val="single" w:sz="4" w:space="0" w:color="auto"/>
                  </w:tcBorders>
                  <w:vAlign w:val="center"/>
                  <w:hideMark/>
                </w:tcPr>
                <w:p w14:paraId="583D9848"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hideMark/>
                </w:tcPr>
                <w:p w14:paraId="4E07F4DF"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Sample in wrong tube</w:t>
                  </w:r>
                </w:p>
              </w:tc>
              <w:tc>
                <w:tcPr>
                  <w:tcW w:w="1070" w:type="pct"/>
                  <w:gridSpan w:val="3"/>
                  <w:tcBorders>
                    <w:top w:val="nil"/>
                    <w:left w:val="single" w:sz="4" w:space="0" w:color="auto"/>
                    <w:bottom w:val="single" w:sz="4" w:space="0" w:color="auto"/>
                    <w:right w:val="single" w:sz="4" w:space="0" w:color="auto"/>
                  </w:tcBorders>
                  <w:shd w:val="clear" w:color="auto" w:fill="auto"/>
                  <w:noWrap/>
                  <w:hideMark/>
                </w:tcPr>
                <w:p w14:paraId="2249EC60"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5C52EC89" w14:textId="77777777" w:rsidTr="0015368B">
              <w:trPr>
                <w:gridAfter w:val="2"/>
                <w:wAfter w:w="237" w:type="pct"/>
                <w:trHeight w:val="9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0E58C2E7"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000000"/>
                    <w:right w:val="single" w:sz="4" w:space="0" w:color="auto"/>
                  </w:tcBorders>
                  <w:vAlign w:val="center"/>
                  <w:hideMark/>
                </w:tcPr>
                <w:p w14:paraId="7E39D162"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hideMark/>
                </w:tcPr>
                <w:p w14:paraId="0B22A905"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 xml:space="preserve">Sample lacks identifiers or has incorrect identifiers </w:t>
                  </w:r>
                  <w:proofErr w:type="spellStart"/>
                  <w:r w:rsidRPr="00055807">
                    <w:rPr>
                      <w:rFonts w:ascii="Arial" w:eastAsia="Times New Roman" w:hAnsi="Arial" w:cs="Arial"/>
                      <w:color w:val="000000"/>
                      <w:sz w:val="20"/>
                      <w:lang w:eastAsia="en-GB"/>
                    </w:rPr>
                    <w:t>eg</w:t>
                  </w:r>
                  <w:proofErr w:type="spellEnd"/>
                  <w:r w:rsidRPr="00055807">
                    <w:rPr>
                      <w:rFonts w:ascii="Arial" w:eastAsia="Times New Roman" w:hAnsi="Arial" w:cs="Arial"/>
                      <w:color w:val="000000"/>
                      <w:sz w:val="20"/>
                      <w:lang w:eastAsia="en-GB"/>
                    </w:rPr>
                    <w:t xml:space="preserve"> </w:t>
                  </w:r>
                  <w:proofErr w:type="spellStart"/>
                  <w:r w:rsidRPr="00055807">
                    <w:rPr>
                      <w:rFonts w:ascii="Arial" w:eastAsia="Times New Roman" w:hAnsi="Arial" w:cs="Arial"/>
                      <w:color w:val="000000"/>
                      <w:sz w:val="20"/>
                      <w:lang w:eastAsia="en-GB"/>
                    </w:rPr>
                    <w:t>mislabelling</w:t>
                  </w:r>
                  <w:proofErr w:type="spellEnd"/>
                </w:p>
              </w:tc>
              <w:tc>
                <w:tcPr>
                  <w:tcW w:w="1070" w:type="pct"/>
                  <w:gridSpan w:val="3"/>
                  <w:tcBorders>
                    <w:top w:val="nil"/>
                    <w:left w:val="single" w:sz="4" w:space="0" w:color="auto"/>
                    <w:bottom w:val="single" w:sz="4" w:space="0" w:color="auto"/>
                    <w:right w:val="single" w:sz="4" w:space="0" w:color="auto"/>
                  </w:tcBorders>
                  <w:shd w:val="clear" w:color="auto" w:fill="auto"/>
                  <w:noWrap/>
                  <w:hideMark/>
                </w:tcPr>
                <w:p w14:paraId="4BBAE794"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184F3715" w14:textId="77777777" w:rsidTr="0015368B">
              <w:trPr>
                <w:gridAfter w:val="2"/>
                <w:wAfter w:w="237" w:type="pct"/>
                <w:trHeight w:val="6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74492074"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000000"/>
                    <w:right w:val="single" w:sz="4" w:space="0" w:color="auto"/>
                  </w:tcBorders>
                  <w:vAlign w:val="center"/>
                  <w:hideMark/>
                </w:tcPr>
                <w:p w14:paraId="346EF66E"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hideMark/>
                </w:tcPr>
                <w:p w14:paraId="1FF0B035"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Sample insufficient blood volume</w:t>
                  </w:r>
                </w:p>
              </w:tc>
              <w:tc>
                <w:tcPr>
                  <w:tcW w:w="1070" w:type="pct"/>
                  <w:gridSpan w:val="3"/>
                  <w:tcBorders>
                    <w:top w:val="nil"/>
                    <w:left w:val="single" w:sz="4" w:space="0" w:color="auto"/>
                    <w:bottom w:val="single" w:sz="4" w:space="0" w:color="auto"/>
                    <w:right w:val="single" w:sz="4" w:space="0" w:color="auto"/>
                  </w:tcBorders>
                  <w:shd w:val="clear" w:color="auto" w:fill="auto"/>
                  <w:noWrap/>
                  <w:hideMark/>
                </w:tcPr>
                <w:p w14:paraId="6FA49759"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6F5B9B48" w14:textId="77777777" w:rsidTr="0015368B">
              <w:trPr>
                <w:gridAfter w:val="2"/>
                <w:wAfter w:w="237"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3200DCF3"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000000"/>
                    <w:right w:val="single" w:sz="4" w:space="0" w:color="auto"/>
                  </w:tcBorders>
                  <w:vAlign w:val="center"/>
                  <w:hideMark/>
                </w:tcPr>
                <w:p w14:paraId="66291238"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hideMark/>
                </w:tcPr>
                <w:p w14:paraId="50ACD42C"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 xml:space="preserve">Sample </w:t>
                  </w:r>
                  <w:proofErr w:type="spellStart"/>
                  <w:r w:rsidRPr="00055807">
                    <w:rPr>
                      <w:rFonts w:ascii="Arial" w:eastAsia="Times New Roman" w:hAnsi="Arial" w:cs="Arial"/>
                      <w:color w:val="000000"/>
                      <w:sz w:val="20"/>
                      <w:lang w:eastAsia="en-GB"/>
                    </w:rPr>
                    <w:t>haemolysed</w:t>
                  </w:r>
                  <w:proofErr w:type="spellEnd"/>
                </w:p>
              </w:tc>
              <w:tc>
                <w:tcPr>
                  <w:tcW w:w="1070" w:type="pct"/>
                  <w:gridSpan w:val="3"/>
                  <w:tcBorders>
                    <w:top w:val="nil"/>
                    <w:left w:val="single" w:sz="4" w:space="0" w:color="auto"/>
                    <w:bottom w:val="single" w:sz="4" w:space="0" w:color="auto"/>
                    <w:right w:val="single" w:sz="4" w:space="0" w:color="auto"/>
                  </w:tcBorders>
                  <w:shd w:val="clear" w:color="auto" w:fill="auto"/>
                  <w:noWrap/>
                  <w:hideMark/>
                </w:tcPr>
                <w:p w14:paraId="1154700F"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522F2DF5" w14:textId="77777777" w:rsidTr="0015368B">
              <w:trPr>
                <w:gridAfter w:val="2"/>
                <w:wAfter w:w="237" w:type="pct"/>
                <w:trHeight w:val="6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2860FCF6"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000000"/>
                    <w:right w:val="single" w:sz="4" w:space="0" w:color="auto"/>
                  </w:tcBorders>
                  <w:vAlign w:val="center"/>
                  <w:hideMark/>
                </w:tcPr>
                <w:p w14:paraId="2BD5411C"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hideMark/>
                </w:tcPr>
                <w:p w14:paraId="2F2F9D8C"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Too long in transit/ delayed arrival in lab</w:t>
                  </w:r>
                </w:p>
              </w:tc>
              <w:tc>
                <w:tcPr>
                  <w:tcW w:w="1070" w:type="pct"/>
                  <w:gridSpan w:val="3"/>
                  <w:tcBorders>
                    <w:top w:val="nil"/>
                    <w:left w:val="single" w:sz="4" w:space="0" w:color="auto"/>
                    <w:bottom w:val="single" w:sz="4" w:space="0" w:color="auto"/>
                    <w:right w:val="single" w:sz="4" w:space="0" w:color="auto"/>
                  </w:tcBorders>
                  <w:shd w:val="clear" w:color="auto" w:fill="auto"/>
                  <w:noWrap/>
                  <w:hideMark/>
                </w:tcPr>
                <w:p w14:paraId="50BBDD8C"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67BCE0A6"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7702F1A2" w14:textId="77777777" w:rsidR="00557096" w:rsidRPr="00055807" w:rsidRDefault="00557096" w:rsidP="00557096">
                  <w:pPr>
                    <w:spacing w:after="0"/>
                    <w:rPr>
                      <w:rFonts w:ascii="Arial" w:eastAsia="Times New Roman" w:hAnsi="Arial" w:cs="Arial"/>
                      <w:color w:val="000000"/>
                      <w:sz w:val="20"/>
                      <w:lang w:eastAsia="en-GB"/>
                    </w:rPr>
                  </w:pPr>
                </w:p>
              </w:tc>
              <w:tc>
                <w:tcPr>
                  <w:tcW w:w="613" w:type="pct"/>
                  <w:tcBorders>
                    <w:top w:val="nil"/>
                    <w:left w:val="nil"/>
                    <w:bottom w:val="nil"/>
                    <w:right w:val="nil"/>
                  </w:tcBorders>
                  <w:shd w:val="clear" w:color="auto" w:fill="auto"/>
                  <w:noWrap/>
                  <w:hideMark/>
                </w:tcPr>
                <w:p w14:paraId="46FCC7B1"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nil"/>
                    <w:right w:val="nil"/>
                  </w:tcBorders>
                  <w:shd w:val="clear" w:color="auto" w:fill="auto"/>
                  <w:noWrap/>
                  <w:hideMark/>
                </w:tcPr>
                <w:p w14:paraId="6A85A43E" w14:textId="77777777" w:rsidR="00557096" w:rsidRPr="00055807" w:rsidRDefault="00557096" w:rsidP="00557096">
                  <w:pPr>
                    <w:spacing w:after="0"/>
                    <w:rPr>
                      <w:rFonts w:ascii="Arial" w:eastAsia="Times New Roman" w:hAnsi="Arial" w:cs="Arial"/>
                      <w:sz w:val="20"/>
                      <w:lang w:eastAsia="en-GB"/>
                    </w:rPr>
                  </w:pPr>
                </w:p>
              </w:tc>
              <w:tc>
                <w:tcPr>
                  <w:tcW w:w="876" w:type="pct"/>
                  <w:tcBorders>
                    <w:top w:val="nil"/>
                    <w:left w:val="nil"/>
                    <w:bottom w:val="nil"/>
                    <w:right w:val="nil"/>
                  </w:tcBorders>
                  <w:shd w:val="clear" w:color="auto" w:fill="auto"/>
                  <w:noWrap/>
                  <w:hideMark/>
                </w:tcPr>
                <w:p w14:paraId="23FAE1A6" w14:textId="77777777" w:rsidR="00557096" w:rsidRPr="00055807" w:rsidRDefault="00557096" w:rsidP="00557096">
                  <w:pPr>
                    <w:spacing w:after="0"/>
                    <w:rPr>
                      <w:rFonts w:ascii="Arial" w:eastAsia="Times New Roman" w:hAnsi="Arial" w:cs="Arial"/>
                      <w:sz w:val="20"/>
                      <w:lang w:eastAsia="en-GB"/>
                    </w:rPr>
                  </w:pPr>
                </w:p>
              </w:tc>
              <w:tc>
                <w:tcPr>
                  <w:tcW w:w="431" w:type="pct"/>
                  <w:gridSpan w:val="4"/>
                  <w:tcBorders>
                    <w:top w:val="nil"/>
                    <w:left w:val="nil"/>
                    <w:bottom w:val="nil"/>
                    <w:right w:val="nil"/>
                  </w:tcBorders>
                  <w:shd w:val="clear" w:color="auto" w:fill="auto"/>
                  <w:noWrap/>
                  <w:hideMark/>
                </w:tcPr>
                <w:p w14:paraId="6AAF7232" w14:textId="77777777" w:rsidR="00557096" w:rsidRPr="00055807" w:rsidRDefault="00557096" w:rsidP="00557096">
                  <w:pPr>
                    <w:spacing w:after="0"/>
                    <w:rPr>
                      <w:rFonts w:ascii="Arial" w:eastAsia="Times New Roman" w:hAnsi="Arial" w:cs="Arial"/>
                      <w:sz w:val="20"/>
                      <w:lang w:eastAsia="en-GB"/>
                    </w:rPr>
                  </w:pPr>
                </w:p>
              </w:tc>
            </w:tr>
            <w:tr w:rsidR="00557096" w:rsidRPr="00055807" w14:paraId="4EA330AA" w14:textId="77777777" w:rsidTr="0015368B">
              <w:trPr>
                <w:gridAfter w:val="4"/>
                <w:wAfter w:w="431"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54031D24"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val="restart"/>
                  <w:tcBorders>
                    <w:top w:val="single" w:sz="4" w:space="0" w:color="auto"/>
                    <w:left w:val="nil"/>
                    <w:bottom w:val="single" w:sz="4" w:space="0" w:color="000000"/>
                    <w:right w:val="single" w:sz="4" w:space="0" w:color="auto"/>
                  </w:tcBorders>
                  <w:shd w:val="clear" w:color="auto" w:fill="auto"/>
                  <w:hideMark/>
                </w:tcPr>
                <w:p w14:paraId="1681C9F1"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Internal quality control processes</w:t>
                  </w:r>
                </w:p>
              </w:tc>
              <w:tc>
                <w:tcPr>
                  <w:tcW w:w="1718" w:type="pct"/>
                  <w:tcBorders>
                    <w:top w:val="single" w:sz="4" w:space="0" w:color="auto"/>
                    <w:left w:val="nil"/>
                    <w:bottom w:val="single" w:sz="4" w:space="0" w:color="auto"/>
                    <w:right w:val="single" w:sz="4" w:space="0" w:color="auto"/>
                  </w:tcBorders>
                  <w:shd w:val="clear" w:color="auto" w:fill="auto"/>
                  <w:noWrap/>
                  <w:hideMark/>
                </w:tcPr>
                <w:p w14:paraId="0C2CF08E"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DNA extraction</w:t>
                  </w:r>
                </w:p>
              </w:tc>
              <w:tc>
                <w:tcPr>
                  <w:tcW w:w="876" w:type="pct"/>
                  <w:tcBorders>
                    <w:top w:val="single" w:sz="4" w:space="0" w:color="auto"/>
                    <w:left w:val="nil"/>
                    <w:bottom w:val="single" w:sz="4" w:space="0" w:color="auto"/>
                    <w:right w:val="single" w:sz="4" w:space="0" w:color="auto"/>
                  </w:tcBorders>
                  <w:shd w:val="clear" w:color="auto" w:fill="auto"/>
                  <w:noWrap/>
                  <w:hideMark/>
                </w:tcPr>
                <w:p w14:paraId="33152E6F"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1DD703D6" w14:textId="77777777" w:rsidTr="0015368B">
              <w:trPr>
                <w:gridAfter w:val="4"/>
                <w:wAfter w:w="431"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658EC984"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000000"/>
                    <w:right w:val="single" w:sz="4" w:space="0" w:color="auto"/>
                  </w:tcBorders>
                  <w:vAlign w:val="center"/>
                  <w:hideMark/>
                </w:tcPr>
                <w:p w14:paraId="31D5AC0A"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noWrap/>
                  <w:hideMark/>
                </w:tcPr>
                <w:p w14:paraId="6D35C25D"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Library prep</w:t>
                  </w:r>
                </w:p>
              </w:tc>
              <w:tc>
                <w:tcPr>
                  <w:tcW w:w="876" w:type="pct"/>
                  <w:tcBorders>
                    <w:top w:val="nil"/>
                    <w:left w:val="nil"/>
                    <w:bottom w:val="single" w:sz="4" w:space="0" w:color="auto"/>
                    <w:right w:val="single" w:sz="4" w:space="0" w:color="auto"/>
                  </w:tcBorders>
                  <w:shd w:val="clear" w:color="auto" w:fill="auto"/>
                  <w:noWrap/>
                  <w:hideMark/>
                </w:tcPr>
                <w:p w14:paraId="426E559B"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0D840ADA" w14:textId="77777777" w:rsidTr="0015368B">
              <w:trPr>
                <w:gridAfter w:val="4"/>
                <w:wAfter w:w="431"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5CBAEB21"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000000"/>
                    <w:right w:val="single" w:sz="4" w:space="0" w:color="auto"/>
                  </w:tcBorders>
                  <w:vAlign w:val="center"/>
                  <w:hideMark/>
                </w:tcPr>
                <w:p w14:paraId="09DB2849"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noWrap/>
                  <w:hideMark/>
                </w:tcPr>
                <w:p w14:paraId="37A51D16"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Sequencing</w:t>
                  </w:r>
                </w:p>
              </w:tc>
              <w:tc>
                <w:tcPr>
                  <w:tcW w:w="876" w:type="pct"/>
                  <w:tcBorders>
                    <w:top w:val="nil"/>
                    <w:left w:val="nil"/>
                    <w:bottom w:val="single" w:sz="4" w:space="0" w:color="auto"/>
                    <w:right w:val="single" w:sz="4" w:space="0" w:color="auto"/>
                  </w:tcBorders>
                  <w:shd w:val="clear" w:color="auto" w:fill="auto"/>
                  <w:noWrap/>
                  <w:hideMark/>
                </w:tcPr>
                <w:p w14:paraId="5459A10B"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067AF608"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1DA0F73C" w14:textId="77777777" w:rsidR="00557096" w:rsidRPr="00055807" w:rsidRDefault="00557096" w:rsidP="00557096">
                  <w:pPr>
                    <w:spacing w:after="0"/>
                    <w:rPr>
                      <w:rFonts w:ascii="Arial" w:eastAsia="Times New Roman" w:hAnsi="Arial" w:cs="Arial"/>
                      <w:color w:val="000000"/>
                      <w:sz w:val="20"/>
                      <w:lang w:eastAsia="en-GB"/>
                    </w:rPr>
                  </w:pPr>
                </w:p>
              </w:tc>
              <w:tc>
                <w:tcPr>
                  <w:tcW w:w="613" w:type="pct"/>
                  <w:tcBorders>
                    <w:top w:val="nil"/>
                    <w:left w:val="nil"/>
                    <w:bottom w:val="nil"/>
                    <w:right w:val="nil"/>
                  </w:tcBorders>
                  <w:shd w:val="clear" w:color="auto" w:fill="auto"/>
                  <w:noWrap/>
                  <w:hideMark/>
                </w:tcPr>
                <w:p w14:paraId="43396874"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nil"/>
                    <w:right w:val="nil"/>
                  </w:tcBorders>
                  <w:shd w:val="clear" w:color="auto" w:fill="auto"/>
                  <w:noWrap/>
                  <w:hideMark/>
                </w:tcPr>
                <w:p w14:paraId="0C68F1B3" w14:textId="77777777" w:rsidR="00557096" w:rsidRPr="00055807" w:rsidRDefault="00557096" w:rsidP="00557096">
                  <w:pPr>
                    <w:spacing w:after="0"/>
                    <w:rPr>
                      <w:rFonts w:ascii="Arial" w:eastAsia="Times New Roman" w:hAnsi="Arial" w:cs="Arial"/>
                      <w:sz w:val="20"/>
                      <w:lang w:eastAsia="en-GB"/>
                    </w:rPr>
                  </w:pPr>
                </w:p>
              </w:tc>
              <w:tc>
                <w:tcPr>
                  <w:tcW w:w="876" w:type="pct"/>
                  <w:tcBorders>
                    <w:top w:val="nil"/>
                    <w:left w:val="nil"/>
                    <w:bottom w:val="nil"/>
                    <w:right w:val="nil"/>
                  </w:tcBorders>
                  <w:shd w:val="clear" w:color="auto" w:fill="auto"/>
                  <w:noWrap/>
                  <w:hideMark/>
                </w:tcPr>
                <w:p w14:paraId="310D256A" w14:textId="77777777" w:rsidR="00557096" w:rsidRPr="00055807" w:rsidRDefault="00557096" w:rsidP="00557096">
                  <w:pPr>
                    <w:spacing w:after="0"/>
                    <w:rPr>
                      <w:rFonts w:ascii="Arial" w:eastAsia="Times New Roman" w:hAnsi="Arial" w:cs="Arial"/>
                      <w:sz w:val="20"/>
                      <w:lang w:eastAsia="en-GB"/>
                    </w:rPr>
                  </w:pPr>
                </w:p>
              </w:tc>
              <w:tc>
                <w:tcPr>
                  <w:tcW w:w="431" w:type="pct"/>
                  <w:gridSpan w:val="4"/>
                  <w:tcBorders>
                    <w:top w:val="nil"/>
                    <w:left w:val="nil"/>
                    <w:bottom w:val="nil"/>
                    <w:right w:val="nil"/>
                  </w:tcBorders>
                  <w:shd w:val="clear" w:color="auto" w:fill="auto"/>
                  <w:noWrap/>
                  <w:hideMark/>
                </w:tcPr>
                <w:p w14:paraId="60610EA0" w14:textId="77777777" w:rsidR="00557096" w:rsidRPr="00055807" w:rsidRDefault="00557096" w:rsidP="00557096">
                  <w:pPr>
                    <w:spacing w:after="0"/>
                    <w:rPr>
                      <w:rFonts w:ascii="Arial" w:eastAsia="Times New Roman" w:hAnsi="Arial" w:cs="Arial"/>
                      <w:sz w:val="20"/>
                      <w:lang w:eastAsia="en-GB"/>
                    </w:rPr>
                  </w:pPr>
                </w:p>
              </w:tc>
            </w:tr>
            <w:tr w:rsidR="00557096" w:rsidRPr="00055807" w14:paraId="754C6A4E"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363D4595"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val="restart"/>
                  <w:tcBorders>
                    <w:top w:val="single" w:sz="4" w:space="0" w:color="auto"/>
                    <w:left w:val="nil"/>
                    <w:right w:val="single" w:sz="4" w:space="0" w:color="auto"/>
                  </w:tcBorders>
                  <w:shd w:val="clear" w:color="auto" w:fill="auto"/>
                  <w:noWrap/>
                  <w:hideMark/>
                </w:tcPr>
                <w:p w14:paraId="67A33334"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Analysis</w:t>
                  </w:r>
                </w:p>
              </w:tc>
              <w:tc>
                <w:tcPr>
                  <w:tcW w:w="1718" w:type="pct"/>
                  <w:tcBorders>
                    <w:top w:val="single" w:sz="4" w:space="0" w:color="auto"/>
                    <w:left w:val="nil"/>
                    <w:bottom w:val="single" w:sz="4" w:space="0" w:color="auto"/>
                    <w:right w:val="single" w:sz="4" w:space="0" w:color="auto"/>
                  </w:tcBorders>
                  <w:shd w:val="clear" w:color="auto" w:fill="auto"/>
                  <w:noWrap/>
                  <w:hideMark/>
                </w:tcPr>
                <w:p w14:paraId="7AF03611"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Low fetal fraction</w:t>
                  </w:r>
                </w:p>
              </w:tc>
              <w:tc>
                <w:tcPr>
                  <w:tcW w:w="876" w:type="pct"/>
                  <w:tcBorders>
                    <w:top w:val="single" w:sz="4" w:space="0" w:color="auto"/>
                    <w:left w:val="nil"/>
                    <w:bottom w:val="single" w:sz="4" w:space="0" w:color="auto"/>
                    <w:right w:val="single" w:sz="4" w:space="0" w:color="auto"/>
                  </w:tcBorders>
                  <w:shd w:val="clear" w:color="auto" w:fill="auto"/>
                  <w:noWrap/>
                  <w:hideMark/>
                </w:tcPr>
                <w:p w14:paraId="6C5724C2"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Value of fetal fraction</w:t>
                  </w:r>
                </w:p>
              </w:tc>
              <w:tc>
                <w:tcPr>
                  <w:tcW w:w="431" w:type="pct"/>
                  <w:gridSpan w:val="4"/>
                  <w:tcBorders>
                    <w:top w:val="single" w:sz="4" w:space="0" w:color="auto"/>
                    <w:left w:val="nil"/>
                    <w:bottom w:val="single" w:sz="4" w:space="0" w:color="auto"/>
                    <w:right w:val="single" w:sz="4" w:space="0" w:color="auto"/>
                  </w:tcBorders>
                  <w:shd w:val="clear" w:color="auto" w:fill="auto"/>
                  <w:noWrap/>
                  <w:hideMark/>
                </w:tcPr>
                <w:p w14:paraId="662A069C"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2E11D072" w14:textId="77777777" w:rsidTr="0015368B">
              <w:trPr>
                <w:gridAfter w:val="4"/>
                <w:wAfter w:w="431"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tcPr>
                <w:p w14:paraId="0F973829"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left w:val="nil"/>
                    <w:right w:val="single" w:sz="4" w:space="0" w:color="auto"/>
                  </w:tcBorders>
                  <w:shd w:val="clear" w:color="auto" w:fill="auto"/>
                  <w:noWrap/>
                </w:tcPr>
                <w:p w14:paraId="37524042"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single" w:sz="4" w:space="0" w:color="auto"/>
                    <w:left w:val="nil"/>
                    <w:bottom w:val="single" w:sz="4" w:space="0" w:color="auto"/>
                    <w:right w:val="single" w:sz="4" w:space="0" w:color="auto"/>
                  </w:tcBorders>
                  <w:shd w:val="clear" w:color="auto" w:fill="auto"/>
                  <w:noWrap/>
                </w:tcPr>
                <w:p w14:paraId="6977E2C4"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Equipment failure</w:t>
                  </w:r>
                </w:p>
              </w:tc>
              <w:tc>
                <w:tcPr>
                  <w:tcW w:w="876" w:type="pct"/>
                  <w:tcBorders>
                    <w:top w:val="single" w:sz="4" w:space="0" w:color="auto"/>
                    <w:left w:val="nil"/>
                    <w:bottom w:val="single" w:sz="4" w:space="0" w:color="auto"/>
                    <w:right w:val="single" w:sz="4" w:space="0" w:color="auto"/>
                  </w:tcBorders>
                  <w:shd w:val="clear" w:color="auto" w:fill="auto"/>
                  <w:noWrap/>
                </w:tcPr>
                <w:p w14:paraId="37435B49"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6D0D7917" w14:textId="77777777" w:rsidTr="0015368B">
              <w:trPr>
                <w:gridAfter w:val="4"/>
                <w:wAfter w:w="431"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tcPr>
                <w:p w14:paraId="7C765F7B"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left w:val="nil"/>
                    <w:bottom w:val="single" w:sz="4" w:space="0" w:color="auto"/>
                    <w:right w:val="single" w:sz="4" w:space="0" w:color="auto"/>
                  </w:tcBorders>
                  <w:shd w:val="clear" w:color="auto" w:fill="auto"/>
                  <w:noWrap/>
                </w:tcPr>
                <w:p w14:paraId="6439E91E"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single" w:sz="4" w:space="0" w:color="auto"/>
                    <w:left w:val="nil"/>
                    <w:bottom w:val="single" w:sz="4" w:space="0" w:color="auto"/>
                    <w:right w:val="single" w:sz="4" w:space="0" w:color="auto"/>
                  </w:tcBorders>
                  <w:shd w:val="clear" w:color="auto" w:fill="auto"/>
                  <w:noWrap/>
                </w:tcPr>
                <w:p w14:paraId="1CB1126C"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Technical failure</w:t>
                  </w:r>
                </w:p>
              </w:tc>
              <w:tc>
                <w:tcPr>
                  <w:tcW w:w="876" w:type="pct"/>
                  <w:tcBorders>
                    <w:top w:val="single" w:sz="4" w:space="0" w:color="auto"/>
                    <w:left w:val="nil"/>
                    <w:bottom w:val="single" w:sz="4" w:space="0" w:color="auto"/>
                    <w:right w:val="single" w:sz="4" w:space="0" w:color="auto"/>
                  </w:tcBorders>
                  <w:shd w:val="clear" w:color="auto" w:fill="auto"/>
                  <w:noWrap/>
                </w:tcPr>
                <w:p w14:paraId="501C69A3"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2D4E907D"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38EB5041" w14:textId="77777777" w:rsidR="00557096" w:rsidRPr="00055807" w:rsidRDefault="00557096" w:rsidP="00557096">
                  <w:pPr>
                    <w:spacing w:after="0"/>
                    <w:rPr>
                      <w:rFonts w:ascii="Arial" w:eastAsia="Times New Roman" w:hAnsi="Arial" w:cs="Arial"/>
                      <w:color w:val="000000"/>
                      <w:sz w:val="20"/>
                      <w:lang w:eastAsia="en-GB"/>
                    </w:rPr>
                  </w:pPr>
                </w:p>
              </w:tc>
              <w:tc>
                <w:tcPr>
                  <w:tcW w:w="613" w:type="pct"/>
                  <w:tcBorders>
                    <w:top w:val="nil"/>
                    <w:left w:val="nil"/>
                    <w:bottom w:val="nil"/>
                    <w:right w:val="nil"/>
                  </w:tcBorders>
                  <w:shd w:val="clear" w:color="auto" w:fill="auto"/>
                  <w:noWrap/>
                  <w:hideMark/>
                </w:tcPr>
                <w:p w14:paraId="3672B2D8"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nil"/>
                    <w:right w:val="nil"/>
                  </w:tcBorders>
                  <w:shd w:val="clear" w:color="auto" w:fill="auto"/>
                  <w:noWrap/>
                  <w:hideMark/>
                </w:tcPr>
                <w:p w14:paraId="6943CB27" w14:textId="77777777" w:rsidR="00557096" w:rsidRPr="00055807" w:rsidRDefault="00557096" w:rsidP="00557096">
                  <w:pPr>
                    <w:spacing w:after="0"/>
                    <w:rPr>
                      <w:rFonts w:ascii="Arial" w:eastAsia="Times New Roman" w:hAnsi="Arial" w:cs="Arial"/>
                      <w:sz w:val="20"/>
                      <w:lang w:eastAsia="en-GB"/>
                    </w:rPr>
                  </w:pPr>
                </w:p>
              </w:tc>
              <w:tc>
                <w:tcPr>
                  <w:tcW w:w="876" w:type="pct"/>
                  <w:tcBorders>
                    <w:top w:val="nil"/>
                    <w:left w:val="nil"/>
                    <w:bottom w:val="nil"/>
                    <w:right w:val="nil"/>
                  </w:tcBorders>
                  <w:shd w:val="clear" w:color="auto" w:fill="auto"/>
                  <w:noWrap/>
                  <w:hideMark/>
                </w:tcPr>
                <w:p w14:paraId="68D58A55" w14:textId="77777777" w:rsidR="00557096" w:rsidRPr="00055807" w:rsidRDefault="00557096" w:rsidP="00557096">
                  <w:pPr>
                    <w:spacing w:after="0"/>
                    <w:rPr>
                      <w:rFonts w:ascii="Arial" w:eastAsia="Times New Roman" w:hAnsi="Arial" w:cs="Arial"/>
                      <w:sz w:val="20"/>
                      <w:lang w:eastAsia="en-GB"/>
                    </w:rPr>
                  </w:pPr>
                </w:p>
              </w:tc>
              <w:tc>
                <w:tcPr>
                  <w:tcW w:w="431" w:type="pct"/>
                  <w:gridSpan w:val="4"/>
                  <w:tcBorders>
                    <w:top w:val="nil"/>
                    <w:left w:val="nil"/>
                    <w:bottom w:val="nil"/>
                    <w:right w:val="nil"/>
                  </w:tcBorders>
                  <w:shd w:val="clear" w:color="auto" w:fill="auto"/>
                  <w:noWrap/>
                  <w:hideMark/>
                </w:tcPr>
                <w:p w14:paraId="6328BFAF" w14:textId="77777777" w:rsidR="00557096" w:rsidRPr="00055807" w:rsidRDefault="00557096" w:rsidP="00557096">
                  <w:pPr>
                    <w:spacing w:after="0"/>
                    <w:rPr>
                      <w:rFonts w:ascii="Arial" w:eastAsia="Times New Roman" w:hAnsi="Arial" w:cs="Arial"/>
                      <w:sz w:val="20"/>
                      <w:lang w:eastAsia="en-GB"/>
                    </w:rPr>
                  </w:pPr>
                </w:p>
              </w:tc>
            </w:tr>
            <w:tr w:rsidR="00557096" w:rsidRPr="00055807" w14:paraId="3F046094" w14:textId="77777777" w:rsidTr="0015368B">
              <w:trPr>
                <w:gridAfter w:val="1"/>
                <w:wAfter w:w="228"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3A09E52D"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val="restart"/>
                  <w:tcBorders>
                    <w:top w:val="single" w:sz="4" w:space="0" w:color="auto"/>
                    <w:left w:val="nil"/>
                    <w:bottom w:val="single" w:sz="4" w:space="0" w:color="000000"/>
                    <w:right w:val="single" w:sz="4" w:space="0" w:color="auto"/>
                  </w:tcBorders>
                  <w:shd w:val="clear" w:color="auto" w:fill="auto"/>
                  <w:noWrap/>
                  <w:hideMark/>
                </w:tcPr>
                <w:p w14:paraId="28A9BA0E"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Results</w:t>
                  </w:r>
                </w:p>
              </w:tc>
              <w:tc>
                <w:tcPr>
                  <w:tcW w:w="1718" w:type="pct"/>
                  <w:tcBorders>
                    <w:top w:val="single" w:sz="4" w:space="0" w:color="auto"/>
                    <w:left w:val="nil"/>
                    <w:bottom w:val="single" w:sz="4" w:space="0" w:color="auto"/>
                    <w:right w:val="single" w:sz="4" w:space="0" w:color="auto"/>
                  </w:tcBorders>
                  <w:shd w:val="clear" w:color="auto" w:fill="auto"/>
                  <w:noWrap/>
                  <w:hideMark/>
                </w:tcPr>
                <w:p w14:paraId="1253623C"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 xml:space="preserve">Communication failure </w:t>
                  </w:r>
                  <w:proofErr w:type="spellStart"/>
                  <w:r w:rsidRPr="00055807">
                    <w:rPr>
                      <w:rFonts w:ascii="Arial" w:eastAsia="Times New Roman" w:hAnsi="Arial" w:cs="Arial"/>
                      <w:color w:val="000000"/>
                      <w:sz w:val="20"/>
                      <w:lang w:eastAsia="en-GB"/>
                    </w:rPr>
                    <w:t>eg</w:t>
                  </w:r>
                  <w:proofErr w:type="spellEnd"/>
                  <w:r w:rsidRPr="00055807">
                    <w:rPr>
                      <w:rFonts w:ascii="Arial" w:eastAsia="Times New Roman" w:hAnsi="Arial" w:cs="Arial"/>
                      <w:color w:val="000000"/>
                      <w:sz w:val="20"/>
                      <w:lang w:eastAsia="en-GB"/>
                    </w:rPr>
                    <w:t xml:space="preserve"> problem with email</w:t>
                  </w:r>
                </w:p>
              </w:tc>
              <w:tc>
                <w:tcPr>
                  <w:tcW w:w="1079" w:type="pct"/>
                  <w:gridSpan w:val="4"/>
                  <w:tcBorders>
                    <w:top w:val="single" w:sz="4" w:space="0" w:color="auto"/>
                    <w:left w:val="nil"/>
                    <w:bottom w:val="single" w:sz="4" w:space="0" w:color="auto"/>
                    <w:right w:val="single" w:sz="4" w:space="0" w:color="auto"/>
                  </w:tcBorders>
                  <w:shd w:val="clear" w:color="auto" w:fill="auto"/>
                  <w:noWrap/>
                  <w:hideMark/>
                </w:tcPr>
                <w:p w14:paraId="23EC65A6"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4AF586D6" w14:textId="77777777" w:rsidTr="0015368B">
              <w:trPr>
                <w:gridAfter w:val="1"/>
                <w:wAfter w:w="228" w:type="pct"/>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25F9EE5A" w14:textId="77777777" w:rsidR="00557096" w:rsidRPr="00055807" w:rsidRDefault="00557096" w:rsidP="00557096">
                  <w:pPr>
                    <w:spacing w:after="0"/>
                    <w:rPr>
                      <w:rFonts w:ascii="Arial" w:eastAsia="Times New Roman" w:hAnsi="Arial" w:cs="Arial"/>
                      <w:color w:val="000000"/>
                      <w:sz w:val="20"/>
                      <w:lang w:eastAsia="en-GB"/>
                    </w:rPr>
                  </w:pPr>
                </w:p>
              </w:tc>
              <w:tc>
                <w:tcPr>
                  <w:tcW w:w="613" w:type="pct"/>
                  <w:vMerge/>
                  <w:tcBorders>
                    <w:top w:val="single" w:sz="4" w:space="0" w:color="auto"/>
                    <w:left w:val="nil"/>
                    <w:bottom w:val="single" w:sz="4" w:space="0" w:color="000000"/>
                    <w:right w:val="single" w:sz="4" w:space="0" w:color="auto"/>
                  </w:tcBorders>
                  <w:vAlign w:val="center"/>
                  <w:hideMark/>
                </w:tcPr>
                <w:p w14:paraId="0039AB58"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single" w:sz="4" w:space="0" w:color="auto"/>
                    <w:right w:val="single" w:sz="4" w:space="0" w:color="auto"/>
                  </w:tcBorders>
                  <w:shd w:val="clear" w:color="auto" w:fill="auto"/>
                  <w:noWrap/>
                  <w:hideMark/>
                </w:tcPr>
                <w:p w14:paraId="3F6F0EBC"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Automated report problems</w:t>
                  </w:r>
                </w:p>
              </w:tc>
              <w:tc>
                <w:tcPr>
                  <w:tcW w:w="1079" w:type="pct"/>
                  <w:gridSpan w:val="4"/>
                  <w:tcBorders>
                    <w:top w:val="nil"/>
                    <w:left w:val="nil"/>
                    <w:bottom w:val="single" w:sz="4" w:space="0" w:color="auto"/>
                    <w:right w:val="single" w:sz="4" w:space="0" w:color="auto"/>
                  </w:tcBorders>
                  <w:shd w:val="clear" w:color="auto" w:fill="auto"/>
                  <w:noWrap/>
                  <w:hideMark/>
                </w:tcPr>
                <w:p w14:paraId="22950BE1"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r>
            <w:tr w:rsidR="00557096" w:rsidRPr="00055807" w14:paraId="0FA0D29F"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4842A040" w14:textId="77777777" w:rsidR="00557096" w:rsidRPr="00055807" w:rsidRDefault="00557096" w:rsidP="00557096">
                  <w:pPr>
                    <w:spacing w:after="0"/>
                    <w:rPr>
                      <w:rFonts w:ascii="Arial" w:eastAsia="Times New Roman" w:hAnsi="Arial" w:cs="Arial"/>
                      <w:color w:val="000000"/>
                      <w:sz w:val="20"/>
                      <w:lang w:eastAsia="en-GB"/>
                    </w:rPr>
                  </w:pPr>
                </w:p>
              </w:tc>
              <w:tc>
                <w:tcPr>
                  <w:tcW w:w="613" w:type="pct"/>
                  <w:tcBorders>
                    <w:top w:val="nil"/>
                    <w:left w:val="nil"/>
                    <w:bottom w:val="nil"/>
                    <w:right w:val="nil"/>
                  </w:tcBorders>
                  <w:shd w:val="clear" w:color="auto" w:fill="auto"/>
                  <w:noWrap/>
                  <w:hideMark/>
                </w:tcPr>
                <w:p w14:paraId="3F0A8F4B" w14:textId="77777777" w:rsidR="00557096" w:rsidRPr="00055807" w:rsidRDefault="00557096" w:rsidP="00557096">
                  <w:pPr>
                    <w:spacing w:after="0"/>
                    <w:rPr>
                      <w:rFonts w:ascii="Arial" w:eastAsia="Times New Roman" w:hAnsi="Arial" w:cs="Arial"/>
                      <w:color w:val="000000"/>
                      <w:sz w:val="20"/>
                      <w:lang w:eastAsia="en-GB"/>
                    </w:rPr>
                  </w:pPr>
                </w:p>
              </w:tc>
              <w:tc>
                <w:tcPr>
                  <w:tcW w:w="1718" w:type="pct"/>
                  <w:tcBorders>
                    <w:top w:val="nil"/>
                    <w:left w:val="nil"/>
                    <w:bottom w:val="nil"/>
                    <w:right w:val="nil"/>
                  </w:tcBorders>
                  <w:shd w:val="clear" w:color="auto" w:fill="auto"/>
                  <w:noWrap/>
                  <w:hideMark/>
                </w:tcPr>
                <w:p w14:paraId="1327F422" w14:textId="77777777" w:rsidR="00557096" w:rsidRPr="00055807" w:rsidRDefault="00557096" w:rsidP="00557096">
                  <w:pPr>
                    <w:spacing w:after="0"/>
                    <w:rPr>
                      <w:rFonts w:ascii="Arial" w:eastAsia="Times New Roman" w:hAnsi="Arial" w:cs="Arial"/>
                      <w:sz w:val="20"/>
                      <w:lang w:eastAsia="en-GB"/>
                    </w:rPr>
                  </w:pPr>
                </w:p>
              </w:tc>
              <w:tc>
                <w:tcPr>
                  <w:tcW w:w="876" w:type="pct"/>
                  <w:tcBorders>
                    <w:top w:val="nil"/>
                    <w:left w:val="nil"/>
                    <w:bottom w:val="nil"/>
                    <w:right w:val="nil"/>
                  </w:tcBorders>
                  <w:shd w:val="clear" w:color="auto" w:fill="auto"/>
                  <w:noWrap/>
                  <w:hideMark/>
                </w:tcPr>
                <w:p w14:paraId="7ECD858E" w14:textId="77777777" w:rsidR="00557096" w:rsidRPr="00055807" w:rsidRDefault="00557096" w:rsidP="00557096">
                  <w:pPr>
                    <w:spacing w:after="0"/>
                    <w:rPr>
                      <w:rFonts w:ascii="Arial" w:eastAsia="Times New Roman" w:hAnsi="Arial" w:cs="Arial"/>
                      <w:sz w:val="20"/>
                      <w:lang w:eastAsia="en-GB"/>
                    </w:rPr>
                  </w:pPr>
                </w:p>
              </w:tc>
              <w:tc>
                <w:tcPr>
                  <w:tcW w:w="431" w:type="pct"/>
                  <w:gridSpan w:val="4"/>
                  <w:tcBorders>
                    <w:top w:val="nil"/>
                    <w:left w:val="nil"/>
                    <w:bottom w:val="nil"/>
                    <w:right w:val="nil"/>
                  </w:tcBorders>
                  <w:shd w:val="clear" w:color="auto" w:fill="auto"/>
                  <w:noWrap/>
                  <w:hideMark/>
                </w:tcPr>
                <w:p w14:paraId="2D89842F" w14:textId="77777777" w:rsidR="00557096" w:rsidRPr="00055807" w:rsidRDefault="00557096" w:rsidP="00557096">
                  <w:pPr>
                    <w:spacing w:after="0"/>
                    <w:rPr>
                      <w:rFonts w:ascii="Arial" w:eastAsia="Times New Roman" w:hAnsi="Arial" w:cs="Arial"/>
                      <w:sz w:val="20"/>
                      <w:lang w:eastAsia="en-GB"/>
                    </w:rPr>
                  </w:pPr>
                </w:p>
              </w:tc>
            </w:tr>
            <w:tr w:rsidR="00557096" w:rsidRPr="00055807" w14:paraId="298C2A12" w14:textId="77777777" w:rsidTr="0015368B">
              <w:trPr>
                <w:trHeight w:val="300"/>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27BCE58B" w14:textId="77777777" w:rsidR="00557096" w:rsidRPr="00055807" w:rsidRDefault="00557096" w:rsidP="00557096">
                  <w:pPr>
                    <w:spacing w:after="0"/>
                    <w:rPr>
                      <w:rFonts w:ascii="Arial" w:eastAsia="Times New Roman" w:hAnsi="Arial" w:cs="Arial"/>
                      <w:color w:val="000000"/>
                      <w:sz w:val="20"/>
                      <w:lang w:eastAsia="en-GB"/>
                    </w:rPr>
                  </w:pPr>
                </w:p>
              </w:tc>
              <w:tc>
                <w:tcPr>
                  <w:tcW w:w="613" w:type="pct"/>
                  <w:tcBorders>
                    <w:top w:val="single" w:sz="4" w:space="0" w:color="auto"/>
                    <w:left w:val="nil"/>
                    <w:bottom w:val="single" w:sz="4" w:space="0" w:color="auto"/>
                    <w:right w:val="single" w:sz="4" w:space="0" w:color="auto"/>
                  </w:tcBorders>
                  <w:shd w:val="clear" w:color="auto" w:fill="auto"/>
                  <w:noWrap/>
                  <w:hideMark/>
                </w:tcPr>
                <w:p w14:paraId="14BEDFCA"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Other reasons</w:t>
                  </w:r>
                </w:p>
              </w:tc>
              <w:tc>
                <w:tcPr>
                  <w:tcW w:w="1718" w:type="pct"/>
                  <w:tcBorders>
                    <w:top w:val="single" w:sz="4" w:space="0" w:color="auto"/>
                    <w:left w:val="nil"/>
                    <w:bottom w:val="single" w:sz="4" w:space="0" w:color="auto"/>
                    <w:right w:val="single" w:sz="4" w:space="0" w:color="auto"/>
                  </w:tcBorders>
                  <w:shd w:val="clear" w:color="auto" w:fill="auto"/>
                  <w:noWrap/>
                  <w:hideMark/>
                </w:tcPr>
                <w:p w14:paraId="799BF723" w14:textId="77777777" w:rsidR="00557096" w:rsidRPr="00055807" w:rsidRDefault="00557096" w:rsidP="00557096">
                  <w:pPr>
                    <w:spacing w:after="0"/>
                    <w:rPr>
                      <w:rFonts w:ascii="Arial" w:eastAsia="Times New Roman" w:hAnsi="Arial" w:cs="Arial"/>
                      <w:color w:val="000000"/>
                      <w:sz w:val="20"/>
                      <w:lang w:eastAsia="en-GB"/>
                    </w:rPr>
                  </w:pPr>
                  <w:r w:rsidRPr="00055807">
                    <w:rPr>
                      <w:rFonts w:ascii="Arial" w:eastAsia="Times New Roman" w:hAnsi="Arial" w:cs="Arial"/>
                      <w:color w:val="000000"/>
                      <w:sz w:val="20"/>
                      <w:lang w:eastAsia="en-GB"/>
                    </w:rPr>
                    <w:t>Free text</w:t>
                  </w:r>
                </w:p>
              </w:tc>
              <w:tc>
                <w:tcPr>
                  <w:tcW w:w="876" w:type="pct"/>
                  <w:tcBorders>
                    <w:top w:val="nil"/>
                    <w:left w:val="nil"/>
                    <w:bottom w:val="nil"/>
                    <w:right w:val="nil"/>
                  </w:tcBorders>
                  <w:shd w:val="clear" w:color="auto" w:fill="auto"/>
                  <w:noWrap/>
                  <w:hideMark/>
                </w:tcPr>
                <w:p w14:paraId="6F64E0BD" w14:textId="77777777" w:rsidR="00557096" w:rsidRPr="00055807" w:rsidRDefault="00557096" w:rsidP="00557096">
                  <w:pPr>
                    <w:spacing w:after="0"/>
                    <w:rPr>
                      <w:rFonts w:ascii="Arial" w:eastAsia="Times New Roman" w:hAnsi="Arial" w:cs="Arial"/>
                      <w:color w:val="000000"/>
                      <w:sz w:val="20"/>
                      <w:lang w:eastAsia="en-GB"/>
                    </w:rPr>
                  </w:pPr>
                </w:p>
              </w:tc>
              <w:tc>
                <w:tcPr>
                  <w:tcW w:w="431" w:type="pct"/>
                  <w:gridSpan w:val="4"/>
                  <w:tcBorders>
                    <w:top w:val="nil"/>
                    <w:left w:val="nil"/>
                    <w:bottom w:val="nil"/>
                    <w:right w:val="nil"/>
                  </w:tcBorders>
                  <w:shd w:val="clear" w:color="auto" w:fill="auto"/>
                  <w:noWrap/>
                  <w:hideMark/>
                </w:tcPr>
                <w:p w14:paraId="0C0EA993" w14:textId="77777777" w:rsidR="00557096" w:rsidRPr="00055807" w:rsidRDefault="00557096" w:rsidP="00557096">
                  <w:pPr>
                    <w:spacing w:after="0"/>
                    <w:rPr>
                      <w:rFonts w:ascii="Arial" w:eastAsia="Times New Roman" w:hAnsi="Arial" w:cs="Arial"/>
                      <w:sz w:val="20"/>
                      <w:lang w:eastAsia="en-GB"/>
                    </w:rPr>
                  </w:pPr>
                </w:p>
              </w:tc>
            </w:tr>
          </w:tbl>
          <w:p w14:paraId="0136BAD3" w14:textId="77777777" w:rsidR="00557096" w:rsidRPr="00055807" w:rsidRDefault="00557096" w:rsidP="00557096">
            <w:pPr>
              <w:rPr>
                <w:rFonts w:ascii="Arial" w:hAnsi="Arial" w:cs="Arial"/>
                <w:sz w:val="20"/>
              </w:rPr>
            </w:pPr>
            <w:r w:rsidRPr="00055807">
              <w:rPr>
                <w:rFonts w:ascii="Arial" w:hAnsi="Arial" w:cs="Arial"/>
                <w:sz w:val="20"/>
              </w:rPr>
              <w:t>Singleton pregnancy</w:t>
            </w:r>
          </w:p>
          <w:p w14:paraId="2BA9F2AA" w14:textId="77777777" w:rsidR="00557096" w:rsidRPr="00055807" w:rsidRDefault="00557096" w:rsidP="00557096">
            <w:pPr>
              <w:rPr>
                <w:rFonts w:ascii="Arial" w:hAnsi="Arial" w:cs="Arial"/>
                <w:sz w:val="20"/>
              </w:rPr>
            </w:pPr>
            <w:r w:rsidRPr="00055807">
              <w:rPr>
                <w:rFonts w:ascii="Arial" w:hAnsi="Arial" w:cs="Arial"/>
                <w:sz w:val="20"/>
              </w:rPr>
              <w:t xml:space="preserve">Twin pregnancy – </w:t>
            </w:r>
            <w:proofErr w:type="spellStart"/>
            <w:r w:rsidRPr="00055807">
              <w:rPr>
                <w:rFonts w:ascii="Arial" w:hAnsi="Arial" w:cs="Arial"/>
                <w:sz w:val="20"/>
              </w:rPr>
              <w:t>chorionicity</w:t>
            </w:r>
            <w:proofErr w:type="spellEnd"/>
            <w:r w:rsidRPr="00055807">
              <w:rPr>
                <w:rFonts w:ascii="Arial" w:hAnsi="Arial" w:cs="Arial"/>
                <w:sz w:val="20"/>
              </w:rPr>
              <w:t xml:space="preserve"> – mono, di and zygosity if available</w:t>
            </w:r>
          </w:p>
          <w:p w14:paraId="31CF3E93" w14:textId="77777777" w:rsidR="00557096" w:rsidRPr="00055807" w:rsidRDefault="00557096" w:rsidP="00557096">
            <w:pPr>
              <w:rPr>
                <w:rFonts w:ascii="Arial" w:hAnsi="Arial" w:cs="Arial"/>
                <w:sz w:val="20"/>
              </w:rPr>
            </w:pPr>
            <w:r w:rsidRPr="00055807">
              <w:rPr>
                <w:rFonts w:ascii="Arial" w:hAnsi="Arial" w:cs="Arial"/>
                <w:sz w:val="20"/>
              </w:rPr>
              <w:t>Add to results – failure to select the correct testing algorithm for the pregnancy</w:t>
            </w:r>
          </w:p>
          <w:p w14:paraId="76A05212" w14:textId="3D467A55" w:rsidR="00557096" w:rsidRDefault="00557096" w:rsidP="00557096">
            <w:pPr>
              <w:rPr>
                <w:rFonts w:ascii="Arial" w:hAnsi="Arial" w:cs="Arial"/>
              </w:rPr>
            </w:pPr>
          </w:p>
          <w:p w14:paraId="53CFEF16" w14:textId="77777777" w:rsidR="00E40D69" w:rsidRPr="00055807" w:rsidRDefault="00E40D69" w:rsidP="00557096">
            <w:pPr>
              <w:rPr>
                <w:rFonts w:ascii="Arial" w:hAnsi="Arial" w:cs="Arial"/>
              </w:rPr>
            </w:pPr>
          </w:p>
          <w:tbl>
            <w:tblPr>
              <w:tblW w:w="8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71"/>
              <w:gridCol w:w="6520"/>
            </w:tblGrid>
            <w:tr w:rsidR="0077725E" w:rsidRPr="00E40D69" w14:paraId="499D7A53" w14:textId="77777777" w:rsidTr="00055807">
              <w:tc>
                <w:tcPr>
                  <w:tcW w:w="1871" w:type="dxa"/>
                  <w:shd w:val="clear" w:color="auto" w:fill="C00000"/>
                  <w:vAlign w:val="center"/>
                </w:tcPr>
                <w:p w14:paraId="7F797BBA" w14:textId="77777777" w:rsidR="00557096" w:rsidRPr="00055807" w:rsidRDefault="00557096" w:rsidP="00557096">
                  <w:pPr>
                    <w:spacing w:line="320" w:lineRule="exact"/>
                    <w:rPr>
                      <w:rFonts w:ascii="Arial" w:hAnsi="Arial" w:cs="Arial"/>
                      <w:b/>
                      <w:sz w:val="20"/>
                    </w:rPr>
                  </w:pPr>
                  <w:r w:rsidRPr="00055807">
                    <w:rPr>
                      <w:rFonts w:ascii="Arial" w:hAnsi="Arial" w:cs="Arial"/>
                      <w:b/>
                      <w:sz w:val="20"/>
                    </w:rPr>
                    <w:br w:type="page"/>
                    <w:t>Metric</w:t>
                  </w:r>
                </w:p>
              </w:tc>
              <w:tc>
                <w:tcPr>
                  <w:tcW w:w="6520" w:type="dxa"/>
                  <w:shd w:val="clear" w:color="auto" w:fill="C00000"/>
                  <w:vAlign w:val="center"/>
                </w:tcPr>
                <w:p w14:paraId="728C887A" w14:textId="77777777" w:rsidR="00557096" w:rsidRPr="00055807" w:rsidRDefault="00557096" w:rsidP="00557096">
                  <w:pPr>
                    <w:spacing w:line="320" w:lineRule="exact"/>
                    <w:rPr>
                      <w:rFonts w:ascii="Arial" w:hAnsi="Arial" w:cs="Arial"/>
                      <w:b/>
                      <w:sz w:val="20"/>
                    </w:rPr>
                  </w:pPr>
                  <w:r w:rsidRPr="00055807">
                    <w:rPr>
                      <w:rFonts w:ascii="Arial" w:hAnsi="Arial" w:cs="Arial"/>
                      <w:b/>
                      <w:sz w:val="20"/>
                    </w:rPr>
                    <w:t xml:space="preserve">NIPT 3: </w:t>
                  </w:r>
                  <w:bookmarkStart w:id="33" w:name="KPI_ID2"/>
                  <w:r w:rsidRPr="00055807">
                    <w:rPr>
                      <w:rFonts w:ascii="Arial" w:hAnsi="Arial" w:cs="Arial"/>
                      <w:b/>
                      <w:sz w:val="20"/>
                    </w:rPr>
                    <w:t xml:space="preserve">Timely NIPT sample receipt in the genomic laboratory </w:t>
                  </w:r>
                  <w:bookmarkEnd w:id="33"/>
                </w:p>
              </w:tc>
            </w:tr>
            <w:tr w:rsidR="00E40D69" w:rsidRPr="00E40D69" w14:paraId="43129772" w14:textId="77777777" w:rsidTr="00055807">
              <w:tc>
                <w:tcPr>
                  <w:tcW w:w="1871" w:type="dxa"/>
                </w:tcPr>
                <w:p w14:paraId="403AF577" w14:textId="77777777" w:rsidR="00557096" w:rsidRPr="00055807" w:rsidRDefault="00557096" w:rsidP="00557096">
                  <w:pPr>
                    <w:spacing w:line="320" w:lineRule="exact"/>
                    <w:rPr>
                      <w:rFonts w:ascii="Arial" w:hAnsi="Arial" w:cs="Arial"/>
                      <w:sz w:val="20"/>
                    </w:rPr>
                  </w:pPr>
                  <w:r w:rsidRPr="00055807">
                    <w:rPr>
                      <w:rFonts w:ascii="Arial" w:hAnsi="Arial" w:cs="Arial"/>
                      <w:sz w:val="20"/>
                    </w:rPr>
                    <w:t>Description</w:t>
                  </w:r>
                </w:p>
              </w:tc>
              <w:tc>
                <w:tcPr>
                  <w:tcW w:w="6520" w:type="dxa"/>
                </w:tcPr>
                <w:p w14:paraId="30E7AE33" w14:textId="77777777" w:rsidR="00557096" w:rsidRPr="00055807" w:rsidRDefault="00557096" w:rsidP="00557096">
                  <w:pPr>
                    <w:pStyle w:val="CommentText"/>
                    <w:spacing w:line="320" w:lineRule="exact"/>
                    <w:rPr>
                      <w:rFonts w:cs="Arial"/>
                    </w:rPr>
                  </w:pPr>
                  <w:r w:rsidRPr="00055807">
                    <w:rPr>
                      <w:rFonts w:cs="Arial"/>
                    </w:rPr>
                    <w:t>The proportion of all NIPT samples received in the genomic laboratory within 24- 48 hours</w:t>
                  </w:r>
                </w:p>
              </w:tc>
            </w:tr>
            <w:tr w:rsidR="00E40D69" w:rsidRPr="00E40D69" w14:paraId="5ADD432B" w14:textId="77777777" w:rsidTr="00055807">
              <w:tc>
                <w:tcPr>
                  <w:tcW w:w="1871" w:type="dxa"/>
                </w:tcPr>
                <w:p w14:paraId="3B48BDBE" w14:textId="77777777" w:rsidR="00557096" w:rsidRPr="00055807" w:rsidRDefault="00557096" w:rsidP="00557096">
                  <w:pPr>
                    <w:spacing w:line="320" w:lineRule="exact"/>
                    <w:rPr>
                      <w:rFonts w:ascii="Arial" w:hAnsi="Arial" w:cs="Arial"/>
                      <w:sz w:val="20"/>
                    </w:rPr>
                  </w:pPr>
                  <w:r w:rsidRPr="00055807">
                    <w:rPr>
                      <w:rFonts w:ascii="Arial" w:hAnsi="Arial" w:cs="Arial"/>
                      <w:sz w:val="20"/>
                    </w:rPr>
                    <w:t>Rationale</w:t>
                  </w:r>
                </w:p>
              </w:tc>
              <w:tc>
                <w:tcPr>
                  <w:tcW w:w="6520" w:type="dxa"/>
                </w:tcPr>
                <w:p w14:paraId="70A3E6E1" w14:textId="77777777" w:rsidR="00557096" w:rsidRPr="00055807" w:rsidRDefault="00557096" w:rsidP="00557096">
                  <w:pPr>
                    <w:pStyle w:val="Default"/>
                    <w:rPr>
                      <w:sz w:val="20"/>
                      <w:szCs w:val="20"/>
                    </w:rPr>
                  </w:pPr>
                  <w:r w:rsidRPr="00055807">
                    <w:rPr>
                      <w:sz w:val="20"/>
                      <w:szCs w:val="20"/>
                    </w:rPr>
                    <w:t xml:space="preserve">All samples must arrive within the screening laboratory as soon as possible after the sample is taken. This enables the laboratory to analyse the sample at the earliest opportunity and also reduces the risk of sample deterioration due to prolonged despatch </w:t>
                  </w:r>
                </w:p>
              </w:tc>
            </w:tr>
            <w:tr w:rsidR="00E40D69" w:rsidRPr="00E40D69" w14:paraId="5C78BB8B" w14:textId="77777777" w:rsidTr="00055807">
              <w:tc>
                <w:tcPr>
                  <w:tcW w:w="1871" w:type="dxa"/>
                </w:tcPr>
                <w:p w14:paraId="7566A528" w14:textId="77777777" w:rsidR="00557096" w:rsidRPr="00055807" w:rsidRDefault="00557096" w:rsidP="00557096">
                  <w:pPr>
                    <w:spacing w:line="320" w:lineRule="exact"/>
                    <w:rPr>
                      <w:rFonts w:ascii="Arial" w:hAnsi="Arial" w:cs="Arial"/>
                      <w:sz w:val="20"/>
                    </w:rPr>
                  </w:pPr>
                  <w:r w:rsidRPr="00055807">
                    <w:rPr>
                      <w:rFonts w:ascii="Arial" w:hAnsi="Arial" w:cs="Arial"/>
                      <w:sz w:val="20"/>
                    </w:rPr>
                    <w:t>Definition</w:t>
                  </w:r>
                </w:p>
              </w:tc>
              <w:tc>
                <w:tcPr>
                  <w:tcW w:w="6520" w:type="dxa"/>
                  <w:tcMar>
                    <w:top w:w="113" w:type="dxa"/>
                  </w:tcMar>
                </w:tcPr>
                <w:tbl>
                  <w:tblPr>
                    <w:tblpPr w:leftFromText="180" w:rightFromText="180" w:horzAnchor="margin" w:tblpY="300"/>
                    <w:tblOverlap w:val="never"/>
                    <w:tblW w:w="0" w:type="auto"/>
                    <w:tblCellMar>
                      <w:top w:w="28" w:type="dxa"/>
                      <w:left w:w="57" w:type="dxa"/>
                      <w:bottom w:w="28" w:type="dxa"/>
                      <w:right w:w="57" w:type="dxa"/>
                    </w:tblCellMar>
                    <w:tblLook w:val="04A0" w:firstRow="1" w:lastRow="0" w:firstColumn="1" w:lastColumn="0" w:noHBand="0" w:noVBand="1"/>
                  </w:tblPr>
                  <w:tblGrid>
                    <w:gridCol w:w="1437"/>
                    <w:gridCol w:w="3945"/>
                  </w:tblGrid>
                  <w:tr w:rsidR="00557096" w:rsidRPr="00055807" w14:paraId="361D9F06" w14:textId="77777777" w:rsidTr="00055807">
                    <w:tc>
                      <w:tcPr>
                        <w:tcW w:w="1437" w:type="dxa"/>
                        <w:tcBorders>
                          <w:top w:val="single" w:sz="4" w:space="0" w:color="auto"/>
                          <w:left w:val="single" w:sz="4" w:space="0" w:color="auto"/>
                          <w:bottom w:val="single" w:sz="4" w:space="0" w:color="auto"/>
                          <w:right w:val="single" w:sz="4" w:space="0" w:color="auto"/>
                        </w:tcBorders>
                      </w:tcPr>
                      <w:p w14:paraId="7DDAD5E1" w14:textId="77777777" w:rsidR="00557096" w:rsidRPr="00055807" w:rsidRDefault="00557096" w:rsidP="00557096">
                        <w:pPr>
                          <w:spacing w:line="320" w:lineRule="atLeast"/>
                          <w:rPr>
                            <w:rFonts w:ascii="Arial" w:hAnsi="Arial" w:cs="Arial"/>
                            <w:i/>
                            <w:sz w:val="20"/>
                          </w:rPr>
                        </w:pPr>
                        <w:r w:rsidRPr="00055807">
                          <w:rPr>
                            <w:rFonts w:ascii="Arial" w:hAnsi="Arial" w:cs="Arial"/>
                            <w:i/>
                            <w:sz w:val="20"/>
                          </w:rPr>
                          <w:t xml:space="preserve">number of NIPT samples received by the laboratory </w:t>
                        </w:r>
                        <w:r w:rsidRPr="00055807">
                          <w:rPr>
                            <w:rFonts w:ascii="Arial" w:hAnsi="Arial" w:cs="Arial"/>
                            <w:sz w:val="20"/>
                          </w:rPr>
                          <w:t>≤</w:t>
                        </w:r>
                        <w:r w:rsidRPr="00055807">
                          <w:rPr>
                            <w:rFonts w:ascii="Arial" w:hAnsi="Arial" w:cs="Arial"/>
                            <w:i/>
                            <w:sz w:val="20"/>
                          </w:rPr>
                          <w:t xml:space="preserve"> 2 days of sample collection/draw</w:t>
                        </w:r>
                      </w:p>
                    </w:tc>
                    <w:tc>
                      <w:tcPr>
                        <w:tcW w:w="3945" w:type="dxa"/>
                        <w:vMerge w:val="restart"/>
                        <w:tcBorders>
                          <w:top w:val="single" w:sz="4" w:space="0" w:color="auto"/>
                          <w:left w:val="single" w:sz="4" w:space="0" w:color="auto"/>
                          <w:bottom w:val="single" w:sz="4" w:space="0" w:color="auto"/>
                          <w:right w:val="single" w:sz="4" w:space="0" w:color="auto"/>
                        </w:tcBorders>
                        <w:vAlign w:val="center"/>
                      </w:tcPr>
                      <w:p w14:paraId="4F4C1DBC" w14:textId="77777777" w:rsidR="00557096" w:rsidRPr="00055807" w:rsidRDefault="00557096" w:rsidP="00557096">
                        <w:pPr>
                          <w:spacing w:line="320" w:lineRule="atLeast"/>
                          <w:rPr>
                            <w:rFonts w:ascii="Arial" w:hAnsi="Arial" w:cs="Arial"/>
                            <w:sz w:val="20"/>
                          </w:rPr>
                        </w:pPr>
                        <w:r w:rsidRPr="00055807">
                          <w:rPr>
                            <w:rFonts w:ascii="Arial" w:hAnsi="Arial" w:cs="Arial"/>
                            <w:sz w:val="20"/>
                          </w:rPr>
                          <w:t>expressed as a percentage, where:</w:t>
                        </w:r>
                      </w:p>
                    </w:tc>
                  </w:tr>
                  <w:tr w:rsidR="00557096" w:rsidRPr="00055807" w14:paraId="559FCA45" w14:textId="77777777" w:rsidTr="00055807">
                    <w:tc>
                      <w:tcPr>
                        <w:tcW w:w="1437" w:type="dxa"/>
                        <w:tcBorders>
                          <w:top w:val="single" w:sz="4" w:space="0" w:color="auto"/>
                          <w:left w:val="single" w:sz="4" w:space="0" w:color="auto"/>
                          <w:bottom w:val="single" w:sz="4" w:space="0" w:color="auto"/>
                          <w:right w:val="single" w:sz="4" w:space="0" w:color="auto"/>
                        </w:tcBorders>
                      </w:tcPr>
                      <w:p w14:paraId="296A67F9" w14:textId="77777777" w:rsidR="00557096" w:rsidRPr="00055807" w:rsidRDefault="00557096" w:rsidP="00557096">
                        <w:pPr>
                          <w:spacing w:line="320" w:lineRule="atLeast"/>
                          <w:rPr>
                            <w:rFonts w:ascii="Arial" w:hAnsi="Arial" w:cs="Arial"/>
                            <w:i/>
                            <w:sz w:val="20"/>
                          </w:rPr>
                        </w:pPr>
                        <w:r w:rsidRPr="00055807">
                          <w:rPr>
                            <w:rFonts w:ascii="Arial" w:hAnsi="Arial" w:cs="Arial"/>
                            <w:i/>
                            <w:sz w:val="20"/>
                          </w:rPr>
                          <w:t xml:space="preserve">number of NIPT samples </w:t>
                        </w:r>
                        <w:r w:rsidRPr="00055807">
                          <w:rPr>
                            <w:rFonts w:ascii="Arial" w:hAnsi="Arial" w:cs="Arial"/>
                            <w:i/>
                            <w:sz w:val="20"/>
                          </w:rPr>
                          <w:lastRenderedPageBreak/>
                          <w:t xml:space="preserve">received by the laboratory </w:t>
                        </w:r>
                      </w:p>
                    </w:tc>
                    <w:tc>
                      <w:tcPr>
                        <w:tcW w:w="3945" w:type="dxa"/>
                        <w:vMerge/>
                        <w:tcBorders>
                          <w:top w:val="single" w:sz="4" w:space="0" w:color="auto"/>
                          <w:left w:val="single" w:sz="4" w:space="0" w:color="auto"/>
                          <w:bottom w:val="single" w:sz="4" w:space="0" w:color="auto"/>
                          <w:right w:val="single" w:sz="4" w:space="0" w:color="auto"/>
                        </w:tcBorders>
                      </w:tcPr>
                      <w:p w14:paraId="7223772C" w14:textId="77777777" w:rsidR="00557096" w:rsidRPr="00055807" w:rsidRDefault="00557096" w:rsidP="00557096">
                        <w:pPr>
                          <w:spacing w:line="320" w:lineRule="atLeast"/>
                          <w:rPr>
                            <w:rFonts w:ascii="Arial" w:hAnsi="Arial" w:cs="Arial"/>
                            <w:sz w:val="20"/>
                          </w:rPr>
                        </w:pPr>
                      </w:p>
                    </w:tc>
                  </w:tr>
                </w:tbl>
                <w:p w14:paraId="6E1F997F" w14:textId="77777777" w:rsidR="00557096" w:rsidRPr="00055807" w:rsidRDefault="00557096" w:rsidP="00557096">
                  <w:pPr>
                    <w:spacing w:line="320" w:lineRule="exact"/>
                    <w:rPr>
                      <w:rFonts w:ascii="Arial" w:hAnsi="Arial" w:cs="Arial"/>
                      <w:i/>
                      <w:sz w:val="20"/>
                    </w:rPr>
                  </w:pPr>
                </w:p>
                <w:p w14:paraId="4D509492" w14:textId="77777777" w:rsidR="00557096" w:rsidRPr="00055807" w:rsidRDefault="00557096" w:rsidP="00557096">
                  <w:pPr>
                    <w:pStyle w:val="Default"/>
                    <w:spacing w:line="320" w:lineRule="atLeast"/>
                    <w:rPr>
                      <w:rFonts w:eastAsia="Times New Roman"/>
                      <w:i/>
                      <w:color w:val="auto"/>
                      <w:sz w:val="20"/>
                      <w:szCs w:val="20"/>
                    </w:rPr>
                  </w:pPr>
                </w:p>
                <w:p w14:paraId="2760938F" w14:textId="77777777" w:rsidR="00557096" w:rsidRPr="00055807" w:rsidRDefault="00557096" w:rsidP="00557096">
                  <w:pPr>
                    <w:pStyle w:val="Default"/>
                    <w:spacing w:line="320" w:lineRule="atLeast"/>
                    <w:rPr>
                      <w:rFonts w:eastAsia="Times New Roman"/>
                      <w:i/>
                      <w:color w:val="auto"/>
                      <w:sz w:val="20"/>
                      <w:szCs w:val="20"/>
                    </w:rPr>
                  </w:pPr>
                </w:p>
                <w:p w14:paraId="3F09ABB7" w14:textId="77777777" w:rsidR="00557096" w:rsidRPr="00055807" w:rsidRDefault="00557096" w:rsidP="00557096">
                  <w:pPr>
                    <w:pStyle w:val="Default"/>
                    <w:spacing w:line="320" w:lineRule="atLeast"/>
                    <w:rPr>
                      <w:rFonts w:eastAsia="Times New Roman"/>
                      <w:i/>
                      <w:color w:val="auto"/>
                      <w:sz w:val="20"/>
                      <w:szCs w:val="20"/>
                    </w:rPr>
                  </w:pPr>
                </w:p>
                <w:p w14:paraId="710D725B" w14:textId="77777777" w:rsidR="00557096" w:rsidRPr="00055807" w:rsidRDefault="00557096" w:rsidP="00557096">
                  <w:pPr>
                    <w:pStyle w:val="Default"/>
                    <w:spacing w:line="320" w:lineRule="atLeast"/>
                    <w:rPr>
                      <w:rFonts w:eastAsia="Times New Roman"/>
                      <w:i/>
                      <w:color w:val="auto"/>
                      <w:sz w:val="20"/>
                      <w:szCs w:val="20"/>
                    </w:rPr>
                  </w:pPr>
                </w:p>
                <w:p w14:paraId="2BE8F5F6" w14:textId="77777777" w:rsidR="00557096" w:rsidRPr="00055807" w:rsidRDefault="00557096" w:rsidP="00557096">
                  <w:pPr>
                    <w:pStyle w:val="Default"/>
                    <w:spacing w:line="320" w:lineRule="atLeast"/>
                    <w:rPr>
                      <w:rFonts w:eastAsia="Times New Roman"/>
                      <w:i/>
                      <w:color w:val="auto"/>
                      <w:sz w:val="20"/>
                      <w:szCs w:val="20"/>
                    </w:rPr>
                  </w:pPr>
                </w:p>
                <w:p w14:paraId="23309D3C" w14:textId="77777777" w:rsidR="00557096" w:rsidRPr="00055807" w:rsidRDefault="00557096" w:rsidP="00557096">
                  <w:pPr>
                    <w:pStyle w:val="Default"/>
                    <w:spacing w:line="320" w:lineRule="atLeast"/>
                    <w:rPr>
                      <w:rFonts w:eastAsia="Times New Roman"/>
                      <w:i/>
                      <w:color w:val="auto"/>
                      <w:sz w:val="20"/>
                      <w:szCs w:val="20"/>
                    </w:rPr>
                  </w:pPr>
                </w:p>
                <w:p w14:paraId="1B0CC97C" w14:textId="77777777" w:rsidR="00557096" w:rsidRPr="00055807" w:rsidRDefault="00557096" w:rsidP="00557096">
                  <w:pPr>
                    <w:pStyle w:val="Default"/>
                    <w:spacing w:line="320" w:lineRule="atLeast"/>
                    <w:rPr>
                      <w:rFonts w:eastAsia="Times New Roman"/>
                      <w:i/>
                      <w:color w:val="auto"/>
                      <w:sz w:val="20"/>
                      <w:szCs w:val="20"/>
                    </w:rPr>
                  </w:pPr>
                </w:p>
                <w:p w14:paraId="549A66D9" w14:textId="77777777" w:rsidR="00557096" w:rsidRPr="00055807" w:rsidRDefault="00557096" w:rsidP="00557096">
                  <w:pPr>
                    <w:pStyle w:val="Default"/>
                    <w:spacing w:line="320" w:lineRule="atLeast"/>
                    <w:rPr>
                      <w:rFonts w:eastAsia="Times New Roman"/>
                      <w:i/>
                      <w:color w:val="auto"/>
                      <w:sz w:val="20"/>
                      <w:szCs w:val="20"/>
                    </w:rPr>
                  </w:pPr>
                </w:p>
                <w:p w14:paraId="426873A4" w14:textId="77777777" w:rsidR="00557096" w:rsidRPr="00055807" w:rsidRDefault="00557096" w:rsidP="00557096">
                  <w:pPr>
                    <w:pStyle w:val="Default"/>
                    <w:spacing w:line="320" w:lineRule="atLeast"/>
                    <w:rPr>
                      <w:rFonts w:eastAsia="Times New Roman"/>
                      <w:i/>
                      <w:color w:val="auto"/>
                      <w:sz w:val="20"/>
                      <w:szCs w:val="20"/>
                    </w:rPr>
                  </w:pPr>
                </w:p>
                <w:p w14:paraId="3C292821" w14:textId="77777777" w:rsidR="00557096" w:rsidRPr="00055807" w:rsidRDefault="00557096" w:rsidP="00557096">
                  <w:pPr>
                    <w:pStyle w:val="Default"/>
                    <w:spacing w:line="320" w:lineRule="atLeast"/>
                    <w:rPr>
                      <w:rFonts w:eastAsia="Times New Roman"/>
                      <w:i/>
                      <w:color w:val="auto"/>
                      <w:sz w:val="20"/>
                      <w:szCs w:val="20"/>
                    </w:rPr>
                  </w:pPr>
                </w:p>
                <w:p w14:paraId="11F553C1" w14:textId="77777777" w:rsidR="00557096" w:rsidRPr="00055807" w:rsidRDefault="00557096" w:rsidP="00557096">
                  <w:pPr>
                    <w:pStyle w:val="Default"/>
                    <w:spacing w:line="320" w:lineRule="atLeast"/>
                    <w:rPr>
                      <w:rFonts w:eastAsia="Times New Roman"/>
                      <w:i/>
                      <w:color w:val="auto"/>
                      <w:sz w:val="20"/>
                      <w:szCs w:val="20"/>
                    </w:rPr>
                  </w:pPr>
                </w:p>
                <w:tbl>
                  <w:tblPr>
                    <w:tblpPr w:leftFromText="180" w:rightFromText="180" w:horzAnchor="margin" w:tblpY="300"/>
                    <w:tblOverlap w:val="never"/>
                    <w:tblW w:w="0" w:type="auto"/>
                    <w:tblCellMar>
                      <w:top w:w="28" w:type="dxa"/>
                      <w:left w:w="57" w:type="dxa"/>
                      <w:bottom w:w="28" w:type="dxa"/>
                      <w:right w:w="57" w:type="dxa"/>
                    </w:tblCellMar>
                    <w:tblLook w:val="04A0" w:firstRow="1" w:lastRow="0" w:firstColumn="1" w:lastColumn="0" w:noHBand="0" w:noVBand="1"/>
                  </w:tblPr>
                  <w:tblGrid>
                    <w:gridCol w:w="1437"/>
                    <w:gridCol w:w="3378"/>
                  </w:tblGrid>
                  <w:tr w:rsidR="00557096" w:rsidRPr="00055807" w14:paraId="5DE52E89" w14:textId="77777777" w:rsidTr="00055807">
                    <w:tc>
                      <w:tcPr>
                        <w:tcW w:w="1437" w:type="dxa"/>
                        <w:tcBorders>
                          <w:top w:val="single" w:sz="4" w:space="0" w:color="auto"/>
                          <w:left w:val="single" w:sz="4" w:space="0" w:color="auto"/>
                          <w:bottom w:val="single" w:sz="4" w:space="0" w:color="auto"/>
                          <w:right w:val="single" w:sz="4" w:space="0" w:color="auto"/>
                        </w:tcBorders>
                      </w:tcPr>
                      <w:p w14:paraId="0B9ADDD2" w14:textId="77777777" w:rsidR="00557096" w:rsidRPr="00055807" w:rsidRDefault="00557096" w:rsidP="00557096">
                        <w:pPr>
                          <w:spacing w:line="320" w:lineRule="atLeast"/>
                          <w:rPr>
                            <w:rFonts w:ascii="Arial" w:hAnsi="Arial" w:cs="Arial"/>
                            <w:i/>
                            <w:sz w:val="20"/>
                          </w:rPr>
                        </w:pPr>
                        <w:r w:rsidRPr="00055807">
                          <w:rPr>
                            <w:rFonts w:ascii="Arial" w:hAnsi="Arial" w:cs="Arial"/>
                            <w:i/>
                            <w:sz w:val="20"/>
                          </w:rPr>
                          <w:t xml:space="preserve">number of NIPT samples received by the laboratory </w:t>
                        </w:r>
                        <w:r w:rsidRPr="00055807">
                          <w:rPr>
                            <w:rFonts w:ascii="Arial" w:hAnsi="Arial" w:cs="Arial"/>
                            <w:sz w:val="20"/>
                          </w:rPr>
                          <w:t>≤</w:t>
                        </w:r>
                        <w:r w:rsidRPr="00055807">
                          <w:rPr>
                            <w:rFonts w:ascii="Arial" w:hAnsi="Arial" w:cs="Arial"/>
                            <w:i/>
                            <w:sz w:val="20"/>
                          </w:rPr>
                          <w:t xml:space="preserve"> 1 day of sample collection/draw</w:t>
                        </w:r>
                      </w:p>
                    </w:tc>
                    <w:tc>
                      <w:tcPr>
                        <w:tcW w:w="3378" w:type="dxa"/>
                        <w:vMerge w:val="restart"/>
                        <w:tcBorders>
                          <w:top w:val="single" w:sz="4" w:space="0" w:color="auto"/>
                          <w:left w:val="single" w:sz="4" w:space="0" w:color="auto"/>
                          <w:bottom w:val="single" w:sz="4" w:space="0" w:color="auto"/>
                          <w:right w:val="single" w:sz="4" w:space="0" w:color="auto"/>
                        </w:tcBorders>
                        <w:vAlign w:val="center"/>
                      </w:tcPr>
                      <w:p w14:paraId="4F3C7870" w14:textId="77777777" w:rsidR="00557096" w:rsidRPr="00055807" w:rsidRDefault="00557096" w:rsidP="00557096">
                        <w:pPr>
                          <w:spacing w:line="320" w:lineRule="atLeast"/>
                          <w:rPr>
                            <w:rFonts w:ascii="Arial" w:hAnsi="Arial" w:cs="Arial"/>
                            <w:sz w:val="20"/>
                          </w:rPr>
                        </w:pPr>
                        <w:r w:rsidRPr="00055807">
                          <w:rPr>
                            <w:rFonts w:ascii="Arial" w:hAnsi="Arial" w:cs="Arial"/>
                            <w:sz w:val="20"/>
                          </w:rPr>
                          <w:t>expressed as a percentage, where:</w:t>
                        </w:r>
                      </w:p>
                    </w:tc>
                  </w:tr>
                  <w:tr w:rsidR="00557096" w:rsidRPr="00055807" w14:paraId="42F3B7CB" w14:textId="77777777" w:rsidTr="00055807">
                    <w:tc>
                      <w:tcPr>
                        <w:tcW w:w="1437" w:type="dxa"/>
                        <w:tcBorders>
                          <w:top w:val="single" w:sz="4" w:space="0" w:color="auto"/>
                          <w:left w:val="single" w:sz="4" w:space="0" w:color="auto"/>
                          <w:bottom w:val="single" w:sz="4" w:space="0" w:color="auto"/>
                          <w:right w:val="single" w:sz="4" w:space="0" w:color="auto"/>
                        </w:tcBorders>
                      </w:tcPr>
                      <w:p w14:paraId="3C373368" w14:textId="77777777" w:rsidR="00557096" w:rsidRPr="00055807" w:rsidRDefault="00557096" w:rsidP="00557096">
                        <w:pPr>
                          <w:spacing w:line="320" w:lineRule="atLeast"/>
                          <w:rPr>
                            <w:rFonts w:ascii="Arial" w:hAnsi="Arial" w:cs="Arial"/>
                            <w:i/>
                            <w:sz w:val="20"/>
                          </w:rPr>
                        </w:pPr>
                        <w:r w:rsidRPr="00055807">
                          <w:rPr>
                            <w:rFonts w:ascii="Arial" w:hAnsi="Arial" w:cs="Arial"/>
                            <w:i/>
                            <w:sz w:val="20"/>
                          </w:rPr>
                          <w:t xml:space="preserve">number of NIPT samples received by the laboratory </w:t>
                        </w:r>
                      </w:p>
                    </w:tc>
                    <w:tc>
                      <w:tcPr>
                        <w:tcW w:w="3378" w:type="dxa"/>
                        <w:vMerge/>
                        <w:tcBorders>
                          <w:top w:val="single" w:sz="4" w:space="0" w:color="auto"/>
                          <w:left w:val="single" w:sz="4" w:space="0" w:color="auto"/>
                          <w:bottom w:val="single" w:sz="4" w:space="0" w:color="auto"/>
                          <w:right w:val="single" w:sz="4" w:space="0" w:color="auto"/>
                        </w:tcBorders>
                      </w:tcPr>
                      <w:p w14:paraId="2CBBFD5E" w14:textId="77777777" w:rsidR="00557096" w:rsidRPr="00055807" w:rsidRDefault="00557096" w:rsidP="00557096">
                        <w:pPr>
                          <w:spacing w:line="320" w:lineRule="atLeast"/>
                          <w:rPr>
                            <w:rFonts w:ascii="Arial" w:hAnsi="Arial" w:cs="Arial"/>
                            <w:sz w:val="20"/>
                          </w:rPr>
                        </w:pPr>
                      </w:p>
                    </w:tc>
                  </w:tr>
                </w:tbl>
                <w:p w14:paraId="1ADECCE0" w14:textId="77777777" w:rsidR="00557096" w:rsidRPr="00055807" w:rsidRDefault="00557096" w:rsidP="00557096">
                  <w:pPr>
                    <w:pStyle w:val="Default"/>
                    <w:spacing w:line="320" w:lineRule="atLeast"/>
                    <w:rPr>
                      <w:rFonts w:eastAsia="Times New Roman"/>
                      <w:i/>
                      <w:color w:val="auto"/>
                      <w:sz w:val="20"/>
                      <w:szCs w:val="20"/>
                    </w:rPr>
                  </w:pPr>
                </w:p>
                <w:p w14:paraId="706676F4" w14:textId="77777777" w:rsidR="00557096" w:rsidRPr="00055807" w:rsidRDefault="00557096" w:rsidP="00557096">
                  <w:pPr>
                    <w:pStyle w:val="Default"/>
                    <w:spacing w:line="320" w:lineRule="atLeast"/>
                    <w:rPr>
                      <w:sz w:val="20"/>
                      <w:szCs w:val="20"/>
                    </w:rPr>
                  </w:pPr>
                  <w:r w:rsidRPr="00055807">
                    <w:rPr>
                      <w:i/>
                      <w:iCs/>
                      <w:sz w:val="20"/>
                      <w:szCs w:val="20"/>
                    </w:rPr>
                    <w:t xml:space="preserve">sample received </w:t>
                  </w:r>
                  <w:r w:rsidRPr="00055807">
                    <w:rPr>
                      <w:sz w:val="20"/>
                      <w:szCs w:val="20"/>
                    </w:rPr>
                    <w:t xml:space="preserve">is when the sample is recorded as received on the laboratory information management system </w:t>
                  </w:r>
                </w:p>
                <w:p w14:paraId="25EE56B8" w14:textId="77777777" w:rsidR="00557096" w:rsidRPr="00055807" w:rsidRDefault="00557096" w:rsidP="00557096">
                  <w:pPr>
                    <w:pStyle w:val="Default"/>
                    <w:rPr>
                      <w:sz w:val="20"/>
                      <w:szCs w:val="20"/>
                    </w:rPr>
                  </w:pPr>
                </w:p>
                <w:p w14:paraId="43818FDC" w14:textId="77777777" w:rsidR="00557096" w:rsidRPr="00055807" w:rsidRDefault="00557096" w:rsidP="00557096">
                  <w:pPr>
                    <w:pStyle w:val="Default"/>
                    <w:rPr>
                      <w:color w:val="auto"/>
                      <w:sz w:val="20"/>
                      <w:szCs w:val="20"/>
                      <w:u w:val="single"/>
                    </w:rPr>
                  </w:pPr>
                  <w:r w:rsidRPr="00055807">
                    <w:rPr>
                      <w:sz w:val="20"/>
                      <w:szCs w:val="20"/>
                    </w:rPr>
                    <w:t xml:space="preserve">For the purposes of this standard, day of sample collection is day 0 </w:t>
                  </w:r>
                </w:p>
              </w:tc>
            </w:tr>
            <w:tr w:rsidR="00E40D69" w:rsidRPr="00E40D69" w14:paraId="48AFEC83" w14:textId="77777777" w:rsidTr="00055807">
              <w:tc>
                <w:tcPr>
                  <w:tcW w:w="1871" w:type="dxa"/>
                </w:tcPr>
                <w:p w14:paraId="1EBFAE6C" w14:textId="77777777" w:rsidR="00557096" w:rsidRPr="00055807" w:rsidRDefault="00557096" w:rsidP="00557096">
                  <w:pPr>
                    <w:spacing w:line="320" w:lineRule="exact"/>
                    <w:rPr>
                      <w:rFonts w:ascii="Arial" w:hAnsi="Arial" w:cs="Arial"/>
                      <w:sz w:val="20"/>
                    </w:rPr>
                  </w:pPr>
                  <w:r w:rsidRPr="00055807">
                    <w:rPr>
                      <w:rFonts w:ascii="Arial" w:hAnsi="Arial" w:cs="Arial"/>
                      <w:sz w:val="20"/>
                    </w:rPr>
                    <w:lastRenderedPageBreak/>
                    <w:t>Performance thresholds</w:t>
                  </w:r>
                </w:p>
              </w:tc>
              <w:tc>
                <w:tcPr>
                  <w:tcW w:w="6520" w:type="dxa"/>
                  <w:tcMar>
                    <w:top w:w="113" w:type="dxa"/>
                    <w:bottom w:w="113" w:type="dxa"/>
                  </w:tcMar>
                </w:tcPr>
                <w:p w14:paraId="3A93206E" w14:textId="77777777" w:rsidR="00557096" w:rsidRPr="00055807" w:rsidRDefault="00557096" w:rsidP="00557096">
                  <w:pPr>
                    <w:spacing w:line="320" w:lineRule="exact"/>
                    <w:rPr>
                      <w:rFonts w:ascii="Arial" w:hAnsi="Arial" w:cs="Arial"/>
                      <w:sz w:val="20"/>
                    </w:rPr>
                  </w:pPr>
                  <w:r w:rsidRPr="00055807">
                    <w:rPr>
                      <w:rFonts w:ascii="Arial" w:hAnsi="Arial" w:cs="Arial"/>
                      <w:sz w:val="20"/>
                    </w:rPr>
                    <w:t xml:space="preserve">Acceptable level: ≥ 97.0% </w:t>
                  </w:r>
                  <w:r w:rsidRPr="00055807">
                    <w:rPr>
                      <w:rFonts w:ascii="Arial" w:hAnsi="Arial" w:cs="Arial"/>
                      <w:i/>
                      <w:sz w:val="20"/>
                    </w:rPr>
                    <w:t xml:space="preserve">received by the laboratory </w:t>
                  </w:r>
                  <w:r w:rsidRPr="00055807">
                    <w:rPr>
                      <w:rFonts w:ascii="Arial" w:hAnsi="Arial" w:cs="Arial"/>
                      <w:sz w:val="20"/>
                    </w:rPr>
                    <w:t>≤</w:t>
                  </w:r>
                  <w:r w:rsidRPr="00055807">
                    <w:rPr>
                      <w:rFonts w:ascii="Arial" w:hAnsi="Arial" w:cs="Arial"/>
                      <w:i/>
                      <w:sz w:val="20"/>
                    </w:rPr>
                    <w:t xml:space="preserve"> 2 days of sample collection/draw</w:t>
                  </w:r>
                </w:p>
                <w:p w14:paraId="394FE278" w14:textId="77777777" w:rsidR="00557096" w:rsidRPr="00055807" w:rsidRDefault="00557096" w:rsidP="00557096">
                  <w:pPr>
                    <w:spacing w:line="320" w:lineRule="exact"/>
                    <w:rPr>
                      <w:rFonts w:ascii="Arial" w:hAnsi="Arial" w:cs="Arial"/>
                      <w:sz w:val="20"/>
                    </w:rPr>
                  </w:pPr>
                  <w:r w:rsidRPr="00055807">
                    <w:rPr>
                      <w:rFonts w:ascii="Arial" w:hAnsi="Arial" w:cs="Arial"/>
                      <w:sz w:val="20"/>
                    </w:rPr>
                    <w:t xml:space="preserve">Achievable level: ≥ 97.0% </w:t>
                  </w:r>
                  <w:r w:rsidRPr="00055807">
                    <w:rPr>
                      <w:rFonts w:ascii="Arial" w:hAnsi="Arial" w:cs="Arial"/>
                      <w:i/>
                      <w:sz w:val="20"/>
                    </w:rPr>
                    <w:t xml:space="preserve">received by the laboratory </w:t>
                  </w:r>
                  <w:r w:rsidRPr="00055807">
                    <w:rPr>
                      <w:rFonts w:ascii="Arial" w:hAnsi="Arial" w:cs="Arial"/>
                      <w:sz w:val="20"/>
                    </w:rPr>
                    <w:t>≤</w:t>
                  </w:r>
                  <w:r w:rsidRPr="00055807">
                    <w:rPr>
                      <w:rFonts w:ascii="Arial" w:hAnsi="Arial" w:cs="Arial"/>
                      <w:i/>
                      <w:sz w:val="20"/>
                    </w:rPr>
                    <w:t xml:space="preserve"> 1 day of sample collection/draw</w:t>
                  </w:r>
                </w:p>
              </w:tc>
            </w:tr>
            <w:tr w:rsidR="00E40D69" w:rsidRPr="00E40D69" w14:paraId="408868DC" w14:textId="77777777" w:rsidTr="00055807">
              <w:tc>
                <w:tcPr>
                  <w:tcW w:w="1871" w:type="dxa"/>
                </w:tcPr>
                <w:p w14:paraId="20112C0B" w14:textId="77777777" w:rsidR="00557096" w:rsidRPr="00055807" w:rsidRDefault="00557096" w:rsidP="00557096">
                  <w:pPr>
                    <w:spacing w:line="320" w:lineRule="exact"/>
                    <w:rPr>
                      <w:rFonts w:ascii="Arial" w:hAnsi="Arial" w:cs="Arial"/>
                      <w:sz w:val="20"/>
                    </w:rPr>
                  </w:pPr>
                  <w:r w:rsidRPr="00055807">
                    <w:rPr>
                      <w:rFonts w:ascii="Arial" w:hAnsi="Arial" w:cs="Arial"/>
                      <w:sz w:val="20"/>
                    </w:rPr>
                    <w:t>Mitigations/ qualifications</w:t>
                  </w:r>
                </w:p>
              </w:tc>
              <w:tc>
                <w:tcPr>
                  <w:tcW w:w="6520" w:type="dxa"/>
                </w:tcPr>
                <w:p w14:paraId="4DD35C4A" w14:textId="77777777" w:rsidR="00557096" w:rsidRPr="00055807" w:rsidRDefault="00557096" w:rsidP="00557096">
                  <w:pPr>
                    <w:spacing w:line="320" w:lineRule="exact"/>
                    <w:rPr>
                      <w:rFonts w:ascii="Arial" w:hAnsi="Arial" w:cs="Arial"/>
                      <w:sz w:val="20"/>
                    </w:rPr>
                  </w:pPr>
                  <w:r w:rsidRPr="00055807">
                    <w:rPr>
                      <w:rFonts w:ascii="Arial" w:hAnsi="Arial" w:cs="Arial"/>
                      <w:sz w:val="20"/>
                    </w:rPr>
                    <w:t>None</w:t>
                  </w:r>
                  <w:r w:rsidRPr="00055807">
                    <w:rPr>
                      <w:rFonts w:ascii="Arial" w:hAnsi="Arial" w:cs="Arial"/>
                      <w:color w:val="231F20"/>
                      <w:sz w:val="20"/>
                    </w:rPr>
                    <w:t xml:space="preserve"> </w:t>
                  </w:r>
                </w:p>
              </w:tc>
            </w:tr>
            <w:tr w:rsidR="00E40D69" w:rsidRPr="00E40D69" w14:paraId="0F25FF1F" w14:textId="77777777" w:rsidTr="00055807">
              <w:tc>
                <w:tcPr>
                  <w:tcW w:w="1871" w:type="dxa"/>
                </w:tcPr>
                <w:p w14:paraId="4C2BA1ED" w14:textId="77777777" w:rsidR="00557096" w:rsidRPr="00055807" w:rsidRDefault="00557096" w:rsidP="00557096">
                  <w:pPr>
                    <w:spacing w:line="320" w:lineRule="exact"/>
                    <w:rPr>
                      <w:rFonts w:ascii="Arial" w:hAnsi="Arial" w:cs="Arial"/>
                      <w:sz w:val="20"/>
                    </w:rPr>
                  </w:pPr>
                  <w:r w:rsidRPr="00055807">
                    <w:rPr>
                      <w:rFonts w:ascii="Arial" w:hAnsi="Arial" w:cs="Arial"/>
                      <w:sz w:val="20"/>
                    </w:rPr>
                    <w:t>Reporting arrangements</w:t>
                  </w:r>
                </w:p>
              </w:tc>
              <w:tc>
                <w:tcPr>
                  <w:tcW w:w="6520" w:type="dxa"/>
                </w:tcPr>
                <w:p w14:paraId="40EFF16A" w14:textId="77777777" w:rsidR="00557096" w:rsidRPr="00055807" w:rsidRDefault="00557096" w:rsidP="00557096">
                  <w:pPr>
                    <w:spacing w:line="320" w:lineRule="exact"/>
                    <w:rPr>
                      <w:rFonts w:ascii="Arial" w:hAnsi="Arial" w:cs="Arial"/>
                      <w:sz w:val="20"/>
                    </w:rPr>
                  </w:pPr>
                  <w:r w:rsidRPr="00055807">
                    <w:rPr>
                      <w:rFonts w:ascii="Arial" w:hAnsi="Arial" w:cs="Arial"/>
                      <w:sz w:val="20"/>
                    </w:rPr>
                    <w:t xml:space="preserve">Reporting focus: </w:t>
                  </w:r>
                  <w:hyperlink w:anchor="MaternityService" w:tooltip="A co-ordinated network of healthcare professionals contracted to or working under the policies and procedures agreed with a single acute trust, with collective responsibility for the provision of antenatal, intrapartum and postpartum care." w:history="1">
                    <w:r w:rsidRPr="00055807">
                      <w:rPr>
                        <w:rStyle w:val="Definedterm"/>
                        <w:sz w:val="20"/>
                      </w:rPr>
                      <w:t>maternity service</w:t>
                    </w:r>
                  </w:hyperlink>
                </w:p>
                <w:p w14:paraId="500D5410" w14:textId="77777777" w:rsidR="00557096" w:rsidRPr="00055807" w:rsidRDefault="00557096" w:rsidP="00557096">
                  <w:pPr>
                    <w:spacing w:line="320" w:lineRule="exact"/>
                    <w:rPr>
                      <w:rFonts w:ascii="Arial" w:hAnsi="Arial" w:cs="Arial"/>
                      <w:sz w:val="20"/>
                    </w:rPr>
                  </w:pPr>
                  <w:r w:rsidRPr="00055807">
                    <w:rPr>
                      <w:rFonts w:ascii="Arial" w:hAnsi="Arial" w:cs="Arial"/>
                      <w:sz w:val="20"/>
                    </w:rPr>
                    <w:t xml:space="preserve">Data source: genomic laboratory </w:t>
                  </w:r>
                </w:p>
                <w:p w14:paraId="2A5EBA83" w14:textId="77777777" w:rsidR="00557096" w:rsidRPr="00055807" w:rsidRDefault="00557096" w:rsidP="00557096">
                  <w:pPr>
                    <w:spacing w:line="320" w:lineRule="exact"/>
                    <w:rPr>
                      <w:rFonts w:ascii="Arial" w:hAnsi="Arial" w:cs="Arial"/>
                      <w:b/>
                      <w:i/>
                      <w:sz w:val="20"/>
                    </w:rPr>
                  </w:pPr>
                  <w:r w:rsidRPr="00055807">
                    <w:rPr>
                      <w:rFonts w:ascii="Arial" w:hAnsi="Arial" w:cs="Arial"/>
                      <w:sz w:val="20"/>
                    </w:rPr>
                    <w:t>Responsible for submission: genomic laboratory</w:t>
                  </w:r>
                </w:p>
              </w:tc>
            </w:tr>
            <w:tr w:rsidR="00E40D69" w:rsidRPr="00E40D69" w14:paraId="108BD807" w14:textId="77777777" w:rsidTr="00055807">
              <w:tc>
                <w:tcPr>
                  <w:tcW w:w="1871" w:type="dxa"/>
                </w:tcPr>
                <w:p w14:paraId="3FB8FF56" w14:textId="77777777" w:rsidR="00557096" w:rsidRPr="00055807" w:rsidRDefault="00557096" w:rsidP="00557096">
                  <w:pPr>
                    <w:spacing w:line="320" w:lineRule="exact"/>
                    <w:rPr>
                      <w:rFonts w:ascii="Arial" w:hAnsi="Arial" w:cs="Arial"/>
                      <w:sz w:val="20"/>
                    </w:rPr>
                  </w:pPr>
                  <w:r w:rsidRPr="00055807">
                    <w:rPr>
                      <w:rFonts w:ascii="Arial" w:hAnsi="Arial" w:cs="Arial"/>
                      <w:sz w:val="20"/>
                    </w:rPr>
                    <w:t>Reporting period</w:t>
                  </w:r>
                </w:p>
              </w:tc>
              <w:tc>
                <w:tcPr>
                  <w:tcW w:w="6520" w:type="dxa"/>
                </w:tcPr>
                <w:p w14:paraId="37284D20" w14:textId="77777777" w:rsidR="00557096" w:rsidRPr="00055807" w:rsidRDefault="00557096" w:rsidP="00557096">
                  <w:pPr>
                    <w:spacing w:line="320" w:lineRule="exact"/>
                    <w:rPr>
                      <w:rFonts w:ascii="Arial" w:hAnsi="Arial" w:cs="Arial"/>
                      <w:sz w:val="20"/>
                    </w:rPr>
                  </w:pPr>
                  <w:r w:rsidRPr="00055807">
                    <w:rPr>
                      <w:rFonts w:ascii="Arial" w:hAnsi="Arial" w:cs="Arial"/>
                      <w:sz w:val="20"/>
                    </w:rPr>
                    <w:t>Monthly</w:t>
                  </w:r>
                </w:p>
                <w:p w14:paraId="20239806" w14:textId="77777777" w:rsidR="00557096" w:rsidRPr="00055807" w:rsidRDefault="00557096" w:rsidP="00557096">
                  <w:pPr>
                    <w:spacing w:line="320" w:lineRule="exact"/>
                    <w:rPr>
                      <w:rFonts w:ascii="Arial" w:hAnsi="Arial" w:cs="Arial"/>
                      <w:sz w:val="20"/>
                    </w:rPr>
                  </w:pPr>
                  <w:r w:rsidRPr="00055807">
                    <w:rPr>
                      <w:rFonts w:ascii="Arial" w:hAnsi="Arial" w:cs="Arial"/>
                      <w:sz w:val="20"/>
                    </w:rPr>
                    <w:t xml:space="preserve">Deadlines: </w:t>
                  </w:r>
                </w:p>
              </w:tc>
            </w:tr>
          </w:tbl>
          <w:p w14:paraId="5FEB40B5" w14:textId="03D9CCF3" w:rsidR="00557096" w:rsidRDefault="00557096" w:rsidP="00557096">
            <w:pPr>
              <w:rPr>
                <w:rFonts w:ascii="Arial" w:hAnsi="Arial" w:cs="Arial"/>
              </w:rPr>
            </w:pPr>
          </w:p>
          <w:p w14:paraId="5598272B" w14:textId="492392DC" w:rsidR="001A7FB2" w:rsidRDefault="001A7FB2" w:rsidP="00557096">
            <w:pPr>
              <w:rPr>
                <w:rFonts w:ascii="Arial" w:hAnsi="Arial" w:cs="Arial"/>
              </w:rPr>
            </w:pPr>
          </w:p>
          <w:p w14:paraId="74C5CD86" w14:textId="77777777" w:rsidR="001A7FB2" w:rsidRPr="00055807" w:rsidRDefault="001A7FB2" w:rsidP="00557096">
            <w:pPr>
              <w:rPr>
                <w:rFonts w:ascii="Arial" w:hAnsi="Arial" w:cs="Arial"/>
              </w:rPr>
            </w:pPr>
          </w:p>
          <w:tbl>
            <w:tblPr>
              <w:tblW w:w="8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450"/>
              <w:gridCol w:w="6941"/>
            </w:tblGrid>
            <w:tr w:rsidR="00E40D69" w:rsidRPr="00E40D69" w14:paraId="67F584CB" w14:textId="77777777" w:rsidTr="00055807">
              <w:tc>
                <w:tcPr>
                  <w:tcW w:w="1450" w:type="dxa"/>
                  <w:shd w:val="clear" w:color="auto" w:fill="C00000"/>
                  <w:vAlign w:val="center"/>
                </w:tcPr>
                <w:p w14:paraId="603C9338" w14:textId="77777777" w:rsidR="00557096" w:rsidRPr="00055807" w:rsidRDefault="00557096" w:rsidP="00557096">
                  <w:pPr>
                    <w:spacing w:line="320" w:lineRule="atLeast"/>
                    <w:rPr>
                      <w:rFonts w:ascii="Arial" w:hAnsi="Arial" w:cs="Arial"/>
                      <w:b/>
                      <w:color w:val="FFFFFF" w:themeColor="background1"/>
                      <w:sz w:val="20"/>
                    </w:rPr>
                  </w:pPr>
                  <w:r w:rsidRPr="00055807">
                    <w:rPr>
                      <w:rFonts w:ascii="Arial" w:hAnsi="Arial" w:cs="Arial"/>
                      <w:b/>
                      <w:color w:val="FFFFFF" w:themeColor="background1"/>
                      <w:sz w:val="20"/>
                    </w:rPr>
                    <w:lastRenderedPageBreak/>
                    <w:t>Metric</w:t>
                  </w:r>
                </w:p>
              </w:tc>
              <w:tc>
                <w:tcPr>
                  <w:tcW w:w="6941" w:type="dxa"/>
                  <w:shd w:val="clear" w:color="auto" w:fill="C00000"/>
                  <w:vAlign w:val="center"/>
                </w:tcPr>
                <w:p w14:paraId="0EE8A496" w14:textId="77777777" w:rsidR="00557096" w:rsidRPr="00055807" w:rsidRDefault="00557096" w:rsidP="00557096">
                  <w:pPr>
                    <w:spacing w:line="320" w:lineRule="atLeast"/>
                    <w:rPr>
                      <w:rFonts w:ascii="Arial" w:hAnsi="Arial" w:cs="Arial"/>
                      <w:b/>
                      <w:color w:val="FFFFFF" w:themeColor="background1"/>
                      <w:sz w:val="20"/>
                    </w:rPr>
                  </w:pPr>
                  <w:r w:rsidRPr="00055807">
                    <w:rPr>
                      <w:rFonts w:ascii="Arial" w:hAnsi="Arial" w:cs="Arial"/>
                      <w:b/>
                      <w:color w:val="FFFFFF" w:themeColor="background1"/>
                      <w:sz w:val="20"/>
                    </w:rPr>
                    <w:t xml:space="preserve">NIPT 4: </w:t>
                  </w:r>
                  <w:r w:rsidRPr="00055807">
                    <w:rPr>
                      <w:rFonts w:ascii="Arial" w:hAnsi="Arial" w:cs="Arial"/>
                      <w:b/>
                      <w:sz w:val="20"/>
                    </w:rPr>
                    <w:t xml:space="preserve">The test turnaround time NIPT </w:t>
                  </w:r>
                </w:p>
              </w:tc>
            </w:tr>
            <w:tr w:rsidR="00E40D69" w:rsidRPr="00E40D69" w14:paraId="5712581E" w14:textId="77777777" w:rsidTr="00055807">
              <w:tc>
                <w:tcPr>
                  <w:tcW w:w="1450" w:type="dxa"/>
                </w:tcPr>
                <w:p w14:paraId="034FA2A8"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Description</w:t>
                  </w:r>
                </w:p>
              </w:tc>
              <w:tc>
                <w:tcPr>
                  <w:tcW w:w="6941" w:type="dxa"/>
                </w:tcPr>
                <w:p w14:paraId="211FABE6"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sz w:val="20"/>
                    </w:rPr>
                    <w:t xml:space="preserve">The proportion of all NIPT results reported within the specified timescale </w:t>
                  </w:r>
                </w:p>
              </w:tc>
            </w:tr>
            <w:tr w:rsidR="00E40D69" w:rsidRPr="00E40D69" w14:paraId="69AE4ED9" w14:textId="77777777" w:rsidTr="00055807">
              <w:trPr>
                <w:trHeight w:val="986"/>
              </w:trPr>
              <w:tc>
                <w:tcPr>
                  <w:tcW w:w="1450" w:type="dxa"/>
                </w:tcPr>
                <w:p w14:paraId="75CB6544"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Rationale</w:t>
                  </w:r>
                </w:p>
                <w:p w14:paraId="16F8D0E6" w14:textId="77777777" w:rsidR="00557096" w:rsidRPr="00055807" w:rsidRDefault="00557096" w:rsidP="00557096">
                  <w:pPr>
                    <w:rPr>
                      <w:rFonts w:ascii="Arial" w:hAnsi="Arial" w:cs="Arial"/>
                      <w:sz w:val="20"/>
                    </w:rPr>
                  </w:pPr>
                </w:p>
              </w:tc>
              <w:tc>
                <w:tcPr>
                  <w:tcW w:w="6941" w:type="dxa"/>
                </w:tcPr>
                <w:p w14:paraId="6272D04F" w14:textId="77777777" w:rsidR="00557096" w:rsidRPr="00055807" w:rsidRDefault="00557096" w:rsidP="00557096">
                  <w:pPr>
                    <w:spacing w:line="320" w:lineRule="atLeast"/>
                    <w:rPr>
                      <w:rFonts w:ascii="Arial" w:hAnsi="Arial" w:cs="Arial"/>
                      <w:color w:val="5F5F5F"/>
                      <w:sz w:val="20"/>
                      <w:u w:val="dotted"/>
                    </w:rPr>
                  </w:pPr>
                  <w:r w:rsidRPr="00055807">
                    <w:rPr>
                      <w:rFonts w:ascii="Arial" w:hAnsi="Arial" w:cs="Arial"/>
                      <w:sz w:val="20"/>
                    </w:rPr>
                    <w:t xml:space="preserve">The laboratory must </w:t>
                  </w:r>
                  <w:proofErr w:type="spellStart"/>
                  <w:r w:rsidRPr="00055807">
                    <w:rPr>
                      <w:rFonts w:ascii="Arial" w:hAnsi="Arial" w:cs="Arial"/>
                      <w:sz w:val="20"/>
                    </w:rPr>
                    <w:t>analyse</w:t>
                  </w:r>
                  <w:proofErr w:type="spellEnd"/>
                  <w:r w:rsidRPr="00055807">
                    <w:rPr>
                      <w:rFonts w:ascii="Arial" w:hAnsi="Arial" w:cs="Arial"/>
                      <w:sz w:val="20"/>
                    </w:rPr>
                    <w:t xml:space="preserve"> the sample and report the result at the earliest opportunity to facilitate timely choices</w:t>
                  </w:r>
                </w:p>
              </w:tc>
            </w:tr>
            <w:tr w:rsidR="00E40D69" w:rsidRPr="00E40D69" w14:paraId="7610AC65" w14:textId="77777777" w:rsidTr="00055807">
              <w:tc>
                <w:tcPr>
                  <w:tcW w:w="1450" w:type="dxa"/>
                </w:tcPr>
                <w:p w14:paraId="5F13C71A"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Definition</w:t>
                  </w:r>
                </w:p>
              </w:tc>
              <w:tc>
                <w:tcPr>
                  <w:tcW w:w="6941" w:type="dxa"/>
                  <w:tcMar>
                    <w:top w:w="113" w:type="dxa"/>
                  </w:tcMar>
                </w:tcPr>
                <w:tbl>
                  <w:tblPr>
                    <w:tblpPr w:leftFromText="180" w:rightFromText="180" w:horzAnchor="margin" w:tblpY="300"/>
                    <w:tblOverlap w:val="never"/>
                    <w:tblW w:w="0" w:type="auto"/>
                    <w:tblCellMar>
                      <w:top w:w="28" w:type="dxa"/>
                      <w:left w:w="57" w:type="dxa"/>
                      <w:bottom w:w="28" w:type="dxa"/>
                      <w:right w:w="57" w:type="dxa"/>
                    </w:tblCellMar>
                    <w:tblLook w:val="04A0" w:firstRow="1" w:lastRow="0" w:firstColumn="1" w:lastColumn="0" w:noHBand="0" w:noVBand="1"/>
                  </w:tblPr>
                  <w:tblGrid>
                    <w:gridCol w:w="4390"/>
                    <w:gridCol w:w="1876"/>
                  </w:tblGrid>
                  <w:tr w:rsidR="00557096" w:rsidRPr="00055807" w14:paraId="172AF7E5" w14:textId="77777777" w:rsidTr="0015368B">
                    <w:tc>
                      <w:tcPr>
                        <w:tcW w:w="4390" w:type="dxa"/>
                        <w:tcBorders>
                          <w:top w:val="single" w:sz="4" w:space="0" w:color="auto"/>
                          <w:left w:val="single" w:sz="4" w:space="0" w:color="auto"/>
                          <w:bottom w:val="single" w:sz="4" w:space="0" w:color="auto"/>
                          <w:right w:val="single" w:sz="4" w:space="0" w:color="auto"/>
                        </w:tcBorders>
                      </w:tcPr>
                      <w:p w14:paraId="14CA1C58" w14:textId="77777777" w:rsidR="00557096" w:rsidRPr="00055807" w:rsidRDefault="00557096" w:rsidP="00557096">
                        <w:pPr>
                          <w:spacing w:after="0"/>
                          <w:rPr>
                            <w:rFonts w:ascii="Arial" w:hAnsi="Arial" w:cs="Arial"/>
                            <w:i/>
                            <w:sz w:val="20"/>
                          </w:rPr>
                        </w:pPr>
                        <w:r w:rsidRPr="00055807">
                          <w:rPr>
                            <w:rFonts w:ascii="Arial" w:hAnsi="Arial" w:cs="Arial"/>
                            <w:i/>
                            <w:sz w:val="20"/>
                          </w:rPr>
                          <w:t xml:space="preserve">number of NIPT results reported </w:t>
                        </w:r>
                      </w:p>
                      <w:p w14:paraId="28AE2507" w14:textId="77777777" w:rsidR="00557096" w:rsidRPr="00055807" w:rsidRDefault="00557096" w:rsidP="00557096">
                        <w:pPr>
                          <w:pStyle w:val="Default"/>
                          <w:rPr>
                            <w:sz w:val="20"/>
                            <w:szCs w:val="20"/>
                          </w:rPr>
                        </w:pPr>
                        <w:r w:rsidRPr="00055807">
                          <w:rPr>
                            <w:sz w:val="20"/>
                            <w:szCs w:val="20"/>
                          </w:rPr>
                          <w:t>≤ 7 calendar days</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14:paraId="3BCF34D7" w14:textId="77777777" w:rsidR="00557096" w:rsidRPr="00055807" w:rsidRDefault="00557096" w:rsidP="00557096">
                        <w:pPr>
                          <w:spacing w:line="320" w:lineRule="atLeast"/>
                          <w:rPr>
                            <w:rFonts w:ascii="Arial" w:hAnsi="Arial" w:cs="Arial"/>
                            <w:sz w:val="20"/>
                          </w:rPr>
                        </w:pPr>
                        <w:r w:rsidRPr="00055807">
                          <w:rPr>
                            <w:rFonts w:ascii="Arial" w:hAnsi="Arial" w:cs="Arial"/>
                            <w:sz w:val="20"/>
                          </w:rPr>
                          <w:t>expressed as a percentage, where:</w:t>
                        </w:r>
                      </w:p>
                    </w:tc>
                  </w:tr>
                  <w:tr w:rsidR="00557096" w:rsidRPr="00055807" w14:paraId="3E5F3E99" w14:textId="77777777" w:rsidTr="0015368B">
                    <w:tc>
                      <w:tcPr>
                        <w:tcW w:w="4390" w:type="dxa"/>
                        <w:tcBorders>
                          <w:top w:val="single" w:sz="4" w:space="0" w:color="auto"/>
                          <w:left w:val="single" w:sz="4" w:space="0" w:color="auto"/>
                          <w:bottom w:val="single" w:sz="4" w:space="0" w:color="auto"/>
                          <w:right w:val="single" w:sz="4" w:space="0" w:color="auto"/>
                        </w:tcBorders>
                      </w:tcPr>
                      <w:p w14:paraId="6674D339" w14:textId="77777777" w:rsidR="00557096" w:rsidRPr="00055807" w:rsidRDefault="00557096" w:rsidP="00557096">
                        <w:pPr>
                          <w:spacing w:after="0"/>
                          <w:rPr>
                            <w:rFonts w:ascii="Arial" w:hAnsi="Arial" w:cs="Arial"/>
                            <w:i/>
                            <w:sz w:val="20"/>
                          </w:rPr>
                        </w:pPr>
                        <w:r w:rsidRPr="00055807">
                          <w:rPr>
                            <w:rFonts w:ascii="Arial" w:hAnsi="Arial" w:cs="Arial"/>
                            <w:i/>
                            <w:sz w:val="20"/>
                          </w:rPr>
                          <w:t xml:space="preserve">number of NIPT samples received by the laboratory </w:t>
                        </w:r>
                      </w:p>
                    </w:tc>
                    <w:tc>
                      <w:tcPr>
                        <w:tcW w:w="1876" w:type="dxa"/>
                        <w:vMerge/>
                        <w:tcBorders>
                          <w:top w:val="single" w:sz="4" w:space="0" w:color="auto"/>
                          <w:left w:val="single" w:sz="4" w:space="0" w:color="auto"/>
                          <w:bottom w:val="single" w:sz="4" w:space="0" w:color="auto"/>
                          <w:right w:val="single" w:sz="4" w:space="0" w:color="auto"/>
                        </w:tcBorders>
                      </w:tcPr>
                      <w:p w14:paraId="2AD8130A" w14:textId="77777777" w:rsidR="00557096" w:rsidRPr="00055807" w:rsidRDefault="00557096" w:rsidP="00557096">
                        <w:pPr>
                          <w:spacing w:line="320" w:lineRule="atLeast"/>
                          <w:rPr>
                            <w:rFonts w:ascii="Arial" w:hAnsi="Arial" w:cs="Arial"/>
                            <w:sz w:val="20"/>
                          </w:rPr>
                        </w:pPr>
                      </w:p>
                    </w:tc>
                  </w:tr>
                </w:tbl>
                <w:p w14:paraId="66F156DC" w14:textId="77777777" w:rsidR="00557096" w:rsidRPr="00055807" w:rsidRDefault="00557096" w:rsidP="00557096">
                  <w:pPr>
                    <w:spacing w:line="320" w:lineRule="atLeast"/>
                    <w:rPr>
                      <w:rFonts w:ascii="Arial" w:hAnsi="Arial" w:cs="Arial"/>
                      <w:color w:val="5F5F5F"/>
                      <w:sz w:val="20"/>
                    </w:rPr>
                  </w:pPr>
                </w:p>
                <w:p w14:paraId="539E299C" w14:textId="77777777" w:rsidR="00557096" w:rsidRPr="00055807" w:rsidRDefault="00557096" w:rsidP="00557096">
                  <w:pPr>
                    <w:spacing w:line="320" w:lineRule="atLeast"/>
                    <w:rPr>
                      <w:rFonts w:ascii="Arial" w:hAnsi="Arial" w:cs="Arial"/>
                      <w:color w:val="5F5F5F"/>
                      <w:sz w:val="20"/>
                    </w:rPr>
                  </w:pPr>
                </w:p>
                <w:p w14:paraId="75AF30E4" w14:textId="77777777" w:rsidR="00557096" w:rsidRPr="00055807" w:rsidRDefault="00557096" w:rsidP="00557096">
                  <w:pPr>
                    <w:spacing w:line="320" w:lineRule="atLeast"/>
                    <w:rPr>
                      <w:rFonts w:ascii="Arial" w:hAnsi="Arial" w:cs="Arial"/>
                      <w:color w:val="5F5F5F"/>
                      <w:sz w:val="20"/>
                    </w:rPr>
                  </w:pPr>
                </w:p>
                <w:p w14:paraId="5CF39842" w14:textId="77777777" w:rsidR="00557096" w:rsidRPr="00055807" w:rsidRDefault="00557096" w:rsidP="00557096">
                  <w:pPr>
                    <w:spacing w:line="320" w:lineRule="atLeast"/>
                    <w:rPr>
                      <w:rFonts w:ascii="Arial" w:hAnsi="Arial" w:cs="Arial"/>
                      <w:color w:val="5F5F5F"/>
                      <w:sz w:val="20"/>
                    </w:rPr>
                  </w:pPr>
                </w:p>
                <w:p w14:paraId="0824F884" w14:textId="77777777" w:rsidR="00557096" w:rsidRPr="00055807" w:rsidRDefault="00557096" w:rsidP="00557096">
                  <w:pPr>
                    <w:spacing w:line="320" w:lineRule="atLeast"/>
                    <w:rPr>
                      <w:rFonts w:ascii="Arial" w:hAnsi="Arial" w:cs="Arial"/>
                      <w:color w:val="5F5F5F"/>
                      <w:sz w:val="20"/>
                    </w:rPr>
                  </w:pPr>
                </w:p>
                <w:tbl>
                  <w:tblPr>
                    <w:tblpPr w:leftFromText="180" w:rightFromText="180" w:horzAnchor="margin" w:tblpY="300"/>
                    <w:tblOverlap w:val="never"/>
                    <w:tblW w:w="0" w:type="auto"/>
                    <w:tblCellMar>
                      <w:top w:w="28" w:type="dxa"/>
                      <w:left w:w="57" w:type="dxa"/>
                      <w:bottom w:w="28" w:type="dxa"/>
                      <w:right w:w="57" w:type="dxa"/>
                    </w:tblCellMar>
                    <w:tblLook w:val="04A0" w:firstRow="1" w:lastRow="0" w:firstColumn="1" w:lastColumn="0" w:noHBand="0" w:noVBand="1"/>
                  </w:tblPr>
                  <w:tblGrid>
                    <w:gridCol w:w="4390"/>
                    <w:gridCol w:w="1876"/>
                  </w:tblGrid>
                  <w:tr w:rsidR="00557096" w:rsidRPr="00055807" w14:paraId="4EA65E9D" w14:textId="77777777" w:rsidTr="0015368B">
                    <w:tc>
                      <w:tcPr>
                        <w:tcW w:w="4390" w:type="dxa"/>
                        <w:tcBorders>
                          <w:top w:val="single" w:sz="4" w:space="0" w:color="auto"/>
                          <w:left w:val="single" w:sz="4" w:space="0" w:color="auto"/>
                          <w:bottom w:val="single" w:sz="4" w:space="0" w:color="auto"/>
                          <w:right w:val="single" w:sz="4" w:space="0" w:color="auto"/>
                        </w:tcBorders>
                      </w:tcPr>
                      <w:p w14:paraId="0D5E9FF2" w14:textId="77777777" w:rsidR="00557096" w:rsidRPr="00055807" w:rsidRDefault="00557096" w:rsidP="00557096">
                        <w:pPr>
                          <w:spacing w:after="0"/>
                          <w:rPr>
                            <w:rFonts w:ascii="Arial" w:hAnsi="Arial" w:cs="Arial"/>
                            <w:i/>
                            <w:sz w:val="20"/>
                          </w:rPr>
                        </w:pPr>
                        <w:r w:rsidRPr="00055807">
                          <w:rPr>
                            <w:rFonts w:ascii="Arial" w:hAnsi="Arial" w:cs="Arial"/>
                            <w:i/>
                            <w:sz w:val="20"/>
                          </w:rPr>
                          <w:t xml:space="preserve">number of NIPT results reported </w:t>
                        </w:r>
                      </w:p>
                      <w:p w14:paraId="022ABF0A" w14:textId="77777777" w:rsidR="00557096" w:rsidRPr="00055807" w:rsidRDefault="00557096" w:rsidP="00557096">
                        <w:pPr>
                          <w:pStyle w:val="Default"/>
                          <w:rPr>
                            <w:sz w:val="20"/>
                            <w:szCs w:val="20"/>
                          </w:rPr>
                        </w:pPr>
                        <w:r w:rsidRPr="00055807">
                          <w:rPr>
                            <w:sz w:val="20"/>
                            <w:szCs w:val="20"/>
                          </w:rPr>
                          <w:t>≤ 5 calendar days</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14:paraId="3CEF97FB" w14:textId="77777777" w:rsidR="00557096" w:rsidRPr="00055807" w:rsidRDefault="00557096" w:rsidP="00557096">
                        <w:pPr>
                          <w:spacing w:line="320" w:lineRule="atLeast"/>
                          <w:rPr>
                            <w:rFonts w:ascii="Arial" w:hAnsi="Arial" w:cs="Arial"/>
                            <w:sz w:val="20"/>
                          </w:rPr>
                        </w:pPr>
                        <w:r w:rsidRPr="00055807">
                          <w:rPr>
                            <w:rFonts w:ascii="Arial" w:hAnsi="Arial" w:cs="Arial"/>
                            <w:sz w:val="20"/>
                          </w:rPr>
                          <w:t>expressed as a percentage, where:</w:t>
                        </w:r>
                      </w:p>
                    </w:tc>
                  </w:tr>
                  <w:tr w:rsidR="00557096" w:rsidRPr="00055807" w14:paraId="1AF92438" w14:textId="77777777" w:rsidTr="0015368B">
                    <w:tc>
                      <w:tcPr>
                        <w:tcW w:w="4390" w:type="dxa"/>
                        <w:tcBorders>
                          <w:top w:val="single" w:sz="4" w:space="0" w:color="auto"/>
                          <w:left w:val="single" w:sz="4" w:space="0" w:color="auto"/>
                          <w:bottom w:val="single" w:sz="4" w:space="0" w:color="auto"/>
                          <w:right w:val="single" w:sz="4" w:space="0" w:color="auto"/>
                        </w:tcBorders>
                      </w:tcPr>
                      <w:p w14:paraId="5F888320" w14:textId="77777777" w:rsidR="00557096" w:rsidRPr="00055807" w:rsidRDefault="00557096" w:rsidP="00557096">
                        <w:pPr>
                          <w:spacing w:after="0"/>
                          <w:rPr>
                            <w:rFonts w:ascii="Arial" w:hAnsi="Arial" w:cs="Arial"/>
                            <w:i/>
                            <w:sz w:val="20"/>
                          </w:rPr>
                        </w:pPr>
                        <w:r w:rsidRPr="00055807">
                          <w:rPr>
                            <w:rFonts w:ascii="Arial" w:hAnsi="Arial" w:cs="Arial"/>
                            <w:i/>
                            <w:sz w:val="20"/>
                          </w:rPr>
                          <w:t xml:space="preserve">number of NIPT samples received by the laboratory </w:t>
                        </w:r>
                      </w:p>
                    </w:tc>
                    <w:tc>
                      <w:tcPr>
                        <w:tcW w:w="1876" w:type="dxa"/>
                        <w:vMerge/>
                        <w:tcBorders>
                          <w:top w:val="single" w:sz="4" w:space="0" w:color="auto"/>
                          <w:left w:val="single" w:sz="4" w:space="0" w:color="auto"/>
                          <w:bottom w:val="single" w:sz="4" w:space="0" w:color="auto"/>
                          <w:right w:val="single" w:sz="4" w:space="0" w:color="auto"/>
                        </w:tcBorders>
                      </w:tcPr>
                      <w:p w14:paraId="131B5784" w14:textId="77777777" w:rsidR="00557096" w:rsidRPr="00055807" w:rsidRDefault="00557096" w:rsidP="00557096">
                        <w:pPr>
                          <w:spacing w:line="320" w:lineRule="atLeast"/>
                          <w:rPr>
                            <w:rFonts w:ascii="Arial" w:hAnsi="Arial" w:cs="Arial"/>
                            <w:sz w:val="20"/>
                          </w:rPr>
                        </w:pPr>
                      </w:p>
                    </w:tc>
                  </w:tr>
                </w:tbl>
                <w:p w14:paraId="62EF33D6" w14:textId="77777777" w:rsidR="00557096" w:rsidRPr="00055807" w:rsidRDefault="00557096" w:rsidP="00557096">
                  <w:pPr>
                    <w:spacing w:line="320" w:lineRule="atLeast"/>
                    <w:rPr>
                      <w:rFonts w:ascii="Arial" w:hAnsi="Arial" w:cs="Arial"/>
                      <w:color w:val="5F5F5F"/>
                      <w:sz w:val="20"/>
                    </w:rPr>
                  </w:pPr>
                </w:p>
                <w:p w14:paraId="0DA47B20" w14:textId="77777777" w:rsidR="00557096" w:rsidRPr="00055807" w:rsidRDefault="00557096" w:rsidP="00557096">
                  <w:pPr>
                    <w:spacing w:line="320" w:lineRule="atLeast"/>
                    <w:rPr>
                      <w:rFonts w:ascii="Arial" w:hAnsi="Arial" w:cs="Arial"/>
                      <w:sz w:val="20"/>
                    </w:rPr>
                  </w:pPr>
                  <w:r w:rsidRPr="00055807">
                    <w:rPr>
                      <w:rFonts w:ascii="Arial" w:hAnsi="Arial" w:cs="Arial"/>
                      <w:sz w:val="20"/>
                    </w:rPr>
                    <w:t xml:space="preserve">For the purposes of this standard, day of sample receipt is day 1 </w:t>
                  </w:r>
                </w:p>
                <w:p w14:paraId="7A14410E"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The denominator and numerator includes s</w:t>
                  </w:r>
                  <w:r w:rsidRPr="00055807">
                    <w:rPr>
                      <w:rFonts w:ascii="Arial" w:hAnsi="Arial" w:cs="Arial"/>
                      <w:sz w:val="20"/>
                    </w:rPr>
                    <w:t xml:space="preserve">amples that are </w:t>
                  </w:r>
                  <w:proofErr w:type="spellStart"/>
                  <w:r w:rsidRPr="00055807">
                    <w:rPr>
                      <w:rFonts w:ascii="Arial" w:hAnsi="Arial" w:cs="Arial"/>
                      <w:sz w:val="20"/>
                    </w:rPr>
                    <w:t>analysed</w:t>
                  </w:r>
                  <w:proofErr w:type="spellEnd"/>
                  <w:r w:rsidRPr="00055807">
                    <w:rPr>
                      <w:rFonts w:ascii="Arial" w:hAnsi="Arial" w:cs="Arial"/>
                      <w:sz w:val="20"/>
                    </w:rPr>
                    <w:t xml:space="preserve"> where the result is ‘no result’</w:t>
                  </w:r>
                </w:p>
              </w:tc>
            </w:tr>
            <w:tr w:rsidR="00E40D69" w:rsidRPr="00E40D69" w14:paraId="22377472" w14:textId="77777777" w:rsidTr="00055807">
              <w:tc>
                <w:tcPr>
                  <w:tcW w:w="1450" w:type="dxa"/>
                </w:tcPr>
                <w:p w14:paraId="78B297B3"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Performance thresholds</w:t>
                  </w:r>
                </w:p>
              </w:tc>
              <w:tc>
                <w:tcPr>
                  <w:tcW w:w="6941" w:type="dxa"/>
                </w:tcPr>
                <w:p w14:paraId="7672955A"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 xml:space="preserve">Acceptable level: ≥ 95.0% of results are reported </w:t>
                  </w:r>
                  <w:r w:rsidRPr="00055807">
                    <w:rPr>
                      <w:rFonts w:ascii="Arial" w:hAnsi="Arial" w:cs="Arial"/>
                      <w:sz w:val="20"/>
                    </w:rPr>
                    <w:t>≤ 7 calendar days</w:t>
                  </w:r>
                </w:p>
                <w:p w14:paraId="24D88A1E" w14:textId="77777777" w:rsidR="00557096" w:rsidRPr="00055807" w:rsidRDefault="00557096" w:rsidP="00557096">
                  <w:pPr>
                    <w:spacing w:line="320" w:lineRule="atLeast"/>
                    <w:rPr>
                      <w:rFonts w:ascii="Arial" w:hAnsi="Arial" w:cs="Arial"/>
                      <w:sz w:val="20"/>
                    </w:rPr>
                  </w:pPr>
                  <w:r w:rsidRPr="00055807">
                    <w:rPr>
                      <w:rFonts w:ascii="Arial" w:hAnsi="Arial" w:cs="Arial"/>
                      <w:color w:val="5F5F5F"/>
                      <w:sz w:val="20"/>
                    </w:rPr>
                    <w:t xml:space="preserve">Achievable level: ≥ 95.0% of results are reported </w:t>
                  </w:r>
                  <w:r w:rsidRPr="00055807">
                    <w:rPr>
                      <w:rFonts w:ascii="Arial" w:hAnsi="Arial" w:cs="Arial"/>
                      <w:sz w:val="20"/>
                    </w:rPr>
                    <w:t>≤ 5 calendar days</w:t>
                  </w:r>
                </w:p>
              </w:tc>
            </w:tr>
            <w:tr w:rsidR="00E40D69" w:rsidRPr="00E40D69" w14:paraId="235AE301" w14:textId="77777777" w:rsidTr="00055807">
              <w:tc>
                <w:tcPr>
                  <w:tcW w:w="1450" w:type="dxa"/>
                </w:tcPr>
                <w:p w14:paraId="447B0132"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Mitigations/</w:t>
                  </w:r>
                  <w:r w:rsidRPr="00055807">
                    <w:rPr>
                      <w:rFonts w:ascii="Arial" w:hAnsi="Arial" w:cs="Arial"/>
                      <w:color w:val="5F5F5F"/>
                      <w:sz w:val="20"/>
                    </w:rPr>
                    <w:br/>
                    <w:t>qualifications</w:t>
                  </w:r>
                </w:p>
              </w:tc>
              <w:tc>
                <w:tcPr>
                  <w:tcW w:w="6941" w:type="dxa"/>
                </w:tcPr>
                <w:p w14:paraId="3DE9B574" w14:textId="77777777" w:rsidR="00557096" w:rsidRPr="00E40D69" w:rsidRDefault="00557096" w:rsidP="00557096">
                  <w:pPr>
                    <w:pStyle w:val="CommentText"/>
                    <w:spacing w:line="320" w:lineRule="atLeast"/>
                    <w:rPr>
                      <w:rFonts w:cs="Arial"/>
                    </w:rPr>
                  </w:pPr>
                  <w:r w:rsidRPr="00E40D69">
                    <w:rPr>
                      <w:rFonts w:cs="Arial"/>
                    </w:rPr>
                    <w:t>Denominator excludes initial samples received by the laboratory that are not analysed as they are not fit for analysis either because of poor sample quality or lack of information to accurately identify the sample and a repeat sample is requested</w:t>
                  </w:r>
                </w:p>
                <w:p w14:paraId="49E2F842" w14:textId="77777777" w:rsidR="00557096" w:rsidRPr="00055807" w:rsidRDefault="00557096" w:rsidP="00557096">
                  <w:pPr>
                    <w:pStyle w:val="CommentText"/>
                    <w:spacing w:line="320" w:lineRule="atLeast"/>
                    <w:rPr>
                      <w:rFonts w:cs="Arial"/>
                      <w:color w:val="5F5F5F"/>
                      <w:u w:val="single"/>
                    </w:rPr>
                  </w:pPr>
                </w:p>
              </w:tc>
            </w:tr>
            <w:tr w:rsidR="00E40D69" w:rsidRPr="00E40D69" w14:paraId="3091250B" w14:textId="77777777" w:rsidTr="00055807">
              <w:tc>
                <w:tcPr>
                  <w:tcW w:w="1450" w:type="dxa"/>
                </w:tcPr>
                <w:p w14:paraId="70C36DD5"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Reporting arrangements</w:t>
                  </w:r>
                </w:p>
              </w:tc>
              <w:tc>
                <w:tcPr>
                  <w:tcW w:w="6941" w:type="dxa"/>
                </w:tcPr>
                <w:p w14:paraId="145987BB"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Reporting focus: genomic laboratory</w:t>
                  </w:r>
                </w:p>
                <w:p w14:paraId="49B8D472" w14:textId="77777777" w:rsidR="00557096" w:rsidRPr="00055807" w:rsidRDefault="00557096" w:rsidP="00557096">
                  <w:pPr>
                    <w:spacing w:line="320" w:lineRule="atLeast"/>
                    <w:rPr>
                      <w:rFonts w:ascii="Arial" w:hAnsi="Arial" w:cs="Arial"/>
                      <w:sz w:val="20"/>
                    </w:rPr>
                  </w:pPr>
                  <w:r w:rsidRPr="00055807">
                    <w:rPr>
                      <w:rFonts w:ascii="Arial" w:hAnsi="Arial" w:cs="Arial"/>
                      <w:color w:val="5F5F5F"/>
                      <w:sz w:val="20"/>
                    </w:rPr>
                    <w:t>Data source: genomic laboratory</w:t>
                  </w:r>
                </w:p>
                <w:p w14:paraId="52BAE624" w14:textId="77777777" w:rsidR="00557096" w:rsidRPr="00055807" w:rsidRDefault="00557096" w:rsidP="00557096">
                  <w:pPr>
                    <w:spacing w:line="320" w:lineRule="atLeast"/>
                    <w:rPr>
                      <w:rFonts w:ascii="Arial" w:hAnsi="Arial" w:cs="Arial"/>
                      <w:sz w:val="20"/>
                    </w:rPr>
                  </w:pPr>
                  <w:r w:rsidRPr="00055807">
                    <w:rPr>
                      <w:rFonts w:ascii="Arial" w:hAnsi="Arial" w:cs="Arial"/>
                      <w:color w:val="5F5F5F"/>
                      <w:sz w:val="20"/>
                    </w:rPr>
                    <w:lastRenderedPageBreak/>
                    <w:t>Responsible for submission: genomic laboratory</w:t>
                  </w:r>
                </w:p>
                <w:p w14:paraId="671BCCEA" w14:textId="77777777" w:rsidR="00557096" w:rsidRPr="00055807" w:rsidRDefault="00557096" w:rsidP="00557096">
                  <w:pPr>
                    <w:spacing w:line="320" w:lineRule="atLeast"/>
                    <w:rPr>
                      <w:rFonts w:ascii="Arial" w:hAnsi="Arial" w:cs="Arial"/>
                      <w:color w:val="5F5F5F"/>
                      <w:sz w:val="20"/>
                    </w:rPr>
                  </w:pPr>
                </w:p>
              </w:tc>
            </w:tr>
            <w:tr w:rsidR="00E40D69" w:rsidRPr="00E40D69" w14:paraId="2F4F3EA4" w14:textId="77777777" w:rsidTr="00055807">
              <w:tc>
                <w:tcPr>
                  <w:tcW w:w="1450" w:type="dxa"/>
                </w:tcPr>
                <w:p w14:paraId="4B46F063"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lastRenderedPageBreak/>
                    <w:t>Reporting period</w:t>
                  </w:r>
                </w:p>
              </w:tc>
              <w:tc>
                <w:tcPr>
                  <w:tcW w:w="6941" w:type="dxa"/>
                </w:tcPr>
                <w:p w14:paraId="7B80D430"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Monthly</w:t>
                  </w:r>
                </w:p>
                <w:p w14:paraId="1859278E" w14:textId="77777777" w:rsidR="00557096" w:rsidRPr="00055807" w:rsidRDefault="00557096" w:rsidP="00557096">
                  <w:pPr>
                    <w:spacing w:line="320" w:lineRule="atLeast"/>
                    <w:rPr>
                      <w:rFonts w:ascii="Arial" w:hAnsi="Arial" w:cs="Arial"/>
                      <w:color w:val="5F5F5F"/>
                      <w:sz w:val="20"/>
                    </w:rPr>
                  </w:pPr>
                  <w:r w:rsidRPr="00055807">
                    <w:rPr>
                      <w:rFonts w:ascii="Arial" w:hAnsi="Arial" w:cs="Arial"/>
                      <w:color w:val="5F5F5F"/>
                      <w:sz w:val="20"/>
                    </w:rPr>
                    <w:t xml:space="preserve">Deadlines: </w:t>
                  </w:r>
                </w:p>
              </w:tc>
            </w:tr>
          </w:tbl>
          <w:p w14:paraId="0E22DB12" w14:textId="77777777" w:rsidR="00557096" w:rsidRPr="00055807" w:rsidRDefault="00557096" w:rsidP="00557096">
            <w:pPr>
              <w:rPr>
                <w:rFonts w:ascii="Arial" w:hAnsi="Arial" w:cs="Arial"/>
              </w:rPr>
            </w:pPr>
          </w:p>
          <w:p w14:paraId="20DF4E9A" w14:textId="2F5E1471" w:rsidR="004401EE" w:rsidRPr="00055807" w:rsidRDefault="004401EE" w:rsidP="000271BB">
            <w:pPr>
              <w:rPr>
                <w:rFonts w:ascii="Arial" w:hAnsi="Arial" w:cs="Arial"/>
                <w:lang w:val="en-GB" w:eastAsia="en-US"/>
              </w:rPr>
            </w:pPr>
          </w:p>
          <w:p w14:paraId="31D728BD" w14:textId="77777777" w:rsidR="00454FB3" w:rsidRPr="00055807" w:rsidRDefault="00454FB3" w:rsidP="000271BB">
            <w:pPr>
              <w:rPr>
                <w:rFonts w:ascii="Arial" w:hAnsi="Arial" w:cs="Arial"/>
                <w:lang w:val="en-GB" w:eastAsia="en-US"/>
              </w:rPr>
            </w:pPr>
          </w:p>
          <w:p w14:paraId="26429661" w14:textId="77777777" w:rsidR="00454FB3" w:rsidRPr="00055807" w:rsidRDefault="00454FB3" w:rsidP="000271BB">
            <w:pPr>
              <w:rPr>
                <w:rFonts w:ascii="Arial" w:hAnsi="Arial" w:cs="Arial"/>
                <w:lang w:val="en-GB" w:eastAsia="en-US"/>
              </w:rPr>
            </w:pPr>
          </w:p>
          <w:p w14:paraId="638FD829" w14:textId="77777777" w:rsidR="008F12B7" w:rsidRPr="00055807" w:rsidRDefault="008F12B7" w:rsidP="000271BB">
            <w:pPr>
              <w:rPr>
                <w:rFonts w:ascii="Arial" w:hAnsi="Arial" w:cs="Arial"/>
                <w:lang w:val="en-GB" w:eastAsia="en-US"/>
              </w:rPr>
            </w:pPr>
          </w:p>
          <w:p w14:paraId="20647D54" w14:textId="77777777" w:rsidR="00225664" w:rsidRPr="00055807" w:rsidRDefault="00225664" w:rsidP="000271BB">
            <w:pPr>
              <w:rPr>
                <w:rFonts w:ascii="Arial" w:hAnsi="Arial" w:cs="Arial"/>
                <w:lang w:val="en-GB" w:eastAsia="en-US"/>
              </w:rPr>
            </w:pPr>
          </w:p>
          <w:p w14:paraId="4A28D096" w14:textId="77777777" w:rsidR="00225664" w:rsidRPr="00055807" w:rsidRDefault="00225664" w:rsidP="000D4B03">
            <w:pPr>
              <w:rPr>
                <w:rFonts w:ascii="Arial" w:hAnsi="Arial" w:cs="Arial"/>
              </w:rPr>
            </w:pPr>
          </w:p>
        </w:tc>
      </w:tr>
    </w:tbl>
    <w:p w14:paraId="4415FF1E" w14:textId="61A60812" w:rsidR="00576608" w:rsidRPr="0077725E" w:rsidRDefault="00576608" w:rsidP="00576608">
      <w:pPr>
        <w:rPr>
          <w:rFonts w:ascii="Arial" w:hAnsi="Arial" w:cs="Arial"/>
          <w:szCs w:val="24"/>
        </w:rPr>
      </w:pPr>
    </w:p>
    <w:sectPr w:rsidR="00576608" w:rsidRPr="0077725E" w:rsidSect="00055807">
      <w:type w:val="continuous"/>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DAC43" w16cex:dateUtc="2020-06-24T09:41:00Z"/>
  <w16cex:commentExtensible w16cex:durableId="229EDF2E" w16cex:dateUtc="2020-06-25T07:30:00Z"/>
  <w16cex:commentExtensible w16cex:durableId="229DACAB" w16cex:dateUtc="2020-06-24T09:42:00Z"/>
  <w16cex:commentExtensible w16cex:durableId="229DAF40" w16cex:dateUtc="2020-06-24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96D75" w14:textId="77777777" w:rsidR="00F76FC1" w:rsidRDefault="00F76FC1" w:rsidP="00724FB3">
      <w:pPr>
        <w:spacing w:after="0"/>
      </w:pPr>
      <w:r>
        <w:separator/>
      </w:r>
    </w:p>
  </w:endnote>
  <w:endnote w:type="continuationSeparator" w:id="0">
    <w:p w14:paraId="5C98A1D3" w14:textId="77777777" w:rsidR="00F76FC1" w:rsidRDefault="00F76FC1" w:rsidP="00724F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506B" w14:textId="77777777" w:rsidR="00AC6E1C" w:rsidRDefault="00AC6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052996626"/>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E8F396D" w14:textId="36F0E7B6" w:rsidR="00724FB3" w:rsidRPr="000D4B03" w:rsidRDefault="00724FB3">
            <w:pPr>
              <w:pStyle w:val="Footer"/>
              <w:jc w:val="right"/>
              <w:rPr>
                <w:rFonts w:ascii="Arial" w:hAnsi="Arial" w:cs="Arial"/>
              </w:rPr>
            </w:pPr>
            <w:r w:rsidRPr="000D4B03">
              <w:rPr>
                <w:rFonts w:ascii="Arial" w:hAnsi="Arial" w:cs="Arial"/>
              </w:rPr>
              <w:t xml:space="preserve">Page </w:t>
            </w:r>
            <w:r w:rsidRPr="000D4B03">
              <w:rPr>
                <w:rFonts w:ascii="Arial" w:hAnsi="Arial" w:cs="Arial"/>
                <w:bCs/>
                <w:sz w:val="24"/>
                <w:szCs w:val="24"/>
              </w:rPr>
              <w:fldChar w:fldCharType="begin"/>
            </w:r>
            <w:r w:rsidRPr="000D4B03">
              <w:rPr>
                <w:rFonts w:ascii="Arial" w:hAnsi="Arial" w:cs="Arial"/>
                <w:bCs/>
              </w:rPr>
              <w:instrText xml:space="preserve"> PAGE </w:instrText>
            </w:r>
            <w:r w:rsidRPr="000D4B03">
              <w:rPr>
                <w:rFonts w:ascii="Arial" w:hAnsi="Arial" w:cs="Arial"/>
                <w:bCs/>
                <w:sz w:val="24"/>
                <w:szCs w:val="24"/>
              </w:rPr>
              <w:fldChar w:fldCharType="separate"/>
            </w:r>
            <w:r w:rsidR="005B6801">
              <w:rPr>
                <w:rFonts w:ascii="Arial" w:hAnsi="Arial" w:cs="Arial"/>
                <w:bCs/>
                <w:noProof/>
              </w:rPr>
              <w:t>3</w:t>
            </w:r>
            <w:r w:rsidRPr="000D4B03">
              <w:rPr>
                <w:rFonts w:ascii="Arial" w:hAnsi="Arial" w:cs="Arial"/>
                <w:bCs/>
                <w:sz w:val="24"/>
                <w:szCs w:val="24"/>
              </w:rPr>
              <w:fldChar w:fldCharType="end"/>
            </w:r>
            <w:r w:rsidRPr="000D4B03">
              <w:rPr>
                <w:rFonts w:ascii="Arial" w:hAnsi="Arial" w:cs="Arial"/>
              </w:rPr>
              <w:t xml:space="preserve"> of </w:t>
            </w:r>
            <w:r w:rsidRPr="000D4B03">
              <w:rPr>
                <w:rFonts w:ascii="Arial" w:hAnsi="Arial" w:cs="Arial"/>
                <w:bCs/>
                <w:sz w:val="24"/>
                <w:szCs w:val="24"/>
              </w:rPr>
              <w:fldChar w:fldCharType="begin"/>
            </w:r>
            <w:r w:rsidRPr="000D4B03">
              <w:rPr>
                <w:rFonts w:ascii="Arial" w:hAnsi="Arial" w:cs="Arial"/>
                <w:bCs/>
              </w:rPr>
              <w:instrText xml:space="preserve"> NUMPAGES  </w:instrText>
            </w:r>
            <w:r w:rsidRPr="000D4B03">
              <w:rPr>
                <w:rFonts w:ascii="Arial" w:hAnsi="Arial" w:cs="Arial"/>
                <w:bCs/>
                <w:sz w:val="24"/>
                <w:szCs w:val="24"/>
              </w:rPr>
              <w:fldChar w:fldCharType="separate"/>
            </w:r>
            <w:r w:rsidR="005B6801">
              <w:rPr>
                <w:rFonts w:ascii="Arial" w:hAnsi="Arial" w:cs="Arial"/>
                <w:bCs/>
                <w:noProof/>
              </w:rPr>
              <w:t>23</w:t>
            </w:r>
            <w:r w:rsidRPr="000D4B03">
              <w:rPr>
                <w:rFonts w:ascii="Arial" w:hAnsi="Arial" w:cs="Arial"/>
                <w:bCs/>
                <w:sz w:val="24"/>
                <w:szCs w:val="24"/>
              </w:rPr>
              <w:fldChar w:fldCharType="end"/>
            </w:r>
          </w:p>
        </w:sdtContent>
      </w:sdt>
    </w:sdtContent>
  </w:sdt>
  <w:p w14:paraId="441175AD" w14:textId="77777777" w:rsidR="00724FB3" w:rsidRPr="000D4B03" w:rsidRDefault="00724FB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E1C8" w14:textId="77777777" w:rsidR="00AC6E1C" w:rsidRDefault="00AC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7D0C8" w14:textId="77777777" w:rsidR="00F76FC1" w:rsidRDefault="00F76FC1" w:rsidP="00724FB3">
      <w:pPr>
        <w:spacing w:after="0"/>
      </w:pPr>
      <w:r>
        <w:separator/>
      </w:r>
    </w:p>
  </w:footnote>
  <w:footnote w:type="continuationSeparator" w:id="0">
    <w:p w14:paraId="1CD73CC0" w14:textId="77777777" w:rsidR="00F76FC1" w:rsidRDefault="00F76FC1" w:rsidP="00724F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F73C" w14:textId="77777777" w:rsidR="00AC6E1C" w:rsidRDefault="00AC6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239667"/>
      <w:docPartObj>
        <w:docPartGallery w:val="Watermarks"/>
        <w:docPartUnique/>
      </w:docPartObj>
    </w:sdtPr>
    <w:sdtContent>
      <w:p w14:paraId="419DB4B6" w14:textId="2AD17B68" w:rsidR="00AC6E1C" w:rsidRDefault="00AC6E1C">
        <w:pPr>
          <w:pStyle w:val="Header"/>
        </w:pPr>
        <w:r>
          <w:rPr>
            <w:noProof/>
          </w:rPr>
          <w:pict w14:anchorId="0B0A8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2F51" w14:textId="77777777" w:rsidR="00AC6E1C" w:rsidRDefault="00AC6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E5E"/>
    <w:multiLevelType w:val="multilevel"/>
    <w:tmpl w:val="5B60FD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04348"/>
    <w:multiLevelType w:val="hybridMultilevel"/>
    <w:tmpl w:val="D8607F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4C67"/>
    <w:multiLevelType w:val="multilevel"/>
    <w:tmpl w:val="8962D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7B59EB"/>
    <w:multiLevelType w:val="hybridMultilevel"/>
    <w:tmpl w:val="85C8F1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3195E"/>
    <w:multiLevelType w:val="multilevel"/>
    <w:tmpl w:val="058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93A1F"/>
    <w:multiLevelType w:val="hybridMultilevel"/>
    <w:tmpl w:val="D8EE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54176"/>
    <w:multiLevelType w:val="hybridMultilevel"/>
    <w:tmpl w:val="DE5C2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F2311"/>
    <w:multiLevelType w:val="hybridMultilevel"/>
    <w:tmpl w:val="EA2E7C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82AFB"/>
    <w:multiLevelType w:val="hybridMultilevel"/>
    <w:tmpl w:val="4ED83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34B0B"/>
    <w:multiLevelType w:val="multilevel"/>
    <w:tmpl w:val="87A8B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50854"/>
    <w:multiLevelType w:val="multilevel"/>
    <w:tmpl w:val="058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5E47FE"/>
    <w:multiLevelType w:val="hybridMultilevel"/>
    <w:tmpl w:val="AE00D856"/>
    <w:lvl w:ilvl="0" w:tplc="94506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D3D26"/>
    <w:multiLevelType w:val="multilevel"/>
    <w:tmpl w:val="21065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4C4F30"/>
    <w:multiLevelType w:val="multilevel"/>
    <w:tmpl w:val="058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A83DE9"/>
    <w:multiLevelType w:val="hybridMultilevel"/>
    <w:tmpl w:val="A9F2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95A5F"/>
    <w:multiLevelType w:val="multilevel"/>
    <w:tmpl w:val="8962D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BD7722"/>
    <w:multiLevelType w:val="hybridMultilevel"/>
    <w:tmpl w:val="2636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2073E"/>
    <w:multiLevelType w:val="multilevel"/>
    <w:tmpl w:val="87A8B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95597A"/>
    <w:multiLevelType w:val="multilevel"/>
    <w:tmpl w:val="87A8B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A45A0A"/>
    <w:multiLevelType w:val="hybridMultilevel"/>
    <w:tmpl w:val="EA323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42956"/>
    <w:multiLevelType w:val="multilevel"/>
    <w:tmpl w:val="0809001F"/>
    <w:lvl w:ilvl="0">
      <w:start w:val="1"/>
      <w:numFmt w:val="decimal"/>
      <w:lvlText w:val="%1."/>
      <w:lvlJc w:val="left"/>
      <w:pPr>
        <w:ind w:left="360" w:hanging="360"/>
      </w:pPr>
      <w:rPr>
        <w:b w:val="0"/>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04CDD"/>
    <w:multiLevelType w:val="hybridMultilevel"/>
    <w:tmpl w:val="A1082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5B4D59"/>
    <w:multiLevelType w:val="multilevel"/>
    <w:tmpl w:val="138E8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BA069C"/>
    <w:multiLevelType w:val="multilevel"/>
    <w:tmpl w:val="058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C57CB5"/>
    <w:multiLevelType w:val="multilevel"/>
    <w:tmpl w:val="058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8E106A"/>
    <w:multiLevelType w:val="multilevel"/>
    <w:tmpl w:val="058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A90530"/>
    <w:multiLevelType w:val="hybridMultilevel"/>
    <w:tmpl w:val="782E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23223"/>
    <w:multiLevelType w:val="hybridMultilevel"/>
    <w:tmpl w:val="F30A5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1E70F2"/>
    <w:multiLevelType w:val="hybridMultilevel"/>
    <w:tmpl w:val="FF74ABE4"/>
    <w:lvl w:ilvl="0" w:tplc="D32CC4C2">
      <w:start w:val="1"/>
      <w:numFmt w:val="lowerRoman"/>
      <w:lvlText w:val="(%1)"/>
      <w:lvlJc w:val="left"/>
      <w:pPr>
        <w:ind w:left="2880" w:hanging="72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30" w15:restartNumberingAfterBreak="0">
    <w:nsid w:val="43111D3C"/>
    <w:multiLevelType w:val="multilevel"/>
    <w:tmpl w:val="87A8B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1F3BBA"/>
    <w:multiLevelType w:val="multilevel"/>
    <w:tmpl w:val="058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9E292E"/>
    <w:multiLevelType w:val="hybridMultilevel"/>
    <w:tmpl w:val="FF74ABE4"/>
    <w:lvl w:ilvl="0" w:tplc="D32CC4C2">
      <w:start w:val="1"/>
      <w:numFmt w:val="lowerRoman"/>
      <w:lvlText w:val="(%1)"/>
      <w:lvlJc w:val="left"/>
      <w:pPr>
        <w:ind w:left="2880" w:hanging="72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33" w15:restartNumberingAfterBreak="0">
    <w:nsid w:val="474E4EBD"/>
    <w:multiLevelType w:val="hybridMultilevel"/>
    <w:tmpl w:val="FB6264E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8A42DA"/>
    <w:multiLevelType w:val="hybridMultilevel"/>
    <w:tmpl w:val="4E127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3F53DA"/>
    <w:multiLevelType w:val="hybridMultilevel"/>
    <w:tmpl w:val="31AE3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5B7557"/>
    <w:multiLevelType w:val="hybridMultilevel"/>
    <w:tmpl w:val="EE58307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22C2FF0"/>
    <w:multiLevelType w:val="hybridMultilevel"/>
    <w:tmpl w:val="C226D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5B364B"/>
    <w:multiLevelType w:val="hybridMultilevel"/>
    <w:tmpl w:val="384C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9579D2"/>
    <w:multiLevelType w:val="hybridMultilevel"/>
    <w:tmpl w:val="05C483EE"/>
    <w:lvl w:ilvl="0" w:tplc="BD20237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EC1099"/>
    <w:multiLevelType w:val="hybridMultilevel"/>
    <w:tmpl w:val="EE58307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5D3F7787"/>
    <w:multiLevelType w:val="multilevel"/>
    <w:tmpl w:val="A9E095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D83CE1"/>
    <w:multiLevelType w:val="multilevel"/>
    <w:tmpl w:val="058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C03750"/>
    <w:multiLevelType w:val="hybridMultilevel"/>
    <w:tmpl w:val="EC74E6EE"/>
    <w:lvl w:ilvl="0" w:tplc="451EE3C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A5777B"/>
    <w:multiLevelType w:val="hybridMultilevel"/>
    <w:tmpl w:val="D36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315D74"/>
    <w:multiLevelType w:val="hybridMultilevel"/>
    <w:tmpl w:val="2B3AC40E"/>
    <w:lvl w:ilvl="0" w:tplc="767A8BC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7F1AD9"/>
    <w:multiLevelType w:val="multilevel"/>
    <w:tmpl w:val="05807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E30304"/>
    <w:multiLevelType w:val="hybridMultilevel"/>
    <w:tmpl w:val="DC58D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E421C"/>
    <w:multiLevelType w:val="hybridMultilevel"/>
    <w:tmpl w:val="C706EA4E"/>
    <w:lvl w:ilvl="0" w:tplc="451EE3C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CA5E14"/>
    <w:multiLevelType w:val="hybridMultilevel"/>
    <w:tmpl w:val="FCE6A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B3F6CC9"/>
    <w:multiLevelType w:val="hybridMultilevel"/>
    <w:tmpl w:val="6810C5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BC164F9"/>
    <w:multiLevelType w:val="multilevel"/>
    <w:tmpl w:val="8962D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3514EE"/>
    <w:multiLevelType w:val="hybridMultilevel"/>
    <w:tmpl w:val="4A82F6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4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3"/>
  </w:num>
  <w:num w:numId="11">
    <w:abstractNumId w:val="39"/>
  </w:num>
  <w:num w:numId="12">
    <w:abstractNumId w:val="38"/>
  </w:num>
  <w:num w:numId="13">
    <w:abstractNumId w:val="17"/>
  </w:num>
  <w:num w:numId="14">
    <w:abstractNumId w:val="2"/>
  </w:num>
  <w:num w:numId="15">
    <w:abstractNumId w:val="52"/>
  </w:num>
  <w:num w:numId="16">
    <w:abstractNumId w:val="16"/>
  </w:num>
  <w:num w:numId="17">
    <w:abstractNumId w:val="48"/>
  </w:num>
  <w:num w:numId="18">
    <w:abstractNumId w:val="43"/>
  </w:num>
  <w:num w:numId="19">
    <w:abstractNumId w:val="49"/>
  </w:num>
  <w:num w:numId="20">
    <w:abstractNumId w:val="12"/>
  </w:num>
  <w:num w:numId="21">
    <w:abstractNumId w:val="45"/>
  </w:num>
  <w:num w:numId="22">
    <w:abstractNumId w:val="41"/>
  </w:num>
  <w:num w:numId="23">
    <w:abstractNumId w:val="25"/>
  </w:num>
  <w:num w:numId="24">
    <w:abstractNumId w:val="51"/>
  </w:num>
  <w:num w:numId="25">
    <w:abstractNumId w:val="33"/>
  </w:num>
  <w:num w:numId="26">
    <w:abstractNumId w:val="20"/>
  </w:num>
  <w:num w:numId="27">
    <w:abstractNumId w:val="11"/>
  </w:num>
  <w:num w:numId="28">
    <w:abstractNumId w:val="23"/>
  </w:num>
  <w:num w:numId="29">
    <w:abstractNumId w:val="4"/>
  </w:num>
  <w:num w:numId="30">
    <w:abstractNumId w:val="26"/>
  </w:num>
  <w:num w:numId="31">
    <w:abstractNumId w:val="0"/>
  </w:num>
  <w:num w:numId="32">
    <w:abstractNumId w:val="10"/>
  </w:num>
  <w:num w:numId="33">
    <w:abstractNumId w:val="18"/>
  </w:num>
  <w:num w:numId="34">
    <w:abstractNumId w:val="30"/>
  </w:num>
  <w:num w:numId="35">
    <w:abstractNumId w:val="40"/>
  </w:num>
  <w:num w:numId="36">
    <w:abstractNumId w:val="36"/>
  </w:num>
  <w:num w:numId="37">
    <w:abstractNumId w:val="42"/>
  </w:num>
  <w:num w:numId="38">
    <w:abstractNumId w:val="14"/>
  </w:num>
  <w:num w:numId="39">
    <w:abstractNumId w:val="47"/>
  </w:num>
  <w:num w:numId="40">
    <w:abstractNumId w:val="31"/>
  </w:num>
  <w:num w:numId="41">
    <w:abstractNumId w:val="24"/>
  </w:num>
  <w:num w:numId="42">
    <w:abstractNumId w:val="44"/>
  </w:num>
  <w:num w:numId="43">
    <w:abstractNumId w:val="22"/>
  </w:num>
  <w:num w:numId="44">
    <w:abstractNumId w:val="35"/>
  </w:num>
  <w:num w:numId="45">
    <w:abstractNumId w:val="7"/>
  </w:num>
  <w:num w:numId="46">
    <w:abstractNumId w:val="28"/>
  </w:num>
  <w:num w:numId="47">
    <w:abstractNumId w:val="34"/>
  </w:num>
  <w:num w:numId="48">
    <w:abstractNumId w:val="1"/>
  </w:num>
  <w:num w:numId="49">
    <w:abstractNumId w:val="50"/>
  </w:num>
  <w:num w:numId="50">
    <w:abstractNumId w:val="37"/>
  </w:num>
  <w:num w:numId="51">
    <w:abstractNumId w:val="27"/>
  </w:num>
  <w:num w:numId="52">
    <w:abstractNumId w:val="15"/>
  </w:num>
  <w:num w:numId="53">
    <w:abstractNumId w:val="5"/>
  </w:num>
  <w:num w:numId="54">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608"/>
    <w:rsid w:val="000010CB"/>
    <w:rsid w:val="000212CF"/>
    <w:rsid w:val="00021F26"/>
    <w:rsid w:val="000271BB"/>
    <w:rsid w:val="00032DEA"/>
    <w:rsid w:val="0003328C"/>
    <w:rsid w:val="00054EEC"/>
    <w:rsid w:val="00055807"/>
    <w:rsid w:val="00064EE9"/>
    <w:rsid w:val="00076BB6"/>
    <w:rsid w:val="00082756"/>
    <w:rsid w:val="00082AC8"/>
    <w:rsid w:val="0008464E"/>
    <w:rsid w:val="000A6CA6"/>
    <w:rsid w:val="000B45FB"/>
    <w:rsid w:val="000B6340"/>
    <w:rsid w:val="000C1354"/>
    <w:rsid w:val="000C18F4"/>
    <w:rsid w:val="000C2C82"/>
    <w:rsid w:val="000D4B03"/>
    <w:rsid w:val="000D4E27"/>
    <w:rsid w:val="000D6D99"/>
    <w:rsid w:val="000E1C02"/>
    <w:rsid w:val="000F0CBC"/>
    <w:rsid w:val="000F126A"/>
    <w:rsid w:val="00100F7A"/>
    <w:rsid w:val="00102225"/>
    <w:rsid w:val="00113362"/>
    <w:rsid w:val="00113B1B"/>
    <w:rsid w:val="001225BE"/>
    <w:rsid w:val="00123E5A"/>
    <w:rsid w:val="00130EF2"/>
    <w:rsid w:val="00132247"/>
    <w:rsid w:val="00135327"/>
    <w:rsid w:val="00167C2A"/>
    <w:rsid w:val="00180481"/>
    <w:rsid w:val="00185F63"/>
    <w:rsid w:val="00191984"/>
    <w:rsid w:val="00193695"/>
    <w:rsid w:val="001A30BA"/>
    <w:rsid w:val="001A66D7"/>
    <w:rsid w:val="001A7FB2"/>
    <w:rsid w:val="001B0FE8"/>
    <w:rsid w:val="001D16CC"/>
    <w:rsid w:val="001E13AF"/>
    <w:rsid w:val="001F22BB"/>
    <w:rsid w:val="002029A2"/>
    <w:rsid w:val="00203C23"/>
    <w:rsid w:val="0020514C"/>
    <w:rsid w:val="002130F7"/>
    <w:rsid w:val="00214E39"/>
    <w:rsid w:val="00225664"/>
    <w:rsid w:val="002271AD"/>
    <w:rsid w:val="00236038"/>
    <w:rsid w:val="00241FB6"/>
    <w:rsid w:val="00243EE4"/>
    <w:rsid w:val="002446D6"/>
    <w:rsid w:val="00250E71"/>
    <w:rsid w:val="00257199"/>
    <w:rsid w:val="00261BE7"/>
    <w:rsid w:val="002635DB"/>
    <w:rsid w:val="00263CD7"/>
    <w:rsid w:val="0026508A"/>
    <w:rsid w:val="00274CDD"/>
    <w:rsid w:val="00284F28"/>
    <w:rsid w:val="00294E80"/>
    <w:rsid w:val="002A56C7"/>
    <w:rsid w:val="002C3FA1"/>
    <w:rsid w:val="002E0C1D"/>
    <w:rsid w:val="002E0D39"/>
    <w:rsid w:val="002E4111"/>
    <w:rsid w:val="002F1B0F"/>
    <w:rsid w:val="00303ACC"/>
    <w:rsid w:val="00304761"/>
    <w:rsid w:val="00304F8B"/>
    <w:rsid w:val="00310A2A"/>
    <w:rsid w:val="00313193"/>
    <w:rsid w:val="00314AE7"/>
    <w:rsid w:val="00332751"/>
    <w:rsid w:val="003371A0"/>
    <w:rsid w:val="0035027D"/>
    <w:rsid w:val="00351050"/>
    <w:rsid w:val="00360E8F"/>
    <w:rsid w:val="00363817"/>
    <w:rsid w:val="0036577B"/>
    <w:rsid w:val="003734ED"/>
    <w:rsid w:val="0037461E"/>
    <w:rsid w:val="00387AF5"/>
    <w:rsid w:val="00390934"/>
    <w:rsid w:val="00392035"/>
    <w:rsid w:val="003B3B64"/>
    <w:rsid w:val="003B5051"/>
    <w:rsid w:val="003C0B99"/>
    <w:rsid w:val="003C1665"/>
    <w:rsid w:val="003C27DA"/>
    <w:rsid w:val="003C296D"/>
    <w:rsid w:val="003D41C3"/>
    <w:rsid w:val="003D5703"/>
    <w:rsid w:val="003E2E6B"/>
    <w:rsid w:val="003E62E2"/>
    <w:rsid w:val="003E7237"/>
    <w:rsid w:val="003E7D8F"/>
    <w:rsid w:val="003F275A"/>
    <w:rsid w:val="004139B7"/>
    <w:rsid w:val="00416450"/>
    <w:rsid w:val="00416B3D"/>
    <w:rsid w:val="0042505E"/>
    <w:rsid w:val="00426038"/>
    <w:rsid w:val="004401EE"/>
    <w:rsid w:val="00440F26"/>
    <w:rsid w:val="00446F9F"/>
    <w:rsid w:val="00454FB3"/>
    <w:rsid w:val="0045646F"/>
    <w:rsid w:val="00464966"/>
    <w:rsid w:val="004705D7"/>
    <w:rsid w:val="004727BE"/>
    <w:rsid w:val="00480E3A"/>
    <w:rsid w:val="00487492"/>
    <w:rsid w:val="00487D4D"/>
    <w:rsid w:val="00490AC0"/>
    <w:rsid w:val="00492EFA"/>
    <w:rsid w:val="004940BC"/>
    <w:rsid w:val="004A4644"/>
    <w:rsid w:val="004B7B63"/>
    <w:rsid w:val="004C235B"/>
    <w:rsid w:val="004D21AA"/>
    <w:rsid w:val="004D2923"/>
    <w:rsid w:val="004D45E4"/>
    <w:rsid w:val="004D6115"/>
    <w:rsid w:val="004D7C76"/>
    <w:rsid w:val="004E1FA1"/>
    <w:rsid w:val="004E3041"/>
    <w:rsid w:val="004F24A0"/>
    <w:rsid w:val="004F2DC7"/>
    <w:rsid w:val="0050168F"/>
    <w:rsid w:val="00512B3B"/>
    <w:rsid w:val="00513B6C"/>
    <w:rsid w:val="0052609B"/>
    <w:rsid w:val="00542004"/>
    <w:rsid w:val="00543367"/>
    <w:rsid w:val="00552169"/>
    <w:rsid w:val="0055642C"/>
    <w:rsid w:val="00557003"/>
    <w:rsid w:val="00557096"/>
    <w:rsid w:val="005576DF"/>
    <w:rsid w:val="0056400E"/>
    <w:rsid w:val="00565804"/>
    <w:rsid w:val="00567175"/>
    <w:rsid w:val="00574B02"/>
    <w:rsid w:val="00576608"/>
    <w:rsid w:val="00577D80"/>
    <w:rsid w:val="00583AB9"/>
    <w:rsid w:val="00585C5D"/>
    <w:rsid w:val="005870BF"/>
    <w:rsid w:val="00593C08"/>
    <w:rsid w:val="00594ED3"/>
    <w:rsid w:val="00596757"/>
    <w:rsid w:val="005A382F"/>
    <w:rsid w:val="005B0A51"/>
    <w:rsid w:val="005B30EB"/>
    <w:rsid w:val="005B48EC"/>
    <w:rsid w:val="005B6801"/>
    <w:rsid w:val="005C24CF"/>
    <w:rsid w:val="005C33FD"/>
    <w:rsid w:val="005C5A84"/>
    <w:rsid w:val="005D09FF"/>
    <w:rsid w:val="005E3A38"/>
    <w:rsid w:val="005E6643"/>
    <w:rsid w:val="005F2028"/>
    <w:rsid w:val="005F58BF"/>
    <w:rsid w:val="005F5F80"/>
    <w:rsid w:val="005F67E9"/>
    <w:rsid w:val="00602772"/>
    <w:rsid w:val="00610C91"/>
    <w:rsid w:val="00633884"/>
    <w:rsid w:val="006355C3"/>
    <w:rsid w:val="00647287"/>
    <w:rsid w:val="00647A8B"/>
    <w:rsid w:val="006538B2"/>
    <w:rsid w:val="00654488"/>
    <w:rsid w:val="00655B31"/>
    <w:rsid w:val="006620AB"/>
    <w:rsid w:val="00670024"/>
    <w:rsid w:val="00680A8E"/>
    <w:rsid w:val="00685F53"/>
    <w:rsid w:val="006916CB"/>
    <w:rsid w:val="006952C5"/>
    <w:rsid w:val="006966DA"/>
    <w:rsid w:val="006A3CDD"/>
    <w:rsid w:val="006B0D0B"/>
    <w:rsid w:val="006B4C74"/>
    <w:rsid w:val="006B6684"/>
    <w:rsid w:val="006C0D03"/>
    <w:rsid w:val="006C5F24"/>
    <w:rsid w:val="006D1686"/>
    <w:rsid w:val="006E08C4"/>
    <w:rsid w:val="006E3FB7"/>
    <w:rsid w:val="007026FE"/>
    <w:rsid w:val="00724085"/>
    <w:rsid w:val="00724FB3"/>
    <w:rsid w:val="0075065A"/>
    <w:rsid w:val="00756CCB"/>
    <w:rsid w:val="00756F97"/>
    <w:rsid w:val="0076581B"/>
    <w:rsid w:val="00765967"/>
    <w:rsid w:val="0077426E"/>
    <w:rsid w:val="0077496A"/>
    <w:rsid w:val="00775050"/>
    <w:rsid w:val="007754A9"/>
    <w:rsid w:val="00775A9F"/>
    <w:rsid w:val="0077725E"/>
    <w:rsid w:val="007776D5"/>
    <w:rsid w:val="00780A00"/>
    <w:rsid w:val="00786CCA"/>
    <w:rsid w:val="00791389"/>
    <w:rsid w:val="00794793"/>
    <w:rsid w:val="00795615"/>
    <w:rsid w:val="007A4EF3"/>
    <w:rsid w:val="007B1CDF"/>
    <w:rsid w:val="007B5AF7"/>
    <w:rsid w:val="007B5C13"/>
    <w:rsid w:val="007C4DA7"/>
    <w:rsid w:val="007D32AD"/>
    <w:rsid w:val="007E0EE5"/>
    <w:rsid w:val="007E35FE"/>
    <w:rsid w:val="007E39D4"/>
    <w:rsid w:val="00800644"/>
    <w:rsid w:val="00805CF2"/>
    <w:rsid w:val="00806A94"/>
    <w:rsid w:val="00814F30"/>
    <w:rsid w:val="00823EE8"/>
    <w:rsid w:val="00835033"/>
    <w:rsid w:val="00836E4E"/>
    <w:rsid w:val="0083747C"/>
    <w:rsid w:val="008427BA"/>
    <w:rsid w:val="00850E3E"/>
    <w:rsid w:val="00855A82"/>
    <w:rsid w:val="0086435D"/>
    <w:rsid w:val="0087341E"/>
    <w:rsid w:val="00875444"/>
    <w:rsid w:val="00880F6C"/>
    <w:rsid w:val="00884986"/>
    <w:rsid w:val="00891177"/>
    <w:rsid w:val="00893EC9"/>
    <w:rsid w:val="00896867"/>
    <w:rsid w:val="008A0F96"/>
    <w:rsid w:val="008A706B"/>
    <w:rsid w:val="008D0773"/>
    <w:rsid w:val="008D64F1"/>
    <w:rsid w:val="008E0BE1"/>
    <w:rsid w:val="008E7A0B"/>
    <w:rsid w:val="008F0F45"/>
    <w:rsid w:val="008F10C1"/>
    <w:rsid w:val="008F12B7"/>
    <w:rsid w:val="00902187"/>
    <w:rsid w:val="009045CA"/>
    <w:rsid w:val="0091176B"/>
    <w:rsid w:val="009124B2"/>
    <w:rsid w:val="009133D9"/>
    <w:rsid w:val="00921EF6"/>
    <w:rsid w:val="00922348"/>
    <w:rsid w:val="00925EFA"/>
    <w:rsid w:val="00935305"/>
    <w:rsid w:val="00950276"/>
    <w:rsid w:val="0096248D"/>
    <w:rsid w:val="00965A07"/>
    <w:rsid w:val="00965EB6"/>
    <w:rsid w:val="009735B2"/>
    <w:rsid w:val="00983AA4"/>
    <w:rsid w:val="009920D2"/>
    <w:rsid w:val="009A06E1"/>
    <w:rsid w:val="009A5A5E"/>
    <w:rsid w:val="009B1499"/>
    <w:rsid w:val="009C06A7"/>
    <w:rsid w:val="009C0A64"/>
    <w:rsid w:val="009C2F13"/>
    <w:rsid w:val="009C77F5"/>
    <w:rsid w:val="009D0656"/>
    <w:rsid w:val="009D1324"/>
    <w:rsid w:val="009D1373"/>
    <w:rsid w:val="009D33F0"/>
    <w:rsid w:val="009E54DC"/>
    <w:rsid w:val="009E7C4E"/>
    <w:rsid w:val="009F5AD2"/>
    <w:rsid w:val="009F6D26"/>
    <w:rsid w:val="00A0171B"/>
    <w:rsid w:val="00A01FA0"/>
    <w:rsid w:val="00A04EF9"/>
    <w:rsid w:val="00A06E86"/>
    <w:rsid w:val="00A26806"/>
    <w:rsid w:val="00A36893"/>
    <w:rsid w:val="00A41990"/>
    <w:rsid w:val="00A533AB"/>
    <w:rsid w:val="00A56958"/>
    <w:rsid w:val="00A64381"/>
    <w:rsid w:val="00A651C2"/>
    <w:rsid w:val="00A72B23"/>
    <w:rsid w:val="00A7468E"/>
    <w:rsid w:val="00A811CE"/>
    <w:rsid w:val="00A87235"/>
    <w:rsid w:val="00A87BAB"/>
    <w:rsid w:val="00A909F2"/>
    <w:rsid w:val="00A92D97"/>
    <w:rsid w:val="00A958A4"/>
    <w:rsid w:val="00A972C9"/>
    <w:rsid w:val="00AB6CF5"/>
    <w:rsid w:val="00AC6E1C"/>
    <w:rsid w:val="00AC7651"/>
    <w:rsid w:val="00AD0B8F"/>
    <w:rsid w:val="00AD3DC3"/>
    <w:rsid w:val="00AE2D07"/>
    <w:rsid w:val="00AF629D"/>
    <w:rsid w:val="00AF7C16"/>
    <w:rsid w:val="00B03F28"/>
    <w:rsid w:val="00B1365B"/>
    <w:rsid w:val="00B36899"/>
    <w:rsid w:val="00B37C3A"/>
    <w:rsid w:val="00B40BF2"/>
    <w:rsid w:val="00B508F2"/>
    <w:rsid w:val="00B51248"/>
    <w:rsid w:val="00B5435F"/>
    <w:rsid w:val="00B559E0"/>
    <w:rsid w:val="00B62296"/>
    <w:rsid w:val="00B67D25"/>
    <w:rsid w:val="00B738C9"/>
    <w:rsid w:val="00B77AAC"/>
    <w:rsid w:val="00B83F6D"/>
    <w:rsid w:val="00B861E1"/>
    <w:rsid w:val="00BA2B81"/>
    <w:rsid w:val="00BA6583"/>
    <w:rsid w:val="00BB16D1"/>
    <w:rsid w:val="00BB5243"/>
    <w:rsid w:val="00BB69CC"/>
    <w:rsid w:val="00BB6D36"/>
    <w:rsid w:val="00BC2954"/>
    <w:rsid w:val="00BC5919"/>
    <w:rsid w:val="00BC6181"/>
    <w:rsid w:val="00BD1CBA"/>
    <w:rsid w:val="00BE186C"/>
    <w:rsid w:val="00BE6CF5"/>
    <w:rsid w:val="00BE721D"/>
    <w:rsid w:val="00BF6144"/>
    <w:rsid w:val="00C04863"/>
    <w:rsid w:val="00C11F5D"/>
    <w:rsid w:val="00C166D3"/>
    <w:rsid w:val="00C30067"/>
    <w:rsid w:val="00C3253C"/>
    <w:rsid w:val="00C36128"/>
    <w:rsid w:val="00C36476"/>
    <w:rsid w:val="00C61556"/>
    <w:rsid w:val="00C72F85"/>
    <w:rsid w:val="00C83D40"/>
    <w:rsid w:val="00C93895"/>
    <w:rsid w:val="00CA2534"/>
    <w:rsid w:val="00CA3640"/>
    <w:rsid w:val="00CA380D"/>
    <w:rsid w:val="00CA3EB6"/>
    <w:rsid w:val="00CA7512"/>
    <w:rsid w:val="00CD2CB9"/>
    <w:rsid w:val="00CD602E"/>
    <w:rsid w:val="00CE73BF"/>
    <w:rsid w:val="00CF079C"/>
    <w:rsid w:val="00CF63C2"/>
    <w:rsid w:val="00CF694A"/>
    <w:rsid w:val="00D12D1A"/>
    <w:rsid w:val="00D135A0"/>
    <w:rsid w:val="00D2499C"/>
    <w:rsid w:val="00D31B34"/>
    <w:rsid w:val="00D37AE1"/>
    <w:rsid w:val="00D41170"/>
    <w:rsid w:val="00D41B0A"/>
    <w:rsid w:val="00D4724F"/>
    <w:rsid w:val="00D53D1A"/>
    <w:rsid w:val="00D53FDE"/>
    <w:rsid w:val="00D556A0"/>
    <w:rsid w:val="00D60E46"/>
    <w:rsid w:val="00D7038E"/>
    <w:rsid w:val="00D70851"/>
    <w:rsid w:val="00D73FAB"/>
    <w:rsid w:val="00D7638B"/>
    <w:rsid w:val="00D77869"/>
    <w:rsid w:val="00D77BB5"/>
    <w:rsid w:val="00D81BD7"/>
    <w:rsid w:val="00D9116A"/>
    <w:rsid w:val="00D911F7"/>
    <w:rsid w:val="00D93BD7"/>
    <w:rsid w:val="00D97373"/>
    <w:rsid w:val="00DA233F"/>
    <w:rsid w:val="00DA6F94"/>
    <w:rsid w:val="00DB1A60"/>
    <w:rsid w:val="00DB3DA2"/>
    <w:rsid w:val="00DB43EE"/>
    <w:rsid w:val="00DB4C71"/>
    <w:rsid w:val="00DC08E0"/>
    <w:rsid w:val="00DC5B26"/>
    <w:rsid w:val="00DD6099"/>
    <w:rsid w:val="00DD6118"/>
    <w:rsid w:val="00DE102F"/>
    <w:rsid w:val="00DE22ED"/>
    <w:rsid w:val="00DE5E7B"/>
    <w:rsid w:val="00DE7DD3"/>
    <w:rsid w:val="00DF47E7"/>
    <w:rsid w:val="00E04DB4"/>
    <w:rsid w:val="00E23F90"/>
    <w:rsid w:val="00E40D69"/>
    <w:rsid w:val="00E41553"/>
    <w:rsid w:val="00E45D9D"/>
    <w:rsid w:val="00E70710"/>
    <w:rsid w:val="00E72389"/>
    <w:rsid w:val="00E76969"/>
    <w:rsid w:val="00E813FF"/>
    <w:rsid w:val="00E83C48"/>
    <w:rsid w:val="00E84DE5"/>
    <w:rsid w:val="00E90305"/>
    <w:rsid w:val="00E95E30"/>
    <w:rsid w:val="00EA1B54"/>
    <w:rsid w:val="00EB05B2"/>
    <w:rsid w:val="00EB5F52"/>
    <w:rsid w:val="00EB7A6A"/>
    <w:rsid w:val="00EC25B0"/>
    <w:rsid w:val="00EC68DF"/>
    <w:rsid w:val="00ED1C1F"/>
    <w:rsid w:val="00ED4571"/>
    <w:rsid w:val="00EE19C5"/>
    <w:rsid w:val="00EE5445"/>
    <w:rsid w:val="00EF1B72"/>
    <w:rsid w:val="00EF209A"/>
    <w:rsid w:val="00EF70E4"/>
    <w:rsid w:val="00F13C33"/>
    <w:rsid w:val="00F13CDC"/>
    <w:rsid w:val="00F20EDD"/>
    <w:rsid w:val="00F31F2E"/>
    <w:rsid w:val="00F40DCB"/>
    <w:rsid w:val="00F45A8B"/>
    <w:rsid w:val="00F45CD3"/>
    <w:rsid w:val="00F4681A"/>
    <w:rsid w:val="00F47536"/>
    <w:rsid w:val="00F55291"/>
    <w:rsid w:val="00F60102"/>
    <w:rsid w:val="00F61567"/>
    <w:rsid w:val="00F677E6"/>
    <w:rsid w:val="00F7009A"/>
    <w:rsid w:val="00F72B27"/>
    <w:rsid w:val="00F76FC1"/>
    <w:rsid w:val="00F82300"/>
    <w:rsid w:val="00F833F0"/>
    <w:rsid w:val="00F85468"/>
    <w:rsid w:val="00F86F87"/>
    <w:rsid w:val="00F876CA"/>
    <w:rsid w:val="00F94275"/>
    <w:rsid w:val="00F9460E"/>
    <w:rsid w:val="00FA066B"/>
    <w:rsid w:val="00FA1274"/>
    <w:rsid w:val="00FA3547"/>
    <w:rsid w:val="00FA6DEA"/>
    <w:rsid w:val="00FB275D"/>
    <w:rsid w:val="00FC1199"/>
    <w:rsid w:val="00FD07A8"/>
    <w:rsid w:val="00FF0FD8"/>
    <w:rsid w:val="00FF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2B8FCD"/>
  <w15:chartTrackingRefBased/>
  <w15:docId w15:val="{CEEFAF46-A6C7-4DCE-97C9-15067AA1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608"/>
    <w:pPr>
      <w:spacing w:after="200"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576608"/>
    <w:pPr>
      <w:spacing w:after="0" w:line="660" w:lineRule="exact"/>
      <w:jc w:val="center"/>
      <w:outlineLvl w:val="0"/>
    </w:pPr>
    <w:rPr>
      <w:rFonts w:ascii="Arial" w:hAnsi="Arial" w:cs="Arial"/>
      <w:b/>
      <w:sz w:val="28"/>
      <w:szCs w:val="28"/>
      <w:lang w:val="en-GB" w:eastAsia="en-US"/>
    </w:rPr>
  </w:style>
  <w:style w:type="paragraph" w:styleId="Heading2">
    <w:name w:val="heading 2"/>
    <w:basedOn w:val="Normal"/>
    <w:next w:val="Normal"/>
    <w:link w:val="Heading2Char"/>
    <w:uiPriority w:val="9"/>
    <w:unhideWhenUsed/>
    <w:qFormat/>
    <w:rsid w:val="003920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728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608"/>
    <w:rPr>
      <w:rFonts w:ascii="Arial" w:eastAsiaTheme="minorEastAsia" w:hAnsi="Arial" w:cs="Arial"/>
      <w:b/>
      <w:sz w:val="28"/>
      <w:szCs w:val="28"/>
    </w:rPr>
  </w:style>
  <w:style w:type="table" w:styleId="TableGrid">
    <w:name w:val="Table Grid"/>
    <w:basedOn w:val="TableNormal"/>
    <w:uiPriority w:val="39"/>
    <w:rsid w:val="0057660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76608"/>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576608"/>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B738C9"/>
    <w:pPr>
      <w:spacing w:after="0"/>
    </w:pPr>
    <w:rPr>
      <w:rFonts w:ascii="Arial" w:eastAsia="Times New Roman" w:hAnsi="Arial" w:cs="Times New Roman"/>
      <w:bCs/>
      <w:sz w:val="20"/>
      <w:lang w:val="en-GB" w:eastAsia="en-US"/>
    </w:rPr>
  </w:style>
  <w:style w:type="character" w:customStyle="1" w:styleId="CommentTextChar">
    <w:name w:val="Comment Text Char"/>
    <w:basedOn w:val="DefaultParagraphFont"/>
    <w:link w:val="CommentText"/>
    <w:uiPriority w:val="99"/>
    <w:rsid w:val="00B738C9"/>
    <w:rPr>
      <w:rFonts w:ascii="Arial" w:eastAsia="Times New Roman" w:hAnsi="Arial" w:cs="Times New Roman"/>
      <w:bCs/>
      <w:sz w:val="20"/>
      <w:szCs w:val="20"/>
    </w:rPr>
  </w:style>
  <w:style w:type="character" w:styleId="CommentReference">
    <w:name w:val="annotation reference"/>
    <w:basedOn w:val="DefaultParagraphFont"/>
    <w:uiPriority w:val="99"/>
    <w:semiHidden/>
    <w:unhideWhenUsed/>
    <w:rsid w:val="00B738C9"/>
    <w:rPr>
      <w:sz w:val="16"/>
      <w:szCs w:val="16"/>
    </w:rPr>
  </w:style>
  <w:style w:type="paragraph" w:styleId="BalloonText">
    <w:name w:val="Balloon Text"/>
    <w:basedOn w:val="Normal"/>
    <w:link w:val="BalloonTextChar"/>
    <w:uiPriority w:val="99"/>
    <w:semiHidden/>
    <w:unhideWhenUsed/>
    <w:rsid w:val="00B738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8C9"/>
    <w:rPr>
      <w:rFonts w:ascii="Segoe UI" w:eastAsiaTheme="minorEastAsia" w:hAnsi="Segoe UI" w:cs="Segoe UI"/>
      <w:sz w:val="18"/>
      <w:szCs w:val="18"/>
      <w:lang w:val="en-US" w:eastAsia="ja-JP"/>
    </w:rPr>
  </w:style>
  <w:style w:type="character" w:customStyle="1" w:styleId="Heading3Char">
    <w:name w:val="Heading 3 Char"/>
    <w:basedOn w:val="DefaultParagraphFont"/>
    <w:link w:val="Heading3"/>
    <w:uiPriority w:val="9"/>
    <w:semiHidden/>
    <w:rsid w:val="00647287"/>
    <w:rPr>
      <w:rFonts w:asciiTheme="majorHAnsi" w:eastAsiaTheme="majorEastAsia" w:hAnsiTheme="majorHAnsi" w:cstheme="majorBidi"/>
      <w:color w:val="1F3763" w:themeColor="accent1" w:themeShade="7F"/>
      <w:sz w:val="24"/>
      <w:szCs w:val="24"/>
      <w:lang w:val="en-US" w:eastAsia="ja-JP"/>
    </w:rPr>
  </w:style>
  <w:style w:type="paragraph" w:styleId="TOCHeading">
    <w:name w:val="TOC Heading"/>
    <w:basedOn w:val="Heading1"/>
    <w:next w:val="Normal"/>
    <w:uiPriority w:val="39"/>
    <w:semiHidden/>
    <w:unhideWhenUsed/>
    <w:qFormat/>
    <w:rsid w:val="00647287"/>
    <w:pPr>
      <w:keepNext/>
      <w:keepLines/>
      <w:spacing w:before="480" w:line="276" w:lineRule="auto"/>
      <w:jc w:val="left"/>
      <w:outlineLvl w:val="9"/>
    </w:pPr>
    <w:rPr>
      <w:rFonts w:asciiTheme="majorHAnsi" w:eastAsiaTheme="majorEastAsia" w:hAnsiTheme="majorHAnsi" w:cstheme="majorBidi"/>
      <w:bCs/>
      <w:color w:val="2F5496" w:themeColor="accent1" w:themeShade="BF"/>
      <w:lang w:val="en-US" w:eastAsia="ja-JP"/>
    </w:rPr>
  </w:style>
  <w:style w:type="character" w:styleId="Hyperlink">
    <w:name w:val="Hyperlink"/>
    <w:basedOn w:val="DefaultParagraphFont"/>
    <w:uiPriority w:val="99"/>
    <w:unhideWhenUsed/>
    <w:rsid w:val="0063388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24085"/>
    <w:pPr>
      <w:spacing w:after="200"/>
    </w:pPr>
    <w:rPr>
      <w:rFonts w:asciiTheme="minorHAnsi" w:eastAsiaTheme="minorEastAsia" w:hAnsiTheme="minorHAnsi" w:cstheme="minorBidi"/>
      <w:b/>
      <w:lang w:val="en-US" w:eastAsia="ja-JP"/>
    </w:rPr>
  </w:style>
  <w:style w:type="character" w:customStyle="1" w:styleId="CommentSubjectChar">
    <w:name w:val="Comment Subject Char"/>
    <w:basedOn w:val="CommentTextChar"/>
    <w:link w:val="CommentSubject"/>
    <w:uiPriority w:val="99"/>
    <w:semiHidden/>
    <w:rsid w:val="00724085"/>
    <w:rPr>
      <w:rFonts w:ascii="Arial" w:eastAsiaTheme="minorEastAsia" w:hAnsi="Arial" w:cs="Times New Roman"/>
      <w:b/>
      <w:bCs/>
      <w:sz w:val="20"/>
      <w:szCs w:val="20"/>
      <w:lang w:val="en-US" w:eastAsia="ja-JP"/>
    </w:rPr>
  </w:style>
  <w:style w:type="character" w:styleId="UnresolvedMention">
    <w:name w:val="Unresolved Mention"/>
    <w:basedOn w:val="DefaultParagraphFont"/>
    <w:uiPriority w:val="99"/>
    <w:semiHidden/>
    <w:unhideWhenUsed/>
    <w:rsid w:val="00E41553"/>
    <w:rPr>
      <w:color w:val="605E5C"/>
      <w:shd w:val="clear" w:color="auto" w:fill="E1DFDD"/>
    </w:rPr>
  </w:style>
  <w:style w:type="character" w:customStyle="1" w:styleId="Heading2Char">
    <w:name w:val="Heading 2 Char"/>
    <w:basedOn w:val="DefaultParagraphFont"/>
    <w:link w:val="Heading2"/>
    <w:uiPriority w:val="9"/>
    <w:rsid w:val="00392035"/>
    <w:rPr>
      <w:rFonts w:asciiTheme="majorHAnsi" w:eastAsiaTheme="majorEastAsia" w:hAnsiTheme="majorHAnsi" w:cstheme="majorBidi"/>
      <w:color w:val="2F5496" w:themeColor="accent1" w:themeShade="BF"/>
      <w:sz w:val="26"/>
      <w:szCs w:val="26"/>
      <w:lang w:val="en-US" w:eastAsia="ja-JP"/>
    </w:rPr>
  </w:style>
  <w:style w:type="paragraph" w:styleId="Header">
    <w:name w:val="header"/>
    <w:basedOn w:val="Normal"/>
    <w:link w:val="HeaderChar"/>
    <w:uiPriority w:val="99"/>
    <w:unhideWhenUsed/>
    <w:rsid w:val="00596757"/>
    <w:pPr>
      <w:tabs>
        <w:tab w:val="center" w:pos="4513"/>
        <w:tab w:val="right" w:pos="9026"/>
      </w:tabs>
      <w:spacing w:after="0"/>
    </w:pPr>
    <w:rPr>
      <w:rFonts w:eastAsiaTheme="minorHAnsi"/>
      <w:sz w:val="22"/>
      <w:szCs w:val="22"/>
      <w:lang w:val="en-GB" w:eastAsia="en-US"/>
    </w:rPr>
  </w:style>
  <w:style w:type="character" w:customStyle="1" w:styleId="HeaderChar">
    <w:name w:val="Header Char"/>
    <w:basedOn w:val="DefaultParagraphFont"/>
    <w:link w:val="Header"/>
    <w:uiPriority w:val="99"/>
    <w:rsid w:val="00596757"/>
  </w:style>
  <w:style w:type="paragraph" w:styleId="Footer">
    <w:name w:val="footer"/>
    <w:basedOn w:val="Normal"/>
    <w:link w:val="FooterChar"/>
    <w:uiPriority w:val="99"/>
    <w:unhideWhenUsed/>
    <w:rsid w:val="00596757"/>
    <w:pPr>
      <w:tabs>
        <w:tab w:val="center" w:pos="4513"/>
        <w:tab w:val="right" w:pos="9026"/>
      </w:tabs>
      <w:spacing w:after="0"/>
    </w:pPr>
    <w:rPr>
      <w:rFonts w:eastAsiaTheme="minorHAnsi"/>
      <w:sz w:val="22"/>
      <w:szCs w:val="22"/>
      <w:lang w:val="en-GB" w:eastAsia="en-US"/>
    </w:rPr>
  </w:style>
  <w:style w:type="character" w:customStyle="1" w:styleId="FooterChar">
    <w:name w:val="Footer Char"/>
    <w:basedOn w:val="DefaultParagraphFont"/>
    <w:link w:val="Footer"/>
    <w:uiPriority w:val="99"/>
    <w:rsid w:val="00596757"/>
  </w:style>
  <w:style w:type="character" w:customStyle="1" w:styleId="CommentTextChar1">
    <w:name w:val="Comment Text Char1"/>
    <w:uiPriority w:val="99"/>
    <w:rsid w:val="00596757"/>
    <w:rPr>
      <w:rFonts w:ascii="Arial" w:eastAsia="Times New Roman" w:hAnsi="Arial" w:cs="Times New Roman"/>
      <w:sz w:val="20"/>
      <w:szCs w:val="20"/>
      <w:lang w:val="x-none"/>
    </w:rPr>
  </w:style>
  <w:style w:type="character" w:customStyle="1" w:styleId="Definedterm">
    <w:name w:val="Defined term"/>
    <w:uiPriority w:val="1"/>
    <w:qFormat/>
    <w:rsid w:val="00596757"/>
    <w:rPr>
      <w:rFonts w:ascii="Arial" w:hAnsi="Arial" w:cs="Arial"/>
      <w:u w:val="dotted"/>
    </w:rPr>
  </w:style>
  <w:style w:type="paragraph" w:customStyle="1" w:styleId="Default">
    <w:name w:val="Default"/>
    <w:rsid w:val="00596757"/>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TableParagraph">
    <w:name w:val="Table Paragraph"/>
    <w:basedOn w:val="Normal"/>
    <w:uiPriority w:val="1"/>
    <w:qFormat/>
    <w:rsid w:val="00596757"/>
    <w:pPr>
      <w:widowControl w:val="0"/>
      <w:autoSpaceDE w:val="0"/>
      <w:autoSpaceDN w:val="0"/>
      <w:spacing w:before="65" w:after="0"/>
      <w:ind w:left="103"/>
    </w:pPr>
    <w:rPr>
      <w:rFonts w:ascii="Arial" w:eastAsia="Arial" w:hAnsi="Arial" w:cs="Arial"/>
      <w:sz w:val="22"/>
      <w:szCs w:val="22"/>
      <w:lang w:eastAsia="en-US"/>
    </w:rPr>
  </w:style>
  <w:style w:type="paragraph" w:styleId="Revision">
    <w:name w:val="Revision"/>
    <w:hidden/>
    <w:uiPriority w:val="99"/>
    <w:semiHidden/>
    <w:rsid w:val="00965EB6"/>
    <w:pPr>
      <w:spacing w:after="0" w:line="240" w:lineRule="auto"/>
    </w:pPr>
    <w:rPr>
      <w:rFonts w:eastAsiaTheme="minorEastAsia"/>
      <w:sz w:val="24"/>
      <w:szCs w:val="20"/>
      <w:lang w:val="en-US" w:eastAsia="ja-JP"/>
    </w:rPr>
  </w:style>
  <w:style w:type="character" w:styleId="FollowedHyperlink">
    <w:name w:val="FollowedHyperlink"/>
    <w:basedOn w:val="DefaultParagraphFont"/>
    <w:uiPriority w:val="99"/>
    <w:semiHidden/>
    <w:unhideWhenUsed/>
    <w:rsid w:val="009D1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56183">
      <w:bodyDiv w:val="1"/>
      <w:marLeft w:val="0"/>
      <w:marRight w:val="0"/>
      <w:marTop w:val="0"/>
      <w:marBottom w:val="0"/>
      <w:divBdr>
        <w:top w:val="none" w:sz="0" w:space="0" w:color="auto"/>
        <w:left w:val="none" w:sz="0" w:space="0" w:color="auto"/>
        <w:bottom w:val="none" w:sz="0" w:space="0" w:color="auto"/>
        <w:right w:val="none" w:sz="0" w:space="0" w:color="auto"/>
      </w:divBdr>
    </w:div>
    <w:div w:id="285430923">
      <w:bodyDiv w:val="1"/>
      <w:marLeft w:val="0"/>
      <w:marRight w:val="0"/>
      <w:marTop w:val="0"/>
      <w:marBottom w:val="0"/>
      <w:divBdr>
        <w:top w:val="none" w:sz="0" w:space="0" w:color="auto"/>
        <w:left w:val="none" w:sz="0" w:space="0" w:color="auto"/>
        <w:bottom w:val="none" w:sz="0" w:space="0" w:color="auto"/>
        <w:right w:val="none" w:sz="0" w:space="0" w:color="auto"/>
      </w:divBdr>
    </w:div>
    <w:div w:id="424960574">
      <w:bodyDiv w:val="1"/>
      <w:marLeft w:val="0"/>
      <w:marRight w:val="0"/>
      <w:marTop w:val="0"/>
      <w:marBottom w:val="0"/>
      <w:divBdr>
        <w:top w:val="none" w:sz="0" w:space="0" w:color="auto"/>
        <w:left w:val="none" w:sz="0" w:space="0" w:color="auto"/>
        <w:bottom w:val="none" w:sz="0" w:space="0" w:color="auto"/>
        <w:right w:val="none" w:sz="0" w:space="0" w:color="auto"/>
      </w:divBdr>
    </w:div>
    <w:div w:id="494155017">
      <w:bodyDiv w:val="1"/>
      <w:marLeft w:val="0"/>
      <w:marRight w:val="0"/>
      <w:marTop w:val="0"/>
      <w:marBottom w:val="0"/>
      <w:divBdr>
        <w:top w:val="none" w:sz="0" w:space="0" w:color="auto"/>
        <w:left w:val="none" w:sz="0" w:space="0" w:color="auto"/>
        <w:bottom w:val="none" w:sz="0" w:space="0" w:color="auto"/>
        <w:right w:val="none" w:sz="0" w:space="0" w:color="auto"/>
      </w:divBdr>
    </w:div>
    <w:div w:id="510143736">
      <w:bodyDiv w:val="1"/>
      <w:marLeft w:val="0"/>
      <w:marRight w:val="0"/>
      <w:marTop w:val="0"/>
      <w:marBottom w:val="0"/>
      <w:divBdr>
        <w:top w:val="none" w:sz="0" w:space="0" w:color="auto"/>
        <w:left w:val="none" w:sz="0" w:space="0" w:color="auto"/>
        <w:bottom w:val="none" w:sz="0" w:space="0" w:color="auto"/>
        <w:right w:val="none" w:sz="0" w:space="0" w:color="auto"/>
      </w:divBdr>
    </w:div>
    <w:div w:id="907882076">
      <w:bodyDiv w:val="1"/>
      <w:marLeft w:val="0"/>
      <w:marRight w:val="0"/>
      <w:marTop w:val="0"/>
      <w:marBottom w:val="0"/>
      <w:divBdr>
        <w:top w:val="none" w:sz="0" w:space="0" w:color="auto"/>
        <w:left w:val="none" w:sz="0" w:space="0" w:color="auto"/>
        <w:bottom w:val="none" w:sz="0" w:space="0" w:color="auto"/>
        <w:right w:val="none" w:sz="0" w:space="0" w:color="auto"/>
      </w:divBdr>
    </w:div>
    <w:div w:id="959798454">
      <w:bodyDiv w:val="1"/>
      <w:marLeft w:val="0"/>
      <w:marRight w:val="0"/>
      <w:marTop w:val="0"/>
      <w:marBottom w:val="0"/>
      <w:divBdr>
        <w:top w:val="none" w:sz="0" w:space="0" w:color="auto"/>
        <w:left w:val="none" w:sz="0" w:space="0" w:color="auto"/>
        <w:bottom w:val="none" w:sz="0" w:space="0" w:color="auto"/>
        <w:right w:val="none" w:sz="0" w:space="0" w:color="auto"/>
      </w:divBdr>
    </w:div>
    <w:div w:id="1016233231">
      <w:bodyDiv w:val="1"/>
      <w:marLeft w:val="0"/>
      <w:marRight w:val="0"/>
      <w:marTop w:val="0"/>
      <w:marBottom w:val="0"/>
      <w:divBdr>
        <w:top w:val="none" w:sz="0" w:space="0" w:color="auto"/>
        <w:left w:val="none" w:sz="0" w:space="0" w:color="auto"/>
        <w:bottom w:val="none" w:sz="0" w:space="0" w:color="auto"/>
        <w:right w:val="none" w:sz="0" w:space="0" w:color="auto"/>
      </w:divBdr>
    </w:div>
    <w:div w:id="1175613288">
      <w:bodyDiv w:val="1"/>
      <w:marLeft w:val="0"/>
      <w:marRight w:val="0"/>
      <w:marTop w:val="0"/>
      <w:marBottom w:val="0"/>
      <w:divBdr>
        <w:top w:val="none" w:sz="0" w:space="0" w:color="auto"/>
        <w:left w:val="none" w:sz="0" w:space="0" w:color="auto"/>
        <w:bottom w:val="none" w:sz="0" w:space="0" w:color="auto"/>
        <w:right w:val="none" w:sz="0" w:space="0" w:color="auto"/>
      </w:divBdr>
    </w:div>
    <w:div w:id="1497918245">
      <w:bodyDiv w:val="1"/>
      <w:marLeft w:val="0"/>
      <w:marRight w:val="0"/>
      <w:marTop w:val="0"/>
      <w:marBottom w:val="0"/>
      <w:divBdr>
        <w:top w:val="none" w:sz="0" w:space="0" w:color="auto"/>
        <w:left w:val="none" w:sz="0" w:space="0" w:color="auto"/>
        <w:bottom w:val="none" w:sz="0" w:space="0" w:color="auto"/>
        <w:right w:val="none" w:sz="0" w:space="0" w:color="auto"/>
      </w:divBdr>
    </w:div>
    <w:div w:id="1750274217">
      <w:bodyDiv w:val="1"/>
      <w:marLeft w:val="0"/>
      <w:marRight w:val="0"/>
      <w:marTop w:val="0"/>
      <w:marBottom w:val="0"/>
      <w:divBdr>
        <w:top w:val="none" w:sz="0" w:space="0" w:color="auto"/>
        <w:left w:val="none" w:sz="0" w:space="0" w:color="auto"/>
        <w:bottom w:val="none" w:sz="0" w:space="0" w:color="auto"/>
        <w:right w:val="none" w:sz="0" w:space="0" w:color="auto"/>
      </w:divBdr>
    </w:div>
    <w:div w:id="178179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882570/PHE_Remit_Letter_from_Jo_Churchill_to_Duncan_Selbie.pdf" TargetMode="External"/><Relationship Id="rId18" Type="http://schemas.openxmlformats.org/officeDocument/2006/relationships/header" Target="header1.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bgyn.onlinelibrary.wiley.com/doi/abs/10.1002/pd.5621?af=R" TargetMode="External"/><Relationship Id="rId17" Type="http://schemas.openxmlformats.org/officeDocument/2006/relationships/hyperlink" Target="https://phescreening.blog.gov.uk/2017/03/24/new-e-learning-module-for-screening-for-downs-edwards-and-pataus-syndromes/" TargetMode="Externa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s://www.gov.uk/government/publications/managing-safety-incidents-in-nhs-screening-programme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acyscreening.phe.org.uk/policydb_download.php?doc=602" TargetMode="External"/><Relationship Id="rId24" Type="http://schemas.openxmlformats.org/officeDocument/2006/relationships/diagramData" Target="diagrams/data1.xml"/><Relationship Id="rId5" Type="http://schemas.openxmlformats.org/officeDocument/2006/relationships/numbering" Target="numbering.xml"/><Relationship Id="rId15" Type="http://schemas.openxmlformats.org/officeDocument/2006/relationships/hyperlink" Target="https://www.england.nhs.uk/wp-content/uploads/2015/04/serious-incidnt-framwrk-upd.pdf" TargetMode="External"/><Relationship Id="rId23" Type="http://schemas.openxmlformats.org/officeDocument/2006/relationships/footer" Target="footer3.xm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diagramColors" Target="diagrams/colors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2E2D33-D657-419E-B30A-0D0757B90967}" type="doc">
      <dgm:prSet loTypeId="urn:microsoft.com/office/officeart/2005/8/layout/chevron1" loCatId="process" qsTypeId="urn:microsoft.com/office/officeart/2005/8/quickstyle/simple1" qsCatId="simple" csTypeId="urn:microsoft.com/office/officeart/2005/8/colors/accent1_2" csCatId="accent1" phldr="1"/>
      <dgm:spPr/>
    </dgm:pt>
    <dgm:pt modelId="{E813A617-C687-4550-A54B-3789D1A00940}">
      <dgm:prSet phldrT="[Text]"/>
      <dgm:spPr/>
      <dgm:t>
        <a:bodyPr/>
        <a:lstStyle/>
        <a:p>
          <a:r>
            <a:rPr lang="en-GB"/>
            <a:t>Sampling</a:t>
          </a:r>
        </a:p>
      </dgm:t>
    </dgm:pt>
    <dgm:pt modelId="{03126D65-8311-4C1C-B7CD-F9822A4339AB}" type="parTrans" cxnId="{7A6948AB-4E37-48D7-99E5-3E8AD1346CE2}">
      <dgm:prSet/>
      <dgm:spPr/>
      <dgm:t>
        <a:bodyPr/>
        <a:lstStyle/>
        <a:p>
          <a:endParaRPr lang="en-GB"/>
        </a:p>
      </dgm:t>
    </dgm:pt>
    <dgm:pt modelId="{D7C01BB4-5F7F-484C-B53C-5C27BFBE9782}" type="sibTrans" cxnId="{7A6948AB-4E37-48D7-99E5-3E8AD1346CE2}">
      <dgm:prSet/>
      <dgm:spPr/>
      <dgm:t>
        <a:bodyPr/>
        <a:lstStyle/>
        <a:p>
          <a:endParaRPr lang="en-GB"/>
        </a:p>
      </dgm:t>
    </dgm:pt>
    <dgm:pt modelId="{7ED76143-F2D8-43AB-8070-B6D7701A733F}">
      <dgm:prSet phldrT="[Text]"/>
      <dgm:spPr/>
      <dgm:t>
        <a:bodyPr/>
        <a:lstStyle/>
        <a:p>
          <a:r>
            <a:rPr lang="en-GB"/>
            <a:t>DNA extraction</a:t>
          </a:r>
        </a:p>
      </dgm:t>
    </dgm:pt>
    <dgm:pt modelId="{CC0A0307-9D5D-40CC-9331-F3C89B69968B}" type="parTrans" cxnId="{F148C041-B001-4711-9B2C-C400C18A4706}">
      <dgm:prSet/>
      <dgm:spPr/>
      <dgm:t>
        <a:bodyPr/>
        <a:lstStyle/>
        <a:p>
          <a:endParaRPr lang="en-GB"/>
        </a:p>
      </dgm:t>
    </dgm:pt>
    <dgm:pt modelId="{B4C5DC59-5ADB-4405-B3DF-D91F38D0779B}" type="sibTrans" cxnId="{F148C041-B001-4711-9B2C-C400C18A4706}">
      <dgm:prSet/>
      <dgm:spPr/>
      <dgm:t>
        <a:bodyPr/>
        <a:lstStyle/>
        <a:p>
          <a:endParaRPr lang="en-GB"/>
        </a:p>
      </dgm:t>
    </dgm:pt>
    <dgm:pt modelId="{53AF1287-957C-4BAD-8D3E-A8026773088C}">
      <dgm:prSet phldrT="[Text]"/>
      <dgm:spPr/>
      <dgm:t>
        <a:bodyPr/>
        <a:lstStyle/>
        <a:p>
          <a:r>
            <a:rPr lang="en-GB"/>
            <a:t>Result</a:t>
          </a:r>
        </a:p>
      </dgm:t>
    </dgm:pt>
    <dgm:pt modelId="{0F6444A0-EBFD-4489-97CC-1C5B7E780ACE}" type="parTrans" cxnId="{1CC923F9-2A39-48AD-B5AB-0943ED6A42CA}">
      <dgm:prSet/>
      <dgm:spPr/>
      <dgm:t>
        <a:bodyPr/>
        <a:lstStyle/>
        <a:p>
          <a:endParaRPr lang="en-GB"/>
        </a:p>
      </dgm:t>
    </dgm:pt>
    <dgm:pt modelId="{B9396513-CA41-4819-A8EF-45BE5E1F5FAA}" type="sibTrans" cxnId="{1CC923F9-2A39-48AD-B5AB-0943ED6A42CA}">
      <dgm:prSet/>
      <dgm:spPr/>
      <dgm:t>
        <a:bodyPr/>
        <a:lstStyle/>
        <a:p>
          <a:endParaRPr lang="en-GB"/>
        </a:p>
      </dgm:t>
    </dgm:pt>
    <dgm:pt modelId="{D418680E-9397-4E25-A926-AE27AE4B770D}">
      <dgm:prSet/>
      <dgm:spPr/>
      <dgm:t>
        <a:bodyPr/>
        <a:lstStyle/>
        <a:p>
          <a:r>
            <a:rPr lang="en-GB"/>
            <a:t>Library prep</a:t>
          </a:r>
        </a:p>
      </dgm:t>
    </dgm:pt>
    <dgm:pt modelId="{F2B1008F-704A-414A-AE68-E4DE06669044}" type="parTrans" cxnId="{A2F26D88-25B6-4C7C-ABAE-37DFCBCAE99D}">
      <dgm:prSet/>
      <dgm:spPr/>
      <dgm:t>
        <a:bodyPr/>
        <a:lstStyle/>
        <a:p>
          <a:endParaRPr lang="en-GB"/>
        </a:p>
      </dgm:t>
    </dgm:pt>
    <dgm:pt modelId="{CEAB75A1-809F-42C3-A87A-4AA11363869F}" type="sibTrans" cxnId="{A2F26D88-25B6-4C7C-ABAE-37DFCBCAE99D}">
      <dgm:prSet/>
      <dgm:spPr/>
      <dgm:t>
        <a:bodyPr/>
        <a:lstStyle/>
        <a:p>
          <a:endParaRPr lang="en-GB"/>
        </a:p>
      </dgm:t>
    </dgm:pt>
    <dgm:pt modelId="{E0BB36BB-A0C1-447A-8FE4-1A28106DF504}">
      <dgm:prSet/>
      <dgm:spPr/>
      <dgm:t>
        <a:bodyPr/>
        <a:lstStyle/>
        <a:p>
          <a:r>
            <a:rPr lang="en-GB"/>
            <a:t>Sequencing/microarray</a:t>
          </a:r>
        </a:p>
      </dgm:t>
    </dgm:pt>
    <dgm:pt modelId="{AC4998FE-A84F-4B78-9656-7FFD8E70C327}" type="parTrans" cxnId="{24B86292-B62D-47EB-869A-7CA708F938C3}">
      <dgm:prSet/>
      <dgm:spPr/>
      <dgm:t>
        <a:bodyPr/>
        <a:lstStyle/>
        <a:p>
          <a:endParaRPr lang="en-GB"/>
        </a:p>
      </dgm:t>
    </dgm:pt>
    <dgm:pt modelId="{C7C5E718-231B-4B6F-9DC9-995244F2B932}" type="sibTrans" cxnId="{24B86292-B62D-47EB-869A-7CA708F938C3}">
      <dgm:prSet/>
      <dgm:spPr/>
      <dgm:t>
        <a:bodyPr/>
        <a:lstStyle/>
        <a:p>
          <a:endParaRPr lang="en-GB"/>
        </a:p>
      </dgm:t>
    </dgm:pt>
    <dgm:pt modelId="{C453F1C9-BB3A-4FB7-941F-D352C8CA9B1F}">
      <dgm:prSet/>
      <dgm:spPr/>
      <dgm:t>
        <a:bodyPr/>
        <a:lstStyle/>
        <a:p>
          <a:r>
            <a:rPr lang="en-GB"/>
            <a:t>Analysis</a:t>
          </a:r>
        </a:p>
      </dgm:t>
    </dgm:pt>
    <dgm:pt modelId="{CFF66AE8-7723-4E70-A1F4-2B2B736755C2}" type="parTrans" cxnId="{2E30DE89-A69A-4177-A5B5-1DE7F786CE36}">
      <dgm:prSet/>
      <dgm:spPr/>
      <dgm:t>
        <a:bodyPr/>
        <a:lstStyle/>
        <a:p>
          <a:endParaRPr lang="en-GB"/>
        </a:p>
      </dgm:t>
    </dgm:pt>
    <dgm:pt modelId="{C4056CAD-0DAA-4550-AF08-6139C937ECDD}" type="sibTrans" cxnId="{2E30DE89-A69A-4177-A5B5-1DE7F786CE36}">
      <dgm:prSet/>
      <dgm:spPr/>
      <dgm:t>
        <a:bodyPr/>
        <a:lstStyle/>
        <a:p>
          <a:endParaRPr lang="en-GB"/>
        </a:p>
      </dgm:t>
    </dgm:pt>
    <dgm:pt modelId="{B7028CF3-3028-4BD7-BFC5-B4A062097983}" type="pres">
      <dgm:prSet presAssocID="{B42E2D33-D657-419E-B30A-0D0757B90967}" presName="Name0" presStyleCnt="0">
        <dgm:presLayoutVars>
          <dgm:dir/>
          <dgm:animLvl val="lvl"/>
          <dgm:resizeHandles val="exact"/>
        </dgm:presLayoutVars>
      </dgm:prSet>
      <dgm:spPr/>
    </dgm:pt>
    <dgm:pt modelId="{52CCC07C-0721-480F-B821-8286697EFEA6}" type="pres">
      <dgm:prSet presAssocID="{E813A617-C687-4550-A54B-3789D1A00940}" presName="parTxOnly" presStyleLbl="node1" presStyleIdx="0" presStyleCnt="6">
        <dgm:presLayoutVars>
          <dgm:chMax val="0"/>
          <dgm:chPref val="0"/>
          <dgm:bulletEnabled val="1"/>
        </dgm:presLayoutVars>
      </dgm:prSet>
      <dgm:spPr/>
    </dgm:pt>
    <dgm:pt modelId="{0ABEADAF-5FE3-43BB-BEEF-57ECD14B9D7A}" type="pres">
      <dgm:prSet presAssocID="{D7C01BB4-5F7F-484C-B53C-5C27BFBE9782}" presName="parTxOnlySpace" presStyleCnt="0"/>
      <dgm:spPr/>
    </dgm:pt>
    <dgm:pt modelId="{48925AEB-6553-4585-B28F-E1B3DF7B98FA}" type="pres">
      <dgm:prSet presAssocID="{7ED76143-F2D8-43AB-8070-B6D7701A733F}" presName="parTxOnly" presStyleLbl="node1" presStyleIdx="1" presStyleCnt="6">
        <dgm:presLayoutVars>
          <dgm:chMax val="0"/>
          <dgm:chPref val="0"/>
          <dgm:bulletEnabled val="1"/>
        </dgm:presLayoutVars>
      </dgm:prSet>
      <dgm:spPr/>
    </dgm:pt>
    <dgm:pt modelId="{B63A03BA-BD42-469B-B729-62C152FB8F41}" type="pres">
      <dgm:prSet presAssocID="{B4C5DC59-5ADB-4405-B3DF-D91F38D0779B}" presName="parTxOnlySpace" presStyleCnt="0"/>
      <dgm:spPr/>
    </dgm:pt>
    <dgm:pt modelId="{1DD0ADA9-265A-4055-9D77-43BB4F19651F}" type="pres">
      <dgm:prSet presAssocID="{D418680E-9397-4E25-A926-AE27AE4B770D}" presName="parTxOnly" presStyleLbl="node1" presStyleIdx="2" presStyleCnt="6">
        <dgm:presLayoutVars>
          <dgm:chMax val="0"/>
          <dgm:chPref val="0"/>
          <dgm:bulletEnabled val="1"/>
        </dgm:presLayoutVars>
      </dgm:prSet>
      <dgm:spPr/>
    </dgm:pt>
    <dgm:pt modelId="{CAD43769-D62B-4C36-B847-9DCC47DB0140}" type="pres">
      <dgm:prSet presAssocID="{CEAB75A1-809F-42C3-A87A-4AA11363869F}" presName="parTxOnlySpace" presStyleCnt="0"/>
      <dgm:spPr/>
    </dgm:pt>
    <dgm:pt modelId="{EC1E8F13-97E8-4D6B-ADB0-4BE983838C56}" type="pres">
      <dgm:prSet presAssocID="{E0BB36BB-A0C1-447A-8FE4-1A28106DF504}" presName="parTxOnly" presStyleLbl="node1" presStyleIdx="3" presStyleCnt="6">
        <dgm:presLayoutVars>
          <dgm:chMax val="0"/>
          <dgm:chPref val="0"/>
          <dgm:bulletEnabled val="1"/>
        </dgm:presLayoutVars>
      </dgm:prSet>
      <dgm:spPr/>
    </dgm:pt>
    <dgm:pt modelId="{48CEEA0C-7118-4EE2-BEA9-551183956B03}" type="pres">
      <dgm:prSet presAssocID="{C7C5E718-231B-4B6F-9DC9-995244F2B932}" presName="parTxOnlySpace" presStyleCnt="0"/>
      <dgm:spPr/>
    </dgm:pt>
    <dgm:pt modelId="{342785B3-8110-4810-B64C-7030693301C8}" type="pres">
      <dgm:prSet presAssocID="{C453F1C9-BB3A-4FB7-941F-D352C8CA9B1F}" presName="parTxOnly" presStyleLbl="node1" presStyleIdx="4" presStyleCnt="6">
        <dgm:presLayoutVars>
          <dgm:chMax val="0"/>
          <dgm:chPref val="0"/>
          <dgm:bulletEnabled val="1"/>
        </dgm:presLayoutVars>
      </dgm:prSet>
      <dgm:spPr/>
    </dgm:pt>
    <dgm:pt modelId="{2E2B6572-B1B5-4679-BC37-C028A8DC8761}" type="pres">
      <dgm:prSet presAssocID="{C4056CAD-0DAA-4550-AF08-6139C937ECDD}" presName="parTxOnlySpace" presStyleCnt="0"/>
      <dgm:spPr/>
    </dgm:pt>
    <dgm:pt modelId="{86B8202B-A7C3-4897-AFA8-73D3E8B332F3}" type="pres">
      <dgm:prSet presAssocID="{53AF1287-957C-4BAD-8D3E-A8026773088C}" presName="parTxOnly" presStyleLbl="node1" presStyleIdx="5" presStyleCnt="6">
        <dgm:presLayoutVars>
          <dgm:chMax val="0"/>
          <dgm:chPref val="0"/>
          <dgm:bulletEnabled val="1"/>
        </dgm:presLayoutVars>
      </dgm:prSet>
      <dgm:spPr/>
    </dgm:pt>
  </dgm:ptLst>
  <dgm:cxnLst>
    <dgm:cxn modelId="{F148C041-B001-4711-9B2C-C400C18A4706}" srcId="{B42E2D33-D657-419E-B30A-0D0757B90967}" destId="{7ED76143-F2D8-43AB-8070-B6D7701A733F}" srcOrd="1" destOrd="0" parTransId="{CC0A0307-9D5D-40CC-9331-F3C89B69968B}" sibTransId="{B4C5DC59-5ADB-4405-B3DF-D91F38D0779B}"/>
    <dgm:cxn modelId="{A2F26D88-25B6-4C7C-ABAE-37DFCBCAE99D}" srcId="{B42E2D33-D657-419E-B30A-0D0757B90967}" destId="{D418680E-9397-4E25-A926-AE27AE4B770D}" srcOrd="2" destOrd="0" parTransId="{F2B1008F-704A-414A-AE68-E4DE06669044}" sibTransId="{CEAB75A1-809F-42C3-A87A-4AA11363869F}"/>
    <dgm:cxn modelId="{2E30DE89-A69A-4177-A5B5-1DE7F786CE36}" srcId="{B42E2D33-D657-419E-B30A-0D0757B90967}" destId="{C453F1C9-BB3A-4FB7-941F-D352C8CA9B1F}" srcOrd="4" destOrd="0" parTransId="{CFF66AE8-7723-4E70-A1F4-2B2B736755C2}" sibTransId="{C4056CAD-0DAA-4550-AF08-6139C937ECDD}"/>
    <dgm:cxn modelId="{24B86292-B62D-47EB-869A-7CA708F938C3}" srcId="{B42E2D33-D657-419E-B30A-0D0757B90967}" destId="{E0BB36BB-A0C1-447A-8FE4-1A28106DF504}" srcOrd="3" destOrd="0" parTransId="{AC4998FE-A84F-4B78-9656-7FFD8E70C327}" sibTransId="{C7C5E718-231B-4B6F-9DC9-995244F2B932}"/>
    <dgm:cxn modelId="{0E14E59A-E3C3-4DB6-82DA-F3A8AD6A1AB7}" type="presOf" srcId="{E0BB36BB-A0C1-447A-8FE4-1A28106DF504}" destId="{EC1E8F13-97E8-4D6B-ADB0-4BE983838C56}" srcOrd="0" destOrd="0" presId="urn:microsoft.com/office/officeart/2005/8/layout/chevron1"/>
    <dgm:cxn modelId="{7A6948AB-4E37-48D7-99E5-3E8AD1346CE2}" srcId="{B42E2D33-D657-419E-B30A-0D0757B90967}" destId="{E813A617-C687-4550-A54B-3789D1A00940}" srcOrd="0" destOrd="0" parTransId="{03126D65-8311-4C1C-B7CD-F9822A4339AB}" sibTransId="{D7C01BB4-5F7F-484C-B53C-5C27BFBE9782}"/>
    <dgm:cxn modelId="{95D403C0-00A5-40C2-A9A6-28A2591C7C4A}" type="presOf" srcId="{53AF1287-957C-4BAD-8D3E-A8026773088C}" destId="{86B8202B-A7C3-4897-AFA8-73D3E8B332F3}" srcOrd="0" destOrd="0" presId="urn:microsoft.com/office/officeart/2005/8/layout/chevron1"/>
    <dgm:cxn modelId="{19717EC6-E684-4503-A3D6-A3CD5060544F}" type="presOf" srcId="{B42E2D33-D657-419E-B30A-0D0757B90967}" destId="{B7028CF3-3028-4BD7-BFC5-B4A062097983}" srcOrd="0" destOrd="0" presId="urn:microsoft.com/office/officeart/2005/8/layout/chevron1"/>
    <dgm:cxn modelId="{46E01CCA-B24D-43FA-A2EE-32E4A2FCD9A7}" type="presOf" srcId="{D418680E-9397-4E25-A926-AE27AE4B770D}" destId="{1DD0ADA9-265A-4055-9D77-43BB4F19651F}" srcOrd="0" destOrd="0" presId="urn:microsoft.com/office/officeart/2005/8/layout/chevron1"/>
    <dgm:cxn modelId="{8F3A80CD-0016-4170-8410-63CA0411A9DD}" type="presOf" srcId="{E813A617-C687-4550-A54B-3789D1A00940}" destId="{52CCC07C-0721-480F-B821-8286697EFEA6}" srcOrd="0" destOrd="0" presId="urn:microsoft.com/office/officeart/2005/8/layout/chevron1"/>
    <dgm:cxn modelId="{D42714D6-95B9-4467-B7B7-3C684855D1AF}" type="presOf" srcId="{C453F1C9-BB3A-4FB7-941F-D352C8CA9B1F}" destId="{342785B3-8110-4810-B64C-7030693301C8}" srcOrd="0" destOrd="0" presId="urn:microsoft.com/office/officeart/2005/8/layout/chevron1"/>
    <dgm:cxn modelId="{1CC923F9-2A39-48AD-B5AB-0943ED6A42CA}" srcId="{B42E2D33-D657-419E-B30A-0D0757B90967}" destId="{53AF1287-957C-4BAD-8D3E-A8026773088C}" srcOrd="5" destOrd="0" parTransId="{0F6444A0-EBFD-4489-97CC-1C5B7E780ACE}" sibTransId="{B9396513-CA41-4819-A8EF-45BE5E1F5FAA}"/>
    <dgm:cxn modelId="{B477CFFC-6977-47A5-A0B1-AAD482BA49FF}" type="presOf" srcId="{7ED76143-F2D8-43AB-8070-B6D7701A733F}" destId="{48925AEB-6553-4585-B28F-E1B3DF7B98FA}" srcOrd="0" destOrd="0" presId="urn:microsoft.com/office/officeart/2005/8/layout/chevron1"/>
    <dgm:cxn modelId="{6ECA1069-4951-4A2D-B927-6EC1D2263EC6}" type="presParOf" srcId="{B7028CF3-3028-4BD7-BFC5-B4A062097983}" destId="{52CCC07C-0721-480F-B821-8286697EFEA6}" srcOrd="0" destOrd="0" presId="urn:microsoft.com/office/officeart/2005/8/layout/chevron1"/>
    <dgm:cxn modelId="{FC9CEEC0-EF23-4831-A4AF-5CE772066B97}" type="presParOf" srcId="{B7028CF3-3028-4BD7-BFC5-B4A062097983}" destId="{0ABEADAF-5FE3-43BB-BEEF-57ECD14B9D7A}" srcOrd="1" destOrd="0" presId="urn:microsoft.com/office/officeart/2005/8/layout/chevron1"/>
    <dgm:cxn modelId="{06284FAD-3C5F-48B2-82A2-EB7FEC7274ED}" type="presParOf" srcId="{B7028CF3-3028-4BD7-BFC5-B4A062097983}" destId="{48925AEB-6553-4585-B28F-E1B3DF7B98FA}" srcOrd="2" destOrd="0" presId="urn:microsoft.com/office/officeart/2005/8/layout/chevron1"/>
    <dgm:cxn modelId="{AC1D6257-BF87-424A-9977-FB0442FC36CE}" type="presParOf" srcId="{B7028CF3-3028-4BD7-BFC5-B4A062097983}" destId="{B63A03BA-BD42-469B-B729-62C152FB8F41}" srcOrd="3" destOrd="0" presId="urn:microsoft.com/office/officeart/2005/8/layout/chevron1"/>
    <dgm:cxn modelId="{6E81764F-846C-4334-B2BC-B9ADE86D7380}" type="presParOf" srcId="{B7028CF3-3028-4BD7-BFC5-B4A062097983}" destId="{1DD0ADA9-265A-4055-9D77-43BB4F19651F}" srcOrd="4" destOrd="0" presId="urn:microsoft.com/office/officeart/2005/8/layout/chevron1"/>
    <dgm:cxn modelId="{770F6171-21F2-4C18-B0EF-7AAB62C9FA06}" type="presParOf" srcId="{B7028CF3-3028-4BD7-BFC5-B4A062097983}" destId="{CAD43769-D62B-4C36-B847-9DCC47DB0140}" srcOrd="5" destOrd="0" presId="urn:microsoft.com/office/officeart/2005/8/layout/chevron1"/>
    <dgm:cxn modelId="{BD90DBB3-416D-4458-849A-2F0BF065D8AF}" type="presParOf" srcId="{B7028CF3-3028-4BD7-BFC5-B4A062097983}" destId="{EC1E8F13-97E8-4D6B-ADB0-4BE983838C56}" srcOrd="6" destOrd="0" presId="urn:microsoft.com/office/officeart/2005/8/layout/chevron1"/>
    <dgm:cxn modelId="{35D9213C-0F6B-4B57-A052-23DD36E06163}" type="presParOf" srcId="{B7028CF3-3028-4BD7-BFC5-B4A062097983}" destId="{48CEEA0C-7118-4EE2-BEA9-551183956B03}" srcOrd="7" destOrd="0" presId="urn:microsoft.com/office/officeart/2005/8/layout/chevron1"/>
    <dgm:cxn modelId="{56A6EEAB-E040-4BB8-B0B6-94D7F36CEB0B}" type="presParOf" srcId="{B7028CF3-3028-4BD7-BFC5-B4A062097983}" destId="{342785B3-8110-4810-B64C-7030693301C8}" srcOrd="8" destOrd="0" presId="urn:microsoft.com/office/officeart/2005/8/layout/chevron1"/>
    <dgm:cxn modelId="{EE8B203F-BBCD-46C3-9546-661639CEBC6B}" type="presParOf" srcId="{B7028CF3-3028-4BD7-BFC5-B4A062097983}" destId="{2E2B6572-B1B5-4679-BC37-C028A8DC8761}" srcOrd="9" destOrd="0" presId="urn:microsoft.com/office/officeart/2005/8/layout/chevron1"/>
    <dgm:cxn modelId="{F78687A3-FDA1-4656-A27D-B2BCDF9C2248}" type="presParOf" srcId="{B7028CF3-3028-4BD7-BFC5-B4A062097983}" destId="{86B8202B-A7C3-4897-AFA8-73D3E8B332F3}" srcOrd="10"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CCC07C-0721-480F-B821-8286697EFEA6}">
      <dsp:nvSpPr>
        <dsp:cNvPr id="0" name=""/>
        <dsp:cNvSpPr/>
      </dsp:nvSpPr>
      <dsp:spPr>
        <a:xfrm>
          <a:off x="2460" y="159852"/>
          <a:ext cx="915237" cy="3660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GB" sz="500" kern="1200"/>
            <a:t>Sampling</a:t>
          </a:r>
        </a:p>
      </dsp:txBody>
      <dsp:txXfrm>
        <a:off x="185507" y="159852"/>
        <a:ext cx="549143" cy="366094"/>
      </dsp:txXfrm>
    </dsp:sp>
    <dsp:sp modelId="{48925AEB-6553-4585-B28F-E1B3DF7B98FA}">
      <dsp:nvSpPr>
        <dsp:cNvPr id="0" name=""/>
        <dsp:cNvSpPr/>
      </dsp:nvSpPr>
      <dsp:spPr>
        <a:xfrm>
          <a:off x="826173" y="159852"/>
          <a:ext cx="915237" cy="3660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GB" sz="500" kern="1200"/>
            <a:t>DNA extraction</a:t>
          </a:r>
        </a:p>
      </dsp:txBody>
      <dsp:txXfrm>
        <a:off x="1009220" y="159852"/>
        <a:ext cx="549143" cy="366094"/>
      </dsp:txXfrm>
    </dsp:sp>
    <dsp:sp modelId="{1DD0ADA9-265A-4055-9D77-43BB4F19651F}">
      <dsp:nvSpPr>
        <dsp:cNvPr id="0" name=""/>
        <dsp:cNvSpPr/>
      </dsp:nvSpPr>
      <dsp:spPr>
        <a:xfrm>
          <a:off x="1649887" y="159852"/>
          <a:ext cx="915237" cy="3660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GB" sz="500" kern="1200"/>
            <a:t>Library prep</a:t>
          </a:r>
        </a:p>
      </dsp:txBody>
      <dsp:txXfrm>
        <a:off x="1832934" y="159852"/>
        <a:ext cx="549143" cy="366094"/>
      </dsp:txXfrm>
    </dsp:sp>
    <dsp:sp modelId="{EC1E8F13-97E8-4D6B-ADB0-4BE983838C56}">
      <dsp:nvSpPr>
        <dsp:cNvPr id="0" name=""/>
        <dsp:cNvSpPr/>
      </dsp:nvSpPr>
      <dsp:spPr>
        <a:xfrm>
          <a:off x="2473600" y="159852"/>
          <a:ext cx="915237" cy="3660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GB" sz="500" kern="1200"/>
            <a:t>Sequencing/microarray</a:t>
          </a:r>
        </a:p>
      </dsp:txBody>
      <dsp:txXfrm>
        <a:off x="2656647" y="159852"/>
        <a:ext cx="549143" cy="366094"/>
      </dsp:txXfrm>
    </dsp:sp>
    <dsp:sp modelId="{342785B3-8110-4810-B64C-7030693301C8}">
      <dsp:nvSpPr>
        <dsp:cNvPr id="0" name=""/>
        <dsp:cNvSpPr/>
      </dsp:nvSpPr>
      <dsp:spPr>
        <a:xfrm>
          <a:off x="3297314" y="159852"/>
          <a:ext cx="915237" cy="3660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GB" sz="500" kern="1200"/>
            <a:t>Analysis</a:t>
          </a:r>
        </a:p>
      </dsp:txBody>
      <dsp:txXfrm>
        <a:off x="3480361" y="159852"/>
        <a:ext cx="549143" cy="366094"/>
      </dsp:txXfrm>
    </dsp:sp>
    <dsp:sp modelId="{86B8202B-A7C3-4897-AFA8-73D3E8B332F3}">
      <dsp:nvSpPr>
        <dsp:cNvPr id="0" name=""/>
        <dsp:cNvSpPr/>
      </dsp:nvSpPr>
      <dsp:spPr>
        <a:xfrm>
          <a:off x="4121027" y="159852"/>
          <a:ext cx="915237" cy="3660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GB" sz="500" kern="1200"/>
            <a:t>Result</a:t>
          </a:r>
        </a:p>
      </dsp:txBody>
      <dsp:txXfrm>
        <a:off x="4304074" y="159852"/>
        <a:ext cx="549143" cy="36609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3C06C6290EC54A84B6148388A54DBF" ma:contentTypeVersion="13" ma:contentTypeDescription="Create a new document." ma:contentTypeScope="" ma:versionID="4b18fe688cb8de0b472300653e1b4edb">
  <xsd:schema xmlns:xsd="http://www.w3.org/2001/XMLSchema" xmlns:xs="http://www.w3.org/2001/XMLSchema" xmlns:p="http://schemas.microsoft.com/office/2006/metadata/properties" xmlns:ns3="a174c94a-c335-4d7a-aa8f-dc0a7a724f11" xmlns:ns4="4c3e3450-3c2e-450a-8485-fc969fa20696" targetNamespace="http://schemas.microsoft.com/office/2006/metadata/properties" ma:root="true" ma:fieldsID="fb0fab207dd79ea3c4119cbed53b65ec" ns3:_="" ns4:_="">
    <xsd:import namespace="a174c94a-c335-4d7a-aa8f-dc0a7a724f11"/>
    <xsd:import namespace="4c3e3450-3c2e-450a-8485-fc969fa206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c94a-c335-4d7a-aa8f-dc0a7a724f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e3450-3c2e-450a-8485-fc969fa206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E5F1-5B5D-42E6-BA02-03F21C1967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5E6485-2C95-4D57-94B4-1F9722CB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4c94a-c335-4d7a-aa8f-dc0a7a724f11"/>
    <ds:schemaRef ds:uri="4c3e3450-3c2e-450a-8485-fc969fa20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8BCC3-F025-4E8F-998D-1A5D7059B7DC}">
  <ds:schemaRefs>
    <ds:schemaRef ds:uri="http://schemas.microsoft.com/sharepoint/v3/contenttype/forms"/>
  </ds:schemaRefs>
</ds:datastoreItem>
</file>

<file path=customXml/itemProps4.xml><?xml version="1.0" encoding="utf-8"?>
<ds:datastoreItem xmlns:ds="http://schemas.openxmlformats.org/officeDocument/2006/customXml" ds:itemID="{2C26B5BA-32E1-4B8E-8F72-365C32F1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5993</Words>
  <Characters>34161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Ball</dc:creator>
  <cp:keywords/>
  <dc:description/>
  <cp:lastModifiedBy>Camilla Ball</cp:lastModifiedBy>
  <cp:revision>6</cp:revision>
  <dcterms:created xsi:type="dcterms:W3CDTF">2020-08-05T14:03:00Z</dcterms:created>
  <dcterms:modified xsi:type="dcterms:W3CDTF">2020-08-05T14:07:00Z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0x010100C23C06C6290EC54A84B6148388A54DBF</vt:lpwstr>
  </property>
</Properties>
</file>