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431EF" w14:textId="77777777" w:rsidR="00940692" w:rsidRPr="00BF4D1B" w:rsidRDefault="000D05BA" w:rsidP="008441A7">
      <w:pPr>
        <w:pStyle w:val="Heading1"/>
        <w:jc w:val="center"/>
      </w:pPr>
      <w:r w:rsidRPr="00BF4D1B">
        <w:t>Invitat</w:t>
      </w:r>
      <w:r w:rsidR="00BF4D1B" w:rsidRPr="00BF4D1B">
        <w:t>i</w:t>
      </w:r>
      <w:r w:rsidRPr="00BF4D1B">
        <w:t>on to Tender</w:t>
      </w:r>
    </w:p>
    <w:p w14:paraId="2F4C8899" w14:textId="77777777" w:rsidR="000D05BA" w:rsidRDefault="000D05BA" w:rsidP="008441A7">
      <w:pPr>
        <w:numPr>
          <w:ilvl w:val="0"/>
          <w:numId w:val="0"/>
        </w:numPr>
        <w:ind w:left="720"/>
      </w:pPr>
    </w:p>
    <w:p w14:paraId="26212947" w14:textId="77777777" w:rsidR="00DB1EB0" w:rsidRPr="008441A7" w:rsidRDefault="00DB1EB0" w:rsidP="008441A7">
      <w:pPr>
        <w:numPr>
          <w:ilvl w:val="0"/>
          <w:numId w:val="0"/>
        </w:numPr>
        <w:ind w:left="720" w:hanging="360"/>
        <w:rPr>
          <w:b/>
          <w:color w:val="002060"/>
          <w:sz w:val="32"/>
          <w:szCs w:val="14"/>
        </w:rPr>
      </w:pPr>
      <w:r w:rsidRPr="008441A7">
        <w:rPr>
          <w:b/>
          <w:color w:val="002060"/>
          <w:sz w:val="32"/>
          <w:szCs w:val="14"/>
        </w:rPr>
        <w:t xml:space="preserve">Architects Registration Board: </w:t>
      </w:r>
    </w:p>
    <w:p w14:paraId="61395E82" w14:textId="77777777" w:rsidR="00DB1EB0" w:rsidRPr="008441A7" w:rsidRDefault="00A657AD" w:rsidP="008441A7">
      <w:pPr>
        <w:numPr>
          <w:ilvl w:val="0"/>
          <w:numId w:val="0"/>
        </w:numPr>
        <w:ind w:left="360"/>
        <w:rPr>
          <w:b/>
          <w:color w:val="002060"/>
          <w:sz w:val="32"/>
          <w:szCs w:val="14"/>
        </w:rPr>
      </w:pPr>
      <w:r>
        <w:rPr>
          <w:b/>
          <w:color w:val="002060"/>
          <w:sz w:val="32"/>
          <w:szCs w:val="14"/>
        </w:rPr>
        <w:t xml:space="preserve">Review of architects’ competence </w:t>
      </w:r>
      <w:r w:rsidR="004B3C56" w:rsidRPr="008441A7">
        <w:rPr>
          <w:b/>
          <w:color w:val="002060"/>
          <w:sz w:val="32"/>
          <w:szCs w:val="14"/>
        </w:rPr>
        <w:t xml:space="preserve">– </w:t>
      </w:r>
      <w:r w:rsidR="00CB4F01" w:rsidRPr="008441A7">
        <w:rPr>
          <w:b/>
          <w:color w:val="002060"/>
          <w:sz w:val="32"/>
          <w:szCs w:val="14"/>
        </w:rPr>
        <w:t>stakeholder research</w:t>
      </w:r>
    </w:p>
    <w:p w14:paraId="70EB99A2" w14:textId="77777777" w:rsidR="00FD3AEF" w:rsidRDefault="00FD3AEF" w:rsidP="00FD3AEF">
      <w:pPr>
        <w:pStyle w:val="Heading1"/>
      </w:pPr>
      <w:r>
        <w:t>Introduction</w:t>
      </w:r>
      <w:r w:rsidR="004B3C56">
        <w:t xml:space="preserve"> and summary</w:t>
      </w:r>
    </w:p>
    <w:p w14:paraId="1971D816" w14:textId="41353F12" w:rsidR="005475C2" w:rsidRDefault="00740BF4" w:rsidP="00AD4DA6">
      <w:pPr>
        <w:rPr>
          <w:sz w:val="24"/>
        </w:rPr>
      </w:pPr>
      <w:r>
        <w:t xml:space="preserve">The Architects Registration Board (ARB) is </w:t>
      </w:r>
      <w:r w:rsidR="004422D4">
        <w:t xml:space="preserve">undertaking a </w:t>
      </w:r>
      <w:r w:rsidR="000C4F04">
        <w:t>Review</w:t>
      </w:r>
      <w:r w:rsidR="004422D4">
        <w:t xml:space="preserve"> to </w:t>
      </w:r>
      <w:r w:rsidR="00CD7B49">
        <w:t xml:space="preserve">ensure that architects </w:t>
      </w:r>
      <w:r w:rsidR="00980587">
        <w:t>have the knowledge, skills and competencies required</w:t>
      </w:r>
      <w:r w:rsidR="001E48DD">
        <w:t xml:space="preserve"> in the 21</w:t>
      </w:r>
      <w:r w:rsidR="001E48DD" w:rsidRPr="00980587">
        <w:rPr>
          <w:vertAlign w:val="superscript"/>
        </w:rPr>
        <w:t>st</w:t>
      </w:r>
      <w:r w:rsidR="001E48DD">
        <w:t xml:space="preserve"> Century</w:t>
      </w:r>
      <w:r w:rsidR="00AE7733">
        <w:t xml:space="preserve"> – ‘</w:t>
      </w:r>
      <w:r w:rsidR="00F525F6">
        <w:t xml:space="preserve">Review of architect’s </w:t>
      </w:r>
      <w:r w:rsidR="00AE7733">
        <w:t>competence</w:t>
      </w:r>
      <w:r w:rsidR="00F525F6">
        <w:t>’</w:t>
      </w:r>
      <w:r w:rsidR="00AE7733">
        <w:t xml:space="preserve"> </w:t>
      </w:r>
      <w:r w:rsidR="00B135F5">
        <w:t xml:space="preserve">(the </w:t>
      </w:r>
      <w:r w:rsidR="00B135F5" w:rsidRPr="006A4F78">
        <w:t>Review)</w:t>
      </w:r>
      <w:r w:rsidR="00980587" w:rsidRPr="006A4F78">
        <w:t>.</w:t>
      </w:r>
      <w:r w:rsidR="005475C2" w:rsidRPr="006A4F78">
        <w:t xml:space="preserve"> </w:t>
      </w:r>
      <w:r w:rsidR="005475C2" w:rsidRPr="00E9035C">
        <w:t xml:space="preserve">The aim of this </w:t>
      </w:r>
      <w:r w:rsidR="00F525F6" w:rsidRPr="00E9035C">
        <w:t>R</w:t>
      </w:r>
      <w:r w:rsidR="005475C2" w:rsidRPr="00E9035C">
        <w:t>eview is to develop a proportionate, effective regulatory model which ensures that only competent architects are eligible to join and remain on the Architects Register</w:t>
      </w:r>
      <w:r w:rsidR="00C22274" w:rsidRPr="00E9035C">
        <w:t xml:space="preserve"> and provides assurance and confidence to the public</w:t>
      </w:r>
      <w:r w:rsidR="005475C2" w:rsidRPr="00E9035C">
        <w:t>.</w:t>
      </w:r>
    </w:p>
    <w:p w14:paraId="3F7B7DC3" w14:textId="070F3779" w:rsidR="00026356" w:rsidRDefault="005F448F" w:rsidP="00AD4DA6">
      <w:r>
        <w:t>Th</w:t>
      </w:r>
      <w:r w:rsidR="007D4695">
        <w:t xml:space="preserve">e current </w:t>
      </w:r>
      <w:hyperlink r:id="rId9" w:history="1">
        <w:r w:rsidR="000B5260">
          <w:rPr>
            <w:rStyle w:val="Hyperlink"/>
          </w:rPr>
          <w:t>C</w:t>
        </w:r>
        <w:r w:rsidR="007D4695" w:rsidRPr="00C44CBC">
          <w:rPr>
            <w:rStyle w:val="Hyperlink"/>
          </w:rPr>
          <w:t xml:space="preserve">riteria </w:t>
        </w:r>
        <w:r w:rsidR="00F658CE" w:rsidRPr="00C44CBC">
          <w:rPr>
            <w:rStyle w:val="Hyperlink"/>
          </w:rPr>
          <w:t xml:space="preserve">for </w:t>
        </w:r>
        <w:r w:rsidR="00B55AC1" w:rsidRPr="00C44CBC">
          <w:rPr>
            <w:rStyle w:val="Hyperlink"/>
          </w:rPr>
          <w:t>prescribing qualifications</w:t>
        </w:r>
      </w:hyperlink>
      <w:r w:rsidR="00B55AC1">
        <w:t xml:space="preserve"> in architecture </w:t>
      </w:r>
      <w:r w:rsidR="00F658CE">
        <w:t xml:space="preserve">have been in </w:t>
      </w:r>
      <w:r w:rsidR="00722B69">
        <w:t>place since 2010</w:t>
      </w:r>
      <w:r w:rsidR="00295484">
        <w:t xml:space="preserve">.  </w:t>
      </w:r>
      <w:r w:rsidR="00CF35AF">
        <w:t xml:space="preserve"> </w:t>
      </w:r>
      <w:r w:rsidR="00374D87">
        <w:t xml:space="preserve">However, </w:t>
      </w:r>
      <w:r>
        <w:t>technological, material, environmental</w:t>
      </w:r>
      <w:r w:rsidR="001C5D87">
        <w:t>, educational</w:t>
      </w:r>
      <w:r>
        <w:t xml:space="preserve"> and </w:t>
      </w:r>
      <w:r w:rsidR="00AF4ED2">
        <w:t>political</w:t>
      </w:r>
      <w:r w:rsidR="001C5D87">
        <w:t xml:space="preserve"> contexts</w:t>
      </w:r>
      <w:r w:rsidR="00AF4ED2">
        <w:t xml:space="preserve"> are constantly evolving, </w:t>
      </w:r>
      <w:r w:rsidR="00913F5B">
        <w:t xml:space="preserve">impacting on the </w:t>
      </w:r>
      <w:r w:rsidR="00EE49D1">
        <w:t xml:space="preserve">skills and competencies </w:t>
      </w:r>
      <w:r w:rsidR="00E0482E">
        <w:t xml:space="preserve">required </w:t>
      </w:r>
      <w:r w:rsidR="00913F5B">
        <w:t xml:space="preserve">of </w:t>
      </w:r>
      <w:r w:rsidR="00B55AC1">
        <w:t>a</w:t>
      </w:r>
      <w:r w:rsidR="00913F5B">
        <w:t>rchitects</w:t>
      </w:r>
      <w:r w:rsidR="004C0CA1">
        <w:t xml:space="preserve">. </w:t>
      </w:r>
    </w:p>
    <w:p w14:paraId="7F947D66" w14:textId="79DFFB3D" w:rsidR="006A77E2" w:rsidRPr="006A77E2" w:rsidRDefault="004C0CA1" w:rsidP="007C1FBD">
      <w:pPr>
        <w:rPr>
          <w:sz w:val="24"/>
        </w:rPr>
      </w:pPr>
      <w:r>
        <w:t>The first stage of th</w:t>
      </w:r>
      <w:r w:rsidR="000B011A">
        <w:t>e Review</w:t>
      </w:r>
      <w:r>
        <w:t xml:space="preserve"> </w:t>
      </w:r>
      <w:r w:rsidR="00F943D9">
        <w:t xml:space="preserve">comprises </w:t>
      </w:r>
      <w:r w:rsidR="00EE29A9">
        <w:t>a)</w:t>
      </w:r>
      <w:r>
        <w:t xml:space="preserve"> a</w:t>
      </w:r>
      <w:r w:rsidR="00275452">
        <w:t xml:space="preserve"> literature </w:t>
      </w:r>
      <w:r w:rsidR="00FD3AEF">
        <w:t>review of</w:t>
      </w:r>
      <w:r w:rsidR="00275452">
        <w:t xml:space="preserve"> national and international prac</w:t>
      </w:r>
      <w:bookmarkStart w:id="0" w:name="_GoBack"/>
      <w:bookmarkEnd w:id="0"/>
      <w:r w:rsidR="00275452">
        <w:t xml:space="preserve">tice </w:t>
      </w:r>
      <w:r w:rsidR="00A727D5">
        <w:t xml:space="preserve">in the registration and regulation of architects and other </w:t>
      </w:r>
      <w:r w:rsidR="00D333DC">
        <w:t xml:space="preserve">registered or </w:t>
      </w:r>
      <w:r w:rsidR="00A727D5">
        <w:t xml:space="preserve">regulated professions </w:t>
      </w:r>
      <w:r w:rsidR="00E17BE4">
        <w:t>in the UK</w:t>
      </w:r>
      <w:r w:rsidR="008B5436">
        <w:t xml:space="preserve"> and </w:t>
      </w:r>
      <w:r w:rsidR="00EE29A9">
        <w:t xml:space="preserve">b) </w:t>
      </w:r>
      <w:r w:rsidR="008B5436">
        <w:t xml:space="preserve">a Call for Evidence. The </w:t>
      </w:r>
      <w:r w:rsidR="00A727D5">
        <w:t>ARB is conducting</w:t>
      </w:r>
      <w:r w:rsidR="008B5436">
        <w:t xml:space="preserve"> this stage</w:t>
      </w:r>
      <w:r w:rsidR="006C514C">
        <w:t xml:space="preserve">. </w:t>
      </w:r>
    </w:p>
    <w:p w14:paraId="7E9BB0E8" w14:textId="15090FE0" w:rsidR="007C1FBD" w:rsidRDefault="006C514C" w:rsidP="006D4211">
      <w:r>
        <w:t xml:space="preserve">The second </w:t>
      </w:r>
      <w:r w:rsidR="000C04D1">
        <w:t>stage is the subject of this</w:t>
      </w:r>
      <w:r w:rsidR="00BE6AEC">
        <w:t xml:space="preserve"> Invitation to Tender</w:t>
      </w:r>
      <w:r w:rsidR="00DC402C">
        <w:t>:</w:t>
      </w:r>
      <w:r w:rsidR="000C04D1">
        <w:t xml:space="preserve"> </w:t>
      </w:r>
      <w:r w:rsidR="002529F0">
        <w:t>a complementary review of literature</w:t>
      </w:r>
      <w:r w:rsidR="00FC54F9">
        <w:t>; data analysis</w:t>
      </w:r>
      <w:r w:rsidR="002529F0">
        <w:t xml:space="preserve"> and </w:t>
      </w:r>
      <w:r w:rsidR="007C1FBD">
        <w:t xml:space="preserve">research with </w:t>
      </w:r>
      <w:r w:rsidR="002272DD">
        <w:t xml:space="preserve">a wide range of </w:t>
      </w:r>
      <w:r w:rsidR="007C1FBD">
        <w:t>stakeholders</w:t>
      </w:r>
      <w:r w:rsidR="001A69DE">
        <w:t xml:space="preserve"> on </w:t>
      </w:r>
      <w:r w:rsidR="007C1FBD">
        <w:t xml:space="preserve">the role of the </w:t>
      </w:r>
      <w:r w:rsidR="000D407D">
        <w:t>architect</w:t>
      </w:r>
      <w:r w:rsidR="002272DD">
        <w:t>;</w:t>
      </w:r>
      <w:r w:rsidR="007C1FBD">
        <w:t xml:space="preserve"> </w:t>
      </w:r>
      <w:r w:rsidR="000F0FBF">
        <w:t xml:space="preserve">the </w:t>
      </w:r>
      <w:r w:rsidR="007C1FBD">
        <w:t>competenc</w:t>
      </w:r>
      <w:r w:rsidR="00670144">
        <w:t>i</w:t>
      </w:r>
      <w:r w:rsidR="007C1FBD">
        <w:t>es required</w:t>
      </w:r>
      <w:r w:rsidR="001E1C02">
        <w:t xml:space="preserve"> </w:t>
      </w:r>
      <w:r w:rsidR="00F512CF">
        <w:t xml:space="preserve">for entry to the Register now and in the future and how we </w:t>
      </w:r>
      <w:r w:rsidR="007C1FBD">
        <w:t>assure the public that they have maintained their competence over their working lives.</w:t>
      </w:r>
      <w:r w:rsidR="00C613B1">
        <w:t xml:space="preserve"> The research is expected to comprise different methodologies </w:t>
      </w:r>
      <w:r w:rsidR="00211064">
        <w:t>dependent on the stakeholder</w:t>
      </w:r>
      <w:r w:rsidR="00055A89">
        <w:t xml:space="preserve">. The research </w:t>
      </w:r>
      <w:r w:rsidR="00AF09DC">
        <w:t xml:space="preserve">will commence </w:t>
      </w:r>
      <w:r w:rsidR="008C4FA4">
        <w:t xml:space="preserve">in </w:t>
      </w:r>
      <w:r w:rsidR="00AF09DC">
        <w:t>May 2020</w:t>
      </w:r>
      <w:r w:rsidR="002C6749">
        <w:t xml:space="preserve"> with final outputs in </w:t>
      </w:r>
      <w:r w:rsidR="00A16000">
        <w:t>Dec</w:t>
      </w:r>
      <w:r w:rsidR="00880241">
        <w:t xml:space="preserve">ember 2020, and will </w:t>
      </w:r>
      <w:r w:rsidR="008224CD">
        <w:t xml:space="preserve">form a vital </w:t>
      </w:r>
      <w:proofErr w:type="gramStart"/>
      <w:r w:rsidR="008224CD">
        <w:t>underpinning</w:t>
      </w:r>
      <w:proofErr w:type="gramEnd"/>
      <w:r w:rsidR="008224CD">
        <w:t xml:space="preserve"> of the next </w:t>
      </w:r>
      <w:r w:rsidR="004B3C56">
        <w:t>stage</w:t>
      </w:r>
      <w:r w:rsidR="00255F6D">
        <w:t>s</w:t>
      </w:r>
      <w:r w:rsidR="004B3C56">
        <w:t xml:space="preserve"> of the Review</w:t>
      </w:r>
      <w:r w:rsidR="00255F6D">
        <w:t xml:space="preserve">. </w:t>
      </w:r>
      <w:r w:rsidR="00411A29">
        <w:t xml:space="preserve">The outcome of the stakeholder research must provide a robust </w:t>
      </w:r>
      <w:r w:rsidR="00BC0CAA">
        <w:t xml:space="preserve">and defensible evidence base for the </w:t>
      </w:r>
      <w:r w:rsidR="00496439">
        <w:t>development</w:t>
      </w:r>
      <w:r w:rsidR="00990516">
        <w:t>/refining</w:t>
      </w:r>
      <w:r w:rsidR="00496439">
        <w:t xml:space="preserve"> of competencies</w:t>
      </w:r>
      <w:r w:rsidR="00FC2187">
        <w:t>,</w:t>
      </w:r>
      <w:r w:rsidR="007F013E">
        <w:t xml:space="preserve"> and </w:t>
      </w:r>
      <w:r w:rsidR="00E0482E">
        <w:t>how they are obtained and maintained</w:t>
      </w:r>
      <w:r w:rsidR="00FC2187">
        <w:t>,</w:t>
      </w:r>
      <w:r w:rsidR="007F013E">
        <w:t xml:space="preserve"> within an effective regulatory model</w:t>
      </w:r>
      <w:r w:rsidR="00DF4922">
        <w:t>.</w:t>
      </w:r>
    </w:p>
    <w:p w14:paraId="35DEA20D" w14:textId="77777777" w:rsidR="0055068C" w:rsidRDefault="0055068C" w:rsidP="0055068C">
      <w:pPr>
        <w:pStyle w:val="Heading1"/>
      </w:pPr>
      <w:r>
        <w:t>Background</w:t>
      </w:r>
    </w:p>
    <w:p w14:paraId="38FBAA9C" w14:textId="77777777" w:rsidR="00505BFA" w:rsidRDefault="00505BFA" w:rsidP="00B01A60">
      <w:pPr>
        <w:pStyle w:val="Heading2"/>
      </w:pPr>
      <w:r>
        <w:t>ARB</w:t>
      </w:r>
      <w:r w:rsidR="001758C9">
        <w:t xml:space="preserve"> and the registration of </w:t>
      </w:r>
      <w:r w:rsidR="00E175FC">
        <w:t>architects</w:t>
      </w:r>
    </w:p>
    <w:p w14:paraId="29CCED01" w14:textId="77777777" w:rsidR="0055068C" w:rsidRDefault="0055068C" w:rsidP="00505BFA">
      <w:r>
        <w:t>ARB’s aims are to protect the users and potential users of architects’ services, and</w:t>
      </w:r>
      <w:r w:rsidR="005D0119">
        <w:t xml:space="preserve"> to</w:t>
      </w:r>
      <w:r>
        <w:t xml:space="preserve"> support architects through regulation. At the core of these aims is the public expectation that those on the Architects Register will be properly qualified and competent.  </w:t>
      </w:r>
    </w:p>
    <w:p w14:paraId="35ACFA08" w14:textId="2896A940" w:rsidR="0055068C" w:rsidRDefault="0055068C" w:rsidP="00A13116">
      <w:r>
        <w:t xml:space="preserve">Architects find themselves in the unique position </w:t>
      </w:r>
      <w:r w:rsidR="00D7035E">
        <w:t>of</w:t>
      </w:r>
      <w:r>
        <w:t xml:space="preserve"> being the only statutorily regulated profession </w:t>
      </w:r>
      <w:r w:rsidR="006D4B59">
        <w:t>in the construction industry, which is currently subject to rapid change</w:t>
      </w:r>
      <w:r>
        <w:t>. It is vital that the regulatory system aids, not hampers, the profession’s ability to meet the demands of the 21</w:t>
      </w:r>
      <w:r>
        <w:rPr>
          <w:vertAlign w:val="superscript"/>
        </w:rPr>
        <w:t>st</w:t>
      </w:r>
      <w:r>
        <w:t xml:space="preserve"> century marketplace, which has raised challenges in respect of producing safer, sustainable architecture. Those challenges have to be met in a way that both provides the public with confidence in the profession, but is proportionate and does not restrict fair access to the profession.</w:t>
      </w:r>
    </w:p>
    <w:p w14:paraId="4800E75D" w14:textId="752D7F17" w:rsidR="0055068C" w:rsidRDefault="0055068C" w:rsidP="0055068C">
      <w:r>
        <w:t xml:space="preserve">Statutory protection of the title ‘architect’ was first introduced in 1931 and has subsequently been maintained and developed by Government in consultation with the profession.  The </w:t>
      </w:r>
      <w:r>
        <w:lastRenderedPageBreak/>
        <w:t xml:space="preserve">Architecture Registration Board (ARB) is the regulator which maintains the register of suitably qualified architects. </w:t>
      </w:r>
      <w:r w:rsidR="003E2143">
        <w:t xml:space="preserve">Following </w:t>
      </w:r>
      <w:r>
        <w:t xml:space="preserve">the latest </w:t>
      </w:r>
      <w:hyperlink r:id="rId10" w:history="1">
        <w:r w:rsidR="003E2143" w:rsidRPr="007F3D16">
          <w:rPr>
            <w:rStyle w:val="Hyperlink"/>
          </w:rPr>
          <w:t xml:space="preserve">Government-led </w:t>
        </w:r>
        <w:r w:rsidRPr="007F3D16">
          <w:rPr>
            <w:rStyle w:val="Hyperlink"/>
          </w:rPr>
          <w:t>Periodic Review</w:t>
        </w:r>
      </w:hyperlink>
      <w:r>
        <w:t xml:space="preserve"> of the </w:t>
      </w:r>
      <w:r w:rsidR="00B55AC1">
        <w:t>r</w:t>
      </w:r>
      <w:r>
        <w:t>egulation</w:t>
      </w:r>
      <w:r w:rsidR="00B55AC1">
        <w:t xml:space="preserve"> of architects</w:t>
      </w:r>
      <w:r>
        <w:t xml:space="preserve"> and the ARB (March 2017), there was a recommendation that the ARB should proceed with a review of </w:t>
      </w:r>
      <w:r w:rsidR="00B55AC1">
        <w:t xml:space="preserve">the </w:t>
      </w:r>
      <w:r>
        <w:t>routes to registration to:</w:t>
      </w:r>
    </w:p>
    <w:p w14:paraId="65B8A82F" w14:textId="5A0B5D22" w:rsidR="0055068C" w:rsidRDefault="0055068C" w:rsidP="005F338A">
      <w:pPr>
        <w:pStyle w:val="ListParagraph"/>
        <w:numPr>
          <w:ilvl w:val="0"/>
          <w:numId w:val="14"/>
        </w:numPr>
      </w:pPr>
      <w:r>
        <w:t xml:space="preserve">Explore opportunities to streamline the </w:t>
      </w:r>
      <w:r w:rsidR="00D16F4F">
        <w:t>prescription of qualifications in architecture</w:t>
      </w:r>
      <w:r>
        <w:t>;</w:t>
      </w:r>
    </w:p>
    <w:p w14:paraId="78190543" w14:textId="7ACDEE2C" w:rsidR="0055068C" w:rsidRDefault="0055068C" w:rsidP="005F338A">
      <w:pPr>
        <w:pStyle w:val="ListParagraph"/>
        <w:numPr>
          <w:ilvl w:val="0"/>
          <w:numId w:val="14"/>
        </w:numPr>
      </w:pPr>
      <w:r>
        <w:t xml:space="preserve">Consider a reduced frequency of </w:t>
      </w:r>
      <w:r w:rsidR="00D16F4F">
        <w:t>renewing prescription</w:t>
      </w:r>
      <w:r>
        <w:t xml:space="preserve"> and monitoring where </w:t>
      </w:r>
      <w:r w:rsidR="00D16F4F">
        <w:t>qualifications</w:t>
      </w:r>
      <w:r>
        <w:t xml:space="preserve"> are unchanged;</w:t>
      </w:r>
    </w:p>
    <w:p w14:paraId="72EBD4A5" w14:textId="4936FCE1" w:rsidR="0055068C" w:rsidRDefault="0055068C" w:rsidP="005F338A">
      <w:pPr>
        <w:pStyle w:val="ListParagraph"/>
        <w:numPr>
          <w:ilvl w:val="0"/>
          <w:numId w:val="14"/>
        </w:numPr>
      </w:pPr>
      <w:r>
        <w:t xml:space="preserve">Consider the flexibility in length and structure of architecture </w:t>
      </w:r>
      <w:r w:rsidR="00D16F4F">
        <w:t>qualifications</w:t>
      </w:r>
      <w:r>
        <w:t>.</w:t>
      </w:r>
    </w:p>
    <w:p w14:paraId="5C49C124" w14:textId="40730881" w:rsidR="0055068C" w:rsidRDefault="0055068C" w:rsidP="0055068C">
      <w:r>
        <w:t xml:space="preserve">Registration is currently dependent on </w:t>
      </w:r>
      <w:r w:rsidR="00D16F4F">
        <w:t xml:space="preserve">the successful </w:t>
      </w:r>
      <w:r>
        <w:t xml:space="preserve">completion of 3 </w:t>
      </w:r>
      <w:r w:rsidR="003F4492">
        <w:t>stages of education and practical experience</w:t>
      </w:r>
      <w:r w:rsidR="00D16F4F">
        <w:t xml:space="preserve"> (Part 1, Part 2 and Part 3)</w:t>
      </w:r>
      <w:r w:rsidR="003F4492">
        <w:t xml:space="preserve"> </w:t>
      </w:r>
      <w:r w:rsidR="007F0506">
        <w:t xml:space="preserve">which have been in place </w:t>
      </w:r>
      <w:r w:rsidR="000B462C">
        <w:t>since 1958</w:t>
      </w:r>
      <w:r>
        <w:t xml:space="preserve">. Part 1 is </w:t>
      </w:r>
      <w:r w:rsidR="00A657AD">
        <w:t xml:space="preserve">typically </w:t>
      </w:r>
      <w:r>
        <w:t xml:space="preserve">a </w:t>
      </w:r>
      <w:r w:rsidR="00A657AD">
        <w:t xml:space="preserve">three </w:t>
      </w:r>
      <w:r>
        <w:t xml:space="preserve">or </w:t>
      </w:r>
      <w:r w:rsidR="00A657AD">
        <w:t xml:space="preserve">four </w:t>
      </w:r>
      <w:r>
        <w:t xml:space="preserve">year undergraduate degree; Part 2 is </w:t>
      </w:r>
      <w:r w:rsidR="00A657AD">
        <w:t xml:space="preserve">typically </w:t>
      </w:r>
      <w:r>
        <w:t xml:space="preserve">a </w:t>
      </w:r>
      <w:r w:rsidR="00A657AD">
        <w:t xml:space="preserve">two </w:t>
      </w:r>
      <w:r>
        <w:t xml:space="preserve">year </w:t>
      </w:r>
      <w:proofErr w:type="gramStart"/>
      <w:r w:rsidR="00A657AD">
        <w:t xml:space="preserve">second </w:t>
      </w:r>
      <w:r>
        <w:t xml:space="preserve"> degree</w:t>
      </w:r>
      <w:proofErr w:type="gramEnd"/>
      <w:r>
        <w:t xml:space="preserve"> and Part 3 </w:t>
      </w:r>
      <w:r w:rsidR="00B55AC1">
        <w:t xml:space="preserve">is </w:t>
      </w:r>
      <w:r>
        <w:t>attained on completion of 2 years practical training experience</w:t>
      </w:r>
      <w:r w:rsidR="00B55AC1">
        <w:t xml:space="preserve"> and professional examinations</w:t>
      </w:r>
      <w:r>
        <w:t xml:space="preserve">.  In June 2018, the Institute for Apprenticeships </w:t>
      </w:r>
      <w:r w:rsidR="00B55AC1">
        <w:t xml:space="preserve">(now the Institute for Apprenticeships and Technical Education) </w:t>
      </w:r>
      <w:r>
        <w:t xml:space="preserve">approved </w:t>
      </w:r>
      <w:r w:rsidR="006502D7">
        <w:t xml:space="preserve">the standard and end point assessment for a </w:t>
      </w:r>
      <w:r>
        <w:t xml:space="preserve">Level 7 Degree </w:t>
      </w:r>
      <w:r w:rsidR="00033CF8">
        <w:t xml:space="preserve">Architect </w:t>
      </w:r>
      <w:r>
        <w:t xml:space="preserve">Apprenticeship, </w:t>
      </w:r>
      <w:r w:rsidR="006502D7">
        <w:t xml:space="preserve">which typically encompasses </w:t>
      </w:r>
      <w:proofErr w:type="gramStart"/>
      <w:r>
        <w:t xml:space="preserve">a </w:t>
      </w:r>
      <w:r w:rsidR="00B55AC1">
        <w:t xml:space="preserve"> </w:t>
      </w:r>
      <w:r w:rsidR="000A2A1F">
        <w:t>four</w:t>
      </w:r>
      <w:proofErr w:type="gramEnd"/>
      <w:r w:rsidR="000A2A1F">
        <w:t>-</w:t>
      </w:r>
      <w:r>
        <w:t xml:space="preserve">year programme which </w:t>
      </w:r>
      <w:r w:rsidR="006502D7">
        <w:t xml:space="preserve">includes </w:t>
      </w:r>
      <w:r>
        <w:t>Parts 2 and 3 of the requirements for registration</w:t>
      </w:r>
      <w:r w:rsidR="00767666">
        <w:t xml:space="preserve">. </w:t>
      </w:r>
      <w:r w:rsidR="006502D7">
        <w:t>At the same time,</w:t>
      </w:r>
      <w:r w:rsidR="00767666">
        <w:t xml:space="preserve"> the Institute for Apprenticeships </w:t>
      </w:r>
      <w:r w:rsidR="006502D7">
        <w:t xml:space="preserve">also </w:t>
      </w:r>
      <w:r w:rsidR="00767666">
        <w:t>approved the standard and end point assessment</w:t>
      </w:r>
      <w:r w:rsidR="00155587">
        <w:t xml:space="preserve"> </w:t>
      </w:r>
      <w:r w:rsidR="00767666">
        <w:t>for a Level 6 degree apprenticeship (the Architectural Assistant apprenticeship</w:t>
      </w:r>
      <w:r w:rsidR="006502D7">
        <w:t>)</w:t>
      </w:r>
      <w:r>
        <w:t>.</w:t>
      </w:r>
      <w:r w:rsidR="006502D7">
        <w:t xml:space="preserve">  This typically encompasses a </w:t>
      </w:r>
      <w:r w:rsidR="000A2A1F">
        <w:t>four-</w:t>
      </w:r>
      <w:r w:rsidR="006502D7">
        <w:t xml:space="preserve">year programme which includes Part 1 of the requirements for registration. </w:t>
      </w:r>
      <w:r w:rsidR="00101E68">
        <w:t xml:space="preserve"> </w:t>
      </w:r>
    </w:p>
    <w:p w14:paraId="14835E05" w14:textId="77777777" w:rsidR="00E95225" w:rsidRDefault="00E95225" w:rsidP="00A3757F">
      <w:pPr>
        <w:pStyle w:val="Heading2"/>
      </w:pPr>
      <w:r>
        <w:t>A changing context</w:t>
      </w:r>
    </w:p>
    <w:p w14:paraId="0EBA946D" w14:textId="3AFA13AB" w:rsidR="00717CCD" w:rsidRDefault="00824045" w:rsidP="000C3D92">
      <w:r>
        <w:t xml:space="preserve">The minimum criteria </w:t>
      </w:r>
      <w:r w:rsidR="006502D7">
        <w:t xml:space="preserve">that individuals must achieve and are used </w:t>
      </w:r>
      <w:r>
        <w:t xml:space="preserve">for </w:t>
      </w:r>
      <w:r w:rsidR="006502D7">
        <w:t xml:space="preserve">the prescription of qualifications </w:t>
      </w:r>
      <w:r>
        <w:t xml:space="preserve">have been in </w:t>
      </w:r>
      <w:proofErr w:type="gramStart"/>
      <w:r>
        <w:t xml:space="preserve">place </w:t>
      </w:r>
      <w:r w:rsidR="00BC1B4F">
        <w:t xml:space="preserve"> since</w:t>
      </w:r>
      <w:proofErr w:type="gramEnd"/>
      <w:r w:rsidR="00BC1B4F">
        <w:t xml:space="preserve"> 2010 </w:t>
      </w:r>
      <w:r>
        <w:t xml:space="preserve">. </w:t>
      </w:r>
      <w:r w:rsidR="00A7668E">
        <w:t>There is a question of whether th</w:t>
      </w:r>
      <w:r w:rsidR="006502D7">
        <w:t>ose</w:t>
      </w:r>
      <w:r w:rsidR="00A7668E">
        <w:t xml:space="preserve"> criteria remain fit for purpose in a </w:t>
      </w:r>
      <w:r w:rsidR="00BB23A5">
        <w:t>modern labour market. T</w:t>
      </w:r>
      <w:r w:rsidR="00EE3574">
        <w:t>echnology is changing the nature of jobs</w:t>
      </w:r>
      <w:r w:rsidR="00DF6281">
        <w:t xml:space="preserve"> across the economy</w:t>
      </w:r>
      <w:r w:rsidR="007D4BFF">
        <w:t xml:space="preserve">. For </w:t>
      </w:r>
      <w:r w:rsidR="00EE3574">
        <w:t>architects</w:t>
      </w:r>
      <w:r w:rsidR="00FE6B9F">
        <w:t>,</w:t>
      </w:r>
      <w:r w:rsidR="00AD626C">
        <w:t xml:space="preserve"> </w:t>
      </w:r>
      <w:r w:rsidR="007D4BFF">
        <w:t xml:space="preserve">technologies such </w:t>
      </w:r>
      <w:r w:rsidR="00AD626C">
        <w:t xml:space="preserve">as </w:t>
      </w:r>
      <w:proofErr w:type="gramStart"/>
      <w:r w:rsidR="00AD626C">
        <w:t xml:space="preserve">BIM </w:t>
      </w:r>
      <w:r w:rsidR="00033CF8">
        <w:t xml:space="preserve"> are</w:t>
      </w:r>
      <w:proofErr w:type="gramEnd"/>
      <w:r w:rsidR="00033CF8">
        <w:t xml:space="preserve"> </w:t>
      </w:r>
      <w:r w:rsidR="00AD626C">
        <w:t>becom</w:t>
      </w:r>
      <w:r w:rsidR="00033CF8">
        <w:t>ing</w:t>
      </w:r>
      <w:r w:rsidR="00DF03BF">
        <w:t xml:space="preserve"> increasingly embedded as ways of working</w:t>
      </w:r>
      <w:r w:rsidR="00EE3574">
        <w:t>. Environmental considerations are becoming ever more urgent and not necessarily fully addressed in other laws and regulations (e.g. Building Regulations or planning legislation)</w:t>
      </w:r>
      <w:r w:rsidR="00B613A1">
        <w:t>, whether this is about flood defence mechanisms or sustainable buildings</w:t>
      </w:r>
      <w:r w:rsidR="00EE3574">
        <w:t>.</w:t>
      </w:r>
      <w:r w:rsidR="00B613A1">
        <w:t xml:space="preserve"> </w:t>
      </w:r>
      <w:r w:rsidR="0073245C">
        <w:t xml:space="preserve">Client and </w:t>
      </w:r>
      <w:r w:rsidR="00B613A1">
        <w:t xml:space="preserve">Public expectation of </w:t>
      </w:r>
      <w:r w:rsidR="0073245C">
        <w:t>the built environment are shaped by these factors.</w:t>
      </w:r>
    </w:p>
    <w:p w14:paraId="26DCCC53" w14:textId="26D1592B" w:rsidR="0055068C" w:rsidRDefault="004A68A8" w:rsidP="0055068C">
      <w:r>
        <w:t>As well as these general drivers of change, t</w:t>
      </w:r>
      <w:r w:rsidR="0055068C">
        <w:t xml:space="preserve">he </w:t>
      </w:r>
      <w:r w:rsidR="006502D7">
        <w:t xml:space="preserve">Government’s </w:t>
      </w:r>
      <w:r w:rsidR="0055068C">
        <w:t xml:space="preserve">Periodic Review highlighted that the </w:t>
      </w:r>
      <w:r w:rsidR="006502D7">
        <w:t xml:space="preserve">UK’s decision </w:t>
      </w:r>
      <w:r w:rsidR="0055068C">
        <w:t xml:space="preserve">to leave the EU provided an opportunity to review </w:t>
      </w:r>
      <w:r w:rsidR="006502D7">
        <w:t xml:space="preserve">the </w:t>
      </w:r>
      <w:r w:rsidR="0055068C">
        <w:t>requirements</w:t>
      </w:r>
      <w:r w:rsidR="006502D7">
        <w:t xml:space="preserve"> and the UK route to registration.  </w:t>
      </w:r>
      <w:hyperlink r:id="rId11" w:history="1">
        <w:r w:rsidR="006502D7" w:rsidRPr="00401EFC">
          <w:rPr>
            <w:rStyle w:val="Hyperlink"/>
          </w:rPr>
          <w:t>T</w:t>
        </w:r>
        <w:r w:rsidR="0055068C" w:rsidRPr="00401EFC">
          <w:rPr>
            <w:rStyle w:val="Hyperlink"/>
          </w:rPr>
          <w:t>he EU’s Mutual Recognition of Professional Qualifications Directive</w:t>
        </w:r>
      </w:hyperlink>
      <w:r w:rsidR="0055068C">
        <w:t xml:space="preserve"> defines architects as a ‘sectoral’ profession and sets out minimum qualification requirements that enable architects to operate in any Member State. </w:t>
      </w:r>
      <w:r w:rsidR="006502D7">
        <w:t xml:space="preserve">Some of ARB’s minimum requirements for registration in the UK are based on the requirements set out in the Directive.   </w:t>
      </w:r>
      <w:r w:rsidR="0055068C">
        <w:t>Whilst the implication</w:t>
      </w:r>
      <w:r w:rsidR="006B7423">
        <w:t>s</w:t>
      </w:r>
      <w:r w:rsidR="0045157F">
        <w:t xml:space="preserve"> of exiting the EU</w:t>
      </w:r>
      <w:r w:rsidR="0055068C">
        <w:t xml:space="preserve"> are still to be realised, and requirements are known to be more exacting and valued in the UK than the minimum set out, there is an opportunity to review the requirements.</w:t>
      </w:r>
    </w:p>
    <w:p w14:paraId="7F9764DD" w14:textId="02B90366" w:rsidR="008A0915" w:rsidRPr="00D34D6C" w:rsidRDefault="008A0915" w:rsidP="0055068C">
      <w:pPr>
        <w:rPr>
          <w:rFonts w:cstheme="minorHAnsi"/>
        </w:rPr>
      </w:pPr>
      <w:r w:rsidRPr="00D34D6C">
        <w:rPr>
          <w:rFonts w:cstheme="minorHAnsi"/>
        </w:rPr>
        <w:t>Further the</w:t>
      </w:r>
      <w:r w:rsidR="004057FB">
        <w:rPr>
          <w:rFonts w:cstheme="minorHAnsi"/>
        </w:rPr>
        <w:t xml:space="preserve"> </w:t>
      </w:r>
      <w:hyperlink r:id="rId12" w:history="1">
        <w:r w:rsidR="00AA16BA" w:rsidRPr="00AA16BA">
          <w:rPr>
            <w:rStyle w:val="Hyperlink"/>
            <w:rFonts w:cstheme="minorHAnsi"/>
          </w:rPr>
          <w:t>‘</w:t>
        </w:r>
        <w:r w:rsidR="004057FB" w:rsidRPr="00AA16BA">
          <w:rPr>
            <w:rStyle w:val="Hyperlink"/>
          </w:rPr>
          <w:t>Independent Review of Building Regulations and Fire Safety</w:t>
        </w:r>
        <w:r w:rsidR="00AA16BA" w:rsidRPr="00AA16BA">
          <w:rPr>
            <w:rStyle w:val="Hyperlink"/>
          </w:rPr>
          <w:t>’</w:t>
        </w:r>
      </w:hyperlink>
      <w:r w:rsidR="00415E15" w:rsidRPr="00D34D6C">
        <w:rPr>
          <w:rFonts w:cstheme="minorHAnsi"/>
        </w:rPr>
        <w:t>,</w:t>
      </w:r>
      <w:r w:rsidR="00811B10">
        <w:rPr>
          <w:rFonts w:cstheme="minorHAnsi"/>
        </w:rPr>
        <w:t xml:space="preserve"> or the ‘</w:t>
      </w:r>
      <w:proofErr w:type="spellStart"/>
      <w:r w:rsidR="00811B10">
        <w:rPr>
          <w:rFonts w:cstheme="minorHAnsi"/>
        </w:rPr>
        <w:t>Hackitt</w:t>
      </w:r>
      <w:proofErr w:type="spellEnd"/>
      <w:r w:rsidR="00811B10">
        <w:rPr>
          <w:rFonts w:cstheme="minorHAnsi"/>
        </w:rPr>
        <w:t xml:space="preserve"> Review’</w:t>
      </w:r>
      <w:r w:rsidR="00B72DF2" w:rsidRPr="00D34D6C">
        <w:rPr>
          <w:rFonts w:cstheme="minorHAnsi"/>
        </w:rPr>
        <w:t xml:space="preserve"> instigated following the Grenfell Tower fire in </w:t>
      </w:r>
      <w:r w:rsidR="00111C4F" w:rsidRPr="00D34D6C">
        <w:rPr>
          <w:rFonts w:cstheme="minorHAnsi"/>
        </w:rPr>
        <w:t>2017</w:t>
      </w:r>
      <w:r w:rsidR="00415E15" w:rsidRPr="00D34D6C">
        <w:rPr>
          <w:rFonts w:cstheme="minorHAnsi"/>
        </w:rPr>
        <w:t>,</w:t>
      </w:r>
      <w:r w:rsidR="00111C4F" w:rsidRPr="00D34D6C">
        <w:rPr>
          <w:rFonts w:cstheme="minorHAnsi"/>
        </w:rPr>
        <w:t xml:space="preserve"> </w:t>
      </w:r>
      <w:r w:rsidR="00170356" w:rsidRPr="00D34D6C">
        <w:rPr>
          <w:rFonts w:cstheme="minorHAnsi"/>
        </w:rPr>
        <w:t xml:space="preserve">called </w:t>
      </w:r>
      <w:r w:rsidR="00170356" w:rsidRPr="00D34D6C">
        <w:rPr>
          <w:rFonts w:cstheme="minorHAnsi"/>
          <w:color w:val="0B0C0C"/>
          <w:shd w:val="clear" w:color="auto" w:fill="FFFFFF"/>
        </w:rPr>
        <w:t xml:space="preserve">for major reform and a change of culture, with </w:t>
      </w:r>
      <w:r w:rsidR="00CE0A89" w:rsidRPr="00D34D6C">
        <w:rPr>
          <w:rFonts w:cstheme="minorHAnsi"/>
          <w:color w:val="0B0C0C"/>
          <w:shd w:val="clear" w:color="auto" w:fill="FFFFFF"/>
        </w:rPr>
        <w:t>greater risk management and clearer responsibilities for everyone involved at every stage of the design, build and occupation of High Rise Residential Buildings</w:t>
      </w:r>
      <w:r w:rsidR="006852C6">
        <w:rPr>
          <w:rFonts w:cstheme="minorHAnsi"/>
          <w:color w:val="0B0C0C"/>
          <w:shd w:val="clear" w:color="auto" w:fill="FFFFFF"/>
        </w:rPr>
        <w:t xml:space="preserve"> (HRRB</w:t>
      </w:r>
      <w:r w:rsidR="007A28F5">
        <w:rPr>
          <w:rFonts w:cstheme="minorHAnsi"/>
          <w:color w:val="0B0C0C"/>
          <w:shd w:val="clear" w:color="auto" w:fill="FFFFFF"/>
        </w:rPr>
        <w:t>s</w:t>
      </w:r>
      <w:r w:rsidR="006852C6">
        <w:rPr>
          <w:rFonts w:cstheme="minorHAnsi"/>
          <w:color w:val="0B0C0C"/>
          <w:shd w:val="clear" w:color="auto" w:fill="FFFFFF"/>
        </w:rPr>
        <w:t>)</w:t>
      </w:r>
      <w:r w:rsidR="00CE0A89" w:rsidRPr="00D34D6C">
        <w:rPr>
          <w:rFonts w:cstheme="minorHAnsi"/>
          <w:color w:val="0B0C0C"/>
          <w:shd w:val="clear" w:color="auto" w:fill="FFFFFF"/>
        </w:rPr>
        <w:t>.</w:t>
      </w:r>
      <w:r w:rsidR="00807DA9" w:rsidRPr="00D34D6C">
        <w:rPr>
          <w:rFonts w:cstheme="minorHAnsi"/>
          <w:color w:val="0B0C0C"/>
          <w:shd w:val="clear" w:color="auto" w:fill="FFFFFF"/>
        </w:rPr>
        <w:t xml:space="preserve"> </w:t>
      </w:r>
      <w:r w:rsidR="00F31B48" w:rsidRPr="00D34D6C">
        <w:rPr>
          <w:rFonts w:cstheme="minorHAnsi"/>
          <w:color w:val="0B0C0C"/>
          <w:shd w:val="clear" w:color="auto" w:fill="FFFFFF"/>
        </w:rPr>
        <w:t>Improving c</w:t>
      </w:r>
      <w:r w:rsidR="00807DA9" w:rsidRPr="00D34D6C">
        <w:rPr>
          <w:rFonts w:cstheme="minorHAnsi"/>
          <w:color w:val="0B0C0C"/>
          <w:shd w:val="clear" w:color="auto" w:fill="FFFFFF"/>
        </w:rPr>
        <w:t xml:space="preserve">ompetence </w:t>
      </w:r>
      <w:r w:rsidR="001D664E" w:rsidRPr="00D34D6C">
        <w:rPr>
          <w:rFonts w:cstheme="minorHAnsi"/>
          <w:color w:val="0B0C0C"/>
          <w:shd w:val="clear" w:color="auto" w:fill="FFFFFF"/>
        </w:rPr>
        <w:t>of those in the constr</w:t>
      </w:r>
      <w:r w:rsidR="00415E15" w:rsidRPr="00D34D6C">
        <w:rPr>
          <w:rFonts w:cstheme="minorHAnsi"/>
          <w:color w:val="0B0C0C"/>
          <w:shd w:val="clear" w:color="auto" w:fill="FFFFFF"/>
        </w:rPr>
        <w:t>u</w:t>
      </w:r>
      <w:r w:rsidR="001D664E" w:rsidRPr="00D34D6C">
        <w:rPr>
          <w:rFonts w:cstheme="minorHAnsi"/>
          <w:color w:val="0B0C0C"/>
          <w:shd w:val="clear" w:color="auto" w:fill="FFFFFF"/>
        </w:rPr>
        <w:t>ction and fire safety sectors is</w:t>
      </w:r>
      <w:r w:rsidR="00F31B48" w:rsidRPr="00D34D6C">
        <w:rPr>
          <w:rFonts w:cstheme="minorHAnsi"/>
          <w:color w:val="0B0C0C"/>
          <w:shd w:val="clear" w:color="auto" w:fill="FFFFFF"/>
        </w:rPr>
        <w:t xml:space="preserve"> </w:t>
      </w:r>
      <w:r w:rsidR="00F31B48" w:rsidRPr="00D34D6C">
        <w:rPr>
          <w:rFonts w:cstheme="minorHAnsi"/>
        </w:rPr>
        <w:t xml:space="preserve">one of the many </w:t>
      </w:r>
      <w:r w:rsidR="00AE2307" w:rsidRPr="00D34D6C">
        <w:rPr>
          <w:rFonts w:cstheme="minorHAnsi"/>
        </w:rPr>
        <w:t xml:space="preserve">actions resulting from the </w:t>
      </w:r>
      <w:proofErr w:type="spellStart"/>
      <w:r w:rsidR="00AE2307" w:rsidRPr="00D34D6C">
        <w:rPr>
          <w:rFonts w:cstheme="minorHAnsi"/>
        </w:rPr>
        <w:t>Hackitt</w:t>
      </w:r>
      <w:proofErr w:type="spellEnd"/>
      <w:r w:rsidR="00AE2307" w:rsidRPr="00D34D6C">
        <w:rPr>
          <w:rFonts w:cstheme="minorHAnsi"/>
        </w:rPr>
        <w:t xml:space="preserve"> Review and ARB is </w:t>
      </w:r>
      <w:r w:rsidR="007A28F5">
        <w:rPr>
          <w:rFonts w:cstheme="minorHAnsi"/>
        </w:rPr>
        <w:t>working with ind</w:t>
      </w:r>
      <w:r w:rsidR="00F6341B">
        <w:rPr>
          <w:rFonts w:cstheme="minorHAnsi"/>
        </w:rPr>
        <w:t>ust</w:t>
      </w:r>
      <w:r w:rsidR="007A28F5">
        <w:rPr>
          <w:rFonts w:cstheme="minorHAnsi"/>
        </w:rPr>
        <w:t>ry</w:t>
      </w:r>
      <w:r w:rsidR="007A28F5" w:rsidRPr="00D34D6C">
        <w:rPr>
          <w:rFonts w:cstheme="minorHAnsi"/>
        </w:rPr>
        <w:t xml:space="preserve"> </w:t>
      </w:r>
      <w:r w:rsidR="00F04091" w:rsidRPr="00D34D6C">
        <w:rPr>
          <w:rFonts w:cstheme="minorHAnsi"/>
        </w:rPr>
        <w:t xml:space="preserve">on the enhanced competencies of architects and other </w:t>
      </w:r>
      <w:r w:rsidR="00DC6FB4" w:rsidRPr="00D34D6C">
        <w:rPr>
          <w:rFonts w:cstheme="minorHAnsi"/>
        </w:rPr>
        <w:t>building designers</w:t>
      </w:r>
      <w:r w:rsidR="006852C6">
        <w:rPr>
          <w:rFonts w:cstheme="minorHAnsi"/>
        </w:rPr>
        <w:t xml:space="preserve"> in the specific context of HRRB</w:t>
      </w:r>
      <w:r w:rsidR="007A28F5">
        <w:rPr>
          <w:rFonts w:cstheme="minorHAnsi"/>
        </w:rPr>
        <w:t>s</w:t>
      </w:r>
      <w:r w:rsidR="00DC6FB4" w:rsidRPr="00D34D6C">
        <w:rPr>
          <w:rFonts w:cstheme="minorHAnsi"/>
        </w:rPr>
        <w:t>.</w:t>
      </w:r>
    </w:p>
    <w:p w14:paraId="6E0574E2" w14:textId="44E41FF0" w:rsidR="0055068C" w:rsidRDefault="0055068C" w:rsidP="0055068C">
      <w:r>
        <w:lastRenderedPageBreak/>
        <w:t>Whilst there is the potential for demands to be increasing, there are also calls for reducing the time required to access the profession due to the rising costs of higher education</w:t>
      </w:r>
      <w:r w:rsidR="0057026D">
        <w:t xml:space="preserve"> </w:t>
      </w:r>
      <w:r w:rsidR="002B6CC2">
        <w:t>and calls for wider access to the profession</w:t>
      </w:r>
      <w:r w:rsidR="00DA33E7">
        <w:t xml:space="preserve"> and different ways of qualifying</w:t>
      </w:r>
      <w:r w:rsidR="008573A6">
        <w:t xml:space="preserve"> to promote diversity</w:t>
      </w:r>
      <w:r>
        <w:t>.</w:t>
      </w:r>
    </w:p>
    <w:p w14:paraId="6261F304" w14:textId="72CA7FEF" w:rsidR="0055068C" w:rsidRDefault="0055068C" w:rsidP="0055068C">
      <w:r>
        <w:t xml:space="preserve">Further, while people remain in the labour market longer and until they are older, there </w:t>
      </w:r>
      <w:r w:rsidR="00A657AD">
        <w:t xml:space="preserve">are </w:t>
      </w:r>
      <w:r>
        <w:t xml:space="preserve">no </w:t>
      </w:r>
      <w:r w:rsidR="00A657AD">
        <w:t xml:space="preserve">specified </w:t>
      </w:r>
      <w:r>
        <w:t>requirement</w:t>
      </w:r>
      <w:r w:rsidR="00A657AD">
        <w:t>s</w:t>
      </w:r>
      <w:r>
        <w:t xml:space="preserve"> for Continuous Professional Development as condition of being on the Register</w:t>
      </w:r>
      <w:r w:rsidR="00A657AD">
        <w:t>, other than a general expectation</w:t>
      </w:r>
      <w:r w:rsidR="007A28F5">
        <w:t xml:space="preserve"> under the </w:t>
      </w:r>
      <w:hyperlink r:id="rId13" w:history="1">
        <w:r w:rsidR="007A28F5" w:rsidRPr="00254902">
          <w:rPr>
            <w:rStyle w:val="Hyperlink"/>
          </w:rPr>
          <w:t>Architects Code</w:t>
        </w:r>
      </w:hyperlink>
      <w:r w:rsidR="00A657AD">
        <w:t xml:space="preserve"> to maintain competence</w:t>
      </w:r>
      <w:r>
        <w:t xml:space="preserve">. An </w:t>
      </w:r>
      <w:proofErr w:type="gramStart"/>
      <w:r>
        <w:t>architect  needs</w:t>
      </w:r>
      <w:proofErr w:type="gramEnd"/>
      <w:r>
        <w:t xml:space="preserve"> to re-register annually</w:t>
      </w:r>
      <w:r w:rsidR="00A657AD">
        <w:t xml:space="preserve">, but retention on the Register does not come with any requirements to </w:t>
      </w:r>
      <w:r w:rsidR="00D745F0">
        <w:t>demonstrate that competence has been maintained</w:t>
      </w:r>
      <w:r>
        <w:t xml:space="preserve">. </w:t>
      </w:r>
    </w:p>
    <w:p w14:paraId="62B4D677" w14:textId="77777777" w:rsidR="005264AE" w:rsidRDefault="005264AE" w:rsidP="00734942">
      <w:pPr>
        <w:pStyle w:val="Heading3"/>
      </w:pPr>
      <w:r>
        <w:t>Review to Ensure the Competence of Architects</w:t>
      </w:r>
    </w:p>
    <w:p w14:paraId="72171278" w14:textId="77777777" w:rsidR="00F21D6E" w:rsidRPr="00F21D6E" w:rsidRDefault="006E2F85" w:rsidP="000B5260">
      <w:r>
        <w:t>In this context</w:t>
      </w:r>
      <w:proofErr w:type="gramStart"/>
      <w:r w:rsidR="001D6E73">
        <w:t>,  ARB</w:t>
      </w:r>
      <w:proofErr w:type="gramEnd"/>
      <w:r w:rsidR="001D6E73">
        <w:t xml:space="preserve"> is </w:t>
      </w:r>
      <w:r w:rsidR="00F23629">
        <w:t>embarking on a review of architects</w:t>
      </w:r>
      <w:r w:rsidR="00D745F0">
        <w:t>’</w:t>
      </w:r>
      <w:r w:rsidR="00F23629">
        <w:t xml:space="preserve"> competences</w:t>
      </w:r>
      <w:r w:rsidR="0055068C">
        <w:t>.</w:t>
      </w:r>
      <w:r w:rsidR="00883FEE">
        <w:t xml:space="preserve"> </w:t>
      </w:r>
      <w:r w:rsidR="00D161B4">
        <w:t xml:space="preserve">The </w:t>
      </w:r>
      <w:r w:rsidR="00093290">
        <w:t xml:space="preserve">Aim of the </w:t>
      </w:r>
      <w:r w:rsidR="00D161B4">
        <w:t>Review</w:t>
      </w:r>
      <w:r w:rsidR="00CD2EB7">
        <w:t xml:space="preserve"> </w:t>
      </w:r>
      <w:r w:rsidR="00093290">
        <w:t xml:space="preserve">is </w:t>
      </w:r>
      <w:r w:rsidR="00CD2EB7">
        <w:t xml:space="preserve">to </w:t>
      </w:r>
      <w:r w:rsidR="00DC73E1" w:rsidRPr="00F21D6E">
        <w:rPr>
          <w:b/>
          <w:bCs/>
        </w:rPr>
        <w:t xml:space="preserve">develop a proportionate and effective regulatory </w:t>
      </w:r>
      <w:proofErr w:type="gramStart"/>
      <w:r w:rsidR="00DC73E1" w:rsidRPr="00F21D6E">
        <w:rPr>
          <w:b/>
          <w:bCs/>
        </w:rPr>
        <w:t xml:space="preserve">model </w:t>
      </w:r>
      <w:r w:rsidR="0030488A" w:rsidRPr="00F21D6E">
        <w:rPr>
          <w:b/>
          <w:bCs/>
        </w:rPr>
        <w:t xml:space="preserve"> which</w:t>
      </w:r>
      <w:proofErr w:type="gramEnd"/>
      <w:r w:rsidR="0030488A" w:rsidRPr="00F21D6E">
        <w:rPr>
          <w:b/>
          <w:bCs/>
        </w:rPr>
        <w:t xml:space="preserve"> ensures that only competent </w:t>
      </w:r>
      <w:r w:rsidR="00EA6E1A" w:rsidRPr="00F21D6E">
        <w:rPr>
          <w:b/>
          <w:bCs/>
        </w:rPr>
        <w:t xml:space="preserve">architects are eligible to join and remain on the Architect’s </w:t>
      </w:r>
      <w:r w:rsidR="002C12F9" w:rsidRPr="00F21D6E">
        <w:rPr>
          <w:b/>
          <w:bCs/>
        </w:rPr>
        <w:t>R</w:t>
      </w:r>
      <w:r w:rsidR="00EA6E1A" w:rsidRPr="00F21D6E">
        <w:rPr>
          <w:b/>
          <w:bCs/>
        </w:rPr>
        <w:t>egister</w:t>
      </w:r>
      <w:r w:rsidR="00847157" w:rsidRPr="00F21D6E">
        <w:rPr>
          <w:b/>
          <w:bCs/>
        </w:rPr>
        <w:t xml:space="preserve"> and</w:t>
      </w:r>
      <w:r w:rsidR="00024953" w:rsidRPr="00F21D6E">
        <w:rPr>
          <w:b/>
          <w:bCs/>
        </w:rPr>
        <w:t xml:space="preserve"> provides assurance and confidence to the public.</w:t>
      </w:r>
      <w:r w:rsidR="004001A8" w:rsidRPr="00F21D6E">
        <w:rPr>
          <w:b/>
          <w:bCs/>
        </w:rPr>
        <w:t xml:space="preserve"> </w:t>
      </w:r>
    </w:p>
    <w:p w14:paraId="592EB21E" w14:textId="163BA13F" w:rsidR="00024953" w:rsidRDefault="00EB10DC" w:rsidP="000B5260">
      <w:r>
        <w:t>Th</w:t>
      </w:r>
      <w:r w:rsidR="00045D32">
        <w:t>e Review itself</w:t>
      </w:r>
      <w:r>
        <w:t xml:space="preserve"> comprises a number of stages</w:t>
      </w:r>
      <w:proofErr w:type="gramStart"/>
      <w:r w:rsidR="002C7F2A">
        <w:t>, ,</w:t>
      </w:r>
      <w:proofErr w:type="gramEnd"/>
      <w:r>
        <w:t xml:space="preserve"> as shown in the </w:t>
      </w:r>
      <w:r w:rsidR="002535D6">
        <w:t xml:space="preserve">diagram </w:t>
      </w:r>
      <w:r>
        <w:t>below</w:t>
      </w:r>
      <w:r w:rsidR="002535D6">
        <w:t xml:space="preserve"> and described in the following paragraphs.</w:t>
      </w:r>
    </w:p>
    <w:p w14:paraId="6F741551" w14:textId="77777777" w:rsidR="002B03F6" w:rsidRDefault="00D52013" w:rsidP="002B03F6">
      <w:pPr>
        <w:numPr>
          <w:ilvl w:val="0"/>
          <w:numId w:val="0"/>
        </w:numPr>
        <w:ind w:left="357" w:hanging="357"/>
        <w:rPr>
          <w:b/>
          <w:bCs/>
        </w:rPr>
      </w:pPr>
      <w:r>
        <w:rPr>
          <w:b/>
          <w:bCs/>
          <w:noProof/>
          <w:lang w:eastAsia="en-GB"/>
        </w:rPr>
        <mc:AlternateContent>
          <mc:Choice Requires="wpg">
            <w:drawing>
              <wp:anchor distT="0" distB="0" distL="114300" distR="114300" simplePos="0" relativeHeight="251718144" behindDoc="0" locked="0" layoutInCell="1" allowOverlap="1" wp14:anchorId="696E5E64" wp14:editId="6F0F191B">
                <wp:simplePos x="0" y="0"/>
                <wp:positionH relativeFrom="column">
                  <wp:posOffset>-133350</wp:posOffset>
                </wp:positionH>
                <wp:positionV relativeFrom="paragraph">
                  <wp:posOffset>137795</wp:posOffset>
                </wp:positionV>
                <wp:extent cx="5915025" cy="3790950"/>
                <wp:effectExtent l="0" t="0" r="28575" b="19050"/>
                <wp:wrapNone/>
                <wp:docPr id="13" name="Group 13"/>
                <wp:cNvGraphicFramePr/>
                <a:graphic xmlns:a="http://schemas.openxmlformats.org/drawingml/2006/main">
                  <a:graphicData uri="http://schemas.microsoft.com/office/word/2010/wordprocessingGroup">
                    <wpg:wgp>
                      <wpg:cNvGrpSpPr/>
                      <wpg:grpSpPr>
                        <a:xfrm>
                          <a:off x="0" y="0"/>
                          <a:ext cx="5915025" cy="3790950"/>
                          <a:chOff x="0" y="0"/>
                          <a:chExt cx="5915025" cy="3790950"/>
                        </a:xfrm>
                      </wpg:grpSpPr>
                      <wps:wsp>
                        <wps:cNvPr id="3" name="Rectangle: Rounded Corners 3"/>
                        <wps:cNvSpPr/>
                        <wps:spPr>
                          <a:xfrm>
                            <a:off x="2486025" y="66675"/>
                            <a:ext cx="1514475" cy="3076575"/>
                          </a:xfrm>
                          <a:prstGeom prst="roundRect">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1A586A" w14:textId="77777777" w:rsidR="00DA73DC" w:rsidRPr="00D7461E" w:rsidRDefault="00DA73DC" w:rsidP="00C0555E">
                              <w:pPr>
                                <w:pStyle w:val="NoSpacing"/>
                                <w:spacing w:after="120"/>
                                <w:jc w:val="center"/>
                                <w:rPr>
                                  <w:sz w:val="20"/>
                                  <w:szCs w:val="20"/>
                                  <w:u w:val="single"/>
                                </w:rPr>
                              </w:pPr>
                              <w:r w:rsidRPr="00D7461E">
                                <w:rPr>
                                  <w:sz w:val="20"/>
                                  <w:szCs w:val="20"/>
                                  <w:u w:val="single"/>
                                </w:rPr>
                                <w:t>Stage 3</w:t>
                              </w:r>
                            </w:p>
                            <w:p w14:paraId="05BEBFF7" w14:textId="77777777" w:rsidR="00DA73DC" w:rsidRPr="00C0555E" w:rsidRDefault="00DA73DC" w:rsidP="00C0555E">
                              <w:pPr>
                                <w:pStyle w:val="NoSpacing"/>
                                <w:spacing w:after="120"/>
                                <w:jc w:val="center"/>
                                <w:rPr>
                                  <w:sz w:val="20"/>
                                  <w:szCs w:val="20"/>
                                </w:rPr>
                              </w:pPr>
                              <w:r w:rsidRPr="00C0555E">
                                <w:rPr>
                                  <w:sz w:val="20"/>
                                  <w:szCs w:val="20"/>
                                </w:rPr>
                                <w:t>Agree core competences for entry to the Register</w:t>
                              </w:r>
                            </w:p>
                            <w:p w14:paraId="01D717F6" w14:textId="77777777" w:rsidR="00DA73DC" w:rsidRPr="00C0555E" w:rsidRDefault="00DA73DC" w:rsidP="00C0555E">
                              <w:pPr>
                                <w:pStyle w:val="NoSpacing"/>
                                <w:spacing w:after="120"/>
                                <w:jc w:val="center"/>
                                <w:rPr>
                                  <w:sz w:val="20"/>
                                  <w:szCs w:val="20"/>
                                </w:rPr>
                              </w:pPr>
                              <w:r w:rsidRPr="00C0555E">
                                <w:rPr>
                                  <w:sz w:val="20"/>
                                  <w:szCs w:val="20"/>
                                </w:rPr>
                                <w:t>Agree core competences for maintaining Registration</w:t>
                              </w:r>
                            </w:p>
                            <w:p w14:paraId="33BEF8CE" w14:textId="77777777" w:rsidR="00DA73DC" w:rsidRPr="00C0555E" w:rsidRDefault="00DA73DC" w:rsidP="00C0555E">
                              <w:pPr>
                                <w:pStyle w:val="NoSpacing"/>
                                <w:spacing w:after="120"/>
                                <w:jc w:val="center"/>
                                <w:rPr>
                                  <w:sz w:val="20"/>
                                  <w:szCs w:val="20"/>
                                </w:rPr>
                              </w:pPr>
                              <w:r w:rsidRPr="00C0555E">
                                <w:rPr>
                                  <w:sz w:val="20"/>
                                  <w:szCs w:val="20"/>
                                </w:rPr>
                                <w:t>Develop new Criteria for meeting the competences</w:t>
                              </w:r>
                            </w:p>
                            <w:p w14:paraId="405BD8C5" w14:textId="77777777" w:rsidR="00DA73DC" w:rsidRPr="00C0555E" w:rsidRDefault="00DA73DC" w:rsidP="00C0555E">
                              <w:pPr>
                                <w:pStyle w:val="NoSpacing"/>
                                <w:spacing w:after="120"/>
                                <w:jc w:val="center"/>
                                <w:rPr>
                                  <w:sz w:val="20"/>
                                  <w:szCs w:val="20"/>
                                </w:rPr>
                              </w:pPr>
                              <w:r w:rsidRPr="00C0555E">
                                <w:rPr>
                                  <w:sz w:val="20"/>
                                  <w:szCs w:val="20"/>
                                </w:rPr>
                                <w:t>Agree pathways to registration</w:t>
                              </w:r>
                            </w:p>
                            <w:p w14:paraId="1E97D78F" w14:textId="77777777" w:rsidR="00DA73DC" w:rsidRPr="00C0555E" w:rsidRDefault="00DA73DC" w:rsidP="00C0555E">
                              <w:pPr>
                                <w:pStyle w:val="NoSpacing"/>
                                <w:spacing w:after="120"/>
                                <w:jc w:val="center"/>
                                <w:rPr>
                                  <w:sz w:val="20"/>
                                  <w:szCs w:val="20"/>
                                </w:rPr>
                              </w:pPr>
                              <w:r w:rsidRPr="00C0555E">
                                <w:rPr>
                                  <w:sz w:val="20"/>
                                  <w:szCs w:val="20"/>
                                </w:rPr>
                                <w:t>Consult</w:t>
                              </w:r>
                            </w:p>
                            <w:p w14:paraId="42354232" w14:textId="77777777" w:rsidR="00DA73DC" w:rsidRPr="00C0555E" w:rsidRDefault="00DA73DC" w:rsidP="00C0555E">
                              <w:pPr>
                                <w:pStyle w:val="NoSpacing"/>
                                <w:spacing w:after="120"/>
                                <w:jc w:val="center"/>
                                <w:rPr>
                                  <w:sz w:val="20"/>
                                  <w:szCs w:val="20"/>
                                </w:rPr>
                              </w:pPr>
                              <w:r w:rsidRPr="00C0555E">
                                <w:rPr>
                                  <w:sz w:val="20"/>
                                  <w:szCs w:val="20"/>
                                </w:rPr>
                                <w:t>Work with Government to update legislation if required</w:t>
                              </w:r>
                            </w:p>
                            <w:p w14:paraId="10394951" w14:textId="77777777" w:rsidR="00DA73DC" w:rsidRDefault="00DA73DC" w:rsidP="00C0555E">
                              <w:pPr>
                                <w:numPr>
                                  <w:ilvl w:val="0"/>
                                  <w:numId w:val="0"/>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ectangle: Rounded Corners 1"/>
                        <wps:cNvSpPr/>
                        <wps:spPr>
                          <a:xfrm>
                            <a:off x="0" y="76200"/>
                            <a:ext cx="1590675" cy="1400175"/>
                          </a:xfrm>
                          <a:prstGeom prst="roundRect">
                            <a:avLst/>
                          </a:prstGeom>
                          <a:ln>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D1D36" w14:textId="77777777" w:rsidR="00DA73DC" w:rsidRPr="00D7461E" w:rsidRDefault="00DA73DC" w:rsidP="00C0555E">
                              <w:pPr>
                                <w:pStyle w:val="NoSpacing"/>
                                <w:jc w:val="center"/>
                                <w:rPr>
                                  <w:sz w:val="20"/>
                                  <w:szCs w:val="20"/>
                                  <w:u w:val="single"/>
                                </w:rPr>
                              </w:pPr>
                              <w:r w:rsidRPr="00D7461E">
                                <w:rPr>
                                  <w:sz w:val="20"/>
                                  <w:szCs w:val="20"/>
                                  <w:u w:val="single"/>
                                </w:rPr>
                                <w:t>Stage 1:</w:t>
                              </w:r>
                            </w:p>
                            <w:p w14:paraId="2BB686EF" w14:textId="77777777" w:rsidR="00DA73DC" w:rsidRDefault="00DA73DC" w:rsidP="00C0555E">
                              <w:pPr>
                                <w:pStyle w:val="NoSpacing"/>
                                <w:jc w:val="center"/>
                                <w:rPr>
                                  <w:sz w:val="20"/>
                                  <w:szCs w:val="20"/>
                                </w:rPr>
                              </w:pPr>
                              <w:r w:rsidRPr="00C0555E">
                                <w:rPr>
                                  <w:sz w:val="20"/>
                                  <w:szCs w:val="20"/>
                                </w:rPr>
                                <w:t>Review of Architect’s registration systems internationally and other UK registered occupations</w:t>
                              </w:r>
                            </w:p>
                            <w:p w14:paraId="1463469C" w14:textId="77777777" w:rsidR="00DA73DC" w:rsidRPr="00C0555E" w:rsidRDefault="00DA73DC" w:rsidP="00C0555E">
                              <w:pPr>
                                <w:pStyle w:val="NoSpacing"/>
                                <w:jc w:val="center"/>
                                <w:rPr>
                                  <w:sz w:val="20"/>
                                  <w:szCs w:val="20"/>
                                </w:rPr>
                              </w:pPr>
                            </w:p>
                            <w:p w14:paraId="3F988299" w14:textId="77777777" w:rsidR="00DA73DC" w:rsidRPr="00C0555E" w:rsidRDefault="00DA73DC" w:rsidP="00C0555E">
                              <w:pPr>
                                <w:pStyle w:val="NoSpacing"/>
                                <w:jc w:val="center"/>
                                <w:rPr>
                                  <w:sz w:val="20"/>
                                  <w:szCs w:val="20"/>
                                </w:rPr>
                              </w:pPr>
                              <w:r w:rsidRPr="00C0555E">
                                <w:rPr>
                                  <w:sz w:val="20"/>
                                  <w:szCs w:val="20"/>
                                </w:rPr>
                                <w:t>Call for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4210050" y="57150"/>
                            <a:ext cx="1638300" cy="30765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A9460E" w14:textId="77777777" w:rsidR="00DA73DC" w:rsidRPr="00D7461E" w:rsidRDefault="00DA73DC" w:rsidP="00E90D0B">
                              <w:pPr>
                                <w:pStyle w:val="NoSpacing"/>
                                <w:spacing w:after="120"/>
                                <w:jc w:val="center"/>
                                <w:rPr>
                                  <w:sz w:val="20"/>
                                  <w:szCs w:val="20"/>
                                  <w:u w:val="single"/>
                                </w:rPr>
                              </w:pPr>
                              <w:r w:rsidRPr="00D7461E">
                                <w:rPr>
                                  <w:sz w:val="20"/>
                                  <w:szCs w:val="20"/>
                                  <w:u w:val="single"/>
                                </w:rPr>
                                <w:t>Stage 4</w:t>
                              </w:r>
                            </w:p>
                            <w:p w14:paraId="5AF1578F" w14:textId="77777777" w:rsidR="00DA73DC" w:rsidRPr="00E90D0B" w:rsidRDefault="00DA73DC" w:rsidP="00E90D0B">
                              <w:pPr>
                                <w:pStyle w:val="NoSpacing"/>
                                <w:spacing w:after="120"/>
                                <w:jc w:val="center"/>
                                <w:rPr>
                                  <w:sz w:val="20"/>
                                  <w:szCs w:val="20"/>
                                </w:rPr>
                              </w:pPr>
                              <w:r w:rsidRPr="00E90D0B">
                                <w:rPr>
                                  <w:sz w:val="20"/>
                                  <w:szCs w:val="20"/>
                                </w:rPr>
                                <w:t>Devise a competence monitoring regime</w:t>
                              </w:r>
                            </w:p>
                            <w:p w14:paraId="77B8E5EF" w14:textId="77777777" w:rsidR="00DA73DC" w:rsidRPr="00E90D0B" w:rsidRDefault="00DA73DC" w:rsidP="00E90D0B">
                              <w:pPr>
                                <w:pStyle w:val="NoSpacing"/>
                                <w:spacing w:after="120"/>
                                <w:jc w:val="center"/>
                                <w:rPr>
                                  <w:sz w:val="20"/>
                                  <w:szCs w:val="20"/>
                                </w:rPr>
                              </w:pPr>
                              <w:r w:rsidRPr="00E90D0B">
                                <w:rPr>
                                  <w:sz w:val="20"/>
                                  <w:szCs w:val="20"/>
                                </w:rPr>
                                <w:t>Develop processes to provide assurance that those entering the Register have acquired the appropriate competences (e.g. prescription processes)</w:t>
                              </w:r>
                            </w:p>
                            <w:p w14:paraId="0B59EBA0" w14:textId="77777777" w:rsidR="00DA73DC" w:rsidRPr="00E90D0B" w:rsidRDefault="00DA73DC" w:rsidP="00E90D0B">
                              <w:pPr>
                                <w:pStyle w:val="NoSpacing"/>
                                <w:spacing w:after="120"/>
                                <w:jc w:val="center"/>
                                <w:rPr>
                                  <w:sz w:val="20"/>
                                  <w:szCs w:val="20"/>
                                </w:rPr>
                              </w:pPr>
                              <w:r w:rsidRPr="00E90D0B">
                                <w:rPr>
                                  <w:sz w:val="20"/>
                                  <w:szCs w:val="20"/>
                                </w:rPr>
                                <w:t>Create curricula for maintaining competence as necessary</w:t>
                              </w:r>
                            </w:p>
                            <w:p w14:paraId="13B11EE3" w14:textId="77777777" w:rsidR="00DA73DC" w:rsidRPr="00E90D0B" w:rsidRDefault="00DA73DC" w:rsidP="00E90D0B">
                              <w:pPr>
                                <w:pStyle w:val="NoSpacing"/>
                                <w:spacing w:after="120"/>
                                <w:jc w:val="center"/>
                                <w:rPr>
                                  <w:sz w:val="20"/>
                                  <w:szCs w:val="20"/>
                                </w:rPr>
                              </w:pPr>
                              <w:r w:rsidRPr="00E90D0B">
                                <w:rPr>
                                  <w:sz w:val="20"/>
                                  <w:szCs w:val="20"/>
                                </w:rPr>
                                <w:t>Consult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2305050" y="19050"/>
                            <a:ext cx="28575" cy="3752850"/>
                          </a:xfrm>
                          <a:prstGeom prst="line">
                            <a:avLst/>
                          </a:prstGeom>
                        </wps:spPr>
                        <wps:style>
                          <a:lnRef idx="3">
                            <a:schemeClr val="dk1"/>
                          </a:lnRef>
                          <a:fillRef idx="0">
                            <a:schemeClr val="dk1"/>
                          </a:fillRef>
                          <a:effectRef idx="2">
                            <a:schemeClr val="dk1"/>
                          </a:effectRef>
                          <a:fontRef idx="minor">
                            <a:schemeClr val="tx1"/>
                          </a:fontRef>
                        </wps:style>
                        <wps:bodyPr/>
                      </wps:wsp>
                      <wps:wsp>
                        <wps:cNvPr id="9" name="Straight Connector 9"/>
                        <wps:cNvCnPr/>
                        <wps:spPr>
                          <a:xfrm>
                            <a:off x="5886450" y="0"/>
                            <a:ext cx="28575" cy="3752850"/>
                          </a:xfrm>
                          <a:prstGeom prst="line">
                            <a:avLst/>
                          </a:prstGeom>
                        </wps:spPr>
                        <wps:style>
                          <a:lnRef idx="3">
                            <a:schemeClr val="dk1"/>
                          </a:lnRef>
                          <a:fillRef idx="0">
                            <a:schemeClr val="dk1"/>
                          </a:fillRef>
                          <a:effectRef idx="2">
                            <a:schemeClr val="dk1"/>
                          </a:effectRef>
                          <a:fontRef idx="minor">
                            <a:schemeClr val="tx1"/>
                          </a:fontRef>
                        </wps:style>
                        <wps:bodyPr/>
                      </wps:wsp>
                      <wps:wsp>
                        <wps:cNvPr id="2" name="Rectangle: Rounded Corners 2"/>
                        <wps:cNvSpPr/>
                        <wps:spPr>
                          <a:xfrm>
                            <a:off x="666750" y="1590675"/>
                            <a:ext cx="1600200" cy="1962150"/>
                          </a:xfrm>
                          <a:prstGeom prst="roundRect">
                            <a:avLst>
                              <a:gd name="adj" fmla="val 30989"/>
                            </a:avLst>
                          </a:prstGeom>
                          <a:solidFill>
                            <a:schemeClr val="accent2">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28111D" w14:textId="77777777" w:rsidR="00DA73DC" w:rsidRPr="00D7461E" w:rsidRDefault="00DA73DC" w:rsidP="00C0555E">
                              <w:pPr>
                                <w:pStyle w:val="NoSpacing"/>
                                <w:spacing w:after="120"/>
                                <w:jc w:val="center"/>
                                <w:rPr>
                                  <w:b/>
                                  <w:bCs/>
                                  <w:sz w:val="20"/>
                                  <w:szCs w:val="20"/>
                                  <w:u w:val="single"/>
                                </w:rPr>
                              </w:pPr>
                              <w:r w:rsidRPr="00D7461E">
                                <w:rPr>
                                  <w:b/>
                                  <w:bCs/>
                                  <w:sz w:val="20"/>
                                  <w:szCs w:val="20"/>
                                  <w:u w:val="single"/>
                                </w:rPr>
                                <w:t>Stage 2: This commission</w:t>
                              </w:r>
                            </w:p>
                            <w:p w14:paraId="4A253C15" w14:textId="77777777" w:rsidR="00DA73DC" w:rsidRPr="00C0555E" w:rsidRDefault="00DA73DC" w:rsidP="00C0555E">
                              <w:pPr>
                                <w:pStyle w:val="NoSpacing"/>
                                <w:spacing w:after="120"/>
                                <w:jc w:val="center"/>
                                <w:rPr>
                                  <w:sz w:val="20"/>
                                  <w:szCs w:val="20"/>
                                </w:rPr>
                              </w:pPr>
                              <w:r w:rsidRPr="00C0555E">
                                <w:rPr>
                                  <w:sz w:val="20"/>
                                  <w:szCs w:val="20"/>
                                </w:rPr>
                                <w:t>Additional literature review/data analysis</w:t>
                              </w:r>
                            </w:p>
                            <w:p w14:paraId="117ED476" w14:textId="77777777" w:rsidR="00DA73DC" w:rsidRPr="00C0555E" w:rsidRDefault="00DA73DC" w:rsidP="00C0555E">
                              <w:pPr>
                                <w:pStyle w:val="NoSpacing"/>
                                <w:spacing w:after="120"/>
                                <w:jc w:val="center"/>
                                <w:rPr>
                                  <w:sz w:val="20"/>
                                  <w:szCs w:val="20"/>
                                </w:rPr>
                              </w:pPr>
                              <w:r w:rsidRPr="00C0555E">
                                <w:rPr>
                                  <w:sz w:val="20"/>
                                  <w:szCs w:val="20"/>
                                </w:rPr>
                                <w:t>Stakeholder research</w:t>
                              </w:r>
                            </w:p>
                            <w:p w14:paraId="49A97CBF" w14:textId="77777777" w:rsidR="00DA73DC" w:rsidRPr="00C0555E" w:rsidRDefault="00DA73DC" w:rsidP="00C0555E">
                              <w:pPr>
                                <w:pStyle w:val="NoSpacing"/>
                                <w:spacing w:after="120"/>
                                <w:jc w:val="center"/>
                                <w:rPr>
                                  <w:sz w:val="20"/>
                                  <w:szCs w:val="20"/>
                                </w:rPr>
                              </w:pPr>
                              <w:r w:rsidRPr="00C0555E">
                                <w:rPr>
                                  <w:sz w:val="20"/>
                                  <w:szCs w:val="20"/>
                                </w:rPr>
                                <w:t>Develop analytical framework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4162425" y="38100"/>
                            <a:ext cx="28575" cy="375285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96E5E64" id="Group 13" o:spid="_x0000_s1026" style="position:absolute;left:0;text-align:left;margin-left:-10.5pt;margin-top:10.85pt;width:465.75pt;height:298.5pt;z-index:251718144;mso-width-relative:margin;mso-height-relative:margin" coordsize="59150,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">
                <v:roundrect id="Rectangle: Rounded Corners 3" o:spid="_x0000_s1027" style="position:absolute;left:24860;top:666;width:15145;height:3076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" fillcolor="#4472c4 [3204]" strokecolor="#1f3763 [1604]" strokeweight="1pt">
                  <v:stroke joinstyle="miter"/>
                  <v:textbox>
                    <w:txbxContent>
                      <w:p w14:paraId="581A586A" w14:textId="77777777" w:rsidR="00DA73DC" w:rsidRPr="00D7461E" w:rsidRDefault="00DA73DC" w:rsidP="00C0555E">
                        <w:pPr>
                          <w:pStyle w:val="NoSpacing"/>
                          <w:spacing w:after="120"/>
                          <w:jc w:val="center"/>
                          <w:rPr>
                            <w:sz w:val="20"/>
                            <w:szCs w:val="20"/>
                            <w:u w:val="single"/>
                          </w:rPr>
                        </w:pPr>
                        <w:r w:rsidRPr="00D7461E">
                          <w:rPr>
                            <w:sz w:val="20"/>
                            <w:szCs w:val="20"/>
                            <w:u w:val="single"/>
                          </w:rPr>
                          <w:t>Stage 3</w:t>
                        </w:r>
                      </w:p>
                      <w:p w14:paraId="05BEBFF7" w14:textId="77777777" w:rsidR="00DA73DC" w:rsidRPr="00C0555E" w:rsidRDefault="00DA73DC" w:rsidP="00C0555E">
                        <w:pPr>
                          <w:pStyle w:val="NoSpacing"/>
                          <w:spacing w:after="120"/>
                          <w:jc w:val="center"/>
                          <w:rPr>
                            <w:sz w:val="20"/>
                            <w:szCs w:val="20"/>
                          </w:rPr>
                        </w:pPr>
                        <w:r w:rsidRPr="00C0555E">
                          <w:rPr>
                            <w:sz w:val="20"/>
                            <w:szCs w:val="20"/>
                          </w:rPr>
                          <w:t>Agree core competences for entry to the Register</w:t>
                        </w:r>
                      </w:p>
                      <w:p w14:paraId="01D717F6" w14:textId="77777777" w:rsidR="00DA73DC" w:rsidRPr="00C0555E" w:rsidRDefault="00DA73DC" w:rsidP="00C0555E">
                        <w:pPr>
                          <w:pStyle w:val="NoSpacing"/>
                          <w:spacing w:after="120"/>
                          <w:jc w:val="center"/>
                          <w:rPr>
                            <w:sz w:val="20"/>
                            <w:szCs w:val="20"/>
                          </w:rPr>
                        </w:pPr>
                        <w:r w:rsidRPr="00C0555E">
                          <w:rPr>
                            <w:sz w:val="20"/>
                            <w:szCs w:val="20"/>
                          </w:rPr>
                          <w:t>Agree core competences for maintaining Registration</w:t>
                        </w:r>
                      </w:p>
                      <w:p w14:paraId="33BEF8CE" w14:textId="77777777" w:rsidR="00DA73DC" w:rsidRPr="00C0555E" w:rsidRDefault="00DA73DC" w:rsidP="00C0555E">
                        <w:pPr>
                          <w:pStyle w:val="NoSpacing"/>
                          <w:spacing w:after="120"/>
                          <w:jc w:val="center"/>
                          <w:rPr>
                            <w:sz w:val="20"/>
                            <w:szCs w:val="20"/>
                          </w:rPr>
                        </w:pPr>
                        <w:r w:rsidRPr="00C0555E">
                          <w:rPr>
                            <w:sz w:val="20"/>
                            <w:szCs w:val="20"/>
                          </w:rPr>
                          <w:t>Develop new Criteria for meeting the competences</w:t>
                        </w:r>
                      </w:p>
                      <w:p w14:paraId="405BD8C5" w14:textId="77777777" w:rsidR="00DA73DC" w:rsidRPr="00C0555E" w:rsidRDefault="00DA73DC" w:rsidP="00C0555E">
                        <w:pPr>
                          <w:pStyle w:val="NoSpacing"/>
                          <w:spacing w:after="120"/>
                          <w:jc w:val="center"/>
                          <w:rPr>
                            <w:sz w:val="20"/>
                            <w:szCs w:val="20"/>
                          </w:rPr>
                        </w:pPr>
                        <w:r w:rsidRPr="00C0555E">
                          <w:rPr>
                            <w:sz w:val="20"/>
                            <w:szCs w:val="20"/>
                          </w:rPr>
                          <w:t>Agree pathways to registration</w:t>
                        </w:r>
                      </w:p>
                      <w:p w14:paraId="1E97D78F" w14:textId="77777777" w:rsidR="00DA73DC" w:rsidRPr="00C0555E" w:rsidRDefault="00DA73DC" w:rsidP="00C0555E">
                        <w:pPr>
                          <w:pStyle w:val="NoSpacing"/>
                          <w:spacing w:after="120"/>
                          <w:jc w:val="center"/>
                          <w:rPr>
                            <w:sz w:val="20"/>
                            <w:szCs w:val="20"/>
                          </w:rPr>
                        </w:pPr>
                        <w:r w:rsidRPr="00C0555E">
                          <w:rPr>
                            <w:sz w:val="20"/>
                            <w:szCs w:val="20"/>
                          </w:rPr>
                          <w:t>Consult</w:t>
                        </w:r>
                      </w:p>
                      <w:p w14:paraId="42354232" w14:textId="77777777" w:rsidR="00DA73DC" w:rsidRPr="00C0555E" w:rsidRDefault="00DA73DC" w:rsidP="00C0555E">
                        <w:pPr>
                          <w:pStyle w:val="NoSpacing"/>
                          <w:spacing w:after="120"/>
                          <w:jc w:val="center"/>
                          <w:rPr>
                            <w:sz w:val="20"/>
                            <w:szCs w:val="20"/>
                          </w:rPr>
                        </w:pPr>
                        <w:r w:rsidRPr="00C0555E">
                          <w:rPr>
                            <w:sz w:val="20"/>
                            <w:szCs w:val="20"/>
                          </w:rPr>
                          <w:t>Work with Government to update legislation if required</w:t>
                        </w:r>
                      </w:p>
                      <w:p w14:paraId="10394951" w14:textId="77777777" w:rsidR="00DA73DC" w:rsidRDefault="00DA73DC" w:rsidP="00C0555E">
                        <w:pPr>
                          <w:numPr>
                            <w:ilvl w:val="0"/>
                            <w:numId w:val="0"/>
                          </w:numPr>
                        </w:pPr>
                      </w:p>
                    </w:txbxContent>
                  </v:textbox>
                </v:roundrect>
                <v:roundrect id="Rectangle: Rounded Corners 1" o:spid="_x0000_s1028" style="position:absolute;top:762;width:15906;height:1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" fillcolor="#4472c4 [3204]" strokecolor="#d9e2f3 [660]" strokeweight="1pt">
                  <v:stroke joinstyle="miter"/>
                  <v:textbox>
                    <w:txbxContent>
                      <w:p w14:paraId="46DD1D36" w14:textId="77777777" w:rsidR="00DA73DC" w:rsidRPr="00D7461E" w:rsidRDefault="00DA73DC" w:rsidP="00C0555E">
                        <w:pPr>
                          <w:pStyle w:val="NoSpacing"/>
                          <w:jc w:val="center"/>
                          <w:rPr>
                            <w:sz w:val="20"/>
                            <w:szCs w:val="20"/>
                            <w:u w:val="single"/>
                          </w:rPr>
                        </w:pPr>
                        <w:r w:rsidRPr="00D7461E">
                          <w:rPr>
                            <w:sz w:val="20"/>
                            <w:szCs w:val="20"/>
                            <w:u w:val="single"/>
                          </w:rPr>
                          <w:t>Stage 1:</w:t>
                        </w:r>
                      </w:p>
                      <w:p w14:paraId="2BB686EF" w14:textId="77777777" w:rsidR="00DA73DC" w:rsidRDefault="00DA73DC" w:rsidP="00C0555E">
                        <w:pPr>
                          <w:pStyle w:val="NoSpacing"/>
                          <w:jc w:val="center"/>
                          <w:rPr>
                            <w:sz w:val="20"/>
                            <w:szCs w:val="20"/>
                          </w:rPr>
                        </w:pPr>
                        <w:r w:rsidRPr="00C0555E">
                          <w:rPr>
                            <w:sz w:val="20"/>
                            <w:szCs w:val="20"/>
                          </w:rPr>
                          <w:t>Review of Architect’s registration systems internationally and other UK registered occupations</w:t>
                        </w:r>
                      </w:p>
                      <w:p w14:paraId="1463469C" w14:textId="77777777" w:rsidR="00DA73DC" w:rsidRPr="00C0555E" w:rsidRDefault="00DA73DC" w:rsidP="00C0555E">
                        <w:pPr>
                          <w:pStyle w:val="NoSpacing"/>
                          <w:jc w:val="center"/>
                          <w:rPr>
                            <w:sz w:val="20"/>
                            <w:szCs w:val="20"/>
                          </w:rPr>
                        </w:pPr>
                      </w:p>
                      <w:p w14:paraId="3F988299" w14:textId="77777777" w:rsidR="00DA73DC" w:rsidRPr="00C0555E" w:rsidRDefault="00DA73DC" w:rsidP="00C0555E">
                        <w:pPr>
                          <w:pStyle w:val="NoSpacing"/>
                          <w:jc w:val="center"/>
                          <w:rPr>
                            <w:sz w:val="20"/>
                            <w:szCs w:val="20"/>
                          </w:rPr>
                        </w:pPr>
                        <w:r w:rsidRPr="00C0555E">
                          <w:rPr>
                            <w:sz w:val="20"/>
                            <w:szCs w:val="20"/>
                          </w:rPr>
                          <w:t>Call for Evidence</w:t>
                        </w:r>
                      </w:p>
                    </w:txbxContent>
                  </v:textbox>
                </v:roundrect>
                <v:roundrect id="Rectangle: Rounded Corners 4" o:spid="_x0000_s1029" style="position:absolute;left:42100;top:571;width:16383;height:30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" fillcolor="#4472c4 [3204]" strokecolor="#1f3763 [1604]" strokeweight="1pt">
                  <v:stroke joinstyle="miter"/>
                  <v:textbox>
                    <w:txbxContent>
                      <w:p w14:paraId="4AA9460E" w14:textId="77777777" w:rsidR="00DA73DC" w:rsidRPr="00D7461E" w:rsidRDefault="00DA73DC" w:rsidP="00E90D0B">
                        <w:pPr>
                          <w:pStyle w:val="NoSpacing"/>
                          <w:spacing w:after="120"/>
                          <w:jc w:val="center"/>
                          <w:rPr>
                            <w:sz w:val="20"/>
                            <w:szCs w:val="20"/>
                            <w:u w:val="single"/>
                          </w:rPr>
                        </w:pPr>
                        <w:r w:rsidRPr="00D7461E">
                          <w:rPr>
                            <w:sz w:val="20"/>
                            <w:szCs w:val="20"/>
                            <w:u w:val="single"/>
                          </w:rPr>
                          <w:t>Stage 4</w:t>
                        </w:r>
                      </w:p>
                      <w:p w14:paraId="5AF1578F" w14:textId="77777777" w:rsidR="00DA73DC" w:rsidRPr="00E90D0B" w:rsidRDefault="00DA73DC" w:rsidP="00E90D0B">
                        <w:pPr>
                          <w:pStyle w:val="NoSpacing"/>
                          <w:spacing w:after="120"/>
                          <w:jc w:val="center"/>
                          <w:rPr>
                            <w:sz w:val="20"/>
                            <w:szCs w:val="20"/>
                          </w:rPr>
                        </w:pPr>
                        <w:r w:rsidRPr="00E90D0B">
                          <w:rPr>
                            <w:sz w:val="20"/>
                            <w:szCs w:val="20"/>
                          </w:rPr>
                          <w:t>Devise a competence monitoring regime</w:t>
                        </w:r>
                      </w:p>
                      <w:p w14:paraId="77B8E5EF" w14:textId="77777777" w:rsidR="00DA73DC" w:rsidRPr="00E90D0B" w:rsidRDefault="00DA73DC" w:rsidP="00E90D0B">
                        <w:pPr>
                          <w:pStyle w:val="NoSpacing"/>
                          <w:spacing w:after="120"/>
                          <w:jc w:val="center"/>
                          <w:rPr>
                            <w:sz w:val="20"/>
                            <w:szCs w:val="20"/>
                          </w:rPr>
                        </w:pPr>
                        <w:r w:rsidRPr="00E90D0B">
                          <w:rPr>
                            <w:sz w:val="20"/>
                            <w:szCs w:val="20"/>
                          </w:rPr>
                          <w:t>Develop processes to provide assurance that those entering the Register have acquired the appropriate competences (e.g. prescription processes)</w:t>
                        </w:r>
                      </w:p>
                      <w:p w14:paraId="0B59EBA0" w14:textId="77777777" w:rsidR="00DA73DC" w:rsidRPr="00E90D0B" w:rsidRDefault="00DA73DC" w:rsidP="00E90D0B">
                        <w:pPr>
                          <w:pStyle w:val="NoSpacing"/>
                          <w:spacing w:after="120"/>
                          <w:jc w:val="center"/>
                          <w:rPr>
                            <w:sz w:val="20"/>
                            <w:szCs w:val="20"/>
                          </w:rPr>
                        </w:pPr>
                        <w:r w:rsidRPr="00E90D0B">
                          <w:rPr>
                            <w:sz w:val="20"/>
                            <w:szCs w:val="20"/>
                          </w:rPr>
                          <w:t>Create curricula for maintaining competence as necessary</w:t>
                        </w:r>
                      </w:p>
                      <w:p w14:paraId="13B11EE3" w14:textId="77777777" w:rsidR="00DA73DC" w:rsidRPr="00E90D0B" w:rsidRDefault="00DA73DC" w:rsidP="00E90D0B">
                        <w:pPr>
                          <w:pStyle w:val="NoSpacing"/>
                          <w:spacing w:after="120"/>
                          <w:jc w:val="center"/>
                          <w:rPr>
                            <w:sz w:val="20"/>
                            <w:szCs w:val="20"/>
                          </w:rPr>
                        </w:pPr>
                        <w:r w:rsidRPr="00E90D0B">
                          <w:rPr>
                            <w:sz w:val="20"/>
                            <w:szCs w:val="20"/>
                          </w:rPr>
                          <w:t>Consult</w:t>
                        </w:r>
                      </w:p>
                    </w:txbxContent>
                  </v:textbox>
                </v:roundrect>
                <v:line id="Straight Connector 5" o:spid="_x0000_s1030" style="position:absolute;visibility:visible;mso-wrap-style:square" from="23050,190" to="23336,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" strokecolor="black [3200]" strokeweight="1.5pt">
                  <v:stroke joinstyle="miter"/>
                </v:line>
                <v:line id="Straight Connector 9" o:spid="_x0000_s1031" style="position:absolute;visibility:visible;mso-wrap-style:square" from="58864,0" to="59150,37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strokecolor="black [3200]" strokeweight="1.5pt">
                  <v:stroke joinstyle="miter"/>
                </v:line>
                <v:roundrect id="Rectangle: Rounded Corners 2" o:spid="_x0000_s1032" style="position:absolute;left:6667;top:15906;width:16002;height:19622;visibility:visible;mso-wrap-style:square;v-text-anchor:middle" arcsize="2031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" fillcolor="#c45911 [2405]" strokecolor="#1f3763 [1604]" strokeweight="1pt">
                  <v:stroke joinstyle="miter"/>
                  <v:textbox>
                    <w:txbxContent>
                      <w:p w14:paraId="0628111D" w14:textId="77777777" w:rsidR="00DA73DC" w:rsidRPr="00D7461E" w:rsidRDefault="00DA73DC" w:rsidP="00C0555E">
                        <w:pPr>
                          <w:pStyle w:val="NoSpacing"/>
                          <w:spacing w:after="120"/>
                          <w:jc w:val="center"/>
                          <w:rPr>
                            <w:b/>
                            <w:bCs/>
                            <w:sz w:val="20"/>
                            <w:szCs w:val="20"/>
                            <w:u w:val="single"/>
                          </w:rPr>
                        </w:pPr>
                        <w:r w:rsidRPr="00D7461E">
                          <w:rPr>
                            <w:b/>
                            <w:bCs/>
                            <w:sz w:val="20"/>
                            <w:szCs w:val="20"/>
                            <w:u w:val="single"/>
                          </w:rPr>
                          <w:t>Stage 2: This commission</w:t>
                        </w:r>
                      </w:p>
                      <w:p w14:paraId="4A253C15" w14:textId="77777777" w:rsidR="00DA73DC" w:rsidRPr="00C0555E" w:rsidRDefault="00DA73DC" w:rsidP="00C0555E">
                        <w:pPr>
                          <w:pStyle w:val="NoSpacing"/>
                          <w:spacing w:after="120"/>
                          <w:jc w:val="center"/>
                          <w:rPr>
                            <w:sz w:val="20"/>
                            <w:szCs w:val="20"/>
                          </w:rPr>
                        </w:pPr>
                        <w:r w:rsidRPr="00C0555E">
                          <w:rPr>
                            <w:sz w:val="20"/>
                            <w:szCs w:val="20"/>
                          </w:rPr>
                          <w:t>Additional literature review/data analysis</w:t>
                        </w:r>
                      </w:p>
                      <w:p w14:paraId="117ED476" w14:textId="77777777" w:rsidR="00DA73DC" w:rsidRPr="00C0555E" w:rsidRDefault="00DA73DC" w:rsidP="00C0555E">
                        <w:pPr>
                          <w:pStyle w:val="NoSpacing"/>
                          <w:spacing w:after="120"/>
                          <w:jc w:val="center"/>
                          <w:rPr>
                            <w:sz w:val="20"/>
                            <w:szCs w:val="20"/>
                          </w:rPr>
                        </w:pPr>
                        <w:r w:rsidRPr="00C0555E">
                          <w:rPr>
                            <w:sz w:val="20"/>
                            <w:szCs w:val="20"/>
                          </w:rPr>
                          <w:t>Stakeholder research</w:t>
                        </w:r>
                      </w:p>
                      <w:p w14:paraId="49A97CBF" w14:textId="77777777" w:rsidR="00DA73DC" w:rsidRPr="00C0555E" w:rsidRDefault="00DA73DC" w:rsidP="00C0555E">
                        <w:pPr>
                          <w:pStyle w:val="NoSpacing"/>
                          <w:spacing w:after="120"/>
                          <w:jc w:val="center"/>
                          <w:rPr>
                            <w:sz w:val="20"/>
                            <w:szCs w:val="20"/>
                          </w:rPr>
                        </w:pPr>
                        <w:r w:rsidRPr="00C0555E">
                          <w:rPr>
                            <w:sz w:val="20"/>
                            <w:szCs w:val="20"/>
                          </w:rPr>
                          <w:t>Develop analytical framework</w:t>
                        </w:r>
                      </w:p>
                    </w:txbxContent>
                  </v:textbox>
                </v:roundrect>
                <v:line id="Straight Connector 10" o:spid="_x0000_s1033" style="position:absolute;visibility:visible;mso-wrap-style:square" from="41624,381" to="41910,37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group>
            </w:pict>
          </mc:Fallback>
        </mc:AlternateContent>
      </w:r>
      <w:r w:rsidR="00955037" w:rsidRPr="001D43DB">
        <w:rPr>
          <w:b/>
          <w:bCs/>
        </w:rPr>
        <w:t>Review of Architects</w:t>
      </w:r>
      <w:r w:rsidR="00AE2020">
        <w:rPr>
          <w:b/>
          <w:bCs/>
        </w:rPr>
        <w:t xml:space="preserve">’ </w:t>
      </w:r>
      <w:r w:rsidR="00AE2020" w:rsidRPr="001D43DB">
        <w:rPr>
          <w:b/>
          <w:bCs/>
        </w:rPr>
        <w:t>Competence</w:t>
      </w:r>
    </w:p>
    <w:p w14:paraId="5362BE42" w14:textId="77777777" w:rsidR="00AE2020" w:rsidRDefault="00AE2020" w:rsidP="002B03F6">
      <w:pPr>
        <w:numPr>
          <w:ilvl w:val="0"/>
          <w:numId w:val="0"/>
        </w:numPr>
        <w:ind w:left="357" w:hanging="357"/>
      </w:pPr>
    </w:p>
    <w:p w14:paraId="0E29D14E" w14:textId="77777777" w:rsidR="002B03F6" w:rsidRDefault="002B03F6" w:rsidP="002B03F6">
      <w:pPr>
        <w:numPr>
          <w:ilvl w:val="0"/>
          <w:numId w:val="0"/>
        </w:numPr>
        <w:ind w:left="357" w:hanging="357"/>
      </w:pPr>
    </w:p>
    <w:p w14:paraId="754F6351" w14:textId="77777777" w:rsidR="002B03F6" w:rsidRDefault="002B03F6" w:rsidP="002B03F6">
      <w:pPr>
        <w:numPr>
          <w:ilvl w:val="0"/>
          <w:numId w:val="0"/>
        </w:numPr>
        <w:ind w:left="357" w:hanging="357"/>
      </w:pPr>
    </w:p>
    <w:p w14:paraId="01A20D4C" w14:textId="77777777" w:rsidR="002B03F6" w:rsidRDefault="002B03F6" w:rsidP="002B03F6">
      <w:pPr>
        <w:numPr>
          <w:ilvl w:val="0"/>
          <w:numId w:val="0"/>
        </w:numPr>
        <w:ind w:left="357" w:hanging="357"/>
      </w:pPr>
    </w:p>
    <w:p w14:paraId="40E4BB41" w14:textId="77777777" w:rsidR="002B03F6" w:rsidRDefault="002B03F6" w:rsidP="002B03F6">
      <w:pPr>
        <w:numPr>
          <w:ilvl w:val="0"/>
          <w:numId w:val="0"/>
        </w:numPr>
        <w:ind w:left="357" w:hanging="357"/>
      </w:pPr>
    </w:p>
    <w:p w14:paraId="21F0919F" w14:textId="77777777" w:rsidR="002B03F6" w:rsidRDefault="002B03F6" w:rsidP="002B03F6">
      <w:pPr>
        <w:numPr>
          <w:ilvl w:val="0"/>
          <w:numId w:val="0"/>
        </w:numPr>
        <w:ind w:left="357" w:hanging="357"/>
      </w:pPr>
    </w:p>
    <w:p w14:paraId="250F3A02" w14:textId="77777777" w:rsidR="002B03F6" w:rsidRDefault="002B03F6" w:rsidP="002B03F6">
      <w:pPr>
        <w:numPr>
          <w:ilvl w:val="0"/>
          <w:numId w:val="0"/>
        </w:numPr>
        <w:ind w:left="357" w:hanging="357"/>
      </w:pPr>
    </w:p>
    <w:p w14:paraId="54312FDF" w14:textId="77777777" w:rsidR="00DC08A3" w:rsidRDefault="00DC08A3" w:rsidP="002B03F6">
      <w:pPr>
        <w:numPr>
          <w:ilvl w:val="0"/>
          <w:numId w:val="0"/>
        </w:numPr>
        <w:ind w:left="357" w:hanging="357"/>
      </w:pPr>
    </w:p>
    <w:p w14:paraId="7E067359" w14:textId="77777777" w:rsidR="00DC08A3" w:rsidRDefault="00DC08A3" w:rsidP="002B03F6">
      <w:pPr>
        <w:numPr>
          <w:ilvl w:val="0"/>
          <w:numId w:val="0"/>
        </w:numPr>
        <w:ind w:left="357" w:hanging="357"/>
      </w:pPr>
    </w:p>
    <w:p w14:paraId="58840867" w14:textId="77777777" w:rsidR="00DC08A3" w:rsidRDefault="00DC08A3" w:rsidP="002B03F6">
      <w:pPr>
        <w:numPr>
          <w:ilvl w:val="0"/>
          <w:numId w:val="0"/>
        </w:numPr>
        <w:ind w:left="357" w:hanging="357"/>
      </w:pPr>
    </w:p>
    <w:p w14:paraId="5C4346FC" w14:textId="77777777" w:rsidR="00DC08A3" w:rsidRDefault="00DC08A3" w:rsidP="002B03F6">
      <w:pPr>
        <w:numPr>
          <w:ilvl w:val="0"/>
          <w:numId w:val="0"/>
        </w:numPr>
        <w:ind w:left="357" w:hanging="357"/>
      </w:pPr>
    </w:p>
    <w:p w14:paraId="1C071D25" w14:textId="77777777" w:rsidR="00DC08A3" w:rsidRDefault="00DC08A3" w:rsidP="002B03F6">
      <w:pPr>
        <w:numPr>
          <w:ilvl w:val="0"/>
          <w:numId w:val="0"/>
        </w:numPr>
        <w:ind w:left="357" w:hanging="357"/>
      </w:pPr>
    </w:p>
    <w:p w14:paraId="57F5E7FC" w14:textId="77777777" w:rsidR="00DC08A3" w:rsidRDefault="00DC08A3" w:rsidP="002B03F6">
      <w:pPr>
        <w:numPr>
          <w:ilvl w:val="0"/>
          <w:numId w:val="0"/>
        </w:numPr>
        <w:ind w:left="357" w:hanging="357"/>
      </w:pPr>
    </w:p>
    <w:p w14:paraId="0FD19CB2" w14:textId="77777777" w:rsidR="001D43DB" w:rsidRPr="001D43DB" w:rsidRDefault="001D43DB" w:rsidP="001D43DB">
      <w:pPr>
        <w:numPr>
          <w:ilvl w:val="0"/>
          <w:numId w:val="0"/>
        </w:numPr>
        <w:ind w:left="357"/>
        <w:rPr>
          <w:b/>
          <w:bCs/>
        </w:rPr>
      </w:pPr>
    </w:p>
    <w:p w14:paraId="77750C96" w14:textId="77777777" w:rsidR="00265CB2" w:rsidRDefault="00265CB2" w:rsidP="00265CB2">
      <w:pPr>
        <w:numPr>
          <w:ilvl w:val="0"/>
          <w:numId w:val="0"/>
        </w:numPr>
        <w:ind w:left="357"/>
      </w:pPr>
    </w:p>
    <w:p w14:paraId="6070D1F9" w14:textId="77777777" w:rsidR="0051408E" w:rsidRPr="00B411AA" w:rsidRDefault="00ED38FE" w:rsidP="00B411AA">
      <w:r w:rsidRPr="003F0FC2">
        <w:rPr>
          <w:b/>
          <w:bCs/>
        </w:rPr>
        <w:t>Stage 1</w:t>
      </w:r>
      <w:r w:rsidR="000F0853" w:rsidRPr="003F0FC2">
        <w:rPr>
          <w:b/>
          <w:bCs/>
        </w:rPr>
        <w:t xml:space="preserve"> of</w:t>
      </w:r>
      <w:r w:rsidR="001D6E73" w:rsidRPr="003F0FC2">
        <w:rPr>
          <w:b/>
          <w:bCs/>
        </w:rPr>
        <w:t xml:space="preserve"> the </w:t>
      </w:r>
      <w:r w:rsidR="000F0853" w:rsidRPr="003F0FC2">
        <w:rPr>
          <w:b/>
          <w:bCs/>
        </w:rPr>
        <w:t>R</w:t>
      </w:r>
      <w:r w:rsidR="001D6E73" w:rsidRPr="003F0FC2">
        <w:rPr>
          <w:b/>
          <w:bCs/>
        </w:rPr>
        <w:t>eview</w:t>
      </w:r>
      <w:r w:rsidR="001D6E73">
        <w:t xml:space="preserve"> </w:t>
      </w:r>
      <w:r w:rsidR="00883FEE">
        <w:t xml:space="preserve">is a </w:t>
      </w:r>
      <w:r w:rsidR="00506035">
        <w:t xml:space="preserve">desk-based </w:t>
      </w:r>
      <w:r w:rsidR="00883FEE">
        <w:t>literature review which is</w:t>
      </w:r>
      <w:r w:rsidR="00DC353C">
        <w:t xml:space="preserve"> being conducted in-house by ARB</w:t>
      </w:r>
      <w:r w:rsidR="004937A7">
        <w:t>. The objectives of this literature review are:</w:t>
      </w:r>
      <w:r w:rsidR="0051408E" w:rsidRPr="00B411AA">
        <w:rPr>
          <w:u w:val="single"/>
        </w:rPr>
        <w:t xml:space="preserve"> </w:t>
      </w:r>
    </w:p>
    <w:p w14:paraId="6334247B" w14:textId="77777777" w:rsidR="0051408E" w:rsidRDefault="0051408E" w:rsidP="00BF1D30">
      <w:pPr>
        <w:numPr>
          <w:ilvl w:val="0"/>
          <w:numId w:val="12"/>
        </w:numPr>
        <w:spacing w:after="0"/>
        <w:ind w:left="1066" w:hanging="357"/>
      </w:pPr>
      <w:bookmarkStart w:id="1" w:name="_Hlk31978172"/>
      <w:r>
        <w:t>Review the history of qualifications in architecture and access to the Architects Register in the UK</w:t>
      </w:r>
    </w:p>
    <w:bookmarkEnd w:id="1"/>
    <w:p w14:paraId="62687985" w14:textId="77777777" w:rsidR="0051408E" w:rsidRDefault="0051408E" w:rsidP="00BF1D30">
      <w:pPr>
        <w:numPr>
          <w:ilvl w:val="0"/>
          <w:numId w:val="12"/>
        </w:numPr>
        <w:spacing w:after="0"/>
        <w:ind w:left="1066" w:hanging="357"/>
      </w:pPr>
      <w:r>
        <w:lastRenderedPageBreak/>
        <w:t xml:space="preserve">Review the routes to registration/qualification for architects in other countries and how their registration is renewed [e.g.EU/ Australia/New Zealand/USA/Canada/South Africa] </w:t>
      </w:r>
    </w:p>
    <w:p w14:paraId="5D0AC04D" w14:textId="77777777" w:rsidR="0051408E" w:rsidRDefault="0051408E" w:rsidP="00BF1D30">
      <w:pPr>
        <w:numPr>
          <w:ilvl w:val="0"/>
          <w:numId w:val="12"/>
        </w:numPr>
        <w:spacing w:after="0"/>
        <w:ind w:left="1066" w:hanging="357"/>
      </w:pPr>
      <w:r>
        <w:t xml:space="preserve">Review the routes to registration for selected other professions under the EU’s Mutual Recognition of Professional Qualifications Directive [e.g. Doctors/Chartered </w:t>
      </w:r>
      <w:r w:rsidR="00490B30">
        <w:t>S</w:t>
      </w:r>
      <w:r>
        <w:t>urveyors/Engineers];</w:t>
      </w:r>
    </w:p>
    <w:p w14:paraId="008033C7" w14:textId="77777777" w:rsidR="0051408E" w:rsidRDefault="0051408E" w:rsidP="00BF1D30">
      <w:pPr>
        <w:numPr>
          <w:ilvl w:val="0"/>
          <w:numId w:val="12"/>
        </w:numPr>
        <w:spacing w:after="0"/>
        <w:ind w:left="1066" w:hanging="357"/>
      </w:pPr>
      <w:r>
        <w:t>Review a sample of qualification/accreditation/registration of other professions in UK (and internationally)</w:t>
      </w:r>
      <w:r w:rsidRPr="00692178">
        <w:t xml:space="preserve"> </w:t>
      </w:r>
      <w:r>
        <w:t xml:space="preserve">[e.g. </w:t>
      </w:r>
      <w:r w:rsidR="00490B30">
        <w:t>D</w:t>
      </w:r>
      <w:r>
        <w:t>octors/Chartered Surveyors/Engineers]</w:t>
      </w:r>
    </w:p>
    <w:p w14:paraId="514EF8B0" w14:textId="77777777" w:rsidR="0051408E" w:rsidRDefault="0051408E" w:rsidP="00BF1D30">
      <w:pPr>
        <w:numPr>
          <w:ilvl w:val="0"/>
          <w:numId w:val="12"/>
        </w:numPr>
        <w:spacing w:after="0"/>
        <w:ind w:left="1066" w:hanging="357"/>
      </w:pPr>
      <w:r>
        <w:t xml:space="preserve">Identify roles of comparable regulators: duties, roles, funding </w:t>
      </w:r>
    </w:p>
    <w:p w14:paraId="5DA755E6" w14:textId="77777777" w:rsidR="0051408E" w:rsidRDefault="0051408E" w:rsidP="00BF1D30">
      <w:pPr>
        <w:numPr>
          <w:ilvl w:val="0"/>
          <w:numId w:val="12"/>
        </w:numPr>
        <w:spacing w:after="0"/>
        <w:ind w:left="1066" w:hanging="357"/>
      </w:pPr>
      <w:r>
        <w:t xml:space="preserve">Review the methods used by comparable regulators to ensure the quality of the qualifications being used for the purposes of registration </w:t>
      </w:r>
    </w:p>
    <w:p w14:paraId="77973550" w14:textId="77777777" w:rsidR="0051408E" w:rsidRDefault="0051408E" w:rsidP="00BF1D30">
      <w:pPr>
        <w:numPr>
          <w:ilvl w:val="0"/>
          <w:numId w:val="12"/>
        </w:numPr>
        <w:spacing w:after="0"/>
        <w:ind w:left="1066" w:hanging="357"/>
      </w:pPr>
      <w:r w:rsidRPr="005805FC">
        <w:t xml:space="preserve">Review the proportion of other regulators’ expenditure is spent on validation of </w:t>
      </w:r>
      <w:r>
        <w:t>q</w:t>
      </w:r>
      <w:r w:rsidRPr="005805FC">
        <w:t>ualifications/registration/promoting professional standards/fitness to practice</w:t>
      </w:r>
    </w:p>
    <w:p w14:paraId="7EE53951" w14:textId="77777777" w:rsidR="0051408E" w:rsidRDefault="0051408E" w:rsidP="00BF1D30">
      <w:pPr>
        <w:numPr>
          <w:ilvl w:val="0"/>
          <w:numId w:val="13"/>
        </w:numPr>
        <w:spacing w:after="0"/>
        <w:ind w:left="1066" w:hanging="357"/>
      </w:pPr>
      <w:r>
        <w:t>Review the requirements for maintaining competence amongst other professions in the UK</w:t>
      </w:r>
    </w:p>
    <w:p w14:paraId="3AD4D0FC" w14:textId="77777777" w:rsidR="0051408E" w:rsidRDefault="0051408E" w:rsidP="00BF1D30">
      <w:pPr>
        <w:numPr>
          <w:ilvl w:val="0"/>
          <w:numId w:val="13"/>
        </w:numPr>
        <w:spacing w:after="0"/>
        <w:ind w:left="1066" w:hanging="357"/>
      </w:pPr>
      <w:r>
        <w:t>Review the requirements for maintaining competence amongst architects internationally</w:t>
      </w:r>
    </w:p>
    <w:p w14:paraId="1162376E" w14:textId="77777777" w:rsidR="0051408E" w:rsidRDefault="0051408E" w:rsidP="00BF1D30">
      <w:pPr>
        <w:numPr>
          <w:ilvl w:val="0"/>
          <w:numId w:val="13"/>
        </w:numPr>
        <w:spacing w:after="0"/>
        <w:ind w:left="1066" w:hanging="357"/>
      </w:pPr>
      <w:r>
        <w:t>Review the different models used by comparable regulators and professional bodies to monitor the ongoing competence of their registrants/members</w:t>
      </w:r>
    </w:p>
    <w:p w14:paraId="7FF52F4E" w14:textId="77777777" w:rsidR="00883FEE" w:rsidRDefault="00883FEE" w:rsidP="0055068C">
      <w:r>
        <w:t>Th</w:t>
      </w:r>
      <w:r w:rsidR="00635D46">
        <w:t>is</w:t>
      </w:r>
      <w:r>
        <w:t xml:space="preserve"> </w:t>
      </w:r>
      <w:r w:rsidR="003B5D75">
        <w:t xml:space="preserve">report </w:t>
      </w:r>
      <w:r>
        <w:t>will be made available to the</w:t>
      </w:r>
      <w:r w:rsidR="005B62C1">
        <w:t xml:space="preserve"> Supplier</w:t>
      </w:r>
      <w:r w:rsidR="00D61E7D">
        <w:t xml:space="preserve">. </w:t>
      </w:r>
    </w:p>
    <w:p w14:paraId="271871C8" w14:textId="448FDAE6" w:rsidR="00B039AB" w:rsidRDefault="00837FDF" w:rsidP="0055068C">
      <w:r>
        <w:t xml:space="preserve">The ARB is </w:t>
      </w:r>
      <w:r w:rsidR="001F00A8">
        <w:t xml:space="preserve">issuing a Call for Evidence – an open invitation to </w:t>
      </w:r>
      <w:r w:rsidR="00F06548">
        <w:t xml:space="preserve">any interested party to submit responses to </w:t>
      </w:r>
      <w:r w:rsidR="00AB6181">
        <w:t xml:space="preserve">critical questions. This will </w:t>
      </w:r>
      <w:r w:rsidR="004F5386">
        <w:t xml:space="preserve">enable us to gather views from a wide group of stakeholders relatively efficiently and </w:t>
      </w:r>
      <w:r w:rsidR="00A63439">
        <w:t>allow us to identify potential sample for the stakeholder research commissioned here. The ARB will analyse responses to the Call for Evidence and make</w:t>
      </w:r>
      <w:r w:rsidR="004716CC">
        <w:t xml:space="preserve"> the analysis and</w:t>
      </w:r>
      <w:r w:rsidR="003B2B07">
        <w:t>, if appropriate, contact details,</w:t>
      </w:r>
      <w:r w:rsidR="00A63439">
        <w:t xml:space="preserve"> </w:t>
      </w:r>
      <w:r w:rsidR="00101AAB">
        <w:t>available to the Supplier.</w:t>
      </w:r>
    </w:p>
    <w:p w14:paraId="6FD1CCE9" w14:textId="5226152A" w:rsidR="0035026B" w:rsidRPr="008707A7" w:rsidRDefault="00C90311" w:rsidP="008707A7">
      <w:r w:rsidRPr="003F0FC2">
        <w:rPr>
          <w:b/>
          <w:bCs/>
        </w:rPr>
        <w:t>Stage 2 of the Review</w:t>
      </w:r>
      <w:r>
        <w:t xml:space="preserve"> </w:t>
      </w:r>
      <w:r w:rsidR="00E66BFB">
        <w:t xml:space="preserve">is </w:t>
      </w:r>
      <w:r w:rsidR="003E3A9F">
        <w:t xml:space="preserve">the </w:t>
      </w:r>
      <w:r w:rsidR="00E66BFB">
        <w:t xml:space="preserve">stakeholder research </w:t>
      </w:r>
      <w:r w:rsidR="003E3A9F">
        <w:t xml:space="preserve">commissioned in this </w:t>
      </w:r>
      <w:r w:rsidR="006A34A4">
        <w:t xml:space="preserve">Invitation to Tender. It </w:t>
      </w:r>
      <w:r w:rsidR="00CE7120">
        <w:t xml:space="preserve">is </w:t>
      </w:r>
      <w:r w:rsidR="00E66BFB">
        <w:t>described in greater detail in the remaining sections of the Invitation to Tender.</w:t>
      </w:r>
      <w:r w:rsidR="00925BEB">
        <w:t xml:space="preserve"> </w:t>
      </w:r>
      <w:r w:rsidR="00857E0B">
        <w:t xml:space="preserve">This will also include a </w:t>
      </w:r>
      <w:r w:rsidR="00777053">
        <w:t xml:space="preserve">review of literature to </w:t>
      </w:r>
      <w:r w:rsidR="00D40CA4">
        <w:t>inform the stakeholder research</w:t>
      </w:r>
      <w:r w:rsidR="00857E0B">
        <w:t xml:space="preserve"> and the</w:t>
      </w:r>
      <w:r w:rsidR="00571446">
        <w:t xml:space="preserve"> evidence base for the Review</w:t>
      </w:r>
      <w:r w:rsidR="00D40CA4">
        <w:t xml:space="preserve">. </w:t>
      </w:r>
      <w:r w:rsidR="00A21400">
        <w:t xml:space="preserve"> </w:t>
      </w:r>
      <w:r w:rsidR="00E31127">
        <w:t xml:space="preserve">This </w:t>
      </w:r>
      <w:r w:rsidR="003D0C51">
        <w:t xml:space="preserve">will be broader than the </w:t>
      </w:r>
      <w:r w:rsidR="00A34485">
        <w:t xml:space="preserve">Stage 1 </w:t>
      </w:r>
      <w:r w:rsidR="008F4839">
        <w:t>lite</w:t>
      </w:r>
      <w:r w:rsidR="003B6BF7">
        <w:t xml:space="preserve">rature review </w:t>
      </w:r>
      <w:r w:rsidR="003D0C51">
        <w:t xml:space="preserve">as </w:t>
      </w:r>
      <w:r w:rsidR="008707A7">
        <w:t>illustrated in the Methodology section below.</w:t>
      </w:r>
    </w:p>
    <w:p w14:paraId="5EAEFCE1" w14:textId="744AC416" w:rsidR="0035026B" w:rsidRPr="00B11629" w:rsidRDefault="0035026B" w:rsidP="00EE2FC3">
      <w:r w:rsidRPr="00F808ED">
        <w:t xml:space="preserve">After this first year of listening and engaging, </w:t>
      </w:r>
      <w:r w:rsidR="00521AE5">
        <w:t>ARB</w:t>
      </w:r>
      <w:r w:rsidRPr="00F808ED">
        <w:t xml:space="preserve"> will </w:t>
      </w:r>
      <w:r w:rsidR="00DF0F4B">
        <w:t xml:space="preserve">then </w:t>
      </w:r>
      <w:r w:rsidRPr="00F808ED">
        <w:t xml:space="preserve">consider how best to reform two key areas of our work, which are setting the standards for entry to the Register and setting the standards for maintaining registration. </w:t>
      </w:r>
    </w:p>
    <w:p w14:paraId="7A2835DA" w14:textId="77777777" w:rsidR="0035026B" w:rsidRDefault="0035026B" w:rsidP="00EE2FC3">
      <w:r w:rsidRPr="00F808ED">
        <w:t xml:space="preserve">At this point, we will review the most appropriate model for ensuring only those with an appropriate level of competence gain access to the Register in a way that is robust, fair and proportionate.  </w:t>
      </w:r>
    </w:p>
    <w:p w14:paraId="73A6DE88" w14:textId="77777777" w:rsidR="0035026B" w:rsidRPr="00F808ED" w:rsidRDefault="0035026B" w:rsidP="00EE2FC3">
      <w:r w:rsidRPr="00F808ED">
        <w:t>We will also consider how best we can ensure that architects’ competence is maintained throughout their working lives in a way that is proportionate but effective.  This will include the development of appropriate processes to achieve our aims.</w:t>
      </w:r>
    </w:p>
    <w:p w14:paraId="2F1BBF01" w14:textId="7160FFFC" w:rsidR="0055068C" w:rsidRDefault="00686594" w:rsidP="0055068C">
      <w:pPr>
        <w:pStyle w:val="Heading1"/>
      </w:pPr>
      <w:r>
        <w:t>A</w:t>
      </w:r>
      <w:r w:rsidR="0055068C">
        <w:t>ims and Objectives</w:t>
      </w:r>
    </w:p>
    <w:p w14:paraId="567B5CAF" w14:textId="77777777" w:rsidR="00B131C9" w:rsidRDefault="00B131C9" w:rsidP="00B131C9">
      <w:pPr>
        <w:pStyle w:val="Heading2"/>
      </w:pPr>
      <w:r>
        <w:t>Aim</w:t>
      </w:r>
    </w:p>
    <w:p w14:paraId="559F7ED0" w14:textId="27E2AC67" w:rsidR="0055068C" w:rsidRPr="00F84679" w:rsidRDefault="00C66B91" w:rsidP="00747B5C">
      <w:r w:rsidRPr="00F84679">
        <w:t xml:space="preserve">The aim of this project is </w:t>
      </w:r>
      <w:r w:rsidR="00CA0A07">
        <w:t xml:space="preserve">to </w:t>
      </w:r>
      <w:r w:rsidR="001059F1">
        <w:t xml:space="preserve">develop the evidence base for </w:t>
      </w:r>
      <w:proofErr w:type="gramStart"/>
      <w:r w:rsidR="001059F1">
        <w:t>the</w:t>
      </w:r>
      <w:r w:rsidR="005461E6">
        <w:t xml:space="preserve"> </w:t>
      </w:r>
      <w:r w:rsidR="00A657AD">
        <w:t xml:space="preserve"> ‘Review</w:t>
      </w:r>
      <w:proofErr w:type="gramEnd"/>
      <w:r w:rsidR="00A657AD">
        <w:t xml:space="preserve"> of architects’ competence’ </w:t>
      </w:r>
      <w:r w:rsidR="00747B5C" w:rsidRPr="00747B5C">
        <w:t>and</w:t>
      </w:r>
      <w:r w:rsidR="007C2893" w:rsidRPr="00747B5C">
        <w:t xml:space="preserve"> </w:t>
      </w:r>
      <w:r w:rsidR="0055068C" w:rsidRPr="00F84679">
        <w:t>provide recommendations to the ARB on what the</w:t>
      </w:r>
      <w:r w:rsidR="00EF6FDA" w:rsidRPr="00F84679">
        <w:t xml:space="preserve"> competencies </w:t>
      </w:r>
      <w:r w:rsidR="0055068C" w:rsidRPr="00F84679">
        <w:t>should be for</w:t>
      </w:r>
      <w:r w:rsidR="008E1253" w:rsidRPr="00F84679">
        <w:t xml:space="preserve"> the</w:t>
      </w:r>
      <w:r w:rsidR="0055068C" w:rsidRPr="00F84679">
        <w:t xml:space="preserve"> registration </w:t>
      </w:r>
      <w:r w:rsidR="00D47B67" w:rsidRPr="00F84679">
        <w:t xml:space="preserve">of </w:t>
      </w:r>
      <w:r w:rsidR="0055068C" w:rsidRPr="00F84679">
        <w:t>Architects</w:t>
      </w:r>
      <w:r w:rsidR="00F54659">
        <w:t>;</w:t>
      </w:r>
      <w:r w:rsidR="0078210C" w:rsidRPr="00F84679">
        <w:t xml:space="preserve"> how</w:t>
      </w:r>
      <w:r w:rsidR="009A2023" w:rsidRPr="00F84679">
        <w:t xml:space="preserve"> they should be</w:t>
      </w:r>
      <w:r w:rsidR="0078210C" w:rsidRPr="00F84679">
        <w:t xml:space="preserve"> </w:t>
      </w:r>
      <w:r w:rsidR="00987888" w:rsidRPr="00F84679">
        <w:t>acquired and how</w:t>
      </w:r>
      <w:r w:rsidR="00D921F7" w:rsidRPr="00F84679">
        <w:t xml:space="preserve"> the ARB can assure the </w:t>
      </w:r>
      <w:r w:rsidR="00D921F7" w:rsidRPr="00F84679">
        <w:lastRenderedPageBreak/>
        <w:t xml:space="preserve">public </w:t>
      </w:r>
      <w:r w:rsidR="00F54659">
        <w:t xml:space="preserve">that </w:t>
      </w:r>
      <w:r w:rsidR="00D921F7" w:rsidRPr="00F84679">
        <w:t>architects have maintained their competence over their working lives</w:t>
      </w:r>
      <w:r w:rsidR="00095796" w:rsidRPr="00F84679">
        <w:t>,</w:t>
      </w:r>
      <w:r w:rsidR="001E6A0F" w:rsidRPr="00F84679">
        <w:t xml:space="preserve"> </w:t>
      </w:r>
      <w:r w:rsidR="00E957C0" w:rsidRPr="00F84679">
        <w:t>withi</w:t>
      </w:r>
      <w:r w:rsidR="001E6A0F" w:rsidRPr="00F84679">
        <w:t>n</w:t>
      </w:r>
      <w:r w:rsidR="00E957C0" w:rsidRPr="00F84679">
        <w:t xml:space="preserve"> a proportionate and effective </w:t>
      </w:r>
      <w:r w:rsidRPr="00F84679">
        <w:t>regulatory model</w:t>
      </w:r>
      <w:r w:rsidR="0055068C" w:rsidRPr="00F84679">
        <w:t>.</w:t>
      </w:r>
    </w:p>
    <w:p w14:paraId="62D0D836" w14:textId="77777777" w:rsidR="0055068C" w:rsidRDefault="0055068C" w:rsidP="00B131C9">
      <w:pPr>
        <w:pStyle w:val="Heading3"/>
      </w:pPr>
      <w:r>
        <w:t>Objectives</w:t>
      </w:r>
    </w:p>
    <w:p w14:paraId="7FD1070B" w14:textId="015306D9" w:rsidR="00A17BC4" w:rsidRDefault="00891676" w:rsidP="00C00B6D">
      <w:pPr>
        <w:pStyle w:val="ListParagraph"/>
        <w:numPr>
          <w:ilvl w:val="0"/>
          <w:numId w:val="2"/>
        </w:numPr>
      </w:pPr>
      <w:r>
        <w:t xml:space="preserve">Familiarise with ARB desk research on practices of other nations with regard to registration and </w:t>
      </w:r>
      <w:r w:rsidR="00377113">
        <w:t>regulation of architects</w:t>
      </w:r>
      <w:r w:rsidR="00DE3E08">
        <w:t>;</w:t>
      </w:r>
      <w:r>
        <w:t xml:space="preserve"> </w:t>
      </w:r>
      <w:r w:rsidR="00377113">
        <w:t>other regulated professions in the U</w:t>
      </w:r>
      <w:r w:rsidR="007C7F90">
        <w:t>K</w:t>
      </w:r>
      <w:r w:rsidR="00DE3E08">
        <w:t xml:space="preserve"> </w:t>
      </w:r>
      <w:r w:rsidR="00C410B5">
        <w:t xml:space="preserve"> and results of Call for Evidence</w:t>
      </w:r>
      <w:r w:rsidR="00377113">
        <w:t>;</w:t>
      </w:r>
    </w:p>
    <w:p w14:paraId="11083F4A" w14:textId="54F8B1B1" w:rsidR="00D679F7" w:rsidRDefault="00927E36" w:rsidP="005D6215">
      <w:pPr>
        <w:pStyle w:val="ListParagraph"/>
        <w:numPr>
          <w:ilvl w:val="0"/>
          <w:numId w:val="2"/>
        </w:numPr>
        <w:spacing w:after="0"/>
      </w:pPr>
      <w:r>
        <w:t>R</w:t>
      </w:r>
      <w:r w:rsidR="008C754B">
        <w:t xml:space="preserve">eview of the </w:t>
      </w:r>
      <w:r w:rsidR="00ED07EF">
        <w:t xml:space="preserve">evidence of the </w:t>
      </w:r>
      <w:r w:rsidR="00444018">
        <w:t>effectiveness of the UK Architects Registration</w:t>
      </w:r>
      <w:r w:rsidR="00BB1F47">
        <w:t xml:space="preserve"> system</w:t>
      </w:r>
      <w:r w:rsidR="00444018">
        <w:t xml:space="preserve"> </w:t>
      </w:r>
      <w:r w:rsidR="00C11EAB">
        <w:t xml:space="preserve">through </w:t>
      </w:r>
      <w:r w:rsidR="00F91D98">
        <w:t xml:space="preserve">available evidence </w:t>
      </w:r>
      <w:r w:rsidR="00E82368">
        <w:t>and secondary data analysis</w:t>
      </w:r>
      <w:r w:rsidR="00D41A1A">
        <w:t>. This will</w:t>
      </w:r>
      <w:r w:rsidR="005B1FFA">
        <w:t xml:space="preserve"> includ</w:t>
      </w:r>
      <w:r w:rsidR="00D41A1A">
        <w:t>e</w:t>
      </w:r>
      <w:r w:rsidR="005B1FFA">
        <w:t xml:space="preserve"> a r</w:t>
      </w:r>
      <w:r w:rsidR="00D679F7">
        <w:t xml:space="preserve">eview </w:t>
      </w:r>
      <w:r w:rsidR="00530F1A">
        <w:t xml:space="preserve">of data </w:t>
      </w:r>
      <w:r w:rsidR="00D679F7">
        <w:t>sources</w:t>
      </w:r>
      <w:r w:rsidR="00826A51">
        <w:t xml:space="preserve"> on</w:t>
      </w:r>
      <w:r w:rsidR="00B719CD">
        <w:t>,</w:t>
      </w:r>
      <w:r w:rsidR="00826A51">
        <w:t xml:space="preserve"> </w:t>
      </w:r>
      <w:r w:rsidR="00CC643A">
        <w:t xml:space="preserve">for example, </w:t>
      </w:r>
      <w:r w:rsidR="00826A51">
        <w:t>the role</w:t>
      </w:r>
      <w:r w:rsidR="001B1E31">
        <w:t xml:space="preserve">, </w:t>
      </w:r>
      <w:proofErr w:type="gramStart"/>
      <w:r w:rsidR="001B1E31">
        <w:t>employment</w:t>
      </w:r>
      <w:proofErr w:type="gramEnd"/>
      <w:r w:rsidR="008D2AD8">
        <w:t xml:space="preserve"> and skills</w:t>
      </w:r>
      <w:r w:rsidR="001B1E31">
        <w:t xml:space="preserve"> </w:t>
      </w:r>
      <w:r w:rsidR="008D2AD8">
        <w:t>deficiencies of Architects</w:t>
      </w:r>
      <w:r w:rsidR="00A6419C">
        <w:t xml:space="preserve">. </w:t>
      </w:r>
      <w:r w:rsidR="0049654F">
        <w:t xml:space="preserve">It will also include a review of </w:t>
      </w:r>
      <w:r w:rsidR="00D679F7">
        <w:t xml:space="preserve">negligence/failures in the architectural profession, </w:t>
      </w:r>
      <w:r w:rsidR="00CE55F3">
        <w:t>to assess wh</w:t>
      </w:r>
      <w:r w:rsidR="001C55BA">
        <w:t>y they have occurred</w:t>
      </w:r>
      <w:r w:rsidR="00D679F7">
        <w:t>;</w:t>
      </w:r>
    </w:p>
    <w:p w14:paraId="0470B681" w14:textId="5911163E" w:rsidR="00074FB2" w:rsidRDefault="00327DA6" w:rsidP="00074FB2">
      <w:pPr>
        <w:pStyle w:val="ListParagraph"/>
        <w:numPr>
          <w:ilvl w:val="0"/>
          <w:numId w:val="2"/>
        </w:numPr>
      </w:pPr>
      <w:r>
        <w:t xml:space="preserve">Deliver </w:t>
      </w:r>
      <w:r w:rsidR="00074FB2">
        <w:t xml:space="preserve">robust research with stakeholders to </w:t>
      </w:r>
      <w:r w:rsidR="007513CF">
        <w:t xml:space="preserve">gather </w:t>
      </w:r>
      <w:r w:rsidR="00074FB2">
        <w:t>their perspectives</w:t>
      </w:r>
      <w:r w:rsidR="007513CF">
        <w:t>, and additional objective evidence,</w:t>
      </w:r>
      <w:r w:rsidR="00074FB2">
        <w:t xml:space="preserve"> on the Research Questions below;</w:t>
      </w:r>
    </w:p>
    <w:p w14:paraId="337C0CC5" w14:textId="0E0F2C9F" w:rsidR="00D831CB" w:rsidRDefault="00B75C06" w:rsidP="005D6215">
      <w:pPr>
        <w:pStyle w:val="ListParagraph"/>
        <w:numPr>
          <w:ilvl w:val="0"/>
          <w:numId w:val="2"/>
        </w:numPr>
        <w:spacing w:after="0"/>
      </w:pPr>
      <w:r>
        <w:t>P</w:t>
      </w:r>
      <w:r w:rsidR="005F7FA5">
        <w:t>rovide a</w:t>
      </w:r>
      <w:r w:rsidR="00C4149E">
        <w:t xml:space="preserve">n objective </w:t>
      </w:r>
      <w:r w:rsidR="00B131C9">
        <w:t>evidence base</w:t>
      </w:r>
      <w:r w:rsidR="00D62A15">
        <w:t xml:space="preserve"> to ARB</w:t>
      </w:r>
      <w:r w:rsidR="00B131C9">
        <w:t xml:space="preserve"> for the development of competencies</w:t>
      </w:r>
      <w:r w:rsidR="00797AD6">
        <w:t>; routes;</w:t>
      </w:r>
      <w:r w:rsidR="00BE6D95">
        <w:t xml:space="preserve"> standards and the regulatory </w:t>
      </w:r>
      <w:r w:rsidR="005D0E46">
        <w:t xml:space="preserve">processes </w:t>
      </w:r>
      <w:r w:rsidR="00B131C9">
        <w:t>in the next stages of the Review</w:t>
      </w:r>
      <w:r w:rsidR="0028679E">
        <w:t>.</w:t>
      </w:r>
    </w:p>
    <w:p w14:paraId="3902B736" w14:textId="77777777" w:rsidR="00C4149E" w:rsidRDefault="00C4149E" w:rsidP="00534AC5">
      <w:pPr>
        <w:pStyle w:val="Heading3"/>
      </w:pPr>
    </w:p>
    <w:p w14:paraId="383B5DB2" w14:textId="77777777" w:rsidR="0055068C" w:rsidRDefault="006B3A8F" w:rsidP="00534AC5">
      <w:pPr>
        <w:pStyle w:val="Heading3"/>
      </w:pPr>
      <w:r>
        <w:t>ARB</w:t>
      </w:r>
      <w:r w:rsidR="009559A5">
        <w:t xml:space="preserve"> stakeholder</w:t>
      </w:r>
      <w:r>
        <w:t>s</w:t>
      </w:r>
    </w:p>
    <w:p w14:paraId="58864FA7" w14:textId="77777777" w:rsidR="002E7E54" w:rsidRDefault="002E7E54" w:rsidP="002E7E54">
      <w:proofErr w:type="gramStart"/>
      <w:r>
        <w:t>ARB wish</w:t>
      </w:r>
      <w:proofErr w:type="gramEnd"/>
      <w:r>
        <w:t xml:space="preserve"> to engage with a number of different stakeholder </w:t>
      </w:r>
      <w:r w:rsidR="00AA6CE3">
        <w:t>groups</w:t>
      </w:r>
      <w:r w:rsidR="003134E3">
        <w:t xml:space="preserve"> across the UK</w:t>
      </w:r>
      <w:r w:rsidR="00AA6CE3">
        <w:t xml:space="preserve"> to inform the evidence base, gaining a </w:t>
      </w:r>
      <w:r w:rsidR="0029430D">
        <w:t>broad per</w:t>
      </w:r>
      <w:r w:rsidR="008B6C69">
        <w:t>s</w:t>
      </w:r>
      <w:r w:rsidR="0029430D">
        <w:t>pe</w:t>
      </w:r>
      <w:r w:rsidR="008B6C69">
        <w:t>c</w:t>
      </w:r>
      <w:r w:rsidR="0029430D">
        <w:t xml:space="preserve">tive </w:t>
      </w:r>
      <w:r w:rsidR="00FD3201">
        <w:t>to inform the evidence base. This includes:</w:t>
      </w:r>
    </w:p>
    <w:p w14:paraId="33AA9947" w14:textId="77777777" w:rsidR="00225CEC" w:rsidRDefault="00225CEC" w:rsidP="00530DB9">
      <w:pPr>
        <w:pStyle w:val="ListParagraph"/>
        <w:numPr>
          <w:ilvl w:val="0"/>
          <w:numId w:val="7"/>
        </w:numPr>
      </w:pPr>
      <w:r>
        <w:t>Architects Registration Board members</w:t>
      </w:r>
    </w:p>
    <w:p w14:paraId="32C709F1" w14:textId="77777777" w:rsidR="00225CEC" w:rsidRDefault="002D1A19" w:rsidP="00530DB9">
      <w:pPr>
        <w:pStyle w:val="ListParagraph"/>
        <w:numPr>
          <w:ilvl w:val="0"/>
          <w:numId w:val="7"/>
        </w:numPr>
      </w:pPr>
      <w:r>
        <w:t>Architects</w:t>
      </w:r>
      <w:r w:rsidR="00737669">
        <w:t xml:space="preserve"> </w:t>
      </w:r>
    </w:p>
    <w:p w14:paraId="18D53187" w14:textId="77777777" w:rsidR="002D1A19" w:rsidRDefault="00225CEC" w:rsidP="00530DB9">
      <w:pPr>
        <w:pStyle w:val="ListParagraph"/>
        <w:numPr>
          <w:ilvl w:val="0"/>
          <w:numId w:val="7"/>
        </w:numPr>
      </w:pPr>
      <w:r>
        <w:t>A</w:t>
      </w:r>
      <w:r w:rsidR="00737669">
        <w:t>rchitect practices</w:t>
      </w:r>
      <w:r w:rsidR="00945242">
        <w:t xml:space="preserve"> </w:t>
      </w:r>
      <w:r w:rsidR="00D5590B">
        <w:t xml:space="preserve">and other </w:t>
      </w:r>
      <w:r w:rsidR="00945242">
        <w:t>employers</w:t>
      </w:r>
      <w:r w:rsidR="00D5590B">
        <w:t xml:space="preserve"> of architects</w:t>
      </w:r>
    </w:p>
    <w:p w14:paraId="45D9CCC1" w14:textId="77777777" w:rsidR="002D1A19" w:rsidRDefault="00D22003" w:rsidP="00530DB9">
      <w:pPr>
        <w:pStyle w:val="ListParagraph"/>
        <w:numPr>
          <w:ilvl w:val="0"/>
          <w:numId w:val="7"/>
        </w:numPr>
      </w:pPr>
      <w:r>
        <w:t>Consumers/clients and representative bodies</w:t>
      </w:r>
    </w:p>
    <w:p w14:paraId="4F90D13E" w14:textId="68BAF62C" w:rsidR="00D22003" w:rsidRDefault="00D22003" w:rsidP="00530DB9">
      <w:pPr>
        <w:pStyle w:val="ListParagraph"/>
        <w:numPr>
          <w:ilvl w:val="0"/>
          <w:numId w:val="7"/>
        </w:numPr>
      </w:pPr>
      <w:r>
        <w:t xml:space="preserve">Higher Education </w:t>
      </w:r>
      <w:r w:rsidR="00E175FC">
        <w:t>Institutions</w:t>
      </w:r>
      <w:r>
        <w:t>/Architecture Schools</w:t>
      </w:r>
      <w:r w:rsidR="00D86BE5">
        <w:t>/</w:t>
      </w:r>
      <w:r w:rsidR="00E82185" w:rsidRPr="00E82185">
        <w:t xml:space="preserve"> </w:t>
      </w:r>
      <w:r w:rsidR="00E82185">
        <w:t>Standing Conference of Heads of Schools of Architecture/</w:t>
      </w:r>
      <w:r w:rsidR="00D86BE5">
        <w:t xml:space="preserve"> and QA bodies (e.g.</w:t>
      </w:r>
      <w:r w:rsidR="00121FB5">
        <w:t xml:space="preserve"> Office </w:t>
      </w:r>
      <w:r w:rsidR="00D86BE5">
        <w:t>for Students</w:t>
      </w:r>
      <w:r w:rsidR="00EA6DAE">
        <w:t>, QAA</w:t>
      </w:r>
      <w:r w:rsidR="00D86BE5">
        <w:t>)</w:t>
      </w:r>
    </w:p>
    <w:p w14:paraId="01B81C28" w14:textId="77777777" w:rsidR="00D22003" w:rsidRDefault="00174F97" w:rsidP="00530DB9">
      <w:pPr>
        <w:pStyle w:val="ListParagraph"/>
        <w:numPr>
          <w:ilvl w:val="0"/>
          <w:numId w:val="7"/>
        </w:numPr>
      </w:pPr>
      <w:r>
        <w:t>Students and graduates</w:t>
      </w:r>
    </w:p>
    <w:p w14:paraId="0F1CDBD6" w14:textId="77777777" w:rsidR="005E2954" w:rsidRDefault="005E2954" w:rsidP="00530DB9">
      <w:pPr>
        <w:pStyle w:val="ListParagraph"/>
        <w:numPr>
          <w:ilvl w:val="0"/>
          <w:numId w:val="7"/>
        </w:numPr>
      </w:pPr>
      <w:r>
        <w:t>Professional bodies across the sector</w:t>
      </w:r>
      <w:r w:rsidR="001A31DA">
        <w:t xml:space="preserve"> and </w:t>
      </w:r>
      <w:r w:rsidR="00CA7F0A">
        <w:t>a</w:t>
      </w:r>
      <w:r w:rsidR="001A31DA">
        <w:t xml:space="preserve">llied disciplines, </w:t>
      </w:r>
      <w:r w:rsidR="00CA7F0A">
        <w:t>(</w:t>
      </w:r>
      <w:r w:rsidR="001A31DA">
        <w:t xml:space="preserve">e.g. </w:t>
      </w:r>
      <w:r w:rsidR="003134E3">
        <w:t xml:space="preserve">RIBA, </w:t>
      </w:r>
      <w:r w:rsidR="00CA7F0A">
        <w:t xml:space="preserve">RICS, </w:t>
      </w:r>
      <w:r w:rsidR="00CA7F0A" w:rsidRPr="00CA7F0A">
        <w:t>Royal Town Planning Institute</w:t>
      </w:r>
      <w:r w:rsidR="00CA7F0A">
        <w:t>)</w:t>
      </w:r>
    </w:p>
    <w:p w14:paraId="612A6826" w14:textId="1B26C263" w:rsidR="00174F97" w:rsidRDefault="00495167" w:rsidP="00530DB9">
      <w:pPr>
        <w:pStyle w:val="ListParagraph"/>
        <w:numPr>
          <w:ilvl w:val="0"/>
          <w:numId w:val="7"/>
        </w:numPr>
      </w:pPr>
      <w:r>
        <w:t xml:space="preserve">Other stakeholders, such as </w:t>
      </w:r>
      <w:r w:rsidR="00174F97">
        <w:t>Government</w:t>
      </w:r>
      <w:r w:rsidR="00530DB9">
        <w:t xml:space="preserve"> and associated bodies </w:t>
      </w:r>
      <w:r w:rsidR="000563BD">
        <w:t>(e.g.</w:t>
      </w:r>
      <w:r w:rsidR="00985E99">
        <w:t xml:space="preserve"> </w:t>
      </w:r>
      <w:r w:rsidR="00530DB9">
        <w:t>Institute for Apprenticeships</w:t>
      </w:r>
      <w:r w:rsidR="003134E3">
        <w:t xml:space="preserve"> and Technical Education</w:t>
      </w:r>
      <w:r w:rsidR="000563BD">
        <w:t>)</w:t>
      </w:r>
      <w:r w:rsidR="00530DB9">
        <w:t xml:space="preserve"> and</w:t>
      </w:r>
      <w:r w:rsidR="002E065E">
        <w:t xml:space="preserve"> Professional Regulatory Bodies. e.g., General Medical Council </w:t>
      </w:r>
    </w:p>
    <w:p w14:paraId="32EA6E9E" w14:textId="77777777" w:rsidR="00174F97" w:rsidRDefault="00174F97" w:rsidP="00530DB9">
      <w:pPr>
        <w:pStyle w:val="ListParagraph"/>
        <w:numPr>
          <w:ilvl w:val="0"/>
          <w:numId w:val="7"/>
        </w:numPr>
      </w:pPr>
      <w:r>
        <w:t>Insurance industry</w:t>
      </w:r>
    </w:p>
    <w:p w14:paraId="66A2840E" w14:textId="2B07C0C4" w:rsidR="00174F97" w:rsidRDefault="0072043C" w:rsidP="00530DB9">
      <w:pPr>
        <w:pStyle w:val="ListParagraph"/>
        <w:numPr>
          <w:ilvl w:val="0"/>
          <w:numId w:val="7"/>
        </w:numPr>
      </w:pPr>
      <w:r>
        <w:t>Special Interest Groups</w:t>
      </w:r>
      <w:r w:rsidR="00312066">
        <w:t xml:space="preserve"> across the UK</w:t>
      </w:r>
      <w:r>
        <w:t xml:space="preserve">, e.g. Historic England; </w:t>
      </w:r>
      <w:proofErr w:type="spellStart"/>
      <w:r w:rsidR="0023428C">
        <w:t>Cadw</w:t>
      </w:r>
      <w:proofErr w:type="spellEnd"/>
      <w:r w:rsidR="00312066">
        <w:t>; Conversation UK;</w:t>
      </w:r>
      <w:r w:rsidR="00EB4790">
        <w:t xml:space="preserve"> Shelter</w:t>
      </w:r>
      <w:r w:rsidR="00F72C4A">
        <w:t>; Build Offsite</w:t>
      </w:r>
      <w:r w:rsidR="002E065E">
        <w:t xml:space="preserve"> and</w:t>
      </w:r>
      <w:r w:rsidR="00985E99">
        <w:t xml:space="preserve"> </w:t>
      </w:r>
      <w:r w:rsidR="00F72C4A">
        <w:t>CITB</w:t>
      </w:r>
    </w:p>
    <w:p w14:paraId="03B0F311" w14:textId="77777777" w:rsidR="00B83B6C" w:rsidRDefault="00B83B6C" w:rsidP="00530DB9">
      <w:pPr>
        <w:pStyle w:val="ListParagraph"/>
        <w:numPr>
          <w:ilvl w:val="0"/>
          <w:numId w:val="7"/>
        </w:numPr>
      </w:pPr>
      <w:r>
        <w:t>Organisations which advocate for under-represented groups within the construction sector</w:t>
      </w:r>
    </w:p>
    <w:p w14:paraId="36698ED2" w14:textId="77777777" w:rsidR="00A11D20" w:rsidRDefault="00A11D20" w:rsidP="00A11D20">
      <w:pPr>
        <w:pStyle w:val="Heading3"/>
      </w:pPr>
      <w:r>
        <w:t>Research Questions</w:t>
      </w:r>
    </w:p>
    <w:p w14:paraId="0A98D83F" w14:textId="77777777" w:rsidR="00FC7755" w:rsidRDefault="00FC7755" w:rsidP="002E7E54">
      <w:r>
        <w:t>The research will address 3 core questions:</w:t>
      </w:r>
    </w:p>
    <w:p w14:paraId="24ACA714" w14:textId="2469F769" w:rsidR="00FC7755" w:rsidRDefault="00775033" w:rsidP="005453D4">
      <w:pPr>
        <w:numPr>
          <w:ilvl w:val="0"/>
          <w:numId w:val="21"/>
        </w:numPr>
      </w:pPr>
      <w:r>
        <w:t xml:space="preserve">What skills and competencies </w:t>
      </w:r>
      <w:r w:rsidR="00DF0F4B">
        <w:t>does a 21</w:t>
      </w:r>
      <w:r w:rsidR="00DF0F4B" w:rsidRPr="00FB367E">
        <w:rPr>
          <w:vertAlign w:val="superscript"/>
        </w:rPr>
        <w:t>st</w:t>
      </w:r>
      <w:r w:rsidR="00DF0F4B">
        <w:t xml:space="preserve"> century </w:t>
      </w:r>
      <w:proofErr w:type="gramStart"/>
      <w:r w:rsidR="00DF0F4B">
        <w:t xml:space="preserve">architect </w:t>
      </w:r>
      <w:r>
        <w:t xml:space="preserve"> require</w:t>
      </w:r>
      <w:proofErr w:type="gramEnd"/>
      <w:r w:rsidR="005453D4">
        <w:t>?</w:t>
      </w:r>
    </w:p>
    <w:p w14:paraId="0E927AF7" w14:textId="77777777" w:rsidR="00775033" w:rsidRDefault="005453D4" w:rsidP="005453D4">
      <w:pPr>
        <w:numPr>
          <w:ilvl w:val="0"/>
          <w:numId w:val="21"/>
        </w:numPr>
      </w:pPr>
      <w:r>
        <w:t>How should those competencies be obtained</w:t>
      </w:r>
      <w:r w:rsidR="006A71C5">
        <w:t xml:space="preserve"> and </w:t>
      </w:r>
      <w:r w:rsidR="00985E99">
        <w:t>demonstrated</w:t>
      </w:r>
      <w:r>
        <w:t>?</w:t>
      </w:r>
    </w:p>
    <w:p w14:paraId="24842143" w14:textId="77777777" w:rsidR="005453D4" w:rsidRDefault="005453D4" w:rsidP="005453D4">
      <w:pPr>
        <w:numPr>
          <w:ilvl w:val="0"/>
          <w:numId w:val="21"/>
        </w:numPr>
      </w:pPr>
      <w:r>
        <w:t>How should competencies be maintained</w:t>
      </w:r>
      <w:r w:rsidR="001A5D63">
        <w:t xml:space="preserve"> and demonstrated</w:t>
      </w:r>
      <w:r>
        <w:t>?</w:t>
      </w:r>
    </w:p>
    <w:p w14:paraId="7BFCBE69" w14:textId="77777777" w:rsidR="00FD3201" w:rsidRPr="002E7E54" w:rsidRDefault="009A5A19" w:rsidP="002E7E54">
      <w:r>
        <w:t xml:space="preserve">The following is an </w:t>
      </w:r>
      <w:proofErr w:type="spellStart"/>
      <w:r>
        <w:t>inexhausti</w:t>
      </w:r>
      <w:r w:rsidR="00C239D0">
        <w:t>v</w:t>
      </w:r>
      <w:r>
        <w:t>e</w:t>
      </w:r>
      <w:proofErr w:type="spellEnd"/>
      <w:r>
        <w:t xml:space="preserve"> list of </w:t>
      </w:r>
      <w:r w:rsidR="00FC7755">
        <w:t xml:space="preserve">detailed </w:t>
      </w:r>
      <w:r>
        <w:t>questions to consider in the design of the research.</w:t>
      </w:r>
      <w:r w:rsidR="0060292E">
        <w:t xml:space="preserve"> </w:t>
      </w:r>
      <w:r w:rsidR="006D6025">
        <w:t xml:space="preserve">It is not expected that all stakeholder groups will </w:t>
      </w:r>
      <w:r w:rsidR="00D16A8D">
        <w:t>b</w:t>
      </w:r>
      <w:r w:rsidR="006D6025">
        <w:t>e asked the same quest</w:t>
      </w:r>
      <w:r w:rsidR="0060292E">
        <w:t>i</w:t>
      </w:r>
      <w:r w:rsidR="006D6025">
        <w:t>ons</w:t>
      </w:r>
      <w:r w:rsidR="00D16A8D">
        <w:t>,</w:t>
      </w:r>
      <w:r>
        <w:t xml:space="preserve"> </w:t>
      </w:r>
      <w:r w:rsidR="0060292E">
        <w:t>or to the same depth</w:t>
      </w:r>
      <w:proofErr w:type="gramStart"/>
      <w:r w:rsidR="0060292E">
        <w:t xml:space="preserve">, </w:t>
      </w:r>
      <w:r w:rsidR="00C239D0">
        <w:t xml:space="preserve"> but</w:t>
      </w:r>
      <w:proofErr w:type="gramEnd"/>
      <w:r w:rsidR="00C239D0">
        <w:t xml:space="preserve"> this represents key questions ARB wish to address in this research.</w:t>
      </w:r>
    </w:p>
    <w:p w14:paraId="2A21AF64" w14:textId="77777777" w:rsidR="00A70975" w:rsidRPr="001217C4" w:rsidRDefault="00A70975" w:rsidP="00A41286">
      <w:pPr>
        <w:numPr>
          <w:ilvl w:val="0"/>
          <w:numId w:val="0"/>
        </w:numPr>
        <w:ind w:left="360"/>
        <w:rPr>
          <w:u w:val="single"/>
        </w:rPr>
      </w:pPr>
      <w:r w:rsidRPr="001217C4">
        <w:rPr>
          <w:u w:val="single"/>
        </w:rPr>
        <w:lastRenderedPageBreak/>
        <w:t xml:space="preserve">Part A: </w:t>
      </w:r>
      <w:r>
        <w:rPr>
          <w:u w:val="single"/>
        </w:rPr>
        <w:t>Competences of an architect</w:t>
      </w:r>
    </w:p>
    <w:p w14:paraId="695262DF" w14:textId="3BFC3D85" w:rsidR="00A70975" w:rsidRDefault="00A70975" w:rsidP="00A70975">
      <w:pPr>
        <w:pStyle w:val="ListParagraph"/>
        <w:numPr>
          <w:ilvl w:val="0"/>
          <w:numId w:val="5"/>
        </w:numPr>
      </w:pPr>
      <w:r>
        <w:t xml:space="preserve">What is the role and function </w:t>
      </w:r>
      <w:r w:rsidR="002D152F">
        <w:t xml:space="preserve">of </w:t>
      </w:r>
      <w:r>
        <w:t xml:space="preserve">an architect? </w:t>
      </w:r>
    </w:p>
    <w:p w14:paraId="18A7F329" w14:textId="77777777" w:rsidR="00A70975" w:rsidRDefault="00A70975" w:rsidP="00A70975">
      <w:pPr>
        <w:pStyle w:val="ListParagraph"/>
        <w:numPr>
          <w:ilvl w:val="0"/>
          <w:numId w:val="5"/>
        </w:numPr>
      </w:pPr>
      <w:r>
        <w:t>What are the key competences that an architect should have today?</w:t>
      </w:r>
    </w:p>
    <w:p w14:paraId="7E281FD1" w14:textId="77777777" w:rsidR="00A70975" w:rsidRDefault="00A70975" w:rsidP="00A70975">
      <w:pPr>
        <w:pStyle w:val="ListParagraph"/>
        <w:numPr>
          <w:ilvl w:val="0"/>
          <w:numId w:val="5"/>
        </w:numPr>
      </w:pPr>
      <w:r>
        <w:t>What new competences are likely to be required in the next 30 years?</w:t>
      </w:r>
    </w:p>
    <w:p w14:paraId="64599068" w14:textId="77777777" w:rsidR="00A70975" w:rsidRDefault="00A70975" w:rsidP="00A70975">
      <w:pPr>
        <w:pStyle w:val="ListParagraph"/>
        <w:numPr>
          <w:ilvl w:val="0"/>
          <w:numId w:val="5"/>
        </w:numPr>
      </w:pPr>
      <w:r>
        <w:t>Will the current Criteria provide those competences?</w:t>
      </w:r>
    </w:p>
    <w:p w14:paraId="5B05CCCE" w14:textId="77777777" w:rsidR="00A70975" w:rsidRDefault="00A70975" w:rsidP="00A70975">
      <w:pPr>
        <w:pStyle w:val="ListParagraph"/>
        <w:numPr>
          <w:ilvl w:val="0"/>
          <w:numId w:val="5"/>
        </w:numPr>
      </w:pPr>
      <w:r>
        <w:t>Are the current Criteria sufficiently detailed to ensure consistency in skills and knowledge of architects?</w:t>
      </w:r>
    </w:p>
    <w:p w14:paraId="088EF1AD" w14:textId="77777777" w:rsidR="00A70975" w:rsidRDefault="00A70975" w:rsidP="00A70975">
      <w:pPr>
        <w:pStyle w:val="ListParagraph"/>
        <w:numPr>
          <w:ilvl w:val="0"/>
          <w:numId w:val="5"/>
        </w:numPr>
      </w:pPr>
      <w:r>
        <w:t>What skills and knowledge are lacking currently in the profession?</w:t>
      </w:r>
    </w:p>
    <w:p w14:paraId="6EDA3078" w14:textId="77777777" w:rsidR="00A70975" w:rsidRDefault="00A70975" w:rsidP="00A70975">
      <w:pPr>
        <w:pStyle w:val="ListParagraph"/>
        <w:numPr>
          <w:ilvl w:val="0"/>
          <w:numId w:val="5"/>
        </w:numPr>
      </w:pPr>
      <w:r>
        <w:t>When do/should architects accede to other specialist building professionals?</w:t>
      </w:r>
    </w:p>
    <w:p w14:paraId="43825565" w14:textId="77777777" w:rsidR="00A70975" w:rsidRDefault="00A70975" w:rsidP="00A70975">
      <w:pPr>
        <w:pStyle w:val="ListParagraph"/>
        <w:numPr>
          <w:ilvl w:val="0"/>
          <w:numId w:val="5"/>
        </w:numPr>
      </w:pPr>
      <w:r>
        <w:t>Should architects be held to a higher ethical standard than others in the construction industry?</w:t>
      </w:r>
    </w:p>
    <w:p w14:paraId="7A12C972" w14:textId="77777777" w:rsidR="00A70975" w:rsidRDefault="00A70975" w:rsidP="00A70975">
      <w:pPr>
        <w:pStyle w:val="ListParagraph"/>
        <w:numPr>
          <w:ilvl w:val="0"/>
          <w:numId w:val="5"/>
        </w:numPr>
      </w:pPr>
      <w:r>
        <w:t>What are the key ethical qualities required of an architect?</w:t>
      </w:r>
    </w:p>
    <w:p w14:paraId="3DC71EBD" w14:textId="77777777" w:rsidR="00A70975" w:rsidRDefault="00A70975" w:rsidP="00A70975">
      <w:pPr>
        <w:pStyle w:val="ListParagraph"/>
        <w:numPr>
          <w:ilvl w:val="0"/>
          <w:numId w:val="5"/>
        </w:numPr>
      </w:pPr>
      <w:r>
        <w:t>What are the consequences of failings by architects in the current regulatory landscape?</w:t>
      </w:r>
    </w:p>
    <w:p w14:paraId="1AF30A1C" w14:textId="77777777" w:rsidR="00A70975" w:rsidRDefault="00A70975" w:rsidP="00A70975">
      <w:pPr>
        <w:pStyle w:val="ListParagraph"/>
        <w:numPr>
          <w:ilvl w:val="0"/>
          <w:numId w:val="5"/>
        </w:numPr>
      </w:pPr>
      <w:r>
        <w:t>Would the public interest benefit from restriction of function, or introducing reserved activities?</w:t>
      </w:r>
    </w:p>
    <w:p w14:paraId="78D798A7" w14:textId="77777777" w:rsidR="00A70975" w:rsidRDefault="00A70975" w:rsidP="00A70975">
      <w:pPr>
        <w:pStyle w:val="ListParagraph"/>
        <w:numPr>
          <w:ilvl w:val="0"/>
          <w:numId w:val="5"/>
        </w:numPr>
      </w:pPr>
      <w:r>
        <w:t>How should architects maintain and develop their competence?</w:t>
      </w:r>
    </w:p>
    <w:p w14:paraId="02083FA0" w14:textId="77777777" w:rsidR="00A70975" w:rsidRDefault="00A70975" w:rsidP="00A70975">
      <w:pPr>
        <w:pStyle w:val="ListParagraph"/>
        <w:numPr>
          <w:ilvl w:val="0"/>
          <w:numId w:val="5"/>
        </w:numPr>
      </w:pPr>
      <w:r>
        <w:t>Should maintenance of competence be a requirement of continued registration?</w:t>
      </w:r>
    </w:p>
    <w:p w14:paraId="117D8178" w14:textId="77777777" w:rsidR="00A70975" w:rsidRDefault="00A70975" w:rsidP="00A70975">
      <w:pPr>
        <w:pStyle w:val="ListParagraph"/>
        <w:numPr>
          <w:ilvl w:val="0"/>
          <w:numId w:val="5"/>
        </w:numPr>
      </w:pPr>
      <w:r>
        <w:t>How should the maintenance of competence be monitored?</w:t>
      </w:r>
    </w:p>
    <w:p w14:paraId="16DC8FBF" w14:textId="77777777" w:rsidR="00A70975" w:rsidRDefault="00A70975" w:rsidP="00B06A79">
      <w:pPr>
        <w:numPr>
          <w:ilvl w:val="0"/>
          <w:numId w:val="0"/>
        </w:numPr>
        <w:ind w:left="720" w:hanging="360"/>
        <w:rPr>
          <w:u w:val="single"/>
        </w:rPr>
      </w:pPr>
      <w:r w:rsidRPr="006E0EB0">
        <w:rPr>
          <w:u w:val="single"/>
        </w:rPr>
        <w:t>Part B: Routes to Registration</w:t>
      </w:r>
    </w:p>
    <w:p w14:paraId="268350E1" w14:textId="77777777" w:rsidR="00A70975" w:rsidRDefault="00A70975" w:rsidP="00A70975">
      <w:pPr>
        <w:pStyle w:val="ListParagraph"/>
        <w:numPr>
          <w:ilvl w:val="0"/>
          <w:numId w:val="6"/>
        </w:numPr>
      </w:pPr>
      <w:r>
        <w:t>Should the primary UK route to registration be through University education and practical experience?</w:t>
      </w:r>
    </w:p>
    <w:p w14:paraId="16C28DF3" w14:textId="77777777" w:rsidR="00A70975" w:rsidRDefault="00A70975" w:rsidP="00A70975">
      <w:pPr>
        <w:pStyle w:val="ListParagraph"/>
        <w:numPr>
          <w:ilvl w:val="0"/>
          <w:numId w:val="6"/>
        </w:numPr>
      </w:pPr>
      <w:r>
        <w:t>What other appropriate routes to the Register might there be?</w:t>
      </w:r>
    </w:p>
    <w:p w14:paraId="40CC5E52" w14:textId="77777777" w:rsidR="00A70975" w:rsidRDefault="00A70975" w:rsidP="00A70975">
      <w:pPr>
        <w:pStyle w:val="ListParagraph"/>
        <w:numPr>
          <w:ilvl w:val="0"/>
          <w:numId w:val="6"/>
        </w:numPr>
      </w:pPr>
      <w:r>
        <w:t>Are the current UK routes to registration discriminatory?</w:t>
      </w:r>
    </w:p>
    <w:p w14:paraId="7B4B4EB8" w14:textId="77777777" w:rsidR="00A70975" w:rsidRDefault="00A70975" w:rsidP="00A70975">
      <w:pPr>
        <w:pStyle w:val="ListParagraph"/>
        <w:numPr>
          <w:ilvl w:val="0"/>
          <w:numId w:val="6"/>
        </w:numPr>
      </w:pPr>
      <w:r>
        <w:t>How could access to the Register be made fairer?</w:t>
      </w:r>
    </w:p>
    <w:p w14:paraId="1317EE5E" w14:textId="77777777" w:rsidR="00A70975" w:rsidRDefault="00A70975" w:rsidP="00A70975">
      <w:pPr>
        <w:pStyle w:val="ListParagraph"/>
        <w:numPr>
          <w:ilvl w:val="0"/>
          <w:numId w:val="6"/>
        </w:numPr>
      </w:pPr>
      <w:r>
        <w:t>Is seven years an appropriate period of education and training before gaining access to the Register?</w:t>
      </w:r>
    </w:p>
    <w:p w14:paraId="18205A00" w14:textId="77777777" w:rsidR="00A70975" w:rsidRDefault="00A70975" w:rsidP="00A70975">
      <w:pPr>
        <w:pStyle w:val="ListParagraph"/>
        <w:numPr>
          <w:ilvl w:val="0"/>
          <w:numId w:val="6"/>
        </w:numPr>
      </w:pPr>
      <w:r>
        <w:t>How could it be made shorter?</w:t>
      </w:r>
    </w:p>
    <w:p w14:paraId="2C298147" w14:textId="77777777" w:rsidR="00A70975" w:rsidRDefault="00A70975" w:rsidP="00A70975">
      <w:pPr>
        <w:pStyle w:val="ListParagraph"/>
        <w:numPr>
          <w:ilvl w:val="0"/>
          <w:numId w:val="6"/>
        </w:numPr>
      </w:pPr>
      <w:r>
        <w:t>Should the UK route to registration align with international routes? Should the standard required be the same, or higher?</w:t>
      </w:r>
    </w:p>
    <w:p w14:paraId="4F513B03" w14:textId="77777777" w:rsidR="00A70975" w:rsidRDefault="00A70975" w:rsidP="00A70975">
      <w:pPr>
        <w:pStyle w:val="ListParagraph"/>
        <w:numPr>
          <w:ilvl w:val="0"/>
          <w:numId w:val="6"/>
        </w:numPr>
      </w:pPr>
      <w:r>
        <w:t>What standard should overseas architects have to meet in order to be registered if they immigrate from a jurisdiction with differing requirements?</w:t>
      </w:r>
    </w:p>
    <w:p w14:paraId="7A51C118" w14:textId="77777777" w:rsidR="00A70975" w:rsidRDefault="00A70975" w:rsidP="00A70975">
      <w:pPr>
        <w:pStyle w:val="ListParagraph"/>
        <w:numPr>
          <w:ilvl w:val="0"/>
          <w:numId w:val="6"/>
        </w:numPr>
      </w:pPr>
      <w:r>
        <w:t>Should knowledge of UK practice be tested before allowing overseas architects access to the UK Register?</w:t>
      </w:r>
    </w:p>
    <w:p w14:paraId="2D69C236" w14:textId="77777777" w:rsidR="00A70975" w:rsidRPr="00447AB8" w:rsidRDefault="00A70975" w:rsidP="00A70975">
      <w:pPr>
        <w:pStyle w:val="ListParagraph"/>
        <w:numPr>
          <w:ilvl w:val="0"/>
          <w:numId w:val="6"/>
        </w:numPr>
      </w:pPr>
      <w:r>
        <w:t>Should an undergraduate qualification in design be a requirement for registration?</w:t>
      </w:r>
    </w:p>
    <w:p w14:paraId="4D4C5B45" w14:textId="77777777" w:rsidR="00A70975" w:rsidRDefault="00A70975" w:rsidP="00A70975">
      <w:pPr>
        <w:pStyle w:val="ListParagraph"/>
        <w:numPr>
          <w:ilvl w:val="0"/>
          <w:numId w:val="6"/>
        </w:numPr>
      </w:pPr>
      <w:r>
        <w:t>What might the costs of any changes to the registration process be? What would be the regulatory implications?</w:t>
      </w:r>
    </w:p>
    <w:p w14:paraId="0556551D" w14:textId="77777777" w:rsidR="0026717C" w:rsidRDefault="0026717C" w:rsidP="0026717C">
      <w:pPr>
        <w:pStyle w:val="Heading1"/>
      </w:pPr>
      <w:r>
        <w:t xml:space="preserve">Methodology </w:t>
      </w:r>
    </w:p>
    <w:p w14:paraId="72BA8CC5" w14:textId="65D40824" w:rsidR="00173772" w:rsidRPr="00505256" w:rsidRDefault="002E673C" w:rsidP="00173772">
      <w:pPr>
        <w:rPr>
          <w:rFonts w:ascii="Calibri" w:hAnsi="Calibri" w:cs="Calibri"/>
          <w:b/>
          <w:bCs/>
        </w:rPr>
      </w:pPr>
      <w:r>
        <w:t>Below is a suggested approach</w:t>
      </w:r>
      <w:r w:rsidR="00743722">
        <w:t>. T</w:t>
      </w:r>
      <w:r w:rsidR="001F4E8F">
        <w:t xml:space="preserve">he tenderer is welcome to suggest alternative methodologies which meet </w:t>
      </w:r>
      <w:r w:rsidR="0026717C">
        <w:t>the objectives</w:t>
      </w:r>
      <w:r w:rsidR="00743722">
        <w:t xml:space="preserve"> </w:t>
      </w:r>
      <w:r w:rsidR="000D2554">
        <w:t>and tackle</w:t>
      </w:r>
      <w:r w:rsidR="000437C8">
        <w:t xml:space="preserve"> methodological difficulties</w:t>
      </w:r>
      <w:r w:rsidR="001F4E8F">
        <w:t xml:space="preserve">. </w:t>
      </w:r>
      <w:r w:rsidR="00173772" w:rsidRPr="00505256">
        <w:rPr>
          <w:rFonts w:ascii="Calibri" w:hAnsi="Calibri" w:cs="Calibri"/>
          <w:b/>
          <w:bCs/>
        </w:rPr>
        <w:t xml:space="preserve">In </w:t>
      </w:r>
      <w:r w:rsidR="005E5EBE" w:rsidRPr="00505256">
        <w:rPr>
          <w:rFonts w:ascii="Calibri" w:hAnsi="Calibri" w:cs="Calibri"/>
          <w:b/>
          <w:bCs/>
        </w:rPr>
        <w:t xml:space="preserve">light of the </w:t>
      </w:r>
      <w:r w:rsidR="00D77E70" w:rsidRPr="00505256">
        <w:rPr>
          <w:rFonts w:ascii="Calibri" w:hAnsi="Calibri" w:cs="Calibri"/>
          <w:b/>
          <w:bCs/>
        </w:rPr>
        <w:t>Coron</w:t>
      </w:r>
      <w:r w:rsidR="00883B83">
        <w:rPr>
          <w:rFonts w:ascii="Calibri" w:hAnsi="Calibri" w:cs="Calibri"/>
          <w:b/>
          <w:bCs/>
        </w:rPr>
        <w:t>a</w:t>
      </w:r>
      <w:r w:rsidR="00D77E70" w:rsidRPr="00505256">
        <w:rPr>
          <w:rFonts w:ascii="Calibri" w:hAnsi="Calibri" w:cs="Calibri"/>
          <w:b/>
          <w:bCs/>
        </w:rPr>
        <w:t>virus pandemic</w:t>
      </w:r>
      <w:r w:rsidR="00173772" w:rsidRPr="00505256">
        <w:rPr>
          <w:rFonts w:ascii="Calibri" w:hAnsi="Calibri" w:cs="Calibri"/>
          <w:b/>
          <w:bCs/>
        </w:rPr>
        <w:t xml:space="preserve">, we recognise that undertaking face to face research, either one to one or in focus groups, may be impossible or at least undesirable, and that there are challenges of costing a research project, where at least some face to face discussion </w:t>
      </w:r>
      <w:r w:rsidR="005D03D3" w:rsidRPr="00505256">
        <w:rPr>
          <w:rFonts w:ascii="Calibri" w:hAnsi="Calibri" w:cs="Calibri"/>
          <w:b/>
          <w:bCs/>
        </w:rPr>
        <w:t xml:space="preserve">is </w:t>
      </w:r>
      <w:r w:rsidR="00173772" w:rsidRPr="00505256">
        <w:rPr>
          <w:rFonts w:ascii="Calibri" w:hAnsi="Calibri" w:cs="Calibri"/>
          <w:b/>
          <w:bCs/>
        </w:rPr>
        <w:t xml:space="preserve">desirable. If possible, please provide estimates for where some face to face research is possible and where not. Details will </w:t>
      </w:r>
      <w:r w:rsidR="00173772" w:rsidRPr="00505256">
        <w:rPr>
          <w:rFonts w:ascii="Calibri" w:hAnsi="Calibri" w:cs="Calibri"/>
          <w:b/>
          <w:bCs/>
        </w:rPr>
        <w:lastRenderedPageBreak/>
        <w:t>be discussed with the Supplier throughout the project</w:t>
      </w:r>
      <w:r w:rsidR="00505256" w:rsidRPr="00505256">
        <w:rPr>
          <w:rFonts w:ascii="Calibri" w:hAnsi="Calibri" w:cs="Calibri"/>
          <w:b/>
          <w:bCs/>
        </w:rPr>
        <w:t xml:space="preserve"> as the situation evolves over the coming months</w:t>
      </w:r>
      <w:r w:rsidR="00173772" w:rsidRPr="00505256">
        <w:rPr>
          <w:rFonts w:ascii="Calibri" w:hAnsi="Calibri" w:cs="Calibri"/>
          <w:b/>
          <w:bCs/>
        </w:rPr>
        <w:t>.</w:t>
      </w:r>
    </w:p>
    <w:p w14:paraId="3442E888" w14:textId="77777777" w:rsidR="0026717C" w:rsidRDefault="0026717C" w:rsidP="0097094D">
      <w:pPr>
        <w:numPr>
          <w:ilvl w:val="0"/>
          <w:numId w:val="0"/>
        </w:numPr>
      </w:pPr>
      <w:r w:rsidRPr="00F53984">
        <w:rPr>
          <w:rStyle w:val="Heading2Char"/>
        </w:rPr>
        <w:t>Literature Review</w:t>
      </w:r>
      <w:r>
        <w:t xml:space="preserve"> </w:t>
      </w:r>
      <w:r w:rsidR="00CF0384" w:rsidRPr="00CF0384">
        <w:rPr>
          <w:rStyle w:val="Heading2Char"/>
        </w:rPr>
        <w:t>and data analysis</w:t>
      </w:r>
    </w:p>
    <w:p w14:paraId="05DF7550" w14:textId="70B4B745" w:rsidR="004D081F" w:rsidRPr="00891937" w:rsidRDefault="00866497" w:rsidP="0026717C">
      <w:r w:rsidRPr="00891937">
        <w:t>To complement the literature review being conducted by ARB,</w:t>
      </w:r>
      <w:r w:rsidR="000C3658">
        <w:t xml:space="preserve"> and as</w:t>
      </w:r>
      <w:r w:rsidRPr="00891937">
        <w:t xml:space="preserve"> </w:t>
      </w:r>
      <w:r w:rsidR="00481337" w:rsidRPr="00891937">
        <w:t xml:space="preserve">described </w:t>
      </w:r>
      <w:r w:rsidR="000C3658" w:rsidRPr="009426B2">
        <w:t>in paragraph</w:t>
      </w:r>
      <w:r w:rsidR="00172A5D" w:rsidRPr="009426B2">
        <w:t xml:space="preserve"> </w:t>
      </w:r>
      <w:r w:rsidR="000C3658" w:rsidRPr="009426B2">
        <w:t>1</w:t>
      </w:r>
      <w:r w:rsidR="00172A5D" w:rsidRPr="009426B2">
        <w:t>6</w:t>
      </w:r>
      <w:r w:rsidR="00F16287" w:rsidRPr="009426B2">
        <w:t>, the Supplier will conduct a review of literature</w:t>
      </w:r>
      <w:r w:rsidR="00780267" w:rsidRPr="009426B2">
        <w:t xml:space="preserve"> and data analysis</w:t>
      </w:r>
      <w:r w:rsidR="00F16287" w:rsidRPr="009426B2">
        <w:t xml:space="preserve"> </w:t>
      </w:r>
      <w:r w:rsidR="00D275B9" w:rsidRPr="009426B2">
        <w:t xml:space="preserve">to </w:t>
      </w:r>
      <w:r w:rsidR="00245545" w:rsidRPr="009426B2">
        <w:t>inform the Research Questions</w:t>
      </w:r>
      <w:r w:rsidR="0097094D" w:rsidRPr="009426B2">
        <w:t xml:space="preserve"> (para</w:t>
      </w:r>
      <w:r w:rsidR="00172A5D" w:rsidRPr="009426B2">
        <w:t>graph</w:t>
      </w:r>
      <w:r w:rsidR="004B25FC">
        <w:t>s 25 and</w:t>
      </w:r>
      <w:r w:rsidR="0097094D" w:rsidRPr="009426B2">
        <w:t xml:space="preserve"> </w:t>
      </w:r>
      <w:r w:rsidR="0025732A" w:rsidRPr="009426B2">
        <w:t>2</w:t>
      </w:r>
      <w:r w:rsidR="00172A5D" w:rsidRPr="009426B2">
        <w:t>6</w:t>
      </w:r>
      <w:r w:rsidR="00BA7A6A" w:rsidRPr="009426B2">
        <w:t>)</w:t>
      </w:r>
      <w:r w:rsidR="00F27AF8" w:rsidRPr="009426B2">
        <w:t>.</w:t>
      </w:r>
      <w:r w:rsidR="00BA7A6A" w:rsidRPr="009426B2">
        <w:t xml:space="preserve"> </w:t>
      </w:r>
      <w:r w:rsidR="00CC4DF2" w:rsidRPr="009426B2">
        <w:t xml:space="preserve"> This is expected to draw on existing </w:t>
      </w:r>
      <w:r w:rsidR="00DC0C8E" w:rsidRPr="009426B2">
        <w:t>subjective and objective</w:t>
      </w:r>
      <w:r w:rsidR="00DC0C8E">
        <w:t xml:space="preserve"> evidence on</w:t>
      </w:r>
      <w:r w:rsidR="004D081F" w:rsidRPr="00891937">
        <w:t>:</w:t>
      </w:r>
      <w:r w:rsidR="00444068" w:rsidRPr="00891937">
        <w:t xml:space="preserve"> </w:t>
      </w:r>
    </w:p>
    <w:p w14:paraId="68A4319C" w14:textId="2E12AB1A" w:rsidR="004D081F" w:rsidRDefault="00444068" w:rsidP="00891937">
      <w:pPr>
        <w:pStyle w:val="ListParagraph"/>
        <w:numPr>
          <w:ilvl w:val="0"/>
          <w:numId w:val="8"/>
        </w:numPr>
      </w:pPr>
      <w:r w:rsidRPr="00891937">
        <w:t xml:space="preserve">the role of Architects in the </w:t>
      </w:r>
      <w:r w:rsidR="002F3D48" w:rsidRPr="00891937">
        <w:t>UK</w:t>
      </w:r>
      <w:r w:rsidR="00DD1BAE">
        <w:t xml:space="preserve"> (drawing on sources such as</w:t>
      </w:r>
      <w:r w:rsidR="00DD1BAE" w:rsidRPr="00DD1BAE">
        <w:t xml:space="preserve"> </w:t>
      </w:r>
      <w:r w:rsidR="00DD1BAE" w:rsidRPr="00891937">
        <w:t>O*NET</w:t>
      </w:r>
      <w:r w:rsidR="00DD1BAE" w:rsidRPr="00891937">
        <w:rPr>
          <w:rStyle w:val="FootnoteReference"/>
        </w:rPr>
        <w:footnoteReference w:id="1"/>
      </w:r>
      <w:r w:rsidR="00DD1BAE">
        <w:t xml:space="preserve">, </w:t>
      </w:r>
      <w:r w:rsidR="00172A5D">
        <w:t>job vacancy data</w:t>
      </w:r>
      <w:r w:rsidR="00DC0C8E">
        <w:t xml:space="preserve"> and think</w:t>
      </w:r>
      <w:r w:rsidR="00B20F7A">
        <w:t xml:space="preserve"> </w:t>
      </w:r>
      <w:r w:rsidR="00DC0C8E">
        <w:t>pieces</w:t>
      </w:r>
      <w:r w:rsidR="00DD1BAE">
        <w:t>)</w:t>
      </w:r>
      <w:r w:rsidR="00546E58" w:rsidRPr="00891937">
        <w:t>;</w:t>
      </w:r>
    </w:p>
    <w:p w14:paraId="7E102CAC" w14:textId="271CE5F0" w:rsidR="00596CB0" w:rsidRPr="00891937" w:rsidRDefault="00596CB0" w:rsidP="00891937">
      <w:pPr>
        <w:pStyle w:val="ListParagraph"/>
        <w:numPr>
          <w:ilvl w:val="0"/>
          <w:numId w:val="8"/>
        </w:numPr>
      </w:pPr>
      <w:r>
        <w:t xml:space="preserve">employment and unemployment of Architects (e.g. </w:t>
      </w:r>
      <w:r w:rsidR="0082481E">
        <w:t>Labour Force Survey</w:t>
      </w:r>
      <w:r w:rsidR="003D5E84">
        <w:t>);</w:t>
      </w:r>
    </w:p>
    <w:p w14:paraId="4D8EBE1E" w14:textId="77777777" w:rsidR="00546E58" w:rsidRDefault="002F3D48" w:rsidP="00891937">
      <w:pPr>
        <w:pStyle w:val="ListParagraph"/>
        <w:numPr>
          <w:ilvl w:val="0"/>
          <w:numId w:val="8"/>
        </w:numPr>
      </w:pPr>
      <w:r w:rsidRPr="00891937">
        <w:t xml:space="preserve">evidence of </w:t>
      </w:r>
      <w:r w:rsidR="003B0341" w:rsidRPr="00891937">
        <w:t>deficiencies</w:t>
      </w:r>
      <w:r w:rsidR="00982F1B" w:rsidRPr="00891937">
        <w:t xml:space="preserve"> in the skills, knowledge and behaviours of architects</w:t>
      </w:r>
      <w:r w:rsidR="00FD385B">
        <w:t xml:space="preserve"> (including evidence from available sources such as Employers Skills Survey)</w:t>
      </w:r>
      <w:r w:rsidR="00546E58" w:rsidRPr="00891937">
        <w:t>;</w:t>
      </w:r>
    </w:p>
    <w:p w14:paraId="782053A5" w14:textId="482B9CE7" w:rsidR="002333DB" w:rsidRDefault="002333DB" w:rsidP="00891937">
      <w:pPr>
        <w:pStyle w:val="ListParagraph"/>
        <w:numPr>
          <w:ilvl w:val="0"/>
          <w:numId w:val="8"/>
        </w:numPr>
      </w:pPr>
      <w:r>
        <w:t xml:space="preserve">ARB record of complaints </w:t>
      </w:r>
      <w:r w:rsidR="000955D1">
        <w:t>and outcomes</w:t>
      </w:r>
      <w:r w:rsidR="009426B2">
        <w:t xml:space="preserve"> which will be made available to the Supplier</w:t>
      </w:r>
      <w:r w:rsidR="000955D1">
        <w:t>;</w:t>
      </w:r>
    </w:p>
    <w:p w14:paraId="0B35DD7A" w14:textId="1F463742" w:rsidR="00EC2E98" w:rsidRPr="00891937" w:rsidRDefault="003A3404" w:rsidP="00891937">
      <w:pPr>
        <w:pStyle w:val="ListParagraph"/>
        <w:numPr>
          <w:ilvl w:val="0"/>
          <w:numId w:val="8"/>
        </w:numPr>
      </w:pPr>
      <w:r>
        <w:t>Data gathered from Insurers, local authorities, or other sources o</w:t>
      </w:r>
      <w:r w:rsidR="001A4EEF">
        <w:t>f</w:t>
      </w:r>
      <w:r>
        <w:t xml:space="preserve"> </w:t>
      </w:r>
      <w:r w:rsidR="001A4EEF">
        <w:t xml:space="preserve">design failures </w:t>
      </w:r>
      <w:r>
        <w:t xml:space="preserve">; </w:t>
      </w:r>
    </w:p>
    <w:p w14:paraId="05CB7481" w14:textId="77777777" w:rsidR="0025096A" w:rsidRDefault="00982F1B" w:rsidP="0025096A">
      <w:pPr>
        <w:pStyle w:val="ListParagraph"/>
        <w:numPr>
          <w:ilvl w:val="0"/>
          <w:numId w:val="8"/>
        </w:numPr>
      </w:pPr>
      <w:r w:rsidRPr="00891937">
        <w:t xml:space="preserve">assessments of the </w:t>
      </w:r>
      <w:r w:rsidR="00F800C2" w:rsidRPr="00891937">
        <w:t>quality of routes to registration</w:t>
      </w:r>
      <w:r w:rsidR="0025096A" w:rsidRPr="00891937">
        <w:t xml:space="preserve">, including </w:t>
      </w:r>
      <w:r w:rsidR="0025096A">
        <w:t xml:space="preserve">relevant analysis of HESA destinations data, National Student Satisfaction Survey, Teaching Excellence Framework, </w:t>
      </w:r>
      <w:r w:rsidR="0025096A" w:rsidRPr="00891937">
        <w:t>formal evalu</w:t>
      </w:r>
      <w:r w:rsidR="0025096A">
        <w:t>a</w:t>
      </w:r>
      <w:r w:rsidR="0025096A" w:rsidRPr="00891937">
        <w:t>tion and commentary;</w:t>
      </w:r>
    </w:p>
    <w:p w14:paraId="5727E7B9" w14:textId="786C1F63" w:rsidR="00401A4D" w:rsidRDefault="0025096A" w:rsidP="000B5260">
      <w:pPr>
        <w:pStyle w:val="ListParagraph"/>
        <w:numPr>
          <w:ilvl w:val="0"/>
          <w:numId w:val="8"/>
        </w:numPr>
      </w:pPr>
      <w:r w:rsidRPr="00891937">
        <w:t>assessments of the quality</w:t>
      </w:r>
      <w:r>
        <w:t xml:space="preserve"> of </w:t>
      </w:r>
      <w:r w:rsidRPr="00891937">
        <w:t>post registration CPD</w:t>
      </w:r>
      <w:r w:rsidR="00401A4D">
        <w:t xml:space="preserve">; </w:t>
      </w:r>
    </w:p>
    <w:p w14:paraId="02811F07" w14:textId="77777777" w:rsidR="00D96C0E" w:rsidRDefault="00D96C0E" w:rsidP="00891937">
      <w:pPr>
        <w:pStyle w:val="ListParagraph"/>
        <w:numPr>
          <w:ilvl w:val="0"/>
          <w:numId w:val="8"/>
        </w:numPr>
      </w:pPr>
      <w:r>
        <w:t>the development of the Degree Apprenticeship Standard</w:t>
      </w:r>
      <w:r w:rsidR="008B4FA2">
        <w:t xml:space="preserve">s </w:t>
      </w:r>
      <w:r w:rsidR="003C0599">
        <w:t>and End Point Assessments</w:t>
      </w:r>
      <w:r w:rsidR="003C0599" w:rsidRPr="00891937">
        <w:rPr>
          <w:rStyle w:val="FootnoteReference"/>
        </w:rPr>
        <w:t xml:space="preserve"> </w:t>
      </w:r>
      <w:r w:rsidR="00C64364" w:rsidRPr="00891937">
        <w:rPr>
          <w:rStyle w:val="FootnoteReference"/>
        </w:rPr>
        <w:footnoteReference w:id="2"/>
      </w:r>
      <w:r w:rsidR="0036349E">
        <w:t xml:space="preserve"> - why developed and initial take-up</w:t>
      </w:r>
      <w:r w:rsidR="00662E8D">
        <w:t>;</w:t>
      </w:r>
    </w:p>
    <w:p w14:paraId="2E90032C" w14:textId="77777777" w:rsidR="00C64364" w:rsidRPr="00891937" w:rsidRDefault="00662E8D" w:rsidP="00D96F84">
      <w:pPr>
        <w:pStyle w:val="ListParagraph"/>
        <w:numPr>
          <w:ilvl w:val="0"/>
          <w:numId w:val="8"/>
        </w:numPr>
      </w:pPr>
      <w:proofErr w:type="gramStart"/>
      <w:r>
        <w:t>and</w:t>
      </w:r>
      <w:proofErr w:type="gramEnd"/>
      <w:r>
        <w:t xml:space="preserve"> </w:t>
      </w:r>
      <w:r w:rsidR="00094764">
        <w:t xml:space="preserve">views </w:t>
      </w:r>
      <w:r>
        <w:t xml:space="preserve">from </w:t>
      </w:r>
      <w:r w:rsidR="00DC3F58">
        <w:t>partner organisations, such as RIBA, on the questions raised.</w:t>
      </w:r>
      <w:r w:rsidR="00D96F84" w:rsidRPr="00891937">
        <w:t xml:space="preserve"> </w:t>
      </w:r>
    </w:p>
    <w:p w14:paraId="65D6683B" w14:textId="77777777" w:rsidR="004466E4" w:rsidRDefault="004466E4" w:rsidP="0097094D">
      <w:pPr>
        <w:pStyle w:val="Heading2"/>
        <w:rPr>
          <w:rStyle w:val="Heading2Char"/>
        </w:rPr>
      </w:pPr>
      <w:r>
        <w:rPr>
          <w:rStyle w:val="Heading2Char"/>
        </w:rPr>
        <w:t>Primary Research</w:t>
      </w:r>
    </w:p>
    <w:p w14:paraId="6D698795" w14:textId="7917A670" w:rsidR="00F755D6" w:rsidRDefault="0097094D" w:rsidP="00585534">
      <w:r>
        <w:t xml:space="preserve">ARB wishes to engage </w:t>
      </w:r>
      <w:r w:rsidR="00D96F84">
        <w:t xml:space="preserve">the </w:t>
      </w:r>
      <w:r w:rsidR="000D547F">
        <w:t xml:space="preserve">stakeholders </w:t>
      </w:r>
      <w:r>
        <w:t xml:space="preserve">listed </w:t>
      </w:r>
      <w:r w:rsidRPr="00BB3CF4">
        <w:t>in paragraph 2</w:t>
      </w:r>
      <w:r w:rsidR="00BB3CF4" w:rsidRPr="00BB3CF4">
        <w:t>4</w:t>
      </w:r>
      <w:r w:rsidR="000D547F" w:rsidRPr="00BB3CF4">
        <w:t>,</w:t>
      </w:r>
      <w:r w:rsidR="000D547F">
        <w:t xml:space="preserve"> across the UK,</w:t>
      </w:r>
      <w:r>
        <w:t xml:space="preserve"> to inform the Review.</w:t>
      </w:r>
      <w:r w:rsidR="00C233D6">
        <w:t xml:space="preserve"> Due to the different size</w:t>
      </w:r>
      <w:r w:rsidR="009307B0">
        <w:t xml:space="preserve"> of these groups and </w:t>
      </w:r>
      <w:r w:rsidR="006A32DF">
        <w:t xml:space="preserve">levels of </w:t>
      </w:r>
      <w:r w:rsidR="00CA56CD">
        <w:t>expert</w:t>
      </w:r>
      <w:r w:rsidR="006A32DF">
        <w:t>ise</w:t>
      </w:r>
      <w:r w:rsidR="00CA56CD">
        <w:t xml:space="preserve"> on the questions posed</w:t>
      </w:r>
      <w:r w:rsidR="008456F4">
        <w:t xml:space="preserve">, </w:t>
      </w:r>
      <w:r w:rsidR="00266632">
        <w:t>we expect a tailored approach to researching the topic with each stakeholder group</w:t>
      </w:r>
      <w:r w:rsidR="0005532F">
        <w:t xml:space="preserve"> and according to the method used</w:t>
      </w:r>
      <w:r w:rsidR="00266632">
        <w:t xml:space="preserve">. </w:t>
      </w:r>
      <w:r w:rsidR="00B92951">
        <w:t xml:space="preserve">The questions raised will differ, as will the depth </w:t>
      </w:r>
      <w:r w:rsidR="00F33CEB">
        <w:t xml:space="preserve">covered. </w:t>
      </w:r>
    </w:p>
    <w:p w14:paraId="04834B67" w14:textId="67927C43" w:rsidR="00F755D6" w:rsidRDefault="007531D5" w:rsidP="00585534">
      <w:r>
        <w:t>S</w:t>
      </w:r>
      <w:r w:rsidR="000D547F">
        <w:t xml:space="preserve">ome groups </w:t>
      </w:r>
      <w:r>
        <w:t xml:space="preserve">may </w:t>
      </w:r>
      <w:r w:rsidR="000D547F">
        <w:t xml:space="preserve">warrant </w:t>
      </w:r>
      <w:r w:rsidR="00C1541C">
        <w:t>a quantitative survey approach (on-line or</w:t>
      </w:r>
      <w:r w:rsidR="005772DF">
        <w:t xml:space="preserve"> telephone</w:t>
      </w:r>
      <w:r w:rsidR="00C1541C">
        <w:t xml:space="preserve">); others a qualitative approach </w:t>
      </w:r>
      <w:r w:rsidR="00ED37BE">
        <w:t xml:space="preserve">(depth interviews, workshops, attending existing events) </w:t>
      </w:r>
      <w:r w:rsidR="00C1541C">
        <w:t xml:space="preserve">and others both. </w:t>
      </w:r>
      <w:r w:rsidR="007740C2">
        <w:t xml:space="preserve"> </w:t>
      </w:r>
    </w:p>
    <w:p w14:paraId="3BF07407" w14:textId="4D10130A" w:rsidR="00F755D6" w:rsidRDefault="00134585" w:rsidP="00585534">
      <w:r>
        <w:t>Additionally,</w:t>
      </w:r>
      <w:r w:rsidR="001E01E7">
        <w:t xml:space="preserve"> it may be useful</w:t>
      </w:r>
      <w:r w:rsidR="00243E44">
        <w:t xml:space="preserve"> to</w:t>
      </w:r>
      <w:r w:rsidR="00FF5A44">
        <w:t xml:space="preserve"> test</w:t>
      </w:r>
      <w:r w:rsidR="00243E44">
        <w:t xml:space="preserve"> the </w:t>
      </w:r>
      <w:r w:rsidR="00FF5A44">
        <w:t xml:space="preserve">initial conclusions later in the research process, through some form of Deliberative </w:t>
      </w:r>
      <w:r w:rsidR="003A5D9E">
        <w:t>I</w:t>
      </w:r>
      <w:r w:rsidR="00FF5A44">
        <w:t xml:space="preserve">nquiry. </w:t>
      </w:r>
      <w:r w:rsidR="00844748">
        <w:t>We expect this latter to be relatively small scale, compared to other stages of the research, and</w:t>
      </w:r>
      <w:r w:rsidR="00410CC2">
        <w:t>, if conducted as an event, for some groups to share the same event.</w:t>
      </w:r>
    </w:p>
    <w:p w14:paraId="12A00092" w14:textId="0EB57D64" w:rsidR="00143B80" w:rsidRDefault="007F0688" w:rsidP="00585534">
      <w:pPr>
        <w:rPr>
          <w:b/>
          <w:bCs/>
        </w:rPr>
      </w:pPr>
      <w:r>
        <w:t xml:space="preserve">Our initial thinking on this is indicated in the table below, though </w:t>
      </w:r>
      <w:r w:rsidRPr="00B64F86">
        <w:rPr>
          <w:b/>
          <w:bCs/>
        </w:rPr>
        <w:t xml:space="preserve">Tenderers are invited to </w:t>
      </w:r>
      <w:r w:rsidR="003D5198" w:rsidRPr="00B64F86">
        <w:rPr>
          <w:b/>
          <w:bCs/>
        </w:rPr>
        <w:t>suggest and explain alternative methodologies.</w:t>
      </w:r>
    </w:p>
    <w:p w14:paraId="63981B20" w14:textId="77777777" w:rsidR="0058228F" w:rsidRPr="00B64F86" w:rsidRDefault="0058228F" w:rsidP="0058228F">
      <w:pPr>
        <w:numPr>
          <w:ilvl w:val="0"/>
          <w:numId w:val="0"/>
        </w:numPr>
        <w:ind w:left="357"/>
        <w:rPr>
          <w:b/>
          <w:bCs/>
        </w:rPr>
      </w:pPr>
    </w:p>
    <w:tbl>
      <w:tblPr>
        <w:tblStyle w:val="TableGrid"/>
        <w:tblW w:w="0" w:type="auto"/>
        <w:tblLook w:val="04A0" w:firstRow="1" w:lastRow="0" w:firstColumn="1" w:lastColumn="0" w:noHBand="0" w:noVBand="1"/>
      </w:tblPr>
      <w:tblGrid>
        <w:gridCol w:w="1931"/>
        <w:gridCol w:w="1531"/>
        <w:gridCol w:w="1878"/>
        <w:gridCol w:w="1749"/>
        <w:gridCol w:w="1927"/>
      </w:tblGrid>
      <w:tr w:rsidR="0009217B" w:rsidRPr="00143B80" w14:paraId="072F5797" w14:textId="77777777" w:rsidTr="0009217B">
        <w:tc>
          <w:tcPr>
            <w:tcW w:w="1931" w:type="dxa"/>
          </w:tcPr>
          <w:p w14:paraId="1F429438" w14:textId="77777777" w:rsidR="0009217B" w:rsidRPr="00143B80" w:rsidRDefault="00143B80" w:rsidP="00FF5A44">
            <w:pPr>
              <w:numPr>
                <w:ilvl w:val="0"/>
                <w:numId w:val="0"/>
              </w:numPr>
              <w:rPr>
                <w:b/>
                <w:bCs/>
              </w:rPr>
            </w:pPr>
            <w:r>
              <w:br w:type="page"/>
            </w:r>
            <w:r w:rsidR="0009217B" w:rsidRPr="00143B80">
              <w:rPr>
                <w:b/>
                <w:bCs/>
              </w:rPr>
              <w:t>Stakeholder Group</w:t>
            </w:r>
          </w:p>
        </w:tc>
        <w:tc>
          <w:tcPr>
            <w:tcW w:w="1531" w:type="dxa"/>
          </w:tcPr>
          <w:p w14:paraId="583CDE24" w14:textId="77777777" w:rsidR="0009217B" w:rsidRPr="004054D3" w:rsidRDefault="0009217B" w:rsidP="00FF5A44">
            <w:pPr>
              <w:numPr>
                <w:ilvl w:val="0"/>
                <w:numId w:val="0"/>
              </w:numPr>
              <w:rPr>
                <w:b/>
                <w:bCs/>
                <w:i/>
                <w:iCs/>
              </w:rPr>
            </w:pPr>
            <w:r w:rsidRPr="004054D3">
              <w:rPr>
                <w:b/>
                <w:bCs/>
                <w:i/>
                <w:iCs/>
              </w:rPr>
              <w:t>Call for Evidence</w:t>
            </w:r>
          </w:p>
        </w:tc>
        <w:tc>
          <w:tcPr>
            <w:tcW w:w="1878" w:type="dxa"/>
          </w:tcPr>
          <w:p w14:paraId="3222F4F4" w14:textId="77777777" w:rsidR="0009217B" w:rsidRPr="00143B80" w:rsidRDefault="0009217B" w:rsidP="00FF5A44">
            <w:pPr>
              <w:numPr>
                <w:ilvl w:val="0"/>
                <w:numId w:val="0"/>
              </w:numPr>
              <w:rPr>
                <w:b/>
                <w:bCs/>
              </w:rPr>
            </w:pPr>
            <w:r w:rsidRPr="00143B80">
              <w:rPr>
                <w:b/>
                <w:bCs/>
              </w:rPr>
              <w:t xml:space="preserve">Initial qualitative </w:t>
            </w:r>
          </w:p>
        </w:tc>
        <w:tc>
          <w:tcPr>
            <w:tcW w:w="1749" w:type="dxa"/>
          </w:tcPr>
          <w:p w14:paraId="021C015F" w14:textId="77777777" w:rsidR="0009217B" w:rsidRPr="00143B80" w:rsidRDefault="0009217B" w:rsidP="00FF5A44">
            <w:pPr>
              <w:numPr>
                <w:ilvl w:val="0"/>
                <w:numId w:val="0"/>
              </w:numPr>
              <w:rPr>
                <w:b/>
                <w:bCs/>
              </w:rPr>
            </w:pPr>
            <w:r w:rsidRPr="00143B80">
              <w:rPr>
                <w:b/>
                <w:bCs/>
              </w:rPr>
              <w:t>Survey</w:t>
            </w:r>
          </w:p>
        </w:tc>
        <w:tc>
          <w:tcPr>
            <w:tcW w:w="1927" w:type="dxa"/>
          </w:tcPr>
          <w:p w14:paraId="076D4CFE" w14:textId="77777777" w:rsidR="0009217B" w:rsidRPr="00143B80" w:rsidRDefault="0009217B" w:rsidP="00FF5A44">
            <w:pPr>
              <w:numPr>
                <w:ilvl w:val="0"/>
                <w:numId w:val="0"/>
              </w:numPr>
              <w:rPr>
                <w:b/>
                <w:bCs/>
              </w:rPr>
            </w:pPr>
            <w:r w:rsidRPr="00143B80">
              <w:rPr>
                <w:b/>
                <w:bCs/>
              </w:rPr>
              <w:t>Deliberative Enquiry</w:t>
            </w:r>
          </w:p>
        </w:tc>
      </w:tr>
      <w:tr w:rsidR="00DC22E9" w:rsidRPr="00143B80" w14:paraId="63DB7C97" w14:textId="77777777" w:rsidTr="0009217B">
        <w:tc>
          <w:tcPr>
            <w:tcW w:w="1931" w:type="dxa"/>
          </w:tcPr>
          <w:p w14:paraId="3386520A" w14:textId="17F441D4" w:rsidR="00DC22E9" w:rsidRDefault="00DC22E9" w:rsidP="00DC22E9">
            <w:pPr>
              <w:numPr>
                <w:ilvl w:val="0"/>
                <w:numId w:val="0"/>
              </w:numPr>
            </w:pPr>
            <w:r>
              <w:t xml:space="preserve">Architects </w:t>
            </w:r>
            <w:r>
              <w:lastRenderedPageBreak/>
              <w:t>Registration Board</w:t>
            </w:r>
          </w:p>
        </w:tc>
        <w:tc>
          <w:tcPr>
            <w:tcW w:w="1531" w:type="dxa"/>
          </w:tcPr>
          <w:p w14:paraId="43060F64" w14:textId="77777777" w:rsidR="00DC22E9" w:rsidRPr="004054D3" w:rsidRDefault="00DC22E9" w:rsidP="00DC22E9">
            <w:pPr>
              <w:numPr>
                <w:ilvl w:val="0"/>
                <w:numId w:val="0"/>
              </w:numPr>
              <w:rPr>
                <w:b/>
                <w:bCs/>
                <w:i/>
                <w:iCs/>
              </w:rPr>
            </w:pPr>
          </w:p>
        </w:tc>
        <w:tc>
          <w:tcPr>
            <w:tcW w:w="1878" w:type="dxa"/>
          </w:tcPr>
          <w:p w14:paraId="5A894D49" w14:textId="1BD1651F" w:rsidR="00DC22E9" w:rsidRPr="00143B80" w:rsidRDefault="00DC22E9" w:rsidP="00DC22E9">
            <w:pPr>
              <w:numPr>
                <w:ilvl w:val="0"/>
                <w:numId w:val="0"/>
              </w:numPr>
              <w:rPr>
                <w:b/>
                <w:bCs/>
              </w:rPr>
            </w:pPr>
            <w:r>
              <w:rPr>
                <w:rFonts w:cstheme="minorHAnsi"/>
              </w:rPr>
              <w:t>√</w:t>
            </w:r>
          </w:p>
        </w:tc>
        <w:tc>
          <w:tcPr>
            <w:tcW w:w="1749" w:type="dxa"/>
          </w:tcPr>
          <w:p w14:paraId="6066E12E" w14:textId="77777777" w:rsidR="00DC22E9" w:rsidRPr="00143B80" w:rsidRDefault="00DC22E9" w:rsidP="00DC22E9">
            <w:pPr>
              <w:numPr>
                <w:ilvl w:val="0"/>
                <w:numId w:val="0"/>
              </w:numPr>
              <w:rPr>
                <w:b/>
                <w:bCs/>
              </w:rPr>
            </w:pPr>
          </w:p>
        </w:tc>
        <w:tc>
          <w:tcPr>
            <w:tcW w:w="1927" w:type="dxa"/>
          </w:tcPr>
          <w:p w14:paraId="65D97E9F" w14:textId="77777777" w:rsidR="00DC22E9" w:rsidRPr="00143B80" w:rsidRDefault="00DC22E9" w:rsidP="00DC22E9">
            <w:pPr>
              <w:numPr>
                <w:ilvl w:val="0"/>
                <w:numId w:val="0"/>
              </w:numPr>
              <w:rPr>
                <w:b/>
                <w:bCs/>
              </w:rPr>
            </w:pPr>
          </w:p>
        </w:tc>
      </w:tr>
      <w:tr w:rsidR="00DC22E9" w14:paraId="2E288F1A" w14:textId="77777777" w:rsidTr="0009217B">
        <w:tc>
          <w:tcPr>
            <w:tcW w:w="1931" w:type="dxa"/>
          </w:tcPr>
          <w:p w14:paraId="3E3FDF83" w14:textId="77777777" w:rsidR="00DC22E9" w:rsidRDefault="00DC22E9" w:rsidP="00DC22E9">
            <w:pPr>
              <w:numPr>
                <w:ilvl w:val="0"/>
                <w:numId w:val="0"/>
              </w:numPr>
            </w:pPr>
            <w:r>
              <w:lastRenderedPageBreak/>
              <w:t>Architects</w:t>
            </w:r>
          </w:p>
        </w:tc>
        <w:tc>
          <w:tcPr>
            <w:tcW w:w="1531" w:type="dxa"/>
          </w:tcPr>
          <w:p w14:paraId="336E80DB"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31522375" w14:textId="77777777" w:rsidR="00DC22E9" w:rsidRDefault="00DC22E9" w:rsidP="00DC22E9">
            <w:pPr>
              <w:numPr>
                <w:ilvl w:val="0"/>
                <w:numId w:val="0"/>
              </w:numPr>
            </w:pPr>
            <w:r>
              <w:rPr>
                <w:rFonts w:cstheme="minorHAnsi"/>
              </w:rPr>
              <w:t>√</w:t>
            </w:r>
          </w:p>
        </w:tc>
        <w:tc>
          <w:tcPr>
            <w:tcW w:w="1749" w:type="dxa"/>
          </w:tcPr>
          <w:p w14:paraId="37270770" w14:textId="77777777" w:rsidR="00DC22E9" w:rsidRDefault="00DC22E9" w:rsidP="00DC22E9">
            <w:pPr>
              <w:numPr>
                <w:ilvl w:val="0"/>
                <w:numId w:val="0"/>
              </w:numPr>
            </w:pPr>
            <w:r w:rsidRPr="002C053D">
              <w:rPr>
                <w:rFonts w:cstheme="minorHAnsi"/>
              </w:rPr>
              <w:t>√</w:t>
            </w:r>
          </w:p>
        </w:tc>
        <w:tc>
          <w:tcPr>
            <w:tcW w:w="1927" w:type="dxa"/>
          </w:tcPr>
          <w:p w14:paraId="6F55158C" w14:textId="77777777" w:rsidR="00DC22E9" w:rsidRDefault="00DC22E9" w:rsidP="00DC22E9">
            <w:pPr>
              <w:numPr>
                <w:ilvl w:val="0"/>
                <w:numId w:val="0"/>
              </w:numPr>
            </w:pPr>
            <w:r w:rsidRPr="002C053D">
              <w:rPr>
                <w:rFonts w:cstheme="minorHAnsi"/>
              </w:rPr>
              <w:t>√</w:t>
            </w:r>
          </w:p>
        </w:tc>
      </w:tr>
      <w:tr w:rsidR="00DC22E9" w14:paraId="64ADF0E6" w14:textId="77777777" w:rsidTr="0009217B">
        <w:tc>
          <w:tcPr>
            <w:tcW w:w="1931" w:type="dxa"/>
          </w:tcPr>
          <w:p w14:paraId="65069A01" w14:textId="77777777" w:rsidR="00DC22E9" w:rsidRDefault="00DC22E9" w:rsidP="00DC22E9">
            <w:pPr>
              <w:numPr>
                <w:ilvl w:val="0"/>
                <w:numId w:val="0"/>
              </w:numPr>
            </w:pPr>
            <w:r>
              <w:t>Architect employers (in sector and outside)</w:t>
            </w:r>
          </w:p>
        </w:tc>
        <w:tc>
          <w:tcPr>
            <w:tcW w:w="1531" w:type="dxa"/>
          </w:tcPr>
          <w:p w14:paraId="494F1618"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7A0F689D" w14:textId="77777777" w:rsidR="00DC22E9" w:rsidRDefault="00DC22E9" w:rsidP="00DC22E9">
            <w:pPr>
              <w:numPr>
                <w:ilvl w:val="0"/>
                <w:numId w:val="0"/>
              </w:numPr>
            </w:pPr>
            <w:r w:rsidRPr="00E52102">
              <w:rPr>
                <w:rFonts w:cstheme="minorHAnsi"/>
              </w:rPr>
              <w:t>√</w:t>
            </w:r>
          </w:p>
        </w:tc>
        <w:tc>
          <w:tcPr>
            <w:tcW w:w="1749" w:type="dxa"/>
          </w:tcPr>
          <w:p w14:paraId="3C2D3D55" w14:textId="77777777" w:rsidR="00DC22E9" w:rsidRDefault="00DC22E9" w:rsidP="00DC22E9">
            <w:pPr>
              <w:numPr>
                <w:ilvl w:val="0"/>
                <w:numId w:val="0"/>
              </w:numPr>
            </w:pPr>
            <w:r w:rsidRPr="00E52102">
              <w:rPr>
                <w:rFonts w:cstheme="minorHAnsi"/>
              </w:rPr>
              <w:t>√</w:t>
            </w:r>
          </w:p>
        </w:tc>
        <w:tc>
          <w:tcPr>
            <w:tcW w:w="1927" w:type="dxa"/>
          </w:tcPr>
          <w:p w14:paraId="2E96A7BE" w14:textId="77777777" w:rsidR="00DC22E9" w:rsidRDefault="00DC22E9" w:rsidP="00DC22E9">
            <w:pPr>
              <w:numPr>
                <w:ilvl w:val="0"/>
                <w:numId w:val="0"/>
              </w:numPr>
            </w:pPr>
            <w:r w:rsidRPr="00E52102">
              <w:rPr>
                <w:rFonts w:cstheme="minorHAnsi"/>
              </w:rPr>
              <w:t>√</w:t>
            </w:r>
          </w:p>
        </w:tc>
      </w:tr>
      <w:tr w:rsidR="00DC22E9" w14:paraId="31DF881C" w14:textId="77777777" w:rsidTr="0009217B">
        <w:tc>
          <w:tcPr>
            <w:tcW w:w="1931" w:type="dxa"/>
          </w:tcPr>
          <w:p w14:paraId="7FFF8F54" w14:textId="77777777" w:rsidR="00DC22E9" w:rsidRDefault="00DC22E9" w:rsidP="00DC22E9">
            <w:pPr>
              <w:numPr>
                <w:ilvl w:val="0"/>
                <w:numId w:val="0"/>
              </w:numPr>
            </w:pPr>
            <w:r>
              <w:t>Students</w:t>
            </w:r>
          </w:p>
        </w:tc>
        <w:tc>
          <w:tcPr>
            <w:tcW w:w="1531" w:type="dxa"/>
          </w:tcPr>
          <w:p w14:paraId="0A2A7950"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1A7CA5D7" w14:textId="77777777" w:rsidR="00DC22E9" w:rsidRDefault="00DC22E9" w:rsidP="00DC22E9">
            <w:pPr>
              <w:numPr>
                <w:ilvl w:val="0"/>
                <w:numId w:val="0"/>
              </w:numPr>
            </w:pPr>
            <w:r w:rsidRPr="00EA4B33">
              <w:rPr>
                <w:rFonts w:cstheme="minorHAnsi"/>
              </w:rPr>
              <w:t>√</w:t>
            </w:r>
          </w:p>
        </w:tc>
        <w:tc>
          <w:tcPr>
            <w:tcW w:w="1749" w:type="dxa"/>
          </w:tcPr>
          <w:p w14:paraId="3AF2F04A" w14:textId="5A2AB0B2" w:rsidR="00DC22E9" w:rsidRDefault="00DC22E9" w:rsidP="00DC22E9">
            <w:pPr>
              <w:numPr>
                <w:ilvl w:val="0"/>
                <w:numId w:val="0"/>
              </w:numPr>
            </w:pPr>
          </w:p>
        </w:tc>
        <w:tc>
          <w:tcPr>
            <w:tcW w:w="1927" w:type="dxa"/>
          </w:tcPr>
          <w:p w14:paraId="14F90FCA" w14:textId="77777777" w:rsidR="00DC22E9" w:rsidRDefault="00DC22E9" w:rsidP="00DC22E9">
            <w:pPr>
              <w:numPr>
                <w:ilvl w:val="0"/>
                <w:numId w:val="0"/>
              </w:numPr>
            </w:pPr>
          </w:p>
        </w:tc>
      </w:tr>
      <w:tr w:rsidR="00DC22E9" w14:paraId="2D224AF6" w14:textId="77777777" w:rsidTr="0009217B">
        <w:tc>
          <w:tcPr>
            <w:tcW w:w="1931" w:type="dxa"/>
          </w:tcPr>
          <w:p w14:paraId="677557D6" w14:textId="77777777" w:rsidR="00DC22E9" w:rsidRDefault="00DC22E9" w:rsidP="00DC22E9">
            <w:pPr>
              <w:numPr>
                <w:ilvl w:val="0"/>
                <w:numId w:val="0"/>
              </w:numPr>
            </w:pPr>
            <w:r>
              <w:t>Schools of Architecture</w:t>
            </w:r>
          </w:p>
        </w:tc>
        <w:tc>
          <w:tcPr>
            <w:tcW w:w="1531" w:type="dxa"/>
          </w:tcPr>
          <w:p w14:paraId="1BB79964"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6D845356" w14:textId="77777777" w:rsidR="00DC22E9" w:rsidRPr="001E2E50" w:rsidRDefault="00DC22E9" w:rsidP="00DC22E9">
            <w:pPr>
              <w:numPr>
                <w:ilvl w:val="0"/>
                <w:numId w:val="0"/>
              </w:numPr>
              <w:rPr>
                <w:rFonts w:cstheme="minorHAnsi"/>
              </w:rPr>
            </w:pPr>
            <w:r w:rsidRPr="00E52102">
              <w:rPr>
                <w:rFonts w:cstheme="minorHAnsi"/>
              </w:rPr>
              <w:t>√</w:t>
            </w:r>
          </w:p>
        </w:tc>
        <w:tc>
          <w:tcPr>
            <w:tcW w:w="1749" w:type="dxa"/>
          </w:tcPr>
          <w:p w14:paraId="087E0B6C" w14:textId="0AE6AD93" w:rsidR="00DC22E9" w:rsidRPr="001E2E50" w:rsidRDefault="00DC22E9" w:rsidP="00DC22E9">
            <w:pPr>
              <w:numPr>
                <w:ilvl w:val="0"/>
                <w:numId w:val="0"/>
              </w:numPr>
              <w:rPr>
                <w:rFonts w:cstheme="minorHAnsi"/>
              </w:rPr>
            </w:pPr>
          </w:p>
        </w:tc>
        <w:tc>
          <w:tcPr>
            <w:tcW w:w="1927" w:type="dxa"/>
          </w:tcPr>
          <w:p w14:paraId="6688E767" w14:textId="77777777" w:rsidR="00DC22E9" w:rsidRPr="001E2E50" w:rsidRDefault="00DC22E9" w:rsidP="00DC22E9">
            <w:pPr>
              <w:numPr>
                <w:ilvl w:val="0"/>
                <w:numId w:val="0"/>
              </w:numPr>
              <w:rPr>
                <w:rFonts w:cstheme="minorHAnsi"/>
              </w:rPr>
            </w:pPr>
            <w:r w:rsidRPr="00E52102">
              <w:rPr>
                <w:rFonts w:cstheme="minorHAnsi"/>
              </w:rPr>
              <w:t>√</w:t>
            </w:r>
          </w:p>
        </w:tc>
      </w:tr>
      <w:tr w:rsidR="00DC22E9" w14:paraId="4A79487E" w14:textId="77777777" w:rsidTr="0009217B">
        <w:tc>
          <w:tcPr>
            <w:tcW w:w="1931" w:type="dxa"/>
          </w:tcPr>
          <w:p w14:paraId="17A29277" w14:textId="77777777" w:rsidR="00DC22E9" w:rsidRDefault="00DC22E9" w:rsidP="00DC22E9">
            <w:pPr>
              <w:numPr>
                <w:ilvl w:val="0"/>
                <w:numId w:val="0"/>
              </w:numPr>
            </w:pPr>
            <w:r>
              <w:t>Client organisations</w:t>
            </w:r>
          </w:p>
        </w:tc>
        <w:tc>
          <w:tcPr>
            <w:tcW w:w="1531" w:type="dxa"/>
          </w:tcPr>
          <w:p w14:paraId="52D9A390"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0264BE55" w14:textId="77777777" w:rsidR="00DC22E9" w:rsidRDefault="00DC22E9" w:rsidP="00DC22E9">
            <w:pPr>
              <w:numPr>
                <w:ilvl w:val="0"/>
                <w:numId w:val="0"/>
              </w:numPr>
            </w:pPr>
            <w:r w:rsidRPr="001E2E50">
              <w:rPr>
                <w:rFonts w:cstheme="minorHAnsi"/>
              </w:rPr>
              <w:t>√</w:t>
            </w:r>
          </w:p>
        </w:tc>
        <w:tc>
          <w:tcPr>
            <w:tcW w:w="1749" w:type="dxa"/>
          </w:tcPr>
          <w:p w14:paraId="6DE66F62" w14:textId="4E9D89B0" w:rsidR="00DC22E9" w:rsidRDefault="00DC22E9" w:rsidP="00DC22E9">
            <w:pPr>
              <w:numPr>
                <w:ilvl w:val="0"/>
                <w:numId w:val="0"/>
              </w:numPr>
            </w:pPr>
          </w:p>
        </w:tc>
        <w:tc>
          <w:tcPr>
            <w:tcW w:w="1927" w:type="dxa"/>
          </w:tcPr>
          <w:p w14:paraId="3C4BFEC3" w14:textId="77777777" w:rsidR="00DC22E9" w:rsidRDefault="00DC22E9" w:rsidP="00DC22E9">
            <w:pPr>
              <w:numPr>
                <w:ilvl w:val="0"/>
                <w:numId w:val="0"/>
              </w:numPr>
            </w:pPr>
            <w:r w:rsidRPr="001E2E50">
              <w:rPr>
                <w:rFonts w:cstheme="minorHAnsi"/>
              </w:rPr>
              <w:t>√</w:t>
            </w:r>
          </w:p>
        </w:tc>
      </w:tr>
      <w:tr w:rsidR="00DC22E9" w14:paraId="7F4A7585" w14:textId="77777777" w:rsidTr="0009217B">
        <w:tc>
          <w:tcPr>
            <w:tcW w:w="1931" w:type="dxa"/>
          </w:tcPr>
          <w:p w14:paraId="29DEF8D2" w14:textId="0CB80200" w:rsidR="00DC22E9" w:rsidRDefault="00DC22E9" w:rsidP="00DC22E9">
            <w:pPr>
              <w:numPr>
                <w:ilvl w:val="0"/>
                <w:numId w:val="0"/>
              </w:numPr>
            </w:pPr>
            <w:r>
              <w:t>Other stakeholders</w:t>
            </w:r>
          </w:p>
        </w:tc>
        <w:tc>
          <w:tcPr>
            <w:tcW w:w="1531" w:type="dxa"/>
          </w:tcPr>
          <w:p w14:paraId="69FC4B1B"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0EDA3B34" w14:textId="77777777" w:rsidR="00DC22E9" w:rsidRDefault="00DC22E9" w:rsidP="00DC22E9">
            <w:pPr>
              <w:numPr>
                <w:ilvl w:val="0"/>
                <w:numId w:val="0"/>
              </w:numPr>
            </w:pPr>
            <w:r>
              <w:rPr>
                <w:rFonts w:cstheme="minorHAnsi"/>
              </w:rPr>
              <w:t>√</w:t>
            </w:r>
          </w:p>
        </w:tc>
        <w:tc>
          <w:tcPr>
            <w:tcW w:w="1749" w:type="dxa"/>
          </w:tcPr>
          <w:p w14:paraId="651DFF0C" w14:textId="77777777" w:rsidR="00DC22E9" w:rsidRDefault="00DC22E9" w:rsidP="00DC22E9">
            <w:pPr>
              <w:numPr>
                <w:ilvl w:val="0"/>
                <w:numId w:val="0"/>
              </w:numPr>
            </w:pPr>
          </w:p>
        </w:tc>
        <w:tc>
          <w:tcPr>
            <w:tcW w:w="1927" w:type="dxa"/>
            <w:vMerge w:val="restart"/>
          </w:tcPr>
          <w:p w14:paraId="4ACE624D" w14:textId="77777777" w:rsidR="00DC22E9" w:rsidRDefault="00DC22E9" w:rsidP="00DC22E9">
            <w:pPr>
              <w:numPr>
                <w:ilvl w:val="0"/>
                <w:numId w:val="0"/>
              </w:numPr>
              <w:rPr>
                <w:rFonts w:cstheme="minorHAnsi"/>
              </w:rPr>
            </w:pPr>
            <w:r>
              <w:rPr>
                <w:rFonts w:cstheme="minorHAnsi"/>
              </w:rPr>
              <w:t xml:space="preserve">√ </w:t>
            </w:r>
          </w:p>
          <w:p w14:paraId="6A9DEFDF" w14:textId="77777777" w:rsidR="00DC22E9" w:rsidRDefault="00DC22E9" w:rsidP="00DC22E9">
            <w:pPr>
              <w:numPr>
                <w:ilvl w:val="0"/>
                <w:numId w:val="0"/>
              </w:numPr>
            </w:pPr>
            <w:r>
              <w:rPr>
                <w:rFonts w:cstheme="minorHAnsi"/>
              </w:rPr>
              <w:t>(one event for these groups)</w:t>
            </w:r>
          </w:p>
          <w:p w14:paraId="48083E4A" w14:textId="77777777" w:rsidR="00DC22E9" w:rsidRDefault="00DC22E9" w:rsidP="00DC22E9">
            <w:pPr>
              <w:numPr>
                <w:ilvl w:val="0"/>
                <w:numId w:val="0"/>
              </w:numPr>
            </w:pPr>
          </w:p>
        </w:tc>
      </w:tr>
      <w:tr w:rsidR="00DC22E9" w14:paraId="10A19C95" w14:textId="77777777" w:rsidTr="0009217B">
        <w:tc>
          <w:tcPr>
            <w:tcW w:w="1931" w:type="dxa"/>
          </w:tcPr>
          <w:p w14:paraId="668B6AF2" w14:textId="77777777" w:rsidR="00DC22E9" w:rsidRDefault="00DC22E9" w:rsidP="00DC22E9">
            <w:pPr>
              <w:numPr>
                <w:ilvl w:val="0"/>
                <w:numId w:val="0"/>
              </w:numPr>
            </w:pPr>
            <w:r>
              <w:t>Interest groups</w:t>
            </w:r>
          </w:p>
        </w:tc>
        <w:tc>
          <w:tcPr>
            <w:tcW w:w="1531" w:type="dxa"/>
          </w:tcPr>
          <w:p w14:paraId="0D92BB08"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511DD1B6" w14:textId="77777777" w:rsidR="00DC22E9" w:rsidRDefault="00DC22E9" w:rsidP="00DC22E9">
            <w:pPr>
              <w:numPr>
                <w:ilvl w:val="0"/>
                <w:numId w:val="0"/>
              </w:numPr>
            </w:pPr>
            <w:r>
              <w:rPr>
                <w:rFonts w:cstheme="minorHAnsi"/>
              </w:rPr>
              <w:t>√</w:t>
            </w:r>
          </w:p>
        </w:tc>
        <w:tc>
          <w:tcPr>
            <w:tcW w:w="1749" w:type="dxa"/>
          </w:tcPr>
          <w:p w14:paraId="0003089D" w14:textId="77777777" w:rsidR="00DC22E9" w:rsidRDefault="00DC22E9" w:rsidP="00DC22E9">
            <w:pPr>
              <w:numPr>
                <w:ilvl w:val="0"/>
                <w:numId w:val="0"/>
              </w:numPr>
            </w:pPr>
          </w:p>
        </w:tc>
        <w:tc>
          <w:tcPr>
            <w:tcW w:w="1927" w:type="dxa"/>
            <w:vMerge/>
          </w:tcPr>
          <w:p w14:paraId="0F6E2C2E" w14:textId="77777777" w:rsidR="00DC22E9" w:rsidRDefault="00DC22E9" w:rsidP="00DC22E9">
            <w:pPr>
              <w:ind w:left="0"/>
            </w:pPr>
          </w:p>
        </w:tc>
      </w:tr>
      <w:tr w:rsidR="00DC22E9" w14:paraId="7D22694E" w14:textId="77777777" w:rsidTr="0009217B">
        <w:tc>
          <w:tcPr>
            <w:tcW w:w="1931" w:type="dxa"/>
          </w:tcPr>
          <w:p w14:paraId="2300C674" w14:textId="77777777" w:rsidR="00DC22E9" w:rsidRDefault="00DC22E9" w:rsidP="00DC22E9">
            <w:pPr>
              <w:numPr>
                <w:ilvl w:val="0"/>
                <w:numId w:val="0"/>
              </w:numPr>
            </w:pPr>
            <w:r>
              <w:t>Insurers</w:t>
            </w:r>
          </w:p>
        </w:tc>
        <w:tc>
          <w:tcPr>
            <w:tcW w:w="1531" w:type="dxa"/>
          </w:tcPr>
          <w:p w14:paraId="6FCA0274"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33CD0813" w14:textId="77777777" w:rsidR="00DC22E9" w:rsidRDefault="00DC22E9" w:rsidP="00DC22E9">
            <w:pPr>
              <w:numPr>
                <w:ilvl w:val="0"/>
                <w:numId w:val="0"/>
              </w:numPr>
            </w:pPr>
            <w:r>
              <w:rPr>
                <w:rFonts w:cstheme="minorHAnsi"/>
              </w:rPr>
              <w:t>√</w:t>
            </w:r>
          </w:p>
        </w:tc>
        <w:tc>
          <w:tcPr>
            <w:tcW w:w="1749" w:type="dxa"/>
          </w:tcPr>
          <w:p w14:paraId="5BBBA0BC" w14:textId="77777777" w:rsidR="00DC22E9" w:rsidRDefault="00DC22E9" w:rsidP="00DC22E9">
            <w:pPr>
              <w:numPr>
                <w:ilvl w:val="0"/>
                <w:numId w:val="0"/>
              </w:numPr>
            </w:pPr>
          </w:p>
        </w:tc>
        <w:tc>
          <w:tcPr>
            <w:tcW w:w="1927" w:type="dxa"/>
            <w:vMerge/>
          </w:tcPr>
          <w:p w14:paraId="48123259" w14:textId="77777777" w:rsidR="00DC22E9" w:rsidRDefault="00DC22E9" w:rsidP="00DC22E9">
            <w:pPr>
              <w:ind w:left="0"/>
            </w:pPr>
          </w:p>
        </w:tc>
      </w:tr>
      <w:tr w:rsidR="00DC22E9" w14:paraId="54AD35BE" w14:textId="77777777" w:rsidTr="0009217B">
        <w:tc>
          <w:tcPr>
            <w:tcW w:w="1931" w:type="dxa"/>
          </w:tcPr>
          <w:p w14:paraId="2C2EC189" w14:textId="77777777" w:rsidR="00DC22E9" w:rsidRDefault="00DC22E9" w:rsidP="00DC22E9">
            <w:pPr>
              <w:numPr>
                <w:ilvl w:val="0"/>
                <w:numId w:val="0"/>
              </w:numPr>
            </w:pPr>
            <w:r>
              <w:t>Professional bodies</w:t>
            </w:r>
          </w:p>
        </w:tc>
        <w:tc>
          <w:tcPr>
            <w:tcW w:w="1531" w:type="dxa"/>
          </w:tcPr>
          <w:p w14:paraId="18C36356"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1AC6A76C" w14:textId="77777777" w:rsidR="00DC22E9" w:rsidRDefault="00DC22E9" w:rsidP="00DC22E9">
            <w:pPr>
              <w:numPr>
                <w:ilvl w:val="0"/>
                <w:numId w:val="0"/>
              </w:numPr>
            </w:pPr>
            <w:r>
              <w:rPr>
                <w:rFonts w:cstheme="minorHAnsi"/>
              </w:rPr>
              <w:t>√</w:t>
            </w:r>
          </w:p>
        </w:tc>
        <w:tc>
          <w:tcPr>
            <w:tcW w:w="1749" w:type="dxa"/>
          </w:tcPr>
          <w:p w14:paraId="52119128" w14:textId="77777777" w:rsidR="00DC22E9" w:rsidRDefault="00DC22E9" w:rsidP="00DC22E9">
            <w:pPr>
              <w:numPr>
                <w:ilvl w:val="0"/>
                <w:numId w:val="0"/>
              </w:numPr>
            </w:pPr>
          </w:p>
        </w:tc>
        <w:tc>
          <w:tcPr>
            <w:tcW w:w="1927" w:type="dxa"/>
            <w:vMerge/>
          </w:tcPr>
          <w:p w14:paraId="06FA8AD8" w14:textId="77777777" w:rsidR="00DC22E9" w:rsidRDefault="00DC22E9" w:rsidP="00DC22E9">
            <w:pPr>
              <w:numPr>
                <w:ilvl w:val="0"/>
                <w:numId w:val="0"/>
              </w:numPr>
            </w:pPr>
          </w:p>
        </w:tc>
      </w:tr>
      <w:tr w:rsidR="00DC22E9" w14:paraId="37F64621" w14:textId="77777777" w:rsidTr="005D6215">
        <w:tc>
          <w:tcPr>
            <w:tcW w:w="1931" w:type="dxa"/>
          </w:tcPr>
          <w:p w14:paraId="13F3997C" w14:textId="77777777" w:rsidR="00DC22E9" w:rsidRDefault="00DC22E9" w:rsidP="00DC22E9">
            <w:pPr>
              <w:numPr>
                <w:ilvl w:val="0"/>
                <w:numId w:val="0"/>
              </w:numPr>
            </w:pPr>
            <w:r>
              <w:t>Other related professionals</w:t>
            </w:r>
          </w:p>
        </w:tc>
        <w:tc>
          <w:tcPr>
            <w:tcW w:w="1531" w:type="dxa"/>
          </w:tcPr>
          <w:p w14:paraId="0353ED43" w14:textId="77777777" w:rsidR="00DC22E9" w:rsidRPr="004054D3" w:rsidRDefault="00DC22E9" w:rsidP="00DC22E9">
            <w:pPr>
              <w:numPr>
                <w:ilvl w:val="0"/>
                <w:numId w:val="0"/>
              </w:numPr>
              <w:rPr>
                <w:i/>
                <w:iCs/>
              </w:rPr>
            </w:pPr>
            <w:r w:rsidRPr="004054D3">
              <w:rPr>
                <w:rFonts w:cstheme="minorHAnsi"/>
                <w:i/>
                <w:iCs/>
              </w:rPr>
              <w:t>√</w:t>
            </w:r>
          </w:p>
        </w:tc>
        <w:tc>
          <w:tcPr>
            <w:tcW w:w="5554" w:type="dxa"/>
            <w:gridSpan w:val="3"/>
          </w:tcPr>
          <w:p w14:paraId="45C1D431" w14:textId="77777777" w:rsidR="00DC22E9" w:rsidRDefault="00DC22E9" w:rsidP="00DC22E9">
            <w:pPr>
              <w:numPr>
                <w:ilvl w:val="0"/>
                <w:numId w:val="0"/>
              </w:numPr>
            </w:pPr>
            <w:r>
              <w:t>Via professional bodies</w:t>
            </w:r>
          </w:p>
        </w:tc>
      </w:tr>
      <w:tr w:rsidR="00DC22E9" w14:paraId="551EE398" w14:textId="77777777" w:rsidTr="0009217B">
        <w:tc>
          <w:tcPr>
            <w:tcW w:w="1931" w:type="dxa"/>
          </w:tcPr>
          <w:p w14:paraId="7DED20CC" w14:textId="77777777" w:rsidR="00DC22E9" w:rsidRDefault="00DC22E9" w:rsidP="00DC22E9">
            <w:pPr>
              <w:numPr>
                <w:ilvl w:val="0"/>
                <w:numId w:val="0"/>
              </w:numPr>
            </w:pPr>
            <w:r>
              <w:t>Private clients</w:t>
            </w:r>
          </w:p>
        </w:tc>
        <w:tc>
          <w:tcPr>
            <w:tcW w:w="1531" w:type="dxa"/>
          </w:tcPr>
          <w:p w14:paraId="0D1036E3" w14:textId="77777777" w:rsidR="00DC22E9" w:rsidRPr="004054D3" w:rsidRDefault="00DC22E9" w:rsidP="00DC22E9">
            <w:pPr>
              <w:numPr>
                <w:ilvl w:val="0"/>
                <w:numId w:val="0"/>
              </w:numPr>
              <w:rPr>
                <w:rFonts w:cstheme="minorHAnsi"/>
                <w:i/>
                <w:iCs/>
              </w:rPr>
            </w:pPr>
            <w:r w:rsidRPr="004054D3">
              <w:rPr>
                <w:rFonts w:cstheme="minorHAnsi"/>
                <w:i/>
                <w:iCs/>
              </w:rPr>
              <w:t>√</w:t>
            </w:r>
          </w:p>
        </w:tc>
        <w:tc>
          <w:tcPr>
            <w:tcW w:w="1878" w:type="dxa"/>
          </w:tcPr>
          <w:p w14:paraId="421650D8" w14:textId="77777777" w:rsidR="00DC22E9" w:rsidRDefault="00DC22E9" w:rsidP="00DC22E9">
            <w:pPr>
              <w:numPr>
                <w:ilvl w:val="0"/>
                <w:numId w:val="0"/>
              </w:numPr>
            </w:pPr>
          </w:p>
        </w:tc>
        <w:tc>
          <w:tcPr>
            <w:tcW w:w="1749" w:type="dxa"/>
          </w:tcPr>
          <w:p w14:paraId="6D285904" w14:textId="77777777" w:rsidR="00DC22E9" w:rsidRDefault="00DC22E9" w:rsidP="00DC22E9">
            <w:pPr>
              <w:numPr>
                <w:ilvl w:val="0"/>
                <w:numId w:val="0"/>
              </w:numPr>
            </w:pPr>
          </w:p>
        </w:tc>
        <w:tc>
          <w:tcPr>
            <w:tcW w:w="1927" w:type="dxa"/>
          </w:tcPr>
          <w:p w14:paraId="3FEBD388" w14:textId="77777777" w:rsidR="00DC22E9" w:rsidRDefault="00DC22E9" w:rsidP="00DC22E9">
            <w:pPr>
              <w:numPr>
                <w:ilvl w:val="0"/>
                <w:numId w:val="0"/>
              </w:numPr>
            </w:pPr>
          </w:p>
        </w:tc>
      </w:tr>
      <w:tr w:rsidR="00DC22E9" w14:paraId="79DAD32D" w14:textId="77777777" w:rsidTr="0009217B">
        <w:tc>
          <w:tcPr>
            <w:tcW w:w="1931" w:type="dxa"/>
          </w:tcPr>
          <w:p w14:paraId="1D0E1A3C" w14:textId="77777777" w:rsidR="00DC22E9" w:rsidRDefault="00DC22E9" w:rsidP="00DC22E9">
            <w:pPr>
              <w:numPr>
                <w:ilvl w:val="0"/>
                <w:numId w:val="0"/>
              </w:numPr>
            </w:pPr>
            <w:r>
              <w:t>Public</w:t>
            </w:r>
          </w:p>
        </w:tc>
        <w:tc>
          <w:tcPr>
            <w:tcW w:w="1531" w:type="dxa"/>
          </w:tcPr>
          <w:p w14:paraId="4111255F" w14:textId="77777777" w:rsidR="00DC22E9" w:rsidRPr="004054D3" w:rsidRDefault="00DC22E9" w:rsidP="00DC22E9">
            <w:pPr>
              <w:numPr>
                <w:ilvl w:val="0"/>
                <w:numId w:val="0"/>
              </w:numPr>
              <w:rPr>
                <w:i/>
                <w:iCs/>
              </w:rPr>
            </w:pPr>
            <w:r w:rsidRPr="004054D3">
              <w:rPr>
                <w:rFonts w:cstheme="minorHAnsi"/>
                <w:i/>
                <w:iCs/>
              </w:rPr>
              <w:t>√</w:t>
            </w:r>
          </w:p>
        </w:tc>
        <w:tc>
          <w:tcPr>
            <w:tcW w:w="1878" w:type="dxa"/>
          </w:tcPr>
          <w:p w14:paraId="49D3827B" w14:textId="77777777" w:rsidR="00DC22E9" w:rsidRDefault="00DC22E9" w:rsidP="00DC22E9">
            <w:pPr>
              <w:numPr>
                <w:ilvl w:val="0"/>
                <w:numId w:val="0"/>
              </w:numPr>
            </w:pPr>
          </w:p>
        </w:tc>
        <w:tc>
          <w:tcPr>
            <w:tcW w:w="1749" w:type="dxa"/>
          </w:tcPr>
          <w:p w14:paraId="524181C6" w14:textId="77777777" w:rsidR="00DC22E9" w:rsidRDefault="00DC22E9" w:rsidP="00DC22E9">
            <w:pPr>
              <w:numPr>
                <w:ilvl w:val="0"/>
                <w:numId w:val="0"/>
              </w:numPr>
            </w:pPr>
          </w:p>
        </w:tc>
        <w:tc>
          <w:tcPr>
            <w:tcW w:w="1927" w:type="dxa"/>
          </w:tcPr>
          <w:p w14:paraId="361C61A5" w14:textId="77777777" w:rsidR="00DC22E9" w:rsidRDefault="00DC22E9" w:rsidP="00DC22E9">
            <w:pPr>
              <w:numPr>
                <w:ilvl w:val="0"/>
                <w:numId w:val="0"/>
              </w:numPr>
            </w:pPr>
          </w:p>
        </w:tc>
      </w:tr>
      <w:tr w:rsidR="00DC22E9" w14:paraId="23959F76" w14:textId="77777777" w:rsidTr="0009217B">
        <w:tc>
          <w:tcPr>
            <w:tcW w:w="1931" w:type="dxa"/>
          </w:tcPr>
          <w:p w14:paraId="5AE45630" w14:textId="77777777" w:rsidR="00DC22E9" w:rsidRDefault="00DC22E9" w:rsidP="00DC22E9">
            <w:pPr>
              <w:numPr>
                <w:ilvl w:val="0"/>
                <w:numId w:val="0"/>
              </w:numPr>
            </w:pPr>
          </w:p>
        </w:tc>
        <w:tc>
          <w:tcPr>
            <w:tcW w:w="1531" w:type="dxa"/>
          </w:tcPr>
          <w:p w14:paraId="04CB5E8F" w14:textId="77777777" w:rsidR="00DC22E9" w:rsidRDefault="00DC22E9" w:rsidP="00DC22E9">
            <w:pPr>
              <w:numPr>
                <w:ilvl w:val="0"/>
                <w:numId w:val="0"/>
              </w:numPr>
            </w:pPr>
          </w:p>
        </w:tc>
        <w:tc>
          <w:tcPr>
            <w:tcW w:w="1878" w:type="dxa"/>
          </w:tcPr>
          <w:p w14:paraId="08F755BD" w14:textId="77777777" w:rsidR="00DC22E9" w:rsidRDefault="00DC22E9" w:rsidP="00DC22E9">
            <w:pPr>
              <w:numPr>
                <w:ilvl w:val="0"/>
                <w:numId w:val="0"/>
              </w:numPr>
            </w:pPr>
          </w:p>
        </w:tc>
        <w:tc>
          <w:tcPr>
            <w:tcW w:w="1749" w:type="dxa"/>
          </w:tcPr>
          <w:p w14:paraId="13A0F992" w14:textId="77777777" w:rsidR="00DC22E9" w:rsidRDefault="00DC22E9" w:rsidP="00DC22E9">
            <w:pPr>
              <w:numPr>
                <w:ilvl w:val="0"/>
                <w:numId w:val="0"/>
              </w:numPr>
            </w:pPr>
          </w:p>
        </w:tc>
        <w:tc>
          <w:tcPr>
            <w:tcW w:w="1927" w:type="dxa"/>
          </w:tcPr>
          <w:p w14:paraId="21931B93" w14:textId="77777777" w:rsidR="00DC22E9" w:rsidRDefault="00DC22E9" w:rsidP="00DC22E9">
            <w:pPr>
              <w:numPr>
                <w:ilvl w:val="0"/>
                <w:numId w:val="0"/>
              </w:numPr>
            </w:pPr>
          </w:p>
        </w:tc>
      </w:tr>
    </w:tbl>
    <w:p w14:paraId="3E13292A" w14:textId="77777777" w:rsidR="007C35F5" w:rsidRDefault="007C35F5" w:rsidP="007C35F5">
      <w:pPr>
        <w:numPr>
          <w:ilvl w:val="0"/>
          <w:numId w:val="0"/>
        </w:numPr>
        <w:ind w:left="357"/>
      </w:pPr>
    </w:p>
    <w:p w14:paraId="001F0C0D" w14:textId="77777777" w:rsidR="00784568" w:rsidRDefault="00784568" w:rsidP="00784568">
      <w:pPr>
        <w:pStyle w:val="Heading3"/>
      </w:pPr>
      <w:r>
        <w:t>Sampling</w:t>
      </w:r>
      <w:r w:rsidR="00A0444B">
        <w:t xml:space="preserve"> for qualitative and quantitative research</w:t>
      </w:r>
    </w:p>
    <w:p w14:paraId="421DEF64" w14:textId="0E53E034" w:rsidR="007F4891" w:rsidRDefault="00931B8D" w:rsidP="00585534">
      <w:r w:rsidRPr="007F4891">
        <w:rPr>
          <w:b/>
          <w:bCs/>
        </w:rPr>
        <w:t>Architects</w:t>
      </w:r>
      <w:r>
        <w:t xml:space="preserve"> and </w:t>
      </w:r>
      <w:r w:rsidRPr="007F4891">
        <w:rPr>
          <w:b/>
          <w:bCs/>
        </w:rPr>
        <w:t>Architect employers</w:t>
      </w:r>
      <w:r>
        <w:t xml:space="preserve"> </w:t>
      </w:r>
      <w:r w:rsidR="00F764CA">
        <w:t xml:space="preserve">are </w:t>
      </w:r>
      <w:proofErr w:type="gramStart"/>
      <w:r w:rsidR="00F764CA">
        <w:t>key</w:t>
      </w:r>
      <w:proofErr w:type="gramEnd"/>
      <w:r w:rsidR="00F764CA">
        <w:t xml:space="preserve"> and we would expect a comprehensive approach to research with these stakeholders.</w:t>
      </w:r>
      <w:r w:rsidR="00FA5FB9">
        <w:t xml:space="preserve"> </w:t>
      </w:r>
    </w:p>
    <w:p w14:paraId="1175B0AA" w14:textId="1C9556AB" w:rsidR="005D4FC2" w:rsidRDefault="006C715A" w:rsidP="00585534">
      <w:r>
        <w:t xml:space="preserve">The register of </w:t>
      </w:r>
      <w:r w:rsidRPr="007F4891">
        <w:rPr>
          <w:b/>
          <w:bCs/>
        </w:rPr>
        <w:t>Arch</w:t>
      </w:r>
      <w:r w:rsidR="000539A6" w:rsidRPr="007F4891">
        <w:rPr>
          <w:b/>
          <w:bCs/>
        </w:rPr>
        <w:t>i</w:t>
      </w:r>
      <w:r w:rsidRPr="007F4891">
        <w:rPr>
          <w:b/>
          <w:bCs/>
        </w:rPr>
        <w:t>tects</w:t>
      </w:r>
      <w:r>
        <w:t xml:space="preserve"> currently contains </w:t>
      </w:r>
      <w:r w:rsidR="00160F12">
        <w:t xml:space="preserve">name and address details of </w:t>
      </w:r>
      <w:r>
        <w:t>42,000 architects.</w:t>
      </w:r>
      <w:r w:rsidR="00220DBA">
        <w:t xml:space="preserve"> While the Register does not contain the following information</w:t>
      </w:r>
      <w:r w:rsidR="00A93FF7">
        <w:t xml:space="preserve">, </w:t>
      </w:r>
      <w:r w:rsidR="009B609D">
        <w:t>I</w:t>
      </w:r>
      <w:r w:rsidR="009A0788">
        <w:t xml:space="preserve">t will be valuable to </w:t>
      </w:r>
      <w:r w:rsidR="005E3447">
        <w:t>be able to</w:t>
      </w:r>
      <w:r w:rsidR="00581D48">
        <w:t xml:space="preserve"> analyse differences</w:t>
      </w:r>
      <w:r w:rsidR="005E3447">
        <w:t xml:space="preserve"> between</w:t>
      </w:r>
      <w:r w:rsidR="005D4FC2">
        <w:t>:</w:t>
      </w:r>
      <w:r w:rsidR="005E3447">
        <w:t xml:space="preserve"> </w:t>
      </w:r>
    </w:p>
    <w:p w14:paraId="6B0729BF" w14:textId="77777777" w:rsidR="005D4FC2" w:rsidRDefault="005E3447" w:rsidP="009B609D">
      <w:pPr>
        <w:pStyle w:val="ListParagraph"/>
        <w:numPr>
          <w:ilvl w:val="0"/>
          <w:numId w:val="20"/>
        </w:numPr>
      </w:pPr>
      <w:r>
        <w:t xml:space="preserve">those </w:t>
      </w:r>
      <w:r w:rsidR="00662DCC">
        <w:t>employed in different sized firms</w:t>
      </w:r>
      <w:r w:rsidR="00845E68">
        <w:t xml:space="preserve"> (as sole practitioners, small, medium or large practices; or multidisciplinary practices)</w:t>
      </w:r>
      <w:r w:rsidR="00581D48">
        <w:t xml:space="preserve">; </w:t>
      </w:r>
    </w:p>
    <w:p w14:paraId="0CD962E0" w14:textId="77777777" w:rsidR="005D4FC2" w:rsidRDefault="00581D48" w:rsidP="00107E0C">
      <w:pPr>
        <w:numPr>
          <w:ilvl w:val="0"/>
          <w:numId w:val="18"/>
        </w:numPr>
        <w:ind w:left="720"/>
      </w:pPr>
      <w:r>
        <w:t xml:space="preserve">those engaged in domestic or commercial work and </w:t>
      </w:r>
    </w:p>
    <w:p w14:paraId="0AB2E0CD" w14:textId="77777777" w:rsidR="00A0444B" w:rsidRDefault="00581D48" w:rsidP="00107E0C">
      <w:pPr>
        <w:numPr>
          <w:ilvl w:val="0"/>
          <w:numId w:val="18"/>
        </w:numPr>
        <w:ind w:left="720"/>
      </w:pPr>
      <w:proofErr w:type="gramStart"/>
      <w:r>
        <w:t>those</w:t>
      </w:r>
      <w:proofErr w:type="gramEnd"/>
      <w:r>
        <w:t xml:space="preserve"> employed in architecture-only or non-architecture-only firms</w:t>
      </w:r>
      <w:r w:rsidR="001F29E7">
        <w:t>.</w:t>
      </w:r>
    </w:p>
    <w:p w14:paraId="0B66DF82" w14:textId="77777777" w:rsidR="002F0D1B" w:rsidRDefault="002F0D1B" w:rsidP="00AB3D3D">
      <w:r>
        <w:t xml:space="preserve">Tenderers are invited to consider how we can maximise the </w:t>
      </w:r>
      <w:r w:rsidR="002A72CC">
        <w:t xml:space="preserve">value of the analysis </w:t>
      </w:r>
      <w:r w:rsidR="00687EBB" w:rsidRPr="00881065">
        <w:rPr>
          <w:i/>
          <w:iCs/>
        </w:rPr>
        <w:t>if</w:t>
      </w:r>
      <w:r w:rsidR="00687EBB">
        <w:t xml:space="preserve"> the Register is used as a sampling source</w:t>
      </w:r>
      <w:r w:rsidR="007F4891">
        <w:t xml:space="preserve"> for Architects</w:t>
      </w:r>
      <w:r w:rsidR="00687EBB">
        <w:t xml:space="preserve">, or to suggest alternative </w:t>
      </w:r>
      <w:r w:rsidR="004C2048">
        <w:t>sampling sources</w:t>
      </w:r>
      <w:r w:rsidR="00687EBB">
        <w:t>.</w:t>
      </w:r>
    </w:p>
    <w:p w14:paraId="04993933" w14:textId="0787CDFA" w:rsidR="002242DC" w:rsidRDefault="00FC632A" w:rsidP="00585534">
      <w:r>
        <w:t xml:space="preserve">RIBA report </w:t>
      </w:r>
      <w:r w:rsidR="000539A6">
        <w:t>2,805 Architecture Practices in 2012-13</w:t>
      </w:r>
      <w:r w:rsidR="00BC3C75">
        <w:t xml:space="preserve">. However, not all Architects will be employed in Architect practices and </w:t>
      </w:r>
      <w:r w:rsidR="00A227F3">
        <w:t>will be employed in Construction companies or Local Authorities etc.</w:t>
      </w:r>
      <w:r w:rsidR="00DB7000">
        <w:t xml:space="preserve"> It will be important to include all types of employer of architects within the </w:t>
      </w:r>
      <w:r w:rsidR="003F6D69">
        <w:t xml:space="preserve">research. </w:t>
      </w:r>
      <w:r w:rsidR="00BB18C6">
        <w:t xml:space="preserve">Tenderers are invited to suggest how to sample </w:t>
      </w:r>
      <w:r w:rsidR="00BB18C6" w:rsidRPr="0023426C">
        <w:rPr>
          <w:b/>
          <w:bCs/>
        </w:rPr>
        <w:t>employers of architects</w:t>
      </w:r>
      <w:r w:rsidR="00BB18C6">
        <w:t xml:space="preserve"> within the Architecture </w:t>
      </w:r>
      <w:r w:rsidR="00F50DB1">
        <w:t xml:space="preserve">industrial </w:t>
      </w:r>
      <w:r w:rsidR="00BB18C6">
        <w:t xml:space="preserve">sector </w:t>
      </w:r>
      <w:r w:rsidR="000C5954">
        <w:t xml:space="preserve">(SIC </w:t>
      </w:r>
      <w:r w:rsidR="005E6826">
        <w:t>7</w:t>
      </w:r>
      <w:r w:rsidR="00AF15B4">
        <w:t xml:space="preserve">1.1) </w:t>
      </w:r>
      <w:r w:rsidR="00BB18C6">
        <w:t>and outside</w:t>
      </w:r>
      <w:r w:rsidR="00F50DB1">
        <w:t>.</w:t>
      </w:r>
    </w:p>
    <w:p w14:paraId="05340B22" w14:textId="2AE61004" w:rsidR="00C77159" w:rsidRPr="00F23094" w:rsidRDefault="00171CF7" w:rsidP="005D6215">
      <w:r w:rsidRPr="007E1B53">
        <w:lastRenderedPageBreak/>
        <w:t>In 2015/16, there were 15,500 students in the UK’s Schools of Architecture</w:t>
      </w:r>
      <w:r w:rsidR="007E1B53" w:rsidRPr="003A2D74">
        <w:rPr>
          <w:vertAlign w:val="superscript"/>
        </w:rPr>
        <w:footnoteReference w:id="3"/>
      </w:r>
      <w:r w:rsidR="00572075">
        <w:t xml:space="preserve"> attending </w:t>
      </w:r>
      <w:r w:rsidR="00D77423">
        <w:t>around 60 Institutions</w:t>
      </w:r>
      <w:r w:rsidR="005A1319">
        <w:t>. The institutions</w:t>
      </w:r>
      <w:r w:rsidR="002D152F">
        <w:t xml:space="preserve"> that currently offer ARB-prescribed qualifications</w:t>
      </w:r>
      <w:r w:rsidR="005A1319">
        <w:t xml:space="preserve"> are listed at </w:t>
      </w:r>
      <w:hyperlink r:id="rId14" w:history="1">
        <w:r w:rsidR="00973CFD">
          <w:rPr>
            <w:rStyle w:val="Hyperlink"/>
          </w:rPr>
          <w:t>http://www.arb.org.uk/student-information/schools-institutions-architecture/</w:t>
        </w:r>
      </w:hyperlink>
    </w:p>
    <w:p w14:paraId="389BD445" w14:textId="76B85E6E" w:rsidR="00F23094" w:rsidRDefault="00C35A38" w:rsidP="00585534">
      <w:r>
        <w:t xml:space="preserve">There are a number of </w:t>
      </w:r>
      <w:r w:rsidR="00FF36CE">
        <w:t xml:space="preserve">different types of </w:t>
      </w:r>
      <w:r w:rsidR="00FF36CE" w:rsidRPr="000D1600">
        <w:rPr>
          <w:b/>
          <w:bCs/>
        </w:rPr>
        <w:t>c</w:t>
      </w:r>
      <w:r w:rsidR="00A30222" w:rsidRPr="000D1600">
        <w:rPr>
          <w:b/>
          <w:bCs/>
        </w:rPr>
        <w:t>lients</w:t>
      </w:r>
      <w:r w:rsidR="009D3E9E">
        <w:rPr>
          <w:b/>
          <w:bCs/>
        </w:rPr>
        <w:t>/procurers of architect’s services</w:t>
      </w:r>
      <w:r w:rsidR="00FF36CE" w:rsidRPr="000D1600">
        <w:rPr>
          <w:b/>
          <w:bCs/>
        </w:rPr>
        <w:t>.</w:t>
      </w:r>
      <w:r w:rsidR="00FF36CE">
        <w:t xml:space="preserve"> Our expectation is to focus on</w:t>
      </w:r>
      <w:r w:rsidR="00131879">
        <w:t xml:space="preserve"> large</w:t>
      </w:r>
      <w:r w:rsidR="00753A44">
        <w:t>-scale clients</w:t>
      </w:r>
      <w:r w:rsidR="00586573">
        <w:t xml:space="preserve"> and representative bodies in the primary research. Individual</w:t>
      </w:r>
      <w:r w:rsidR="00AA41C6">
        <w:t>, private</w:t>
      </w:r>
      <w:r w:rsidR="00586573">
        <w:t xml:space="preserve"> clients will be covered in the Call for Evidence.</w:t>
      </w:r>
      <w:r w:rsidR="00586573" w:rsidRPr="00586573">
        <w:t xml:space="preserve"> </w:t>
      </w:r>
      <w:r w:rsidR="00586573">
        <w:t xml:space="preserve">Tenderers are invited to suggest how to </w:t>
      </w:r>
      <w:r w:rsidR="00A306BE">
        <w:t xml:space="preserve">define and </w:t>
      </w:r>
      <w:r w:rsidR="00586573">
        <w:t xml:space="preserve">sample </w:t>
      </w:r>
      <w:r w:rsidR="00116125">
        <w:t xml:space="preserve">large-scale </w:t>
      </w:r>
      <w:r w:rsidR="00A306BE">
        <w:t>clients</w:t>
      </w:r>
      <w:r w:rsidR="00116125">
        <w:t>/procurers</w:t>
      </w:r>
      <w:r w:rsidR="00A306BE">
        <w:t xml:space="preserve"> for </w:t>
      </w:r>
      <w:r w:rsidR="000D1600">
        <w:t>the research</w:t>
      </w:r>
      <w:r w:rsidR="00982F59">
        <w:t xml:space="preserve"> to ensure the research captures the nature of the demand and future demand for architect’s services and competencies</w:t>
      </w:r>
      <w:r w:rsidR="000D1600">
        <w:t>.</w:t>
      </w:r>
    </w:p>
    <w:p w14:paraId="4D2B2864" w14:textId="77777777" w:rsidR="00C77159" w:rsidRDefault="00C77159" w:rsidP="00585534">
      <w:r>
        <w:t xml:space="preserve">ARB will work with the Supplier to identify relevant </w:t>
      </w:r>
      <w:r w:rsidR="00383CCF" w:rsidRPr="00CD590C">
        <w:rPr>
          <w:b/>
          <w:bCs/>
        </w:rPr>
        <w:t>stakeholders</w:t>
      </w:r>
      <w:r w:rsidR="00383CCF">
        <w:t xml:space="preserve"> </w:t>
      </w:r>
      <w:r w:rsidR="00CD590C">
        <w:t xml:space="preserve">including </w:t>
      </w:r>
      <w:r>
        <w:t>Government departments across the UK</w:t>
      </w:r>
      <w:r w:rsidR="00155521">
        <w:t>, Interest Groups, Professional Bodies and Insurers (particularly those providing Professional Indemn</w:t>
      </w:r>
      <w:r w:rsidR="00FD0CE0">
        <w:t>i</w:t>
      </w:r>
      <w:r w:rsidR="00155521">
        <w:t>ty for Archi</w:t>
      </w:r>
      <w:r w:rsidR="00FD0CE0">
        <w:t>t</w:t>
      </w:r>
      <w:r w:rsidR="00155521">
        <w:t>ects or similar</w:t>
      </w:r>
      <w:r w:rsidR="00617561">
        <w:t xml:space="preserve"> occupations</w:t>
      </w:r>
      <w:r w:rsidR="00155521">
        <w:t>)</w:t>
      </w:r>
      <w:r w:rsidR="008215E6">
        <w:t>.</w:t>
      </w:r>
    </w:p>
    <w:p w14:paraId="0BB96F8E" w14:textId="77777777" w:rsidR="008215E6" w:rsidRDefault="00E812F0" w:rsidP="00081EE3">
      <w:pPr>
        <w:pStyle w:val="Heading3"/>
      </w:pPr>
      <w:r>
        <w:t>Mode of administration</w:t>
      </w:r>
    </w:p>
    <w:p w14:paraId="63F94B4A" w14:textId="235A7A30" w:rsidR="00374B0F" w:rsidRDefault="00E92765" w:rsidP="000C07EA">
      <w:r>
        <w:t>ARB does not wish to pr</w:t>
      </w:r>
      <w:r w:rsidR="00B228C5">
        <w:t>e</w:t>
      </w:r>
      <w:r>
        <w:t>scribe specific approaches to the qualitative and quantitative research. Tendering organisations are invited to submit proposals in keeping with the requirements of the research and the budget and thus we expect propos</w:t>
      </w:r>
      <w:r w:rsidR="00D6193D">
        <w:t>als may include</w:t>
      </w:r>
      <w:r>
        <w:t xml:space="preserve"> a mix of face to face and telephone one to one interviews; virtual or live focus groups; on-line or telephone surveys</w:t>
      </w:r>
      <w:r w:rsidR="00F9681F">
        <w:t xml:space="preserve"> and for this to vary by stakeholder group</w:t>
      </w:r>
      <w:r w:rsidR="0054659C">
        <w:t xml:space="preserve">, but we also recognise </w:t>
      </w:r>
      <w:r w:rsidR="00642398">
        <w:t xml:space="preserve">that </w:t>
      </w:r>
      <w:r w:rsidR="0054659C">
        <w:t xml:space="preserve">the restrictions </w:t>
      </w:r>
      <w:r w:rsidR="00883B83">
        <w:t>imposed by Coronavirus</w:t>
      </w:r>
      <w:r w:rsidR="002334C0">
        <w:t>,</w:t>
      </w:r>
      <w:r w:rsidR="00883B83">
        <w:t xml:space="preserve"> and how long they </w:t>
      </w:r>
      <w:r w:rsidR="00642398">
        <w:t xml:space="preserve">will </w:t>
      </w:r>
      <w:r w:rsidR="00883B83">
        <w:t>remain in place</w:t>
      </w:r>
      <w:r w:rsidR="002334C0">
        <w:t>,</w:t>
      </w:r>
      <w:r w:rsidR="00883B83">
        <w:t xml:space="preserve"> are unknown at this time</w:t>
      </w:r>
      <w:r>
        <w:t xml:space="preserve">. </w:t>
      </w:r>
    </w:p>
    <w:p w14:paraId="6DCA3244" w14:textId="77777777" w:rsidR="00E92765" w:rsidRDefault="00374B0F" w:rsidP="000C07EA">
      <w:r>
        <w:t xml:space="preserve">The approach to Deliberative </w:t>
      </w:r>
      <w:r w:rsidR="003C7131">
        <w:t>I</w:t>
      </w:r>
      <w:r>
        <w:t xml:space="preserve">nquiry, if included, should be </w:t>
      </w:r>
      <w:r w:rsidR="00AA46E9">
        <w:t xml:space="preserve">similarly </w:t>
      </w:r>
      <w:r>
        <w:t xml:space="preserve">detailed. </w:t>
      </w:r>
    </w:p>
    <w:p w14:paraId="00F7597C" w14:textId="57012DF0" w:rsidR="005069A9" w:rsidRDefault="005069A9" w:rsidP="000C07EA">
      <w:r>
        <w:t xml:space="preserve">ARB offices </w:t>
      </w:r>
      <w:r w:rsidR="00A041A7">
        <w:t xml:space="preserve">in Central London </w:t>
      </w:r>
      <w:r>
        <w:t xml:space="preserve">are available for hosting events/ workshops where up to </w:t>
      </w:r>
      <w:r w:rsidR="0025767D">
        <w:t xml:space="preserve">40 </w:t>
      </w:r>
      <w:r>
        <w:t>people can be accommodated</w:t>
      </w:r>
      <w:r w:rsidR="006B4D98">
        <w:t>, depending on the format</w:t>
      </w:r>
      <w:r>
        <w:t>.</w:t>
      </w:r>
    </w:p>
    <w:p w14:paraId="2C30AA69" w14:textId="088B4AE2" w:rsidR="00A774F8" w:rsidRDefault="0079004B" w:rsidP="007B0CB7">
      <w:pPr>
        <w:pStyle w:val="Heading3"/>
      </w:pPr>
      <w:r>
        <w:t>Research Tools</w:t>
      </w:r>
    </w:p>
    <w:p w14:paraId="62C466D6" w14:textId="5A0543FC" w:rsidR="0079004B" w:rsidRPr="0079004B" w:rsidRDefault="00F5736B" w:rsidP="0079004B">
      <w:r>
        <w:t xml:space="preserve">All questionnaires and topic guides </w:t>
      </w:r>
      <w:proofErr w:type="spellStart"/>
      <w:r>
        <w:t>etc</w:t>
      </w:r>
      <w:proofErr w:type="spellEnd"/>
      <w:r>
        <w:t xml:space="preserve"> will be produced in consultation with ARB Steering Group (see below)</w:t>
      </w:r>
    </w:p>
    <w:p w14:paraId="6206591B" w14:textId="77777777" w:rsidR="007B0CB7" w:rsidRDefault="007B0CB7" w:rsidP="007B0CB7">
      <w:pPr>
        <w:pStyle w:val="Heading3"/>
      </w:pPr>
      <w:r>
        <w:t>Analysis</w:t>
      </w:r>
    </w:p>
    <w:p w14:paraId="289559C8" w14:textId="77777777" w:rsidR="00EA74EA" w:rsidRDefault="00EA74EA" w:rsidP="00EA74EA">
      <w:r>
        <w:t>Tenderers should indicate how they will analyse data gathered through the literature and data review and ensure quality standards.</w:t>
      </w:r>
    </w:p>
    <w:p w14:paraId="04A21E48" w14:textId="77777777" w:rsidR="000A64B1" w:rsidRDefault="00552E6D" w:rsidP="005D6215">
      <w:r>
        <w:t xml:space="preserve">Tenderers should indicate how they will analyse qualitative and quantitative primary data and ensure </w:t>
      </w:r>
      <w:r w:rsidR="000A64B1">
        <w:t>quality standards.</w:t>
      </w:r>
    </w:p>
    <w:p w14:paraId="5A7074B7" w14:textId="4268FA75" w:rsidR="00B71256" w:rsidRDefault="008C455D" w:rsidP="005D6215">
      <w:r>
        <w:t>T</w:t>
      </w:r>
      <w:r w:rsidR="00B71256">
        <w:t xml:space="preserve">he Supplier will be expected to </w:t>
      </w:r>
      <w:r w:rsidR="00CE0AB5">
        <w:t xml:space="preserve">proportionately </w:t>
      </w:r>
      <w:r w:rsidR="009A0CDC">
        <w:t xml:space="preserve">draw on all sources of </w:t>
      </w:r>
      <w:r w:rsidR="00F35BA3">
        <w:t xml:space="preserve">evidence </w:t>
      </w:r>
      <w:r w:rsidR="009A0CDC">
        <w:t xml:space="preserve">used to provide </w:t>
      </w:r>
      <w:r w:rsidR="00E716BD">
        <w:t>a balanced</w:t>
      </w:r>
      <w:r w:rsidR="004E6448">
        <w:t>, robust</w:t>
      </w:r>
      <w:r w:rsidR="00E716BD">
        <w:t xml:space="preserve"> evidence base</w:t>
      </w:r>
      <w:r w:rsidR="006F5C04">
        <w:t xml:space="preserve"> for further stages of the Review</w:t>
      </w:r>
      <w:r w:rsidR="004E6448">
        <w:t>.</w:t>
      </w:r>
      <w:r w:rsidR="00E716BD">
        <w:t xml:space="preserve"> </w:t>
      </w:r>
    </w:p>
    <w:p w14:paraId="273A720A" w14:textId="77777777" w:rsidR="004C58D2" w:rsidRDefault="00543B9B" w:rsidP="00D87233">
      <w:pPr>
        <w:pStyle w:val="Heading1"/>
      </w:pPr>
      <w:r>
        <w:t>Reporting and Dissemination</w:t>
      </w:r>
    </w:p>
    <w:p w14:paraId="0835B025" w14:textId="77777777" w:rsidR="00D618A8" w:rsidRDefault="00C00DDE" w:rsidP="00E92765">
      <w:pPr>
        <w:ind w:left="502" w:hanging="360"/>
      </w:pPr>
      <w:r>
        <w:t>A draft report will be produced and presented to the ARB with a final report following within 2 weeks</w:t>
      </w:r>
      <w:r w:rsidR="00F63A50">
        <w:t xml:space="preserve"> from feedback</w:t>
      </w:r>
      <w:r>
        <w:t xml:space="preserve">. </w:t>
      </w:r>
      <w:r w:rsidR="00D00F47">
        <w:t xml:space="preserve"> The </w:t>
      </w:r>
      <w:r w:rsidR="00E175FC">
        <w:t>report</w:t>
      </w:r>
      <w:r w:rsidR="00D00F47">
        <w:t xml:space="preserve"> will include an analysis of the results of the literature review and research, with the Research Questions clearly responded to, and recommendations for further stages of the Review.</w:t>
      </w:r>
    </w:p>
    <w:p w14:paraId="0EB32C00" w14:textId="77777777" w:rsidR="00623C77" w:rsidRPr="008F6660" w:rsidRDefault="00623C77" w:rsidP="005D6215">
      <w:pPr>
        <w:spacing w:before="6"/>
        <w:ind w:left="502" w:hanging="360"/>
        <w:rPr>
          <w:sz w:val="20"/>
        </w:rPr>
      </w:pPr>
      <w:r>
        <w:t>The Final Report should include, but not be limited</w:t>
      </w:r>
      <w:r w:rsidRPr="008F6660">
        <w:rPr>
          <w:spacing w:val="-6"/>
        </w:rPr>
        <w:t xml:space="preserve"> </w:t>
      </w:r>
      <w:r>
        <w:t>to:</w:t>
      </w:r>
    </w:p>
    <w:p w14:paraId="0AABA417" w14:textId="77777777" w:rsidR="00623C77" w:rsidRDefault="00623C77" w:rsidP="00D618A8">
      <w:pPr>
        <w:pStyle w:val="ListParagraph"/>
        <w:widowControl w:val="0"/>
        <w:numPr>
          <w:ilvl w:val="0"/>
          <w:numId w:val="11"/>
        </w:numPr>
        <w:tabs>
          <w:tab w:val="left" w:pos="1276"/>
        </w:tabs>
        <w:autoSpaceDE w:val="0"/>
        <w:autoSpaceDN w:val="0"/>
        <w:spacing w:after="0" w:line="240" w:lineRule="auto"/>
      </w:pPr>
      <w:r>
        <w:lastRenderedPageBreak/>
        <w:t>an executive</w:t>
      </w:r>
      <w:r w:rsidRPr="00D618A8">
        <w:rPr>
          <w:spacing w:val="-1"/>
        </w:rPr>
        <w:t xml:space="preserve"> </w:t>
      </w:r>
      <w:r>
        <w:t>summary</w:t>
      </w:r>
    </w:p>
    <w:p w14:paraId="75C2C0A6" w14:textId="731A34BB" w:rsidR="00623C77" w:rsidRDefault="00623C77" w:rsidP="00D618A8">
      <w:pPr>
        <w:pStyle w:val="ListParagraph"/>
        <w:widowControl w:val="0"/>
        <w:numPr>
          <w:ilvl w:val="0"/>
          <w:numId w:val="11"/>
        </w:numPr>
        <w:tabs>
          <w:tab w:val="left" w:pos="1276"/>
        </w:tabs>
        <w:autoSpaceDE w:val="0"/>
        <w:autoSpaceDN w:val="0"/>
        <w:spacing w:before="191" w:after="0" w:line="240" w:lineRule="auto"/>
        <w:ind w:right="121"/>
        <w:jc w:val="both"/>
      </w:pPr>
      <w:r>
        <w:t>Methodology section describing the methodology used in depth</w:t>
      </w:r>
    </w:p>
    <w:p w14:paraId="4B658648" w14:textId="77777777" w:rsidR="00623C77" w:rsidRDefault="00623C77" w:rsidP="00D618A8">
      <w:pPr>
        <w:pStyle w:val="ListParagraph"/>
        <w:widowControl w:val="0"/>
        <w:numPr>
          <w:ilvl w:val="0"/>
          <w:numId w:val="11"/>
        </w:numPr>
        <w:tabs>
          <w:tab w:val="left" w:pos="1276"/>
        </w:tabs>
        <w:autoSpaceDE w:val="0"/>
        <w:autoSpaceDN w:val="0"/>
        <w:spacing w:before="192" w:after="0" w:line="240" w:lineRule="auto"/>
      </w:pPr>
      <w:r>
        <w:t>Analysis and presentation of results including illustrative</w:t>
      </w:r>
      <w:r w:rsidRPr="00D618A8">
        <w:rPr>
          <w:spacing w:val="-4"/>
        </w:rPr>
        <w:t xml:space="preserve"> </w:t>
      </w:r>
      <w:r>
        <w:t>graphs</w:t>
      </w:r>
    </w:p>
    <w:p w14:paraId="10DD5A3E" w14:textId="306B4EC4" w:rsidR="00623C77" w:rsidRDefault="00623C77" w:rsidP="00D618A8">
      <w:pPr>
        <w:pStyle w:val="ListParagraph"/>
        <w:widowControl w:val="0"/>
        <w:numPr>
          <w:ilvl w:val="0"/>
          <w:numId w:val="11"/>
        </w:numPr>
        <w:tabs>
          <w:tab w:val="left" w:pos="1276"/>
        </w:tabs>
        <w:autoSpaceDE w:val="0"/>
        <w:autoSpaceDN w:val="0"/>
        <w:spacing w:before="201" w:after="0" w:line="240" w:lineRule="auto"/>
        <w:ind w:right="123"/>
        <w:jc w:val="both"/>
      </w:pPr>
      <w:r>
        <w:t xml:space="preserve">Conclusion and recommendations </w:t>
      </w:r>
      <w:r w:rsidR="006024A8">
        <w:t xml:space="preserve">for next stages of the Review </w:t>
      </w:r>
    </w:p>
    <w:p w14:paraId="16DBA716" w14:textId="393BC852" w:rsidR="00623C77" w:rsidRDefault="00623C77" w:rsidP="00D618A8">
      <w:pPr>
        <w:pStyle w:val="ListParagraph"/>
        <w:widowControl w:val="0"/>
        <w:numPr>
          <w:ilvl w:val="0"/>
          <w:numId w:val="11"/>
        </w:numPr>
        <w:tabs>
          <w:tab w:val="left" w:pos="1276"/>
        </w:tabs>
        <w:autoSpaceDE w:val="0"/>
        <w:autoSpaceDN w:val="0"/>
        <w:spacing w:before="202" w:after="0" w:line="240" w:lineRule="auto"/>
      </w:pPr>
      <w:r>
        <w:t>Annex</w:t>
      </w:r>
      <w:r w:rsidRPr="00D618A8">
        <w:rPr>
          <w:spacing w:val="-14"/>
        </w:rPr>
        <w:t xml:space="preserve"> </w:t>
      </w:r>
      <w:r>
        <w:t>with</w:t>
      </w:r>
      <w:r w:rsidRPr="00D618A8">
        <w:rPr>
          <w:spacing w:val="-13"/>
        </w:rPr>
        <w:t xml:space="preserve"> </w:t>
      </w:r>
      <w:r>
        <w:t>the</w:t>
      </w:r>
      <w:r w:rsidRPr="00D618A8">
        <w:rPr>
          <w:spacing w:val="-13"/>
        </w:rPr>
        <w:t xml:space="preserve"> </w:t>
      </w:r>
      <w:r>
        <w:t>most</w:t>
      </w:r>
      <w:r w:rsidRPr="00D618A8">
        <w:rPr>
          <w:spacing w:val="-12"/>
        </w:rPr>
        <w:t xml:space="preserve"> </w:t>
      </w:r>
      <w:r>
        <w:t>important</w:t>
      </w:r>
      <w:r w:rsidRPr="00D618A8">
        <w:rPr>
          <w:spacing w:val="-11"/>
        </w:rPr>
        <w:t xml:space="preserve"> </w:t>
      </w:r>
      <w:r>
        <w:t>data</w:t>
      </w:r>
      <w:r w:rsidRPr="00D618A8">
        <w:rPr>
          <w:spacing w:val="-16"/>
        </w:rPr>
        <w:t xml:space="preserve"> </w:t>
      </w:r>
      <w:r>
        <w:t>tables,</w:t>
      </w:r>
      <w:r w:rsidRPr="00D618A8">
        <w:rPr>
          <w:spacing w:val="-14"/>
        </w:rPr>
        <w:t xml:space="preserve"> </w:t>
      </w:r>
      <w:r>
        <w:t>questionnaires</w:t>
      </w:r>
      <w:r w:rsidRPr="00D618A8">
        <w:rPr>
          <w:spacing w:val="-13"/>
        </w:rPr>
        <w:t xml:space="preserve"> </w:t>
      </w:r>
    </w:p>
    <w:p w14:paraId="03A5B111" w14:textId="77777777" w:rsidR="00623C77" w:rsidRDefault="00623C77" w:rsidP="00623C77">
      <w:pPr>
        <w:pStyle w:val="BodyText"/>
        <w:rPr>
          <w:sz w:val="24"/>
        </w:rPr>
      </w:pPr>
    </w:p>
    <w:p w14:paraId="068683E4" w14:textId="77777777" w:rsidR="00623C77" w:rsidRDefault="007C2617" w:rsidP="00E92765">
      <w:pPr>
        <w:ind w:left="502" w:hanging="360"/>
      </w:pPr>
      <w:r>
        <w:t xml:space="preserve">The </w:t>
      </w:r>
      <w:r w:rsidR="00623C77">
        <w:t xml:space="preserve">Final Report </w:t>
      </w:r>
      <w:r>
        <w:t xml:space="preserve">must be </w:t>
      </w:r>
      <w:r w:rsidR="00623C77">
        <w:t>well-structured, succinct</w:t>
      </w:r>
      <w:r w:rsidR="00C14E71">
        <w:t xml:space="preserve"> and </w:t>
      </w:r>
      <w:r w:rsidR="00623C77">
        <w:t>written in plain English</w:t>
      </w:r>
      <w:r w:rsidR="00010070">
        <w:t>.</w:t>
      </w:r>
      <w:r w:rsidR="00623C77">
        <w:t xml:space="preserve"> </w:t>
      </w:r>
    </w:p>
    <w:p w14:paraId="717E6378" w14:textId="133A0869" w:rsidR="004E72AD" w:rsidRDefault="00A2745E" w:rsidP="00E92765">
      <w:pPr>
        <w:ind w:left="502" w:hanging="360"/>
      </w:pPr>
      <w:r>
        <w:t xml:space="preserve">The Supplier will be expected to </w:t>
      </w:r>
      <w:r w:rsidR="00F24257">
        <w:t xml:space="preserve">prepare and deliver a presentation of the </w:t>
      </w:r>
      <w:r w:rsidR="00D87233">
        <w:t xml:space="preserve">final </w:t>
      </w:r>
      <w:r w:rsidR="00F24257">
        <w:t>results to the</w:t>
      </w:r>
      <w:r w:rsidR="00D87EB4">
        <w:t xml:space="preserve"> Steering Group and to the</w:t>
      </w:r>
      <w:r w:rsidR="00F24257">
        <w:t xml:space="preserve"> ARB</w:t>
      </w:r>
      <w:r w:rsidR="00221670">
        <w:t xml:space="preserve"> Board</w:t>
      </w:r>
      <w:r w:rsidR="00F24257">
        <w:t xml:space="preserve">. </w:t>
      </w:r>
    </w:p>
    <w:p w14:paraId="18BAE1CA" w14:textId="77777777" w:rsidR="004E72AD" w:rsidRDefault="004E72AD" w:rsidP="00A3320E">
      <w:pPr>
        <w:pStyle w:val="Heading1"/>
      </w:pPr>
      <w:r>
        <w:t>Timing</w:t>
      </w:r>
    </w:p>
    <w:p w14:paraId="5474CB23" w14:textId="77777777" w:rsidR="003845D0" w:rsidRDefault="003845D0" w:rsidP="00E92765">
      <w:pPr>
        <w:ind w:left="502" w:hanging="360"/>
      </w:pPr>
      <w:r>
        <w:t>An outline timetable is provided below</w:t>
      </w:r>
      <w:r w:rsidR="002C39A3">
        <w:t>. Tendering organisations should provide a detailed timetable for the research.</w:t>
      </w:r>
    </w:p>
    <w:tbl>
      <w:tblPr>
        <w:tblStyle w:val="TableGrid"/>
        <w:tblW w:w="9208" w:type="dxa"/>
        <w:tblLook w:val="04A0" w:firstRow="1" w:lastRow="0" w:firstColumn="1" w:lastColumn="0" w:noHBand="0" w:noVBand="1"/>
      </w:tblPr>
      <w:tblGrid>
        <w:gridCol w:w="6232"/>
        <w:gridCol w:w="2976"/>
      </w:tblGrid>
      <w:tr w:rsidR="00A3320E" w:rsidRPr="0081003D" w14:paraId="0785A27D" w14:textId="77777777" w:rsidTr="00005BA2">
        <w:tc>
          <w:tcPr>
            <w:tcW w:w="6232" w:type="dxa"/>
          </w:tcPr>
          <w:p w14:paraId="1FA1E5DE" w14:textId="77777777" w:rsidR="00A3320E" w:rsidRPr="0081003D" w:rsidRDefault="00005BA2" w:rsidP="00A3320E">
            <w:pPr>
              <w:numPr>
                <w:ilvl w:val="0"/>
                <w:numId w:val="0"/>
              </w:numPr>
              <w:rPr>
                <w:b/>
                <w:bCs/>
              </w:rPr>
            </w:pPr>
            <w:r w:rsidRPr="0081003D">
              <w:rPr>
                <w:b/>
                <w:bCs/>
              </w:rPr>
              <w:t>Activity</w:t>
            </w:r>
          </w:p>
        </w:tc>
        <w:tc>
          <w:tcPr>
            <w:tcW w:w="2976" w:type="dxa"/>
          </w:tcPr>
          <w:p w14:paraId="20FC3B8F" w14:textId="77777777" w:rsidR="00A3320E" w:rsidRPr="0081003D" w:rsidRDefault="00F264F1" w:rsidP="00A3320E">
            <w:pPr>
              <w:numPr>
                <w:ilvl w:val="0"/>
                <w:numId w:val="0"/>
              </w:numPr>
              <w:rPr>
                <w:b/>
                <w:bCs/>
              </w:rPr>
            </w:pPr>
            <w:r w:rsidRPr="0081003D">
              <w:rPr>
                <w:b/>
                <w:bCs/>
              </w:rPr>
              <w:t>Expected dates</w:t>
            </w:r>
          </w:p>
        </w:tc>
      </w:tr>
      <w:tr w:rsidR="002C39A3" w:rsidRPr="0081003D" w14:paraId="154CB699" w14:textId="77777777" w:rsidTr="00005BA2">
        <w:tc>
          <w:tcPr>
            <w:tcW w:w="6232" w:type="dxa"/>
          </w:tcPr>
          <w:p w14:paraId="2CB7381A" w14:textId="77777777" w:rsidR="002C39A3" w:rsidRPr="00A64D75" w:rsidRDefault="002C39A3" w:rsidP="00A3320E">
            <w:pPr>
              <w:numPr>
                <w:ilvl w:val="0"/>
                <w:numId w:val="0"/>
              </w:numPr>
            </w:pPr>
            <w:r w:rsidRPr="00A64D75">
              <w:t>Invitation to Tender issued</w:t>
            </w:r>
          </w:p>
        </w:tc>
        <w:tc>
          <w:tcPr>
            <w:tcW w:w="2976" w:type="dxa"/>
          </w:tcPr>
          <w:p w14:paraId="0BF01B1C" w14:textId="18F630E2" w:rsidR="002C39A3" w:rsidRPr="00A64D75" w:rsidRDefault="004C3477" w:rsidP="00A3320E">
            <w:pPr>
              <w:numPr>
                <w:ilvl w:val="0"/>
                <w:numId w:val="0"/>
              </w:numPr>
            </w:pPr>
            <w:r>
              <w:t>By 27</w:t>
            </w:r>
            <w:r w:rsidR="00EF48F0" w:rsidRPr="00EF48F0">
              <w:rPr>
                <w:vertAlign w:val="superscript"/>
              </w:rPr>
              <w:t>th</w:t>
            </w:r>
            <w:r w:rsidR="00EF48F0">
              <w:t xml:space="preserve"> March</w:t>
            </w:r>
          </w:p>
        </w:tc>
      </w:tr>
      <w:tr w:rsidR="002C39A3" w:rsidRPr="0081003D" w14:paraId="3060981E" w14:textId="77777777" w:rsidTr="00005BA2">
        <w:tc>
          <w:tcPr>
            <w:tcW w:w="6232" w:type="dxa"/>
          </w:tcPr>
          <w:p w14:paraId="3B05D29D" w14:textId="77777777" w:rsidR="002C39A3" w:rsidRPr="00A64D75" w:rsidRDefault="002C39A3" w:rsidP="00A3320E">
            <w:pPr>
              <w:numPr>
                <w:ilvl w:val="0"/>
                <w:numId w:val="0"/>
              </w:numPr>
            </w:pPr>
            <w:r w:rsidRPr="00A64D75">
              <w:t>Closing date for questions for ITT</w:t>
            </w:r>
          </w:p>
        </w:tc>
        <w:tc>
          <w:tcPr>
            <w:tcW w:w="2976" w:type="dxa"/>
          </w:tcPr>
          <w:p w14:paraId="696DB25D" w14:textId="6676070D" w:rsidR="0066656D" w:rsidRPr="00A64D75" w:rsidRDefault="004C3477" w:rsidP="00A3320E">
            <w:pPr>
              <w:numPr>
                <w:ilvl w:val="0"/>
                <w:numId w:val="0"/>
              </w:numPr>
            </w:pPr>
            <w:r>
              <w:t>16</w:t>
            </w:r>
            <w:r w:rsidR="006D770B" w:rsidRPr="006D770B">
              <w:rPr>
                <w:vertAlign w:val="superscript"/>
              </w:rPr>
              <w:t>th</w:t>
            </w:r>
            <w:r w:rsidR="006D770B">
              <w:t xml:space="preserve"> </w:t>
            </w:r>
            <w:r w:rsidR="0066656D">
              <w:t>April</w:t>
            </w:r>
          </w:p>
        </w:tc>
      </w:tr>
      <w:tr w:rsidR="002C39A3" w:rsidRPr="0081003D" w14:paraId="35711079" w14:textId="77777777" w:rsidTr="00005BA2">
        <w:tc>
          <w:tcPr>
            <w:tcW w:w="6232" w:type="dxa"/>
          </w:tcPr>
          <w:p w14:paraId="04B873D2" w14:textId="77777777" w:rsidR="002C39A3" w:rsidRPr="00A64D75" w:rsidRDefault="002C39A3" w:rsidP="00A3320E">
            <w:pPr>
              <w:numPr>
                <w:ilvl w:val="0"/>
                <w:numId w:val="0"/>
              </w:numPr>
            </w:pPr>
            <w:r w:rsidRPr="00A64D75">
              <w:t>Closing date for Tenders</w:t>
            </w:r>
          </w:p>
        </w:tc>
        <w:tc>
          <w:tcPr>
            <w:tcW w:w="2976" w:type="dxa"/>
          </w:tcPr>
          <w:p w14:paraId="333FE641" w14:textId="68A80A92" w:rsidR="002C39A3" w:rsidRPr="00A64D75" w:rsidRDefault="004C3477" w:rsidP="00A3320E">
            <w:pPr>
              <w:numPr>
                <w:ilvl w:val="0"/>
                <w:numId w:val="0"/>
              </w:numPr>
            </w:pPr>
            <w:r>
              <w:t>20</w:t>
            </w:r>
            <w:r w:rsidR="0066656D" w:rsidRPr="0066656D">
              <w:rPr>
                <w:vertAlign w:val="superscript"/>
              </w:rPr>
              <w:t>th</w:t>
            </w:r>
            <w:r w:rsidR="0066656D">
              <w:t xml:space="preserve"> April</w:t>
            </w:r>
          </w:p>
        </w:tc>
      </w:tr>
      <w:tr w:rsidR="002C39A3" w:rsidRPr="0081003D" w14:paraId="79C9DE17" w14:textId="77777777" w:rsidTr="00005BA2">
        <w:tc>
          <w:tcPr>
            <w:tcW w:w="6232" w:type="dxa"/>
          </w:tcPr>
          <w:p w14:paraId="4D91C906" w14:textId="77777777" w:rsidR="002C39A3" w:rsidRPr="00A64D75" w:rsidRDefault="002C39A3" w:rsidP="00A3320E">
            <w:pPr>
              <w:numPr>
                <w:ilvl w:val="0"/>
                <w:numId w:val="0"/>
              </w:numPr>
            </w:pPr>
            <w:r w:rsidRPr="00A64D75">
              <w:t>Tendering organisations to be available for interview</w:t>
            </w:r>
          </w:p>
        </w:tc>
        <w:tc>
          <w:tcPr>
            <w:tcW w:w="2976" w:type="dxa"/>
          </w:tcPr>
          <w:p w14:paraId="6CD9C790" w14:textId="76E657E1" w:rsidR="002C39A3" w:rsidRPr="00A64D75" w:rsidRDefault="003470DA" w:rsidP="00A3320E">
            <w:pPr>
              <w:numPr>
                <w:ilvl w:val="0"/>
                <w:numId w:val="0"/>
              </w:numPr>
            </w:pPr>
            <w:r>
              <w:t xml:space="preserve"> May 6</w:t>
            </w:r>
            <w:r w:rsidRPr="00EC7B1C">
              <w:rPr>
                <w:vertAlign w:val="superscript"/>
              </w:rPr>
              <w:t>th</w:t>
            </w:r>
          </w:p>
        </w:tc>
      </w:tr>
      <w:tr w:rsidR="00A3320E" w14:paraId="18E2A533" w14:textId="77777777" w:rsidTr="0024102A">
        <w:tc>
          <w:tcPr>
            <w:tcW w:w="6232" w:type="dxa"/>
            <w:shd w:val="clear" w:color="auto" w:fill="ACB9CA" w:themeFill="text2" w:themeFillTint="66"/>
          </w:tcPr>
          <w:p w14:paraId="5059FF15" w14:textId="77777777" w:rsidR="00A3320E" w:rsidRPr="00A64D75" w:rsidRDefault="00F264F1" w:rsidP="00A3320E">
            <w:pPr>
              <w:numPr>
                <w:ilvl w:val="0"/>
                <w:numId w:val="0"/>
              </w:numPr>
            </w:pPr>
            <w:r w:rsidRPr="00A64D75">
              <w:t>Induction mee</w:t>
            </w:r>
            <w:r w:rsidR="00AB438F" w:rsidRPr="00A64D75">
              <w:t>tin</w:t>
            </w:r>
            <w:r w:rsidR="003A553E" w:rsidRPr="00A64D75">
              <w:t>g</w:t>
            </w:r>
            <w:r w:rsidR="00214EBE">
              <w:t xml:space="preserve"> with Steering Group</w:t>
            </w:r>
          </w:p>
        </w:tc>
        <w:tc>
          <w:tcPr>
            <w:tcW w:w="2976" w:type="dxa"/>
            <w:shd w:val="clear" w:color="auto" w:fill="ACB9CA" w:themeFill="text2" w:themeFillTint="66"/>
          </w:tcPr>
          <w:p w14:paraId="279BA3AB" w14:textId="647EF477" w:rsidR="00A3320E" w:rsidRPr="00A64D75" w:rsidRDefault="00C90736" w:rsidP="00A3320E">
            <w:pPr>
              <w:numPr>
                <w:ilvl w:val="0"/>
                <w:numId w:val="0"/>
              </w:numPr>
            </w:pPr>
            <w:r>
              <w:t>May 13</w:t>
            </w:r>
            <w:r w:rsidRPr="00EC7B1C">
              <w:rPr>
                <w:vertAlign w:val="superscript"/>
              </w:rPr>
              <w:t>th</w:t>
            </w:r>
          </w:p>
        </w:tc>
      </w:tr>
      <w:tr w:rsidR="00A3320E" w14:paraId="49CFB092" w14:textId="77777777" w:rsidTr="00005BA2">
        <w:tc>
          <w:tcPr>
            <w:tcW w:w="6232" w:type="dxa"/>
          </w:tcPr>
          <w:p w14:paraId="49E85358" w14:textId="77777777" w:rsidR="00A3320E" w:rsidRDefault="0081003D" w:rsidP="00A3320E">
            <w:pPr>
              <w:numPr>
                <w:ilvl w:val="0"/>
                <w:numId w:val="0"/>
              </w:numPr>
            </w:pPr>
            <w:r>
              <w:t>Literature Review and preparation for primary research</w:t>
            </w:r>
            <w:r w:rsidR="00795C49">
              <w:t xml:space="preserve"> (sampling </w:t>
            </w:r>
            <w:proofErr w:type="spellStart"/>
            <w:r w:rsidR="00795C49">
              <w:t>etc</w:t>
            </w:r>
            <w:proofErr w:type="spellEnd"/>
            <w:r w:rsidR="00795C49">
              <w:t>)</w:t>
            </w:r>
          </w:p>
        </w:tc>
        <w:tc>
          <w:tcPr>
            <w:tcW w:w="2976" w:type="dxa"/>
          </w:tcPr>
          <w:p w14:paraId="70D22B2F" w14:textId="77777777" w:rsidR="00A3320E" w:rsidRDefault="00795C49" w:rsidP="00A3320E">
            <w:pPr>
              <w:numPr>
                <w:ilvl w:val="0"/>
                <w:numId w:val="0"/>
              </w:numPr>
            </w:pPr>
            <w:r>
              <w:t>May/June</w:t>
            </w:r>
          </w:p>
        </w:tc>
      </w:tr>
      <w:tr w:rsidR="00A17F96" w14:paraId="3418C1E9" w14:textId="77777777" w:rsidTr="0024102A">
        <w:tc>
          <w:tcPr>
            <w:tcW w:w="6232" w:type="dxa"/>
            <w:shd w:val="clear" w:color="auto" w:fill="ACB9CA" w:themeFill="text2" w:themeFillTint="66"/>
          </w:tcPr>
          <w:p w14:paraId="3FB5ACAD" w14:textId="77777777" w:rsidR="00A17F96" w:rsidRDefault="00A17F96" w:rsidP="00A3320E">
            <w:pPr>
              <w:numPr>
                <w:ilvl w:val="0"/>
                <w:numId w:val="0"/>
              </w:numPr>
            </w:pPr>
            <w:r>
              <w:t xml:space="preserve">Steering Group meeting </w:t>
            </w:r>
            <w:r w:rsidR="00714D53">
              <w:t>–</w:t>
            </w:r>
            <w:r>
              <w:t xml:space="preserve"> </w:t>
            </w:r>
            <w:r w:rsidR="00714D53">
              <w:t>review research tools, methodologies and Lit Review</w:t>
            </w:r>
          </w:p>
        </w:tc>
        <w:tc>
          <w:tcPr>
            <w:tcW w:w="2976" w:type="dxa"/>
            <w:shd w:val="clear" w:color="auto" w:fill="ACB9CA" w:themeFill="text2" w:themeFillTint="66"/>
          </w:tcPr>
          <w:p w14:paraId="37AE484F" w14:textId="77777777" w:rsidR="00A17F96" w:rsidRDefault="00714D53" w:rsidP="00A3320E">
            <w:pPr>
              <w:numPr>
                <w:ilvl w:val="0"/>
                <w:numId w:val="0"/>
              </w:numPr>
            </w:pPr>
            <w:r>
              <w:t>June, tbc.</w:t>
            </w:r>
          </w:p>
        </w:tc>
      </w:tr>
      <w:tr w:rsidR="00A3320E" w14:paraId="518CA90F" w14:textId="77777777" w:rsidTr="00005BA2">
        <w:tc>
          <w:tcPr>
            <w:tcW w:w="6232" w:type="dxa"/>
          </w:tcPr>
          <w:p w14:paraId="34D3DEDD" w14:textId="77777777" w:rsidR="00A3320E" w:rsidRDefault="0081003D" w:rsidP="00A3320E">
            <w:pPr>
              <w:numPr>
                <w:ilvl w:val="0"/>
                <w:numId w:val="0"/>
              </w:numPr>
            </w:pPr>
            <w:r>
              <w:t xml:space="preserve">Primary Research </w:t>
            </w:r>
            <w:r w:rsidR="00063445">
              <w:t>(including Deliberative Inquiry)</w:t>
            </w:r>
          </w:p>
        </w:tc>
        <w:tc>
          <w:tcPr>
            <w:tcW w:w="2976" w:type="dxa"/>
          </w:tcPr>
          <w:p w14:paraId="3F19883F" w14:textId="6E7576D7" w:rsidR="00A3320E" w:rsidRDefault="00795C49" w:rsidP="00A3320E">
            <w:pPr>
              <w:numPr>
                <w:ilvl w:val="0"/>
                <w:numId w:val="0"/>
              </w:numPr>
            </w:pPr>
            <w:r>
              <w:t>June</w:t>
            </w:r>
            <w:r w:rsidR="00AE58B2">
              <w:t xml:space="preserve"> to </w:t>
            </w:r>
            <w:r w:rsidR="0008727E">
              <w:t>October</w:t>
            </w:r>
          </w:p>
        </w:tc>
      </w:tr>
      <w:tr w:rsidR="0024102A" w14:paraId="37679F14" w14:textId="77777777" w:rsidTr="0024102A">
        <w:tc>
          <w:tcPr>
            <w:tcW w:w="6232" w:type="dxa"/>
            <w:shd w:val="clear" w:color="auto" w:fill="ACB9CA" w:themeFill="text2" w:themeFillTint="66"/>
          </w:tcPr>
          <w:p w14:paraId="1C3E8BED" w14:textId="77777777" w:rsidR="0024102A" w:rsidRDefault="0024102A" w:rsidP="00A3320E">
            <w:pPr>
              <w:numPr>
                <w:ilvl w:val="0"/>
                <w:numId w:val="0"/>
              </w:numPr>
            </w:pPr>
            <w:r>
              <w:t>Steering Group (pre Deliberative Inquiry (if applicable)</w:t>
            </w:r>
          </w:p>
        </w:tc>
        <w:tc>
          <w:tcPr>
            <w:tcW w:w="2976" w:type="dxa"/>
            <w:shd w:val="clear" w:color="auto" w:fill="ACB9CA" w:themeFill="text2" w:themeFillTint="66"/>
          </w:tcPr>
          <w:p w14:paraId="268AD705" w14:textId="0424E684" w:rsidR="0024102A" w:rsidRDefault="000B462C" w:rsidP="00A3320E">
            <w:pPr>
              <w:numPr>
                <w:ilvl w:val="0"/>
                <w:numId w:val="0"/>
              </w:numPr>
            </w:pPr>
            <w:r>
              <w:t>T</w:t>
            </w:r>
            <w:r w:rsidR="0024102A">
              <w:t>bc</w:t>
            </w:r>
          </w:p>
        </w:tc>
      </w:tr>
      <w:tr w:rsidR="00A3320E" w14:paraId="00F4C87D" w14:textId="77777777" w:rsidTr="00005BA2">
        <w:tc>
          <w:tcPr>
            <w:tcW w:w="6232" w:type="dxa"/>
          </w:tcPr>
          <w:p w14:paraId="1D4E87F4" w14:textId="77777777" w:rsidR="00A3320E" w:rsidRDefault="00DD298A" w:rsidP="00A3320E">
            <w:pPr>
              <w:numPr>
                <w:ilvl w:val="0"/>
                <w:numId w:val="0"/>
              </w:numPr>
            </w:pPr>
            <w:r>
              <w:t>Draft report</w:t>
            </w:r>
          </w:p>
        </w:tc>
        <w:tc>
          <w:tcPr>
            <w:tcW w:w="2976" w:type="dxa"/>
          </w:tcPr>
          <w:p w14:paraId="68C24C44" w14:textId="77777777" w:rsidR="00A3320E" w:rsidRDefault="00760409" w:rsidP="00A3320E">
            <w:pPr>
              <w:numPr>
                <w:ilvl w:val="0"/>
                <w:numId w:val="0"/>
              </w:numPr>
            </w:pPr>
            <w:r>
              <w:t>13</w:t>
            </w:r>
            <w:r w:rsidRPr="00760409">
              <w:rPr>
                <w:vertAlign w:val="superscript"/>
              </w:rPr>
              <w:t>th</w:t>
            </w:r>
            <w:r>
              <w:t xml:space="preserve"> November</w:t>
            </w:r>
          </w:p>
        </w:tc>
      </w:tr>
      <w:tr w:rsidR="00DD298A" w14:paraId="1BAC0BA2" w14:textId="77777777" w:rsidTr="0024102A">
        <w:tc>
          <w:tcPr>
            <w:tcW w:w="6232" w:type="dxa"/>
            <w:shd w:val="clear" w:color="auto" w:fill="ACB9CA" w:themeFill="text2" w:themeFillTint="66"/>
          </w:tcPr>
          <w:p w14:paraId="49BC1995" w14:textId="77777777" w:rsidR="00DD298A" w:rsidRDefault="00214EBE" w:rsidP="00A3320E">
            <w:pPr>
              <w:numPr>
                <w:ilvl w:val="0"/>
                <w:numId w:val="0"/>
              </w:numPr>
            </w:pPr>
            <w:r>
              <w:t>Steering Group meeting</w:t>
            </w:r>
          </w:p>
        </w:tc>
        <w:tc>
          <w:tcPr>
            <w:tcW w:w="2976" w:type="dxa"/>
            <w:shd w:val="clear" w:color="auto" w:fill="ACB9CA" w:themeFill="text2" w:themeFillTint="66"/>
          </w:tcPr>
          <w:p w14:paraId="502E4F7B" w14:textId="77777777" w:rsidR="00DD298A" w:rsidRDefault="00214EBE" w:rsidP="00A3320E">
            <w:pPr>
              <w:numPr>
                <w:ilvl w:val="0"/>
                <w:numId w:val="0"/>
              </w:numPr>
            </w:pPr>
            <w:r>
              <w:t xml:space="preserve">w/c </w:t>
            </w:r>
            <w:r w:rsidR="00301F07">
              <w:t>15</w:t>
            </w:r>
            <w:r w:rsidR="00301F07" w:rsidRPr="00301F07">
              <w:rPr>
                <w:vertAlign w:val="superscript"/>
              </w:rPr>
              <w:t>th</w:t>
            </w:r>
            <w:r w:rsidR="00301F07">
              <w:t xml:space="preserve"> November</w:t>
            </w:r>
          </w:p>
        </w:tc>
      </w:tr>
      <w:tr w:rsidR="00A3320E" w14:paraId="199330D1" w14:textId="77777777" w:rsidTr="00005BA2">
        <w:tc>
          <w:tcPr>
            <w:tcW w:w="6232" w:type="dxa"/>
          </w:tcPr>
          <w:p w14:paraId="3247198C" w14:textId="77777777" w:rsidR="00A3320E" w:rsidRDefault="002F67D4" w:rsidP="00A3320E">
            <w:pPr>
              <w:numPr>
                <w:ilvl w:val="0"/>
                <w:numId w:val="0"/>
              </w:numPr>
            </w:pPr>
            <w:r>
              <w:t>All ou</w:t>
            </w:r>
            <w:r w:rsidR="00DD298A">
              <w:t>t</w:t>
            </w:r>
            <w:r>
              <w:t>puts complete</w:t>
            </w:r>
          </w:p>
        </w:tc>
        <w:tc>
          <w:tcPr>
            <w:tcW w:w="2976" w:type="dxa"/>
          </w:tcPr>
          <w:p w14:paraId="6CABE593" w14:textId="77777777" w:rsidR="00A3320E" w:rsidRDefault="0038102B" w:rsidP="00A3320E">
            <w:pPr>
              <w:numPr>
                <w:ilvl w:val="0"/>
                <w:numId w:val="0"/>
              </w:numPr>
            </w:pPr>
            <w:r>
              <w:t>11</w:t>
            </w:r>
            <w:r w:rsidRPr="0038102B">
              <w:rPr>
                <w:vertAlign w:val="superscript"/>
              </w:rPr>
              <w:t>th</w:t>
            </w:r>
            <w:r>
              <w:t xml:space="preserve"> December 2020</w:t>
            </w:r>
          </w:p>
        </w:tc>
      </w:tr>
    </w:tbl>
    <w:p w14:paraId="3EC47181" w14:textId="77777777" w:rsidR="003845D0" w:rsidRDefault="003845D0" w:rsidP="00A3320E">
      <w:pPr>
        <w:numPr>
          <w:ilvl w:val="0"/>
          <w:numId w:val="0"/>
        </w:numPr>
      </w:pPr>
    </w:p>
    <w:p w14:paraId="114348D1" w14:textId="77777777" w:rsidR="00CD49EF" w:rsidRDefault="00CD49EF" w:rsidP="0055068C">
      <w:pPr>
        <w:pStyle w:val="Heading1"/>
      </w:pPr>
      <w:r>
        <w:t>Budget</w:t>
      </w:r>
    </w:p>
    <w:p w14:paraId="5D4D436E" w14:textId="436EC52B" w:rsidR="00CD49EF" w:rsidRPr="00CD49EF" w:rsidRDefault="00CD49EF" w:rsidP="00CD49EF">
      <w:r>
        <w:t>The ARB has a budget of up to £</w:t>
      </w:r>
      <w:r w:rsidR="00966BBB">
        <w:t>100,000</w:t>
      </w:r>
      <w:r>
        <w:t xml:space="preserve"> (including VAT and all expenses) for this research.</w:t>
      </w:r>
    </w:p>
    <w:p w14:paraId="7820B411" w14:textId="77777777" w:rsidR="0055068C" w:rsidRDefault="0055068C" w:rsidP="0055068C">
      <w:pPr>
        <w:pStyle w:val="Heading1"/>
      </w:pPr>
      <w:r>
        <w:t>Issues/Risks</w:t>
      </w:r>
    </w:p>
    <w:p w14:paraId="19A8D99A" w14:textId="461CB220" w:rsidR="009631EC" w:rsidRDefault="00DB2BCF" w:rsidP="00CD49EF">
      <w:r>
        <w:t xml:space="preserve">For some of the stakeholder groups we want to reach, there is not necessarily a </w:t>
      </w:r>
      <w:r w:rsidR="002B109A">
        <w:t xml:space="preserve">clear source for </w:t>
      </w:r>
      <w:proofErr w:type="gramStart"/>
      <w:r w:rsidR="002B109A">
        <w:t>sampling</w:t>
      </w:r>
      <w:proofErr w:type="gramEnd"/>
      <w:r w:rsidR="002B109A">
        <w:t xml:space="preserve"> respondents</w:t>
      </w:r>
      <w:r w:rsidR="00637B0D">
        <w:t>, as seen above</w:t>
      </w:r>
      <w:r w:rsidR="002B109A">
        <w:t xml:space="preserve">. </w:t>
      </w:r>
      <w:r w:rsidR="009631EC">
        <w:t>Tendering Organisations are expected to give this full consideration in the Tender.</w:t>
      </w:r>
    </w:p>
    <w:p w14:paraId="7DB0B24C" w14:textId="607D59B2" w:rsidR="0055068C" w:rsidRDefault="0055068C" w:rsidP="00CD49EF">
      <w:r>
        <w:t xml:space="preserve">It is possible that the views of stakeholders and partners may lead to conflicting positions, e.g. </w:t>
      </w:r>
      <w:r w:rsidR="005316C1">
        <w:t>on what the criteria covers</w:t>
      </w:r>
      <w:r w:rsidR="00423C2E">
        <w:t xml:space="preserve"> or </w:t>
      </w:r>
      <w:r>
        <w:t>on length</w:t>
      </w:r>
      <w:r w:rsidR="000A1D32">
        <w:t>, mode</w:t>
      </w:r>
      <w:r>
        <w:t xml:space="preserve"> of study</w:t>
      </w:r>
      <w:r w:rsidR="000A1D32">
        <w:t xml:space="preserve"> or study content</w:t>
      </w:r>
      <w:r>
        <w:t xml:space="preserve">. The </w:t>
      </w:r>
      <w:r w:rsidR="002957F7">
        <w:t xml:space="preserve">Supplier </w:t>
      </w:r>
      <w:r>
        <w:t>will identify these tensions and work with ARB to produce recommendations</w:t>
      </w:r>
      <w:r w:rsidR="00597749">
        <w:t xml:space="preserve">, drawing also on objective evidence gathered to </w:t>
      </w:r>
      <w:r w:rsidR="00DC5CC7">
        <w:t>add</w:t>
      </w:r>
      <w:r w:rsidR="00CD49EF">
        <w:t xml:space="preserve"> weight to the conclusions</w:t>
      </w:r>
      <w:r>
        <w:t>.</w:t>
      </w:r>
    </w:p>
    <w:p w14:paraId="7EB50724" w14:textId="167F28A6" w:rsidR="0055068C" w:rsidRDefault="0055068C" w:rsidP="00CD49EF">
      <w:r>
        <w:t xml:space="preserve">The situation and context will </w:t>
      </w:r>
      <w:r w:rsidR="00406E75">
        <w:t xml:space="preserve">likely </w:t>
      </w:r>
      <w:r>
        <w:t>change during the course of the project – e.g.</w:t>
      </w:r>
      <w:r w:rsidR="0061716F">
        <w:t>,</w:t>
      </w:r>
      <w:r>
        <w:t xml:space="preserve"> as implications of the Referendum on the EU’s Mutual Recognition of Professional Qualifications Directive are known</w:t>
      </w:r>
      <w:r w:rsidR="003228A6">
        <w:t>,</w:t>
      </w:r>
      <w:r>
        <w:t xml:space="preserve"> of the Grenfell Inquiry</w:t>
      </w:r>
      <w:r w:rsidR="003228A6">
        <w:t xml:space="preserve"> and of the Coronavirus</w:t>
      </w:r>
      <w:r>
        <w:t xml:space="preserve">. </w:t>
      </w:r>
    </w:p>
    <w:p w14:paraId="01DFE1E6" w14:textId="147B6453" w:rsidR="00C918B5" w:rsidRDefault="00C918B5" w:rsidP="00CD49EF">
      <w:r>
        <w:lastRenderedPageBreak/>
        <w:t xml:space="preserve">The ARB </w:t>
      </w:r>
      <w:r w:rsidR="00E830BE">
        <w:t xml:space="preserve">Review is </w:t>
      </w:r>
      <w:r w:rsidR="003C25D4">
        <w:t xml:space="preserve">concerned to </w:t>
      </w:r>
      <w:r w:rsidR="00E830BE">
        <w:t>ensur</w:t>
      </w:r>
      <w:r w:rsidR="003C25D4">
        <w:t>e</w:t>
      </w:r>
      <w:r w:rsidR="00E830BE">
        <w:t xml:space="preserve"> the competence of </w:t>
      </w:r>
      <w:r w:rsidR="00147A5E">
        <w:t>a</w:t>
      </w:r>
      <w:r w:rsidR="00E830BE">
        <w:t>rchitects</w:t>
      </w:r>
      <w:r w:rsidR="00D36F1B">
        <w:t xml:space="preserve"> – what competenc</w:t>
      </w:r>
      <w:r w:rsidR="0000072C">
        <w:t>i</w:t>
      </w:r>
      <w:r w:rsidR="00D36F1B">
        <w:t xml:space="preserve">es are required and </w:t>
      </w:r>
      <w:r w:rsidR="009C0A77">
        <w:t>how they are obtained and maintained</w:t>
      </w:r>
      <w:r w:rsidR="00E830BE">
        <w:t xml:space="preserve">. </w:t>
      </w:r>
      <w:r w:rsidR="002B4E5D">
        <w:t xml:space="preserve">It is possible that the research will </w:t>
      </w:r>
      <w:r w:rsidR="00B51433">
        <w:t xml:space="preserve">raise </w:t>
      </w:r>
      <w:r w:rsidR="002B4E5D">
        <w:t xml:space="preserve">broader questions such as </w:t>
      </w:r>
      <w:r w:rsidR="0000072C">
        <w:t>whether there is a requirement for regulation of function, as opposed to registration of title</w:t>
      </w:r>
      <w:r w:rsidR="001B6FB4">
        <w:t>;</w:t>
      </w:r>
      <w:r w:rsidR="001B6FB4">
        <w:rPr>
          <w:rStyle w:val="CommentReference"/>
        </w:rPr>
        <w:t xml:space="preserve"> </w:t>
      </w:r>
      <w:r w:rsidR="00852724">
        <w:t xml:space="preserve">how </w:t>
      </w:r>
      <w:r w:rsidR="00261D19">
        <w:t>the regulatory regime</w:t>
      </w:r>
      <w:r w:rsidR="00325CF8">
        <w:t xml:space="preserve"> for Architects</w:t>
      </w:r>
      <w:r w:rsidR="00261D19">
        <w:t xml:space="preserve"> </w:t>
      </w:r>
      <w:r w:rsidR="00852724">
        <w:t xml:space="preserve">interplays with other aspects of building safety and quality </w:t>
      </w:r>
      <w:r w:rsidR="004419E6">
        <w:t xml:space="preserve">and whether the current balance is adequate; </w:t>
      </w:r>
      <w:r w:rsidR="00F3026D">
        <w:t xml:space="preserve">whether and how other professions conducting architect activities should come within the </w:t>
      </w:r>
      <w:r w:rsidR="00647E0E">
        <w:t xml:space="preserve">regulatory regime, which </w:t>
      </w:r>
      <w:r w:rsidR="00602917">
        <w:t>activities and why</w:t>
      </w:r>
      <w:r w:rsidR="006B5023">
        <w:t xml:space="preserve"> and whether there should be different tiers of registration depending on the </w:t>
      </w:r>
      <w:r w:rsidR="0023736F">
        <w:t xml:space="preserve">exact </w:t>
      </w:r>
      <w:r w:rsidR="006B5023">
        <w:t xml:space="preserve">role </w:t>
      </w:r>
      <w:r w:rsidR="0023736F">
        <w:t>undertaken by different types of Architect</w:t>
      </w:r>
      <w:r w:rsidR="00602917">
        <w:t>.</w:t>
      </w:r>
      <w:r w:rsidR="007D6F26">
        <w:t xml:space="preserve"> </w:t>
      </w:r>
      <w:r w:rsidR="00253B26">
        <w:t xml:space="preserve">These issues should all be considered in </w:t>
      </w:r>
      <w:r w:rsidR="00B353CF">
        <w:t xml:space="preserve">addressing the core questions of </w:t>
      </w:r>
      <w:r w:rsidR="00BA524F">
        <w:t>what competencies are needed by the Architect profession and how obtained.</w:t>
      </w:r>
    </w:p>
    <w:p w14:paraId="5CC47ED2" w14:textId="12975EA2" w:rsidR="00A76406" w:rsidRDefault="00A76406" w:rsidP="00CD49EF">
      <w:r>
        <w:t>There are unknown issues and risks associated with the Coronavirus pandemic and we recognise</w:t>
      </w:r>
      <w:r w:rsidR="0027300A">
        <w:t xml:space="preserve"> this</w:t>
      </w:r>
      <w:r w:rsidR="003F09E5">
        <w:t xml:space="preserve">. Please be as comprehensive as possible in </w:t>
      </w:r>
      <w:r w:rsidR="00AB558A">
        <w:t>outlining how you will conduct robust research and ensure a quality output.</w:t>
      </w:r>
    </w:p>
    <w:p w14:paraId="04E9E4BD" w14:textId="77777777" w:rsidR="00E31FBD" w:rsidRDefault="00E31FBD" w:rsidP="00281A30">
      <w:pPr>
        <w:pStyle w:val="Heading1"/>
        <w:ind w:left="297"/>
      </w:pPr>
      <w:r w:rsidRPr="00E31FBD">
        <w:t>Project</w:t>
      </w:r>
      <w:r>
        <w:t xml:space="preserve"> </w:t>
      </w:r>
      <w:r w:rsidRPr="00281A30">
        <w:t>management</w:t>
      </w:r>
    </w:p>
    <w:p w14:paraId="1BF8D246" w14:textId="77777777" w:rsidR="00E31FBD" w:rsidRDefault="00E31FBD" w:rsidP="00E31FBD">
      <w:pPr>
        <w:pStyle w:val="BodyText"/>
        <w:spacing w:before="7"/>
        <w:rPr>
          <w:b/>
          <w:sz w:val="20"/>
        </w:rPr>
      </w:pPr>
    </w:p>
    <w:p w14:paraId="33A786F6" w14:textId="77777777" w:rsidR="00E31FBD" w:rsidRDefault="00E31FBD" w:rsidP="00CD49EF">
      <w:r>
        <w:t>The Supplier is required to appoint a lead Project Manager, responsible for all components of the research. The project manager must have sufficient experience, seniority and time allocated to manage the project effectively.</w:t>
      </w:r>
    </w:p>
    <w:p w14:paraId="3CF15728" w14:textId="77777777" w:rsidR="008A5D53" w:rsidRDefault="008A5D53" w:rsidP="00CD49EF">
      <w:r>
        <w:t>The ARB has appointed a Project Manager to work with the Supplier in delivering the project.</w:t>
      </w:r>
    </w:p>
    <w:p w14:paraId="11A97C2D" w14:textId="77777777" w:rsidR="00E31FBD" w:rsidRDefault="00E31FBD" w:rsidP="00CD49EF">
      <w:r w:rsidRPr="005674E8">
        <w:t>There will be a</w:t>
      </w:r>
      <w:r w:rsidR="008A5D53" w:rsidRPr="005674E8">
        <w:t>n internal</w:t>
      </w:r>
      <w:r w:rsidRPr="005674E8">
        <w:t xml:space="preserve"> Steering Group</w:t>
      </w:r>
      <w:r w:rsidR="008A5D53">
        <w:t xml:space="preserve"> o</w:t>
      </w:r>
      <w:r w:rsidR="005674E8">
        <w:t>f</w:t>
      </w:r>
      <w:r w:rsidR="008A5D53">
        <w:t xml:space="preserve"> ARB staff which will meet at least </w:t>
      </w:r>
      <w:r w:rsidR="005674E8">
        <w:t>3 times during the course of the project (as indicated above)</w:t>
      </w:r>
      <w:r>
        <w:t xml:space="preserve">. These meetings </w:t>
      </w:r>
      <w:r w:rsidR="005674E8">
        <w:t xml:space="preserve">will </w:t>
      </w:r>
      <w:r>
        <w:t xml:space="preserve">take place at </w:t>
      </w:r>
      <w:r w:rsidR="00C077AA">
        <w:t xml:space="preserve">ARB </w:t>
      </w:r>
      <w:r w:rsidR="005674E8">
        <w:t xml:space="preserve">offices </w:t>
      </w:r>
      <w:r w:rsidR="00C077AA">
        <w:t>in London</w:t>
      </w:r>
      <w:r>
        <w:t>.</w:t>
      </w:r>
    </w:p>
    <w:p w14:paraId="2E0D9607" w14:textId="77777777" w:rsidR="00E31FBD" w:rsidRDefault="00E31FBD" w:rsidP="00CD49EF">
      <w:r>
        <w:t>It is expected that following the project initiation meeting, regular contact will take place between the Supplier and</w:t>
      </w:r>
      <w:r w:rsidR="00C077AA">
        <w:t xml:space="preserve"> ARB</w:t>
      </w:r>
      <w:r>
        <w:t xml:space="preserve"> by telephone, email and face to face meetings. The frequency of contact will be agreed at the project inception meeting however weekly project update meetings are required </w:t>
      </w:r>
      <w:r w:rsidR="00385AC2">
        <w:t xml:space="preserve">during fieldwork and </w:t>
      </w:r>
      <w:r>
        <w:t>a minimum of every 2 weeks</w:t>
      </w:r>
      <w:r w:rsidR="00385AC2">
        <w:t xml:space="preserve"> at other times</w:t>
      </w:r>
      <w:r>
        <w:t>.</w:t>
      </w:r>
    </w:p>
    <w:p w14:paraId="5A414F8D" w14:textId="77777777" w:rsidR="00E31FBD" w:rsidRDefault="00E31FBD" w:rsidP="004F0F9A">
      <w:pPr>
        <w:pStyle w:val="Heading1"/>
      </w:pPr>
      <w:r>
        <w:t>Data security</w:t>
      </w:r>
    </w:p>
    <w:p w14:paraId="1695B93B" w14:textId="77777777" w:rsidR="00E31FBD" w:rsidRDefault="00E31FBD" w:rsidP="00CD49EF">
      <w:r>
        <w:t xml:space="preserve">The </w:t>
      </w:r>
      <w:r w:rsidR="00E175FC">
        <w:t>Supplier</w:t>
      </w:r>
      <w:r>
        <w:t xml:space="preserve"> is required to implement appropriate arrangements for data security at all times. Such procedures must meet the standards outlined in the framework terms and conditions, General Data Protection Regulation and the Data Protection</w:t>
      </w:r>
      <w:r>
        <w:rPr>
          <w:spacing w:val="-1"/>
        </w:rPr>
        <w:t xml:space="preserve"> </w:t>
      </w:r>
      <w:r>
        <w:t>Act.</w:t>
      </w:r>
    </w:p>
    <w:p w14:paraId="08EFBA38" w14:textId="77777777" w:rsidR="00E31FBD" w:rsidRDefault="00E31FBD" w:rsidP="00CD49EF">
      <w:r>
        <w:t>Processes should be in place for data being returned by interviewers and safeguard against data loss, including appropriate risk management</w:t>
      </w:r>
      <w:r>
        <w:rPr>
          <w:spacing w:val="-23"/>
        </w:rPr>
        <w:t xml:space="preserve"> </w:t>
      </w:r>
      <w:r>
        <w:t>procedures.</w:t>
      </w:r>
    </w:p>
    <w:p w14:paraId="6FC7A924" w14:textId="77777777" w:rsidR="00E31FBD" w:rsidRDefault="00E31FBD" w:rsidP="00CD49EF">
      <w:r>
        <w:t>The Supplier should confirm that such procedures will be implemented and outline the technical measures to be put in place to meet such</w:t>
      </w:r>
      <w:r>
        <w:rPr>
          <w:spacing w:val="-21"/>
        </w:rPr>
        <w:t xml:space="preserve"> </w:t>
      </w:r>
      <w:r>
        <w:t>requirements.</w:t>
      </w:r>
    </w:p>
    <w:p w14:paraId="59B0D020" w14:textId="77777777" w:rsidR="00E31FBD" w:rsidRDefault="00E31FBD" w:rsidP="004F0F9A">
      <w:pPr>
        <w:pStyle w:val="Heading1"/>
        <w:keepNext w:val="0"/>
        <w:keepLines w:val="0"/>
        <w:widowControl w:val="0"/>
        <w:tabs>
          <w:tab w:val="left" w:pos="841"/>
        </w:tabs>
        <w:autoSpaceDE w:val="0"/>
        <w:autoSpaceDN w:val="0"/>
        <w:spacing w:before="195" w:line="240" w:lineRule="auto"/>
        <w:ind w:left="175"/>
        <w:rPr>
          <w:b/>
          <w:sz w:val="20"/>
        </w:rPr>
      </w:pPr>
      <w:r>
        <w:t>Ethical</w:t>
      </w:r>
      <w:r>
        <w:rPr>
          <w:spacing w:val="-1"/>
        </w:rPr>
        <w:t xml:space="preserve"> </w:t>
      </w:r>
      <w:r>
        <w:t>conduct</w:t>
      </w:r>
    </w:p>
    <w:p w14:paraId="6F2D33D0" w14:textId="77777777" w:rsidR="00E31FBD" w:rsidRDefault="00E31FBD" w:rsidP="00CD49EF">
      <w:r>
        <w:t xml:space="preserve">The Supplier must have a clear approach for ensuring that the work is compliant with relevant ethical codes of conduct, as the Supplier is responsible for the ethical conduct of the research. The Supplier is required to set out any potential ethical issues presented by the research along with details of the arrangements for ethical scrutiny to ensure the day-to-day management of these risks. The Supplier will need to clearly explain how the information they provide will be stored, reported and protected and inform </w:t>
      </w:r>
      <w:r w:rsidR="007D0596">
        <w:t xml:space="preserve">ARB </w:t>
      </w:r>
      <w:r>
        <w:t>if this</w:t>
      </w:r>
      <w:r>
        <w:rPr>
          <w:spacing w:val="-8"/>
        </w:rPr>
        <w:t xml:space="preserve"> </w:t>
      </w:r>
      <w:r>
        <w:t>changes.</w:t>
      </w:r>
    </w:p>
    <w:p w14:paraId="3429AAC0" w14:textId="77777777" w:rsidR="00E31FBD" w:rsidRDefault="00E31FBD" w:rsidP="00CD49EF">
      <w:r>
        <w:lastRenderedPageBreak/>
        <w:t xml:space="preserve">The Supplier must obtain consent from </w:t>
      </w:r>
      <w:proofErr w:type="gramStart"/>
      <w:r>
        <w:t>participants that makes</w:t>
      </w:r>
      <w:proofErr w:type="gramEnd"/>
      <w:r>
        <w:t xml:space="preserve"> it clear to participants that their data will be shared and used for research</w:t>
      </w:r>
      <w:r>
        <w:rPr>
          <w:spacing w:val="-19"/>
        </w:rPr>
        <w:t xml:space="preserve"> </w:t>
      </w:r>
      <w:r>
        <w:t>purposes.</w:t>
      </w:r>
    </w:p>
    <w:p w14:paraId="3D8848B7" w14:textId="77777777" w:rsidR="00E31FBD" w:rsidRDefault="00E31FBD" w:rsidP="00CD49EF">
      <w:r>
        <w:t>The commissioning and management of the research should be carried out in accordance with Government Social Research ethics guidance</w:t>
      </w:r>
      <w:r>
        <w:rPr>
          <w:position w:val="8"/>
          <w:sz w:val="14"/>
        </w:rPr>
        <w:t xml:space="preserve">7 </w:t>
      </w:r>
      <w:r>
        <w:t>and the Data Protection Act</w:t>
      </w:r>
      <w:r>
        <w:rPr>
          <w:spacing w:val="-2"/>
        </w:rPr>
        <w:t xml:space="preserve"> </w:t>
      </w:r>
      <w:r>
        <w:t>2018.</w:t>
      </w:r>
    </w:p>
    <w:p w14:paraId="305A5A77" w14:textId="77777777" w:rsidR="0055068C" w:rsidRPr="005428EC" w:rsidRDefault="0055068C" w:rsidP="0055068C">
      <w:pPr>
        <w:pStyle w:val="Heading1"/>
        <w:rPr>
          <w:webHidden/>
        </w:rPr>
      </w:pPr>
      <w:r w:rsidRPr="005428EC">
        <w:t>Contract Award Evaluation Criteria</w:t>
      </w:r>
    </w:p>
    <w:p w14:paraId="154D53BC" w14:textId="77777777" w:rsidR="0055068C" w:rsidRPr="003E27F0" w:rsidRDefault="00482051" w:rsidP="00482051">
      <w:r>
        <w:t xml:space="preserve">The evaluation </w:t>
      </w:r>
      <w:proofErr w:type="gramStart"/>
      <w:r>
        <w:t>criteria is</w:t>
      </w:r>
      <w:proofErr w:type="gramEnd"/>
      <w:r>
        <w:t xml:space="preserve"> detailed in the table below.</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8203"/>
        <w:gridCol w:w="1156"/>
      </w:tblGrid>
      <w:tr w:rsidR="0055068C" w:rsidRPr="003E27F0" w14:paraId="434C6CDC" w14:textId="77777777" w:rsidTr="00474F12">
        <w:trPr>
          <w:trHeight w:val="103"/>
        </w:trPr>
        <w:tc>
          <w:tcPr>
            <w:tcW w:w="8642" w:type="dxa"/>
            <w:gridSpan w:val="2"/>
          </w:tcPr>
          <w:p w14:paraId="5292183B"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 xml:space="preserve">Evaluation Criteria – Written Tender </w:t>
            </w:r>
          </w:p>
        </w:tc>
        <w:tc>
          <w:tcPr>
            <w:tcW w:w="1134" w:type="dxa"/>
            <w:shd w:val="clear" w:color="auto" w:fill="auto"/>
          </w:tcPr>
          <w:p w14:paraId="49B86D78"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Weighting (%)</w:t>
            </w:r>
          </w:p>
        </w:tc>
      </w:tr>
      <w:tr w:rsidR="0055068C" w:rsidRPr="003E27F0" w14:paraId="4B804E20" w14:textId="77777777" w:rsidTr="00474F12">
        <w:trPr>
          <w:trHeight w:val="395"/>
        </w:trPr>
        <w:tc>
          <w:tcPr>
            <w:tcW w:w="417" w:type="dxa"/>
          </w:tcPr>
          <w:p w14:paraId="65F90CB6"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1.</w:t>
            </w:r>
          </w:p>
        </w:tc>
        <w:tc>
          <w:tcPr>
            <w:tcW w:w="8225" w:type="dxa"/>
            <w:shd w:val="clear" w:color="auto" w:fill="auto"/>
          </w:tcPr>
          <w:p w14:paraId="1E698553" w14:textId="77777777" w:rsidR="0055068C" w:rsidRPr="003E27F0" w:rsidRDefault="00327E63" w:rsidP="003E27F0">
            <w:pPr>
              <w:pStyle w:val="NoSpacing"/>
              <w:spacing w:after="120" w:line="259" w:lineRule="auto"/>
              <w:rPr>
                <w:rFonts w:asciiTheme="minorHAnsi" w:hAnsiTheme="minorHAnsi" w:cstheme="minorHAnsi"/>
                <w:b/>
                <w:sz w:val="22"/>
                <w:szCs w:val="22"/>
              </w:rPr>
            </w:pPr>
            <w:r>
              <w:rPr>
                <w:rFonts w:asciiTheme="minorHAnsi" w:hAnsiTheme="minorHAnsi" w:cstheme="minorHAnsi"/>
                <w:b/>
                <w:sz w:val="22"/>
                <w:szCs w:val="22"/>
              </w:rPr>
              <w:t>D</w:t>
            </w:r>
            <w:r w:rsidR="0055068C" w:rsidRPr="003E27F0">
              <w:rPr>
                <w:rFonts w:asciiTheme="minorHAnsi" w:hAnsiTheme="minorHAnsi" w:cstheme="minorHAnsi"/>
                <w:b/>
                <w:sz w:val="22"/>
                <w:szCs w:val="22"/>
              </w:rPr>
              <w:t xml:space="preserve">emonstration of a clear understanding of the context and need for the research. </w:t>
            </w:r>
          </w:p>
          <w:p w14:paraId="512C8782" w14:textId="77777777" w:rsidR="0055068C" w:rsidRPr="00327E63"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Word Count limit:</w:t>
            </w:r>
            <w:r w:rsidRPr="003E27F0">
              <w:rPr>
                <w:rFonts w:asciiTheme="minorHAnsi" w:hAnsiTheme="minorHAnsi" w:cstheme="minorHAnsi"/>
                <w:sz w:val="22"/>
                <w:szCs w:val="22"/>
              </w:rPr>
              <w:t xml:space="preserve"> 1500 words</w:t>
            </w:r>
            <w:r w:rsidRPr="003E27F0">
              <w:rPr>
                <w:rFonts w:asciiTheme="minorHAnsi" w:hAnsiTheme="minorHAnsi" w:cstheme="minorHAnsi"/>
                <w:sz w:val="22"/>
                <w:szCs w:val="22"/>
                <w:u w:val="single"/>
              </w:rPr>
              <w:t xml:space="preserve">  </w:t>
            </w:r>
          </w:p>
          <w:p w14:paraId="34577592" w14:textId="77777777" w:rsidR="0055068C" w:rsidRPr="003E27F0" w:rsidRDefault="0055068C" w:rsidP="009C7DFB">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Guidance to tenderers</w:t>
            </w:r>
            <w:r w:rsidRPr="003E27F0">
              <w:rPr>
                <w:rFonts w:asciiTheme="minorHAnsi" w:hAnsiTheme="minorHAnsi" w:cstheme="minorHAnsi"/>
                <w:sz w:val="22"/>
                <w:szCs w:val="22"/>
              </w:rPr>
              <w:t xml:space="preserve">: </w:t>
            </w:r>
            <w:r w:rsidR="00E43DE0">
              <w:rPr>
                <w:rFonts w:asciiTheme="minorHAnsi" w:hAnsiTheme="minorHAnsi" w:cstheme="minorHAnsi"/>
                <w:sz w:val="22"/>
                <w:szCs w:val="22"/>
              </w:rPr>
              <w:t>O</w:t>
            </w:r>
            <w:r w:rsidRPr="003E27F0">
              <w:rPr>
                <w:rFonts w:asciiTheme="minorHAnsi" w:hAnsiTheme="minorHAnsi" w:cstheme="minorHAnsi"/>
                <w:sz w:val="22"/>
                <w:szCs w:val="22"/>
              </w:rPr>
              <w:t xml:space="preserve">utline your understanding </w:t>
            </w:r>
            <w:r w:rsidR="009C7DFB">
              <w:rPr>
                <w:rFonts w:asciiTheme="minorHAnsi" w:hAnsiTheme="minorHAnsi" w:cstheme="minorHAnsi"/>
                <w:sz w:val="22"/>
                <w:szCs w:val="22"/>
              </w:rPr>
              <w:t xml:space="preserve">of the </w:t>
            </w:r>
            <w:r w:rsidRPr="003E27F0">
              <w:rPr>
                <w:rFonts w:asciiTheme="minorHAnsi" w:hAnsiTheme="minorHAnsi" w:cstheme="minorHAnsi"/>
                <w:sz w:val="22"/>
                <w:szCs w:val="22"/>
              </w:rPr>
              <w:t xml:space="preserve">rationale for undertaking the research. </w:t>
            </w:r>
          </w:p>
        </w:tc>
        <w:tc>
          <w:tcPr>
            <w:tcW w:w="1134" w:type="dxa"/>
            <w:shd w:val="clear" w:color="auto" w:fill="auto"/>
          </w:tcPr>
          <w:p w14:paraId="1A4638BC" w14:textId="77777777" w:rsidR="0055068C" w:rsidRPr="003E27F0" w:rsidRDefault="0055068C" w:rsidP="005D6215">
            <w:pPr>
              <w:pStyle w:val="NoSpacing"/>
              <w:rPr>
                <w:rFonts w:asciiTheme="minorHAnsi" w:hAnsiTheme="minorHAnsi" w:cstheme="minorHAnsi"/>
                <w:b/>
                <w:sz w:val="22"/>
                <w:szCs w:val="22"/>
              </w:rPr>
            </w:pPr>
          </w:p>
          <w:p w14:paraId="12FB3DD8"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20</w:t>
            </w:r>
          </w:p>
        </w:tc>
      </w:tr>
      <w:tr w:rsidR="0055068C" w:rsidRPr="003E27F0" w14:paraId="1433CD99" w14:textId="77777777" w:rsidTr="00555ACF">
        <w:trPr>
          <w:trHeight w:val="5283"/>
        </w:trPr>
        <w:tc>
          <w:tcPr>
            <w:tcW w:w="417" w:type="dxa"/>
          </w:tcPr>
          <w:p w14:paraId="1442067B"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2.</w:t>
            </w:r>
          </w:p>
        </w:tc>
        <w:tc>
          <w:tcPr>
            <w:tcW w:w="8225" w:type="dxa"/>
            <w:shd w:val="clear" w:color="auto" w:fill="auto"/>
          </w:tcPr>
          <w:p w14:paraId="43FF62E4" w14:textId="77777777" w:rsidR="0055068C" w:rsidRPr="003E27F0" w:rsidRDefault="0055068C" w:rsidP="003E27F0">
            <w:pPr>
              <w:pStyle w:val="NoSpacing"/>
              <w:spacing w:after="120" w:line="259" w:lineRule="auto"/>
              <w:rPr>
                <w:rFonts w:asciiTheme="minorHAnsi" w:hAnsiTheme="minorHAnsi" w:cstheme="minorHAnsi"/>
                <w:b/>
                <w:sz w:val="22"/>
                <w:szCs w:val="22"/>
              </w:rPr>
            </w:pPr>
            <w:r w:rsidRPr="003E27F0">
              <w:rPr>
                <w:rFonts w:asciiTheme="minorHAnsi" w:hAnsiTheme="minorHAnsi" w:cstheme="minorHAnsi"/>
                <w:b/>
                <w:sz w:val="22"/>
                <w:szCs w:val="22"/>
              </w:rPr>
              <w:t xml:space="preserve">Proposed methodology, which clearly outlines a detailed research design and demonstrates how the aims of this study will be met. Suitability of the methodology – quality and appropriateness of the approach. Demonstration of understanding of the challenges and priorities of the contract. </w:t>
            </w:r>
          </w:p>
          <w:p w14:paraId="3781A63C"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Word Count limit:</w:t>
            </w:r>
            <w:r w:rsidRPr="003E27F0">
              <w:rPr>
                <w:rFonts w:asciiTheme="minorHAnsi" w:hAnsiTheme="minorHAnsi" w:cstheme="minorHAnsi"/>
                <w:sz w:val="22"/>
                <w:szCs w:val="22"/>
              </w:rPr>
              <w:t xml:space="preserve"> 2500 words</w:t>
            </w:r>
            <w:r w:rsidRPr="003E27F0">
              <w:rPr>
                <w:rFonts w:asciiTheme="minorHAnsi" w:hAnsiTheme="minorHAnsi" w:cstheme="minorHAnsi"/>
                <w:sz w:val="22"/>
                <w:szCs w:val="22"/>
                <w:u w:val="single"/>
              </w:rPr>
              <w:t xml:space="preserve">  </w:t>
            </w:r>
          </w:p>
          <w:p w14:paraId="03D32ABC" w14:textId="77777777" w:rsidR="0055068C"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Guidance to tenderers</w:t>
            </w:r>
            <w:r w:rsidRPr="003E27F0">
              <w:rPr>
                <w:rFonts w:asciiTheme="minorHAnsi" w:hAnsiTheme="minorHAnsi" w:cstheme="minorHAnsi"/>
                <w:sz w:val="22"/>
                <w:szCs w:val="22"/>
              </w:rPr>
              <w:t>: The tender should set out a detailed account of the methodology to be used in the project and rationale for the approach.</w:t>
            </w:r>
          </w:p>
          <w:p w14:paraId="571B2717" w14:textId="77777777" w:rsidR="00D801D4" w:rsidRDefault="000F542C" w:rsidP="003E27F0">
            <w:pPr>
              <w:pStyle w:val="NoSpacing"/>
              <w:spacing w:after="120" w:line="259" w:lineRule="auto"/>
              <w:rPr>
                <w:rFonts w:asciiTheme="minorHAnsi" w:hAnsiTheme="minorHAnsi" w:cstheme="minorHAnsi"/>
                <w:sz w:val="22"/>
                <w:szCs w:val="22"/>
              </w:rPr>
            </w:pPr>
            <w:r>
              <w:rPr>
                <w:rFonts w:asciiTheme="minorHAnsi" w:hAnsiTheme="minorHAnsi" w:cstheme="minorHAnsi"/>
                <w:sz w:val="22"/>
                <w:szCs w:val="22"/>
              </w:rPr>
              <w:t xml:space="preserve">Include detail on </w:t>
            </w:r>
            <w:r w:rsidR="00D801D4">
              <w:rPr>
                <w:rFonts w:asciiTheme="minorHAnsi" w:hAnsiTheme="minorHAnsi" w:cstheme="minorHAnsi"/>
                <w:sz w:val="22"/>
                <w:szCs w:val="22"/>
              </w:rPr>
              <w:t xml:space="preserve">approach to literature review. </w:t>
            </w:r>
          </w:p>
          <w:p w14:paraId="47B7916B" w14:textId="77777777" w:rsidR="000F542C" w:rsidRPr="003E27F0" w:rsidRDefault="00D801D4" w:rsidP="003E27F0">
            <w:pPr>
              <w:pStyle w:val="NoSpacing"/>
              <w:spacing w:after="120" w:line="259" w:lineRule="auto"/>
              <w:rPr>
                <w:rFonts w:asciiTheme="minorHAnsi" w:hAnsiTheme="minorHAnsi" w:cstheme="minorHAnsi"/>
                <w:sz w:val="22"/>
                <w:szCs w:val="22"/>
              </w:rPr>
            </w:pPr>
            <w:r>
              <w:rPr>
                <w:rFonts w:asciiTheme="minorHAnsi" w:hAnsiTheme="minorHAnsi" w:cstheme="minorHAnsi"/>
                <w:sz w:val="22"/>
                <w:szCs w:val="22"/>
              </w:rPr>
              <w:t>Include which sources will be used for secondary data analysis, how accessed and what information will be obtained.</w:t>
            </w:r>
          </w:p>
          <w:p w14:paraId="68529D92"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 xml:space="preserve">Include information on sampling frames, sampling methods, mode of administration, expected sample sizes and response rates (as well as methods used to improve these). </w:t>
            </w:r>
          </w:p>
          <w:p w14:paraId="4473D2DD" w14:textId="77777777" w:rsidR="0055068C"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 xml:space="preserve">Set out how </w:t>
            </w:r>
            <w:r w:rsidR="00D81C52">
              <w:rPr>
                <w:rFonts w:asciiTheme="minorHAnsi" w:hAnsiTheme="minorHAnsi" w:cstheme="minorHAnsi"/>
                <w:sz w:val="22"/>
                <w:szCs w:val="22"/>
              </w:rPr>
              <w:t xml:space="preserve">the </w:t>
            </w:r>
            <w:r w:rsidRPr="003E27F0">
              <w:rPr>
                <w:rFonts w:asciiTheme="minorHAnsi" w:hAnsiTheme="minorHAnsi" w:cstheme="minorHAnsi"/>
                <w:sz w:val="22"/>
                <w:szCs w:val="22"/>
              </w:rPr>
              <w:t xml:space="preserve">data </w:t>
            </w:r>
            <w:r w:rsidR="00D801D4">
              <w:rPr>
                <w:rFonts w:asciiTheme="minorHAnsi" w:hAnsiTheme="minorHAnsi" w:cstheme="minorHAnsi"/>
                <w:sz w:val="22"/>
                <w:szCs w:val="22"/>
              </w:rPr>
              <w:t xml:space="preserve">gathered </w:t>
            </w:r>
            <w:r w:rsidRPr="003E27F0">
              <w:rPr>
                <w:rFonts w:asciiTheme="minorHAnsi" w:hAnsiTheme="minorHAnsi" w:cstheme="minorHAnsi"/>
                <w:sz w:val="22"/>
                <w:szCs w:val="22"/>
              </w:rPr>
              <w:t xml:space="preserve">will be analysed. </w:t>
            </w:r>
          </w:p>
          <w:p w14:paraId="3D382FAB" w14:textId="28964CD8" w:rsidR="0055068C" w:rsidRPr="003E27F0" w:rsidRDefault="008F6660" w:rsidP="003E27F0">
            <w:pPr>
              <w:pStyle w:val="NoSpacing"/>
              <w:spacing w:after="120" w:line="259" w:lineRule="auto"/>
              <w:rPr>
                <w:rFonts w:asciiTheme="minorHAnsi" w:hAnsiTheme="minorHAnsi" w:cstheme="minorHAnsi"/>
                <w:sz w:val="22"/>
                <w:szCs w:val="22"/>
              </w:rPr>
            </w:pPr>
            <w:r>
              <w:rPr>
                <w:rFonts w:asciiTheme="minorHAnsi" w:hAnsiTheme="minorHAnsi" w:cstheme="minorHAnsi"/>
                <w:sz w:val="22"/>
                <w:szCs w:val="22"/>
              </w:rPr>
              <w:t>Detail approach to Deliberative Inquiry (if included).</w:t>
            </w:r>
          </w:p>
        </w:tc>
        <w:tc>
          <w:tcPr>
            <w:tcW w:w="1134" w:type="dxa"/>
            <w:shd w:val="clear" w:color="auto" w:fill="auto"/>
          </w:tcPr>
          <w:p w14:paraId="2F897F8D" w14:textId="77777777" w:rsidR="0055068C" w:rsidRPr="003E27F0" w:rsidRDefault="0055068C" w:rsidP="005D6215">
            <w:pPr>
              <w:pStyle w:val="NoSpacing"/>
              <w:rPr>
                <w:rFonts w:asciiTheme="minorHAnsi" w:hAnsiTheme="minorHAnsi" w:cstheme="minorHAnsi"/>
                <w:b/>
                <w:sz w:val="22"/>
                <w:szCs w:val="22"/>
              </w:rPr>
            </w:pPr>
          </w:p>
          <w:p w14:paraId="48EF0230"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30</w:t>
            </w:r>
          </w:p>
        </w:tc>
      </w:tr>
      <w:tr w:rsidR="0055068C" w:rsidRPr="003E27F0" w14:paraId="1322791E" w14:textId="77777777" w:rsidTr="00474F12">
        <w:trPr>
          <w:trHeight w:val="395"/>
        </w:trPr>
        <w:tc>
          <w:tcPr>
            <w:tcW w:w="417" w:type="dxa"/>
          </w:tcPr>
          <w:p w14:paraId="2263181D"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3.</w:t>
            </w:r>
          </w:p>
        </w:tc>
        <w:tc>
          <w:tcPr>
            <w:tcW w:w="8225" w:type="dxa"/>
            <w:shd w:val="clear" w:color="auto" w:fill="auto"/>
          </w:tcPr>
          <w:p w14:paraId="4EA0C67C" w14:textId="77777777" w:rsidR="0055068C" w:rsidRPr="00327E63" w:rsidRDefault="0055068C" w:rsidP="003E27F0">
            <w:pPr>
              <w:pStyle w:val="NoSpacing"/>
              <w:spacing w:after="120" w:line="259" w:lineRule="auto"/>
              <w:rPr>
                <w:rFonts w:asciiTheme="minorHAnsi" w:hAnsiTheme="minorHAnsi" w:cstheme="minorHAnsi"/>
                <w:b/>
                <w:sz w:val="22"/>
                <w:szCs w:val="22"/>
              </w:rPr>
            </w:pPr>
            <w:r w:rsidRPr="003E27F0">
              <w:rPr>
                <w:rFonts w:asciiTheme="minorHAnsi" w:hAnsiTheme="minorHAnsi" w:cstheme="minorHAnsi"/>
                <w:b/>
                <w:sz w:val="22"/>
                <w:szCs w:val="22"/>
              </w:rPr>
              <w:t xml:space="preserve">Staff roles and suitability of staff for those roles: </w:t>
            </w:r>
          </w:p>
          <w:p w14:paraId="08EB547F"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Word Count limit:</w:t>
            </w:r>
            <w:r w:rsidRPr="003E27F0">
              <w:rPr>
                <w:rFonts w:asciiTheme="minorHAnsi" w:hAnsiTheme="minorHAnsi" w:cstheme="minorHAnsi"/>
                <w:sz w:val="22"/>
                <w:szCs w:val="22"/>
              </w:rPr>
              <w:t xml:space="preserve"> </w:t>
            </w:r>
            <w:r w:rsidR="007D38DC">
              <w:rPr>
                <w:rFonts w:asciiTheme="minorHAnsi" w:hAnsiTheme="minorHAnsi" w:cstheme="minorHAnsi"/>
                <w:sz w:val="22"/>
                <w:szCs w:val="22"/>
              </w:rPr>
              <w:t>17</w:t>
            </w:r>
            <w:r w:rsidR="005A47E9" w:rsidRPr="003E27F0">
              <w:rPr>
                <w:rFonts w:asciiTheme="minorHAnsi" w:hAnsiTheme="minorHAnsi" w:cstheme="minorHAnsi"/>
                <w:sz w:val="22"/>
                <w:szCs w:val="22"/>
              </w:rPr>
              <w:t>0</w:t>
            </w:r>
            <w:r w:rsidRPr="003E27F0">
              <w:rPr>
                <w:rFonts w:asciiTheme="minorHAnsi" w:hAnsiTheme="minorHAnsi" w:cstheme="minorHAnsi"/>
                <w:sz w:val="22"/>
                <w:szCs w:val="22"/>
              </w:rPr>
              <w:t>0 words</w:t>
            </w:r>
            <w:r w:rsidRPr="003E27F0">
              <w:rPr>
                <w:rFonts w:asciiTheme="minorHAnsi" w:hAnsiTheme="minorHAnsi" w:cstheme="minorHAnsi"/>
                <w:sz w:val="22"/>
                <w:szCs w:val="22"/>
                <w:u w:val="single"/>
              </w:rPr>
              <w:t xml:space="preserve">  </w:t>
            </w:r>
          </w:p>
          <w:p w14:paraId="4715509F"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Guidance to tenderers</w:t>
            </w:r>
            <w:r w:rsidRPr="003E27F0">
              <w:rPr>
                <w:rFonts w:asciiTheme="minorHAnsi" w:hAnsiTheme="minorHAnsi" w:cstheme="minorHAnsi"/>
                <w:sz w:val="22"/>
                <w:szCs w:val="22"/>
              </w:rPr>
              <w:t>: Provide a list of the staff that will be involved in the project at all levels, their specific role in this project, their relevant experience and expertise (e.g. with reference to similar projects they have been involved in), their estimated time to be spent on the project and the length of time they have been working with your organisation.</w:t>
            </w:r>
          </w:p>
          <w:p w14:paraId="17C2BE5A"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State the name of the project manager and a designated deputy.</w:t>
            </w:r>
          </w:p>
          <w:p w14:paraId="250D4D53"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Designate a quality assurer and detail how they will ensure that all the deliverables are delivered to standard.</w:t>
            </w:r>
          </w:p>
        </w:tc>
        <w:tc>
          <w:tcPr>
            <w:tcW w:w="1134" w:type="dxa"/>
            <w:shd w:val="clear" w:color="auto" w:fill="auto"/>
          </w:tcPr>
          <w:p w14:paraId="0A5C3FB3" w14:textId="77777777" w:rsidR="0055068C" w:rsidRPr="003E27F0" w:rsidRDefault="0055068C" w:rsidP="005D6215">
            <w:pPr>
              <w:pStyle w:val="NoSpacing"/>
              <w:rPr>
                <w:rFonts w:asciiTheme="minorHAnsi" w:hAnsiTheme="minorHAnsi" w:cstheme="minorHAnsi"/>
                <w:b/>
                <w:sz w:val="22"/>
                <w:szCs w:val="22"/>
              </w:rPr>
            </w:pPr>
          </w:p>
          <w:p w14:paraId="100461A4"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20</w:t>
            </w:r>
          </w:p>
        </w:tc>
      </w:tr>
      <w:tr w:rsidR="0055068C" w:rsidRPr="003E27F0" w14:paraId="21040A6D" w14:textId="77777777" w:rsidTr="00474F12">
        <w:trPr>
          <w:trHeight w:val="420"/>
        </w:trPr>
        <w:tc>
          <w:tcPr>
            <w:tcW w:w="417" w:type="dxa"/>
          </w:tcPr>
          <w:p w14:paraId="2C8D31A4" w14:textId="77777777" w:rsidR="0055068C" w:rsidRPr="003E27F0" w:rsidRDefault="0055068C" w:rsidP="005D6215">
            <w:pPr>
              <w:pStyle w:val="NoSpacing"/>
              <w:rPr>
                <w:rFonts w:asciiTheme="minorHAnsi" w:hAnsiTheme="minorHAnsi" w:cstheme="minorHAnsi"/>
                <w:b/>
                <w:sz w:val="22"/>
                <w:szCs w:val="22"/>
              </w:rPr>
            </w:pPr>
          </w:p>
          <w:p w14:paraId="3FB62DD4"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4.</w:t>
            </w:r>
          </w:p>
        </w:tc>
        <w:tc>
          <w:tcPr>
            <w:tcW w:w="8225" w:type="dxa"/>
            <w:shd w:val="clear" w:color="auto" w:fill="auto"/>
          </w:tcPr>
          <w:p w14:paraId="4B090245" w14:textId="77777777" w:rsidR="0055068C" w:rsidRPr="003E27F0" w:rsidRDefault="0055068C" w:rsidP="003E27F0">
            <w:pPr>
              <w:pStyle w:val="NoSpacing"/>
              <w:spacing w:after="120" w:line="259" w:lineRule="auto"/>
              <w:rPr>
                <w:rFonts w:asciiTheme="minorHAnsi" w:hAnsiTheme="minorHAnsi" w:cstheme="minorHAnsi"/>
                <w:b/>
                <w:sz w:val="22"/>
                <w:szCs w:val="22"/>
              </w:rPr>
            </w:pPr>
            <w:r w:rsidRPr="003E27F0">
              <w:rPr>
                <w:rFonts w:asciiTheme="minorHAnsi" w:hAnsiTheme="minorHAnsi" w:cstheme="minorHAnsi"/>
                <w:b/>
                <w:sz w:val="22"/>
                <w:szCs w:val="22"/>
              </w:rPr>
              <w:t>Understanding of, and ability to meet, project timetable and dependencies/risks</w:t>
            </w:r>
            <w:r w:rsidR="00287CFE">
              <w:rPr>
                <w:rFonts w:asciiTheme="minorHAnsi" w:hAnsiTheme="minorHAnsi" w:cstheme="minorHAnsi"/>
                <w:b/>
                <w:sz w:val="22"/>
                <w:szCs w:val="22"/>
              </w:rPr>
              <w:t xml:space="preserve"> to the </w:t>
            </w:r>
            <w:r w:rsidR="00287CFE">
              <w:rPr>
                <w:rFonts w:asciiTheme="minorHAnsi" w:hAnsiTheme="minorHAnsi" w:cstheme="minorHAnsi"/>
                <w:b/>
                <w:sz w:val="22"/>
                <w:szCs w:val="22"/>
              </w:rPr>
              <w:lastRenderedPageBreak/>
              <w:t>highest quality</w:t>
            </w:r>
            <w:r w:rsidRPr="003E27F0">
              <w:rPr>
                <w:rFonts w:asciiTheme="minorHAnsi" w:hAnsiTheme="minorHAnsi" w:cstheme="minorHAnsi"/>
                <w:b/>
                <w:sz w:val="22"/>
                <w:szCs w:val="22"/>
              </w:rPr>
              <w:t xml:space="preserve">: </w:t>
            </w:r>
          </w:p>
          <w:p w14:paraId="33A8EC41"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Word Count limit:</w:t>
            </w:r>
            <w:r w:rsidRPr="003E27F0">
              <w:rPr>
                <w:rFonts w:asciiTheme="minorHAnsi" w:hAnsiTheme="minorHAnsi" w:cstheme="minorHAnsi"/>
                <w:sz w:val="22"/>
                <w:szCs w:val="22"/>
              </w:rPr>
              <w:t xml:space="preserve"> </w:t>
            </w:r>
            <w:r w:rsidR="00F237CC" w:rsidRPr="003E27F0">
              <w:rPr>
                <w:rFonts w:asciiTheme="minorHAnsi" w:hAnsiTheme="minorHAnsi" w:cstheme="minorHAnsi"/>
                <w:sz w:val="22"/>
                <w:szCs w:val="22"/>
              </w:rPr>
              <w:t>20</w:t>
            </w:r>
            <w:r w:rsidRPr="003E27F0">
              <w:rPr>
                <w:rFonts w:asciiTheme="minorHAnsi" w:hAnsiTheme="minorHAnsi" w:cstheme="minorHAnsi"/>
                <w:sz w:val="22"/>
                <w:szCs w:val="22"/>
              </w:rPr>
              <w:t>00 words</w:t>
            </w:r>
            <w:r w:rsidRPr="003E27F0">
              <w:rPr>
                <w:rFonts w:asciiTheme="minorHAnsi" w:hAnsiTheme="minorHAnsi" w:cstheme="minorHAnsi"/>
                <w:sz w:val="22"/>
                <w:szCs w:val="22"/>
                <w:u w:val="single"/>
              </w:rPr>
              <w:t xml:space="preserve">  </w:t>
            </w:r>
          </w:p>
          <w:p w14:paraId="727C559F" w14:textId="77777777" w:rsidR="0055068C"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Guidance to tenderers</w:t>
            </w:r>
            <w:r w:rsidRPr="003E27F0">
              <w:rPr>
                <w:rFonts w:asciiTheme="minorHAnsi" w:hAnsiTheme="minorHAnsi" w:cstheme="minorHAnsi"/>
                <w:sz w:val="22"/>
                <w:szCs w:val="22"/>
              </w:rPr>
              <w:t xml:space="preserve">: Provide a detailed timetable for carrying out the work based on the proposed approach and method and the milestones set out in the specification. Highlight in particular any deadlines you identify as critical from the specification. </w:t>
            </w:r>
          </w:p>
          <w:p w14:paraId="26EDB710" w14:textId="77777777" w:rsidR="002F2E14" w:rsidRPr="003E27F0" w:rsidRDefault="00B82448" w:rsidP="003E27F0">
            <w:pPr>
              <w:pStyle w:val="NoSpacing"/>
              <w:spacing w:after="120" w:line="259" w:lineRule="auto"/>
              <w:rPr>
                <w:rFonts w:asciiTheme="minorHAnsi" w:hAnsiTheme="minorHAnsi" w:cstheme="minorHAnsi"/>
                <w:sz w:val="22"/>
                <w:szCs w:val="22"/>
              </w:rPr>
            </w:pPr>
            <w:r>
              <w:rPr>
                <w:rFonts w:asciiTheme="minorHAnsi" w:hAnsiTheme="minorHAnsi" w:cstheme="minorHAnsi"/>
                <w:sz w:val="22"/>
                <w:szCs w:val="22"/>
              </w:rPr>
              <w:t>Describe how this project will be managed</w:t>
            </w:r>
            <w:r w:rsidR="008A508D">
              <w:rPr>
                <w:rFonts w:asciiTheme="minorHAnsi" w:hAnsiTheme="minorHAnsi" w:cstheme="minorHAnsi"/>
                <w:sz w:val="22"/>
                <w:szCs w:val="22"/>
              </w:rPr>
              <w:t xml:space="preserve"> to ensure</w:t>
            </w:r>
            <w:r w:rsidR="00287CFE">
              <w:rPr>
                <w:rFonts w:asciiTheme="minorHAnsi" w:hAnsiTheme="minorHAnsi" w:cstheme="minorHAnsi"/>
                <w:sz w:val="22"/>
                <w:szCs w:val="22"/>
              </w:rPr>
              <w:t xml:space="preserve"> quality at all stages</w:t>
            </w:r>
            <w:r w:rsidR="007832A4">
              <w:rPr>
                <w:rFonts w:asciiTheme="minorHAnsi" w:hAnsiTheme="minorHAnsi" w:cstheme="minorHAnsi"/>
                <w:sz w:val="22"/>
                <w:szCs w:val="22"/>
              </w:rPr>
              <w:t>.</w:t>
            </w:r>
          </w:p>
          <w:p w14:paraId="0894B5DC"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A</w:t>
            </w:r>
            <w:r w:rsidR="004B36FD">
              <w:rPr>
                <w:rFonts w:asciiTheme="minorHAnsi" w:hAnsiTheme="minorHAnsi" w:cstheme="minorHAnsi"/>
                <w:sz w:val="22"/>
                <w:szCs w:val="22"/>
              </w:rPr>
              <w:t>n initial</w:t>
            </w:r>
            <w:r w:rsidRPr="003E27F0">
              <w:rPr>
                <w:rFonts w:asciiTheme="minorHAnsi" w:hAnsiTheme="minorHAnsi" w:cstheme="minorHAnsi"/>
                <w:sz w:val="22"/>
                <w:szCs w:val="22"/>
              </w:rPr>
              <w:t xml:space="preserve"> risk assessment should be provided covering the main risks to the project and how these risks will be managed. </w:t>
            </w:r>
          </w:p>
          <w:p w14:paraId="4C11729E" w14:textId="77777777" w:rsidR="0055068C" w:rsidRPr="003E27F0" w:rsidRDefault="00D35F7A"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 xml:space="preserve">Provide information on the data security processes, including storage and transmission of personal data and data protection that will be followed (where appropriate). </w:t>
            </w:r>
          </w:p>
        </w:tc>
        <w:tc>
          <w:tcPr>
            <w:tcW w:w="1134" w:type="dxa"/>
            <w:shd w:val="clear" w:color="auto" w:fill="auto"/>
          </w:tcPr>
          <w:p w14:paraId="5466EBFE" w14:textId="77777777" w:rsidR="0055068C" w:rsidRPr="003E27F0" w:rsidRDefault="0055068C" w:rsidP="005D6215">
            <w:pPr>
              <w:pStyle w:val="NoSpacing"/>
              <w:rPr>
                <w:rFonts w:asciiTheme="minorHAnsi" w:hAnsiTheme="minorHAnsi" w:cstheme="minorHAnsi"/>
                <w:b/>
                <w:sz w:val="22"/>
                <w:szCs w:val="22"/>
              </w:rPr>
            </w:pPr>
          </w:p>
          <w:p w14:paraId="0B784BE3"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10</w:t>
            </w:r>
          </w:p>
        </w:tc>
      </w:tr>
      <w:tr w:rsidR="0055068C" w:rsidRPr="003E27F0" w14:paraId="15E36E2F" w14:textId="77777777" w:rsidTr="00474F12">
        <w:trPr>
          <w:trHeight w:val="363"/>
        </w:trPr>
        <w:tc>
          <w:tcPr>
            <w:tcW w:w="417" w:type="dxa"/>
          </w:tcPr>
          <w:p w14:paraId="3310AB99" w14:textId="77777777" w:rsidR="0055068C" w:rsidRPr="003E27F0" w:rsidRDefault="0055068C" w:rsidP="005D6215">
            <w:pPr>
              <w:pStyle w:val="NoSpacing"/>
              <w:rPr>
                <w:rFonts w:asciiTheme="minorHAnsi" w:hAnsiTheme="minorHAnsi" w:cstheme="minorHAnsi"/>
                <w:b/>
                <w:bCs/>
                <w:sz w:val="22"/>
                <w:szCs w:val="22"/>
              </w:rPr>
            </w:pPr>
            <w:r w:rsidRPr="003E27F0">
              <w:rPr>
                <w:rFonts w:asciiTheme="minorHAnsi" w:hAnsiTheme="minorHAnsi" w:cstheme="minorHAnsi"/>
                <w:b/>
                <w:bCs/>
                <w:sz w:val="22"/>
                <w:szCs w:val="22"/>
              </w:rPr>
              <w:lastRenderedPageBreak/>
              <w:t>5.</w:t>
            </w:r>
          </w:p>
        </w:tc>
        <w:tc>
          <w:tcPr>
            <w:tcW w:w="8225" w:type="dxa"/>
            <w:shd w:val="clear" w:color="auto" w:fill="auto"/>
          </w:tcPr>
          <w:p w14:paraId="2193E8AC" w14:textId="77777777" w:rsidR="0055068C" w:rsidRPr="003E27F0" w:rsidRDefault="0055068C" w:rsidP="003E27F0">
            <w:pPr>
              <w:pStyle w:val="NoSpacing"/>
              <w:spacing w:after="120" w:line="259" w:lineRule="auto"/>
              <w:rPr>
                <w:rFonts w:asciiTheme="minorHAnsi" w:hAnsiTheme="minorHAnsi" w:cstheme="minorHAnsi"/>
                <w:b/>
                <w:bCs/>
                <w:sz w:val="22"/>
                <w:szCs w:val="22"/>
              </w:rPr>
            </w:pPr>
            <w:r w:rsidRPr="003E27F0">
              <w:rPr>
                <w:rFonts w:asciiTheme="minorHAnsi" w:hAnsiTheme="minorHAnsi" w:cstheme="minorHAnsi"/>
                <w:b/>
                <w:bCs/>
                <w:sz w:val="22"/>
                <w:szCs w:val="22"/>
              </w:rPr>
              <w:t>Value for money based on the costs in the submitted detailed price schedule</w:t>
            </w:r>
          </w:p>
          <w:p w14:paraId="4251CB07"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u w:val="single"/>
              </w:rPr>
              <w:t>Guidance to tenderers</w:t>
            </w:r>
            <w:r w:rsidRPr="003E27F0">
              <w:rPr>
                <w:rFonts w:asciiTheme="minorHAnsi" w:hAnsiTheme="minorHAnsi" w:cstheme="minorHAnsi"/>
                <w:sz w:val="22"/>
                <w:szCs w:val="22"/>
              </w:rPr>
              <w:t xml:space="preserve">: The total cost should be quoted in sterling (excl. and incl. VAT). Separate aspects of the study </w:t>
            </w:r>
            <w:r w:rsidR="006876E0">
              <w:rPr>
                <w:rFonts w:asciiTheme="minorHAnsi" w:hAnsiTheme="minorHAnsi" w:cstheme="minorHAnsi"/>
                <w:sz w:val="22"/>
                <w:szCs w:val="22"/>
              </w:rPr>
              <w:t>(literature review/secondary analysis/</w:t>
            </w:r>
            <w:r w:rsidR="003D4CE7">
              <w:rPr>
                <w:rFonts w:asciiTheme="minorHAnsi" w:hAnsiTheme="minorHAnsi" w:cstheme="minorHAnsi"/>
                <w:sz w:val="22"/>
                <w:szCs w:val="22"/>
              </w:rPr>
              <w:t>initial interviews/</w:t>
            </w:r>
            <w:r w:rsidR="00D4190B">
              <w:rPr>
                <w:rFonts w:asciiTheme="minorHAnsi" w:hAnsiTheme="minorHAnsi" w:cstheme="minorHAnsi"/>
                <w:sz w:val="22"/>
                <w:szCs w:val="22"/>
              </w:rPr>
              <w:t>survey</w:t>
            </w:r>
            <w:r w:rsidR="00717963">
              <w:rPr>
                <w:rFonts w:asciiTheme="minorHAnsi" w:hAnsiTheme="minorHAnsi" w:cstheme="minorHAnsi"/>
                <w:sz w:val="22"/>
                <w:szCs w:val="22"/>
              </w:rPr>
              <w:t xml:space="preserve"> [including cost per interview]</w:t>
            </w:r>
            <w:r w:rsidR="00D4190B">
              <w:rPr>
                <w:rFonts w:asciiTheme="minorHAnsi" w:hAnsiTheme="minorHAnsi" w:cstheme="minorHAnsi"/>
                <w:sz w:val="22"/>
                <w:szCs w:val="22"/>
              </w:rPr>
              <w:t>/deliberative inquiry/</w:t>
            </w:r>
            <w:r w:rsidR="005C4CB2">
              <w:rPr>
                <w:rFonts w:asciiTheme="minorHAnsi" w:hAnsiTheme="minorHAnsi" w:cstheme="minorHAnsi"/>
                <w:sz w:val="22"/>
                <w:szCs w:val="22"/>
              </w:rPr>
              <w:t>analysis and reporting/project management</w:t>
            </w:r>
            <w:r w:rsidR="006A4E2D">
              <w:rPr>
                <w:rFonts w:asciiTheme="minorHAnsi" w:hAnsiTheme="minorHAnsi" w:cstheme="minorHAnsi"/>
                <w:sz w:val="22"/>
                <w:szCs w:val="22"/>
              </w:rPr>
              <w:t>)</w:t>
            </w:r>
            <w:r w:rsidR="005C4CB2">
              <w:rPr>
                <w:rFonts w:asciiTheme="minorHAnsi" w:hAnsiTheme="minorHAnsi" w:cstheme="minorHAnsi"/>
                <w:sz w:val="22"/>
                <w:szCs w:val="22"/>
              </w:rPr>
              <w:t xml:space="preserve"> </w:t>
            </w:r>
            <w:r w:rsidRPr="003E27F0">
              <w:rPr>
                <w:rFonts w:asciiTheme="minorHAnsi" w:hAnsiTheme="minorHAnsi" w:cstheme="minorHAnsi"/>
                <w:sz w:val="22"/>
                <w:szCs w:val="22"/>
              </w:rPr>
              <w:t xml:space="preserve">are to be individually priced and attributed to specific members of the project team along with the estimated number of days clearly stated and day rates for project team included (exc. VAT).  </w:t>
            </w:r>
          </w:p>
          <w:p w14:paraId="56E69C64" w14:textId="77777777" w:rsidR="0055068C" w:rsidRPr="003E27F0" w:rsidRDefault="0055068C" w:rsidP="003E27F0">
            <w:pPr>
              <w:pStyle w:val="NoSpacing"/>
              <w:spacing w:after="120" w:line="259" w:lineRule="auto"/>
              <w:rPr>
                <w:rFonts w:asciiTheme="minorHAnsi" w:hAnsiTheme="minorHAnsi" w:cstheme="minorHAnsi"/>
                <w:sz w:val="22"/>
                <w:szCs w:val="22"/>
              </w:rPr>
            </w:pPr>
            <w:r w:rsidRPr="003E27F0">
              <w:rPr>
                <w:rFonts w:asciiTheme="minorHAnsi" w:hAnsiTheme="minorHAnsi" w:cstheme="minorHAnsi"/>
                <w:sz w:val="22"/>
                <w:szCs w:val="22"/>
              </w:rPr>
              <w:t>Fees should be inclusive of the time and travel costs for meetings, face-to-face interviews, etc.</w:t>
            </w:r>
          </w:p>
        </w:tc>
        <w:tc>
          <w:tcPr>
            <w:tcW w:w="1134" w:type="dxa"/>
            <w:shd w:val="clear" w:color="auto" w:fill="auto"/>
          </w:tcPr>
          <w:p w14:paraId="680A81CA" w14:textId="77777777" w:rsidR="0055068C" w:rsidRPr="003E27F0" w:rsidRDefault="0055068C" w:rsidP="005D6215">
            <w:pPr>
              <w:pStyle w:val="NoSpacing"/>
              <w:rPr>
                <w:rFonts w:asciiTheme="minorHAnsi" w:hAnsiTheme="minorHAnsi" w:cstheme="minorHAnsi"/>
                <w:b/>
                <w:sz w:val="22"/>
                <w:szCs w:val="22"/>
              </w:rPr>
            </w:pPr>
          </w:p>
          <w:p w14:paraId="76221DF0" w14:textId="77777777" w:rsidR="0055068C" w:rsidRPr="003E27F0" w:rsidRDefault="0055068C" w:rsidP="005D6215">
            <w:pPr>
              <w:pStyle w:val="NoSpacing"/>
              <w:rPr>
                <w:rFonts w:asciiTheme="minorHAnsi" w:hAnsiTheme="minorHAnsi" w:cstheme="minorHAnsi"/>
                <w:b/>
                <w:sz w:val="22"/>
                <w:szCs w:val="22"/>
              </w:rPr>
            </w:pPr>
            <w:r w:rsidRPr="003E27F0">
              <w:rPr>
                <w:rFonts w:asciiTheme="minorHAnsi" w:hAnsiTheme="minorHAnsi" w:cstheme="minorHAnsi"/>
                <w:b/>
                <w:sz w:val="22"/>
                <w:szCs w:val="22"/>
              </w:rPr>
              <w:t>20</w:t>
            </w:r>
          </w:p>
        </w:tc>
      </w:tr>
    </w:tbl>
    <w:p w14:paraId="5106CD6D" w14:textId="77777777" w:rsidR="0055068C" w:rsidRPr="003E27F0" w:rsidRDefault="0055068C" w:rsidP="00CC755E">
      <w:pPr>
        <w:numPr>
          <w:ilvl w:val="0"/>
          <w:numId w:val="0"/>
        </w:numPr>
        <w:ind w:left="1070"/>
        <w:rPr>
          <w:rFonts w:cstheme="minorHAnsi"/>
        </w:rPr>
      </w:pPr>
    </w:p>
    <w:p w14:paraId="0D03ABF6" w14:textId="77777777" w:rsidR="0063097B" w:rsidRPr="003E27F0" w:rsidRDefault="00B8673C" w:rsidP="00B8673C">
      <w:r>
        <w:t>The scoring rationale is detailed below:</w:t>
      </w:r>
    </w:p>
    <w:tbl>
      <w:tblPr>
        <w:tblW w:w="90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5244"/>
        <w:gridCol w:w="826"/>
        <w:gridCol w:w="1421"/>
      </w:tblGrid>
      <w:tr w:rsidR="0063097B" w:rsidRPr="003E27F0" w14:paraId="50576D4B" w14:textId="77777777" w:rsidTr="005D6215">
        <w:trPr>
          <w:trHeight w:val="450"/>
        </w:trPr>
        <w:tc>
          <w:tcPr>
            <w:tcW w:w="155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60E8BC48"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lang w:eastAsia="en-GB"/>
              </w:rPr>
              <w:t>   </w:t>
            </w:r>
          </w:p>
        </w:tc>
        <w:tc>
          <w:tcPr>
            <w:tcW w:w="5244" w:type="dxa"/>
            <w:tcBorders>
              <w:top w:val="single" w:sz="6" w:space="0" w:color="auto"/>
              <w:left w:val="nil"/>
              <w:bottom w:val="single" w:sz="6" w:space="0" w:color="auto"/>
              <w:right w:val="single" w:sz="6" w:space="0" w:color="auto"/>
            </w:tcBorders>
            <w:shd w:val="clear" w:color="auto" w:fill="BFBFBF"/>
            <w:vAlign w:val="center"/>
            <w:hideMark/>
          </w:tcPr>
          <w:p w14:paraId="5B8BEDAC"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b/>
                <w:bCs/>
                <w:color w:val="000000"/>
                <w:lang w:eastAsia="en-GB"/>
              </w:rPr>
              <w:t>Evidence Provided</w:t>
            </w:r>
            <w:r w:rsidRPr="003E27F0">
              <w:rPr>
                <w:rFonts w:eastAsia="Times New Roman" w:cstheme="minorHAnsi"/>
                <w:lang w:eastAsia="en-GB"/>
              </w:rPr>
              <w:t>   </w:t>
            </w:r>
          </w:p>
        </w:tc>
        <w:tc>
          <w:tcPr>
            <w:tcW w:w="826" w:type="dxa"/>
            <w:tcBorders>
              <w:top w:val="single" w:sz="6" w:space="0" w:color="auto"/>
              <w:left w:val="nil"/>
              <w:bottom w:val="single" w:sz="6" w:space="0" w:color="auto"/>
              <w:right w:val="single" w:sz="6" w:space="0" w:color="auto"/>
            </w:tcBorders>
            <w:shd w:val="clear" w:color="auto" w:fill="BFBFBF"/>
            <w:vAlign w:val="center"/>
            <w:hideMark/>
          </w:tcPr>
          <w:p w14:paraId="2229BF52"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Score</w:t>
            </w:r>
            <w:r w:rsidRPr="003E27F0">
              <w:rPr>
                <w:rFonts w:eastAsia="Times New Roman" w:cstheme="minorHAnsi"/>
                <w:lang w:eastAsia="en-GB"/>
              </w:rPr>
              <w:t>   </w:t>
            </w:r>
          </w:p>
        </w:tc>
        <w:tc>
          <w:tcPr>
            <w:tcW w:w="1421" w:type="dxa"/>
            <w:tcBorders>
              <w:top w:val="single" w:sz="6" w:space="0" w:color="auto"/>
              <w:left w:val="nil"/>
              <w:bottom w:val="single" w:sz="6" w:space="0" w:color="auto"/>
              <w:right w:val="single" w:sz="6" w:space="0" w:color="auto"/>
            </w:tcBorders>
            <w:shd w:val="clear" w:color="auto" w:fill="BFBFBF"/>
            <w:vAlign w:val="center"/>
            <w:hideMark/>
          </w:tcPr>
          <w:p w14:paraId="369D6C7B"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Remark</w:t>
            </w:r>
            <w:r w:rsidRPr="003E27F0">
              <w:rPr>
                <w:rFonts w:eastAsia="Times New Roman" w:cstheme="minorHAnsi"/>
                <w:lang w:eastAsia="en-GB"/>
              </w:rPr>
              <w:t>   </w:t>
            </w:r>
          </w:p>
        </w:tc>
      </w:tr>
      <w:tr w:rsidR="0063097B" w:rsidRPr="003E27F0" w14:paraId="1315FD3C" w14:textId="77777777" w:rsidTr="005D6215">
        <w:trPr>
          <w:trHeight w:val="675"/>
        </w:trPr>
        <w:tc>
          <w:tcPr>
            <w:tcW w:w="1552" w:type="dxa"/>
            <w:vMerge w:val="restart"/>
            <w:tcBorders>
              <w:top w:val="nil"/>
              <w:left w:val="single" w:sz="6" w:space="0" w:color="auto"/>
              <w:bottom w:val="single" w:sz="6" w:space="0" w:color="auto"/>
              <w:right w:val="single" w:sz="6" w:space="0" w:color="auto"/>
            </w:tcBorders>
            <w:shd w:val="clear" w:color="auto" w:fill="auto"/>
            <w:vAlign w:val="center"/>
            <w:hideMark/>
          </w:tcPr>
          <w:p w14:paraId="4508C271"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t>Bidder is likely to be able to meet the needs of the Organisation.</w:t>
            </w:r>
            <w:r w:rsidRPr="003E27F0">
              <w:rPr>
                <w:rFonts w:eastAsia="Times New Roman" w:cstheme="minorHAnsi"/>
                <w:lang w:eastAsia="en-GB"/>
              </w:rPr>
              <w:t>   </w:t>
            </w:r>
          </w:p>
        </w:tc>
        <w:tc>
          <w:tcPr>
            <w:tcW w:w="5244" w:type="dxa"/>
            <w:tcBorders>
              <w:top w:val="nil"/>
              <w:left w:val="nil"/>
              <w:bottom w:val="single" w:sz="6" w:space="0" w:color="auto"/>
              <w:right w:val="single" w:sz="6" w:space="0" w:color="auto"/>
            </w:tcBorders>
            <w:shd w:val="clear" w:color="auto" w:fill="auto"/>
            <w:vAlign w:val="center"/>
            <w:hideMark/>
          </w:tcPr>
          <w:p w14:paraId="7C184DFA" w14:textId="77777777" w:rsidR="0063097B" w:rsidRPr="003E27F0" w:rsidRDefault="0063097B" w:rsidP="0063097B">
            <w:pPr>
              <w:numPr>
                <w:ilvl w:val="0"/>
                <w:numId w:val="0"/>
              </w:numPr>
              <w:spacing w:after="0" w:line="240" w:lineRule="auto"/>
              <w:textAlignment w:val="baseline"/>
              <w:rPr>
                <w:rFonts w:eastAsia="Times New Roman" w:cstheme="minorHAnsi"/>
                <w:lang w:eastAsia="en-GB"/>
              </w:rPr>
            </w:pPr>
            <w:r w:rsidRPr="003E27F0">
              <w:rPr>
                <w:rFonts w:eastAsia="Times New Roman" w:cstheme="minorHAnsi"/>
                <w:lang w:eastAsia="en-GB"/>
              </w:rPr>
              <w:t>Evidence of relevant ability, understanding, experience, skills, resource and quality measures required to provide the services relative to the contract is consistent, comprehensive, compelling, directly relevant to the contract in all respects and highly </w:t>
            </w:r>
            <w:r w:rsidRPr="003E27F0">
              <w:rPr>
                <w:rFonts w:eastAsia="Times New Roman" w:cstheme="minorHAnsi"/>
                <w:color w:val="000000"/>
                <w:lang w:eastAsia="en-GB"/>
              </w:rPr>
              <w:t xml:space="preserve">credible. </w:t>
            </w:r>
          </w:p>
        </w:tc>
        <w:tc>
          <w:tcPr>
            <w:tcW w:w="826" w:type="dxa"/>
            <w:tcBorders>
              <w:top w:val="nil"/>
              <w:left w:val="nil"/>
              <w:bottom w:val="single" w:sz="6" w:space="0" w:color="auto"/>
              <w:right w:val="single" w:sz="6" w:space="0" w:color="auto"/>
            </w:tcBorders>
            <w:shd w:val="clear" w:color="auto" w:fill="auto"/>
            <w:vAlign w:val="center"/>
            <w:hideMark/>
          </w:tcPr>
          <w:p w14:paraId="4B74635C"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5</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4B149DDB"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b/>
                <w:bCs/>
                <w:color w:val="000000"/>
                <w:lang w:eastAsia="en-GB"/>
              </w:rPr>
            </w:pPr>
            <w:r w:rsidRPr="003E27F0">
              <w:rPr>
                <w:rFonts w:eastAsia="Times New Roman" w:cstheme="minorHAnsi"/>
                <w:b/>
                <w:bCs/>
                <w:color w:val="000000"/>
                <w:lang w:eastAsia="en-GB"/>
              </w:rPr>
              <w:t>High</w:t>
            </w:r>
          </w:p>
          <w:p w14:paraId="70F8C7CD"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Confidence</w:t>
            </w:r>
            <w:r w:rsidRPr="003E27F0">
              <w:rPr>
                <w:rFonts w:eastAsia="Times New Roman" w:cstheme="minorHAnsi"/>
                <w:lang w:eastAsia="en-GB"/>
              </w:rPr>
              <w:t>   </w:t>
            </w:r>
          </w:p>
        </w:tc>
      </w:tr>
      <w:tr w:rsidR="0063097B" w:rsidRPr="003E27F0" w14:paraId="544CC594" w14:textId="77777777" w:rsidTr="005D6215">
        <w:trPr>
          <w:trHeight w:val="10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DA0A0B7" w14:textId="77777777" w:rsidR="0063097B" w:rsidRPr="003E27F0" w:rsidRDefault="0063097B" w:rsidP="0063097B">
            <w:pPr>
              <w:numPr>
                <w:ilvl w:val="0"/>
                <w:numId w:val="0"/>
              </w:numPr>
              <w:spacing w:after="0" w:line="240" w:lineRule="auto"/>
              <w:ind w:left="142"/>
              <w:rPr>
                <w:rFonts w:eastAsia="Times New Roman" w:cstheme="minorHAnsi"/>
                <w:lang w:eastAsia="en-GB"/>
              </w:rPr>
            </w:pPr>
          </w:p>
        </w:tc>
        <w:tc>
          <w:tcPr>
            <w:tcW w:w="5244" w:type="dxa"/>
            <w:tcBorders>
              <w:top w:val="nil"/>
              <w:left w:val="nil"/>
              <w:bottom w:val="single" w:sz="6" w:space="0" w:color="auto"/>
              <w:right w:val="single" w:sz="6" w:space="0" w:color="auto"/>
            </w:tcBorders>
            <w:shd w:val="clear" w:color="auto" w:fill="auto"/>
            <w:vAlign w:val="center"/>
            <w:hideMark/>
          </w:tcPr>
          <w:p w14:paraId="264275FB"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lang w:eastAsia="en-GB"/>
              </w:rPr>
              <w:t>Evidence of relevant ability, understanding, experience, skills, resource and quality measures required to provide the services relative to the contract is sufficient</w:t>
            </w:r>
            <w:proofErr w:type="gramStart"/>
            <w:r w:rsidRPr="003E27F0">
              <w:rPr>
                <w:rFonts w:eastAsia="Times New Roman" w:cstheme="minorHAnsi"/>
                <w:lang w:eastAsia="en-GB"/>
              </w:rPr>
              <w:t> (</w:t>
            </w:r>
            <w:proofErr w:type="gramEnd"/>
            <w:r w:rsidRPr="003E27F0">
              <w:rPr>
                <w:rFonts w:eastAsia="Times New Roman" w:cstheme="minorHAnsi"/>
                <w:lang w:eastAsia="en-GB"/>
              </w:rPr>
              <w:t>in qualitative terms), convincing, and credible.   </w:t>
            </w:r>
          </w:p>
        </w:tc>
        <w:tc>
          <w:tcPr>
            <w:tcW w:w="826" w:type="dxa"/>
            <w:tcBorders>
              <w:top w:val="nil"/>
              <w:left w:val="nil"/>
              <w:bottom w:val="single" w:sz="6" w:space="0" w:color="auto"/>
              <w:right w:val="single" w:sz="6" w:space="0" w:color="auto"/>
            </w:tcBorders>
            <w:shd w:val="clear" w:color="auto" w:fill="auto"/>
            <w:vAlign w:val="center"/>
            <w:hideMark/>
          </w:tcPr>
          <w:p w14:paraId="5EB4EE6E"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4</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5E2BE067"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Confidence</w:t>
            </w:r>
            <w:r w:rsidRPr="003E27F0">
              <w:rPr>
                <w:rFonts w:eastAsia="Times New Roman" w:cstheme="minorHAnsi"/>
                <w:lang w:eastAsia="en-GB"/>
              </w:rPr>
              <w:t>   </w:t>
            </w:r>
          </w:p>
        </w:tc>
      </w:tr>
      <w:tr w:rsidR="0063097B" w:rsidRPr="003E27F0" w14:paraId="687BE9BD" w14:textId="77777777" w:rsidTr="005D6215">
        <w:trPr>
          <w:trHeight w:val="1605"/>
        </w:trPr>
        <w:tc>
          <w:tcPr>
            <w:tcW w:w="1552" w:type="dxa"/>
            <w:tcBorders>
              <w:top w:val="nil"/>
              <w:left w:val="single" w:sz="6" w:space="0" w:color="auto"/>
              <w:bottom w:val="single" w:sz="6" w:space="0" w:color="auto"/>
              <w:right w:val="single" w:sz="6" w:space="0" w:color="auto"/>
            </w:tcBorders>
            <w:shd w:val="clear" w:color="auto" w:fill="auto"/>
            <w:vAlign w:val="center"/>
            <w:hideMark/>
          </w:tcPr>
          <w:p w14:paraId="2044A9C4"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t>Small risk that bidder will not be able to meet the needs of the Organisation.</w:t>
            </w:r>
            <w:r w:rsidRPr="003E27F0">
              <w:rPr>
                <w:rFonts w:eastAsia="Times New Roman" w:cstheme="minorHAnsi"/>
                <w:lang w:eastAsia="en-GB"/>
              </w:rPr>
              <w:t>   </w:t>
            </w:r>
          </w:p>
        </w:tc>
        <w:tc>
          <w:tcPr>
            <w:tcW w:w="5244" w:type="dxa"/>
            <w:tcBorders>
              <w:top w:val="nil"/>
              <w:left w:val="nil"/>
              <w:bottom w:val="single" w:sz="6" w:space="0" w:color="auto"/>
              <w:right w:val="single" w:sz="6" w:space="0" w:color="auto"/>
            </w:tcBorders>
            <w:shd w:val="clear" w:color="auto" w:fill="auto"/>
            <w:vAlign w:val="center"/>
            <w:hideMark/>
          </w:tcPr>
          <w:p w14:paraId="0531865E"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lang w:eastAsia="en-GB"/>
              </w:rPr>
              <w:t>Evidence of relevant ability, understanding, experience, skills, resource and quality measures required to provide the services relative to the contract has minor gaps, or to a small extent is unconvincing, lacks credibility or irrelevant to the contract.   </w:t>
            </w:r>
          </w:p>
        </w:tc>
        <w:tc>
          <w:tcPr>
            <w:tcW w:w="826" w:type="dxa"/>
            <w:tcBorders>
              <w:top w:val="nil"/>
              <w:left w:val="nil"/>
              <w:bottom w:val="single" w:sz="6" w:space="0" w:color="auto"/>
              <w:right w:val="single" w:sz="6" w:space="0" w:color="auto"/>
            </w:tcBorders>
            <w:shd w:val="clear" w:color="auto" w:fill="auto"/>
            <w:vAlign w:val="center"/>
            <w:hideMark/>
          </w:tcPr>
          <w:p w14:paraId="57FC8689"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3</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0DC20D10"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Minor Concerns</w:t>
            </w:r>
            <w:r w:rsidRPr="003E27F0">
              <w:rPr>
                <w:rFonts w:eastAsia="Times New Roman" w:cstheme="minorHAnsi"/>
                <w:lang w:eastAsia="en-GB"/>
              </w:rPr>
              <w:t>   </w:t>
            </w:r>
          </w:p>
        </w:tc>
      </w:tr>
      <w:tr w:rsidR="0063097B" w:rsidRPr="003E27F0" w14:paraId="204F7CF5" w14:textId="77777777" w:rsidTr="005D6215">
        <w:trPr>
          <w:trHeight w:val="1245"/>
        </w:trPr>
        <w:tc>
          <w:tcPr>
            <w:tcW w:w="1552" w:type="dxa"/>
            <w:tcBorders>
              <w:top w:val="nil"/>
              <w:left w:val="single" w:sz="6" w:space="0" w:color="auto"/>
              <w:bottom w:val="single" w:sz="6" w:space="0" w:color="auto"/>
              <w:right w:val="single" w:sz="6" w:space="0" w:color="auto"/>
            </w:tcBorders>
            <w:shd w:val="clear" w:color="auto" w:fill="auto"/>
            <w:vAlign w:val="center"/>
            <w:hideMark/>
          </w:tcPr>
          <w:p w14:paraId="74C2EA13"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t>Moderate risk that the bidder will not be able to meet the needs of the Organisation</w:t>
            </w:r>
            <w:r w:rsidRPr="003E27F0">
              <w:rPr>
                <w:rFonts w:eastAsia="Times New Roman" w:cstheme="minorHAnsi"/>
                <w:lang w:eastAsia="en-GB"/>
              </w:rPr>
              <w:t>   </w:t>
            </w:r>
          </w:p>
        </w:tc>
        <w:tc>
          <w:tcPr>
            <w:tcW w:w="5244" w:type="dxa"/>
            <w:tcBorders>
              <w:top w:val="nil"/>
              <w:left w:val="nil"/>
              <w:bottom w:val="single" w:sz="6" w:space="0" w:color="auto"/>
              <w:right w:val="single" w:sz="6" w:space="0" w:color="auto"/>
            </w:tcBorders>
            <w:shd w:val="clear" w:color="auto" w:fill="auto"/>
            <w:vAlign w:val="center"/>
            <w:hideMark/>
          </w:tcPr>
          <w:p w14:paraId="749AC2C0"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lang w:eastAsia="en-GB"/>
              </w:rPr>
              <w:t>Evidence of relevant ability, understanding, experience, skills, resource and quality measures required to provide the services relative to the contract has moderate gaps, is unconvincing.   </w:t>
            </w:r>
          </w:p>
        </w:tc>
        <w:tc>
          <w:tcPr>
            <w:tcW w:w="826" w:type="dxa"/>
            <w:tcBorders>
              <w:top w:val="nil"/>
              <w:left w:val="nil"/>
              <w:bottom w:val="single" w:sz="6" w:space="0" w:color="auto"/>
              <w:right w:val="single" w:sz="6" w:space="0" w:color="auto"/>
            </w:tcBorders>
            <w:shd w:val="clear" w:color="auto" w:fill="auto"/>
            <w:vAlign w:val="center"/>
            <w:hideMark/>
          </w:tcPr>
          <w:p w14:paraId="702E36A9"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2</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37F3D56D"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Moderate Concerns</w:t>
            </w:r>
            <w:r w:rsidRPr="003E27F0">
              <w:rPr>
                <w:rFonts w:eastAsia="Times New Roman" w:cstheme="minorHAnsi"/>
                <w:lang w:eastAsia="en-GB"/>
              </w:rPr>
              <w:t>   </w:t>
            </w:r>
          </w:p>
        </w:tc>
      </w:tr>
      <w:tr w:rsidR="0063097B" w:rsidRPr="003E27F0" w14:paraId="495AF904" w14:textId="77777777" w:rsidTr="005D6215">
        <w:trPr>
          <w:trHeight w:val="1395"/>
        </w:trPr>
        <w:tc>
          <w:tcPr>
            <w:tcW w:w="1552" w:type="dxa"/>
            <w:tcBorders>
              <w:top w:val="nil"/>
              <w:left w:val="single" w:sz="6" w:space="0" w:color="auto"/>
              <w:bottom w:val="single" w:sz="6" w:space="0" w:color="auto"/>
              <w:right w:val="single" w:sz="6" w:space="0" w:color="auto"/>
            </w:tcBorders>
            <w:shd w:val="clear" w:color="auto" w:fill="auto"/>
            <w:vAlign w:val="center"/>
            <w:hideMark/>
          </w:tcPr>
          <w:p w14:paraId="24798BFC"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lastRenderedPageBreak/>
              <w:t>Significant risk that the bidder will not be able to meet the needs of the Organisation.</w:t>
            </w:r>
            <w:r w:rsidRPr="003E27F0">
              <w:rPr>
                <w:rFonts w:eastAsia="Times New Roman" w:cstheme="minorHAnsi"/>
                <w:lang w:eastAsia="en-GB"/>
              </w:rPr>
              <w:t>  </w:t>
            </w:r>
          </w:p>
        </w:tc>
        <w:tc>
          <w:tcPr>
            <w:tcW w:w="5244" w:type="dxa"/>
            <w:tcBorders>
              <w:top w:val="nil"/>
              <w:left w:val="nil"/>
              <w:bottom w:val="single" w:sz="6" w:space="0" w:color="auto"/>
              <w:right w:val="single" w:sz="6" w:space="0" w:color="auto"/>
            </w:tcBorders>
            <w:shd w:val="clear" w:color="auto" w:fill="auto"/>
            <w:vAlign w:val="center"/>
            <w:hideMark/>
          </w:tcPr>
          <w:p w14:paraId="65FC193D"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lang w:eastAsia="en-GB"/>
              </w:rPr>
              <w:t>Evidence of relevant ability, understanding, experience, skills, resource and quality measures required to provide the services relative to the contract has major gaps, is unconvincing in many respects, lacks credibility, or largely irrelevant to the contract.   </w:t>
            </w:r>
          </w:p>
        </w:tc>
        <w:tc>
          <w:tcPr>
            <w:tcW w:w="826" w:type="dxa"/>
            <w:tcBorders>
              <w:top w:val="nil"/>
              <w:left w:val="nil"/>
              <w:bottom w:val="single" w:sz="6" w:space="0" w:color="auto"/>
              <w:right w:val="single" w:sz="6" w:space="0" w:color="auto"/>
            </w:tcBorders>
            <w:shd w:val="clear" w:color="auto" w:fill="auto"/>
            <w:vAlign w:val="center"/>
            <w:hideMark/>
          </w:tcPr>
          <w:p w14:paraId="13611912"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1</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0F0B8E33"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Major Concerns</w:t>
            </w:r>
            <w:r w:rsidRPr="003E27F0">
              <w:rPr>
                <w:rFonts w:eastAsia="Times New Roman" w:cstheme="minorHAnsi"/>
                <w:lang w:eastAsia="en-GB"/>
              </w:rPr>
              <w:t>   </w:t>
            </w:r>
          </w:p>
        </w:tc>
      </w:tr>
      <w:tr w:rsidR="0063097B" w:rsidRPr="003E27F0" w14:paraId="25BC530D" w14:textId="77777777" w:rsidTr="005D6215">
        <w:trPr>
          <w:trHeight w:val="675"/>
        </w:trPr>
        <w:tc>
          <w:tcPr>
            <w:tcW w:w="1552" w:type="dxa"/>
            <w:tcBorders>
              <w:top w:val="nil"/>
              <w:left w:val="single" w:sz="6" w:space="0" w:color="auto"/>
              <w:bottom w:val="single" w:sz="6" w:space="0" w:color="auto"/>
              <w:right w:val="single" w:sz="6" w:space="0" w:color="auto"/>
            </w:tcBorders>
            <w:shd w:val="clear" w:color="auto" w:fill="auto"/>
            <w:vAlign w:val="center"/>
            <w:hideMark/>
          </w:tcPr>
          <w:p w14:paraId="420FFB06"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t>Bidder will not be able to meet the needs of the Organisation.</w:t>
            </w:r>
            <w:r w:rsidRPr="003E27F0">
              <w:rPr>
                <w:rFonts w:eastAsia="Times New Roman" w:cstheme="minorHAnsi"/>
                <w:lang w:eastAsia="en-GB"/>
              </w:rPr>
              <w:t>   </w:t>
            </w:r>
          </w:p>
        </w:tc>
        <w:tc>
          <w:tcPr>
            <w:tcW w:w="5244" w:type="dxa"/>
            <w:tcBorders>
              <w:top w:val="nil"/>
              <w:left w:val="nil"/>
              <w:bottom w:val="single" w:sz="6" w:space="0" w:color="auto"/>
              <w:right w:val="single" w:sz="6" w:space="0" w:color="auto"/>
            </w:tcBorders>
            <w:shd w:val="clear" w:color="auto" w:fill="auto"/>
            <w:vAlign w:val="center"/>
            <w:hideMark/>
          </w:tcPr>
          <w:p w14:paraId="7A1DF695" w14:textId="77777777" w:rsidR="0063097B" w:rsidRPr="003E27F0" w:rsidRDefault="0063097B" w:rsidP="0063097B">
            <w:pPr>
              <w:numPr>
                <w:ilvl w:val="0"/>
                <w:numId w:val="0"/>
              </w:numPr>
              <w:spacing w:after="0" w:line="240" w:lineRule="auto"/>
              <w:ind w:left="142"/>
              <w:textAlignment w:val="baseline"/>
              <w:rPr>
                <w:rFonts w:eastAsia="Times New Roman" w:cstheme="minorHAnsi"/>
                <w:lang w:eastAsia="en-GB"/>
              </w:rPr>
            </w:pPr>
            <w:r w:rsidRPr="003E27F0">
              <w:rPr>
                <w:rFonts w:eastAsia="Times New Roman" w:cstheme="minorHAnsi"/>
                <w:color w:val="000000"/>
                <w:lang w:eastAsia="en-GB"/>
              </w:rPr>
              <w:t>No evidence or misleading evidence.</w:t>
            </w:r>
            <w:r w:rsidRPr="003E27F0">
              <w:rPr>
                <w:rFonts w:eastAsia="Times New Roman" w:cstheme="minorHAnsi"/>
                <w:lang w:eastAsia="en-GB"/>
              </w:rPr>
              <w:t>   </w:t>
            </w:r>
          </w:p>
        </w:tc>
        <w:tc>
          <w:tcPr>
            <w:tcW w:w="826" w:type="dxa"/>
            <w:tcBorders>
              <w:top w:val="nil"/>
              <w:left w:val="nil"/>
              <w:bottom w:val="single" w:sz="6" w:space="0" w:color="auto"/>
              <w:right w:val="single" w:sz="6" w:space="0" w:color="auto"/>
            </w:tcBorders>
            <w:shd w:val="clear" w:color="auto" w:fill="auto"/>
            <w:vAlign w:val="center"/>
            <w:hideMark/>
          </w:tcPr>
          <w:p w14:paraId="6A89B76D"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0</w:t>
            </w:r>
            <w:r w:rsidRPr="003E27F0">
              <w:rPr>
                <w:rFonts w:eastAsia="Times New Roman" w:cstheme="minorHAnsi"/>
                <w:lang w:eastAsia="en-GB"/>
              </w:rPr>
              <w:t>   </w:t>
            </w:r>
          </w:p>
        </w:tc>
        <w:tc>
          <w:tcPr>
            <w:tcW w:w="1421" w:type="dxa"/>
            <w:tcBorders>
              <w:top w:val="nil"/>
              <w:left w:val="nil"/>
              <w:bottom w:val="single" w:sz="6" w:space="0" w:color="auto"/>
              <w:right w:val="single" w:sz="6" w:space="0" w:color="auto"/>
            </w:tcBorders>
            <w:shd w:val="clear" w:color="auto" w:fill="auto"/>
            <w:vAlign w:val="center"/>
            <w:hideMark/>
          </w:tcPr>
          <w:p w14:paraId="404EAFD5" w14:textId="77777777" w:rsidR="0063097B" w:rsidRPr="003E27F0" w:rsidRDefault="0063097B" w:rsidP="0063097B">
            <w:pPr>
              <w:numPr>
                <w:ilvl w:val="0"/>
                <w:numId w:val="0"/>
              </w:numPr>
              <w:spacing w:after="0" w:line="240" w:lineRule="auto"/>
              <w:ind w:left="142"/>
              <w:jc w:val="center"/>
              <w:textAlignment w:val="baseline"/>
              <w:rPr>
                <w:rFonts w:eastAsia="Times New Roman" w:cstheme="minorHAnsi"/>
                <w:lang w:eastAsia="en-GB"/>
              </w:rPr>
            </w:pPr>
            <w:r w:rsidRPr="003E27F0">
              <w:rPr>
                <w:rFonts w:eastAsia="Times New Roman" w:cstheme="minorHAnsi"/>
                <w:b/>
                <w:bCs/>
                <w:color w:val="000000"/>
                <w:lang w:eastAsia="en-GB"/>
              </w:rPr>
              <w:t>Not acceptable</w:t>
            </w:r>
            <w:r w:rsidRPr="003E27F0">
              <w:rPr>
                <w:rFonts w:eastAsia="Times New Roman" w:cstheme="minorHAnsi"/>
                <w:lang w:eastAsia="en-GB"/>
              </w:rPr>
              <w:t>   </w:t>
            </w:r>
          </w:p>
        </w:tc>
      </w:tr>
    </w:tbl>
    <w:p w14:paraId="44CAD6F0" w14:textId="77777777" w:rsidR="0063097B" w:rsidRPr="003E27F0" w:rsidRDefault="0063097B" w:rsidP="0063097B">
      <w:pPr>
        <w:numPr>
          <w:ilvl w:val="0"/>
          <w:numId w:val="0"/>
        </w:numPr>
        <w:rPr>
          <w:rFonts w:cstheme="minorHAnsi"/>
        </w:rPr>
      </w:pPr>
    </w:p>
    <w:p w14:paraId="2688429B" w14:textId="57E9D3E6" w:rsidR="0063097B" w:rsidRPr="003E27F0" w:rsidRDefault="0063097B" w:rsidP="0063097B">
      <w:pPr>
        <w:numPr>
          <w:ilvl w:val="0"/>
          <w:numId w:val="0"/>
        </w:numPr>
        <w:rPr>
          <w:rFonts w:cstheme="minorHAnsi"/>
        </w:rPr>
      </w:pPr>
      <w:r w:rsidRPr="003E27F0">
        <w:rPr>
          <w:rFonts w:eastAsia="Times New Roman" w:cstheme="minorHAnsi"/>
          <w:b/>
          <w:bCs/>
          <w:lang w:eastAsia="en-GB"/>
        </w:rPr>
        <w:tab/>
      </w:r>
    </w:p>
    <w:p w14:paraId="54700B4D" w14:textId="77777777" w:rsidR="00F237CC" w:rsidRDefault="00F237CC" w:rsidP="0063097B">
      <w:pPr>
        <w:numPr>
          <w:ilvl w:val="0"/>
          <w:numId w:val="0"/>
        </w:numPr>
        <w:ind w:left="1070"/>
      </w:pPr>
    </w:p>
    <w:sectPr w:rsidR="00F237C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A8F73" w14:textId="77777777" w:rsidR="003E7A79" w:rsidRDefault="003E7A79" w:rsidP="004416A0">
      <w:pPr>
        <w:spacing w:after="0" w:line="240" w:lineRule="auto"/>
      </w:pPr>
      <w:r>
        <w:separator/>
      </w:r>
    </w:p>
  </w:endnote>
  <w:endnote w:type="continuationSeparator" w:id="0">
    <w:p w14:paraId="2A744501" w14:textId="77777777" w:rsidR="003E7A79" w:rsidRDefault="003E7A79" w:rsidP="0044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54262"/>
      <w:docPartObj>
        <w:docPartGallery w:val="Page Numbers (Bottom of Page)"/>
        <w:docPartUnique/>
      </w:docPartObj>
    </w:sdtPr>
    <w:sdtEndPr>
      <w:rPr>
        <w:noProof/>
      </w:rPr>
    </w:sdtEndPr>
    <w:sdtContent>
      <w:p w14:paraId="1F2B8841" w14:textId="77777777" w:rsidR="00DA73DC" w:rsidRDefault="00DA73DC" w:rsidP="007673D5">
        <w:pPr>
          <w:pStyle w:val="Footer"/>
          <w:numPr>
            <w:ilvl w:val="0"/>
            <w:numId w:val="0"/>
          </w:numPr>
          <w:ind w:left="710"/>
          <w:jc w:val="center"/>
        </w:pPr>
        <w:r>
          <w:fldChar w:fldCharType="begin"/>
        </w:r>
        <w:r>
          <w:instrText xml:space="preserve"> PAGE   \* MERGEFORMAT </w:instrText>
        </w:r>
        <w:r>
          <w:fldChar w:fldCharType="separate"/>
        </w:r>
        <w:r w:rsidR="00E9035C">
          <w:rPr>
            <w:noProof/>
          </w:rPr>
          <w:t>8</w:t>
        </w:r>
        <w:r>
          <w:rPr>
            <w:noProof/>
          </w:rPr>
          <w:fldChar w:fldCharType="end"/>
        </w:r>
      </w:p>
    </w:sdtContent>
  </w:sdt>
  <w:p w14:paraId="6416F197" w14:textId="77777777" w:rsidR="00DA73DC" w:rsidRDefault="00DA73DC" w:rsidP="007673D5">
    <w:pPr>
      <w:pStyle w:val="Footer"/>
      <w:numPr>
        <w:ilvl w:val="0"/>
        <w:numId w:val="0"/>
      </w:numPr>
      <w:ind w:left="107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28D73" w14:textId="77777777" w:rsidR="003E7A79" w:rsidRDefault="003E7A79" w:rsidP="004416A0">
      <w:pPr>
        <w:spacing w:after="0" w:line="240" w:lineRule="auto"/>
      </w:pPr>
      <w:r>
        <w:separator/>
      </w:r>
    </w:p>
  </w:footnote>
  <w:footnote w:type="continuationSeparator" w:id="0">
    <w:p w14:paraId="0C354401" w14:textId="77777777" w:rsidR="003E7A79" w:rsidRDefault="003E7A79" w:rsidP="004416A0">
      <w:pPr>
        <w:spacing w:after="0" w:line="240" w:lineRule="auto"/>
      </w:pPr>
      <w:r>
        <w:continuationSeparator/>
      </w:r>
    </w:p>
  </w:footnote>
  <w:footnote w:id="1">
    <w:p w14:paraId="0351DB48" w14:textId="77777777" w:rsidR="00DA73DC" w:rsidRDefault="00DA73DC" w:rsidP="00FF5A44">
      <w:pPr>
        <w:numPr>
          <w:ilvl w:val="0"/>
          <w:numId w:val="0"/>
        </w:numPr>
      </w:pPr>
      <w:r>
        <w:rPr>
          <w:rStyle w:val="FootnoteReference"/>
        </w:rPr>
        <w:footnoteRef/>
      </w:r>
      <w:r>
        <w:t xml:space="preserve"> </w:t>
      </w:r>
      <w:hyperlink r:id="rId1" w:history="1">
        <w:r>
          <w:rPr>
            <w:rStyle w:val="Hyperlink"/>
          </w:rPr>
          <w:t>https://www.onetonline.org/link/summary/17-1011.00</w:t>
        </w:r>
      </w:hyperlink>
    </w:p>
  </w:footnote>
  <w:footnote w:id="2">
    <w:p w14:paraId="7656176B" w14:textId="77777777" w:rsidR="00DA73DC" w:rsidRDefault="00DA73DC" w:rsidP="00B01A60">
      <w:pPr>
        <w:numPr>
          <w:ilvl w:val="0"/>
          <w:numId w:val="0"/>
        </w:numPr>
        <w:ind w:left="350"/>
      </w:pPr>
      <w:r>
        <w:rPr>
          <w:rStyle w:val="FootnoteReference"/>
        </w:rPr>
        <w:footnoteRef/>
      </w:r>
      <w:r>
        <w:t xml:space="preserve"> </w:t>
      </w:r>
      <w:hyperlink r:id="rId2" w:history="1">
        <w:r>
          <w:rPr>
            <w:rStyle w:val="Hyperlink"/>
          </w:rPr>
          <w:t>https://www.instituteforapprenticeships.org/apprenticeship-standards/architect-degree/</w:t>
        </w:r>
      </w:hyperlink>
    </w:p>
  </w:footnote>
  <w:footnote w:id="3">
    <w:p w14:paraId="6531B967" w14:textId="77777777" w:rsidR="00DA73DC" w:rsidRDefault="00DA73DC" w:rsidP="007E1B53">
      <w:pPr>
        <w:pStyle w:val="FootnoteText"/>
        <w:numPr>
          <w:ilvl w:val="0"/>
          <w:numId w:val="0"/>
        </w:numPr>
      </w:pPr>
      <w:r>
        <w:rPr>
          <w:rStyle w:val="FootnoteReference"/>
        </w:rPr>
        <w:footnoteRef/>
      </w:r>
      <w:r>
        <w:t xml:space="preserve"> </w:t>
      </w:r>
      <w:r w:rsidRPr="007E1B53">
        <w:t>https://www.thecreativeindustries.co.uk/industries/architecture/architecture-facts-and-figures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A8FD" w14:textId="32B66BCB" w:rsidR="00DA73DC" w:rsidRDefault="00DA73DC" w:rsidP="007673D5">
    <w:pPr>
      <w:pStyle w:val="Header"/>
      <w:numPr>
        <w:ilvl w:val="0"/>
        <w:numId w:val="0"/>
      </w:numPr>
      <w:ind w:left="1070" w:hanging="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624"/>
    <w:multiLevelType w:val="hybridMultilevel"/>
    <w:tmpl w:val="C248B918"/>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nsid w:val="0A6D2219"/>
    <w:multiLevelType w:val="hybridMultilevel"/>
    <w:tmpl w:val="8B58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AC6781"/>
    <w:multiLevelType w:val="hybridMultilevel"/>
    <w:tmpl w:val="2084EC7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218E6ED4"/>
    <w:multiLevelType w:val="hybridMultilevel"/>
    <w:tmpl w:val="F976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5D6146"/>
    <w:multiLevelType w:val="hybridMultilevel"/>
    <w:tmpl w:val="F7F87BAC"/>
    <w:lvl w:ilvl="0" w:tplc="01C649BC">
      <w:start w:val="1"/>
      <w:numFmt w:val="decimal"/>
      <w:lvlText w:val="%1."/>
      <w:lvlJc w:val="left"/>
      <w:pPr>
        <w:ind w:left="10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6DB6364"/>
    <w:multiLevelType w:val="hybridMultilevel"/>
    <w:tmpl w:val="8C74B43A"/>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7810A5"/>
    <w:multiLevelType w:val="hybridMultilevel"/>
    <w:tmpl w:val="9B06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F501C3"/>
    <w:multiLevelType w:val="hybridMultilevel"/>
    <w:tmpl w:val="78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48647B"/>
    <w:multiLevelType w:val="hybridMultilevel"/>
    <w:tmpl w:val="1D00E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F50DC4"/>
    <w:multiLevelType w:val="hybridMultilevel"/>
    <w:tmpl w:val="A65C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AE40D28"/>
    <w:multiLevelType w:val="hybridMultilevel"/>
    <w:tmpl w:val="6D3879B6"/>
    <w:lvl w:ilvl="0" w:tplc="8BE8BEE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0A37C1"/>
    <w:multiLevelType w:val="multilevel"/>
    <w:tmpl w:val="F12A89EE"/>
    <w:lvl w:ilvl="0">
      <w:start w:val="1"/>
      <w:numFmt w:val="decimal"/>
      <w:lvlText w:val="%1."/>
      <w:lvlJc w:val="left"/>
      <w:pPr>
        <w:ind w:left="840" w:hanging="543"/>
      </w:pPr>
      <w:rPr>
        <w:rFonts w:ascii="Arial" w:eastAsia="Arial" w:hAnsi="Arial" w:cs="Arial" w:hint="default"/>
        <w:b/>
        <w:bCs/>
        <w:spacing w:val="-1"/>
        <w:w w:val="100"/>
        <w:sz w:val="22"/>
        <w:szCs w:val="22"/>
        <w:lang w:val="en-GB" w:eastAsia="en-GB" w:bidi="en-GB"/>
      </w:rPr>
    </w:lvl>
    <w:lvl w:ilvl="1">
      <w:start w:val="1"/>
      <w:numFmt w:val="decimal"/>
      <w:lvlText w:val="%1.%2."/>
      <w:lvlJc w:val="left"/>
      <w:pPr>
        <w:ind w:left="1560" w:hanging="850"/>
      </w:pPr>
      <w:rPr>
        <w:spacing w:val="-1"/>
        <w:w w:val="100"/>
        <w:lang w:val="en-GB" w:eastAsia="en-GB" w:bidi="en-GB"/>
      </w:rPr>
    </w:lvl>
    <w:lvl w:ilvl="2">
      <w:numFmt w:val="bullet"/>
      <w:lvlText w:val="●"/>
      <w:lvlJc w:val="left"/>
      <w:pPr>
        <w:ind w:left="2280" w:hanging="850"/>
      </w:pPr>
      <w:rPr>
        <w:rFonts w:ascii="Arial" w:eastAsia="Arial" w:hAnsi="Arial" w:cs="Arial" w:hint="default"/>
        <w:w w:val="100"/>
        <w:sz w:val="22"/>
        <w:szCs w:val="22"/>
        <w:lang w:val="en-GB" w:eastAsia="en-GB" w:bidi="en-GB"/>
      </w:rPr>
    </w:lvl>
    <w:lvl w:ilvl="3">
      <w:numFmt w:val="bullet"/>
      <w:lvlText w:val="•"/>
      <w:lvlJc w:val="left"/>
      <w:pPr>
        <w:ind w:left="2280" w:hanging="850"/>
      </w:pPr>
      <w:rPr>
        <w:lang w:val="en-GB" w:eastAsia="en-GB" w:bidi="en-GB"/>
      </w:rPr>
    </w:lvl>
    <w:lvl w:ilvl="4">
      <w:numFmt w:val="bullet"/>
      <w:lvlText w:val="•"/>
      <w:lvlJc w:val="left"/>
      <w:pPr>
        <w:ind w:left="3326" w:hanging="850"/>
      </w:pPr>
      <w:rPr>
        <w:lang w:val="en-GB" w:eastAsia="en-GB" w:bidi="en-GB"/>
      </w:rPr>
    </w:lvl>
    <w:lvl w:ilvl="5">
      <w:numFmt w:val="bullet"/>
      <w:lvlText w:val="•"/>
      <w:lvlJc w:val="left"/>
      <w:pPr>
        <w:ind w:left="4373" w:hanging="850"/>
      </w:pPr>
      <w:rPr>
        <w:lang w:val="en-GB" w:eastAsia="en-GB" w:bidi="en-GB"/>
      </w:rPr>
    </w:lvl>
    <w:lvl w:ilvl="6">
      <w:numFmt w:val="bullet"/>
      <w:lvlText w:val="•"/>
      <w:lvlJc w:val="left"/>
      <w:pPr>
        <w:ind w:left="5419" w:hanging="850"/>
      </w:pPr>
      <w:rPr>
        <w:lang w:val="en-GB" w:eastAsia="en-GB" w:bidi="en-GB"/>
      </w:rPr>
    </w:lvl>
    <w:lvl w:ilvl="7">
      <w:numFmt w:val="bullet"/>
      <w:lvlText w:val="•"/>
      <w:lvlJc w:val="left"/>
      <w:pPr>
        <w:ind w:left="6466" w:hanging="850"/>
      </w:pPr>
      <w:rPr>
        <w:lang w:val="en-GB" w:eastAsia="en-GB" w:bidi="en-GB"/>
      </w:rPr>
    </w:lvl>
    <w:lvl w:ilvl="8">
      <w:numFmt w:val="bullet"/>
      <w:lvlText w:val="•"/>
      <w:lvlJc w:val="left"/>
      <w:pPr>
        <w:ind w:left="7513" w:hanging="850"/>
      </w:pPr>
      <w:rPr>
        <w:lang w:val="en-GB" w:eastAsia="en-GB" w:bidi="en-GB"/>
      </w:rPr>
    </w:lvl>
  </w:abstractNum>
  <w:abstractNum w:abstractNumId="12">
    <w:nsid w:val="3D604B6F"/>
    <w:multiLevelType w:val="hybridMultilevel"/>
    <w:tmpl w:val="6204BD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D61BCD"/>
    <w:multiLevelType w:val="hybridMultilevel"/>
    <w:tmpl w:val="5C546852"/>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nsid w:val="47374BB7"/>
    <w:multiLevelType w:val="hybridMultilevel"/>
    <w:tmpl w:val="F5ECEA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925488"/>
    <w:multiLevelType w:val="hybridMultilevel"/>
    <w:tmpl w:val="79842C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nsid w:val="56B934CD"/>
    <w:multiLevelType w:val="hybridMultilevel"/>
    <w:tmpl w:val="B7B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D5429D"/>
    <w:multiLevelType w:val="hybridMultilevel"/>
    <w:tmpl w:val="649ADA1E"/>
    <w:lvl w:ilvl="0" w:tplc="08090001">
      <w:start w:val="1"/>
      <w:numFmt w:val="bullet"/>
      <w:lvlText w:val=""/>
      <w:lvlJc w:val="left"/>
      <w:pPr>
        <w:ind w:left="107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5FE06BD"/>
    <w:multiLevelType w:val="hybridMultilevel"/>
    <w:tmpl w:val="415E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8666B4"/>
    <w:multiLevelType w:val="hybridMultilevel"/>
    <w:tmpl w:val="C2D8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9F33BDD"/>
    <w:multiLevelType w:val="hybridMultilevel"/>
    <w:tmpl w:val="1902DFBC"/>
    <w:lvl w:ilvl="0" w:tplc="0809000F">
      <w:start w:val="1"/>
      <w:numFmt w:val="decimal"/>
      <w:pStyle w:val="Normal"/>
      <w:lvlText w:val="%1."/>
      <w:lvlJc w:val="left"/>
      <w:pPr>
        <w:ind w:left="786"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20"/>
  </w:num>
  <w:num w:numId="2">
    <w:abstractNumId w:val="16"/>
  </w:num>
  <w:num w:numId="3">
    <w:abstractNumId w:val="9"/>
  </w:num>
  <w:num w:numId="4">
    <w:abstractNumId w:val="8"/>
  </w:num>
  <w:num w:numId="5">
    <w:abstractNumId w:val="19"/>
  </w:num>
  <w:num w:numId="6">
    <w:abstractNumId w:val="3"/>
  </w:num>
  <w:num w:numId="7">
    <w:abstractNumId w:val="7"/>
  </w:num>
  <w:num w:numId="8">
    <w:abstractNumId w:val="18"/>
  </w:num>
  <w:num w:numId="9">
    <w:abstractNumId w:val="4"/>
  </w:num>
  <w:num w:numId="1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num>
  <w:num w:numId="12">
    <w:abstractNumId w:val="5"/>
  </w:num>
  <w:num w:numId="13">
    <w:abstractNumId w:val="17"/>
  </w:num>
  <w:num w:numId="14">
    <w:abstractNumId w:val="1"/>
  </w:num>
  <w:num w:numId="15">
    <w:abstractNumId w:val="0"/>
  </w:num>
  <w:num w:numId="16">
    <w:abstractNumId w:val="14"/>
  </w:num>
  <w:num w:numId="17">
    <w:abstractNumId w:val="12"/>
  </w:num>
  <w:num w:numId="18">
    <w:abstractNumId w:val="2"/>
  </w:num>
  <w:num w:numId="19">
    <w:abstractNumId w:val="10"/>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BA"/>
    <w:rsid w:val="0000072C"/>
    <w:rsid w:val="0000135D"/>
    <w:rsid w:val="00001561"/>
    <w:rsid w:val="00005BA2"/>
    <w:rsid w:val="000067AE"/>
    <w:rsid w:val="00010070"/>
    <w:rsid w:val="00010EB2"/>
    <w:rsid w:val="00014BBC"/>
    <w:rsid w:val="00014F79"/>
    <w:rsid w:val="00016E2C"/>
    <w:rsid w:val="000170B1"/>
    <w:rsid w:val="00023252"/>
    <w:rsid w:val="0002356D"/>
    <w:rsid w:val="00024241"/>
    <w:rsid w:val="00024518"/>
    <w:rsid w:val="00024953"/>
    <w:rsid w:val="00025D56"/>
    <w:rsid w:val="00026356"/>
    <w:rsid w:val="00026887"/>
    <w:rsid w:val="00031276"/>
    <w:rsid w:val="00033CF8"/>
    <w:rsid w:val="00034D93"/>
    <w:rsid w:val="00036D77"/>
    <w:rsid w:val="00037E3B"/>
    <w:rsid w:val="0004045F"/>
    <w:rsid w:val="000437C8"/>
    <w:rsid w:val="00044998"/>
    <w:rsid w:val="00045D32"/>
    <w:rsid w:val="00050D7F"/>
    <w:rsid w:val="000513EA"/>
    <w:rsid w:val="000539A6"/>
    <w:rsid w:val="00054E8F"/>
    <w:rsid w:val="0005532F"/>
    <w:rsid w:val="00055A89"/>
    <w:rsid w:val="000563BD"/>
    <w:rsid w:val="00060381"/>
    <w:rsid w:val="000614B0"/>
    <w:rsid w:val="000629CE"/>
    <w:rsid w:val="00063445"/>
    <w:rsid w:val="00071062"/>
    <w:rsid w:val="00072F81"/>
    <w:rsid w:val="00074C2B"/>
    <w:rsid w:val="00074C69"/>
    <w:rsid w:val="00074DE9"/>
    <w:rsid w:val="00074FB2"/>
    <w:rsid w:val="000776A5"/>
    <w:rsid w:val="00081981"/>
    <w:rsid w:val="00081EE3"/>
    <w:rsid w:val="0008629E"/>
    <w:rsid w:val="0008727E"/>
    <w:rsid w:val="00091C66"/>
    <w:rsid w:val="00091CD5"/>
    <w:rsid w:val="0009217B"/>
    <w:rsid w:val="00093290"/>
    <w:rsid w:val="00093B98"/>
    <w:rsid w:val="00093CA6"/>
    <w:rsid w:val="00093D24"/>
    <w:rsid w:val="00094764"/>
    <w:rsid w:val="000955D1"/>
    <w:rsid w:val="00095796"/>
    <w:rsid w:val="00096B21"/>
    <w:rsid w:val="00096FF7"/>
    <w:rsid w:val="000A02E6"/>
    <w:rsid w:val="000A0C32"/>
    <w:rsid w:val="000A15E7"/>
    <w:rsid w:val="000A1D32"/>
    <w:rsid w:val="000A25DA"/>
    <w:rsid w:val="000A2A1F"/>
    <w:rsid w:val="000A64B1"/>
    <w:rsid w:val="000A6581"/>
    <w:rsid w:val="000A7BFD"/>
    <w:rsid w:val="000B011A"/>
    <w:rsid w:val="000B462C"/>
    <w:rsid w:val="000B5260"/>
    <w:rsid w:val="000C04D1"/>
    <w:rsid w:val="000C07EA"/>
    <w:rsid w:val="000C1CC2"/>
    <w:rsid w:val="000C1F24"/>
    <w:rsid w:val="000C3658"/>
    <w:rsid w:val="000C3D92"/>
    <w:rsid w:val="000C3FFE"/>
    <w:rsid w:val="000C4F04"/>
    <w:rsid w:val="000C5954"/>
    <w:rsid w:val="000C6A09"/>
    <w:rsid w:val="000D03EC"/>
    <w:rsid w:val="000D05BA"/>
    <w:rsid w:val="000D1600"/>
    <w:rsid w:val="000D2554"/>
    <w:rsid w:val="000D407D"/>
    <w:rsid w:val="000D547F"/>
    <w:rsid w:val="000D5ED1"/>
    <w:rsid w:val="000D5ED8"/>
    <w:rsid w:val="000E3D75"/>
    <w:rsid w:val="000E449F"/>
    <w:rsid w:val="000E4E05"/>
    <w:rsid w:val="000E68AB"/>
    <w:rsid w:val="000F0853"/>
    <w:rsid w:val="000F0FBF"/>
    <w:rsid w:val="000F1A64"/>
    <w:rsid w:val="000F20AE"/>
    <w:rsid w:val="000F288B"/>
    <w:rsid w:val="000F5404"/>
    <w:rsid w:val="000F542C"/>
    <w:rsid w:val="000F7F9C"/>
    <w:rsid w:val="0010112E"/>
    <w:rsid w:val="00101AAB"/>
    <w:rsid w:val="00101E68"/>
    <w:rsid w:val="0010206D"/>
    <w:rsid w:val="0010433E"/>
    <w:rsid w:val="00104477"/>
    <w:rsid w:val="001059F1"/>
    <w:rsid w:val="001065C9"/>
    <w:rsid w:val="00107E0C"/>
    <w:rsid w:val="00111C4F"/>
    <w:rsid w:val="001127A6"/>
    <w:rsid w:val="00116125"/>
    <w:rsid w:val="00121FB5"/>
    <w:rsid w:val="00124085"/>
    <w:rsid w:val="001252E3"/>
    <w:rsid w:val="00125EFF"/>
    <w:rsid w:val="00127BF2"/>
    <w:rsid w:val="00131879"/>
    <w:rsid w:val="00134585"/>
    <w:rsid w:val="001357B8"/>
    <w:rsid w:val="00136074"/>
    <w:rsid w:val="00137290"/>
    <w:rsid w:val="00141AF6"/>
    <w:rsid w:val="00141CED"/>
    <w:rsid w:val="001436AF"/>
    <w:rsid w:val="00143B80"/>
    <w:rsid w:val="00143FBD"/>
    <w:rsid w:val="00146BE0"/>
    <w:rsid w:val="00147A5E"/>
    <w:rsid w:val="00150019"/>
    <w:rsid w:val="001506B3"/>
    <w:rsid w:val="00152F9B"/>
    <w:rsid w:val="00153D3B"/>
    <w:rsid w:val="00154DE9"/>
    <w:rsid w:val="0015507C"/>
    <w:rsid w:val="00155521"/>
    <w:rsid w:val="00155587"/>
    <w:rsid w:val="00157A12"/>
    <w:rsid w:val="001603C3"/>
    <w:rsid w:val="00160F12"/>
    <w:rsid w:val="00163268"/>
    <w:rsid w:val="001636B0"/>
    <w:rsid w:val="00163F7C"/>
    <w:rsid w:val="001650B1"/>
    <w:rsid w:val="00170356"/>
    <w:rsid w:val="00170571"/>
    <w:rsid w:val="00171A0D"/>
    <w:rsid w:val="00171CF7"/>
    <w:rsid w:val="00172A5D"/>
    <w:rsid w:val="0017337E"/>
    <w:rsid w:val="00173772"/>
    <w:rsid w:val="00174F97"/>
    <w:rsid w:val="00174FE8"/>
    <w:rsid w:val="001758C9"/>
    <w:rsid w:val="00177B1D"/>
    <w:rsid w:val="001852D7"/>
    <w:rsid w:val="001879A8"/>
    <w:rsid w:val="001929CE"/>
    <w:rsid w:val="00196809"/>
    <w:rsid w:val="001A0480"/>
    <w:rsid w:val="001A2DDD"/>
    <w:rsid w:val="001A30D4"/>
    <w:rsid w:val="001A31DA"/>
    <w:rsid w:val="001A4B66"/>
    <w:rsid w:val="001A4EEF"/>
    <w:rsid w:val="001A5D63"/>
    <w:rsid w:val="001A69DE"/>
    <w:rsid w:val="001A7CA0"/>
    <w:rsid w:val="001B0F47"/>
    <w:rsid w:val="001B1E31"/>
    <w:rsid w:val="001B3644"/>
    <w:rsid w:val="001B6FB4"/>
    <w:rsid w:val="001C25AE"/>
    <w:rsid w:val="001C517D"/>
    <w:rsid w:val="001C55BA"/>
    <w:rsid w:val="001C5B78"/>
    <w:rsid w:val="001C5D87"/>
    <w:rsid w:val="001D1DAC"/>
    <w:rsid w:val="001D30CA"/>
    <w:rsid w:val="001D43DB"/>
    <w:rsid w:val="001D4403"/>
    <w:rsid w:val="001D51D5"/>
    <w:rsid w:val="001D6174"/>
    <w:rsid w:val="001D664E"/>
    <w:rsid w:val="001D6E73"/>
    <w:rsid w:val="001D7BB2"/>
    <w:rsid w:val="001E01E7"/>
    <w:rsid w:val="001E0643"/>
    <w:rsid w:val="001E1280"/>
    <w:rsid w:val="001E1610"/>
    <w:rsid w:val="001E1689"/>
    <w:rsid w:val="001E1C02"/>
    <w:rsid w:val="001E2E20"/>
    <w:rsid w:val="001E48DD"/>
    <w:rsid w:val="001E54AC"/>
    <w:rsid w:val="001E6A0F"/>
    <w:rsid w:val="001E7E21"/>
    <w:rsid w:val="001F00A8"/>
    <w:rsid w:val="001F29E7"/>
    <w:rsid w:val="001F490F"/>
    <w:rsid w:val="001F4E8F"/>
    <w:rsid w:val="00201DEF"/>
    <w:rsid w:val="00204B2D"/>
    <w:rsid w:val="00211064"/>
    <w:rsid w:val="00214EBE"/>
    <w:rsid w:val="0022079F"/>
    <w:rsid w:val="00220DBA"/>
    <w:rsid w:val="00221670"/>
    <w:rsid w:val="00222842"/>
    <w:rsid w:val="002242DC"/>
    <w:rsid w:val="00225CEC"/>
    <w:rsid w:val="002272DD"/>
    <w:rsid w:val="0022773F"/>
    <w:rsid w:val="002311E3"/>
    <w:rsid w:val="002333DB"/>
    <w:rsid w:val="002334C0"/>
    <w:rsid w:val="0023426C"/>
    <w:rsid w:val="0023428C"/>
    <w:rsid w:val="00234FE9"/>
    <w:rsid w:val="002366E7"/>
    <w:rsid w:val="002369C1"/>
    <w:rsid w:val="0023736F"/>
    <w:rsid w:val="002373FF"/>
    <w:rsid w:val="0024100A"/>
    <w:rsid w:val="0024102A"/>
    <w:rsid w:val="002426A3"/>
    <w:rsid w:val="00243E44"/>
    <w:rsid w:val="00245545"/>
    <w:rsid w:val="00245657"/>
    <w:rsid w:val="0025096A"/>
    <w:rsid w:val="00251341"/>
    <w:rsid w:val="002529F0"/>
    <w:rsid w:val="002535A4"/>
    <w:rsid w:val="002535D6"/>
    <w:rsid w:val="00253A78"/>
    <w:rsid w:val="00253B26"/>
    <w:rsid w:val="00254163"/>
    <w:rsid w:val="00254714"/>
    <w:rsid w:val="00254902"/>
    <w:rsid w:val="00255F6D"/>
    <w:rsid w:val="002563D0"/>
    <w:rsid w:val="0025732A"/>
    <w:rsid w:val="0025767D"/>
    <w:rsid w:val="00261D19"/>
    <w:rsid w:val="0026389E"/>
    <w:rsid w:val="00265712"/>
    <w:rsid w:val="00265CB2"/>
    <w:rsid w:val="00266632"/>
    <w:rsid w:val="0026717C"/>
    <w:rsid w:val="002723EA"/>
    <w:rsid w:val="00272DFA"/>
    <w:rsid w:val="0027300A"/>
    <w:rsid w:val="0027429D"/>
    <w:rsid w:val="00274455"/>
    <w:rsid w:val="00275020"/>
    <w:rsid w:val="00275452"/>
    <w:rsid w:val="00276097"/>
    <w:rsid w:val="00277957"/>
    <w:rsid w:val="00277AF6"/>
    <w:rsid w:val="00280EC2"/>
    <w:rsid w:val="00281A30"/>
    <w:rsid w:val="00281BE9"/>
    <w:rsid w:val="002828AE"/>
    <w:rsid w:val="00285ABF"/>
    <w:rsid w:val="0028679E"/>
    <w:rsid w:val="00287CFE"/>
    <w:rsid w:val="00291D8B"/>
    <w:rsid w:val="002933B3"/>
    <w:rsid w:val="00293782"/>
    <w:rsid w:val="0029430D"/>
    <w:rsid w:val="002945A1"/>
    <w:rsid w:val="00295484"/>
    <w:rsid w:val="002957F7"/>
    <w:rsid w:val="002A127F"/>
    <w:rsid w:val="002A19B7"/>
    <w:rsid w:val="002A3722"/>
    <w:rsid w:val="002A4261"/>
    <w:rsid w:val="002A46EE"/>
    <w:rsid w:val="002A4E51"/>
    <w:rsid w:val="002A5776"/>
    <w:rsid w:val="002A72CC"/>
    <w:rsid w:val="002B03F6"/>
    <w:rsid w:val="002B109A"/>
    <w:rsid w:val="002B24BC"/>
    <w:rsid w:val="002B3266"/>
    <w:rsid w:val="002B4E5D"/>
    <w:rsid w:val="002B5AC8"/>
    <w:rsid w:val="002B6CC2"/>
    <w:rsid w:val="002B7285"/>
    <w:rsid w:val="002C0098"/>
    <w:rsid w:val="002C067F"/>
    <w:rsid w:val="002C12F9"/>
    <w:rsid w:val="002C1B81"/>
    <w:rsid w:val="002C1E3A"/>
    <w:rsid w:val="002C2DCA"/>
    <w:rsid w:val="002C39A3"/>
    <w:rsid w:val="002C51ED"/>
    <w:rsid w:val="002C5574"/>
    <w:rsid w:val="002C5770"/>
    <w:rsid w:val="002C6749"/>
    <w:rsid w:val="002C7824"/>
    <w:rsid w:val="002C78C9"/>
    <w:rsid w:val="002C7F2A"/>
    <w:rsid w:val="002D152F"/>
    <w:rsid w:val="002D1A19"/>
    <w:rsid w:val="002E065E"/>
    <w:rsid w:val="002E3137"/>
    <w:rsid w:val="002E4C4B"/>
    <w:rsid w:val="002E673C"/>
    <w:rsid w:val="002E7E54"/>
    <w:rsid w:val="002F0D1B"/>
    <w:rsid w:val="002F1222"/>
    <w:rsid w:val="002F173E"/>
    <w:rsid w:val="002F1C25"/>
    <w:rsid w:val="002F20DD"/>
    <w:rsid w:val="002F2E14"/>
    <w:rsid w:val="002F31D1"/>
    <w:rsid w:val="002F3C93"/>
    <w:rsid w:val="002F3D48"/>
    <w:rsid w:val="002F4C25"/>
    <w:rsid w:val="002F51E0"/>
    <w:rsid w:val="002F67D4"/>
    <w:rsid w:val="00300994"/>
    <w:rsid w:val="00301662"/>
    <w:rsid w:val="00301F07"/>
    <w:rsid w:val="0030488A"/>
    <w:rsid w:val="00304FE2"/>
    <w:rsid w:val="0031066F"/>
    <w:rsid w:val="00312066"/>
    <w:rsid w:val="003134E3"/>
    <w:rsid w:val="00315376"/>
    <w:rsid w:val="00317612"/>
    <w:rsid w:val="00322681"/>
    <w:rsid w:val="003228A6"/>
    <w:rsid w:val="00323FB5"/>
    <w:rsid w:val="00325CF8"/>
    <w:rsid w:val="003272E5"/>
    <w:rsid w:val="00327DA6"/>
    <w:rsid w:val="00327E63"/>
    <w:rsid w:val="003310C0"/>
    <w:rsid w:val="003310D9"/>
    <w:rsid w:val="00331119"/>
    <w:rsid w:val="00331868"/>
    <w:rsid w:val="00335A21"/>
    <w:rsid w:val="003368EA"/>
    <w:rsid w:val="00343CF1"/>
    <w:rsid w:val="00343EBE"/>
    <w:rsid w:val="003442DC"/>
    <w:rsid w:val="00345DCB"/>
    <w:rsid w:val="00346B12"/>
    <w:rsid w:val="003470DA"/>
    <w:rsid w:val="003470F8"/>
    <w:rsid w:val="003477AA"/>
    <w:rsid w:val="0035026B"/>
    <w:rsid w:val="003523E4"/>
    <w:rsid w:val="00353ACF"/>
    <w:rsid w:val="0036092A"/>
    <w:rsid w:val="0036349E"/>
    <w:rsid w:val="00366793"/>
    <w:rsid w:val="0037000E"/>
    <w:rsid w:val="0037005C"/>
    <w:rsid w:val="00374864"/>
    <w:rsid w:val="00374B0F"/>
    <w:rsid w:val="00374D87"/>
    <w:rsid w:val="00375254"/>
    <w:rsid w:val="00377113"/>
    <w:rsid w:val="00377D30"/>
    <w:rsid w:val="0038102B"/>
    <w:rsid w:val="003810C4"/>
    <w:rsid w:val="00383CCF"/>
    <w:rsid w:val="003845D0"/>
    <w:rsid w:val="00384D19"/>
    <w:rsid w:val="00385AC2"/>
    <w:rsid w:val="003919F3"/>
    <w:rsid w:val="0039210E"/>
    <w:rsid w:val="003945F7"/>
    <w:rsid w:val="00395C9B"/>
    <w:rsid w:val="00395FD1"/>
    <w:rsid w:val="00397A90"/>
    <w:rsid w:val="003A160A"/>
    <w:rsid w:val="003A28A2"/>
    <w:rsid w:val="003A2D74"/>
    <w:rsid w:val="003A3404"/>
    <w:rsid w:val="003A553E"/>
    <w:rsid w:val="003A5D9E"/>
    <w:rsid w:val="003A7EAD"/>
    <w:rsid w:val="003B0341"/>
    <w:rsid w:val="003B2B07"/>
    <w:rsid w:val="003B399E"/>
    <w:rsid w:val="003B3C38"/>
    <w:rsid w:val="003B5D75"/>
    <w:rsid w:val="003B6BF7"/>
    <w:rsid w:val="003C01B9"/>
    <w:rsid w:val="003C0599"/>
    <w:rsid w:val="003C25D4"/>
    <w:rsid w:val="003C2E25"/>
    <w:rsid w:val="003C3DF4"/>
    <w:rsid w:val="003C6C2C"/>
    <w:rsid w:val="003C7131"/>
    <w:rsid w:val="003D0C51"/>
    <w:rsid w:val="003D156A"/>
    <w:rsid w:val="003D1753"/>
    <w:rsid w:val="003D3844"/>
    <w:rsid w:val="003D4CE7"/>
    <w:rsid w:val="003D5198"/>
    <w:rsid w:val="003D5696"/>
    <w:rsid w:val="003D5E84"/>
    <w:rsid w:val="003D6304"/>
    <w:rsid w:val="003E021B"/>
    <w:rsid w:val="003E0E38"/>
    <w:rsid w:val="003E18BE"/>
    <w:rsid w:val="003E1AB6"/>
    <w:rsid w:val="003E2081"/>
    <w:rsid w:val="003E2143"/>
    <w:rsid w:val="003E27F0"/>
    <w:rsid w:val="003E3A9F"/>
    <w:rsid w:val="003E48AE"/>
    <w:rsid w:val="003E7A79"/>
    <w:rsid w:val="003E7F57"/>
    <w:rsid w:val="003F09E5"/>
    <w:rsid w:val="003F0FC2"/>
    <w:rsid w:val="003F2884"/>
    <w:rsid w:val="003F3CF8"/>
    <w:rsid w:val="003F3E78"/>
    <w:rsid w:val="003F4492"/>
    <w:rsid w:val="003F54CA"/>
    <w:rsid w:val="003F5E55"/>
    <w:rsid w:val="003F6D69"/>
    <w:rsid w:val="003F7923"/>
    <w:rsid w:val="004001A8"/>
    <w:rsid w:val="004005E5"/>
    <w:rsid w:val="00400C41"/>
    <w:rsid w:val="00401A4D"/>
    <w:rsid w:val="00401EFC"/>
    <w:rsid w:val="004022F4"/>
    <w:rsid w:val="004054D3"/>
    <w:rsid w:val="004057FB"/>
    <w:rsid w:val="00406E75"/>
    <w:rsid w:val="00406FB1"/>
    <w:rsid w:val="00410CC2"/>
    <w:rsid w:val="00410E64"/>
    <w:rsid w:val="00411A29"/>
    <w:rsid w:val="00412827"/>
    <w:rsid w:val="004131E5"/>
    <w:rsid w:val="00413A5C"/>
    <w:rsid w:val="00415E15"/>
    <w:rsid w:val="004171FA"/>
    <w:rsid w:val="004176F7"/>
    <w:rsid w:val="00421ACB"/>
    <w:rsid w:val="00423C2E"/>
    <w:rsid w:val="00425905"/>
    <w:rsid w:val="00433653"/>
    <w:rsid w:val="004416A0"/>
    <w:rsid w:val="004419E6"/>
    <w:rsid w:val="004422D4"/>
    <w:rsid w:val="00444018"/>
    <w:rsid w:val="00444068"/>
    <w:rsid w:val="00444AF1"/>
    <w:rsid w:val="004456EF"/>
    <w:rsid w:val="004466E4"/>
    <w:rsid w:val="004467E2"/>
    <w:rsid w:val="00451349"/>
    <w:rsid w:val="0045157F"/>
    <w:rsid w:val="00454C7F"/>
    <w:rsid w:val="00454DE6"/>
    <w:rsid w:val="004566E4"/>
    <w:rsid w:val="0045724A"/>
    <w:rsid w:val="00457345"/>
    <w:rsid w:val="00457900"/>
    <w:rsid w:val="0046385C"/>
    <w:rsid w:val="004654CB"/>
    <w:rsid w:val="004666E3"/>
    <w:rsid w:val="00470DCA"/>
    <w:rsid w:val="004716CC"/>
    <w:rsid w:val="00472FE5"/>
    <w:rsid w:val="00473641"/>
    <w:rsid w:val="00474F12"/>
    <w:rsid w:val="00481337"/>
    <w:rsid w:val="00482051"/>
    <w:rsid w:val="004827FE"/>
    <w:rsid w:val="004839F0"/>
    <w:rsid w:val="00486453"/>
    <w:rsid w:val="00486DE2"/>
    <w:rsid w:val="00486FCF"/>
    <w:rsid w:val="00490B30"/>
    <w:rsid w:val="004910C2"/>
    <w:rsid w:val="0049144C"/>
    <w:rsid w:val="00491960"/>
    <w:rsid w:val="00491F3C"/>
    <w:rsid w:val="00492527"/>
    <w:rsid w:val="004933CC"/>
    <w:rsid w:val="00493681"/>
    <w:rsid w:val="004937A7"/>
    <w:rsid w:val="00495076"/>
    <w:rsid w:val="00495167"/>
    <w:rsid w:val="00496439"/>
    <w:rsid w:val="0049654F"/>
    <w:rsid w:val="004A1AED"/>
    <w:rsid w:val="004A1FB4"/>
    <w:rsid w:val="004A4E40"/>
    <w:rsid w:val="004A68A8"/>
    <w:rsid w:val="004A7B9E"/>
    <w:rsid w:val="004B0B07"/>
    <w:rsid w:val="004B2274"/>
    <w:rsid w:val="004B2533"/>
    <w:rsid w:val="004B25FC"/>
    <w:rsid w:val="004B2A48"/>
    <w:rsid w:val="004B347C"/>
    <w:rsid w:val="004B36FD"/>
    <w:rsid w:val="004B3C56"/>
    <w:rsid w:val="004B54A9"/>
    <w:rsid w:val="004B6C6B"/>
    <w:rsid w:val="004B7C10"/>
    <w:rsid w:val="004C0CA1"/>
    <w:rsid w:val="004C2048"/>
    <w:rsid w:val="004C3477"/>
    <w:rsid w:val="004C42F3"/>
    <w:rsid w:val="004C5051"/>
    <w:rsid w:val="004C58D2"/>
    <w:rsid w:val="004D0189"/>
    <w:rsid w:val="004D081F"/>
    <w:rsid w:val="004D49D3"/>
    <w:rsid w:val="004D4B82"/>
    <w:rsid w:val="004D4EBE"/>
    <w:rsid w:val="004D4FDA"/>
    <w:rsid w:val="004D5977"/>
    <w:rsid w:val="004D5B73"/>
    <w:rsid w:val="004E0F71"/>
    <w:rsid w:val="004E2D58"/>
    <w:rsid w:val="004E32E8"/>
    <w:rsid w:val="004E6448"/>
    <w:rsid w:val="004E72AD"/>
    <w:rsid w:val="004E77C1"/>
    <w:rsid w:val="004F0F9A"/>
    <w:rsid w:val="004F1D2B"/>
    <w:rsid w:val="004F32F8"/>
    <w:rsid w:val="004F5386"/>
    <w:rsid w:val="004F739E"/>
    <w:rsid w:val="0050330A"/>
    <w:rsid w:val="00503E0C"/>
    <w:rsid w:val="00505256"/>
    <w:rsid w:val="00505BFA"/>
    <w:rsid w:val="00506035"/>
    <w:rsid w:val="005069A9"/>
    <w:rsid w:val="00507527"/>
    <w:rsid w:val="00510749"/>
    <w:rsid w:val="005123AA"/>
    <w:rsid w:val="005126DE"/>
    <w:rsid w:val="00513B24"/>
    <w:rsid w:val="0051408E"/>
    <w:rsid w:val="00517352"/>
    <w:rsid w:val="00517E1D"/>
    <w:rsid w:val="00521459"/>
    <w:rsid w:val="00521AE5"/>
    <w:rsid w:val="00523B4E"/>
    <w:rsid w:val="0052637A"/>
    <w:rsid w:val="005264AE"/>
    <w:rsid w:val="00530DB9"/>
    <w:rsid w:val="00530F1A"/>
    <w:rsid w:val="005316C1"/>
    <w:rsid w:val="00534AC5"/>
    <w:rsid w:val="00543B9B"/>
    <w:rsid w:val="005450EC"/>
    <w:rsid w:val="005451A2"/>
    <w:rsid w:val="005453D4"/>
    <w:rsid w:val="005461E6"/>
    <w:rsid w:val="0054659C"/>
    <w:rsid w:val="00546E58"/>
    <w:rsid w:val="005475C2"/>
    <w:rsid w:val="0055068C"/>
    <w:rsid w:val="00551B84"/>
    <w:rsid w:val="00552931"/>
    <w:rsid w:val="00552ACC"/>
    <w:rsid w:val="00552E6D"/>
    <w:rsid w:val="00553C46"/>
    <w:rsid w:val="00554CD8"/>
    <w:rsid w:val="00555ACF"/>
    <w:rsid w:val="00560FD3"/>
    <w:rsid w:val="00562CD0"/>
    <w:rsid w:val="00563AD0"/>
    <w:rsid w:val="005661B1"/>
    <w:rsid w:val="005674E8"/>
    <w:rsid w:val="0057026D"/>
    <w:rsid w:val="005712F8"/>
    <w:rsid w:val="00571446"/>
    <w:rsid w:val="005714FB"/>
    <w:rsid w:val="00571FE7"/>
    <w:rsid w:val="00572075"/>
    <w:rsid w:val="00572E92"/>
    <w:rsid w:val="00576BED"/>
    <w:rsid w:val="005772DF"/>
    <w:rsid w:val="005776D5"/>
    <w:rsid w:val="00580B78"/>
    <w:rsid w:val="00581D48"/>
    <w:rsid w:val="0058228F"/>
    <w:rsid w:val="00582C01"/>
    <w:rsid w:val="00585534"/>
    <w:rsid w:val="00586573"/>
    <w:rsid w:val="00586989"/>
    <w:rsid w:val="00586F32"/>
    <w:rsid w:val="005878BD"/>
    <w:rsid w:val="005915FA"/>
    <w:rsid w:val="00591600"/>
    <w:rsid w:val="005922AA"/>
    <w:rsid w:val="00592A02"/>
    <w:rsid w:val="005930FC"/>
    <w:rsid w:val="00593E20"/>
    <w:rsid w:val="00596CB0"/>
    <w:rsid w:val="00597749"/>
    <w:rsid w:val="005A1319"/>
    <w:rsid w:val="005A1701"/>
    <w:rsid w:val="005A27D7"/>
    <w:rsid w:val="005A2924"/>
    <w:rsid w:val="005A2F4F"/>
    <w:rsid w:val="005A3279"/>
    <w:rsid w:val="005A47E9"/>
    <w:rsid w:val="005A58B2"/>
    <w:rsid w:val="005A73CC"/>
    <w:rsid w:val="005B05CE"/>
    <w:rsid w:val="005B0A1C"/>
    <w:rsid w:val="005B100B"/>
    <w:rsid w:val="005B1FFA"/>
    <w:rsid w:val="005B27ED"/>
    <w:rsid w:val="005B5146"/>
    <w:rsid w:val="005B62C1"/>
    <w:rsid w:val="005C0070"/>
    <w:rsid w:val="005C0230"/>
    <w:rsid w:val="005C0E43"/>
    <w:rsid w:val="005C4CB2"/>
    <w:rsid w:val="005C527C"/>
    <w:rsid w:val="005D0119"/>
    <w:rsid w:val="005D03D3"/>
    <w:rsid w:val="005D0E0D"/>
    <w:rsid w:val="005D0E46"/>
    <w:rsid w:val="005D2279"/>
    <w:rsid w:val="005D2908"/>
    <w:rsid w:val="005D29D7"/>
    <w:rsid w:val="005D37FA"/>
    <w:rsid w:val="005D4FC2"/>
    <w:rsid w:val="005D6215"/>
    <w:rsid w:val="005E2359"/>
    <w:rsid w:val="005E235A"/>
    <w:rsid w:val="005E2954"/>
    <w:rsid w:val="005E3447"/>
    <w:rsid w:val="005E42D1"/>
    <w:rsid w:val="005E50D0"/>
    <w:rsid w:val="005E5EBE"/>
    <w:rsid w:val="005E6826"/>
    <w:rsid w:val="005F0B54"/>
    <w:rsid w:val="005F15A5"/>
    <w:rsid w:val="005F22C1"/>
    <w:rsid w:val="005F338A"/>
    <w:rsid w:val="005F448F"/>
    <w:rsid w:val="005F4D98"/>
    <w:rsid w:val="005F6A2B"/>
    <w:rsid w:val="005F79AC"/>
    <w:rsid w:val="005F7FA5"/>
    <w:rsid w:val="006018D4"/>
    <w:rsid w:val="006024A8"/>
    <w:rsid w:val="00602917"/>
    <w:rsid w:val="0060292E"/>
    <w:rsid w:val="0060297A"/>
    <w:rsid w:val="00602F86"/>
    <w:rsid w:val="00607BC0"/>
    <w:rsid w:val="00612F2B"/>
    <w:rsid w:val="0061716F"/>
    <w:rsid w:val="00617561"/>
    <w:rsid w:val="00623C77"/>
    <w:rsid w:val="00623CF9"/>
    <w:rsid w:val="00626241"/>
    <w:rsid w:val="006301FA"/>
    <w:rsid w:val="0063097B"/>
    <w:rsid w:val="0063331D"/>
    <w:rsid w:val="006340C3"/>
    <w:rsid w:val="00635D46"/>
    <w:rsid w:val="006364E0"/>
    <w:rsid w:val="00636918"/>
    <w:rsid w:val="00637B0D"/>
    <w:rsid w:val="00642398"/>
    <w:rsid w:val="00645B37"/>
    <w:rsid w:val="00646DC0"/>
    <w:rsid w:val="00647A00"/>
    <w:rsid w:val="00647E0E"/>
    <w:rsid w:val="00650074"/>
    <w:rsid w:val="006502D7"/>
    <w:rsid w:val="00650938"/>
    <w:rsid w:val="0065293C"/>
    <w:rsid w:val="00652C6E"/>
    <w:rsid w:val="006557E3"/>
    <w:rsid w:val="00657657"/>
    <w:rsid w:val="0066175C"/>
    <w:rsid w:val="00661B4A"/>
    <w:rsid w:val="00662DCC"/>
    <w:rsid w:val="00662E8D"/>
    <w:rsid w:val="0066567D"/>
    <w:rsid w:val="00665A53"/>
    <w:rsid w:val="0066656D"/>
    <w:rsid w:val="006700F7"/>
    <w:rsid w:val="00670144"/>
    <w:rsid w:val="00670F2A"/>
    <w:rsid w:val="006714A3"/>
    <w:rsid w:val="006747FA"/>
    <w:rsid w:val="00674A0E"/>
    <w:rsid w:val="00676A27"/>
    <w:rsid w:val="00677194"/>
    <w:rsid w:val="00681057"/>
    <w:rsid w:val="00684259"/>
    <w:rsid w:val="006852C6"/>
    <w:rsid w:val="00686594"/>
    <w:rsid w:val="006876E0"/>
    <w:rsid w:val="006878FD"/>
    <w:rsid w:val="00687EBB"/>
    <w:rsid w:val="00693BDE"/>
    <w:rsid w:val="006966C6"/>
    <w:rsid w:val="006A32DF"/>
    <w:rsid w:val="006A34A4"/>
    <w:rsid w:val="006A42CE"/>
    <w:rsid w:val="006A483D"/>
    <w:rsid w:val="006A4E2D"/>
    <w:rsid w:val="006A4F78"/>
    <w:rsid w:val="006A6A0D"/>
    <w:rsid w:val="006A71C5"/>
    <w:rsid w:val="006A77E2"/>
    <w:rsid w:val="006B344B"/>
    <w:rsid w:val="006B3A8F"/>
    <w:rsid w:val="006B3AA6"/>
    <w:rsid w:val="006B4A45"/>
    <w:rsid w:val="006B4D98"/>
    <w:rsid w:val="006B5023"/>
    <w:rsid w:val="006B7423"/>
    <w:rsid w:val="006B7DF2"/>
    <w:rsid w:val="006C17BA"/>
    <w:rsid w:val="006C198E"/>
    <w:rsid w:val="006C307F"/>
    <w:rsid w:val="006C42CC"/>
    <w:rsid w:val="006C4A69"/>
    <w:rsid w:val="006C514C"/>
    <w:rsid w:val="006C599A"/>
    <w:rsid w:val="006C715A"/>
    <w:rsid w:val="006D1D38"/>
    <w:rsid w:val="006D4211"/>
    <w:rsid w:val="006D4B59"/>
    <w:rsid w:val="006D505D"/>
    <w:rsid w:val="006D52B5"/>
    <w:rsid w:val="006D6025"/>
    <w:rsid w:val="006D770B"/>
    <w:rsid w:val="006E0085"/>
    <w:rsid w:val="006E24AA"/>
    <w:rsid w:val="006E2CFA"/>
    <w:rsid w:val="006E2F85"/>
    <w:rsid w:val="006E5BF6"/>
    <w:rsid w:val="006E5C89"/>
    <w:rsid w:val="006F2E5E"/>
    <w:rsid w:val="006F5BCE"/>
    <w:rsid w:val="006F5C04"/>
    <w:rsid w:val="006F63ED"/>
    <w:rsid w:val="006F7A97"/>
    <w:rsid w:val="00701C93"/>
    <w:rsid w:val="007069A2"/>
    <w:rsid w:val="00707397"/>
    <w:rsid w:val="00711F29"/>
    <w:rsid w:val="00714D53"/>
    <w:rsid w:val="00716652"/>
    <w:rsid w:val="00716D8A"/>
    <w:rsid w:val="00717963"/>
    <w:rsid w:val="007179B8"/>
    <w:rsid w:val="00717CCD"/>
    <w:rsid w:val="0072043C"/>
    <w:rsid w:val="00720687"/>
    <w:rsid w:val="00722B69"/>
    <w:rsid w:val="00723496"/>
    <w:rsid w:val="0072615E"/>
    <w:rsid w:val="00726182"/>
    <w:rsid w:val="007273CE"/>
    <w:rsid w:val="007278CA"/>
    <w:rsid w:val="0073245C"/>
    <w:rsid w:val="00734260"/>
    <w:rsid w:val="0073445B"/>
    <w:rsid w:val="00734942"/>
    <w:rsid w:val="00736A35"/>
    <w:rsid w:val="00737669"/>
    <w:rsid w:val="00740BF4"/>
    <w:rsid w:val="007420B0"/>
    <w:rsid w:val="00743722"/>
    <w:rsid w:val="0074675F"/>
    <w:rsid w:val="00747B5C"/>
    <w:rsid w:val="007513CF"/>
    <w:rsid w:val="00751E9B"/>
    <w:rsid w:val="007531D5"/>
    <w:rsid w:val="00753A44"/>
    <w:rsid w:val="00757D4A"/>
    <w:rsid w:val="00757E9A"/>
    <w:rsid w:val="00760409"/>
    <w:rsid w:val="00763C08"/>
    <w:rsid w:val="00765243"/>
    <w:rsid w:val="007673D5"/>
    <w:rsid w:val="00767666"/>
    <w:rsid w:val="00770584"/>
    <w:rsid w:val="00772196"/>
    <w:rsid w:val="007740C2"/>
    <w:rsid w:val="00775033"/>
    <w:rsid w:val="00777053"/>
    <w:rsid w:val="00780267"/>
    <w:rsid w:val="00781405"/>
    <w:rsid w:val="0078210C"/>
    <w:rsid w:val="0078324E"/>
    <w:rsid w:val="007832A4"/>
    <w:rsid w:val="00784568"/>
    <w:rsid w:val="007857B6"/>
    <w:rsid w:val="007863C8"/>
    <w:rsid w:val="00786D8F"/>
    <w:rsid w:val="0079004B"/>
    <w:rsid w:val="00795C49"/>
    <w:rsid w:val="00796928"/>
    <w:rsid w:val="00797AD6"/>
    <w:rsid w:val="007A1C33"/>
    <w:rsid w:val="007A28F5"/>
    <w:rsid w:val="007A3A51"/>
    <w:rsid w:val="007A4EEC"/>
    <w:rsid w:val="007A53C1"/>
    <w:rsid w:val="007B00A9"/>
    <w:rsid w:val="007B0CB7"/>
    <w:rsid w:val="007B5E4A"/>
    <w:rsid w:val="007C127F"/>
    <w:rsid w:val="007C18E8"/>
    <w:rsid w:val="007C1FBD"/>
    <w:rsid w:val="007C2617"/>
    <w:rsid w:val="007C2893"/>
    <w:rsid w:val="007C2E06"/>
    <w:rsid w:val="007C35F5"/>
    <w:rsid w:val="007C7F90"/>
    <w:rsid w:val="007D0596"/>
    <w:rsid w:val="007D38DC"/>
    <w:rsid w:val="007D3908"/>
    <w:rsid w:val="007D3A97"/>
    <w:rsid w:val="007D4695"/>
    <w:rsid w:val="007D4BFF"/>
    <w:rsid w:val="007D5FEE"/>
    <w:rsid w:val="007D6540"/>
    <w:rsid w:val="007D6F26"/>
    <w:rsid w:val="007D6F94"/>
    <w:rsid w:val="007E1B53"/>
    <w:rsid w:val="007E3E8A"/>
    <w:rsid w:val="007E625D"/>
    <w:rsid w:val="007E6C5F"/>
    <w:rsid w:val="007F013E"/>
    <w:rsid w:val="007F0506"/>
    <w:rsid w:val="007F0688"/>
    <w:rsid w:val="007F37AB"/>
    <w:rsid w:val="007F3D16"/>
    <w:rsid w:val="007F4891"/>
    <w:rsid w:val="007F7B28"/>
    <w:rsid w:val="008042D7"/>
    <w:rsid w:val="00806B58"/>
    <w:rsid w:val="00806C60"/>
    <w:rsid w:val="00807DA9"/>
    <w:rsid w:val="0081003D"/>
    <w:rsid w:val="00811B10"/>
    <w:rsid w:val="00816CF1"/>
    <w:rsid w:val="00817BF7"/>
    <w:rsid w:val="008215E6"/>
    <w:rsid w:val="008224CD"/>
    <w:rsid w:val="00824045"/>
    <w:rsid w:val="0082481E"/>
    <w:rsid w:val="00825C2F"/>
    <w:rsid w:val="00826A51"/>
    <w:rsid w:val="00827F34"/>
    <w:rsid w:val="00830813"/>
    <w:rsid w:val="008311C8"/>
    <w:rsid w:val="00831DF6"/>
    <w:rsid w:val="008341B1"/>
    <w:rsid w:val="00834D78"/>
    <w:rsid w:val="00836BE3"/>
    <w:rsid w:val="00837FDF"/>
    <w:rsid w:val="00841655"/>
    <w:rsid w:val="008441A7"/>
    <w:rsid w:val="00844748"/>
    <w:rsid w:val="008456F4"/>
    <w:rsid w:val="00845AC9"/>
    <w:rsid w:val="00845E68"/>
    <w:rsid w:val="00847157"/>
    <w:rsid w:val="0084724B"/>
    <w:rsid w:val="00850F80"/>
    <w:rsid w:val="00852724"/>
    <w:rsid w:val="0085382A"/>
    <w:rsid w:val="00853E3F"/>
    <w:rsid w:val="00854358"/>
    <w:rsid w:val="00854F28"/>
    <w:rsid w:val="008573A6"/>
    <w:rsid w:val="00857E0B"/>
    <w:rsid w:val="00861117"/>
    <w:rsid w:val="00862B6C"/>
    <w:rsid w:val="00866497"/>
    <w:rsid w:val="00866905"/>
    <w:rsid w:val="008707A7"/>
    <w:rsid w:val="0087102B"/>
    <w:rsid w:val="00880241"/>
    <w:rsid w:val="00881065"/>
    <w:rsid w:val="00881072"/>
    <w:rsid w:val="00882CD5"/>
    <w:rsid w:val="00883B83"/>
    <w:rsid w:val="00883FEE"/>
    <w:rsid w:val="0088421E"/>
    <w:rsid w:val="00884449"/>
    <w:rsid w:val="00891676"/>
    <w:rsid w:val="00891937"/>
    <w:rsid w:val="00892958"/>
    <w:rsid w:val="00895DED"/>
    <w:rsid w:val="008A05D5"/>
    <w:rsid w:val="008A0915"/>
    <w:rsid w:val="008A271D"/>
    <w:rsid w:val="008A46C3"/>
    <w:rsid w:val="008A4A59"/>
    <w:rsid w:val="008A508D"/>
    <w:rsid w:val="008A557A"/>
    <w:rsid w:val="008A5D53"/>
    <w:rsid w:val="008B1174"/>
    <w:rsid w:val="008B2701"/>
    <w:rsid w:val="008B322E"/>
    <w:rsid w:val="008B34E4"/>
    <w:rsid w:val="008B4FA2"/>
    <w:rsid w:val="008B5436"/>
    <w:rsid w:val="008B6C69"/>
    <w:rsid w:val="008B7B31"/>
    <w:rsid w:val="008C00A5"/>
    <w:rsid w:val="008C3852"/>
    <w:rsid w:val="008C455D"/>
    <w:rsid w:val="008C4FA4"/>
    <w:rsid w:val="008C754B"/>
    <w:rsid w:val="008D0CC7"/>
    <w:rsid w:val="008D2750"/>
    <w:rsid w:val="008D2AD8"/>
    <w:rsid w:val="008D4C43"/>
    <w:rsid w:val="008D67E7"/>
    <w:rsid w:val="008D76D2"/>
    <w:rsid w:val="008E1253"/>
    <w:rsid w:val="008E2B28"/>
    <w:rsid w:val="008E40E5"/>
    <w:rsid w:val="008E72DB"/>
    <w:rsid w:val="008F06A4"/>
    <w:rsid w:val="008F4839"/>
    <w:rsid w:val="008F4B3D"/>
    <w:rsid w:val="008F6660"/>
    <w:rsid w:val="008F78EC"/>
    <w:rsid w:val="00901088"/>
    <w:rsid w:val="009026A7"/>
    <w:rsid w:val="00904968"/>
    <w:rsid w:val="00910757"/>
    <w:rsid w:val="00911259"/>
    <w:rsid w:val="009136EA"/>
    <w:rsid w:val="00913F5B"/>
    <w:rsid w:val="009177F6"/>
    <w:rsid w:val="0092066C"/>
    <w:rsid w:val="00920EC8"/>
    <w:rsid w:val="00921477"/>
    <w:rsid w:val="00921EBA"/>
    <w:rsid w:val="009248A6"/>
    <w:rsid w:val="00925BEB"/>
    <w:rsid w:val="00925CA9"/>
    <w:rsid w:val="00925EFA"/>
    <w:rsid w:val="00927E36"/>
    <w:rsid w:val="0093067C"/>
    <w:rsid w:val="009307B0"/>
    <w:rsid w:val="00931B8D"/>
    <w:rsid w:val="0093331C"/>
    <w:rsid w:val="00933FE8"/>
    <w:rsid w:val="00936FCE"/>
    <w:rsid w:val="00940692"/>
    <w:rsid w:val="00941D31"/>
    <w:rsid w:val="009426B2"/>
    <w:rsid w:val="009428DF"/>
    <w:rsid w:val="009444A4"/>
    <w:rsid w:val="00945242"/>
    <w:rsid w:val="00946226"/>
    <w:rsid w:val="00954840"/>
    <w:rsid w:val="00955037"/>
    <w:rsid w:val="009559A5"/>
    <w:rsid w:val="009569B0"/>
    <w:rsid w:val="00957F1C"/>
    <w:rsid w:val="0096271C"/>
    <w:rsid w:val="009631EC"/>
    <w:rsid w:val="00966BBB"/>
    <w:rsid w:val="00966D20"/>
    <w:rsid w:val="00967BB5"/>
    <w:rsid w:val="0097094D"/>
    <w:rsid w:val="0097337A"/>
    <w:rsid w:val="00973CFD"/>
    <w:rsid w:val="00980587"/>
    <w:rsid w:val="00980637"/>
    <w:rsid w:val="00981501"/>
    <w:rsid w:val="00982F1B"/>
    <w:rsid w:val="00982F59"/>
    <w:rsid w:val="009833E4"/>
    <w:rsid w:val="00985E99"/>
    <w:rsid w:val="00986336"/>
    <w:rsid w:val="00987888"/>
    <w:rsid w:val="00990516"/>
    <w:rsid w:val="0099083B"/>
    <w:rsid w:val="00990DED"/>
    <w:rsid w:val="00992A9E"/>
    <w:rsid w:val="00993839"/>
    <w:rsid w:val="009954D0"/>
    <w:rsid w:val="009A03DF"/>
    <w:rsid w:val="009A0788"/>
    <w:rsid w:val="009A0CDC"/>
    <w:rsid w:val="009A0EFB"/>
    <w:rsid w:val="009A2023"/>
    <w:rsid w:val="009A5A19"/>
    <w:rsid w:val="009B0C33"/>
    <w:rsid w:val="009B0E1B"/>
    <w:rsid w:val="009B2E5A"/>
    <w:rsid w:val="009B2FE8"/>
    <w:rsid w:val="009B3F6E"/>
    <w:rsid w:val="009B5870"/>
    <w:rsid w:val="009B609D"/>
    <w:rsid w:val="009B6856"/>
    <w:rsid w:val="009C06A8"/>
    <w:rsid w:val="009C06BE"/>
    <w:rsid w:val="009C0A77"/>
    <w:rsid w:val="009C3DD7"/>
    <w:rsid w:val="009C7DFB"/>
    <w:rsid w:val="009D048F"/>
    <w:rsid w:val="009D1A82"/>
    <w:rsid w:val="009D3468"/>
    <w:rsid w:val="009D3E9E"/>
    <w:rsid w:val="009D50EF"/>
    <w:rsid w:val="009D6EB5"/>
    <w:rsid w:val="009E04C3"/>
    <w:rsid w:val="009E1844"/>
    <w:rsid w:val="009E2183"/>
    <w:rsid w:val="009E6E6B"/>
    <w:rsid w:val="009F034C"/>
    <w:rsid w:val="009F0501"/>
    <w:rsid w:val="009F1333"/>
    <w:rsid w:val="009F2D38"/>
    <w:rsid w:val="009F36F2"/>
    <w:rsid w:val="009F79E5"/>
    <w:rsid w:val="00A025C6"/>
    <w:rsid w:val="00A041A7"/>
    <w:rsid w:val="00A0444B"/>
    <w:rsid w:val="00A079EB"/>
    <w:rsid w:val="00A11177"/>
    <w:rsid w:val="00A11D20"/>
    <w:rsid w:val="00A12754"/>
    <w:rsid w:val="00A13116"/>
    <w:rsid w:val="00A131BF"/>
    <w:rsid w:val="00A155CA"/>
    <w:rsid w:val="00A16000"/>
    <w:rsid w:val="00A177AA"/>
    <w:rsid w:val="00A17932"/>
    <w:rsid w:val="00A17BC4"/>
    <w:rsid w:val="00A17F96"/>
    <w:rsid w:val="00A21400"/>
    <w:rsid w:val="00A227F3"/>
    <w:rsid w:val="00A23A0D"/>
    <w:rsid w:val="00A23B8D"/>
    <w:rsid w:val="00A24824"/>
    <w:rsid w:val="00A26A55"/>
    <w:rsid w:val="00A2745E"/>
    <w:rsid w:val="00A30222"/>
    <w:rsid w:val="00A306BE"/>
    <w:rsid w:val="00A30833"/>
    <w:rsid w:val="00A30AA6"/>
    <w:rsid w:val="00A3320E"/>
    <w:rsid w:val="00A34485"/>
    <w:rsid w:val="00A3757F"/>
    <w:rsid w:val="00A40929"/>
    <w:rsid w:val="00A40D82"/>
    <w:rsid w:val="00A41286"/>
    <w:rsid w:val="00A4284B"/>
    <w:rsid w:val="00A43654"/>
    <w:rsid w:val="00A52166"/>
    <w:rsid w:val="00A52A7E"/>
    <w:rsid w:val="00A531ED"/>
    <w:rsid w:val="00A550C1"/>
    <w:rsid w:val="00A56BFF"/>
    <w:rsid w:val="00A6077D"/>
    <w:rsid w:val="00A60C85"/>
    <w:rsid w:val="00A617D2"/>
    <w:rsid w:val="00A61B2A"/>
    <w:rsid w:val="00A63439"/>
    <w:rsid w:val="00A6419C"/>
    <w:rsid w:val="00A64D75"/>
    <w:rsid w:val="00A65464"/>
    <w:rsid w:val="00A657AD"/>
    <w:rsid w:val="00A65FBA"/>
    <w:rsid w:val="00A66831"/>
    <w:rsid w:val="00A70975"/>
    <w:rsid w:val="00A727D5"/>
    <w:rsid w:val="00A73B8D"/>
    <w:rsid w:val="00A76225"/>
    <w:rsid w:val="00A76406"/>
    <w:rsid w:val="00A7648D"/>
    <w:rsid w:val="00A7668E"/>
    <w:rsid w:val="00A774F8"/>
    <w:rsid w:val="00A82867"/>
    <w:rsid w:val="00A844F0"/>
    <w:rsid w:val="00A85452"/>
    <w:rsid w:val="00A86B01"/>
    <w:rsid w:val="00A870C3"/>
    <w:rsid w:val="00A92201"/>
    <w:rsid w:val="00A92D13"/>
    <w:rsid w:val="00A935B7"/>
    <w:rsid w:val="00A93FF7"/>
    <w:rsid w:val="00A94482"/>
    <w:rsid w:val="00A9520C"/>
    <w:rsid w:val="00A953D6"/>
    <w:rsid w:val="00A965FF"/>
    <w:rsid w:val="00A9751A"/>
    <w:rsid w:val="00A97B1D"/>
    <w:rsid w:val="00AA16BA"/>
    <w:rsid w:val="00AA41C6"/>
    <w:rsid w:val="00AA46E9"/>
    <w:rsid w:val="00AA6CE3"/>
    <w:rsid w:val="00AA70C6"/>
    <w:rsid w:val="00AB0B35"/>
    <w:rsid w:val="00AB1029"/>
    <w:rsid w:val="00AB17F6"/>
    <w:rsid w:val="00AB3D3D"/>
    <w:rsid w:val="00AB438F"/>
    <w:rsid w:val="00AB558A"/>
    <w:rsid w:val="00AB6181"/>
    <w:rsid w:val="00AB6CEE"/>
    <w:rsid w:val="00AB76BC"/>
    <w:rsid w:val="00AC070B"/>
    <w:rsid w:val="00AC1777"/>
    <w:rsid w:val="00AC5CBB"/>
    <w:rsid w:val="00AD0FB0"/>
    <w:rsid w:val="00AD2018"/>
    <w:rsid w:val="00AD250C"/>
    <w:rsid w:val="00AD2C46"/>
    <w:rsid w:val="00AD4DA6"/>
    <w:rsid w:val="00AD626C"/>
    <w:rsid w:val="00AE00F5"/>
    <w:rsid w:val="00AE1025"/>
    <w:rsid w:val="00AE19D7"/>
    <w:rsid w:val="00AE2020"/>
    <w:rsid w:val="00AE2307"/>
    <w:rsid w:val="00AE2953"/>
    <w:rsid w:val="00AE38C4"/>
    <w:rsid w:val="00AE4E10"/>
    <w:rsid w:val="00AE58B2"/>
    <w:rsid w:val="00AE7733"/>
    <w:rsid w:val="00AE7EC6"/>
    <w:rsid w:val="00AF09DC"/>
    <w:rsid w:val="00AF15B4"/>
    <w:rsid w:val="00AF1D28"/>
    <w:rsid w:val="00AF31BB"/>
    <w:rsid w:val="00AF37B7"/>
    <w:rsid w:val="00AF4ED2"/>
    <w:rsid w:val="00AF7388"/>
    <w:rsid w:val="00B00E14"/>
    <w:rsid w:val="00B011D5"/>
    <w:rsid w:val="00B01A60"/>
    <w:rsid w:val="00B01E27"/>
    <w:rsid w:val="00B01ED0"/>
    <w:rsid w:val="00B0216F"/>
    <w:rsid w:val="00B039AB"/>
    <w:rsid w:val="00B05AD2"/>
    <w:rsid w:val="00B0631A"/>
    <w:rsid w:val="00B06A79"/>
    <w:rsid w:val="00B07126"/>
    <w:rsid w:val="00B11629"/>
    <w:rsid w:val="00B12632"/>
    <w:rsid w:val="00B12C4E"/>
    <w:rsid w:val="00B131C9"/>
    <w:rsid w:val="00B135F5"/>
    <w:rsid w:val="00B15037"/>
    <w:rsid w:val="00B1652A"/>
    <w:rsid w:val="00B17731"/>
    <w:rsid w:val="00B20F7A"/>
    <w:rsid w:val="00B21CD7"/>
    <w:rsid w:val="00B2263C"/>
    <w:rsid w:val="00B228C5"/>
    <w:rsid w:val="00B23B15"/>
    <w:rsid w:val="00B24216"/>
    <w:rsid w:val="00B245E0"/>
    <w:rsid w:val="00B24787"/>
    <w:rsid w:val="00B25F2B"/>
    <w:rsid w:val="00B26E4F"/>
    <w:rsid w:val="00B2755B"/>
    <w:rsid w:val="00B3395A"/>
    <w:rsid w:val="00B34358"/>
    <w:rsid w:val="00B35276"/>
    <w:rsid w:val="00B353CF"/>
    <w:rsid w:val="00B37953"/>
    <w:rsid w:val="00B411AA"/>
    <w:rsid w:val="00B4159E"/>
    <w:rsid w:val="00B42996"/>
    <w:rsid w:val="00B42C0B"/>
    <w:rsid w:val="00B44C99"/>
    <w:rsid w:val="00B45E27"/>
    <w:rsid w:val="00B46CE6"/>
    <w:rsid w:val="00B471DA"/>
    <w:rsid w:val="00B51433"/>
    <w:rsid w:val="00B51F64"/>
    <w:rsid w:val="00B52378"/>
    <w:rsid w:val="00B54175"/>
    <w:rsid w:val="00B55AC1"/>
    <w:rsid w:val="00B55C4A"/>
    <w:rsid w:val="00B56588"/>
    <w:rsid w:val="00B56D19"/>
    <w:rsid w:val="00B56FF3"/>
    <w:rsid w:val="00B613A1"/>
    <w:rsid w:val="00B64995"/>
    <w:rsid w:val="00B64F86"/>
    <w:rsid w:val="00B67D1B"/>
    <w:rsid w:val="00B71256"/>
    <w:rsid w:val="00B719CD"/>
    <w:rsid w:val="00B72DF2"/>
    <w:rsid w:val="00B72E11"/>
    <w:rsid w:val="00B74238"/>
    <w:rsid w:val="00B75773"/>
    <w:rsid w:val="00B75C06"/>
    <w:rsid w:val="00B813B8"/>
    <w:rsid w:val="00B81AEC"/>
    <w:rsid w:val="00B82448"/>
    <w:rsid w:val="00B83A2A"/>
    <w:rsid w:val="00B83B6C"/>
    <w:rsid w:val="00B8673C"/>
    <w:rsid w:val="00B87B86"/>
    <w:rsid w:val="00B904B6"/>
    <w:rsid w:val="00B92951"/>
    <w:rsid w:val="00B94D68"/>
    <w:rsid w:val="00B96220"/>
    <w:rsid w:val="00B96A8F"/>
    <w:rsid w:val="00BA2C89"/>
    <w:rsid w:val="00BA3EBC"/>
    <w:rsid w:val="00BA3F35"/>
    <w:rsid w:val="00BA461B"/>
    <w:rsid w:val="00BA490C"/>
    <w:rsid w:val="00BA51B2"/>
    <w:rsid w:val="00BA524F"/>
    <w:rsid w:val="00BA5D2E"/>
    <w:rsid w:val="00BA7A6A"/>
    <w:rsid w:val="00BB0B79"/>
    <w:rsid w:val="00BB18C6"/>
    <w:rsid w:val="00BB1F47"/>
    <w:rsid w:val="00BB23A5"/>
    <w:rsid w:val="00BB299A"/>
    <w:rsid w:val="00BB3CF4"/>
    <w:rsid w:val="00BC0B26"/>
    <w:rsid w:val="00BC0CAA"/>
    <w:rsid w:val="00BC1B4F"/>
    <w:rsid w:val="00BC3C75"/>
    <w:rsid w:val="00BC4E5C"/>
    <w:rsid w:val="00BC6D26"/>
    <w:rsid w:val="00BC7809"/>
    <w:rsid w:val="00BD43A9"/>
    <w:rsid w:val="00BD62A4"/>
    <w:rsid w:val="00BE5287"/>
    <w:rsid w:val="00BE6AEC"/>
    <w:rsid w:val="00BE6D95"/>
    <w:rsid w:val="00BE6F69"/>
    <w:rsid w:val="00BE79C9"/>
    <w:rsid w:val="00BE7E68"/>
    <w:rsid w:val="00BF1D30"/>
    <w:rsid w:val="00BF2960"/>
    <w:rsid w:val="00BF3373"/>
    <w:rsid w:val="00BF4D1B"/>
    <w:rsid w:val="00BF6612"/>
    <w:rsid w:val="00C00B6D"/>
    <w:rsid w:val="00C00DDE"/>
    <w:rsid w:val="00C029BE"/>
    <w:rsid w:val="00C03774"/>
    <w:rsid w:val="00C0555E"/>
    <w:rsid w:val="00C06C52"/>
    <w:rsid w:val="00C06EC3"/>
    <w:rsid w:val="00C077AA"/>
    <w:rsid w:val="00C11B21"/>
    <w:rsid w:val="00C11EAB"/>
    <w:rsid w:val="00C11EEE"/>
    <w:rsid w:val="00C126E8"/>
    <w:rsid w:val="00C13B04"/>
    <w:rsid w:val="00C14E71"/>
    <w:rsid w:val="00C1541C"/>
    <w:rsid w:val="00C15B05"/>
    <w:rsid w:val="00C17241"/>
    <w:rsid w:val="00C22274"/>
    <w:rsid w:val="00C233D6"/>
    <w:rsid w:val="00C239D0"/>
    <w:rsid w:val="00C23FAF"/>
    <w:rsid w:val="00C31965"/>
    <w:rsid w:val="00C35A38"/>
    <w:rsid w:val="00C410B5"/>
    <w:rsid w:val="00C4149E"/>
    <w:rsid w:val="00C41B9B"/>
    <w:rsid w:val="00C44417"/>
    <w:rsid w:val="00C44A3F"/>
    <w:rsid w:val="00C44CBC"/>
    <w:rsid w:val="00C533A8"/>
    <w:rsid w:val="00C5671B"/>
    <w:rsid w:val="00C61322"/>
    <w:rsid w:val="00C613B1"/>
    <w:rsid w:val="00C62F79"/>
    <w:rsid w:val="00C64364"/>
    <w:rsid w:val="00C65312"/>
    <w:rsid w:val="00C66B91"/>
    <w:rsid w:val="00C67631"/>
    <w:rsid w:val="00C70C13"/>
    <w:rsid w:val="00C71C4D"/>
    <w:rsid w:val="00C75463"/>
    <w:rsid w:val="00C76B3A"/>
    <w:rsid w:val="00C76E22"/>
    <w:rsid w:val="00C77159"/>
    <w:rsid w:val="00C80BFE"/>
    <w:rsid w:val="00C8363A"/>
    <w:rsid w:val="00C84A71"/>
    <w:rsid w:val="00C857EB"/>
    <w:rsid w:val="00C87258"/>
    <w:rsid w:val="00C87F82"/>
    <w:rsid w:val="00C90311"/>
    <w:rsid w:val="00C90736"/>
    <w:rsid w:val="00C918B5"/>
    <w:rsid w:val="00C91E0F"/>
    <w:rsid w:val="00C95520"/>
    <w:rsid w:val="00C95534"/>
    <w:rsid w:val="00C95F8E"/>
    <w:rsid w:val="00C9623B"/>
    <w:rsid w:val="00C97703"/>
    <w:rsid w:val="00C97AB2"/>
    <w:rsid w:val="00CA084E"/>
    <w:rsid w:val="00CA0A07"/>
    <w:rsid w:val="00CA26FC"/>
    <w:rsid w:val="00CA34EC"/>
    <w:rsid w:val="00CA56CD"/>
    <w:rsid w:val="00CA7F0A"/>
    <w:rsid w:val="00CB4F01"/>
    <w:rsid w:val="00CC0AA4"/>
    <w:rsid w:val="00CC4DF2"/>
    <w:rsid w:val="00CC63F2"/>
    <w:rsid w:val="00CC643A"/>
    <w:rsid w:val="00CC755E"/>
    <w:rsid w:val="00CC7EF5"/>
    <w:rsid w:val="00CD1E5E"/>
    <w:rsid w:val="00CD2EB7"/>
    <w:rsid w:val="00CD387C"/>
    <w:rsid w:val="00CD49EF"/>
    <w:rsid w:val="00CD590C"/>
    <w:rsid w:val="00CD5958"/>
    <w:rsid w:val="00CD7B49"/>
    <w:rsid w:val="00CD7ED2"/>
    <w:rsid w:val="00CE09DE"/>
    <w:rsid w:val="00CE0A89"/>
    <w:rsid w:val="00CE0AB5"/>
    <w:rsid w:val="00CE10BA"/>
    <w:rsid w:val="00CE26B2"/>
    <w:rsid w:val="00CE31E8"/>
    <w:rsid w:val="00CE55F3"/>
    <w:rsid w:val="00CE65BF"/>
    <w:rsid w:val="00CE6E4D"/>
    <w:rsid w:val="00CE7120"/>
    <w:rsid w:val="00CE7DFE"/>
    <w:rsid w:val="00CF024D"/>
    <w:rsid w:val="00CF0384"/>
    <w:rsid w:val="00CF2F07"/>
    <w:rsid w:val="00CF35AF"/>
    <w:rsid w:val="00CF47B3"/>
    <w:rsid w:val="00CF563B"/>
    <w:rsid w:val="00CF7647"/>
    <w:rsid w:val="00D00F47"/>
    <w:rsid w:val="00D017B9"/>
    <w:rsid w:val="00D03265"/>
    <w:rsid w:val="00D05570"/>
    <w:rsid w:val="00D06864"/>
    <w:rsid w:val="00D07724"/>
    <w:rsid w:val="00D1254E"/>
    <w:rsid w:val="00D14DF7"/>
    <w:rsid w:val="00D15BE6"/>
    <w:rsid w:val="00D161B4"/>
    <w:rsid w:val="00D16A8D"/>
    <w:rsid w:val="00D16F23"/>
    <w:rsid w:val="00D16F4F"/>
    <w:rsid w:val="00D1763E"/>
    <w:rsid w:val="00D20CE5"/>
    <w:rsid w:val="00D20FC4"/>
    <w:rsid w:val="00D21091"/>
    <w:rsid w:val="00D22003"/>
    <w:rsid w:val="00D23AA6"/>
    <w:rsid w:val="00D2577D"/>
    <w:rsid w:val="00D25F46"/>
    <w:rsid w:val="00D275B9"/>
    <w:rsid w:val="00D31596"/>
    <w:rsid w:val="00D31650"/>
    <w:rsid w:val="00D333DC"/>
    <w:rsid w:val="00D33559"/>
    <w:rsid w:val="00D34D6C"/>
    <w:rsid w:val="00D35F7A"/>
    <w:rsid w:val="00D363ED"/>
    <w:rsid w:val="00D36F1B"/>
    <w:rsid w:val="00D378B7"/>
    <w:rsid w:val="00D40CA4"/>
    <w:rsid w:val="00D4190B"/>
    <w:rsid w:val="00D41A1A"/>
    <w:rsid w:val="00D41DC5"/>
    <w:rsid w:val="00D421D1"/>
    <w:rsid w:val="00D438CE"/>
    <w:rsid w:val="00D47B67"/>
    <w:rsid w:val="00D51302"/>
    <w:rsid w:val="00D52013"/>
    <w:rsid w:val="00D5590B"/>
    <w:rsid w:val="00D618A8"/>
    <w:rsid w:val="00D6193D"/>
    <w:rsid w:val="00D61E7D"/>
    <w:rsid w:val="00D62A15"/>
    <w:rsid w:val="00D679F7"/>
    <w:rsid w:val="00D7035E"/>
    <w:rsid w:val="00D709FE"/>
    <w:rsid w:val="00D745F0"/>
    <w:rsid w:val="00D7461E"/>
    <w:rsid w:val="00D74FE4"/>
    <w:rsid w:val="00D7567C"/>
    <w:rsid w:val="00D76F43"/>
    <w:rsid w:val="00D77323"/>
    <w:rsid w:val="00D77423"/>
    <w:rsid w:val="00D77640"/>
    <w:rsid w:val="00D77E70"/>
    <w:rsid w:val="00D801D4"/>
    <w:rsid w:val="00D80B6E"/>
    <w:rsid w:val="00D818E9"/>
    <w:rsid w:val="00D81C52"/>
    <w:rsid w:val="00D831CB"/>
    <w:rsid w:val="00D8375E"/>
    <w:rsid w:val="00D86BE5"/>
    <w:rsid w:val="00D87233"/>
    <w:rsid w:val="00D87EB4"/>
    <w:rsid w:val="00D92100"/>
    <w:rsid w:val="00D921F7"/>
    <w:rsid w:val="00D93C11"/>
    <w:rsid w:val="00D95559"/>
    <w:rsid w:val="00D95605"/>
    <w:rsid w:val="00D96C0E"/>
    <w:rsid w:val="00D96C2C"/>
    <w:rsid w:val="00D96F84"/>
    <w:rsid w:val="00DA15D0"/>
    <w:rsid w:val="00DA2CF8"/>
    <w:rsid w:val="00DA33E7"/>
    <w:rsid w:val="00DA73DC"/>
    <w:rsid w:val="00DB1EB0"/>
    <w:rsid w:val="00DB2A06"/>
    <w:rsid w:val="00DB2BCF"/>
    <w:rsid w:val="00DB65C4"/>
    <w:rsid w:val="00DB7000"/>
    <w:rsid w:val="00DC0107"/>
    <w:rsid w:val="00DC08A3"/>
    <w:rsid w:val="00DC0C8E"/>
    <w:rsid w:val="00DC0E13"/>
    <w:rsid w:val="00DC12C6"/>
    <w:rsid w:val="00DC22E9"/>
    <w:rsid w:val="00DC353C"/>
    <w:rsid w:val="00DC3CD0"/>
    <w:rsid w:val="00DC3F58"/>
    <w:rsid w:val="00DC402C"/>
    <w:rsid w:val="00DC5CC7"/>
    <w:rsid w:val="00DC6FB4"/>
    <w:rsid w:val="00DC73E1"/>
    <w:rsid w:val="00DD1BAE"/>
    <w:rsid w:val="00DD298A"/>
    <w:rsid w:val="00DD2FF8"/>
    <w:rsid w:val="00DD4CDF"/>
    <w:rsid w:val="00DD6915"/>
    <w:rsid w:val="00DE2F49"/>
    <w:rsid w:val="00DE3E08"/>
    <w:rsid w:val="00DE6E37"/>
    <w:rsid w:val="00DE73B9"/>
    <w:rsid w:val="00DF03BF"/>
    <w:rsid w:val="00DF0F4B"/>
    <w:rsid w:val="00DF4449"/>
    <w:rsid w:val="00DF4922"/>
    <w:rsid w:val="00DF55DD"/>
    <w:rsid w:val="00DF6281"/>
    <w:rsid w:val="00DF6FC8"/>
    <w:rsid w:val="00E007E3"/>
    <w:rsid w:val="00E009C5"/>
    <w:rsid w:val="00E03D71"/>
    <w:rsid w:val="00E0482E"/>
    <w:rsid w:val="00E0494D"/>
    <w:rsid w:val="00E0671E"/>
    <w:rsid w:val="00E067DE"/>
    <w:rsid w:val="00E0729C"/>
    <w:rsid w:val="00E108E9"/>
    <w:rsid w:val="00E13E70"/>
    <w:rsid w:val="00E13F58"/>
    <w:rsid w:val="00E15C0F"/>
    <w:rsid w:val="00E175FC"/>
    <w:rsid w:val="00E17BE4"/>
    <w:rsid w:val="00E204B0"/>
    <w:rsid w:val="00E226A4"/>
    <w:rsid w:val="00E22701"/>
    <w:rsid w:val="00E2486D"/>
    <w:rsid w:val="00E24DD7"/>
    <w:rsid w:val="00E27062"/>
    <w:rsid w:val="00E273D4"/>
    <w:rsid w:val="00E31127"/>
    <w:rsid w:val="00E31BCA"/>
    <w:rsid w:val="00E31FBD"/>
    <w:rsid w:val="00E323E0"/>
    <w:rsid w:val="00E32989"/>
    <w:rsid w:val="00E33253"/>
    <w:rsid w:val="00E3359C"/>
    <w:rsid w:val="00E40126"/>
    <w:rsid w:val="00E42DFE"/>
    <w:rsid w:val="00E43DE0"/>
    <w:rsid w:val="00E450EC"/>
    <w:rsid w:val="00E46919"/>
    <w:rsid w:val="00E475BA"/>
    <w:rsid w:val="00E50EF7"/>
    <w:rsid w:val="00E5664F"/>
    <w:rsid w:val="00E56F37"/>
    <w:rsid w:val="00E5785F"/>
    <w:rsid w:val="00E57B09"/>
    <w:rsid w:val="00E614A6"/>
    <w:rsid w:val="00E6244A"/>
    <w:rsid w:val="00E6253E"/>
    <w:rsid w:val="00E6486E"/>
    <w:rsid w:val="00E656F1"/>
    <w:rsid w:val="00E658DE"/>
    <w:rsid w:val="00E6595C"/>
    <w:rsid w:val="00E65C76"/>
    <w:rsid w:val="00E66BFB"/>
    <w:rsid w:val="00E6743D"/>
    <w:rsid w:val="00E716BD"/>
    <w:rsid w:val="00E731EF"/>
    <w:rsid w:val="00E750F8"/>
    <w:rsid w:val="00E75447"/>
    <w:rsid w:val="00E77F2D"/>
    <w:rsid w:val="00E812F0"/>
    <w:rsid w:val="00E82185"/>
    <w:rsid w:val="00E82368"/>
    <w:rsid w:val="00E830BE"/>
    <w:rsid w:val="00E87124"/>
    <w:rsid w:val="00E9035C"/>
    <w:rsid w:val="00E904B1"/>
    <w:rsid w:val="00E907E1"/>
    <w:rsid w:val="00E90D0B"/>
    <w:rsid w:val="00E926CB"/>
    <w:rsid w:val="00E92765"/>
    <w:rsid w:val="00E934B3"/>
    <w:rsid w:val="00E93BA4"/>
    <w:rsid w:val="00E94014"/>
    <w:rsid w:val="00E95225"/>
    <w:rsid w:val="00E957C0"/>
    <w:rsid w:val="00EA00FE"/>
    <w:rsid w:val="00EA1E26"/>
    <w:rsid w:val="00EA6DAE"/>
    <w:rsid w:val="00EA6E1A"/>
    <w:rsid w:val="00EA74EA"/>
    <w:rsid w:val="00EB10DC"/>
    <w:rsid w:val="00EB4790"/>
    <w:rsid w:val="00EB5737"/>
    <w:rsid w:val="00EB7350"/>
    <w:rsid w:val="00EC0C89"/>
    <w:rsid w:val="00EC1A38"/>
    <w:rsid w:val="00EC2355"/>
    <w:rsid w:val="00EC2E98"/>
    <w:rsid w:val="00EC416D"/>
    <w:rsid w:val="00EC4D3D"/>
    <w:rsid w:val="00EC5F52"/>
    <w:rsid w:val="00EC7257"/>
    <w:rsid w:val="00EC7B1C"/>
    <w:rsid w:val="00ED07EF"/>
    <w:rsid w:val="00ED37BE"/>
    <w:rsid w:val="00ED38FE"/>
    <w:rsid w:val="00ED52F8"/>
    <w:rsid w:val="00ED696A"/>
    <w:rsid w:val="00ED6B29"/>
    <w:rsid w:val="00EE29A9"/>
    <w:rsid w:val="00EE2FC3"/>
    <w:rsid w:val="00EE3574"/>
    <w:rsid w:val="00EE4227"/>
    <w:rsid w:val="00EE49D1"/>
    <w:rsid w:val="00EE6BA4"/>
    <w:rsid w:val="00EF0FCD"/>
    <w:rsid w:val="00EF19AE"/>
    <w:rsid w:val="00EF48F0"/>
    <w:rsid w:val="00EF496E"/>
    <w:rsid w:val="00EF4C52"/>
    <w:rsid w:val="00EF58FA"/>
    <w:rsid w:val="00EF6FDA"/>
    <w:rsid w:val="00EF6FEF"/>
    <w:rsid w:val="00F0364E"/>
    <w:rsid w:val="00F04091"/>
    <w:rsid w:val="00F05E64"/>
    <w:rsid w:val="00F06548"/>
    <w:rsid w:val="00F06B36"/>
    <w:rsid w:val="00F11580"/>
    <w:rsid w:val="00F1204A"/>
    <w:rsid w:val="00F16287"/>
    <w:rsid w:val="00F21D6E"/>
    <w:rsid w:val="00F23094"/>
    <w:rsid w:val="00F23629"/>
    <w:rsid w:val="00F237CC"/>
    <w:rsid w:val="00F24257"/>
    <w:rsid w:val="00F264E1"/>
    <w:rsid w:val="00F264F1"/>
    <w:rsid w:val="00F27AF8"/>
    <w:rsid w:val="00F3026D"/>
    <w:rsid w:val="00F305CC"/>
    <w:rsid w:val="00F310D4"/>
    <w:rsid w:val="00F31B48"/>
    <w:rsid w:val="00F326FE"/>
    <w:rsid w:val="00F32EB7"/>
    <w:rsid w:val="00F33CEB"/>
    <w:rsid w:val="00F35BA3"/>
    <w:rsid w:val="00F36535"/>
    <w:rsid w:val="00F36982"/>
    <w:rsid w:val="00F46756"/>
    <w:rsid w:val="00F46BA1"/>
    <w:rsid w:val="00F50DB1"/>
    <w:rsid w:val="00F512CF"/>
    <w:rsid w:val="00F525F6"/>
    <w:rsid w:val="00F53984"/>
    <w:rsid w:val="00F54659"/>
    <w:rsid w:val="00F557E5"/>
    <w:rsid w:val="00F5736B"/>
    <w:rsid w:val="00F5794F"/>
    <w:rsid w:val="00F57C2E"/>
    <w:rsid w:val="00F60F26"/>
    <w:rsid w:val="00F62235"/>
    <w:rsid w:val="00F622FF"/>
    <w:rsid w:val="00F632C8"/>
    <w:rsid w:val="00F6341B"/>
    <w:rsid w:val="00F63A50"/>
    <w:rsid w:val="00F658CE"/>
    <w:rsid w:val="00F65BA7"/>
    <w:rsid w:val="00F66153"/>
    <w:rsid w:val="00F706D6"/>
    <w:rsid w:val="00F7167D"/>
    <w:rsid w:val="00F71D32"/>
    <w:rsid w:val="00F723B2"/>
    <w:rsid w:val="00F72C4A"/>
    <w:rsid w:val="00F74EAA"/>
    <w:rsid w:val="00F755D6"/>
    <w:rsid w:val="00F764CA"/>
    <w:rsid w:val="00F800C2"/>
    <w:rsid w:val="00F84679"/>
    <w:rsid w:val="00F917C1"/>
    <w:rsid w:val="00F918A8"/>
    <w:rsid w:val="00F91D98"/>
    <w:rsid w:val="00F9235D"/>
    <w:rsid w:val="00F943D9"/>
    <w:rsid w:val="00F9681F"/>
    <w:rsid w:val="00F9760C"/>
    <w:rsid w:val="00FA04FE"/>
    <w:rsid w:val="00FA5FB9"/>
    <w:rsid w:val="00FA65FF"/>
    <w:rsid w:val="00FB0494"/>
    <w:rsid w:val="00FB051C"/>
    <w:rsid w:val="00FB10BA"/>
    <w:rsid w:val="00FB367E"/>
    <w:rsid w:val="00FB4381"/>
    <w:rsid w:val="00FB5250"/>
    <w:rsid w:val="00FB5D90"/>
    <w:rsid w:val="00FB6985"/>
    <w:rsid w:val="00FC0D9F"/>
    <w:rsid w:val="00FC20DB"/>
    <w:rsid w:val="00FC2187"/>
    <w:rsid w:val="00FC3A7E"/>
    <w:rsid w:val="00FC4A3E"/>
    <w:rsid w:val="00FC54F9"/>
    <w:rsid w:val="00FC632A"/>
    <w:rsid w:val="00FC6BF1"/>
    <w:rsid w:val="00FC7755"/>
    <w:rsid w:val="00FD005F"/>
    <w:rsid w:val="00FD0BA1"/>
    <w:rsid w:val="00FD0CE0"/>
    <w:rsid w:val="00FD3201"/>
    <w:rsid w:val="00FD359A"/>
    <w:rsid w:val="00FD385B"/>
    <w:rsid w:val="00FD3AEF"/>
    <w:rsid w:val="00FD3C9A"/>
    <w:rsid w:val="00FD423E"/>
    <w:rsid w:val="00FE1C41"/>
    <w:rsid w:val="00FE6B9F"/>
    <w:rsid w:val="00FF0C5D"/>
    <w:rsid w:val="00FF159A"/>
    <w:rsid w:val="00FF36CE"/>
    <w:rsid w:val="00FF481A"/>
    <w:rsid w:val="00FF5A44"/>
    <w:rsid w:val="00FF5FA8"/>
    <w:rsid w:val="00FF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A5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4F"/>
    <w:pPr>
      <w:numPr>
        <w:numId w:val="1"/>
      </w:numPr>
      <w:ind w:left="357" w:hanging="357"/>
    </w:pPr>
  </w:style>
  <w:style w:type="paragraph" w:styleId="Heading1">
    <w:name w:val="heading 1"/>
    <w:basedOn w:val="Normal"/>
    <w:next w:val="Normal"/>
    <w:link w:val="Heading1Char"/>
    <w:uiPriority w:val="9"/>
    <w:qFormat/>
    <w:rsid w:val="00E31FBD"/>
    <w:pPr>
      <w:keepNext/>
      <w:keepLines/>
      <w:numPr>
        <w:numId w:val="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DF7"/>
    <w:pPr>
      <w:keepNext/>
      <w:keepLines/>
      <w:numPr>
        <w:numId w:val="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4DF7"/>
    <w:pPr>
      <w:keepNext/>
      <w:keepLines/>
      <w:numPr>
        <w:numId w:val="0"/>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1B"/>
    <w:rPr>
      <w:rFonts w:asciiTheme="majorHAnsi" w:eastAsiaTheme="majorEastAsia" w:hAnsiTheme="majorHAnsi" w:cstheme="majorBidi"/>
      <w:color w:val="2F5496" w:themeColor="accent1" w:themeShade="BF"/>
      <w:sz w:val="32"/>
      <w:szCs w:val="32"/>
    </w:rPr>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9E6E6B"/>
    <w:pPr>
      <w:ind w:left="720"/>
      <w:contextualSpacing/>
    </w:pPr>
  </w:style>
  <w:style w:type="paragraph" w:styleId="NoSpacing">
    <w:name w:val="No Spacing"/>
    <w:aliases w:val="Contents and Appendix,Title and author"/>
    <w:uiPriority w:val="1"/>
    <w:qFormat/>
    <w:rsid w:val="00FF6B95"/>
    <w:pPr>
      <w:spacing w:after="0" w:line="240" w:lineRule="auto"/>
    </w:pPr>
    <w:rPr>
      <w:rFonts w:ascii="Arial" w:eastAsia="Times New Roman" w:hAnsi="Arial" w:cs="Times New Roman"/>
      <w:sz w:val="24"/>
      <w:szCs w:val="24"/>
      <w:lang w:eastAsia="en-GB"/>
    </w:rPr>
  </w:style>
  <w:style w:type="character" w:customStyle="1" w:styleId="Heading2Char">
    <w:name w:val="Heading 2 Char"/>
    <w:basedOn w:val="DefaultParagraphFont"/>
    <w:link w:val="Heading2"/>
    <w:uiPriority w:val="9"/>
    <w:rsid w:val="00F5398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441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6A0"/>
    <w:rPr>
      <w:sz w:val="20"/>
      <w:szCs w:val="20"/>
    </w:rPr>
  </w:style>
  <w:style w:type="character" w:styleId="FootnoteReference">
    <w:name w:val="footnote reference"/>
    <w:basedOn w:val="DefaultParagraphFont"/>
    <w:uiPriority w:val="99"/>
    <w:semiHidden/>
    <w:unhideWhenUsed/>
    <w:rsid w:val="004416A0"/>
    <w:rPr>
      <w:vertAlign w:val="superscript"/>
    </w:rPr>
  </w:style>
  <w:style w:type="character" w:styleId="Hyperlink">
    <w:name w:val="Hyperlink"/>
    <w:basedOn w:val="DefaultParagraphFont"/>
    <w:uiPriority w:val="99"/>
    <w:unhideWhenUsed/>
    <w:rsid w:val="00992A9E"/>
    <w:rPr>
      <w:color w:val="0000FF"/>
      <w:u w:val="single"/>
    </w:rPr>
  </w:style>
  <w:style w:type="paragraph" w:styleId="Header">
    <w:name w:val="header"/>
    <w:basedOn w:val="Normal"/>
    <w:link w:val="HeaderChar"/>
    <w:uiPriority w:val="99"/>
    <w:unhideWhenUsed/>
    <w:rsid w:val="00352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3E4"/>
  </w:style>
  <w:style w:type="paragraph" w:styleId="Footer">
    <w:name w:val="footer"/>
    <w:basedOn w:val="Normal"/>
    <w:link w:val="FooterChar"/>
    <w:uiPriority w:val="99"/>
    <w:unhideWhenUsed/>
    <w:rsid w:val="00352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3E4"/>
  </w:style>
  <w:style w:type="paragraph" w:styleId="CommentText">
    <w:name w:val="annotation text"/>
    <w:basedOn w:val="Normal"/>
    <w:link w:val="CommentTextChar"/>
    <w:uiPriority w:val="99"/>
    <w:semiHidden/>
    <w:unhideWhenUsed/>
    <w:rsid w:val="00DB1EB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DB1EB0"/>
    <w:rPr>
      <w:sz w:val="20"/>
      <w:szCs w:val="20"/>
    </w:rPr>
  </w:style>
  <w:style w:type="character" w:styleId="CommentReference">
    <w:name w:val="annotation reference"/>
    <w:basedOn w:val="DefaultParagraphFont"/>
    <w:uiPriority w:val="99"/>
    <w:semiHidden/>
    <w:unhideWhenUsed/>
    <w:rsid w:val="00DB1EB0"/>
    <w:rPr>
      <w:sz w:val="16"/>
      <w:szCs w:val="16"/>
    </w:rPr>
  </w:style>
  <w:style w:type="paragraph" w:styleId="BalloonText">
    <w:name w:val="Balloon Text"/>
    <w:basedOn w:val="Normal"/>
    <w:link w:val="BalloonTextChar"/>
    <w:uiPriority w:val="99"/>
    <w:semiHidden/>
    <w:unhideWhenUsed/>
    <w:rsid w:val="00DB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1FE7"/>
    <w:pPr>
      <w:spacing w:after="160"/>
    </w:pPr>
    <w:rPr>
      <w:b/>
      <w:bCs/>
    </w:rPr>
  </w:style>
  <w:style w:type="character" w:customStyle="1" w:styleId="CommentSubjectChar">
    <w:name w:val="Comment Subject Char"/>
    <w:basedOn w:val="CommentTextChar"/>
    <w:link w:val="CommentSubject"/>
    <w:uiPriority w:val="99"/>
    <w:semiHidden/>
    <w:rsid w:val="00571FE7"/>
    <w:rPr>
      <w:b/>
      <w:bCs/>
      <w:sz w:val="20"/>
      <w:szCs w:val="20"/>
    </w:rPr>
  </w:style>
  <w:style w:type="character" w:customStyle="1" w:styleId="Heading3Char">
    <w:name w:val="Heading 3 Char"/>
    <w:basedOn w:val="DefaultParagraphFont"/>
    <w:link w:val="Heading3"/>
    <w:uiPriority w:val="9"/>
    <w:rsid w:val="00505BF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3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23C77"/>
    <w:pPr>
      <w:widowControl w:val="0"/>
      <w:numPr>
        <w:numId w:val="0"/>
      </w:numPr>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semiHidden/>
    <w:rsid w:val="00623C77"/>
    <w:rPr>
      <w:rFonts w:ascii="Arial" w:eastAsia="Arial" w:hAnsi="Arial" w:cs="Arial"/>
      <w:lang w:eastAsia="en-GB" w:bidi="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uiPriority w:val="34"/>
    <w:locked/>
    <w:rsid w:val="0063097B"/>
  </w:style>
  <w:style w:type="character" w:customStyle="1" w:styleId="UnresolvedMention1">
    <w:name w:val="Unresolved Mention1"/>
    <w:basedOn w:val="DefaultParagraphFont"/>
    <w:uiPriority w:val="99"/>
    <w:semiHidden/>
    <w:unhideWhenUsed/>
    <w:rsid w:val="00AA16BA"/>
    <w:rPr>
      <w:color w:val="605E5C"/>
      <w:shd w:val="clear" w:color="auto" w:fill="E1DFDD"/>
    </w:rPr>
  </w:style>
  <w:style w:type="paragraph" w:styleId="Revision">
    <w:name w:val="Revision"/>
    <w:hidden/>
    <w:uiPriority w:val="99"/>
    <w:semiHidden/>
    <w:rsid w:val="00CE31E8"/>
    <w:pPr>
      <w:spacing w:after="0" w:line="240" w:lineRule="auto"/>
    </w:pPr>
  </w:style>
  <w:style w:type="character" w:styleId="FollowedHyperlink">
    <w:name w:val="FollowedHyperlink"/>
    <w:basedOn w:val="DefaultParagraphFont"/>
    <w:uiPriority w:val="99"/>
    <w:semiHidden/>
    <w:unhideWhenUsed/>
    <w:rsid w:val="000B526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4F"/>
    <w:pPr>
      <w:numPr>
        <w:numId w:val="1"/>
      </w:numPr>
      <w:ind w:left="357" w:hanging="357"/>
    </w:pPr>
  </w:style>
  <w:style w:type="paragraph" w:styleId="Heading1">
    <w:name w:val="heading 1"/>
    <w:basedOn w:val="Normal"/>
    <w:next w:val="Normal"/>
    <w:link w:val="Heading1Char"/>
    <w:uiPriority w:val="9"/>
    <w:qFormat/>
    <w:rsid w:val="00E31FBD"/>
    <w:pPr>
      <w:keepNext/>
      <w:keepLines/>
      <w:numPr>
        <w:numId w:val="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4DF7"/>
    <w:pPr>
      <w:keepNext/>
      <w:keepLines/>
      <w:numPr>
        <w:numId w:val="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4DF7"/>
    <w:pPr>
      <w:keepNext/>
      <w:keepLines/>
      <w:numPr>
        <w:numId w:val="0"/>
      </w:numPr>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1B"/>
    <w:rPr>
      <w:rFonts w:asciiTheme="majorHAnsi" w:eastAsiaTheme="majorEastAsia" w:hAnsiTheme="majorHAnsi" w:cstheme="majorBidi"/>
      <w:color w:val="2F5496" w:themeColor="accent1" w:themeShade="BF"/>
      <w:sz w:val="32"/>
      <w:szCs w:val="32"/>
    </w:rPr>
  </w:style>
  <w:style w:type="paragraph" w:styleId="ListParagraph">
    <w:name w:val="List Paragraph"/>
    <w:aliases w:val="Dot pt,No Spacing1,List Paragraph Char Char Char,Indicator Text,List Paragraph1,Numbered Para 1,Bullet 1,List Paragraph12,Bullet Points,MAIN CONTENT,F5 List Paragraph,Colorful List - Accent 11,Normal numbered,List Paragraph11,OBC Bullet"/>
    <w:basedOn w:val="Normal"/>
    <w:link w:val="ListParagraphChar"/>
    <w:uiPriority w:val="34"/>
    <w:qFormat/>
    <w:rsid w:val="009E6E6B"/>
    <w:pPr>
      <w:ind w:left="720"/>
      <w:contextualSpacing/>
    </w:pPr>
  </w:style>
  <w:style w:type="paragraph" w:styleId="NoSpacing">
    <w:name w:val="No Spacing"/>
    <w:aliases w:val="Contents and Appendix,Title and author"/>
    <w:uiPriority w:val="1"/>
    <w:qFormat/>
    <w:rsid w:val="00FF6B95"/>
    <w:pPr>
      <w:spacing w:after="0" w:line="240" w:lineRule="auto"/>
    </w:pPr>
    <w:rPr>
      <w:rFonts w:ascii="Arial" w:eastAsia="Times New Roman" w:hAnsi="Arial" w:cs="Times New Roman"/>
      <w:sz w:val="24"/>
      <w:szCs w:val="24"/>
      <w:lang w:eastAsia="en-GB"/>
    </w:rPr>
  </w:style>
  <w:style w:type="character" w:customStyle="1" w:styleId="Heading2Char">
    <w:name w:val="Heading 2 Char"/>
    <w:basedOn w:val="DefaultParagraphFont"/>
    <w:link w:val="Heading2"/>
    <w:uiPriority w:val="9"/>
    <w:rsid w:val="00F53984"/>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4416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6A0"/>
    <w:rPr>
      <w:sz w:val="20"/>
      <w:szCs w:val="20"/>
    </w:rPr>
  </w:style>
  <w:style w:type="character" w:styleId="FootnoteReference">
    <w:name w:val="footnote reference"/>
    <w:basedOn w:val="DefaultParagraphFont"/>
    <w:uiPriority w:val="99"/>
    <w:semiHidden/>
    <w:unhideWhenUsed/>
    <w:rsid w:val="004416A0"/>
    <w:rPr>
      <w:vertAlign w:val="superscript"/>
    </w:rPr>
  </w:style>
  <w:style w:type="character" w:styleId="Hyperlink">
    <w:name w:val="Hyperlink"/>
    <w:basedOn w:val="DefaultParagraphFont"/>
    <w:uiPriority w:val="99"/>
    <w:unhideWhenUsed/>
    <w:rsid w:val="00992A9E"/>
    <w:rPr>
      <w:color w:val="0000FF"/>
      <w:u w:val="single"/>
    </w:rPr>
  </w:style>
  <w:style w:type="paragraph" w:styleId="Header">
    <w:name w:val="header"/>
    <w:basedOn w:val="Normal"/>
    <w:link w:val="HeaderChar"/>
    <w:uiPriority w:val="99"/>
    <w:unhideWhenUsed/>
    <w:rsid w:val="00352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3E4"/>
  </w:style>
  <w:style w:type="paragraph" w:styleId="Footer">
    <w:name w:val="footer"/>
    <w:basedOn w:val="Normal"/>
    <w:link w:val="FooterChar"/>
    <w:uiPriority w:val="99"/>
    <w:unhideWhenUsed/>
    <w:rsid w:val="00352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3E4"/>
  </w:style>
  <w:style w:type="paragraph" w:styleId="CommentText">
    <w:name w:val="annotation text"/>
    <w:basedOn w:val="Normal"/>
    <w:link w:val="CommentTextChar"/>
    <w:uiPriority w:val="99"/>
    <w:semiHidden/>
    <w:unhideWhenUsed/>
    <w:rsid w:val="00DB1EB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DB1EB0"/>
    <w:rPr>
      <w:sz w:val="20"/>
      <w:szCs w:val="20"/>
    </w:rPr>
  </w:style>
  <w:style w:type="character" w:styleId="CommentReference">
    <w:name w:val="annotation reference"/>
    <w:basedOn w:val="DefaultParagraphFont"/>
    <w:uiPriority w:val="99"/>
    <w:semiHidden/>
    <w:unhideWhenUsed/>
    <w:rsid w:val="00DB1EB0"/>
    <w:rPr>
      <w:sz w:val="16"/>
      <w:szCs w:val="16"/>
    </w:rPr>
  </w:style>
  <w:style w:type="paragraph" w:styleId="BalloonText">
    <w:name w:val="Balloon Text"/>
    <w:basedOn w:val="Normal"/>
    <w:link w:val="BalloonTextChar"/>
    <w:uiPriority w:val="99"/>
    <w:semiHidden/>
    <w:unhideWhenUsed/>
    <w:rsid w:val="00DB1E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EB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1FE7"/>
    <w:pPr>
      <w:spacing w:after="160"/>
    </w:pPr>
    <w:rPr>
      <w:b/>
      <w:bCs/>
    </w:rPr>
  </w:style>
  <w:style w:type="character" w:customStyle="1" w:styleId="CommentSubjectChar">
    <w:name w:val="Comment Subject Char"/>
    <w:basedOn w:val="CommentTextChar"/>
    <w:link w:val="CommentSubject"/>
    <w:uiPriority w:val="99"/>
    <w:semiHidden/>
    <w:rsid w:val="00571FE7"/>
    <w:rPr>
      <w:b/>
      <w:bCs/>
      <w:sz w:val="20"/>
      <w:szCs w:val="20"/>
    </w:rPr>
  </w:style>
  <w:style w:type="character" w:customStyle="1" w:styleId="Heading3Char">
    <w:name w:val="Heading 3 Char"/>
    <w:basedOn w:val="DefaultParagraphFont"/>
    <w:link w:val="Heading3"/>
    <w:uiPriority w:val="9"/>
    <w:rsid w:val="00505BF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A33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623C77"/>
    <w:pPr>
      <w:widowControl w:val="0"/>
      <w:numPr>
        <w:numId w:val="0"/>
      </w:numPr>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semiHidden/>
    <w:rsid w:val="00623C77"/>
    <w:rPr>
      <w:rFonts w:ascii="Arial" w:eastAsia="Arial" w:hAnsi="Arial" w:cs="Arial"/>
      <w:lang w:eastAsia="en-GB" w:bidi="en-GB"/>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MAIN CONTENT Char,F5 List Paragraph Char"/>
    <w:link w:val="ListParagraph"/>
    <w:uiPriority w:val="34"/>
    <w:locked/>
    <w:rsid w:val="0063097B"/>
  </w:style>
  <w:style w:type="character" w:customStyle="1" w:styleId="UnresolvedMention1">
    <w:name w:val="Unresolved Mention1"/>
    <w:basedOn w:val="DefaultParagraphFont"/>
    <w:uiPriority w:val="99"/>
    <w:semiHidden/>
    <w:unhideWhenUsed/>
    <w:rsid w:val="00AA16BA"/>
    <w:rPr>
      <w:color w:val="605E5C"/>
      <w:shd w:val="clear" w:color="auto" w:fill="E1DFDD"/>
    </w:rPr>
  </w:style>
  <w:style w:type="paragraph" w:styleId="Revision">
    <w:name w:val="Revision"/>
    <w:hidden/>
    <w:uiPriority w:val="99"/>
    <w:semiHidden/>
    <w:rsid w:val="00CE31E8"/>
    <w:pPr>
      <w:spacing w:after="0" w:line="240" w:lineRule="auto"/>
    </w:pPr>
  </w:style>
  <w:style w:type="character" w:styleId="FollowedHyperlink">
    <w:name w:val="FollowedHyperlink"/>
    <w:basedOn w:val="DefaultParagraphFont"/>
    <w:uiPriority w:val="99"/>
    <w:semiHidden/>
    <w:unhideWhenUsed/>
    <w:rsid w:val="000B52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5487">
      <w:bodyDiv w:val="1"/>
      <w:marLeft w:val="0"/>
      <w:marRight w:val="0"/>
      <w:marTop w:val="0"/>
      <w:marBottom w:val="0"/>
      <w:divBdr>
        <w:top w:val="none" w:sz="0" w:space="0" w:color="auto"/>
        <w:left w:val="none" w:sz="0" w:space="0" w:color="auto"/>
        <w:bottom w:val="none" w:sz="0" w:space="0" w:color="auto"/>
        <w:right w:val="none" w:sz="0" w:space="0" w:color="auto"/>
      </w:divBdr>
    </w:div>
    <w:div w:id="502624903">
      <w:bodyDiv w:val="1"/>
      <w:marLeft w:val="0"/>
      <w:marRight w:val="0"/>
      <w:marTop w:val="0"/>
      <w:marBottom w:val="0"/>
      <w:divBdr>
        <w:top w:val="none" w:sz="0" w:space="0" w:color="auto"/>
        <w:left w:val="none" w:sz="0" w:space="0" w:color="auto"/>
        <w:bottom w:val="none" w:sz="0" w:space="0" w:color="auto"/>
        <w:right w:val="none" w:sz="0" w:space="0" w:color="auto"/>
      </w:divBdr>
    </w:div>
    <w:div w:id="1811165198">
      <w:bodyDiv w:val="1"/>
      <w:marLeft w:val="0"/>
      <w:marRight w:val="0"/>
      <w:marTop w:val="0"/>
      <w:marBottom w:val="0"/>
      <w:divBdr>
        <w:top w:val="none" w:sz="0" w:space="0" w:color="auto"/>
        <w:left w:val="none" w:sz="0" w:space="0" w:color="auto"/>
        <w:bottom w:val="none" w:sz="0" w:space="0" w:color="auto"/>
        <w:right w:val="none" w:sz="0" w:space="0" w:color="auto"/>
      </w:divBdr>
    </w:div>
    <w:div w:id="209867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b.org.uk/architect-information/architects-code-standards-of-conduct-and-pract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collections/independent-review-of-building-regulations-and-fire-safety-hackitt-revie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growth/single-market/services/free-movement-professionals/policy/legislation_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rb.org.uk/about-arb/dclg/periodic-review/" TargetMode="External"/><Relationship Id="rId4" Type="http://schemas.microsoft.com/office/2007/relationships/stylesWithEffects" Target="stylesWithEffects.xml"/><Relationship Id="rId9" Type="http://schemas.openxmlformats.org/officeDocument/2006/relationships/hyperlink" Target="http://www.arb.org.uk/information-for-schools-of-architecture/arb-criteria/" TargetMode="External"/><Relationship Id="rId14" Type="http://schemas.openxmlformats.org/officeDocument/2006/relationships/hyperlink" Target="http://www.arb.org.uk/student-information/schools-institutions-architectur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stituteforapprenticeships.org/apprenticeship-standards/architect-degree/" TargetMode="External"/><Relationship Id="rId1" Type="http://schemas.openxmlformats.org/officeDocument/2006/relationships/hyperlink" Target="https://www.onetonline.org/link/summary/17-101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FCBC-0129-4124-851A-E1EA39FE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5224</Words>
  <Characters>29779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ARB</Company>
  <LinksUpToDate>false</LinksUpToDate>
  <CharactersWithSpaces>34934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Stanfield</dc:creator>
  <cp:lastModifiedBy>Holly Wignall</cp:lastModifiedBy>
  <cp:revision>4</cp:revision>
  <dcterms:created xsi:type="dcterms:W3CDTF">2020-03-27T14:25:00Z</dcterms:created>
  <dcterms:modified xsi:type="dcterms:W3CDTF">2020-03-27T14:34:00Z</dcterms:modified>
</cp:coreProperties>
</file>