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2C7D26BB" w14:textId="0974C8D6" w:rsidR="00EE79C0"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72937583" w:history="1">
        <w:r w:rsidR="00EE79C0" w:rsidRPr="006C44EB">
          <w:rPr>
            <w:rStyle w:val="Hyperlink"/>
            <w:noProof/>
          </w:rPr>
          <w:t>1.</w:t>
        </w:r>
        <w:r w:rsidR="00EE79C0">
          <w:rPr>
            <w:rFonts w:asciiTheme="minorHAnsi" w:eastAsiaTheme="minorEastAsia" w:hAnsiTheme="minorHAnsi" w:cstheme="minorBidi"/>
            <w:caps w:val="0"/>
            <w:noProof/>
            <w:szCs w:val="22"/>
            <w:lang w:eastAsia="en-GB"/>
          </w:rPr>
          <w:tab/>
        </w:r>
        <w:r w:rsidR="00EE79C0" w:rsidRPr="006C44EB">
          <w:rPr>
            <w:rStyle w:val="Hyperlink"/>
            <w:noProof/>
          </w:rPr>
          <w:t>PURPOSE</w:t>
        </w:r>
        <w:r w:rsidR="00EE79C0">
          <w:rPr>
            <w:noProof/>
            <w:webHidden/>
          </w:rPr>
          <w:tab/>
        </w:r>
        <w:r w:rsidR="00EE79C0">
          <w:rPr>
            <w:noProof/>
            <w:webHidden/>
          </w:rPr>
          <w:fldChar w:fldCharType="begin"/>
        </w:r>
        <w:r w:rsidR="00EE79C0">
          <w:rPr>
            <w:noProof/>
            <w:webHidden/>
          </w:rPr>
          <w:instrText xml:space="preserve"> PAGEREF _Toc472937583 \h </w:instrText>
        </w:r>
        <w:r w:rsidR="00EE79C0">
          <w:rPr>
            <w:noProof/>
            <w:webHidden/>
          </w:rPr>
        </w:r>
        <w:r w:rsidR="00EE79C0">
          <w:rPr>
            <w:noProof/>
            <w:webHidden/>
          </w:rPr>
          <w:fldChar w:fldCharType="separate"/>
        </w:r>
        <w:r w:rsidR="0082507A">
          <w:rPr>
            <w:noProof/>
            <w:webHidden/>
          </w:rPr>
          <w:t>2</w:t>
        </w:r>
        <w:r w:rsidR="00EE79C0">
          <w:rPr>
            <w:noProof/>
            <w:webHidden/>
          </w:rPr>
          <w:fldChar w:fldCharType="end"/>
        </w:r>
      </w:hyperlink>
    </w:p>
    <w:p w14:paraId="5843AEBF" w14:textId="60496FD7" w:rsidR="00EE79C0" w:rsidRDefault="001D372D">
      <w:pPr>
        <w:pStyle w:val="TOC1"/>
        <w:rPr>
          <w:rFonts w:asciiTheme="minorHAnsi" w:eastAsiaTheme="minorEastAsia" w:hAnsiTheme="minorHAnsi" w:cstheme="minorBidi"/>
          <w:caps w:val="0"/>
          <w:noProof/>
          <w:szCs w:val="22"/>
          <w:lang w:eastAsia="en-GB"/>
        </w:rPr>
      </w:pPr>
      <w:hyperlink w:anchor="_Toc472937584" w:history="1">
        <w:r w:rsidR="00EE79C0" w:rsidRPr="006C44EB">
          <w:rPr>
            <w:rStyle w:val="Hyperlink"/>
            <w:noProof/>
          </w:rPr>
          <w:t>2.</w:t>
        </w:r>
        <w:r w:rsidR="00EE79C0">
          <w:rPr>
            <w:rFonts w:asciiTheme="minorHAnsi" w:eastAsiaTheme="minorEastAsia" w:hAnsiTheme="minorHAnsi" w:cstheme="minorBidi"/>
            <w:caps w:val="0"/>
            <w:noProof/>
            <w:szCs w:val="22"/>
            <w:lang w:eastAsia="en-GB"/>
          </w:rPr>
          <w:tab/>
        </w:r>
        <w:r w:rsidR="00EE79C0" w:rsidRPr="006C44EB">
          <w:rPr>
            <w:rStyle w:val="Hyperlink"/>
            <w:noProof/>
          </w:rPr>
          <w:t>BACKGROUND TO THE CONTRACTING aUTHORITY</w:t>
        </w:r>
        <w:r w:rsidR="00EE79C0">
          <w:rPr>
            <w:noProof/>
            <w:webHidden/>
          </w:rPr>
          <w:tab/>
        </w:r>
        <w:r w:rsidR="00EE79C0">
          <w:rPr>
            <w:noProof/>
            <w:webHidden/>
          </w:rPr>
          <w:fldChar w:fldCharType="begin"/>
        </w:r>
        <w:r w:rsidR="00EE79C0">
          <w:rPr>
            <w:noProof/>
            <w:webHidden/>
          </w:rPr>
          <w:instrText xml:space="preserve"> PAGEREF _Toc472937584 \h </w:instrText>
        </w:r>
        <w:r w:rsidR="00EE79C0">
          <w:rPr>
            <w:noProof/>
            <w:webHidden/>
          </w:rPr>
        </w:r>
        <w:r w:rsidR="00EE79C0">
          <w:rPr>
            <w:noProof/>
            <w:webHidden/>
          </w:rPr>
          <w:fldChar w:fldCharType="separate"/>
        </w:r>
        <w:r w:rsidR="0082507A">
          <w:rPr>
            <w:noProof/>
            <w:webHidden/>
          </w:rPr>
          <w:t>2</w:t>
        </w:r>
        <w:r w:rsidR="00EE79C0">
          <w:rPr>
            <w:noProof/>
            <w:webHidden/>
          </w:rPr>
          <w:fldChar w:fldCharType="end"/>
        </w:r>
      </w:hyperlink>
    </w:p>
    <w:p w14:paraId="3793B4EC" w14:textId="7C546A7C" w:rsidR="00EE79C0" w:rsidRDefault="001D372D">
      <w:pPr>
        <w:pStyle w:val="TOC1"/>
        <w:rPr>
          <w:rFonts w:asciiTheme="minorHAnsi" w:eastAsiaTheme="minorEastAsia" w:hAnsiTheme="minorHAnsi" w:cstheme="minorBidi"/>
          <w:caps w:val="0"/>
          <w:noProof/>
          <w:szCs w:val="22"/>
          <w:lang w:eastAsia="en-GB"/>
        </w:rPr>
      </w:pPr>
      <w:hyperlink w:anchor="_Toc472937585" w:history="1">
        <w:r w:rsidR="00EE79C0" w:rsidRPr="006C44EB">
          <w:rPr>
            <w:rStyle w:val="Hyperlink"/>
            <w:noProof/>
          </w:rPr>
          <w:t>3.</w:t>
        </w:r>
        <w:r w:rsidR="00EE79C0">
          <w:rPr>
            <w:rFonts w:asciiTheme="minorHAnsi" w:eastAsiaTheme="minorEastAsia" w:hAnsiTheme="minorHAnsi" w:cstheme="minorBidi"/>
            <w:caps w:val="0"/>
            <w:noProof/>
            <w:szCs w:val="22"/>
            <w:lang w:eastAsia="en-GB"/>
          </w:rPr>
          <w:tab/>
        </w:r>
        <w:r w:rsidR="00EE79C0" w:rsidRPr="006C44EB">
          <w:rPr>
            <w:rStyle w:val="Hyperlink"/>
            <w:noProof/>
          </w:rPr>
          <w:t>Background to requirement/OVERVIEW of requirement</w:t>
        </w:r>
        <w:r w:rsidR="00EE79C0">
          <w:rPr>
            <w:noProof/>
            <w:webHidden/>
          </w:rPr>
          <w:tab/>
        </w:r>
        <w:r w:rsidR="00EE79C0">
          <w:rPr>
            <w:noProof/>
            <w:webHidden/>
          </w:rPr>
          <w:fldChar w:fldCharType="begin"/>
        </w:r>
        <w:r w:rsidR="00EE79C0">
          <w:rPr>
            <w:noProof/>
            <w:webHidden/>
          </w:rPr>
          <w:instrText xml:space="preserve"> PAGEREF _Toc472937585 \h </w:instrText>
        </w:r>
        <w:r w:rsidR="00EE79C0">
          <w:rPr>
            <w:noProof/>
            <w:webHidden/>
          </w:rPr>
        </w:r>
        <w:r w:rsidR="00EE79C0">
          <w:rPr>
            <w:noProof/>
            <w:webHidden/>
          </w:rPr>
          <w:fldChar w:fldCharType="separate"/>
        </w:r>
        <w:r w:rsidR="0082507A">
          <w:rPr>
            <w:noProof/>
            <w:webHidden/>
          </w:rPr>
          <w:t>2</w:t>
        </w:r>
        <w:r w:rsidR="00EE79C0">
          <w:rPr>
            <w:noProof/>
            <w:webHidden/>
          </w:rPr>
          <w:fldChar w:fldCharType="end"/>
        </w:r>
      </w:hyperlink>
    </w:p>
    <w:p w14:paraId="38908BEA" w14:textId="4D862004" w:rsidR="00EE79C0" w:rsidRDefault="001D372D">
      <w:pPr>
        <w:pStyle w:val="TOC1"/>
        <w:rPr>
          <w:rFonts w:asciiTheme="minorHAnsi" w:eastAsiaTheme="minorEastAsia" w:hAnsiTheme="minorHAnsi" w:cstheme="minorBidi"/>
          <w:caps w:val="0"/>
          <w:noProof/>
          <w:szCs w:val="22"/>
          <w:lang w:eastAsia="en-GB"/>
        </w:rPr>
      </w:pPr>
      <w:hyperlink w:anchor="_Toc472937586" w:history="1">
        <w:r w:rsidR="00EE79C0" w:rsidRPr="006C44EB">
          <w:rPr>
            <w:rStyle w:val="Hyperlink"/>
            <w:noProof/>
          </w:rPr>
          <w:t>4.</w:t>
        </w:r>
        <w:r w:rsidR="00EE79C0">
          <w:rPr>
            <w:rFonts w:asciiTheme="minorHAnsi" w:eastAsiaTheme="minorEastAsia" w:hAnsiTheme="minorHAnsi" w:cstheme="minorBidi"/>
            <w:caps w:val="0"/>
            <w:noProof/>
            <w:szCs w:val="22"/>
            <w:lang w:eastAsia="en-GB"/>
          </w:rPr>
          <w:tab/>
        </w:r>
        <w:r w:rsidR="00EE79C0" w:rsidRPr="006C44EB">
          <w:rPr>
            <w:rStyle w:val="Hyperlink"/>
            <w:noProof/>
          </w:rPr>
          <w:t>SCOPE OF REQUIREMENT</w:t>
        </w:r>
        <w:r w:rsidR="00EE79C0">
          <w:rPr>
            <w:noProof/>
            <w:webHidden/>
          </w:rPr>
          <w:tab/>
        </w:r>
        <w:r w:rsidR="00EE79C0">
          <w:rPr>
            <w:noProof/>
            <w:webHidden/>
          </w:rPr>
          <w:fldChar w:fldCharType="begin"/>
        </w:r>
        <w:r w:rsidR="00EE79C0">
          <w:rPr>
            <w:noProof/>
            <w:webHidden/>
          </w:rPr>
          <w:instrText xml:space="preserve"> PAGEREF _Toc472937586 \h </w:instrText>
        </w:r>
        <w:r w:rsidR="00EE79C0">
          <w:rPr>
            <w:noProof/>
            <w:webHidden/>
          </w:rPr>
        </w:r>
        <w:r w:rsidR="00EE79C0">
          <w:rPr>
            <w:noProof/>
            <w:webHidden/>
          </w:rPr>
          <w:fldChar w:fldCharType="separate"/>
        </w:r>
        <w:r w:rsidR="0082507A">
          <w:rPr>
            <w:noProof/>
            <w:webHidden/>
          </w:rPr>
          <w:t>3</w:t>
        </w:r>
        <w:r w:rsidR="00EE79C0">
          <w:rPr>
            <w:noProof/>
            <w:webHidden/>
          </w:rPr>
          <w:fldChar w:fldCharType="end"/>
        </w:r>
      </w:hyperlink>
    </w:p>
    <w:p w14:paraId="1C54631B" w14:textId="2D8714CB" w:rsidR="00EE79C0" w:rsidRDefault="001D372D">
      <w:pPr>
        <w:pStyle w:val="TOC1"/>
        <w:rPr>
          <w:rFonts w:asciiTheme="minorHAnsi" w:eastAsiaTheme="minorEastAsia" w:hAnsiTheme="minorHAnsi" w:cstheme="minorBidi"/>
          <w:caps w:val="0"/>
          <w:noProof/>
          <w:szCs w:val="22"/>
          <w:lang w:eastAsia="en-GB"/>
        </w:rPr>
      </w:pPr>
      <w:hyperlink w:anchor="_Toc472937587" w:history="1">
        <w:r w:rsidR="00EE79C0" w:rsidRPr="006C44EB">
          <w:rPr>
            <w:rStyle w:val="Hyperlink"/>
            <w:noProof/>
          </w:rPr>
          <w:t>5.</w:t>
        </w:r>
        <w:r w:rsidR="00EE79C0">
          <w:rPr>
            <w:rFonts w:asciiTheme="minorHAnsi" w:eastAsiaTheme="minorEastAsia" w:hAnsiTheme="minorHAnsi" w:cstheme="minorBidi"/>
            <w:caps w:val="0"/>
            <w:noProof/>
            <w:szCs w:val="22"/>
            <w:lang w:eastAsia="en-GB"/>
          </w:rPr>
          <w:tab/>
        </w:r>
        <w:r w:rsidR="00EE79C0" w:rsidRPr="006C44EB">
          <w:rPr>
            <w:rStyle w:val="Hyperlink"/>
            <w:noProof/>
          </w:rPr>
          <w:t>The requirement</w:t>
        </w:r>
        <w:r w:rsidR="00EE79C0">
          <w:rPr>
            <w:noProof/>
            <w:webHidden/>
          </w:rPr>
          <w:tab/>
        </w:r>
        <w:r w:rsidR="00EE79C0">
          <w:rPr>
            <w:noProof/>
            <w:webHidden/>
          </w:rPr>
          <w:fldChar w:fldCharType="begin"/>
        </w:r>
        <w:r w:rsidR="00EE79C0">
          <w:rPr>
            <w:noProof/>
            <w:webHidden/>
          </w:rPr>
          <w:instrText xml:space="preserve"> PAGEREF _Toc472937587 \h </w:instrText>
        </w:r>
        <w:r w:rsidR="00EE79C0">
          <w:rPr>
            <w:noProof/>
            <w:webHidden/>
          </w:rPr>
        </w:r>
        <w:r w:rsidR="00EE79C0">
          <w:rPr>
            <w:noProof/>
            <w:webHidden/>
          </w:rPr>
          <w:fldChar w:fldCharType="separate"/>
        </w:r>
        <w:r w:rsidR="0082507A">
          <w:rPr>
            <w:noProof/>
            <w:webHidden/>
          </w:rPr>
          <w:t>4</w:t>
        </w:r>
        <w:r w:rsidR="00EE79C0">
          <w:rPr>
            <w:noProof/>
            <w:webHidden/>
          </w:rPr>
          <w:fldChar w:fldCharType="end"/>
        </w:r>
      </w:hyperlink>
    </w:p>
    <w:p w14:paraId="6C6AC724" w14:textId="32357355" w:rsidR="00EE79C0" w:rsidRDefault="001D372D">
      <w:pPr>
        <w:pStyle w:val="TOC1"/>
        <w:rPr>
          <w:rFonts w:asciiTheme="minorHAnsi" w:eastAsiaTheme="minorEastAsia" w:hAnsiTheme="minorHAnsi" w:cstheme="minorBidi"/>
          <w:caps w:val="0"/>
          <w:noProof/>
          <w:szCs w:val="22"/>
          <w:lang w:eastAsia="en-GB"/>
        </w:rPr>
      </w:pPr>
      <w:hyperlink w:anchor="_Toc472937588" w:history="1">
        <w:r w:rsidR="00EE79C0" w:rsidRPr="006C44EB">
          <w:rPr>
            <w:rStyle w:val="Hyperlink"/>
            <w:noProof/>
          </w:rPr>
          <w:t>6.</w:t>
        </w:r>
        <w:r w:rsidR="00EE79C0">
          <w:rPr>
            <w:rFonts w:asciiTheme="minorHAnsi" w:eastAsiaTheme="minorEastAsia" w:hAnsiTheme="minorHAnsi" w:cstheme="minorBidi"/>
            <w:caps w:val="0"/>
            <w:noProof/>
            <w:szCs w:val="22"/>
            <w:lang w:eastAsia="en-GB"/>
          </w:rPr>
          <w:tab/>
        </w:r>
        <w:r w:rsidR="00EE79C0" w:rsidRPr="006C44EB">
          <w:rPr>
            <w:rStyle w:val="Hyperlink"/>
            <w:noProof/>
          </w:rPr>
          <w:t>key milestones</w:t>
        </w:r>
        <w:r w:rsidR="00EE79C0">
          <w:rPr>
            <w:noProof/>
            <w:webHidden/>
          </w:rPr>
          <w:tab/>
        </w:r>
        <w:r w:rsidR="00EE79C0">
          <w:rPr>
            <w:noProof/>
            <w:webHidden/>
          </w:rPr>
          <w:fldChar w:fldCharType="begin"/>
        </w:r>
        <w:r w:rsidR="00EE79C0">
          <w:rPr>
            <w:noProof/>
            <w:webHidden/>
          </w:rPr>
          <w:instrText xml:space="preserve"> PAGEREF _Toc472937588 \h </w:instrText>
        </w:r>
        <w:r w:rsidR="00EE79C0">
          <w:rPr>
            <w:noProof/>
            <w:webHidden/>
          </w:rPr>
        </w:r>
        <w:r w:rsidR="00EE79C0">
          <w:rPr>
            <w:noProof/>
            <w:webHidden/>
          </w:rPr>
          <w:fldChar w:fldCharType="separate"/>
        </w:r>
        <w:r w:rsidR="0082507A">
          <w:rPr>
            <w:noProof/>
            <w:webHidden/>
          </w:rPr>
          <w:t>4</w:t>
        </w:r>
        <w:r w:rsidR="00EE79C0">
          <w:rPr>
            <w:noProof/>
            <w:webHidden/>
          </w:rPr>
          <w:fldChar w:fldCharType="end"/>
        </w:r>
      </w:hyperlink>
    </w:p>
    <w:p w14:paraId="5766A318" w14:textId="47965793" w:rsidR="00EE79C0" w:rsidRDefault="001D372D">
      <w:pPr>
        <w:pStyle w:val="TOC1"/>
        <w:rPr>
          <w:rFonts w:asciiTheme="minorHAnsi" w:eastAsiaTheme="minorEastAsia" w:hAnsiTheme="minorHAnsi" w:cstheme="minorBidi"/>
          <w:caps w:val="0"/>
          <w:noProof/>
          <w:szCs w:val="22"/>
          <w:lang w:eastAsia="en-GB"/>
        </w:rPr>
      </w:pPr>
      <w:hyperlink w:anchor="_Toc472937589" w:history="1">
        <w:r w:rsidR="00EE79C0" w:rsidRPr="006C44EB">
          <w:rPr>
            <w:rStyle w:val="Hyperlink"/>
            <w:rFonts w:cs="Arial"/>
            <w:noProof/>
          </w:rPr>
          <w:t>7.</w:t>
        </w:r>
        <w:r w:rsidR="00EE79C0">
          <w:rPr>
            <w:rFonts w:asciiTheme="minorHAnsi" w:eastAsiaTheme="minorEastAsia" w:hAnsiTheme="minorHAnsi" w:cstheme="minorBidi"/>
            <w:caps w:val="0"/>
            <w:noProof/>
            <w:szCs w:val="22"/>
            <w:lang w:eastAsia="en-GB"/>
          </w:rPr>
          <w:tab/>
        </w:r>
        <w:r w:rsidR="00EE79C0" w:rsidRPr="006C44EB">
          <w:rPr>
            <w:rStyle w:val="Hyperlink"/>
            <w:rFonts w:cs="Arial"/>
            <w:noProof/>
          </w:rPr>
          <w:t>authority’s responsibilities</w:t>
        </w:r>
        <w:r w:rsidR="00EE79C0">
          <w:rPr>
            <w:noProof/>
            <w:webHidden/>
          </w:rPr>
          <w:tab/>
        </w:r>
        <w:r w:rsidR="00EE79C0">
          <w:rPr>
            <w:noProof/>
            <w:webHidden/>
          </w:rPr>
          <w:fldChar w:fldCharType="begin"/>
        </w:r>
        <w:r w:rsidR="00EE79C0">
          <w:rPr>
            <w:noProof/>
            <w:webHidden/>
          </w:rPr>
          <w:instrText xml:space="preserve"> PAGEREF _Toc472937589 \h </w:instrText>
        </w:r>
        <w:r w:rsidR="00EE79C0">
          <w:rPr>
            <w:noProof/>
            <w:webHidden/>
          </w:rPr>
        </w:r>
        <w:r w:rsidR="00EE79C0">
          <w:rPr>
            <w:noProof/>
            <w:webHidden/>
          </w:rPr>
          <w:fldChar w:fldCharType="separate"/>
        </w:r>
        <w:r w:rsidR="0082507A">
          <w:rPr>
            <w:noProof/>
            <w:webHidden/>
          </w:rPr>
          <w:t>5</w:t>
        </w:r>
        <w:r w:rsidR="00EE79C0">
          <w:rPr>
            <w:noProof/>
            <w:webHidden/>
          </w:rPr>
          <w:fldChar w:fldCharType="end"/>
        </w:r>
      </w:hyperlink>
    </w:p>
    <w:p w14:paraId="178BA2AB" w14:textId="6DAA781E" w:rsidR="00EE79C0" w:rsidRDefault="001D372D">
      <w:pPr>
        <w:pStyle w:val="TOC1"/>
        <w:rPr>
          <w:rFonts w:asciiTheme="minorHAnsi" w:eastAsiaTheme="minorEastAsia" w:hAnsiTheme="minorHAnsi" w:cstheme="minorBidi"/>
          <w:caps w:val="0"/>
          <w:noProof/>
          <w:szCs w:val="22"/>
          <w:lang w:eastAsia="en-GB"/>
        </w:rPr>
      </w:pPr>
      <w:hyperlink w:anchor="_Toc472937590" w:history="1">
        <w:r w:rsidR="00EE79C0" w:rsidRPr="006C44EB">
          <w:rPr>
            <w:rStyle w:val="Hyperlink"/>
            <w:rFonts w:cs="Arial"/>
            <w:noProof/>
          </w:rPr>
          <w:t>8.</w:t>
        </w:r>
        <w:r w:rsidR="00EE79C0">
          <w:rPr>
            <w:rFonts w:asciiTheme="minorHAnsi" w:eastAsiaTheme="minorEastAsia" w:hAnsiTheme="minorHAnsi" w:cstheme="minorBidi"/>
            <w:caps w:val="0"/>
            <w:noProof/>
            <w:szCs w:val="22"/>
            <w:lang w:eastAsia="en-GB"/>
          </w:rPr>
          <w:tab/>
        </w:r>
        <w:r w:rsidR="00EE79C0" w:rsidRPr="006C44EB">
          <w:rPr>
            <w:rStyle w:val="Hyperlink"/>
            <w:rFonts w:cs="Arial"/>
            <w:noProof/>
          </w:rPr>
          <w:t>reporting</w:t>
        </w:r>
        <w:r w:rsidR="00EE79C0">
          <w:rPr>
            <w:noProof/>
            <w:webHidden/>
          </w:rPr>
          <w:tab/>
        </w:r>
        <w:r w:rsidR="00EE79C0">
          <w:rPr>
            <w:noProof/>
            <w:webHidden/>
          </w:rPr>
          <w:fldChar w:fldCharType="begin"/>
        </w:r>
        <w:r w:rsidR="00EE79C0">
          <w:rPr>
            <w:noProof/>
            <w:webHidden/>
          </w:rPr>
          <w:instrText xml:space="preserve"> PAGEREF _Toc472937590 \h </w:instrText>
        </w:r>
        <w:r w:rsidR="00EE79C0">
          <w:rPr>
            <w:noProof/>
            <w:webHidden/>
          </w:rPr>
        </w:r>
        <w:r w:rsidR="00EE79C0">
          <w:rPr>
            <w:noProof/>
            <w:webHidden/>
          </w:rPr>
          <w:fldChar w:fldCharType="separate"/>
        </w:r>
        <w:r w:rsidR="0082507A">
          <w:rPr>
            <w:noProof/>
            <w:webHidden/>
          </w:rPr>
          <w:t>5</w:t>
        </w:r>
        <w:r w:rsidR="00EE79C0">
          <w:rPr>
            <w:noProof/>
            <w:webHidden/>
          </w:rPr>
          <w:fldChar w:fldCharType="end"/>
        </w:r>
      </w:hyperlink>
    </w:p>
    <w:p w14:paraId="62EC3084" w14:textId="3FCF0F4F" w:rsidR="00EE79C0" w:rsidRDefault="001D372D">
      <w:pPr>
        <w:pStyle w:val="TOC1"/>
        <w:rPr>
          <w:rFonts w:asciiTheme="minorHAnsi" w:eastAsiaTheme="minorEastAsia" w:hAnsiTheme="minorHAnsi" w:cstheme="minorBidi"/>
          <w:caps w:val="0"/>
          <w:noProof/>
          <w:szCs w:val="22"/>
          <w:lang w:eastAsia="en-GB"/>
        </w:rPr>
      </w:pPr>
      <w:hyperlink w:anchor="_Toc472937591" w:history="1">
        <w:r w:rsidR="00EE79C0" w:rsidRPr="006C44EB">
          <w:rPr>
            <w:rStyle w:val="Hyperlink"/>
            <w:rFonts w:cs="Arial"/>
            <w:noProof/>
          </w:rPr>
          <w:t>9.</w:t>
        </w:r>
        <w:r w:rsidR="00EE79C0">
          <w:rPr>
            <w:rFonts w:asciiTheme="minorHAnsi" w:eastAsiaTheme="minorEastAsia" w:hAnsiTheme="minorHAnsi" w:cstheme="minorBidi"/>
            <w:caps w:val="0"/>
            <w:noProof/>
            <w:szCs w:val="22"/>
            <w:lang w:eastAsia="en-GB"/>
          </w:rPr>
          <w:tab/>
        </w:r>
        <w:r w:rsidR="00EE79C0" w:rsidRPr="006C44EB">
          <w:rPr>
            <w:rStyle w:val="Hyperlink"/>
            <w:rFonts w:cs="Arial"/>
            <w:noProof/>
          </w:rPr>
          <w:t>continuous improvement</w:t>
        </w:r>
        <w:r w:rsidR="00EE79C0">
          <w:rPr>
            <w:noProof/>
            <w:webHidden/>
          </w:rPr>
          <w:tab/>
        </w:r>
        <w:r w:rsidR="00EE79C0">
          <w:rPr>
            <w:noProof/>
            <w:webHidden/>
          </w:rPr>
          <w:fldChar w:fldCharType="begin"/>
        </w:r>
        <w:r w:rsidR="00EE79C0">
          <w:rPr>
            <w:noProof/>
            <w:webHidden/>
          </w:rPr>
          <w:instrText xml:space="preserve"> PAGEREF _Toc472937591 \h </w:instrText>
        </w:r>
        <w:r w:rsidR="00EE79C0">
          <w:rPr>
            <w:noProof/>
            <w:webHidden/>
          </w:rPr>
        </w:r>
        <w:r w:rsidR="00EE79C0">
          <w:rPr>
            <w:noProof/>
            <w:webHidden/>
          </w:rPr>
          <w:fldChar w:fldCharType="separate"/>
        </w:r>
        <w:r w:rsidR="0082507A">
          <w:rPr>
            <w:noProof/>
            <w:webHidden/>
          </w:rPr>
          <w:t>5</w:t>
        </w:r>
        <w:r w:rsidR="00EE79C0">
          <w:rPr>
            <w:noProof/>
            <w:webHidden/>
          </w:rPr>
          <w:fldChar w:fldCharType="end"/>
        </w:r>
      </w:hyperlink>
    </w:p>
    <w:p w14:paraId="1A0E3336" w14:textId="058B1FA5" w:rsidR="00EE79C0" w:rsidRDefault="001D372D">
      <w:pPr>
        <w:pStyle w:val="TOC1"/>
        <w:rPr>
          <w:rFonts w:asciiTheme="minorHAnsi" w:eastAsiaTheme="minorEastAsia" w:hAnsiTheme="minorHAnsi" w:cstheme="minorBidi"/>
          <w:caps w:val="0"/>
          <w:noProof/>
          <w:szCs w:val="22"/>
          <w:lang w:eastAsia="en-GB"/>
        </w:rPr>
      </w:pPr>
      <w:hyperlink w:anchor="_Toc472937592" w:history="1">
        <w:r w:rsidR="00EE79C0" w:rsidRPr="006C44EB">
          <w:rPr>
            <w:rStyle w:val="Hyperlink"/>
            <w:rFonts w:cs="Arial"/>
            <w:noProof/>
          </w:rPr>
          <w:t>10.</w:t>
        </w:r>
        <w:r w:rsidR="00EE79C0">
          <w:rPr>
            <w:rFonts w:asciiTheme="minorHAnsi" w:eastAsiaTheme="minorEastAsia" w:hAnsiTheme="minorHAnsi" w:cstheme="minorBidi"/>
            <w:caps w:val="0"/>
            <w:noProof/>
            <w:szCs w:val="22"/>
            <w:lang w:eastAsia="en-GB"/>
          </w:rPr>
          <w:tab/>
        </w:r>
        <w:r w:rsidR="00EE79C0" w:rsidRPr="006C44EB">
          <w:rPr>
            <w:rStyle w:val="Hyperlink"/>
            <w:rFonts w:cs="Arial"/>
            <w:noProof/>
          </w:rPr>
          <w:t>quality</w:t>
        </w:r>
        <w:r w:rsidR="00EE79C0">
          <w:rPr>
            <w:noProof/>
            <w:webHidden/>
          </w:rPr>
          <w:tab/>
        </w:r>
        <w:r w:rsidR="00EE79C0">
          <w:rPr>
            <w:noProof/>
            <w:webHidden/>
          </w:rPr>
          <w:fldChar w:fldCharType="begin"/>
        </w:r>
        <w:r w:rsidR="00EE79C0">
          <w:rPr>
            <w:noProof/>
            <w:webHidden/>
          </w:rPr>
          <w:instrText xml:space="preserve"> PAGEREF _Toc472937592 \h </w:instrText>
        </w:r>
        <w:r w:rsidR="00EE79C0">
          <w:rPr>
            <w:noProof/>
            <w:webHidden/>
          </w:rPr>
        </w:r>
        <w:r w:rsidR="00EE79C0">
          <w:rPr>
            <w:noProof/>
            <w:webHidden/>
          </w:rPr>
          <w:fldChar w:fldCharType="separate"/>
        </w:r>
        <w:r w:rsidR="0082507A">
          <w:rPr>
            <w:noProof/>
            <w:webHidden/>
          </w:rPr>
          <w:t>5</w:t>
        </w:r>
        <w:r w:rsidR="00EE79C0">
          <w:rPr>
            <w:noProof/>
            <w:webHidden/>
          </w:rPr>
          <w:fldChar w:fldCharType="end"/>
        </w:r>
      </w:hyperlink>
    </w:p>
    <w:p w14:paraId="2DCF70BD" w14:textId="4549BD88" w:rsidR="00EE79C0" w:rsidRDefault="001D372D">
      <w:pPr>
        <w:pStyle w:val="TOC1"/>
        <w:rPr>
          <w:rFonts w:asciiTheme="minorHAnsi" w:eastAsiaTheme="minorEastAsia" w:hAnsiTheme="minorHAnsi" w:cstheme="minorBidi"/>
          <w:caps w:val="0"/>
          <w:noProof/>
          <w:szCs w:val="22"/>
          <w:lang w:eastAsia="en-GB"/>
        </w:rPr>
      </w:pPr>
      <w:hyperlink w:anchor="_Toc472937593" w:history="1">
        <w:r w:rsidR="00EE79C0" w:rsidRPr="006C44EB">
          <w:rPr>
            <w:rStyle w:val="Hyperlink"/>
            <w:rFonts w:cs="Arial"/>
            <w:noProof/>
          </w:rPr>
          <w:t>11.</w:t>
        </w:r>
        <w:r w:rsidR="00EE79C0">
          <w:rPr>
            <w:rFonts w:asciiTheme="minorHAnsi" w:eastAsiaTheme="minorEastAsia" w:hAnsiTheme="minorHAnsi" w:cstheme="minorBidi"/>
            <w:caps w:val="0"/>
            <w:noProof/>
            <w:szCs w:val="22"/>
            <w:lang w:eastAsia="en-GB"/>
          </w:rPr>
          <w:tab/>
        </w:r>
        <w:r w:rsidR="00EE79C0" w:rsidRPr="006C44EB">
          <w:rPr>
            <w:rStyle w:val="Hyperlink"/>
            <w:rFonts w:cs="Arial"/>
            <w:noProof/>
          </w:rPr>
          <w:t>PRICE</w:t>
        </w:r>
        <w:r w:rsidR="00EE79C0">
          <w:rPr>
            <w:noProof/>
            <w:webHidden/>
          </w:rPr>
          <w:tab/>
        </w:r>
        <w:r w:rsidR="00EE79C0">
          <w:rPr>
            <w:noProof/>
            <w:webHidden/>
          </w:rPr>
          <w:fldChar w:fldCharType="begin"/>
        </w:r>
        <w:r w:rsidR="00EE79C0">
          <w:rPr>
            <w:noProof/>
            <w:webHidden/>
          </w:rPr>
          <w:instrText xml:space="preserve"> PAGEREF _Toc472937593 \h </w:instrText>
        </w:r>
        <w:r w:rsidR="00EE79C0">
          <w:rPr>
            <w:noProof/>
            <w:webHidden/>
          </w:rPr>
        </w:r>
        <w:r w:rsidR="00EE79C0">
          <w:rPr>
            <w:noProof/>
            <w:webHidden/>
          </w:rPr>
          <w:fldChar w:fldCharType="separate"/>
        </w:r>
        <w:r w:rsidR="0082507A">
          <w:rPr>
            <w:noProof/>
            <w:webHidden/>
          </w:rPr>
          <w:t>6</w:t>
        </w:r>
        <w:r w:rsidR="00EE79C0">
          <w:rPr>
            <w:noProof/>
            <w:webHidden/>
          </w:rPr>
          <w:fldChar w:fldCharType="end"/>
        </w:r>
      </w:hyperlink>
    </w:p>
    <w:p w14:paraId="0A24DF80" w14:textId="38F8D3E9" w:rsidR="00EE79C0" w:rsidRDefault="001D372D">
      <w:pPr>
        <w:pStyle w:val="TOC1"/>
        <w:rPr>
          <w:rFonts w:asciiTheme="minorHAnsi" w:eastAsiaTheme="minorEastAsia" w:hAnsiTheme="minorHAnsi" w:cstheme="minorBidi"/>
          <w:caps w:val="0"/>
          <w:noProof/>
          <w:szCs w:val="22"/>
          <w:lang w:eastAsia="en-GB"/>
        </w:rPr>
      </w:pPr>
      <w:hyperlink w:anchor="_Toc472937594" w:history="1">
        <w:r w:rsidR="00EE79C0" w:rsidRPr="006C44EB">
          <w:rPr>
            <w:rStyle w:val="Hyperlink"/>
            <w:rFonts w:cs="Arial"/>
            <w:noProof/>
          </w:rPr>
          <w:t>12.</w:t>
        </w:r>
        <w:r w:rsidR="00EE79C0">
          <w:rPr>
            <w:rFonts w:asciiTheme="minorHAnsi" w:eastAsiaTheme="minorEastAsia" w:hAnsiTheme="minorHAnsi" w:cstheme="minorBidi"/>
            <w:caps w:val="0"/>
            <w:noProof/>
            <w:szCs w:val="22"/>
            <w:lang w:eastAsia="en-GB"/>
          </w:rPr>
          <w:tab/>
        </w:r>
        <w:r w:rsidR="00EE79C0" w:rsidRPr="006C44EB">
          <w:rPr>
            <w:rStyle w:val="Hyperlink"/>
            <w:rFonts w:cs="Arial"/>
            <w:noProof/>
          </w:rPr>
          <w:t>STAFF AND CUSTOMER SERVICE</w:t>
        </w:r>
        <w:r w:rsidR="00EE79C0">
          <w:rPr>
            <w:noProof/>
            <w:webHidden/>
          </w:rPr>
          <w:tab/>
        </w:r>
        <w:r w:rsidR="00EE79C0">
          <w:rPr>
            <w:noProof/>
            <w:webHidden/>
          </w:rPr>
          <w:fldChar w:fldCharType="begin"/>
        </w:r>
        <w:r w:rsidR="00EE79C0">
          <w:rPr>
            <w:noProof/>
            <w:webHidden/>
          </w:rPr>
          <w:instrText xml:space="preserve"> PAGEREF _Toc472937594 \h </w:instrText>
        </w:r>
        <w:r w:rsidR="00EE79C0">
          <w:rPr>
            <w:noProof/>
            <w:webHidden/>
          </w:rPr>
        </w:r>
        <w:r w:rsidR="00EE79C0">
          <w:rPr>
            <w:noProof/>
            <w:webHidden/>
          </w:rPr>
          <w:fldChar w:fldCharType="separate"/>
        </w:r>
        <w:r w:rsidR="0082507A">
          <w:rPr>
            <w:noProof/>
            <w:webHidden/>
          </w:rPr>
          <w:t>6</w:t>
        </w:r>
        <w:r w:rsidR="00EE79C0">
          <w:rPr>
            <w:noProof/>
            <w:webHidden/>
          </w:rPr>
          <w:fldChar w:fldCharType="end"/>
        </w:r>
      </w:hyperlink>
    </w:p>
    <w:p w14:paraId="439EE700" w14:textId="3CE672C1" w:rsidR="00EE79C0" w:rsidRDefault="001D372D">
      <w:pPr>
        <w:pStyle w:val="TOC1"/>
        <w:rPr>
          <w:rFonts w:asciiTheme="minorHAnsi" w:eastAsiaTheme="minorEastAsia" w:hAnsiTheme="minorHAnsi" w:cstheme="minorBidi"/>
          <w:caps w:val="0"/>
          <w:noProof/>
          <w:szCs w:val="22"/>
          <w:lang w:eastAsia="en-GB"/>
        </w:rPr>
      </w:pPr>
      <w:hyperlink w:anchor="_Toc472937595" w:history="1">
        <w:r w:rsidR="00EE79C0" w:rsidRPr="006C44EB">
          <w:rPr>
            <w:rStyle w:val="Hyperlink"/>
            <w:rFonts w:cs="Arial"/>
            <w:noProof/>
          </w:rPr>
          <w:t>13.</w:t>
        </w:r>
        <w:r w:rsidR="00EE79C0">
          <w:rPr>
            <w:rFonts w:asciiTheme="minorHAnsi" w:eastAsiaTheme="minorEastAsia" w:hAnsiTheme="minorHAnsi" w:cstheme="minorBidi"/>
            <w:caps w:val="0"/>
            <w:noProof/>
            <w:szCs w:val="22"/>
            <w:lang w:eastAsia="en-GB"/>
          </w:rPr>
          <w:tab/>
        </w:r>
        <w:r w:rsidR="00EE79C0" w:rsidRPr="006C44EB">
          <w:rPr>
            <w:rStyle w:val="Hyperlink"/>
            <w:rFonts w:cs="Arial"/>
            <w:noProof/>
          </w:rPr>
          <w:t>service levels and performance</w:t>
        </w:r>
        <w:r w:rsidR="00EE79C0">
          <w:rPr>
            <w:noProof/>
            <w:webHidden/>
          </w:rPr>
          <w:tab/>
        </w:r>
        <w:r w:rsidR="00EE79C0">
          <w:rPr>
            <w:noProof/>
            <w:webHidden/>
          </w:rPr>
          <w:fldChar w:fldCharType="begin"/>
        </w:r>
        <w:r w:rsidR="00EE79C0">
          <w:rPr>
            <w:noProof/>
            <w:webHidden/>
          </w:rPr>
          <w:instrText xml:space="preserve"> PAGEREF _Toc472937595 \h </w:instrText>
        </w:r>
        <w:r w:rsidR="00EE79C0">
          <w:rPr>
            <w:noProof/>
            <w:webHidden/>
          </w:rPr>
        </w:r>
        <w:r w:rsidR="00EE79C0">
          <w:rPr>
            <w:noProof/>
            <w:webHidden/>
          </w:rPr>
          <w:fldChar w:fldCharType="separate"/>
        </w:r>
        <w:r w:rsidR="0082507A">
          <w:rPr>
            <w:noProof/>
            <w:webHidden/>
          </w:rPr>
          <w:t>6</w:t>
        </w:r>
        <w:r w:rsidR="00EE79C0">
          <w:rPr>
            <w:noProof/>
            <w:webHidden/>
          </w:rPr>
          <w:fldChar w:fldCharType="end"/>
        </w:r>
      </w:hyperlink>
    </w:p>
    <w:p w14:paraId="4210B900" w14:textId="6FCD192C" w:rsidR="00EE79C0" w:rsidRDefault="001D372D">
      <w:pPr>
        <w:pStyle w:val="TOC1"/>
        <w:rPr>
          <w:rFonts w:asciiTheme="minorHAnsi" w:eastAsiaTheme="minorEastAsia" w:hAnsiTheme="minorHAnsi" w:cstheme="minorBidi"/>
          <w:caps w:val="0"/>
          <w:noProof/>
          <w:szCs w:val="22"/>
          <w:lang w:eastAsia="en-GB"/>
        </w:rPr>
      </w:pPr>
      <w:hyperlink w:anchor="_Toc472937596" w:history="1">
        <w:r w:rsidR="00EE79C0" w:rsidRPr="006C44EB">
          <w:rPr>
            <w:rStyle w:val="Hyperlink"/>
            <w:noProof/>
          </w:rPr>
          <w:t>14.</w:t>
        </w:r>
        <w:r w:rsidR="00EE79C0">
          <w:rPr>
            <w:rFonts w:asciiTheme="minorHAnsi" w:eastAsiaTheme="minorEastAsia" w:hAnsiTheme="minorHAnsi" w:cstheme="minorBidi"/>
            <w:caps w:val="0"/>
            <w:noProof/>
            <w:szCs w:val="22"/>
            <w:lang w:eastAsia="en-GB"/>
          </w:rPr>
          <w:tab/>
        </w:r>
        <w:r w:rsidR="00EE79C0" w:rsidRPr="006C44EB">
          <w:rPr>
            <w:rStyle w:val="Hyperlink"/>
            <w:noProof/>
          </w:rPr>
          <w:t>Security requirements</w:t>
        </w:r>
        <w:r w:rsidR="00EE79C0">
          <w:rPr>
            <w:noProof/>
            <w:webHidden/>
          </w:rPr>
          <w:tab/>
        </w:r>
        <w:r w:rsidR="00EE79C0">
          <w:rPr>
            <w:noProof/>
            <w:webHidden/>
          </w:rPr>
          <w:fldChar w:fldCharType="begin"/>
        </w:r>
        <w:r w:rsidR="00EE79C0">
          <w:rPr>
            <w:noProof/>
            <w:webHidden/>
          </w:rPr>
          <w:instrText xml:space="preserve"> PAGEREF _Toc472937596 \h </w:instrText>
        </w:r>
        <w:r w:rsidR="00EE79C0">
          <w:rPr>
            <w:noProof/>
            <w:webHidden/>
          </w:rPr>
        </w:r>
        <w:r w:rsidR="00EE79C0">
          <w:rPr>
            <w:noProof/>
            <w:webHidden/>
          </w:rPr>
          <w:fldChar w:fldCharType="separate"/>
        </w:r>
        <w:r w:rsidR="0082507A">
          <w:rPr>
            <w:noProof/>
            <w:webHidden/>
          </w:rPr>
          <w:t>7</w:t>
        </w:r>
        <w:r w:rsidR="00EE79C0">
          <w:rPr>
            <w:noProof/>
            <w:webHidden/>
          </w:rPr>
          <w:fldChar w:fldCharType="end"/>
        </w:r>
      </w:hyperlink>
    </w:p>
    <w:p w14:paraId="16961237" w14:textId="2A4B9CA1" w:rsidR="00EE79C0" w:rsidRDefault="001D372D">
      <w:pPr>
        <w:pStyle w:val="TOC1"/>
        <w:rPr>
          <w:rFonts w:asciiTheme="minorHAnsi" w:eastAsiaTheme="minorEastAsia" w:hAnsiTheme="minorHAnsi" w:cstheme="minorBidi"/>
          <w:caps w:val="0"/>
          <w:noProof/>
          <w:szCs w:val="22"/>
          <w:lang w:eastAsia="en-GB"/>
        </w:rPr>
      </w:pPr>
      <w:hyperlink w:anchor="_Toc472937597" w:history="1">
        <w:r w:rsidR="00EE79C0" w:rsidRPr="006C44EB">
          <w:rPr>
            <w:rStyle w:val="Hyperlink"/>
            <w:rFonts w:cs="Arial"/>
            <w:noProof/>
          </w:rPr>
          <w:t>15.</w:t>
        </w:r>
        <w:r w:rsidR="00EE79C0">
          <w:rPr>
            <w:rFonts w:asciiTheme="minorHAnsi" w:eastAsiaTheme="minorEastAsia" w:hAnsiTheme="minorHAnsi" w:cstheme="minorBidi"/>
            <w:caps w:val="0"/>
            <w:noProof/>
            <w:szCs w:val="22"/>
            <w:lang w:eastAsia="en-GB"/>
          </w:rPr>
          <w:tab/>
        </w:r>
        <w:r w:rsidR="00EE79C0" w:rsidRPr="006C44EB">
          <w:rPr>
            <w:rStyle w:val="Hyperlink"/>
            <w:rFonts w:cs="Arial"/>
            <w:noProof/>
          </w:rPr>
          <w:t>intellectual property rights (ipr)</w:t>
        </w:r>
        <w:r w:rsidR="00EE79C0">
          <w:rPr>
            <w:noProof/>
            <w:webHidden/>
          </w:rPr>
          <w:tab/>
        </w:r>
        <w:r w:rsidR="00EE79C0">
          <w:rPr>
            <w:noProof/>
            <w:webHidden/>
          </w:rPr>
          <w:fldChar w:fldCharType="begin"/>
        </w:r>
        <w:r w:rsidR="00EE79C0">
          <w:rPr>
            <w:noProof/>
            <w:webHidden/>
          </w:rPr>
          <w:instrText xml:space="preserve"> PAGEREF _Toc472937597 \h </w:instrText>
        </w:r>
        <w:r w:rsidR="00EE79C0">
          <w:rPr>
            <w:noProof/>
            <w:webHidden/>
          </w:rPr>
        </w:r>
        <w:r w:rsidR="00EE79C0">
          <w:rPr>
            <w:noProof/>
            <w:webHidden/>
          </w:rPr>
          <w:fldChar w:fldCharType="separate"/>
        </w:r>
        <w:r w:rsidR="0082507A">
          <w:rPr>
            <w:noProof/>
            <w:webHidden/>
          </w:rPr>
          <w:t>7</w:t>
        </w:r>
        <w:r w:rsidR="00EE79C0">
          <w:rPr>
            <w:noProof/>
            <w:webHidden/>
          </w:rPr>
          <w:fldChar w:fldCharType="end"/>
        </w:r>
      </w:hyperlink>
    </w:p>
    <w:p w14:paraId="164579F6" w14:textId="31C498D7" w:rsidR="00EE79C0" w:rsidRDefault="001D372D">
      <w:pPr>
        <w:pStyle w:val="TOC1"/>
        <w:rPr>
          <w:rFonts w:asciiTheme="minorHAnsi" w:eastAsiaTheme="minorEastAsia" w:hAnsiTheme="minorHAnsi" w:cstheme="minorBidi"/>
          <w:caps w:val="0"/>
          <w:noProof/>
          <w:szCs w:val="22"/>
          <w:lang w:eastAsia="en-GB"/>
        </w:rPr>
      </w:pPr>
      <w:hyperlink w:anchor="_Toc472937598" w:history="1">
        <w:r w:rsidR="00EE79C0" w:rsidRPr="006C44EB">
          <w:rPr>
            <w:rStyle w:val="Hyperlink"/>
            <w:rFonts w:cs="Arial"/>
            <w:noProof/>
          </w:rPr>
          <w:t>16.</w:t>
        </w:r>
        <w:r w:rsidR="00EE79C0">
          <w:rPr>
            <w:rFonts w:asciiTheme="minorHAnsi" w:eastAsiaTheme="minorEastAsia" w:hAnsiTheme="minorHAnsi" w:cstheme="minorBidi"/>
            <w:caps w:val="0"/>
            <w:noProof/>
            <w:szCs w:val="22"/>
            <w:lang w:eastAsia="en-GB"/>
          </w:rPr>
          <w:tab/>
        </w:r>
        <w:r w:rsidR="00EE79C0" w:rsidRPr="006C44EB">
          <w:rPr>
            <w:rStyle w:val="Hyperlink"/>
            <w:rFonts w:cs="Arial"/>
            <w:noProof/>
          </w:rPr>
          <w:t>payment</w:t>
        </w:r>
        <w:r w:rsidR="00EE79C0">
          <w:rPr>
            <w:noProof/>
            <w:webHidden/>
          </w:rPr>
          <w:tab/>
        </w:r>
        <w:r w:rsidR="00EE79C0">
          <w:rPr>
            <w:noProof/>
            <w:webHidden/>
          </w:rPr>
          <w:fldChar w:fldCharType="begin"/>
        </w:r>
        <w:r w:rsidR="00EE79C0">
          <w:rPr>
            <w:noProof/>
            <w:webHidden/>
          </w:rPr>
          <w:instrText xml:space="preserve"> PAGEREF _Toc472937598 \h </w:instrText>
        </w:r>
        <w:r w:rsidR="00EE79C0">
          <w:rPr>
            <w:noProof/>
            <w:webHidden/>
          </w:rPr>
        </w:r>
        <w:r w:rsidR="00EE79C0">
          <w:rPr>
            <w:noProof/>
            <w:webHidden/>
          </w:rPr>
          <w:fldChar w:fldCharType="separate"/>
        </w:r>
        <w:r w:rsidR="0082507A">
          <w:rPr>
            <w:noProof/>
            <w:webHidden/>
          </w:rPr>
          <w:t>7</w:t>
        </w:r>
        <w:r w:rsidR="00EE79C0">
          <w:rPr>
            <w:noProof/>
            <w:webHidden/>
          </w:rPr>
          <w:fldChar w:fldCharType="end"/>
        </w:r>
      </w:hyperlink>
    </w:p>
    <w:p w14:paraId="02648BC4" w14:textId="5E284D77" w:rsidR="00EE79C0" w:rsidRDefault="001D372D">
      <w:pPr>
        <w:pStyle w:val="TOC1"/>
        <w:rPr>
          <w:rFonts w:asciiTheme="minorHAnsi" w:eastAsiaTheme="minorEastAsia" w:hAnsiTheme="minorHAnsi" w:cstheme="minorBidi"/>
          <w:caps w:val="0"/>
          <w:noProof/>
          <w:szCs w:val="22"/>
          <w:lang w:eastAsia="en-GB"/>
        </w:rPr>
      </w:pPr>
      <w:hyperlink w:anchor="_Toc472937599" w:history="1">
        <w:r w:rsidR="00EE79C0" w:rsidRPr="006C44EB">
          <w:rPr>
            <w:rStyle w:val="Hyperlink"/>
            <w:noProof/>
          </w:rPr>
          <w:t>17.</w:t>
        </w:r>
        <w:r w:rsidR="00EE79C0">
          <w:rPr>
            <w:rFonts w:asciiTheme="minorHAnsi" w:eastAsiaTheme="minorEastAsia" w:hAnsiTheme="minorHAnsi" w:cstheme="minorBidi"/>
            <w:caps w:val="0"/>
            <w:noProof/>
            <w:szCs w:val="22"/>
            <w:lang w:eastAsia="en-GB"/>
          </w:rPr>
          <w:tab/>
        </w:r>
        <w:r w:rsidR="00EE79C0" w:rsidRPr="006C44EB">
          <w:rPr>
            <w:rStyle w:val="Hyperlink"/>
            <w:noProof/>
          </w:rPr>
          <w:t>Location</w:t>
        </w:r>
        <w:r w:rsidR="00EE79C0">
          <w:rPr>
            <w:noProof/>
            <w:webHidden/>
          </w:rPr>
          <w:tab/>
        </w:r>
        <w:r w:rsidR="00EE79C0">
          <w:rPr>
            <w:noProof/>
            <w:webHidden/>
          </w:rPr>
          <w:fldChar w:fldCharType="begin"/>
        </w:r>
        <w:r w:rsidR="00EE79C0">
          <w:rPr>
            <w:noProof/>
            <w:webHidden/>
          </w:rPr>
          <w:instrText xml:space="preserve"> PAGEREF _Toc472937599 \h </w:instrText>
        </w:r>
        <w:r w:rsidR="00EE79C0">
          <w:rPr>
            <w:noProof/>
            <w:webHidden/>
          </w:rPr>
        </w:r>
        <w:r w:rsidR="00EE79C0">
          <w:rPr>
            <w:noProof/>
            <w:webHidden/>
          </w:rPr>
          <w:fldChar w:fldCharType="separate"/>
        </w:r>
        <w:r w:rsidR="0082507A">
          <w:rPr>
            <w:noProof/>
            <w:webHidden/>
          </w:rPr>
          <w:t>7</w:t>
        </w:r>
        <w:r w:rsidR="00EE79C0">
          <w:rPr>
            <w:noProof/>
            <w:webHidden/>
          </w:rPr>
          <w:fldChar w:fldCharType="end"/>
        </w:r>
      </w:hyperlink>
    </w:p>
    <w:p w14:paraId="665296EC" w14:textId="4B30B482" w:rsidR="00EE79C0" w:rsidRDefault="001D372D">
      <w:pPr>
        <w:pStyle w:val="TOC1"/>
        <w:rPr>
          <w:rFonts w:asciiTheme="minorHAnsi" w:eastAsiaTheme="minorEastAsia" w:hAnsiTheme="minorHAnsi" w:cstheme="minorBidi"/>
          <w:caps w:val="0"/>
          <w:noProof/>
          <w:szCs w:val="22"/>
          <w:lang w:eastAsia="en-GB"/>
        </w:rPr>
      </w:pPr>
      <w:hyperlink w:anchor="_Toc472937600" w:history="1">
        <w:r w:rsidR="00EE79C0" w:rsidRPr="006C44EB">
          <w:rPr>
            <w:rStyle w:val="Hyperlink"/>
            <w:noProof/>
          </w:rPr>
          <w:t>18.</w:t>
        </w:r>
        <w:r w:rsidR="00EE79C0">
          <w:rPr>
            <w:rFonts w:asciiTheme="minorHAnsi" w:eastAsiaTheme="minorEastAsia" w:hAnsiTheme="minorHAnsi" w:cstheme="minorBidi"/>
            <w:caps w:val="0"/>
            <w:noProof/>
            <w:szCs w:val="22"/>
            <w:lang w:eastAsia="en-GB"/>
          </w:rPr>
          <w:tab/>
        </w:r>
        <w:r w:rsidR="00EE79C0" w:rsidRPr="006C44EB">
          <w:rPr>
            <w:rStyle w:val="Hyperlink"/>
            <w:noProof/>
          </w:rPr>
          <w:t>Budget</w:t>
        </w:r>
        <w:r w:rsidR="00EE79C0">
          <w:rPr>
            <w:noProof/>
            <w:webHidden/>
          </w:rPr>
          <w:tab/>
        </w:r>
        <w:r w:rsidR="00EE79C0">
          <w:rPr>
            <w:noProof/>
            <w:webHidden/>
          </w:rPr>
          <w:fldChar w:fldCharType="begin"/>
        </w:r>
        <w:r w:rsidR="00EE79C0">
          <w:rPr>
            <w:noProof/>
            <w:webHidden/>
          </w:rPr>
          <w:instrText xml:space="preserve"> PAGEREF _Toc472937600 \h </w:instrText>
        </w:r>
        <w:r w:rsidR="00EE79C0">
          <w:rPr>
            <w:noProof/>
            <w:webHidden/>
          </w:rPr>
        </w:r>
        <w:r w:rsidR="00EE79C0">
          <w:rPr>
            <w:noProof/>
            <w:webHidden/>
          </w:rPr>
          <w:fldChar w:fldCharType="separate"/>
        </w:r>
        <w:r w:rsidR="0082507A">
          <w:rPr>
            <w:noProof/>
            <w:webHidden/>
          </w:rPr>
          <w:t>7</w:t>
        </w:r>
        <w:r w:rsidR="00EE79C0">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72937583"/>
      <w:r w:rsidRPr="00CE295C">
        <w:rPr>
          <w:caps w:val="0"/>
          <w:szCs w:val="22"/>
        </w:rPr>
        <w:lastRenderedPageBreak/>
        <w:t>PURPOSE</w:t>
      </w:r>
      <w:bookmarkEnd w:id="0"/>
      <w:bookmarkEnd w:id="1"/>
      <w:bookmarkEnd w:id="2"/>
    </w:p>
    <w:p w14:paraId="05409B77" w14:textId="43F96FF4" w:rsidR="0027660B" w:rsidRDefault="002F3536" w:rsidP="00C1560B">
      <w:pPr>
        <w:pStyle w:val="Heading2"/>
        <w:overflowPunct w:val="0"/>
        <w:autoSpaceDE w:val="0"/>
        <w:autoSpaceDN w:val="0"/>
        <w:spacing w:after="120"/>
        <w:ind w:left="709" w:hanging="709"/>
        <w:textAlignment w:val="baseline"/>
        <w:rPr>
          <w:szCs w:val="22"/>
        </w:rPr>
      </w:pPr>
      <w:bookmarkStart w:id="3" w:name="_Toc296415791"/>
      <w:r w:rsidRPr="00811B5E">
        <w:rPr>
          <w:szCs w:val="22"/>
        </w:rPr>
        <w:t xml:space="preserve">This procurement is for the provision of consultancy support </w:t>
      </w:r>
      <w:r w:rsidR="00811B5E">
        <w:rPr>
          <w:szCs w:val="22"/>
        </w:rPr>
        <w:t xml:space="preserve">to </w:t>
      </w:r>
      <w:r w:rsidR="0029171F">
        <w:rPr>
          <w:szCs w:val="22"/>
        </w:rPr>
        <w:t>aid The Crown Commercial Service (</w:t>
      </w:r>
      <w:r w:rsidR="00811B5E">
        <w:rPr>
          <w:szCs w:val="22"/>
        </w:rPr>
        <w:t>CCS</w:t>
      </w:r>
      <w:r w:rsidR="0029171F">
        <w:rPr>
          <w:szCs w:val="22"/>
        </w:rPr>
        <w:t>)</w:t>
      </w:r>
      <w:r w:rsidR="00811B5E">
        <w:rPr>
          <w:szCs w:val="22"/>
        </w:rPr>
        <w:t xml:space="preserve"> in</w:t>
      </w:r>
      <w:r w:rsidR="00811B5E" w:rsidRPr="00811B5E">
        <w:rPr>
          <w:szCs w:val="22"/>
        </w:rPr>
        <w:t xml:space="preserve"> identify</w:t>
      </w:r>
      <w:r w:rsidR="00811B5E">
        <w:rPr>
          <w:szCs w:val="22"/>
        </w:rPr>
        <w:t>ing</w:t>
      </w:r>
      <w:r w:rsidR="00811B5E" w:rsidRPr="00811B5E">
        <w:rPr>
          <w:szCs w:val="22"/>
        </w:rPr>
        <w:t xml:space="preserve"> areas and sectors where departmental </w:t>
      </w:r>
      <w:r w:rsidR="00C55634">
        <w:rPr>
          <w:szCs w:val="22"/>
        </w:rPr>
        <w:t>Sm</w:t>
      </w:r>
      <w:r w:rsidR="001473AD">
        <w:rPr>
          <w:szCs w:val="22"/>
        </w:rPr>
        <w:t xml:space="preserve">all and Medium sized Enterprise </w:t>
      </w:r>
      <w:r w:rsidR="00C55634">
        <w:rPr>
          <w:szCs w:val="22"/>
        </w:rPr>
        <w:t>(</w:t>
      </w:r>
      <w:r w:rsidR="00811B5E" w:rsidRPr="00811B5E">
        <w:rPr>
          <w:szCs w:val="22"/>
        </w:rPr>
        <w:t>SME</w:t>
      </w:r>
      <w:r w:rsidR="00C55634">
        <w:rPr>
          <w:szCs w:val="22"/>
        </w:rPr>
        <w:t>)</w:t>
      </w:r>
      <w:r w:rsidR="00811B5E" w:rsidRPr="00811B5E">
        <w:rPr>
          <w:szCs w:val="22"/>
        </w:rPr>
        <w:t xml:space="preserve"> spend can potentially be increased. This is in response to a</w:t>
      </w:r>
      <w:r w:rsidR="00DD13AA">
        <w:rPr>
          <w:szCs w:val="22"/>
        </w:rPr>
        <w:t xml:space="preserve"> Public Accounts Committee (</w:t>
      </w:r>
      <w:r w:rsidR="00811B5E" w:rsidRPr="00811B5E">
        <w:rPr>
          <w:szCs w:val="22"/>
        </w:rPr>
        <w:t>PAC</w:t>
      </w:r>
      <w:r w:rsidR="00DD13AA">
        <w:rPr>
          <w:szCs w:val="22"/>
        </w:rPr>
        <w:t>)</w:t>
      </w:r>
      <w:r w:rsidR="001B0126">
        <w:rPr>
          <w:szCs w:val="22"/>
        </w:rPr>
        <w:t xml:space="preserve"> </w:t>
      </w:r>
      <w:r w:rsidR="00811B5E" w:rsidRPr="00811B5E">
        <w:rPr>
          <w:szCs w:val="22"/>
        </w:rPr>
        <w:t xml:space="preserve">recommendation and the outputs are to be delivered by </w:t>
      </w:r>
      <w:r w:rsidR="000F3393">
        <w:rPr>
          <w:szCs w:val="22"/>
        </w:rPr>
        <w:t>24</w:t>
      </w:r>
      <w:r w:rsidR="000F3393" w:rsidRPr="00DA64C7">
        <w:rPr>
          <w:szCs w:val="22"/>
          <w:vertAlign w:val="superscript"/>
        </w:rPr>
        <w:t>th</w:t>
      </w:r>
      <w:r w:rsidR="000F3393">
        <w:rPr>
          <w:szCs w:val="22"/>
        </w:rPr>
        <w:t xml:space="preserve"> March</w:t>
      </w:r>
      <w:r w:rsidR="00811B5E" w:rsidRPr="00811B5E">
        <w:rPr>
          <w:szCs w:val="22"/>
        </w:rPr>
        <w:t xml:space="preserve"> </w:t>
      </w:r>
      <w:r w:rsidR="001B0126">
        <w:rPr>
          <w:szCs w:val="22"/>
        </w:rPr>
        <w:t>20</w:t>
      </w:r>
      <w:r w:rsidR="00811B5E" w:rsidRPr="00811B5E">
        <w:rPr>
          <w:szCs w:val="22"/>
        </w:rPr>
        <w:t>17</w:t>
      </w:r>
      <w:r w:rsidR="00DA64C7">
        <w:rPr>
          <w:szCs w:val="22"/>
        </w:rPr>
        <w:t>.</w:t>
      </w:r>
      <w:r w:rsidR="0027660B">
        <w:rPr>
          <w:szCs w:val="22"/>
        </w:rPr>
        <w:t xml:space="preserve"> This report is available online at:</w:t>
      </w:r>
    </w:p>
    <w:p w14:paraId="6ABB444D" w14:textId="1582CD3C" w:rsidR="00DA64C7" w:rsidRPr="00C55634" w:rsidRDefault="00C55634" w:rsidP="0027660B">
      <w:pPr>
        <w:pStyle w:val="Heading2"/>
        <w:numPr>
          <w:ilvl w:val="0"/>
          <w:numId w:val="0"/>
        </w:numPr>
        <w:overflowPunct w:val="0"/>
        <w:autoSpaceDE w:val="0"/>
        <w:autoSpaceDN w:val="0"/>
        <w:spacing w:after="120"/>
        <w:ind w:left="709"/>
        <w:textAlignment w:val="baseline"/>
        <w:rPr>
          <w:rStyle w:val="Hyperlink"/>
          <w:szCs w:val="22"/>
        </w:rPr>
      </w:pPr>
      <w:r>
        <w:rPr>
          <w:szCs w:val="22"/>
        </w:rPr>
        <w:fldChar w:fldCharType="begin"/>
      </w:r>
      <w:r w:rsidR="001473AD">
        <w:rPr>
          <w:szCs w:val="22"/>
        </w:rPr>
        <w:instrText>HYPERLINK "http://www.publications.parliament.uk/pa/cm201516/cmselect/cmpubacc/882/882.pdf"</w:instrText>
      </w:r>
      <w:r>
        <w:rPr>
          <w:szCs w:val="22"/>
        </w:rPr>
        <w:fldChar w:fldCharType="separate"/>
      </w:r>
      <w:r w:rsidR="0027660B" w:rsidRPr="00C55634">
        <w:rPr>
          <w:rStyle w:val="Hyperlink"/>
          <w:szCs w:val="22"/>
        </w:rPr>
        <w:t>http://www.publications.parliament.uk/pa/cm201516/cmselect/cmpubacc/882/882.pdf</w:t>
      </w:r>
    </w:p>
    <w:p w14:paraId="3BDB92AC" w14:textId="0187F665" w:rsidR="00FE18AC" w:rsidRPr="00811B5E" w:rsidRDefault="00C55634" w:rsidP="00C1560B">
      <w:pPr>
        <w:pStyle w:val="Heading2"/>
        <w:overflowPunct w:val="0"/>
        <w:autoSpaceDE w:val="0"/>
        <w:autoSpaceDN w:val="0"/>
        <w:spacing w:after="120"/>
        <w:ind w:left="709" w:hanging="709"/>
        <w:textAlignment w:val="baseline"/>
        <w:rPr>
          <w:szCs w:val="22"/>
        </w:rPr>
      </w:pPr>
      <w:r>
        <w:rPr>
          <w:szCs w:val="22"/>
        </w:rPr>
        <w:fldChar w:fldCharType="end"/>
      </w:r>
      <w:r w:rsidR="00DA64C7">
        <w:rPr>
          <w:szCs w:val="22"/>
        </w:rPr>
        <w:t>CCS has conducted some market research into specific categories of spend (identified in section 4.2). T</w:t>
      </w:r>
      <w:r w:rsidR="00DA64C7">
        <w:t>he purpose of this requirement is to analyse this research, augment it through depa</w:t>
      </w:r>
      <w:r w:rsidR="001C6002">
        <w:t>rtmental interviews, provide</w:t>
      </w:r>
      <w:r w:rsidR="00DA64C7">
        <w:t xml:space="preserve"> advice and make recommendations to CCS.</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72937584"/>
      <w:bookmarkStart w:id="6" w:name="_Toc297554773"/>
      <w:bookmarkStart w:id="7" w:name="_Toc296415805"/>
      <w:bookmarkStart w:id="8" w:name="_Toc296415793"/>
      <w:bookmarkEnd w:id="3"/>
      <w:r w:rsidRPr="004E78BC">
        <w:rPr>
          <w:szCs w:val="22"/>
        </w:rPr>
        <w:t>BACKGROUND TO THE CONTRACTING aUTHORITY</w:t>
      </w:r>
      <w:bookmarkEnd w:id="4"/>
      <w:bookmarkEnd w:id="5"/>
    </w:p>
    <w:p w14:paraId="67F3F06C" w14:textId="7B298437" w:rsidR="00B35B92" w:rsidRPr="00B35B92" w:rsidRDefault="0029171F" w:rsidP="00B80434">
      <w:pPr>
        <w:pStyle w:val="Heading2"/>
        <w:spacing w:after="120"/>
        <w:ind w:left="709" w:hanging="709"/>
      </w:pPr>
      <w:r>
        <w:t>CCS</w:t>
      </w:r>
      <w:r w:rsidR="0057155B" w:rsidRPr="00B35B92">
        <w:t xml:space="preserve"> brings together policy, advice and direct buying; providing commercial services to the public sector and saving money for the taxpayer.</w:t>
      </w:r>
      <w:r w:rsidR="00DD13AA">
        <w:t xml:space="preserve"> CCS’s strategic overall organisational goals are to:</w:t>
      </w:r>
    </w:p>
    <w:p w14:paraId="73C7C4BC" w14:textId="01C108B9" w:rsidR="00DD13AA" w:rsidRDefault="00DD13AA" w:rsidP="00621926">
      <w:pPr>
        <w:pStyle w:val="Heading2"/>
        <w:numPr>
          <w:ilvl w:val="0"/>
          <w:numId w:val="39"/>
        </w:numPr>
        <w:spacing w:after="120"/>
      </w:pPr>
      <w:r>
        <w:t>M</w:t>
      </w:r>
      <w:r w:rsidR="0057155B" w:rsidRPr="00B35B92">
        <w:t xml:space="preserve">ake savings for customers in both central </w:t>
      </w:r>
      <w:r w:rsidR="00C55634">
        <w:t>Government</w:t>
      </w:r>
      <w:r w:rsidR="0057155B" w:rsidRPr="00B35B92">
        <w:t xml:space="preserve"> and the wider public sector</w:t>
      </w:r>
      <w:r w:rsidR="00B35B92" w:rsidRPr="00B35B92">
        <w:t xml:space="preserve">; </w:t>
      </w:r>
    </w:p>
    <w:p w14:paraId="718AD7F0" w14:textId="06445789" w:rsidR="00B35B92" w:rsidRPr="00B35B92" w:rsidRDefault="00DD13AA" w:rsidP="00621926">
      <w:pPr>
        <w:pStyle w:val="Heading2"/>
        <w:numPr>
          <w:ilvl w:val="0"/>
          <w:numId w:val="39"/>
        </w:numPr>
        <w:spacing w:after="120"/>
      </w:pPr>
      <w:r>
        <w:t>A</w:t>
      </w:r>
      <w:r w:rsidR="0057155B" w:rsidRPr="00B35B92">
        <w:t>chieve maximum value from every commercial relationship</w:t>
      </w:r>
      <w:r w:rsidR="00B35B92" w:rsidRPr="00B35B92">
        <w:t>;</w:t>
      </w:r>
    </w:p>
    <w:p w14:paraId="6E078975" w14:textId="5186EF94" w:rsidR="0057155B" w:rsidRPr="00B35B92" w:rsidRDefault="00DD13AA" w:rsidP="00621926">
      <w:pPr>
        <w:pStyle w:val="Heading2"/>
        <w:numPr>
          <w:ilvl w:val="0"/>
          <w:numId w:val="39"/>
        </w:numPr>
        <w:spacing w:after="120"/>
      </w:pPr>
      <w:r>
        <w:t>I</w:t>
      </w:r>
      <w:r w:rsidR="0057155B" w:rsidRPr="00B35B92">
        <w:t xml:space="preserve">mprove the quality of service delivery for common goods and services across </w:t>
      </w:r>
      <w:r w:rsidR="00C55634">
        <w:t>Government</w:t>
      </w:r>
      <w:r w:rsidR="00B35B92" w:rsidRPr="00B35B92">
        <w:t>.</w:t>
      </w:r>
    </w:p>
    <w:p w14:paraId="3D1977ED" w14:textId="0401F876" w:rsidR="00671798" w:rsidRDefault="00B35B92" w:rsidP="00B35B92">
      <w:pPr>
        <w:pStyle w:val="Heading2"/>
        <w:spacing w:after="120"/>
        <w:ind w:left="709" w:hanging="709"/>
      </w:pPr>
      <w:r w:rsidRPr="00B35B92">
        <w:t>CCS</w:t>
      </w:r>
      <w:r w:rsidR="0057155B" w:rsidRPr="00B35B92">
        <w:t xml:space="preserve"> work</w:t>
      </w:r>
      <w:r w:rsidRPr="00B35B92">
        <w:t>s</w:t>
      </w:r>
      <w:r w:rsidR="0057155B" w:rsidRPr="00B35B92">
        <w:t xml:space="preserve"> with over 17,000 customer organisatio</w:t>
      </w:r>
      <w:r w:rsidRPr="00B35B92">
        <w:t>ns in the public sector and more than 5,000 suppliers provide its services</w:t>
      </w:r>
      <w:r w:rsidR="0057155B" w:rsidRPr="00B35B92">
        <w:t>.</w:t>
      </w:r>
    </w:p>
    <w:p w14:paraId="645C6D80" w14:textId="6A8BB6A7" w:rsidR="007E6F73" w:rsidRPr="00B35B92" w:rsidRDefault="007E6F73" w:rsidP="00B35B92">
      <w:pPr>
        <w:pStyle w:val="Heading2"/>
        <w:spacing w:after="120"/>
        <w:ind w:left="709" w:hanging="709"/>
      </w:pPr>
      <w:r>
        <w:t xml:space="preserve">CCS owns and has overall responsibility for </w:t>
      </w:r>
      <w:r w:rsidR="00C55634">
        <w:t>Government’s target that 33% of C</w:t>
      </w:r>
      <w:r>
        <w:t>ent</w:t>
      </w:r>
      <w:r w:rsidR="00C55634">
        <w:t>ral Government procurement spend</w:t>
      </w:r>
      <w:r>
        <w:t xml:space="preserve"> will go to SMEs by 2020. Each department, including CCS, has their own individual target as a contribution to the 33%.</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72937585"/>
      <w:r>
        <w:rPr>
          <w:szCs w:val="22"/>
        </w:rPr>
        <w:t>Background to requirement/</w:t>
      </w:r>
      <w:r w:rsidRPr="002C546C">
        <w:rPr>
          <w:szCs w:val="22"/>
        </w:rPr>
        <w:t>OVERVIEW</w:t>
      </w:r>
      <w:bookmarkEnd w:id="6"/>
      <w:r>
        <w:rPr>
          <w:szCs w:val="22"/>
        </w:rPr>
        <w:t xml:space="preserve"> of requirement</w:t>
      </w:r>
      <w:bookmarkEnd w:id="9"/>
      <w:bookmarkEnd w:id="10"/>
    </w:p>
    <w:p w14:paraId="4B95618C" w14:textId="5DBD4BAD" w:rsidR="00C1560B" w:rsidRPr="005C4658" w:rsidRDefault="00C1560B" w:rsidP="00C1560B">
      <w:pPr>
        <w:pStyle w:val="Heading2"/>
        <w:overflowPunct w:val="0"/>
        <w:autoSpaceDE w:val="0"/>
        <w:autoSpaceDN w:val="0"/>
        <w:spacing w:after="120"/>
        <w:ind w:left="709" w:hanging="709"/>
        <w:textAlignment w:val="baseline"/>
        <w:rPr>
          <w:szCs w:val="22"/>
        </w:rPr>
      </w:pPr>
      <w:bookmarkStart w:id="11" w:name="_Toc297554774"/>
      <w:bookmarkEnd w:id="7"/>
      <w:r w:rsidRPr="005C4658">
        <w:rPr>
          <w:szCs w:val="22"/>
        </w:rPr>
        <w:t>Recommendation two of the 42nd Report of the PAC, session 2015/16 s</w:t>
      </w:r>
      <w:r w:rsidR="00DD13AA">
        <w:rPr>
          <w:szCs w:val="22"/>
        </w:rPr>
        <w:t>tated</w:t>
      </w:r>
      <w:r w:rsidRPr="005C4658">
        <w:rPr>
          <w:szCs w:val="22"/>
        </w:rPr>
        <w:t>;</w:t>
      </w:r>
    </w:p>
    <w:p w14:paraId="3CCC0483" w14:textId="77777777" w:rsidR="00C1560B" w:rsidRPr="00E810D5" w:rsidRDefault="00C1560B" w:rsidP="00C1560B">
      <w:pPr>
        <w:pStyle w:val="Heading2"/>
        <w:numPr>
          <w:ilvl w:val="0"/>
          <w:numId w:val="0"/>
        </w:numPr>
        <w:overflowPunct w:val="0"/>
        <w:autoSpaceDE w:val="0"/>
        <w:autoSpaceDN w:val="0"/>
        <w:spacing w:after="120"/>
        <w:ind w:left="709"/>
        <w:textAlignment w:val="baseline"/>
        <w:rPr>
          <w:szCs w:val="22"/>
        </w:rPr>
      </w:pPr>
      <w:r w:rsidRPr="005C4658">
        <w:rPr>
          <w:i/>
          <w:iCs/>
          <w:szCs w:val="22"/>
        </w:rPr>
        <w:t xml:space="preserve">“The Cabinet Office and the CCS should help departments to identify the areas where SMEs can best add value and how it will structure contracts and procurement to </w:t>
      </w:r>
      <w:r w:rsidRPr="00E810D5">
        <w:rPr>
          <w:i/>
          <w:iCs/>
          <w:szCs w:val="22"/>
        </w:rPr>
        <w:t>enable them to compete accordingly.”</w:t>
      </w:r>
    </w:p>
    <w:p w14:paraId="390AF99E" w14:textId="7DE7025C" w:rsidR="00671798" w:rsidRDefault="00C1560B" w:rsidP="00C1560B">
      <w:pPr>
        <w:pStyle w:val="Heading2"/>
        <w:overflowPunct w:val="0"/>
        <w:autoSpaceDE w:val="0"/>
        <w:autoSpaceDN w:val="0"/>
        <w:spacing w:after="120"/>
        <w:ind w:left="709" w:hanging="709"/>
        <w:textAlignment w:val="baseline"/>
        <w:rPr>
          <w:szCs w:val="22"/>
        </w:rPr>
      </w:pPr>
      <w:r w:rsidRPr="00E810D5">
        <w:rPr>
          <w:szCs w:val="22"/>
        </w:rPr>
        <w:t xml:space="preserve">In response, CCS will use consultancy support to conduct a short-term project to identify sectors with high SME </w:t>
      </w:r>
      <w:r w:rsidR="00C55634">
        <w:rPr>
          <w:szCs w:val="22"/>
        </w:rPr>
        <w:t xml:space="preserve">presence </w:t>
      </w:r>
      <w:r w:rsidRPr="00E810D5">
        <w:rPr>
          <w:szCs w:val="22"/>
        </w:rPr>
        <w:t xml:space="preserve">and low prevalence in both </w:t>
      </w:r>
      <w:r w:rsidR="00C55634">
        <w:rPr>
          <w:szCs w:val="22"/>
        </w:rPr>
        <w:t>Government</w:t>
      </w:r>
      <w:r w:rsidRPr="00E810D5">
        <w:rPr>
          <w:szCs w:val="22"/>
        </w:rPr>
        <w:t xml:space="preserve"> </w:t>
      </w:r>
      <w:r w:rsidRPr="00037B93">
        <w:rPr>
          <w:szCs w:val="22"/>
        </w:rPr>
        <w:t xml:space="preserve">buying and the general marketplace. </w:t>
      </w:r>
    </w:p>
    <w:p w14:paraId="4CB300BC" w14:textId="11ADCFB2" w:rsidR="00EF2909" w:rsidRPr="00037B93" w:rsidRDefault="00EF2909" w:rsidP="00C1560B">
      <w:pPr>
        <w:pStyle w:val="Heading2"/>
        <w:overflowPunct w:val="0"/>
        <w:autoSpaceDE w:val="0"/>
        <w:autoSpaceDN w:val="0"/>
        <w:spacing w:after="120"/>
        <w:ind w:left="709" w:hanging="709"/>
        <w:textAlignment w:val="baseline"/>
        <w:rPr>
          <w:szCs w:val="22"/>
        </w:rPr>
      </w:pPr>
      <w:r>
        <w:rPr>
          <w:szCs w:val="22"/>
        </w:rPr>
        <w:t>Some high level market research has already been conducted within CCS and this w</w:t>
      </w:r>
      <w:r w:rsidR="00F05664">
        <w:rPr>
          <w:szCs w:val="22"/>
        </w:rPr>
        <w:t>ill be shared with the provider upon award.</w:t>
      </w:r>
    </w:p>
    <w:p w14:paraId="2C45CF0B" w14:textId="77777777" w:rsidR="00037B93" w:rsidRPr="00037B93" w:rsidRDefault="00037B93" w:rsidP="00037B93">
      <w:pPr>
        <w:pStyle w:val="Heading2"/>
        <w:spacing w:after="120"/>
        <w:ind w:left="709" w:hanging="709"/>
      </w:pPr>
      <w:r w:rsidRPr="00037B93">
        <w:t>The project will;</w:t>
      </w:r>
    </w:p>
    <w:p w14:paraId="73EDC7DF" w14:textId="53C6D4E7" w:rsidR="00037B93" w:rsidRPr="00037B93" w:rsidRDefault="00037B93" w:rsidP="00037B93">
      <w:pPr>
        <w:pStyle w:val="Heading3"/>
      </w:pPr>
      <w:r w:rsidRPr="00037B93">
        <w:rPr>
          <w:lang w:eastAsia="en-US"/>
        </w:rPr>
        <w:t xml:space="preserve">Identify where </w:t>
      </w:r>
      <w:r w:rsidR="00C55634">
        <w:rPr>
          <w:lang w:eastAsia="en-US"/>
        </w:rPr>
        <w:t>Government</w:t>
      </w:r>
      <w:r w:rsidRPr="00037B93">
        <w:rPr>
          <w:lang w:eastAsia="en-US"/>
        </w:rPr>
        <w:t xml:space="preserve"> buying (and spend with SMEs) matches what we would expect given the make-up of the market.</w:t>
      </w:r>
    </w:p>
    <w:p w14:paraId="230F6073" w14:textId="47F70D84" w:rsidR="00037B93" w:rsidRPr="00037B93" w:rsidRDefault="00037B93" w:rsidP="00037B93">
      <w:pPr>
        <w:pStyle w:val="Heading3"/>
      </w:pPr>
      <w:r w:rsidRPr="00037B93">
        <w:rPr>
          <w:lang w:eastAsia="en-US"/>
        </w:rPr>
        <w:t xml:space="preserve">Identify where </w:t>
      </w:r>
      <w:r w:rsidR="00C55634">
        <w:rPr>
          <w:lang w:eastAsia="en-US"/>
        </w:rPr>
        <w:t>Government</w:t>
      </w:r>
      <w:r w:rsidRPr="00037B93">
        <w:rPr>
          <w:lang w:eastAsia="en-US"/>
        </w:rPr>
        <w:t xml:space="preserve"> buying with SMEs does not match what we would expect.</w:t>
      </w:r>
    </w:p>
    <w:p w14:paraId="28D57F57" w14:textId="64EE6164" w:rsidR="0028386D" w:rsidRDefault="00037B93" w:rsidP="0028386D">
      <w:pPr>
        <w:pStyle w:val="Heading3"/>
      </w:pPr>
      <w:r w:rsidRPr="00037B93">
        <w:rPr>
          <w:lang w:eastAsia="en-US"/>
        </w:rPr>
        <w:lastRenderedPageBreak/>
        <w:t xml:space="preserve">Identify areas where the majority of SMEs will continue to operate within a supply chain so </w:t>
      </w:r>
      <w:r w:rsidR="00C55634">
        <w:rPr>
          <w:lang w:eastAsia="en-US"/>
        </w:rPr>
        <w:t>Government</w:t>
      </w:r>
      <w:r w:rsidRPr="00037B93">
        <w:rPr>
          <w:lang w:eastAsia="en-US"/>
        </w:rPr>
        <w:t xml:space="preserve"> can ensure prime contractors’ behaviour does not prevent subcontractors delivering benefits for the public sector. </w:t>
      </w:r>
    </w:p>
    <w:p w14:paraId="03370F83" w14:textId="3B2A12EE" w:rsidR="00EF2909" w:rsidRDefault="00EF2909" w:rsidP="0028386D">
      <w:pPr>
        <w:pStyle w:val="Heading3"/>
      </w:pPr>
      <w:r>
        <w:rPr>
          <w:lang w:eastAsia="en-US"/>
        </w:rPr>
        <w:t>Make recommendations on which of the suggested categories departments should focus on and potential areas of SME growth within them.</w:t>
      </w:r>
    </w:p>
    <w:p w14:paraId="2189EF62" w14:textId="3707ED41" w:rsidR="00CC05D0" w:rsidRPr="00284A9A" w:rsidRDefault="0028386D" w:rsidP="00284A9A">
      <w:pPr>
        <w:pStyle w:val="Heading2"/>
      </w:pPr>
      <w:r w:rsidRPr="0028386D">
        <w:rPr>
          <w:lang w:eastAsia="en-US"/>
        </w:rPr>
        <w:t>This project will allow departments and CCS to take a more focused and sophisticated approach to developing policy initiatives, opening up contracts and increasing SME spend</w:t>
      </w:r>
      <w:r w:rsidR="00421E10">
        <w:rPr>
          <w:lang w:eastAsia="en-US"/>
        </w:rPr>
        <w:t>,</w:t>
      </w:r>
      <w:r w:rsidRPr="0028386D">
        <w:rPr>
          <w:lang w:eastAsia="en-US"/>
        </w:rPr>
        <w:t xml:space="preserve"> ensuring fair treatment of suppliers working in the supply chain to deliver best value to </w:t>
      </w:r>
      <w:r w:rsidR="00C55634">
        <w:rPr>
          <w:lang w:eastAsia="en-US"/>
        </w:rPr>
        <w:t>Government</w:t>
      </w:r>
      <w:r w:rsidRPr="0028386D">
        <w:rPr>
          <w:lang w:eastAsia="en-US"/>
        </w:rPr>
        <w:t>.</w:t>
      </w:r>
    </w:p>
    <w:p w14:paraId="7EDA54E0" w14:textId="77777777" w:rsidR="00421E10" w:rsidRDefault="00421E10" w:rsidP="00421E10">
      <w:pPr>
        <w:pStyle w:val="Heading1"/>
        <w:rPr>
          <w:szCs w:val="22"/>
        </w:rPr>
      </w:pPr>
      <w:bookmarkStart w:id="12" w:name="_Toc472937586"/>
      <w:bookmarkStart w:id="13" w:name="_Toc368573030"/>
      <w:r w:rsidRPr="00421E10">
        <w:rPr>
          <w:szCs w:val="22"/>
        </w:rPr>
        <w:t>SCOPE OF REQUIREMENT</w:t>
      </w:r>
      <w:bookmarkEnd w:id="12"/>
      <w:r w:rsidRPr="00421E10">
        <w:rPr>
          <w:szCs w:val="22"/>
        </w:rPr>
        <w:t xml:space="preserve"> </w:t>
      </w:r>
    </w:p>
    <w:p w14:paraId="31E36482" w14:textId="5C7F9861" w:rsidR="002E7799" w:rsidRDefault="006D32BF" w:rsidP="00834853">
      <w:pPr>
        <w:pStyle w:val="Heading2"/>
      </w:pPr>
      <w:r>
        <w:t xml:space="preserve">Using market research provided by the Authority and information identified through interviews with departmental representatives, the Provider </w:t>
      </w:r>
      <w:r w:rsidR="00DF07D4">
        <w:t xml:space="preserve">will </w:t>
      </w:r>
      <w:r w:rsidR="00227858">
        <w:t xml:space="preserve">advise on </w:t>
      </w:r>
      <w:r w:rsidR="00ED0409">
        <w:t xml:space="preserve">areas of potential SME spend growth and produce a plan of forthcoming </w:t>
      </w:r>
      <w:r w:rsidR="00C55634">
        <w:t>Government</w:t>
      </w:r>
      <w:r w:rsidR="00ED0409">
        <w:t xml:space="preserve"> procurements with actions and approaches for increasing SME spend in these areas.</w:t>
      </w:r>
    </w:p>
    <w:p w14:paraId="33E4E193" w14:textId="4E060795" w:rsidR="009E69A4" w:rsidRPr="00557A26" w:rsidRDefault="00834853" w:rsidP="00834853">
      <w:pPr>
        <w:pStyle w:val="Heading2"/>
      </w:pPr>
      <w:r>
        <w:t xml:space="preserve">The scope of this project </w:t>
      </w:r>
      <w:bookmarkEnd w:id="8"/>
      <w:bookmarkEnd w:id="11"/>
      <w:bookmarkEnd w:id="13"/>
      <w:r w:rsidR="00100F97" w:rsidRPr="00557A26">
        <w:t xml:space="preserve">is Central </w:t>
      </w:r>
      <w:r w:rsidR="00C55634">
        <w:t>Government</w:t>
      </w:r>
      <w:r w:rsidR="00100F97" w:rsidRPr="00557A26">
        <w:t xml:space="preserve"> and will cover the following spend categories only;</w:t>
      </w:r>
    </w:p>
    <w:p w14:paraId="6EAEA67B" w14:textId="50461187" w:rsidR="009E69A4" w:rsidRPr="00557A26" w:rsidRDefault="009E69A4" w:rsidP="00CF57BD">
      <w:pPr>
        <w:pStyle w:val="Heading3"/>
      </w:pPr>
      <w:r w:rsidRPr="00557A26">
        <w:t>Construction</w:t>
      </w:r>
    </w:p>
    <w:p w14:paraId="297D3358" w14:textId="775FDE6D" w:rsidR="00CF57BD" w:rsidRPr="00557A26" w:rsidRDefault="009E69A4" w:rsidP="00CF57BD">
      <w:pPr>
        <w:pStyle w:val="Heading3"/>
      </w:pPr>
      <w:r w:rsidRPr="00557A26">
        <w:t>Engineering</w:t>
      </w:r>
    </w:p>
    <w:p w14:paraId="2B1B391E" w14:textId="794EBC1C" w:rsidR="009E69A4" w:rsidRPr="00557A26" w:rsidRDefault="009E69A4" w:rsidP="00CF57BD">
      <w:pPr>
        <w:pStyle w:val="Heading3"/>
      </w:pPr>
      <w:r w:rsidRPr="00557A26">
        <w:t>Logistics</w:t>
      </w:r>
    </w:p>
    <w:p w14:paraId="4E6AFBE7" w14:textId="1ED4981C" w:rsidR="009E69A4" w:rsidRPr="00557A26" w:rsidRDefault="009E69A4" w:rsidP="00CF57BD">
      <w:pPr>
        <w:pStyle w:val="Heading3"/>
      </w:pPr>
      <w:r w:rsidRPr="00557A26">
        <w:t>Industrial Services</w:t>
      </w:r>
    </w:p>
    <w:p w14:paraId="5C936D4A" w14:textId="0738AF24" w:rsidR="009E69A4" w:rsidRPr="00557A26" w:rsidRDefault="009E69A4" w:rsidP="00CF57BD">
      <w:pPr>
        <w:pStyle w:val="Heading3"/>
      </w:pPr>
      <w:r w:rsidRPr="00557A26">
        <w:t>Office Solutions</w:t>
      </w:r>
    </w:p>
    <w:p w14:paraId="5CDC370C" w14:textId="24A39B26" w:rsidR="009E69A4" w:rsidRPr="00557A26" w:rsidRDefault="009E69A4" w:rsidP="00CF57BD">
      <w:pPr>
        <w:pStyle w:val="Heading3"/>
      </w:pPr>
      <w:r w:rsidRPr="00557A26">
        <w:t>Communications &amp; Marketing</w:t>
      </w:r>
    </w:p>
    <w:p w14:paraId="6B33C526" w14:textId="73CD192C" w:rsidR="00613688" w:rsidRDefault="0028386D" w:rsidP="0028386D">
      <w:pPr>
        <w:pStyle w:val="Heading2"/>
        <w:tabs>
          <w:tab w:val="clear" w:pos="720"/>
          <w:tab w:val="num" w:pos="862"/>
        </w:tabs>
        <w:overflowPunct w:val="0"/>
        <w:autoSpaceDE w:val="0"/>
        <w:autoSpaceDN w:val="0"/>
        <w:spacing w:after="120"/>
        <w:ind w:left="709" w:hanging="709"/>
      </w:pPr>
      <w:r w:rsidRPr="00CF57BD">
        <w:t xml:space="preserve">The </w:t>
      </w:r>
      <w:r w:rsidR="001B0126">
        <w:t>Provider</w:t>
      </w:r>
      <w:r w:rsidRPr="00CF57BD">
        <w:t xml:space="preserve"> will work with key contacts across </w:t>
      </w:r>
      <w:r w:rsidR="00613688">
        <w:t xml:space="preserve">seven nominated </w:t>
      </w:r>
      <w:r w:rsidRPr="00CF57BD">
        <w:t>departments, sup</w:t>
      </w:r>
      <w:r w:rsidR="00613688">
        <w:t>ported by CCS’ SME policy team.</w:t>
      </w:r>
    </w:p>
    <w:p w14:paraId="20DD6E52" w14:textId="0698BD8A" w:rsidR="00613688" w:rsidRDefault="00613688" w:rsidP="0028386D">
      <w:pPr>
        <w:pStyle w:val="Heading2"/>
        <w:tabs>
          <w:tab w:val="clear" w:pos="720"/>
          <w:tab w:val="num" w:pos="862"/>
        </w:tabs>
        <w:overflowPunct w:val="0"/>
        <w:autoSpaceDE w:val="0"/>
        <w:autoSpaceDN w:val="0"/>
        <w:spacing w:after="120"/>
        <w:ind w:left="709" w:hanging="709"/>
      </w:pPr>
      <w:r>
        <w:t>The nominated departments are:</w:t>
      </w:r>
    </w:p>
    <w:p w14:paraId="69DE0CAA" w14:textId="5CAA50AA" w:rsidR="00613688" w:rsidRDefault="00613688" w:rsidP="00613688">
      <w:pPr>
        <w:pStyle w:val="Heading3"/>
      </w:pPr>
      <w:r>
        <w:t>Ministry of Defence</w:t>
      </w:r>
    </w:p>
    <w:p w14:paraId="2CABFA33" w14:textId="32C75E22" w:rsidR="00613688" w:rsidRDefault="00613688" w:rsidP="00613688">
      <w:pPr>
        <w:pStyle w:val="Heading3"/>
      </w:pPr>
      <w:r>
        <w:t>Depart</w:t>
      </w:r>
      <w:r w:rsidR="00C55634">
        <w:t>ment for</w:t>
      </w:r>
      <w:r>
        <w:t xml:space="preserve"> Work and Pensions</w:t>
      </w:r>
    </w:p>
    <w:p w14:paraId="0CE5774E" w14:textId="72F91AEA" w:rsidR="00613688" w:rsidRDefault="00613688" w:rsidP="00613688">
      <w:pPr>
        <w:pStyle w:val="Heading3"/>
      </w:pPr>
      <w:r>
        <w:t>Department for Transport</w:t>
      </w:r>
    </w:p>
    <w:p w14:paraId="66F57E3F" w14:textId="2EEA4232" w:rsidR="00613688" w:rsidRDefault="00613688" w:rsidP="00613688">
      <w:pPr>
        <w:pStyle w:val="Heading3"/>
      </w:pPr>
      <w:r>
        <w:t>Ministry of Justice</w:t>
      </w:r>
    </w:p>
    <w:p w14:paraId="598A6FA7" w14:textId="2AF19FC8" w:rsidR="00613688" w:rsidRDefault="00613688" w:rsidP="00613688">
      <w:pPr>
        <w:pStyle w:val="Heading3"/>
      </w:pPr>
      <w:r>
        <w:t>Her Majesty’s Revenue and Customs</w:t>
      </w:r>
    </w:p>
    <w:p w14:paraId="1CA96E1A" w14:textId="0DF91193" w:rsidR="00613688" w:rsidRDefault="00613688" w:rsidP="00613688">
      <w:pPr>
        <w:pStyle w:val="Heading3"/>
      </w:pPr>
      <w:r>
        <w:t>Home Office</w:t>
      </w:r>
    </w:p>
    <w:p w14:paraId="128B8850" w14:textId="25A2B677" w:rsidR="00613688" w:rsidRDefault="00613688" w:rsidP="00613688">
      <w:pPr>
        <w:pStyle w:val="Heading3"/>
      </w:pPr>
      <w:r>
        <w:lastRenderedPageBreak/>
        <w:t>Nuclear Decommissioning Agency</w:t>
      </w:r>
    </w:p>
    <w:p w14:paraId="16BEA5CA" w14:textId="376B0CF9" w:rsidR="00613688" w:rsidRPr="00CF57BD" w:rsidRDefault="0028386D" w:rsidP="00613688">
      <w:pPr>
        <w:pStyle w:val="Heading2"/>
        <w:tabs>
          <w:tab w:val="clear" w:pos="720"/>
          <w:tab w:val="num" w:pos="862"/>
        </w:tabs>
        <w:overflowPunct w:val="0"/>
        <w:autoSpaceDE w:val="0"/>
        <w:autoSpaceDN w:val="0"/>
        <w:spacing w:after="120"/>
        <w:ind w:left="709" w:hanging="709"/>
      </w:pPr>
      <w:r w:rsidRPr="00CF57BD">
        <w:t>They will interview key stakeholders including the Crown Representative for SMEs and Trade Federation representatives.</w:t>
      </w:r>
    </w:p>
    <w:p w14:paraId="7E1A1526" w14:textId="20E9789C" w:rsidR="0028386D" w:rsidRPr="00CF57BD" w:rsidRDefault="002E7799" w:rsidP="0028386D">
      <w:pPr>
        <w:pStyle w:val="Heading2"/>
        <w:tabs>
          <w:tab w:val="clear" w:pos="720"/>
          <w:tab w:val="num" w:pos="862"/>
        </w:tabs>
        <w:overflowPunct w:val="0"/>
        <w:autoSpaceDE w:val="0"/>
        <w:autoSpaceDN w:val="0"/>
        <w:spacing w:after="120"/>
        <w:ind w:left="709" w:hanging="709"/>
      </w:pPr>
      <w:r>
        <w:t>Using the market research and departmental data available, the provider will pull</w:t>
      </w:r>
      <w:r w:rsidR="0028386D" w:rsidRPr="00CF57BD">
        <w:t xml:space="preserve"> together evidence of where SMEs are already working directly and indirectly with Central </w:t>
      </w:r>
      <w:r w:rsidR="00C55634">
        <w:t>Government</w:t>
      </w:r>
      <w:r>
        <w:t>. Additionally, they will make recommendations for</w:t>
      </w:r>
      <w:r w:rsidR="0028386D" w:rsidRPr="00CF57BD">
        <w:t xml:space="preserve"> areas where this number can be increased</w:t>
      </w:r>
      <w:r>
        <w:t xml:space="preserve"> and potential actions to drive this growth</w:t>
      </w:r>
      <w:r w:rsidR="0028386D" w:rsidRPr="00CF57BD">
        <w:t>.</w:t>
      </w:r>
    </w:p>
    <w:p w14:paraId="1DBE9CCA" w14:textId="2ECF4824" w:rsidR="00671798" w:rsidRPr="00CF57BD" w:rsidRDefault="0028386D" w:rsidP="0028386D">
      <w:pPr>
        <w:pStyle w:val="Heading2"/>
        <w:tabs>
          <w:tab w:val="clear" w:pos="720"/>
          <w:tab w:val="num" w:pos="862"/>
        </w:tabs>
        <w:overflowPunct w:val="0"/>
        <w:autoSpaceDE w:val="0"/>
        <w:autoSpaceDN w:val="0"/>
        <w:spacing w:after="120"/>
        <w:ind w:left="709" w:hanging="709"/>
      </w:pPr>
      <w:r w:rsidRPr="00CF57BD">
        <w:t xml:space="preserve">Additionally the Crown Commercial Service’s Policy Delivery Team will provide </w:t>
      </w:r>
      <w:r w:rsidR="00377CB7">
        <w:t xml:space="preserve">some logistical </w:t>
      </w:r>
      <w:r w:rsidRPr="00CF57BD">
        <w:t xml:space="preserve">support and </w:t>
      </w:r>
      <w:r w:rsidR="00377CB7">
        <w:t xml:space="preserve">business </w:t>
      </w:r>
      <w:r w:rsidRPr="00CF57BD">
        <w:t>intelligence throughout the project lifecycle.</w:t>
      </w:r>
    </w:p>
    <w:p w14:paraId="3491B80B" w14:textId="77777777" w:rsidR="00671798" w:rsidRDefault="00FE18AC">
      <w:pPr>
        <w:pStyle w:val="Heading1"/>
        <w:spacing w:after="120"/>
      </w:pPr>
      <w:bookmarkStart w:id="14" w:name="_Toc368573031"/>
      <w:bookmarkStart w:id="15" w:name="_Toc472937587"/>
      <w:r w:rsidRPr="00BE6EE0">
        <w:t>The requirement</w:t>
      </w:r>
      <w:bookmarkEnd w:id="14"/>
      <w:bookmarkEnd w:id="15"/>
    </w:p>
    <w:p w14:paraId="477AF0D6" w14:textId="7F38A9D1" w:rsidR="00B94BE4" w:rsidRPr="0082507A" w:rsidRDefault="00B94BE4" w:rsidP="00800109">
      <w:pPr>
        <w:pStyle w:val="Heading2"/>
      </w:pPr>
      <w:r w:rsidRPr="0082507A">
        <w:t xml:space="preserve">The </w:t>
      </w:r>
      <w:r w:rsidR="001B0126" w:rsidRPr="0082507A">
        <w:t>Provider</w:t>
      </w:r>
      <w:r w:rsidRPr="0082507A">
        <w:t xml:space="preserve"> will be required to </w:t>
      </w:r>
      <w:r w:rsidR="001B0126" w:rsidRPr="0082507A">
        <w:t>deliver</w:t>
      </w:r>
      <w:r w:rsidRPr="0082507A">
        <w:t xml:space="preserve"> consultancy to </w:t>
      </w:r>
      <w:r w:rsidR="00800109" w:rsidRPr="0082507A">
        <w:t xml:space="preserve">analyse and </w:t>
      </w:r>
      <w:r w:rsidR="0082507A" w:rsidRPr="0082507A">
        <w:t>advice</w:t>
      </w:r>
      <w:r w:rsidR="00800109" w:rsidRPr="0082507A">
        <w:t xml:space="preserve"> on where SMEs can add value, based on the </w:t>
      </w:r>
      <w:r w:rsidR="00800109" w:rsidRPr="0082507A">
        <w:rPr>
          <w:rFonts w:cs="Arial"/>
        </w:rPr>
        <w:t xml:space="preserve">high level market research and interviews described in section 4, to produce the required outputs. The project can </w:t>
      </w:r>
      <w:r w:rsidR="00377CB7" w:rsidRPr="0082507A">
        <w:t>be managed at the Provider’s discretion (working concurrently for example) to meet the requirements an</w:t>
      </w:r>
      <w:r w:rsidR="00800109" w:rsidRPr="0082507A">
        <w:t xml:space="preserve">d deliver to the project deadline. </w:t>
      </w:r>
    </w:p>
    <w:p w14:paraId="28ABD9F6" w14:textId="77777777" w:rsidR="00100F97" w:rsidRPr="00B94BE4" w:rsidRDefault="00100F97" w:rsidP="00100F97">
      <w:pPr>
        <w:pStyle w:val="Heading2"/>
        <w:spacing w:after="120"/>
        <w:ind w:left="709" w:hanging="709"/>
        <w:rPr>
          <w:rFonts w:cs="Arial"/>
          <w:szCs w:val="22"/>
        </w:rPr>
      </w:pPr>
      <w:r w:rsidRPr="00B94BE4">
        <w:rPr>
          <w:rFonts w:eastAsia="Times New Roman" w:cs="Arial"/>
          <w:szCs w:val="22"/>
          <w:lang w:eastAsia="en-US"/>
        </w:rPr>
        <w:t>The following outputs are to be delivered:</w:t>
      </w:r>
    </w:p>
    <w:p w14:paraId="46CAB6E6" w14:textId="77777777" w:rsidR="00100F97" w:rsidRPr="00100F97" w:rsidRDefault="00100F97" w:rsidP="00100F97">
      <w:pPr>
        <w:pStyle w:val="Heading2"/>
        <w:spacing w:after="120"/>
        <w:ind w:left="709" w:hanging="709"/>
      </w:pPr>
      <w:r w:rsidRPr="00100F97">
        <w:rPr>
          <w:lang w:eastAsia="en-US"/>
        </w:rPr>
        <w:t>A category map against benchmarks showing;</w:t>
      </w:r>
    </w:p>
    <w:p w14:paraId="7BBC20EA" w14:textId="77777777" w:rsidR="00BF7748" w:rsidRDefault="00100F97" w:rsidP="00BF7748">
      <w:pPr>
        <w:pStyle w:val="Heading3"/>
      </w:pPr>
      <w:r w:rsidRPr="00100F97">
        <w:rPr>
          <w:lang w:eastAsia="en-US"/>
        </w:rPr>
        <w:t>where SMEs are most and least prevalent.</w:t>
      </w:r>
    </w:p>
    <w:p w14:paraId="381EF4A7" w14:textId="11856307" w:rsidR="00BF7748" w:rsidRDefault="00BF7748" w:rsidP="00BF7748">
      <w:pPr>
        <w:pStyle w:val="Heading3"/>
      </w:pPr>
      <w:r w:rsidRPr="00037B93">
        <w:rPr>
          <w:lang w:eastAsia="en-US"/>
        </w:rPr>
        <w:t xml:space="preserve">where </w:t>
      </w:r>
      <w:r w:rsidR="00C55634">
        <w:rPr>
          <w:lang w:eastAsia="en-US"/>
        </w:rPr>
        <w:t>Government</w:t>
      </w:r>
      <w:r w:rsidRPr="00037B93">
        <w:rPr>
          <w:lang w:eastAsia="en-US"/>
        </w:rPr>
        <w:t xml:space="preserve"> buying (and spend with SMEs) matches what we would expect given the make-up of the market.</w:t>
      </w:r>
    </w:p>
    <w:p w14:paraId="25B3DDEB" w14:textId="146934F4" w:rsidR="00100F97" w:rsidRPr="00100F97" w:rsidRDefault="00BF7748" w:rsidP="00BF7748">
      <w:pPr>
        <w:pStyle w:val="Heading3"/>
      </w:pPr>
      <w:r w:rsidRPr="00037B93">
        <w:rPr>
          <w:lang w:eastAsia="en-US"/>
        </w:rPr>
        <w:t xml:space="preserve">where </w:t>
      </w:r>
      <w:r w:rsidR="00C55634">
        <w:rPr>
          <w:lang w:eastAsia="en-US"/>
        </w:rPr>
        <w:t>Government</w:t>
      </w:r>
      <w:r w:rsidRPr="00037B93">
        <w:rPr>
          <w:lang w:eastAsia="en-US"/>
        </w:rPr>
        <w:t xml:space="preserve"> buying with SMEs does not match what we would expect.</w:t>
      </w:r>
    </w:p>
    <w:p w14:paraId="5BDD0F12" w14:textId="4C90BB9A" w:rsidR="001F144F" w:rsidRPr="001F144F" w:rsidRDefault="00100F97" w:rsidP="001F144F">
      <w:pPr>
        <w:pStyle w:val="Heading3"/>
        <w:rPr>
          <w:szCs w:val="22"/>
          <w:lang w:eastAsia="en-US"/>
        </w:rPr>
      </w:pPr>
      <w:r w:rsidRPr="00100F97">
        <w:rPr>
          <w:lang w:eastAsia="en-US"/>
        </w:rPr>
        <w:t>areas where the majority of SMEs will continue t</w:t>
      </w:r>
      <w:r w:rsidR="00BF7748">
        <w:rPr>
          <w:lang w:eastAsia="en-US"/>
        </w:rPr>
        <w:t xml:space="preserve">o operate within a supply chain </w:t>
      </w:r>
      <w:r w:rsidR="00BF7748" w:rsidRPr="00037B93">
        <w:rPr>
          <w:lang w:eastAsia="en-US"/>
        </w:rPr>
        <w:t xml:space="preserve">so </w:t>
      </w:r>
      <w:r w:rsidR="00C55634">
        <w:rPr>
          <w:lang w:eastAsia="en-US"/>
        </w:rPr>
        <w:t>Government</w:t>
      </w:r>
      <w:r w:rsidR="00BF7748" w:rsidRPr="00037B93">
        <w:rPr>
          <w:lang w:eastAsia="en-US"/>
        </w:rPr>
        <w:t xml:space="preserve"> can ensure prime contractors’ behaviour does not prevent subcontractors delivering benefits for the public sector.</w:t>
      </w:r>
    </w:p>
    <w:p w14:paraId="38AB250C" w14:textId="4769996C" w:rsidR="00100F97" w:rsidRPr="00284A9A" w:rsidRDefault="00100F97" w:rsidP="00284A9A">
      <w:pPr>
        <w:pStyle w:val="Heading2"/>
        <w:rPr>
          <w:szCs w:val="22"/>
          <w:lang w:eastAsia="en-US"/>
        </w:rPr>
      </w:pPr>
      <w:r w:rsidRPr="00100F97">
        <w:rPr>
          <w:lang w:eastAsia="en-US"/>
        </w:rPr>
        <w:t>A</w:t>
      </w:r>
      <w:r w:rsidR="001F144F">
        <w:rPr>
          <w:lang w:eastAsia="en-US"/>
        </w:rPr>
        <w:t>n 18 month</w:t>
      </w:r>
      <w:r w:rsidRPr="00100F97">
        <w:rPr>
          <w:lang w:eastAsia="en-US"/>
        </w:rPr>
        <w:t xml:space="preserve"> plan of forthcoming projects and procu</w:t>
      </w:r>
      <w:r w:rsidR="001F144F">
        <w:rPr>
          <w:lang w:eastAsia="en-US"/>
        </w:rPr>
        <w:t xml:space="preserve">rements within these categories (as identified in section </w:t>
      </w:r>
      <w:r w:rsidR="001B0126">
        <w:rPr>
          <w:lang w:eastAsia="en-US"/>
        </w:rPr>
        <w:t>4</w:t>
      </w:r>
      <w:r w:rsidR="001F144F">
        <w:rPr>
          <w:lang w:eastAsia="en-US"/>
        </w:rPr>
        <w:t>) including anticipated spend.</w:t>
      </w:r>
      <w:r w:rsidR="00ED0409">
        <w:rPr>
          <w:lang w:eastAsia="en-US"/>
        </w:rPr>
        <w:t xml:space="preserve"> This plan will also identify </w:t>
      </w:r>
      <w:r w:rsidR="00ED0409">
        <w:t>actions and approaches for increasing SME spend in these areas as well as providing advice and recommendations for where SME spend does not match the general market make up.</w:t>
      </w:r>
    </w:p>
    <w:p w14:paraId="35734D9E" w14:textId="77777777" w:rsidR="00671798" w:rsidRDefault="00FE18AC">
      <w:pPr>
        <w:pStyle w:val="Heading1"/>
        <w:spacing w:after="120"/>
      </w:pPr>
      <w:bookmarkStart w:id="16" w:name="_Toc368573032"/>
      <w:bookmarkStart w:id="17" w:name="_Toc472937588"/>
      <w:r>
        <w:t>key milestones</w:t>
      </w:r>
      <w:bookmarkEnd w:id="16"/>
      <w:bookmarkEnd w:id="17"/>
    </w:p>
    <w:p w14:paraId="6EE7C8C4" w14:textId="27AC3ADE" w:rsidR="00671798" w:rsidRPr="00284A9A" w:rsidRDefault="00CF57BD" w:rsidP="00284A9A">
      <w:pPr>
        <w:pStyle w:val="Heading2"/>
        <w:spacing w:after="120"/>
        <w:ind w:left="709" w:hanging="709"/>
      </w:pPr>
      <w:r w:rsidRPr="00CF57BD">
        <w:t>Completion of the project and delivery of products</w:t>
      </w:r>
      <w:r w:rsidR="00AC2759">
        <w:t xml:space="preserve">, as identified in section </w:t>
      </w:r>
      <w:r w:rsidR="00E14E2D">
        <w:t>5</w:t>
      </w:r>
      <w:r w:rsidR="00AC2759">
        <w:t>, is required by no later than 24</w:t>
      </w:r>
      <w:r w:rsidR="001C6002" w:rsidRPr="001C6002">
        <w:rPr>
          <w:vertAlign w:val="superscript"/>
        </w:rPr>
        <w:t>th</w:t>
      </w:r>
      <w:r w:rsidR="001C6002">
        <w:t xml:space="preserve"> </w:t>
      </w:r>
      <w:r w:rsidRPr="00CF57BD">
        <w:t>March 2017.</w:t>
      </w:r>
    </w:p>
    <w:p w14:paraId="48BDC124" w14:textId="77777777" w:rsidR="00C90FDE" w:rsidRDefault="003438D3" w:rsidP="00AC2759">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bookmarkStart w:id="18" w:name="_Toc302637211"/>
    </w:p>
    <w:p w14:paraId="75D37C4A" w14:textId="77777777" w:rsidR="00DA7AAC" w:rsidRDefault="00DA7AAC" w:rsidP="00DA7AAC">
      <w:pPr>
        <w:pStyle w:val="Heading1"/>
        <w:numPr>
          <w:ilvl w:val="0"/>
          <w:numId w:val="0"/>
        </w:numPr>
        <w:ind w:left="720" w:hanging="720"/>
      </w:pPr>
    </w:p>
    <w:p w14:paraId="7263A38A" w14:textId="77777777" w:rsidR="00DA7AAC" w:rsidRPr="00AC2759" w:rsidRDefault="00DA7AAC" w:rsidP="00DA7AAC">
      <w:pPr>
        <w:pStyle w:val="Heading1"/>
        <w:numPr>
          <w:ilvl w:val="0"/>
          <w:numId w:val="0"/>
        </w:numPr>
        <w:ind w:left="720" w:hanging="720"/>
      </w:pPr>
    </w:p>
    <w:tbl>
      <w:tblPr>
        <w:tblStyle w:val="TableGrid"/>
        <w:tblW w:w="5000" w:type="pct"/>
        <w:tblLook w:val="04A0" w:firstRow="1" w:lastRow="0" w:firstColumn="1" w:lastColumn="0" w:noHBand="0" w:noVBand="1"/>
      </w:tblPr>
      <w:tblGrid>
        <w:gridCol w:w="1620"/>
        <w:gridCol w:w="4473"/>
        <w:gridCol w:w="2926"/>
      </w:tblGrid>
      <w:tr w:rsidR="00C90FDE" w:rsidRPr="00E14E2D" w14:paraId="0BE0517B" w14:textId="77777777" w:rsidTr="00B72F7C">
        <w:tc>
          <w:tcPr>
            <w:tcW w:w="898" w:type="pct"/>
            <w:shd w:val="clear" w:color="auto" w:fill="C6D9F1" w:themeFill="text2" w:themeFillTint="33"/>
            <w:vAlign w:val="center"/>
          </w:tcPr>
          <w:p w14:paraId="32A76E80" w14:textId="77777777" w:rsidR="00C90FDE" w:rsidRPr="00E14E2D" w:rsidRDefault="00C90FDE" w:rsidP="00B72F7C">
            <w:pPr>
              <w:pStyle w:val="Heading3"/>
              <w:numPr>
                <w:ilvl w:val="0"/>
                <w:numId w:val="0"/>
              </w:numPr>
              <w:spacing w:after="120"/>
              <w:jc w:val="center"/>
              <w:outlineLvl w:val="2"/>
              <w:rPr>
                <w:b/>
                <w:szCs w:val="24"/>
              </w:rPr>
            </w:pPr>
            <w:r w:rsidRPr="00E14E2D">
              <w:rPr>
                <w:b/>
              </w:rPr>
              <w:t>Milestone</w:t>
            </w:r>
          </w:p>
        </w:tc>
        <w:tc>
          <w:tcPr>
            <w:tcW w:w="2480" w:type="pct"/>
            <w:shd w:val="clear" w:color="auto" w:fill="C6D9F1" w:themeFill="text2" w:themeFillTint="33"/>
            <w:vAlign w:val="center"/>
          </w:tcPr>
          <w:p w14:paraId="5C46F7F8" w14:textId="77777777" w:rsidR="00C90FDE" w:rsidRPr="00E14E2D" w:rsidRDefault="00C90FDE" w:rsidP="00B72F7C">
            <w:pPr>
              <w:pStyle w:val="Heading3"/>
              <w:numPr>
                <w:ilvl w:val="0"/>
                <w:numId w:val="0"/>
              </w:numPr>
              <w:spacing w:after="120"/>
              <w:jc w:val="center"/>
              <w:outlineLvl w:val="2"/>
              <w:rPr>
                <w:b/>
                <w:szCs w:val="24"/>
              </w:rPr>
            </w:pPr>
            <w:r w:rsidRPr="00E14E2D">
              <w:rPr>
                <w:b/>
              </w:rPr>
              <w:t>Description</w:t>
            </w:r>
          </w:p>
        </w:tc>
        <w:tc>
          <w:tcPr>
            <w:tcW w:w="1622" w:type="pct"/>
            <w:shd w:val="clear" w:color="auto" w:fill="C6D9F1" w:themeFill="text2" w:themeFillTint="33"/>
            <w:vAlign w:val="center"/>
          </w:tcPr>
          <w:p w14:paraId="29A3CC46" w14:textId="77777777" w:rsidR="00C90FDE" w:rsidRPr="00E14E2D" w:rsidRDefault="00C90FDE" w:rsidP="00B72F7C">
            <w:pPr>
              <w:pStyle w:val="Heading3"/>
              <w:numPr>
                <w:ilvl w:val="0"/>
                <w:numId w:val="0"/>
              </w:numPr>
              <w:spacing w:after="120"/>
              <w:jc w:val="center"/>
              <w:outlineLvl w:val="2"/>
              <w:rPr>
                <w:b/>
                <w:szCs w:val="24"/>
              </w:rPr>
            </w:pPr>
            <w:r w:rsidRPr="00E14E2D">
              <w:rPr>
                <w:b/>
              </w:rPr>
              <w:t>Timeframe</w:t>
            </w:r>
          </w:p>
        </w:tc>
      </w:tr>
      <w:tr w:rsidR="00C90FDE" w:rsidRPr="00E14E2D" w14:paraId="76B7C1AF" w14:textId="77777777" w:rsidTr="00B72F7C">
        <w:tc>
          <w:tcPr>
            <w:tcW w:w="898" w:type="pct"/>
            <w:vAlign w:val="center"/>
          </w:tcPr>
          <w:p w14:paraId="37A28A11" w14:textId="77777777" w:rsidR="00C90FDE" w:rsidRPr="00E14E2D" w:rsidRDefault="00C90FDE" w:rsidP="00B72F7C">
            <w:pPr>
              <w:pStyle w:val="Heading3"/>
              <w:numPr>
                <w:ilvl w:val="0"/>
                <w:numId w:val="0"/>
              </w:numPr>
              <w:spacing w:after="120"/>
              <w:jc w:val="center"/>
              <w:outlineLvl w:val="2"/>
              <w:rPr>
                <w:szCs w:val="24"/>
              </w:rPr>
            </w:pPr>
            <w:r w:rsidRPr="00E14E2D">
              <w:t>1</w:t>
            </w:r>
          </w:p>
        </w:tc>
        <w:tc>
          <w:tcPr>
            <w:tcW w:w="2480" w:type="pct"/>
            <w:vAlign w:val="center"/>
          </w:tcPr>
          <w:p w14:paraId="7197725C" w14:textId="13DE8A92" w:rsidR="00C90FDE" w:rsidRPr="00E14E2D" w:rsidRDefault="00E14E2D" w:rsidP="00E14E2D">
            <w:pPr>
              <w:pStyle w:val="Heading3"/>
              <w:numPr>
                <w:ilvl w:val="0"/>
                <w:numId w:val="0"/>
              </w:numPr>
              <w:spacing w:after="120"/>
              <w:jc w:val="left"/>
              <w:outlineLvl w:val="2"/>
              <w:rPr>
                <w:szCs w:val="24"/>
              </w:rPr>
            </w:pPr>
            <w:r w:rsidRPr="00E14E2D">
              <w:t>Project Initiation Meeting</w:t>
            </w:r>
          </w:p>
        </w:tc>
        <w:tc>
          <w:tcPr>
            <w:tcW w:w="1622" w:type="pct"/>
            <w:vAlign w:val="center"/>
          </w:tcPr>
          <w:p w14:paraId="5A0B1880" w14:textId="1A5DC3DC" w:rsidR="00C90FDE" w:rsidRPr="00E14E2D" w:rsidRDefault="00C90FDE" w:rsidP="00B72F7C">
            <w:pPr>
              <w:pStyle w:val="Heading3"/>
              <w:numPr>
                <w:ilvl w:val="0"/>
                <w:numId w:val="0"/>
              </w:numPr>
              <w:spacing w:after="120"/>
              <w:jc w:val="center"/>
              <w:outlineLvl w:val="2"/>
              <w:rPr>
                <w:szCs w:val="24"/>
              </w:rPr>
            </w:pPr>
            <w:r w:rsidRPr="00E14E2D">
              <w:t>Within week 1 of Contract Award</w:t>
            </w:r>
          </w:p>
        </w:tc>
      </w:tr>
      <w:tr w:rsidR="00C90FDE" w:rsidRPr="00E14E2D" w14:paraId="506A925F" w14:textId="77777777" w:rsidTr="00B72F7C">
        <w:tc>
          <w:tcPr>
            <w:tcW w:w="898" w:type="pct"/>
            <w:vAlign w:val="center"/>
          </w:tcPr>
          <w:p w14:paraId="028E58F4" w14:textId="77777777" w:rsidR="00C90FDE" w:rsidRPr="00E14E2D" w:rsidRDefault="00C90FDE" w:rsidP="00B72F7C">
            <w:pPr>
              <w:pStyle w:val="Heading3"/>
              <w:numPr>
                <w:ilvl w:val="0"/>
                <w:numId w:val="0"/>
              </w:numPr>
              <w:spacing w:after="120"/>
              <w:jc w:val="center"/>
              <w:outlineLvl w:val="2"/>
              <w:rPr>
                <w:szCs w:val="24"/>
              </w:rPr>
            </w:pPr>
            <w:r w:rsidRPr="00E14E2D">
              <w:t>2</w:t>
            </w:r>
          </w:p>
        </w:tc>
        <w:tc>
          <w:tcPr>
            <w:tcW w:w="2480" w:type="pct"/>
            <w:vAlign w:val="center"/>
          </w:tcPr>
          <w:p w14:paraId="29F73E37" w14:textId="5969DFE3" w:rsidR="00C90FDE" w:rsidRPr="00E14E2D" w:rsidRDefault="00E14E2D" w:rsidP="00E14E2D">
            <w:pPr>
              <w:pStyle w:val="Heading3"/>
              <w:numPr>
                <w:ilvl w:val="0"/>
                <w:numId w:val="0"/>
              </w:numPr>
              <w:spacing w:after="120"/>
              <w:jc w:val="left"/>
              <w:outlineLvl w:val="2"/>
              <w:rPr>
                <w:szCs w:val="24"/>
              </w:rPr>
            </w:pPr>
            <w:r w:rsidRPr="00E14E2D">
              <w:t>Activity Schedule</w:t>
            </w:r>
          </w:p>
        </w:tc>
        <w:tc>
          <w:tcPr>
            <w:tcW w:w="1622" w:type="pct"/>
            <w:vAlign w:val="center"/>
          </w:tcPr>
          <w:p w14:paraId="0D1A98F4" w14:textId="1A2F91E9" w:rsidR="00C90FDE" w:rsidRPr="00E14E2D" w:rsidRDefault="00C90FDE" w:rsidP="00B72F7C">
            <w:pPr>
              <w:pStyle w:val="Heading3"/>
              <w:numPr>
                <w:ilvl w:val="0"/>
                <w:numId w:val="0"/>
              </w:numPr>
              <w:spacing w:after="120"/>
              <w:jc w:val="center"/>
              <w:outlineLvl w:val="2"/>
              <w:rPr>
                <w:szCs w:val="24"/>
              </w:rPr>
            </w:pPr>
            <w:r w:rsidRPr="00E14E2D">
              <w:t xml:space="preserve">Within </w:t>
            </w:r>
            <w:r w:rsidR="00E14E2D" w:rsidRPr="00E14E2D">
              <w:t>3 days of Project Initiation Meeting</w:t>
            </w:r>
          </w:p>
        </w:tc>
      </w:tr>
      <w:tr w:rsidR="00C90FDE" w:rsidRPr="00E14E2D" w14:paraId="328D91C8" w14:textId="77777777" w:rsidTr="00B72F7C">
        <w:tc>
          <w:tcPr>
            <w:tcW w:w="898" w:type="pct"/>
            <w:vAlign w:val="center"/>
          </w:tcPr>
          <w:p w14:paraId="237E162A" w14:textId="77777777" w:rsidR="00C90FDE" w:rsidRPr="00E14E2D" w:rsidRDefault="00C90FDE" w:rsidP="00B72F7C">
            <w:pPr>
              <w:pStyle w:val="Heading3"/>
              <w:numPr>
                <w:ilvl w:val="0"/>
                <w:numId w:val="0"/>
              </w:numPr>
              <w:spacing w:after="120"/>
              <w:jc w:val="center"/>
              <w:outlineLvl w:val="2"/>
              <w:rPr>
                <w:szCs w:val="24"/>
              </w:rPr>
            </w:pPr>
            <w:r w:rsidRPr="00E14E2D">
              <w:t>3</w:t>
            </w:r>
          </w:p>
        </w:tc>
        <w:tc>
          <w:tcPr>
            <w:tcW w:w="2480" w:type="pct"/>
            <w:vAlign w:val="center"/>
          </w:tcPr>
          <w:p w14:paraId="3724FFF5" w14:textId="27B63A92" w:rsidR="00C90FDE" w:rsidRPr="00E14E2D" w:rsidRDefault="00E14E2D" w:rsidP="00B72F7C">
            <w:pPr>
              <w:pStyle w:val="Heading3"/>
              <w:numPr>
                <w:ilvl w:val="0"/>
                <w:numId w:val="0"/>
              </w:numPr>
              <w:spacing w:after="120"/>
              <w:jc w:val="left"/>
              <w:outlineLvl w:val="2"/>
              <w:rPr>
                <w:szCs w:val="24"/>
              </w:rPr>
            </w:pPr>
            <w:r w:rsidRPr="00E14E2D">
              <w:t>Progress Review Meetings</w:t>
            </w:r>
          </w:p>
        </w:tc>
        <w:tc>
          <w:tcPr>
            <w:tcW w:w="1622" w:type="pct"/>
            <w:vAlign w:val="center"/>
          </w:tcPr>
          <w:p w14:paraId="217C2469" w14:textId="2DFD59F5" w:rsidR="00C90FDE" w:rsidRPr="00E14E2D" w:rsidRDefault="00E14E2D" w:rsidP="00B72F7C">
            <w:pPr>
              <w:pStyle w:val="Heading3"/>
              <w:numPr>
                <w:ilvl w:val="0"/>
                <w:numId w:val="0"/>
              </w:numPr>
              <w:spacing w:after="120"/>
              <w:jc w:val="center"/>
              <w:outlineLvl w:val="2"/>
              <w:rPr>
                <w:szCs w:val="24"/>
              </w:rPr>
            </w:pPr>
            <w:r w:rsidRPr="00E14E2D">
              <w:t>Weekly</w:t>
            </w:r>
          </w:p>
        </w:tc>
      </w:tr>
      <w:tr w:rsidR="00C90FDE" w:rsidRPr="00E14E2D" w14:paraId="65F67CFC" w14:textId="77777777" w:rsidTr="00B72F7C">
        <w:tc>
          <w:tcPr>
            <w:tcW w:w="898" w:type="pct"/>
            <w:vAlign w:val="center"/>
          </w:tcPr>
          <w:p w14:paraId="7C1E83FD" w14:textId="77777777" w:rsidR="00C90FDE" w:rsidRPr="00E14E2D" w:rsidRDefault="00C90FDE" w:rsidP="00B72F7C">
            <w:pPr>
              <w:pStyle w:val="Heading3"/>
              <w:numPr>
                <w:ilvl w:val="0"/>
                <w:numId w:val="0"/>
              </w:numPr>
              <w:spacing w:after="120"/>
              <w:jc w:val="center"/>
              <w:outlineLvl w:val="2"/>
              <w:rPr>
                <w:szCs w:val="24"/>
              </w:rPr>
            </w:pPr>
            <w:r w:rsidRPr="00E14E2D">
              <w:t>4</w:t>
            </w:r>
          </w:p>
        </w:tc>
        <w:tc>
          <w:tcPr>
            <w:tcW w:w="2480" w:type="pct"/>
            <w:vAlign w:val="center"/>
          </w:tcPr>
          <w:p w14:paraId="39BA750D" w14:textId="0A62F36F" w:rsidR="00C90FDE" w:rsidRPr="00E14E2D" w:rsidRDefault="00E14E2D" w:rsidP="00E14E2D">
            <w:pPr>
              <w:pStyle w:val="Heading3"/>
              <w:numPr>
                <w:ilvl w:val="0"/>
                <w:numId w:val="0"/>
              </w:numPr>
              <w:spacing w:after="120"/>
              <w:jc w:val="left"/>
              <w:outlineLvl w:val="2"/>
              <w:rPr>
                <w:szCs w:val="24"/>
              </w:rPr>
            </w:pPr>
            <w:r w:rsidRPr="00E14E2D">
              <w:t>Final Report and final sign-off</w:t>
            </w:r>
          </w:p>
        </w:tc>
        <w:tc>
          <w:tcPr>
            <w:tcW w:w="1622" w:type="pct"/>
            <w:vAlign w:val="center"/>
          </w:tcPr>
          <w:p w14:paraId="41293C2E" w14:textId="11218EF1" w:rsidR="00C90FDE" w:rsidRPr="00E14E2D" w:rsidRDefault="00E14E2D" w:rsidP="00B72F7C">
            <w:pPr>
              <w:pStyle w:val="Heading3"/>
              <w:numPr>
                <w:ilvl w:val="0"/>
                <w:numId w:val="0"/>
              </w:numPr>
              <w:spacing w:after="120"/>
              <w:jc w:val="center"/>
              <w:outlineLvl w:val="2"/>
              <w:rPr>
                <w:szCs w:val="24"/>
              </w:rPr>
            </w:pPr>
            <w:r w:rsidRPr="00E14E2D">
              <w:t>24</w:t>
            </w:r>
            <w:r w:rsidRPr="00E14E2D">
              <w:rPr>
                <w:vertAlign w:val="superscript"/>
              </w:rPr>
              <w:t>th</w:t>
            </w:r>
            <w:r w:rsidRPr="00E14E2D">
              <w:t xml:space="preserve"> March 2017</w:t>
            </w:r>
          </w:p>
        </w:tc>
      </w:tr>
    </w:tbl>
    <w:p w14:paraId="228D428C" w14:textId="76D0F116" w:rsidR="00FE18AC" w:rsidRPr="00AC2759" w:rsidRDefault="00FE18AC" w:rsidP="00B768DB">
      <w:pPr>
        <w:pStyle w:val="Heading2"/>
        <w:numPr>
          <w:ilvl w:val="0"/>
          <w:numId w:val="0"/>
        </w:numPr>
        <w:tabs>
          <w:tab w:val="num" w:pos="862"/>
        </w:tabs>
        <w:overflowPunct w:val="0"/>
        <w:autoSpaceDE w:val="0"/>
        <w:autoSpaceDN w:val="0"/>
        <w:spacing w:after="120"/>
        <w:ind w:left="709"/>
        <w:textAlignment w:val="baseline"/>
        <w:rPr>
          <w:rFonts w:cs="Arial"/>
          <w:szCs w:val="22"/>
        </w:rPr>
      </w:pPr>
    </w:p>
    <w:p w14:paraId="3C36765A" w14:textId="482E4F08" w:rsidR="00106F24" w:rsidRPr="009E69A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19" w:name="_Toc472937589"/>
      <w:bookmarkStart w:id="20" w:name="_Toc368573033"/>
      <w:r w:rsidRPr="009E69A4">
        <w:rPr>
          <w:rFonts w:cs="Arial"/>
          <w:szCs w:val="22"/>
        </w:rPr>
        <w:t>authority’s responsibilities</w:t>
      </w:r>
      <w:bookmarkEnd w:id="19"/>
    </w:p>
    <w:p w14:paraId="0094E54F" w14:textId="221BE3CC" w:rsidR="001F144F" w:rsidRDefault="009E69A4" w:rsidP="001F144F">
      <w:pPr>
        <w:pStyle w:val="Heading2"/>
      </w:pPr>
      <w:r w:rsidRPr="009E69A4">
        <w:t>The Authority will provide definitions of each spend category covered by the project and where possible, its own market research into the make</w:t>
      </w:r>
      <w:r w:rsidR="001B0126">
        <w:t>-</w:t>
      </w:r>
      <w:r w:rsidRPr="009E69A4">
        <w:t>up of said category.</w:t>
      </w:r>
      <w:r w:rsidR="001F144F">
        <w:t xml:space="preserve"> Suppliers own solutions and research can be included.</w:t>
      </w:r>
    </w:p>
    <w:p w14:paraId="7FFEEE9B" w14:textId="4DCA397E" w:rsidR="00F05664" w:rsidRPr="0082507A" w:rsidRDefault="00F05664" w:rsidP="001F144F">
      <w:pPr>
        <w:pStyle w:val="Heading2"/>
      </w:pPr>
      <w:r w:rsidRPr="0082507A">
        <w:t xml:space="preserve">The Authority will provide the high level market research conducted by CCS. </w:t>
      </w:r>
    </w:p>
    <w:p w14:paraId="539D4CC1" w14:textId="27930E54" w:rsidR="00BB66CF" w:rsidRPr="009E69A4" w:rsidRDefault="00F05664" w:rsidP="001F144F">
      <w:pPr>
        <w:pStyle w:val="Heading2"/>
      </w:pPr>
      <w:r>
        <w:t xml:space="preserve">The </w:t>
      </w:r>
      <w:r w:rsidR="00BB66CF">
        <w:t xml:space="preserve">Authority will provide support in arranging </w:t>
      </w:r>
      <w:r w:rsidR="00E02545">
        <w:t>meetings and interviews with departmental representatives.</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72937590"/>
      <w:r w:rsidRPr="00BE6EE0">
        <w:rPr>
          <w:rFonts w:cs="Arial"/>
          <w:szCs w:val="22"/>
        </w:rPr>
        <w:t>reporting</w:t>
      </w:r>
      <w:bookmarkEnd w:id="20"/>
      <w:bookmarkEnd w:id="21"/>
    </w:p>
    <w:p w14:paraId="22C08F65" w14:textId="6F4EAE54" w:rsidR="00671798" w:rsidRDefault="006F4853">
      <w:pPr>
        <w:pStyle w:val="Heading2"/>
        <w:tabs>
          <w:tab w:val="clear" w:pos="720"/>
          <w:tab w:val="num" w:pos="709"/>
        </w:tabs>
        <w:spacing w:after="120"/>
        <w:ind w:left="709" w:hanging="709"/>
      </w:pPr>
      <w:r>
        <w:t xml:space="preserve">The Provider will be required to attend </w:t>
      </w:r>
      <w:r w:rsidR="003C43DE">
        <w:t>w</w:t>
      </w:r>
      <w:r w:rsidR="00AC2759">
        <w:t>eekly 1</w:t>
      </w:r>
      <w:r w:rsidR="005677CA" w:rsidRPr="005677CA">
        <w:t>hr status meetings</w:t>
      </w:r>
      <w:r>
        <w:t xml:space="preserve"> to discuss</w:t>
      </w:r>
      <w:r w:rsidR="001F144F">
        <w:t xml:space="preserve"> progress, plans and risks.</w:t>
      </w:r>
      <w:r w:rsidR="00E02545">
        <w:t xml:space="preserve"> The first and final meetings will take place in London or Norwich, depending on the Provider’s location. All other meetings can take place via video or teleconference.</w:t>
      </w:r>
    </w:p>
    <w:p w14:paraId="3AB9FCA7" w14:textId="17806457" w:rsidR="00671798" w:rsidRPr="00117132" w:rsidRDefault="001F144F" w:rsidP="003C43DE">
      <w:pPr>
        <w:pStyle w:val="Heading2"/>
        <w:spacing w:after="120"/>
        <w:ind w:left="709" w:hanging="709"/>
      </w:pPr>
      <w:r>
        <w:t xml:space="preserve">Additional </w:t>
      </w:r>
      <w:r w:rsidR="006F4853">
        <w:t>case studies</w:t>
      </w:r>
      <w:r>
        <w:t>, where identified, about successful procurements with SMEs or through good Prime Contractors, are to be passed to the Authority as part of the weekly reporting.</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368573035"/>
      <w:bookmarkStart w:id="23" w:name="_Toc472937591"/>
      <w:r w:rsidRPr="00BE6EE0">
        <w:rPr>
          <w:rFonts w:cs="Arial"/>
          <w:szCs w:val="22"/>
        </w:rPr>
        <w:t>continuous improvement</w:t>
      </w:r>
      <w:bookmarkEnd w:id="22"/>
      <w:bookmarkEnd w:id="23"/>
    </w:p>
    <w:p w14:paraId="031D2B5A" w14:textId="0D243D7E" w:rsidR="00671798" w:rsidRPr="001A5A0D" w:rsidRDefault="00C23C3A" w:rsidP="00D84396">
      <w:pPr>
        <w:pStyle w:val="Heading2"/>
        <w:spacing w:after="120"/>
        <w:ind w:left="709" w:hanging="709"/>
      </w:pPr>
      <w:r w:rsidRPr="001A5A0D">
        <w:t>Opportunities for the authority and provider to identify areas for improvement during the project will be discussed and agreed via the weekly status meetings.</w:t>
      </w:r>
    </w:p>
    <w:p w14:paraId="1114BE17" w14:textId="77777777" w:rsidR="00FE18AC" w:rsidRPr="001A5A0D"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6"/>
      <w:bookmarkStart w:id="25" w:name="_Toc472937592"/>
      <w:r w:rsidRPr="001A5A0D">
        <w:rPr>
          <w:rFonts w:cs="Arial"/>
          <w:szCs w:val="22"/>
        </w:rPr>
        <w:t>quality</w:t>
      </w:r>
      <w:bookmarkEnd w:id="24"/>
      <w:bookmarkEnd w:id="25"/>
    </w:p>
    <w:p w14:paraId="7536C981" w14:textId="7862ABD1" w:rsidR="0017414E" w:rsidRDefault="006A6AC5" w:rsidP="006A6AC5">
      <w:pPr>
        <w:pStyle w:val="Heading2"/>
      </w:pPr>
      <w:r>
        <w:t>H</w:t>
      </w:r>
      <w:r w:rsidRPr="006A6AC5">
        <w:t>elp</w:t>
      </w:r>
      <w:r>
        <w:t>ing</w:t>
      </w:r>
      <w:r w:rsidRPr="006A6AC5">
        <w:t xml:space="preserve"> smaller businesses in the UK bid for and win important </w:t>
      </w:r>
      <w:r w:rsidR="00C55634">
        <w:t>Government</w:t>
      </w:r>
      <w:r w:rsidRPr="006A6AC5">
        <w:t xml:space="preserve"> contracts</w:t>
      </w:r>
      <w:r>
        <w:t xml:space="preserve"> is an area of significant stakeholder interest and the </w:t>
      </w:r>
      <w:r w:rsidR="00C55634">
        <w:t>Government</w:t>
      </w:r>
      <w:r>
        <w:t>’s manifesto commits</w:t>
      </w:r>
      <w:r w:rsidRPr="006A6AC5">
        <w:t xml:space="preserve"> to spend</w:t>
      </w:r>
      <w:r>
        <w:t>ing</w:t>
      </w:r>
      <w:r w:rsidRPr="006A6AC5">
        <w:t xml:space="preserve"> £1 in every £3 with SMEs by 2020</w:t>
      </w:r>
      <w:r>
        <w:t>.</w:t>
      </w:r>
      <w:r w:rsidR="0017414E" w:rsidRPr="006D585C">
        <w:t xml:space="preserve">  In order to </w:t>
      </w:r>
      <w:r>
        <w:t xml:space="preserve">support CCS and </w:t>
      </w:r>
      <w:r w:rsidR="0017414E" w:rsidRPr="006D585C">
        <w:t>successfully deliver this project, the successful b</w:t>
      </w:r>
      <w:r w:rsidR="0017414E">
        <w:t>idder will need to demonstrate:</w:t>
      </w:r>
    </w:p>
    <w:p w14:paraId="51DD54F8" w14:textId="74D6522A" w:rsidR="0017414E" w:rsidRDefault="0017414E" w:rsidP="0017414E">
      <w:pPr>
        <w:pStyle w:val="Heading3"/>
      </w:pPr>
      <w:r>
        <w:t>E</w:t>
      </w:r>
      <w:r w:rsidRPr="001F4913">
        <w:t xml:space="preserve">xtensive practical experience of </w:t>
      </w:r>
      <w:r w:rsidR="009261BB">
        <w:t xml:space="preserve">evaluating market research and evidence, </w:t>
      </w:r>
      <w:r>
        <w:t xml:space="preserve">project and programme management, </w:t>
      </w:r>
      <w:r w:rsidR="009261BB">
        <w:t xml:space="preserve">supply chain management, change management and </w:t>
      </w:r>
      <w:r>
        <w:t>stakeholder engagement</w:t>
      </w:r>
      <w:r w:rsidR="009261BB">
        <w:t>.</w:t>
      </w:r>
    </w:p>
    <w:p w14:paraId="331198B8" w14:textId="1AA38D1C" w:rsidR="0017414E" w:rsidRDefault="0017414E" w:rsidP="0017414E">
      <w:pPr>
        <w:pStyle w:val="Heading3"/>
      </w:pPr>
      <w:r w:rsidRPr="001F4913">
        <w:lastRenderedPageBreak/>
        <w:t>Extensive practical experience of</w:t>
      </w:r>
      <w:r w:rsidR="009261BB">
        <w:t xml:space="preserve"> working across multiple categories</w:t>
      </w:r>
      <w:r w:rsidRPr="001F4913">
        <w:t>;</w:t>
      </w:r>
    </w:p>
    <w:p w14:paraId="451C9087" w14:textId="6A834D8E" w:rsidR="0017414E" w:rsidRDefault="0017414E" w:rsidP="0017414E">
      <w:pPr>
        <w:pStyle w:val="Heading3"/>
      </w:pPr>
      <w:r w:rsidRPr="001F4913">
        <w:t xml:space="preserve">Successful delivery </w:t>
      </w:r>
      <w:r w:rsidR="009261BB">
        <w:t xml:space="preserve">of strategic advice </w:t>
      </w:r>
      <w:r w:rsidRPr="001F4913">
        <w:t xml:space="preserve">in a challenging </w:t>
      </w:r>
      <w:r w:rsidR="009261BB">
        <w:t xml:space="preserve">economic and </w:t>
      </w:r>
      <w:r w:rsidRPr="001F4913">
        <w:t>environment;</w:t>
      </w:r>
    </w:p>
    <w:p w14:paraId="73E16208" w14:textId="10EB5921" w:rsidR="0017414E" w:rsidRDefault="0017414E" w:rsidP="0017414E">
      <w:pPr>
        <w:pStyle w:val="Heading3"/>
      </w:pPr>
      <w:r w:rsidRPr="001F4913">
        <w:t xml:space="preserve">An awareness of </w:t>
      </w:r>
      <w:r w:rsidR="009261BB">
        <w:t>SME policy</w:t>
      </w:r>
      <w:r w:rsidRPr="001F4913">
        <w:t>; and</w:t>
      </w:r>
    </w:p>
    <w:p w14:paraId="287AC8B1" w14:textId="53511B43" w:rsidR="0017414E" w:rsidRDefault="00E41626" w:rsidP="0017414E">
      <w:pPr>
        <w:pStyle w:val="Heading3"/>
      </w:pPr>
      <w:r>
        <w:t>Knowledge of</w:t>
      </w:r>
      <w:r w:rsidR="0017414E" w:rsidRPr="001F4913">
        <w:t xml:space="preserve"> wider </w:t>
      </w:r>
      <w:r>
        <w:t>public procurement issues.</w:t>
      </w:r>
    </w:p>
    <w:p w14:paraId="533C7A5A" w14:textId="77777777" w:rsidR="00FE18AC" w:rsidRPr="00E9550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7"/>
      <w:bookmarkStart w:id="27" w:name="_Toc472937593"/>
      <w:r w:rsidRPr="00E95501">
        <w:rPr>
          <w:rFonts w:cs="Arial"/>
          <w:szCs w:val="22"/>
        </w:rPr>
        <w:t>PRICE</w:t>
      </w:r>
      <w:bookmarkEnd w:id="26"/>
      <w:bookmarkEnd w:id="27"/>
    </w:p>
    <w:p w14:paraId="522EB186" w14:textId="70C3A777" w:rsidR="00671798" w:rsidRPr="00E95501" w:rsidRDefault="00E95501">
      <w:pPr>
        <w:pStyle w:val="Heading2"/>
        <w:tabs>
          <w:tab w:val="clear" w:pos="720"/>
          <w:tab w:val="num" w:pos="709"/>
        </w:tabs>
        <w:spacing w:after="120"/>
        <w:ind w:left="709" w:hanging="709"/>
      </w:pPr>
      <w:r w:rsidRPr="00E95501">
        <w:t xml:space="preserve">The services will be delivered within a capped cost. </w:t>
      </w:r>
    </w:p>
    <w:p w14:paraId="645D51EC" w14:textId="2A51A62F" w:rsidR="00671798" w:rsidRPr="00E95501" w:rsidRDefault="00FE18AC">
      <w:pPr>
        <w:pStyle w:val="Heading2"/>
        <w:tabs>
          <w:tab w:val="clear" w:pos="720"/>
          <w:tab w:val="num" w:pos="709"/>
        </w:tabs>
        <w:spacing w:after="120"/>
        <w:ind w:left="709" w:hanging="709"/>
      </w:pPr>
      <w:r w:rsidRPr="00E95501">
        <w:t>Prices are to be submitted via the e</w:t>
      </w:r>
      <w:r w:rsidR="00F44D62" w:rsidRPr="00E95501">
        <w:t>-</w:t>
      </w:r>
      <w:r w:rsidRPr="00E95501">
        <w:t>Sourcing Suite</w:t>
      </w:r>
      <w:r w:rsidR="00154411" w:rsidRPr="00E95501">
        <w:t xml:space="preserve"> and detailed within </w:t>
      </w:r>
      <w:r w:rsidR="005D1196" w:rsidRPr="00E95501">
        <w:t>Appendix E</w:t>
      </w:r>
      <w:r w:rsidRPr="00E95501">
        <w:t xml:space="preserve"> excluding VAT</w:t>
      </w:r>
      <w:r w:rsidR="00AE3C65" w:rsidRPr="00E95501">
        <w: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8"/>
      <w:bookmarkStart w:id="29" w:name="_Toc472937594"/>
      <w:r w:rsidRPr="00BE6EE0">
        <w:rPr>
          <w:rFonts w:cs="Arial"/>
          <w:szCs w:val="22"/>
        </w:rPr>
        <w:t>STAFF AND CUSTOMER SERVICE</w:t>
      </w:r>
      <w:bookmarkEnd w:id="28"/>
      <w:bookmarkEnd w:id="29"/>
    </w:p>
    <w:p w14:paraId="473FF9D3" w14:textId="4D170073"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w:t>
      </w:r>
      <w:r w:rsidR="00F177C5">
        <w:t>is</w:t>
      </w:r>
      <w:r>
        <w:t xml:space="preserve"> Contract in order to consistently deliver a quality service to all Parties.</w:t>
      </w:r>
    </w:p>
    <w:p w14:paraId="7C5FF49B" w14:textId="0A07BC10" w:rsidR="00671798" w:rsidRDefault="00FE18AC">
      <w:pPr>
        <w:pStyle w:val="Heading2"/>
        <w:tabs>
          <w:tab w:val="clear" w:pos="720"/>
          <w:tab w:val="num" w:pos="709"/>
        </w:tabs>
        <w:spacing w:after="120"/>
        <w:ind w:left="709" w:hanging="709"/>
      </w:pPr>
      <w:r>
        <w:t>Potential Provider’s staff assigned to th</w:t>
      </w:r>
      <w:r w:rsidR="00F177C5">
        <w:t>is</w:t>
      </w:r>
      <w:r>
        <w:t xml:space="preserv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9"/>
      <w:bookmarkStart w:id="31" w:name="_Toc472937595"/>
      <w:r w:rsidRPr="004E1D36">
        <w:rPr>
          <w:rFonts w:cs="Arial"/>
          <w:szCs w:val="22"/>
        </w:rPr>
        <w:t>service levels a</w:t>
      </w:r>
      <w:r>
        <w:rPr>
          <w:rFonts w:cs="Arial"/>
          <w:szCs w:val="22"/>
        </w:rPr>
        <w:t>nd performance</w:t>
      </w:r>
      <w:bookmarkEnd w:id="30"/>
      <w:bookmarkEnd w:id="31"/>
    </w:p>
    <w:p w14:paraId="28C6FC32" w14:textId="77777777" w:rsidR="00F177C5" w:rsidRDefault="00FE18AC" w:rsidP="00A6171F">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r w:rsidR="00F177C5">
        <w:t xml:space="preserve"> </w:t>
      </w:r>
    </w:p>
    <w:tbl>
      <w:tblPr>
        <w:tblStyle w:val="TableGrid"/>
        <w:tblW w:w="0" w:type="auto"/>
        <w:tblInd w:w="720" w:type="dxa"/>
        <w:tblLook w:val="04A0" w:firstRow="1" w:lastRow="0" w:firstColumn="1" w:lastColumn="0" w:noHBand="0" w:noVBand="1"/>
      </w:tblPr>
      <w:tblGrid>
        <w:gridCol w:w="1048"/>
        <w:gridCol w:w="1771"/>
        <w:gridCol w:w="3827"/>
        <w:gridCol w:w="1653"/>
      </w:tblGrid>
      <w:tr w:rsidR="00F177C5" w14:paraId="7D2FB554" w14:textId="77777777" w:rsidTr="0027660B">
        <w:tc>
          <w:tcPr>
            <w:tcW w:w="1048" w:type="dxa"/>
            <w:shd w:val="clear" w:color="auto" w:fill="DBE5F1" w:themeFill="accent1" w:themeFillTint="33"/>
          </w:tcPr>
          <w:p w14:paraId="74C5D3BE" w14:textId="77777777" w:rsidR="00F177C5" w:rsidRDefault="00F177C5" w:rsidP="00F177C5">
            <w:pPr>
              <w:pStyle w:val="Heading2"/>
              <w:numPr>
                <w:ilvl w:val="0"/>
                <w:numId w:val="0"/>
              </w:numPr>
              <w:jc w:val="center"/>
              <w:outlineLvl w:val="1"/>
            </w:pPr>
            <w:r>
              <w:t>KPI/SLA</w:t>
            </w:r>
          </w:p>
        </w:tc>
        <w:tc>
          <w:tcPr>
            <w:tcW w:w="1771" w:type="dxa"/>
            <w:shd w:val="clear" w:color="auto" w:fill="DBE5F1" w:themeFill="accent1" w:themeFillTint="33"/>
          </w:tcPr>
          <w:p w14:paraId="64590819" w14:textId="77777777" w:rsidR="00F177C5" w:rsidRDefault="00F177C5" w:rsidP="00F177C5">
            <w:pPr>
              <w:pStyle w:val="Heading2"/>
              <w:numPr>
                <w:ilvl w:val="0"/>
                <w:numId w:val="0"/>
              </w:numPr>
              <w:jc w:val="center"/>
              <w:outlineLvl w:val="1"/>
            </w:pPr>
            <w:r>
              <w:t>Service Area</w:t>
            </w:r>
          </w:p>
        </w:tc>
        <w:tc>
          <w:tcPr>
            <w:tcW w:w="3827" w:type="dxa"/>
            <w:shd w:val="clear" w:color="auto" w:fill="DBE5F1" w:themeFill="accent1" w:themeFillTint="33"/>
          </w:tcPr>
          <w:p w14:paraId="46988C76" w14:textId="77777777" w:rsidR="00F177C5" w:rsidRDefault="00F177C5" w:rsidP="00F177C5">
            <w:pPr>
              <w:pStyle w:val="Heading2"/>
              <w:numPr>
                <w:ilvl w:val="0"/>
                <w:numId w:val="0"/>
              </w:numPr>
              <w:jc w:val="center"/>
              <w:outlineLvl w:val="1"/>
            </w:pPr>
            <w:r>
              <w:t>KPI/SLA description</w:t>
            </w:r>
          </w:p>
        </w:tc>
        <w:tc>
          <w:tcPr>
            <w:tcW w:w="1653" w:type="dxa"/>
            <w:shd w:val="clear" w:color="auto" w:fill="DBE5F1" w:themeFill="accent1" w:themeFillTint="33"/>
          </w:tcPr>
          <w:p w14:paraId="65515B7D" w14:textId="77777777" w:rsidR="00F177C5" w:rsidRDefault="00F177C5" w:rsidP="00F177C5">
            <w:pPr>
              <w:pStyle w:val="Heading2"/>
              <w:numPr>
                <w:ilvl w:val="0"/>
                <w:numId w:val="0"/>
              </w:numPr>
              <w:jc w:val="center"/>
              <w:outlineLvl w:val="1"/>
            </w:pPr>
            <w:r>
              <w:t>Target</w:t>
            </w:r>
          </w:p>
        </w:tc>
      </w:tr>
      <w:tr w:rsidR="00F177C5" w14:paraId="24423B55" w14:textId="77777777" w:rsidTr="0027660B">
        <w:tc>
          <w:tcPr>
            <w:tcW w:w="1048" w:type="dxa"/>
          </w:tcPr>
          <w:p w14:paraId="2A4C5F70" w14:textId="77777777" w:rsidR="00F177C5" w:rsidRDefault="00F177C5" w:rsidP="00F177C5">
            <w:pPr>
              <w:pStyle w:val="Heading2"/>
              <w:numPr>
                <w:ilvl w:val="0"/>
                <w:numId w:val="0"/>
              </w:numPr>
              <w:jc w:val="center"/>
              <w:outlineLvl w:val="1"/>
            </w:pPr>
            <w:r>
              <w:t>1</w:t>
            </w:r>
          </w:p>
        </w:tc>
        <w:tc>
          <w:tcPr>
            <w:tcW w:w="1771" w:type="dxa"/>
          </w:tcPr>
          <w:p w14:paraId="4EF61258" w14:textId="77777777" w:rsidR="00F177C5" w:rsidRDefault="00F177C5" w:rsidP="00F177C5">
            <w:pPr>
              <w:pStyle w:val="Heading2"/>
              <w:numPr>
                <w:ilvl w:val="0"/>
                <w:numId w:val="0"/>
              </w:numPr>
              <w:jc w:val="left"/>
              <w:outlineLvl w:val="1"/>
            </w:pPr>
            <w:r>
              <w:t>Delivery Timescales</w:t>
            </w:r>
          </w:p>
        </w:tc>
        <w:tc>
          <w:tcPr>
            <w:tcW w:w="3827" w:type="dxa"/>
          </w:tcPr>
          <w:p w14:paraId="512A9ED2" w14:textId="043CF7FD" w:rsidR="00F177C5" w:rsidRDefault="00F177C5" w:rsidP="0027660B">
            <w:pPr>
              <w:pStyle w:val="Heading2"/>
              <w:numPr>
                <w:ilvl w:val="0"/>
                <w:numId w:val="0"/>
              </w:numPr>
              <w:jc w:val="left"/>
              <w:outlineLvl w:val="1"/>
            </w:pPr>
            <w:r>
              <w:t>De</w:t>
            </w:r>
            <w:r w:rsidR="0027660B">
              <w:t>livery of draft documentation for review and agreement by 17</w:t>
            </w:r>
            <w:r w:rsidR="0027660B" w:rsidRPr="0027660B">
              <w:rPr>
                <w:vertAlign w:val="superscript"/>
              </w:rPr>
              <w:t>th</w:t>
            </w:r>
            <w:r w:rsidR="0027660B">
              <w:t xml:space="preserve"> March</w:t>
            </w:r>
          </w:p>
        </w:tc>
        <w:tc>
          <w:tcPr>
            <w:tcW w:w="1653" w:type="dxa"/>
          </w:tcPr>
          <w:p w14:paraId="6B1BCADC" w14:textId="47C49ABF" w:rsidR="00F177C5" w:rsidRDefault="0027660B" w:rsidP="00F177C5">
            <w:pPr>
              <w:pStyle w:val="Heading2"/>
              <w:numPr>
                <w:ilvl w:val="0"/>
                <w:numId w:val="0"/>
              </w:numPr>
              <w:outlineLvl w:val="1"/>
            </w:pPr>
            <w:r>
              <w:t>80%</w:t>
            </w:r>
          </w:p>
        </w:tc>
      </w:tr>
      <w:tr w:rsidR="0027660B" w14:paraId="4E8B7A15" w14:textId="77777777" w:rsidTr="0027660B">
        <w:tc>
          <w:tcPr>
            <w:tcW w:w="1048" w:type="dxa"/>
          </w:tcPr>
          <w:p w14:paraId="1BEAE474" w14:textId="77777777" w:rsidR="0027660B" w:rsidRDefault="0027660B" w:rsidP="00F177C5">
            <w:pPr>
              <w:pStyle w:val="Heading2"/>
              <w:numPr>
                <w:ilvl w:val="0"/>
                <w:numId w:val="0"/>
              </w:numPr>
              <w:jc w:val="center"/>
              <w:outlineLvl w:val="1"/>
            </w:pPr>
            <w:r>
              <w:t>2</w:t>
            </w:r>
          </w:p>
        </w:tc>
        <w:tc>
          <w:tcPr>
            <w:tcW w:w="1771" w:type="dxa"/>
          </w:tcPr>
          <w:p w14:paraId="1D4AEEF0" w14:textId="70B80A08" w:rsidR="0027660B" w:rsidRDefault="0027660B" w:rsidP="00F177C5">
            <w:pPr>
              <w:pStyle w:val="Heading2"/>
              <w:numPr>
                <w:ilvl w:val="0"/>
                <w:numId w:val="0"/>
              </w:numPr>
              <w:outlineLvl w:val="1"/>
            </w:pPr>
            <w:r>
              <w:t>Delivery Timescales</w:t>
            </w:r>
          </w:p>
        </w:tc>
        <w:tc>
          <w:tcPr>
            <w:tcW w:w="3827" w:type="dxa"/>
          </w:tcPr>
          <w:p w14:paraId="5EBD3AE3" w14:textId="5CE4B093" w:rsidR="0027660B" w:rsidRDefault="0027660B" w:rsidP="00F177C5">
            <w:pPr>
              <w:pStyle w:val="Heading2"/>
              <w:numPr>
                <w:ilvl w:val="0"/>
                <w:numId w:val="0"/>
              </w:numPr>
              <w:jc w:val="left"/>
              <w:outlineLvl w:val="1"/>
            </w:pPr>
            <w:r>
              <w:t>Delivery of final Category map showing all outputs (as identified at Section 5) by 24</w:t>
            </w:r>
            <w:r w:rsidRPr="00621926">
              <w:rPr>
                <w:vertAlign w:val="superscript"/>
              </w:rPr>
              <w:t>th</w:t>
            </w:r>
            <w:r>
              <w:t xml:space="preserve"> March 2017.</w:t>
            </w:r>
          </w:p>
        </w:tc>
        <w:tc>
          <w:tcPr>
            <w:tcW w:w="1653" w:type="dxa"/>
          </w:tcPr>
          <w:p w14:paraId="1C88FE2B" w14:textId="77777777" w:rsidR="0027660B" w:rsidRDefault="0027660B" w:rsidP="00F177C5">
            <w:pPr>
              <w:pStyle w:val="Heading2"/>
              <w:numPr>
                <w:ilvl w:val="0"/>
                <w:numId w:val="0"/>
              </w:numPr>
              <w:outlineLvl w:val="1"/>
            </w:pPr>
            <w:r>
              <w:t>100%</w:t>
            </w:r>
          </w:p>
        </w:tc>
      </w:tr>
      <w:tr w:rsidR="0027660B" w14:paraId="2AF6BC70" w14:textId="77777777" w:rsidTr="0027660B">
        <w:tc>
          <w:tcPr>
            <w:tcW w:w="1048" w:type="dxa"/>
          </w:tcPr>
          <w:p w14:paraId="57D755E3" w14:textId="77777777" w:rsidR="0027660B" w:rsidRDefault="0027660B" w:rsidP="00F177C5">
            <w:pPr>
              <w:pStyle w:val="Heading2"/>
              <w:numPr>
                <w:ilvl w:val="0"/>
                <w:numId w:val="0"/>
              </w:numPr>
              <w:jc w:val="center"/>
              <w:outlineLvl w:val="1"/>
            </w:pPr>
            <w:r>
              <w:t>3</w:t>
            </w:r>
          </w:p>
        </w:tc>
        <w:tc>
          <w:tcPr>
            <w:tcW w:w="1771" w:type="dxa"/>
          </w:tcPr>
          <w:p w14:paraId="7B06D2A2" w14:textId="3CD38499" w:rsidR="0027660B" w:rsidRDefault="0027660B" w:rsidP="00F177C5">
            <w:pPr>
              <w:pStyle w:val="Heading2"/>
              <w:numPr>
                <w:ilvl w:val="0"/>
                <w:numId w:val="0"/>
              </w:numPr>
              <w:outlineLvl w:val="1"/>
            </w:pPr>
            <w:r>
              <w:t>Delivery Timescales</w:t>
            </w:r>
          </w:p>
        </w:tc>
        <w:tc>
          <w:tcPr>
            <w:tcW w:w="3827" w:type="dxa"/>
          </w:tcPr>
          <w:p w14:paraId="4FCB83A4" w14:textId="2ACE6B32" w:rsidR="0027660B" w:rsidRDefault="0027660B" w:rsidP="00F177C5">
            <w:pPr>
              <w:pStyle w:val="Heading2"/>
              <w:numPr>
                <w:ilvl w:val="0"/>
                <w:numId w:val="0"/>
              </w:numPr>
              <w:jc w:val="left"/>
              <w:outlineLvl w:val="1"/>
            </w:pPr>
            <w:r>
              <w:t>Delivery of final 18month plan of departmental projects and procurements by 24</w:t>
            </w:r>
            <w:r w:rsidRPr="00621926">
              <w:rPr>
                <w:vertAlign w:val="superscript"/>
              </w:rPr>
              <w:t>th</w:t>
            </w:r>
            <w:r>
              <w:t xml:space="preserve"> March 2017.</w:t>
            </w:r>
          </w:p>
        </w:tc>
        <w:tc>
          <w:tcPr>
            <w:tcW w:w="1653" w:type="dxa"/>
          </w:tcPr>
          <w:p w14:paraId="4D860EE8" w14:textId="77777777" w:rsidR="0027660B" w:rsidRDefault="0027660B" w:rsidP="00F177C5">
            <w:pPr>
              <w:pStyle w:val="Heading2"/>
              <w:numPr>
                <w:ilvl w:val="0"/>
                <w:numId w:val="0"/>
              </w:numPr>
              <w:outlineLvl w:val="1"/>
            </w:pPr>
            <w:r>
              <w:t>100%</w:t>
            </w:r>
          </w:p>
        </w:tc>
      </w:tr>
      <w:tr w:rsidR="0027660B" w14:paraId="00709353" w14:textId="77777777" w:rsidTr="0027660B">
        <w:tc>
          <w:tcPr>
            <w:tcW w:w="1048" w:type="dxa"/>
          </w:tcPr>
          <w:p w14:paraId="56A7EC94" w14:textId="77777777" w:rsidR="0027660B" w:rsidRDefault="0027660B" w:rsidP="00F177C5">
            <w:pPr>
              <w:pStyle w:val="Heading2"/>
              <w:numPr>
                <w:ilvl w:val="0"/>
                <w:numId w:val="0"/>
              </w:numPr>
              <w:jc w:val="center"/>
              <w:outlineLvl w:val="1"/>
            </w:pPr>
            <w:r>
              <w:t>4</w:t>
            </w:r>
          </w:p>
        </w:tc>
        <w:tc>
          <w:tcPr>
            <w:tcW w:w="1771" w:type="dxa"/>
          </w:tcPr>
          <w:p w14:paraId="032BC615" w14:textId="4BF329BE" w:rsidR="0027660B" w:rsidRDefault="0027660B" w:rsidP="00F177C5">
            <w:pPr>
              <w:pStyle w:val="Heading2"/>
              <w:numPr>
                <w:ilvl w:val="0"/>
                <w:numId w:val="0"/>
              </w:numPr>
              <w:outlineLvl w:val="1"/>
            </w:pPr>
            <w:r>
              <w:t>Delivery Timescales</w:t>
            </w:r>
          </w:p>
        </w:tc>
        <w:tc>
          <w:tcPr>
            <w:tcW w:w="3827" w:type="dxa"/>
          </w:tcPr>
          <w:p w14:paraId="415ABEB7" w14:textId="4A9529ED" w:rsidR="0027660B" w:rsidRDefault="0027660B" w:rsidP="00F177C5">
            <w:pPr>
              <w:pStyle w:val="Heading2"/>
              <w:numPr>
                <w:ilvl w:val="0"/>
                <w:numId w:val="0"/>
              </w:numPr>
              <w:jc w:val="left"/>
              <w:outlineLvl w:val="1"/>
            </w:pPr>
            <w:r>
              <w:t>Delivery of all raw data, including interview notes etc. by 24</w:t>
            </w:r>
            <w:r w:rsidRPr="003C43DE">
              <w:rPr>
                <w:vertAlign w:val="superscript"/>
              </w:rPr>
              <w:t>th</w:t>
            </w:r>
            <w:r>
              <w:t xml:space="preserve"> March 2017.</w:t>
            </w:r>
          </w:p>
        </w:tc>
        <w:tc>
          <w:tcPr>
            <w:tcW w:w="1653" w:type="dxa"/>
          </w:tcPr>
          <w:p w14:paraId="515336F7" w14:textId="77777777" w:rsidR="0027660B" w:rsidRDefault="0027660B" w:rsidP="00F177C5">
            <w:pPr>
              <w:pStyle w:val="Heading2"/>
              <w:numPr>
                <w:ilvl w:val="0"/>
                <w:numId w:val="0"/>
              </w:numPr>
              <w:outlineLvl w:val="1"/>
            </w:pPr>
            <w:r>
              <w:t>100%</w:t>
            </w:r>
          </w:p>
        </w:tc>
      </w:tr>
      <w:tr w:rsidR="0027660B" w14:paraId="0EB1254D" w14:textId="77777777" w:rsidTr="0027660B">
        <w:tc>
          <w:tcPr>
            <w:tcW w:w="1048" w:type="dxa"/>
          </w:tcPr>
          <w:p w14:paraId="1392FCCA" w14:textId="2CF32659" w:rsidR="0027660B" w:rsidRDefault="0027660B" w:rsidP="008E2D82">
            <w:pPr>
              <w:pStyle w:val="Heading2"/>
              <w:numPr>
                <w:ilvl w:val="0"/>
                <w:numId w:val="0"/>
              </w:numPr>
              <w:jc w:val="center"/>
              <w:outlineLvl w:val="1"/>
            </w:pPr>
            <w:r>
              <w:t>5</w:t>
            </w:r>
          </w:p>
        </w:tc>
        <w:tc>
          <w:tcPr>
            <w:tcW w:w="1771" w:type="dxa"/>
          </w:tcPr>
          <w:p w14:paraId="08F87F78" w14:textId="007720FC" w:rsidR="0027660B" w:rsidRDefault="0027660B" w:rsidP="008E2D82">
            <w:pPr>
              <w:pStyle w:val="Heading2"/>
              <w:numPr>
                <w:ilvl w:val="0"/>
                <w:numId w:val="0"/>
              </w:numPr>
              <w:outlineLvl w:val="1"/>
            </w:pPr>
            <w:r>
              <w:t>Interviews</w:t>
            </w:r>
          </w:p>
        </w:tc>
        <w:tc>
          <w:tcPr>
            <w:tcW w:w="3827" w:type="dxa"/>
          </w:tcPr>
          <w:p w14:paraId="403EC6E8" w14:textId="7A60C12F" w:rsidR="0027660B" w:rsidRDefault="0027660B" w:rsidP="008E2D82">
            <w:pPr>
              <w:pStyle w:val="Heading2"/>
              <w:numPr>
                <w:ilvl w:val="0"/>
                <w:numId w:val="0"/>
              </w:numPr>
              <w:jc w:val="left"/>
              <w:outlineLvl w:val="1"/>
            </w:pPr>
            <w:r>
              <w:t xml:space="preserve">Interviews conducted with all seven nominated departments in </w:t>
            </w:r>
            <w:r>
              <w:lastRenderedPageBreak/>
              <w:t>accordance with the activity schedule.</w:t>
            </w:r>
          </w:p>
        </w:tc>
        <w:tc>
          <w:tcPr>
            <w:tcW w:w="1653" w:type="dxa"/>
          </w:tcPr>
          <w:p w14:paraId="4361817B" w14:textId="074A5B6B" w:rsidR="0027660B" w:rsidRDefault="0027660B" w:rsidP="008E2D82">
            <w:pPr>
              <w:pStyle w:val="Heading2"/>
              <w:numPr>
                <w:ilvl w:val="0"/>
                <w:numId w:val="0"/>
              </w:numPr>
              <w:outlineLvl w:val="1"/>
            </w:pPr>
            <w:r>
              <w:lastRenderedPageBreak/>
              <w:t>100%</w:t>
            </w:r>
          </w:p>
        </w:tc>
      </w:tr>
    </w:tbl>
    <w:p w14:paraId="1CCCA869" w14:textId="56B670AD" w:rsidR="00A6171F" w:rsidRDefault="00A6171F">
      <w:pPr>
        <w:pStyle w:val="Heading2"/>
        <w:numPr>
          <w:ilvl w:val="0"/>
          <w:numId w:val="0"/>
        </w:numPr>
      </w:pPr>
    </w:p>
    <w:p w14:paraId="3F767EF8" w14:textId="77777777" w:rsidR="00671798" w:rsidRDefault="00FE18AC">
      <w:pPr>
        <w:pStyle w:val="Heading1"/>
        <w:spacing w:after="120"/>
      </w:pPr>
      <w:bookmarkStart w:id="32" w:name="_Toc368573040"/>
      <w:bookmarkStart w:id="33" w:name="_Toc472937596"/>
      <w:r>
        <w:t>Security requirements</w:t>
      </w:r>
      <w:bookmarkEnd w:id="32"/>
      <w:bookmarkEnd w:id="33"/>
    </w:p>
    <w:p w14:paraId="3FF1BF98" w14:textId="47B88619" w:rsidR="00671798" w:rsidRPr="0058666C" w:rsidRDefault="00F52418">
      <w:pPr>
        <w:pStyle w:val="Heading2"/>
        <w:tabs>
          <w:tab w:val="clear" w:pos="720"/>
          <w:tab w:val="num" w:pos="709"/>
        </w:tabs>
        <w:spacing w:after="120"/>
        <w:ind w:left="709" w:hanging="709"/>
      </w:pPr>
      <w:r>
        <w:t xml:space="preserve">Not applicable as the provider will be escorted where access to </w:t>
      </w:r>
      <w:r w:rsidR="00C23C3A">
        <w:t>departm</w:t>
      </w:r>
      <w:r>
        <w:t>ental buildings is required</w:t>
      </w:r>
      <w:r w:rsidR="00C23C3A">
        <w:t>.</w:t>
      </w:r>
    </w:p>
    <w:p w14:paraId="24C5F5E0" w14:textId="77777777" w:rsidR="00183DAF" w:rsidRPr="00BF7748"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41"/>
      <w:bookmarkStart w:id="35" w:name="_Toc472937597"/>
      <w:r>
        <w:rPr>
          <w:rFonts w:cs="Arial"/>
          <w:szCs w:val="22"/>
        </w:rPr>
        <w:t>int</w:t>
      </w:r>
      <w:r w:rsidRPr="00BF7748">
        <w:rPr>
          <w:rFonts w:cs="Arial"/>
          <w:szCs w:val="22"/>
        </w:rPr>
        <w:t>ellectual property rights (ipr)</w:t>
      </w:r>
      <w:bookmarkEnd w:id="34"/>
      <w:bookmarkEnd w:id="35"/>
    </w:p>
    <w:p w14:paraId="1F156070" w14:textId="5A51E47F" w:rsidR="00176CBE" w:rsidRPr="0082507A" w:rsidRDefault="001473AD" w:rsidP="001473AD">
      <w:pPr>
        <w:pStyle w:val="Heading2"/>
        <w:rPr>
          <w:rFonts w:cs="Arial"/>
          <w:szCs w:val="22"/>
        </w:rPr>
      </w:pPr>
      <w:r w:rsidRPr="0082507A">
        <w:t>All intellectual property rights in</w:t>
      </w:r>
      <w:r w:rsidR="0082507A" w:rsidRPr="0082507A">
        <w:t xml:space="preserve"> any materials provided by the P</w:t>
      </w:r>
      <w:r w:rsidRPr="0082507A">
        <w:t xml:space="preserve">rovider to the CCS for the purposes of this Agreement shall remain the property of the provider, but the provider grants CCS a royalty-free, non-exclusive and non-transferable licence. As per Section 9.1 of the Appendix C Contract Document terms and conditions. </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472937598"/>
      <w:bookmarkStart w:id="37" w:name="_Toc368573042"/>
      <w:r w:rsidRPr="00874062">
        <w:rPr>
          <w:rFonts w:cs="Arial"/>
          <w:szCs w:val="22"/>
        </w:rPr>
        <w:t>payment</w:t>
      </w:r>
      <w:bookmarkEnd w:id="36"/>
    </w:p>
    <w:p w14:paraId="042CA45C" w14:textId="77777777" w:rsidR="00331523" w:rsidRPr="00860A14" w:rsidRDefault="0036555C" w:rsidP="0081061A">
      <w:pPr>
        <w:pStyle w:val="Heading2"/>
        <w:rPr>
          <w:szCs w:val="22"/>
        </w:rPr>
      </w:pPr>
      <w:r w:rsidRPr="00860A14">
        <w:rPr>
          <w:rFonts w:cs="Arial"/>
          <w:color w:val="000000"/>
          <w:szCs w:val="22"/>
          <w:shd w:val="clear" w:color="auto" w:fill="FFFFFF"/>
        </w:rPr>
        <w:t xml:space="preserve">Payment can only be made following satisfactory delivery of pre-agreed certified products and deliverables. </w:t>
      </w:r>
    </w:p>
    <w:p w14:paraId="28B41D85" w14:textId="3FAA0882" w:rsidR="0036555C" w:rsidRPr="00860A14" w:rsidRDefault="0036555C" w:rsidP="0081061A">
      <w:pPr>
        <w:pStyle w:val="Heading2"/>
        <w:rPr>
          <w:szCs w:val="22"/>
        </w:rPr>
      </w:pPr>
      <w:r w:rsidRPr="00860A14">
        <w:rPr>
          <w:rFonts w:cs="Arial"/>
          <w:color w:val="000000"/>
          <w:szCs w:val="22"/>
          <w:shd w:val="clear" w:color="auto" w:fill="FFFFFF"/>
        </w:rPr>
        <w:t xml:space="preserve">Before payment can be considered, each invoice must include a detailed elemental breakdown of work completed and the associated costs. </w:t>
      </w:r>
    </w:p>
    <w:p w14:paraId="04BBE808" w14:textId="77777777" w:rsidR="00671798" w:rsidRDefault="00FE18AC">
      <w:pPr>
        <w:pStyle w:val="Heading1"/>
        <w:spacing w:after="120"/>
      </w:pPr>
      <w:bookmarkStart w:id="38" w:name="_Toc368573043"/>
      <w:bookmarkStart w:id="39" w:name="_Toc472937599"/>
      <w:bookmarkEnd w:id="18"/>
      <w:bookmarkEnd w:id="37"/>
      <w:r w:rsidRPr="00F61670">
        <w:t>Location</w:t>
      </w:r>
      <w:bookmarkEnd w:id="38"/>
      <w:bookmarkEnd w:id="39"/>
      <w:r w:rsidRPr="00F61670">
        <w:t xml:space="preserve"> </w:t>
      </w:r>
    </w:p>
    <w:p w14:paraId="77370DA9" w14:textId="10675738" w:rsidR="00C23C3A" w:rsidRDefault="00C23C3A" w:rsidP="00C23C3A">
      <w:pPr>
        <w:pStyle w:val="Heading2"/>
      </w:pPr>
      <w:r>
        <w:t xml:space="preserve">The base location of the services will be the </w:t>
      </w:r>
      <w:r w:rsidR="001A5A0D">
        <w:t xml:space="preserve">CCS offices in Aviation House, </w:t>
      </w:r>
      <w:r>
        <w:t xml:space="preserve">London due to the proximity to various Departmental buildings, though some travel to Norwich may be required. The addresses are provided below. </w:t>
      </w:r>
      <w:r w:rsidRPr="00FE5539">
        <w:t>Locations away from the base location can incur T&amp;S</w:t>
      </w:r>
      <w:r>
        <w:t>,</w:t>
      </w:r>
      <w:r w:rsidRPr="00FE5539">
        <w:t xml:space="preserve"> which should be </w:t>
      </w:r>
      <w:r>
        <w:t>charged in line with CCS</w:t>
      </w:r>
      <w:r w:rsidRPr="00FE5539">
        <w:t xml:space="preserve"> polic</w:t>
      </w:r>
      <w:r w:rsidR="005C7412">
        <w:t xml:space="preserve">y, which is provided below: </w:t>
      </w:r>
    </w:p>
    <w:bookmarkStart w:id="40" w:name="_MON_1546755925"/>
    <w:bookmarkEnd w:id="40"/>
    <w:p w14:paraId="542E545D" w14:textId="77777777" w:rsidR="005C7412" w:rsidRDefault="005C7412" w:rsidP="005C7412">
      <w:pPr>
        <w:pStyle w:val="Heading1"/>
        <w:numPr>
          <w:ilvl w:val="0"/>
          <w:numId w:val="0"/>
        </w:numPr>
        <w:ind w:left="720"/>
      </w:pPr>
      <w:r>
        <w:object w:dxaOrig="1577" w:dyaOrig="1030" w14:anchorId="75819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5pt" o:ole="">
            <v:imagedata r:id="rId8" o:title=""/>
          </v:shape>
          <o:OLEObject Type="Embed" ProgID="Word.Document.12" ShapeID="_x0000_i1025" DrawAspect="Icon" ObjectID="_1546927288" r:id="rId9">
            <o:FieldCodes>\s</o:FieldCodes>
          </o:OLEObject>
        </w:object>
      </w:r>
    </w:p>
    <w:p w14:paraId="16140602" w14:textId="77777777" w:rsidR="00C23C3A" w:rsidRDefault="00C23C3A" w:rsidP="00C23C3A">
      <w:pPr>
        <w:pStyle w:val="Heading3"/>
      </w:pPr>
      <w:r>
        <w:t>Aviation House, 125 Kingsway, London, WC2B 6NH</w:t>
      </w:r>
    </w:p>
    <w:p w14:paraId="57378F3B" w14:textId="55CC9308" w:rsidR="00C23C3A" w:rsidRPr="00C23C3A" w:rsidRDefault="00C23C3A" w:rsidP="00C23C3A">
      <w:pPr>
        <w:pStyle w:val="Heading3"/>
      </w:pPr>
      <w:r w:rsidRPr="00C23C3A">
        <w:t>Rosebery Court, St Andrews Business Park, Norwich, NR7 OHS</w:t>
      </w:r>
    </w:p>
    <w:p w14:paraId="4D473654" w14:textId="0A24C8FC" w:rsidR="00C23C3A" w:rsidRPr="00C23C3A" w:rsidRDefault="00C23C3A">
      <w:pPr>
        <w:pStyle w:val="Heading1"/>
        <w:spacing w:after="120"/>
      </w:pPr>
      <w:bookmarkStart w:id="41" w:name="_Toc472937600"/>
      <w:r w:rsidRPr="00C23C3A">
        <w:t>Budget</w:t>
      </w:r>
      <w:bookmarkEnd w:id="41"/>
    </w:p>
    <w:p w14:paraId="56E54D25" w14:textId="0AD8E4E0" w:rsidR="002F7AA1" w:rsidRPr="002F4D97" w:rsidRDefault="00FE18AC" w:rsidP="0082507A">
      <w:pPr>
        <w:pStyle w:val="Heading2"/>
      </w:pPr>
      <w:r w:rsidRPr="00C23C3A">
        <w:t xml:space="preserve">The </w:t>
      </w:r>
      <w:r w:rsidR="00C23C3A" w:rsidRPr="00C23C3A">
        <w:t>budget for this work is no more than £20,000</w:t>
      </w:r>
      <w:r w:rsidR="00F52418">
        <w:t xml:space="preserve"> excluding VAT. </w:t>
      </w:r>
      <w:bookmarkStart w:id="42" w:name="_GoBack"/>
      <w:bookmarkEnd w:id="42"/>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37030" w14:textId="77777777" w:rsidR="001D372D" w:rsidRDefault="001D372D">
      <w:pPr>
        <w:spacing w:line="20" w:lineRule="exact"/>
      </w:pPr>
    </w:p>
  </w:endnote>
  <w:endnote w:type="continuationSeparator" w:id="0">
    <w:p w14:paraId="1FD40932" w14:textId="77777777" w:rsidR="001D372D" w:rsidRDefault="001D372D">
      <w:pPr>
        <w:spacing w:line="20" w:lineRule="exact"/>
      </w:pPr>
      <w:r>
        <w:t xml:space="preserve"> </w:t>
      </w:r>
    </w:p>
  </w:endnote>
  <w:endnote w:type="continuationNotice" w:id="1">
    <w:p w14:paraId="32BB6267" w14:textId="77777777" w:rsidR="001D372D" w:rsidRDefault="001D372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B574A6" w:rsidRDefault="00B574A6"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9F6C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B574A6" w:rsidRPr="00985B4D" w:rsidRDefault="00B574A6" w:rsidP="00985B4D">
        <w:pPr>
          <w:pStyle w:val="Footer"/>
          <w:jc w:val="center"/>
          <w:rPr>
            <w:sz w:val="20"/>
            <w:szCs w:val="20"/>
          </w:rPr>
        </w:pPr>
        <w:r w:rsidRPr="00985B4D">
          <w:rPr>
            <w:sz w:val="20"/>
            <w:szCs w:val="20"/>
          </w:rPr>
          <w:t>OFFICIAL</w:t>
        </w:r>
      </w:p>
      <w:p w14:paraId="7F67DA18" w14:textId="11B3DC9A" w:rsidR="00B574A6" w:rsidRPr="00860A14" w:rsidRDefault="00B574A6">
        <w:pPr>
          <w:pStyle w:val="Footer"/>
          <w:rPr>
            <w:sz w:val="20"/>
            <w:szCs w:val="20"/>
          </w:rPr>
        </w:pPr>
        <w:r w:rsidRPr="00985B4D">
          <w:rPr>
            <w:sz w:val="20"/>
            <w:szCs w:val="20"/>
          </w:rPr>
          <w:t xml:space="preserve">Appendix </w:t>
        </w:r>
        <w:r w:rsidRPr="00860A14">
          <w:rPr>
            <w:sz w:val="20"/>
            <w:szCs w:val="20"/>
          </w:rPr>
          <w:t>B – Statement of Requirements</w:t>
        </w:r>
      </w:p>
      <w:p w14:paraId="5D89FCCB" w14:textId="00DFD01D" w:rsidR="00B574A6" w:rsidRDefault="00B574A6">
        <w:pPr>
          <w:pStyle w:val="Footer"/>
          <w:rPr>
            <w:sz w:val="20"/>
            <w:szCs w:val="20"/>
          </w:rPr>
        </w:pPr>
        <w:r>
          <w:rPr>
            <w:sz w:val="20"/>
            <w:szCs w:val="20"/>
          </w:rPr>
          <w:t>Julia Aldous</w:t>
        </w:r>
      </w:p>
      <w:p w14:paraId="1CB7D5DC" w14:textId="191B7152" w:rsidR="00B574A6" w:rsidRPr="00985B4D" w:rsidRDefault="00B574A6">
        <w:pPr>
          <w:pStyle w:val="Footer"/>
          <w:rPr>
            <w:sz w:val="20"/>
            <w:szCs w:val="20"/>
          </w:rPr>
        </w:pPr>
        <w:r>
          <w:rPr>
            <w:rFonts w:cs="Arial"/>
            <w:color w:val="222222"/>
            <w:sz w:val="19"/>
            <w:szCs w:val="19"/>
            <w:shd w:val="clear" w:color="auto" w:fill="FFFFFF"/>
          </w:rPr>
          <w:t>© Crown copyright 2016</w:t>
        </w:r>
      </w:p>
      <w:p w14:paraId="42D6E6E6" w14:textId="44643AD1" w:rsidR="00B574A6" w:rsidRPr="00985B4D" w:rsidRDefault="00B574A6" w:rsidP="00985B4D">
        <w:pPr>
          <w:pStyle w:val="Footer"/>
          <w:jc w:val="right"/>
          <w:rPr>
            <w:sz w:val="20"/>
            <w:szCs w:val="20"/>
          </w:rPr>
        </w:pPr>
        <w:r>
          <w:rPr>
            <w:sz w:val="20"/>
            <w:szCs w:val="20"/>
          </w:rPr>
          <w:t>V1.0 17</w:t>
        </w:r>
        <w:r w:rsidRPr="00B72F7C">
          <w:rPr>
            <w:sz w:val="20"/>
            <w:szCs w:val="20"/>
            <w:vertAlign w:val="superscript"/>
          </w:rPr>
          <w:t>th</w:t>
        </w:r>
        <w:r>
          <w:rPr>
            <w:sz w:val="20"/>
            <w:szCs w:val="20"/>
          </w:rPr>
          <w:t xml:space="preserve"> January 2017</w:t>
        </w:r>
      </w:p>
      <w:p w14:paraId="5214230D" w14:textId="4ECA52CA" w:rsidR="00B574A6" w:rsidRDefault="00B574A6"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82507A">
          <w:rPr>
            <w:noProof/>
            <w:sz w:val="20"/>
            <w:szCs w:val="20"/>
          </w:rPr>
          <w:t>7</w:t>
        </w:r>
        <w:r w:rsidRPr="00985B4D">
          <w:rPr>
            <w:noProof/>
            <w:sz w:val="20"/>
            <w:szCs w:val="20"/>
          </w:rPr>
          <w:fldChar w:fldCharType="end"/>
        </w:r>
      </w:p>
    </w:sdtContent>
  </w:sdt>
  <w:p w14:paraId="6CEF1DBF" w14:textId="77777777" w:rsidR="00B574A6" w:rsidRPr="002933F8" w:rsidRDefault="00B574A6"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D1D49" w14:textId="77777777" w:rsidR="001D372D" w:rsidRDefault="001D372D">
      <w:r>
        <w:separator/>
      </w:r>
    </w:p>
  </w:footnote>
  <w:footnote w:type="continuationSeparator" w:id="0">
    <w:p w14:paraId="1282D1BB" w14:textId="77777777" w:rsidR="001D372D" w:rsidRDefault="001D372D">
      <w:r>
        <w:continuationSeparator/>
      </w:r>
    </w:p>
  </w:footnote>
  <w:footnote w:type="continuationNotice" w:id="1">
    <w:p w14:paraId="0F4CE83C" w14:textId="77777777" w:rsidR="001D372D" w:rsidRDefault="001D37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B574A6" w:rsidRPr="00F44D62" w:rsidRDefault="00B574A6"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B574A6" w:rsidRPr="00C55634" w:rsidRDefault="00B574A6" w:rsidP="00985B4D">
    <w:pPr>
      <w:tabs>
        <w:tab w:val="center" w:pos="4153"/>
        <w:tab w:val="right" w:pos="8306"/>
      </w:tabs>
      <w:ind w:left="720"/>
      <w:jc w:val="center"/>
      <w:rPr>
        <w:szCs w:val="22"/>
      </w:rPr>
    </w:pPr>
    <w:r w:rsidRPr="00C55634">
      <w:rPr>
        <w:szCs w:val="22"/>
      </w:rPr>
      <w:t>Appendix B – Statement of Requirements</w:t>
    </w:r>
  </w:p>
  <w:p w14:paraId="3F97785F" w14:textId="2687510B" w:rsidR="00B574A6" w:rsidRPr="00C55634" w:rsidRDefault="00B574A6" w:rsidP="00B80434">
    <w:pPr>
      <w:tabs>
        <w:tab w:val="center" w:pos="4153"/>
        <w:tab w:val="right" w:pos="8306"/>
      </w:tabs>
      <w:ind w:left="720"/>
      <w:jc w:val="center"/>
      <w:rPr>
        <w:szCs w:val="22"/>
      </w:rPr>
    </w:pPr>
    <w:r w:rsidRPr="00C55634">
      <w:rPr>
        <w:szCs w:val="22"/>
      </w:rPr>
      <w:t>Provision of Consultancy for CCS</w:t>
    </w:r>
  </w:p>
  <w:p w14:paraId="7997F596" w14:textId="40EA72E8" w:rsidR="00B574A6" w:rsidRPr="00C55634" w:rsidRDefault="00B574A6" w:rsidP="0029171F">
    <w:pPr>
      <w:tabs>
        <w:tab w:val="center" w:pos="4153"/>
        <w:tab w:val="right" w:pos="8306"/>
      </w:tabs>
      <w:ind w:left="720"/>
      <w:jc w:val="center"/>
      <w:rPr>
        <w:rFonts w:cs="Arial"/>
        <w:szCs w:val="22"/>
        <w:highlight w:val="yellow"/>
      </w:rPr>
    </w:pPr>
    <w:r w:rsidRPr="00C55634">
      <w:rPr>
        <w:szCs w:val="22"/>
      </w:rPr>
      <w:t>Identifying areas where SMEs can add value</w:t>
    </w:r>
  </w:p>
  <w:p w14:paraId="3CFCFA88" w14:textId="29C381B0" w:rsidR="00B574A6" w:rsidRPr="00C55634" w:rsidRDefault="00B574A6" w:rsidP="005334EA">
    <w:pPr>
      <w:tabs>
        <w:tab w:val="center" w:pos="4153"/>
        <w:tab w:val="right" w:pos="8306"/>
      </w:tabs>
      <w:ind w:left="720"/>
      <w:jc w:val="center"/>
      <w:rPr>
        <w:szCs w:val="22"/>
      </w:rPr>
    </w:pPr>
    <w:r w:rsidRPr="00C55634">
      <w:rPr>
        <w:rFonts w:cs="Arial"/>
        <w:szCs w:val="22"/>
      </w:rPr>
      <w:t>Contract Reference: CCCC17A03</w:t>
    </w:r>
  </w:p>
  <w:p w14:paraId="605B3446" w14:textId="1C5596A0" w:rsidR="00B574A6" w:rsidRPr="009D0EAE" w:rsidRDefault="00B574A6" w:rsidP="00F946AC">
    <w:pPr>
      <w:pStyle w:val="Header"/>
      <w:jc w:val="center"/>
      <w:rPr>
        <w:rFonts w:cs="Arial"/>
        <w:sz w:val="20"/>
        <w:szCs w:val="20"/>
        <w:highlight w:val="yellow"/>
      </w:rPr>
    </w:pPr>
  </w:p>
  <w:p w14:paraId="6F1572B1" w14:textId="45CD0517" w:rsidR="00B574A6" w:rsidRPr="00074357" w:rsidRDefault="00B574A6"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65FF03"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1E71EF"/>
    <w:multiLevelType w:val="multilevel"/>
    <w:tmpl w:val="4BE0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9337D1"/>
    <w:multiLevelType w:val="multilevel"/>
    <w:tmpl w:val="3B7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693E8B"/>
    <w:multiLevelType w:val="multilevel"/>
    <w:tmpl w:val="1432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52E2C16"/>
    <w:multiLevelType w:val="multilevel"/>
    <w:tmpl w:val="2086F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50965CCA"/>
    <w:multiLevelType w:val="multilevel"/>
    <w:tmpl w:val="1332CCD4"/>
    <w:name w:val="Appendicies Heading List"/>
    <w:numStyleLink w:val="111111"/>
  </w:abstractNum>
  <w:abstractNum w:abstractNumId="28"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4DD6FD4"/>
    <w:multiLevelType w:val="multilevel"/>
    <w:tmpl w:val="BFB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419EC"/>
    <w:multiLevelType w:val="hybridMultilevel"/>
    <w:tmpl w:val="4320B7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67A20CA5"/>
    <w:multiLevelType w:val="multilevel"/>
    <w:tmpl w:val="7D8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8"/>
  </w:num>
  <w:num w:numId="3">
    <w:abstractNumId w:val="17"/>
  </w:num>
  <w:num w:numId="4">
    <w:abstractNumId w:val="18"/>
  </w:num>
  <w:num w:numId="5">
    <w:abstractNumId w:val="5"/>
  </w:num>
  <w:num w:numId="6">
    <w:abstractNumId w:val="24"/>
  </w:num>
  <w:num w:numId="7">
    <w:abstractNumId w:val="20"/>
  </w:num>
  <w:num w:numId="8">
    <w:abstractNumId w:val="16"/>
  </w:num>
  <w:num w:numId="9">
    <w:abstractNumId w:val="4"/>
  </w:num>
  <w:num w:numId="10">
    <w:abstractNumId w:val="3"/>
  </w:num>
  <w:num w:numId="11">
    <w:abstractNumId w:val="2"/>
  </w:num>
  <w:num w:numId="12">
    <w:abstractNumId w:val="1"/>
  </w:num>
  <w:num w:numId="13">
    <w:abstractNumId w:val="0"/>
  </w:num>
  <w:num w:numId="14">
    <w:abstractNumId w:val="39"/>
  </w:num>
  <w:num w:numId="15">
    <w:abstractNumId w:val="10"/>
  </w:num>
  <w:num w:numId="16">
    <w:abstractNumId w:val="34"/>
  </w:num>
  <w:num w:numId="17">
    <w:abstractNumId w:val="9"/>
  </w:num>
  <w:num w:numId="18">
    <w:abstractNumId w:val="21"/>
  </w:num>
  <w:num w:numId="19">
    <w:abstractNumId w:val="19"/>
  </w:num>
  <w:num w:numId="20">
    <w:abstractNumId w:val="32"/>
  </w:num>
  <w:num w:numId="21">
    <w:abstractNumId w:val="15"/>
  </w:num>
  <w:num w:numId="22">
    <w:abstractNumId w:val="37"/>
  </w:num>
  <w:num w:numId="23">
    <w:abstractNumId w:val="25"/>
  </w:num>
  <w:num w:numId="24">
    <w:abstractNumId w:val="14"/>
  </w:num>
  <w:num w:numId="25">
    <w:abstractNumId w:val="35"/>
  </w:num>
  <w:num w:numId="26">
    <w:abstractNumId w:val="7"/>
  </w:num>
  <w:num w:numId="27">
    <w:abstractNumId w:val="30"/>
  </w:num>
  <w:num w:numId="28">
    <w:abstractNumId w:val="22"/>
  </w:num>
  <w:num w:numId="29">
    <w:abstractNumId w:val="3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num>
  <w:num w:numId="33">
    <w:abstractNumId w:val="12"/>
  </w:num>
  <w:num w:numId="34">
    <w:abstractNumId w:val="36"/>
  </w:num>
  <w:num w:numId="35">
    <w:abstractNumId w:val="13"/>
  </w:num>
  <w:num w:numId="36">
    <w:abstractNumId w:val="29"/>
  </w:num>
  <w:num w:numId="37">
    <w:abstractNumId w:val="8"/>
  </w:num>
  <w:num w:numId="38">
    <w:abstractNumId w:val="23"/>
  </w:num>
  <w:num w:numId="39">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159A5"/>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B93"/>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9E9"/>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6C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0C72"/>
    <w:rsid w:val="000F232D"/>
    <w:rsid w:val="000F3348"/>
    <w:rsid w:val="000F3393"/>
    <w:rsid w:val="000F3500"/>
    <w:rsid w:val="000F3E1D"/>
    <w:rsid w:val="000F52E6"/>
    <w:rsid w:val="00100B77"/>
    <w:rsid w:val="00100F97"/>
    <w:rsid w:val="0010318E"/>
    <w:rsid w:val="0010353C"/>
    <w:rsid w:val="001040CE"/>
    <w:rsid w:val="0010453E"/>
    <w:rsid w:val="0010577C"/>
    <w:rsid w:val="00105FBC"/>
    <w:rsid w:val="00106F24"/>
    <w:rsid w:val="00110F67"/>
    <w:rsid w:val="00113459"/>
    <w:rsid w:val="00113CF2"/>
    <w:rsid w:val="0011713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1250"/>
    <w:rsid w:val="00144867"/>
    <w:rsid w:val="00144F3B"/>
    <w:rsid w:val="00145725"/>
    <w:rsid w:val="001473AD"/>
    <w:rsid w:val="00147DA6"/>
    <w:rsid w:val="00154411"/>
    <w:rsid w:val="001548AC"/>
    <w:rsid w:val="00156231"/>
    <w:rsid w:val="0015696A"/>
    <w:rsid w:val="00156E2F"/>
    <w:rsid w:val="00157D99"/>
    <w:rsid w:val="00161A2F"/>
    <w:rsid w:val="0016322B"/>
    <w:rsid w:val="0016383C"/>
    <w:rsid w:val="00166299"/>
    <w:rsid w:val="0017017C"/>
    <w:rsid w:val="0017225B"/>
    <w:rsid w:val="00173352"/>
    <w:rsid w:val="0017368C"/>
    <w:rsid w:val="0017414E"/>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5A0D"/>
    <w:rsid w:val="001A7AB1"/>
    <w:rsid w:val="001B0126"/>
    <w:rsid w:val="001B0587"/>
    <w:rsid w:val="001B2EA8"/>
    <w:rsid w:val="001B3C1C"/>
    <w:rsid w:val="001B485F"/>
    <w:rsid w:val="001B4B79"/>
    <w:rsid w:val="001B52D8"/>
    <w:rsid w:val="001B62DA"/>
    <w:rsid w:val="001B7109"/>
    <w:rsid w:val="001B7657"/>
    <w:rsid w:val="001C210F"/>
    <w:rsid w:val="001C2D04"/>
    <w:rsid w:val="001C4CDC"/>
    <w:rsid w:val="001C6002"/>
    <w:rsid w:val="001C609B"/>
    <w:rsid w:val="001C63F8"/>
    <w:rsid w:val="001D0473"/>
    <w:rsid w:val="001D0D12"/>
    <w:rsid w:val="001D1ADF"/>
    <w:rsid w:val="001D1C5A"/>
    <w:rsid w:val="001D3018"/>
    <w:rsid w:val="001D372D"/>
    <w:rsid w:val="001D54F2"/>
    <w:rsid w:val="001D5C65"/>
    <w:rsid w:val="001D6212"/>
    <w:rsid w:val="001E13B3"/>
    <w:rsid w:val="001E378F"/>
    <w:rsid w:val="001E3BC9"/>
    <w:rsid w:val="001E49D6"/>
    <w:rsid w:val="001F0B69"/>
    <w:rsid w:val="001F13E1"/>
    <w:rsid w:val="001F144F"/>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6BC9"/>
    <w:rsid w:val="0022721A"/>
    <w:rsid w:val="00227858"/>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660B"/>
    <w:rsid w:val="00277524"/>
    <w:rsid w:val="00280B5B"/>
    <w:rsid w:val="002826D7"/>
    <w:rsid w:val="0028386D"/>
    <w:rsid w:val="002842DD"/>
    <w:rsid w:val="002848C1"/>
    <w:rsid w:val="00284A9A"/>
    <w:rsid w:val="0028697F"/>
    <w:rsid w:val="00286F62"/>
    <w:rsid w:val="002876FE"/>
    <w:rsid w:val="00287C83"/>
    <w:rsid w:val="00291584"/>
    <w:rsid w:val="0029171F"/>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6D31"/>
    <w:rsid w:val="002D7AC9"/>
    <w:rsid w:val="002E05A6"/>
    <w:rsid w:val="002E5436"/>
    <w:rsid w:val="002E6400"/>
    <w:rsid w:val="002E7799"/>
    <w:rsid w:val="002F13FD"/>
    <w:rsid w:val="002F1F7F"/>
    <w:rsid w:val="002F3129"/>
    <w:rsid w:val="002F3536"/>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372"/>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77CB7"/>
    <w:rsid w:val="0038049D"/>
    <w:rsid w:val="003833FD"/>
    <w:rsid w:val="00386338"/>
    <w:rsid w:val="00386706"/>
    <w:rsid w:val="003874EB"/>
    <w:rsid w:val="003908EB"/>
    <w:rsid w:val="00390BC3"/>
    <w:rsid w:val="0039193D"/>
    <w:rsid w:val="003923D9"/>
    <w:rsid w:val="00396B62"/>
    <w:rsid w:val="003A0CDA"/>
    <w:rsid w:val="003A199A"/>
    <w:rsid w:val="003A21C8"/>
    <w:rsid w:val="003A2C48"/>
    <w:rsid w:val="003A4DD7"/>
    <w:rsid w:val="003B0599"/>
    <w:rsid w:val="003B4727"/>
    <w:rsid w:val="003B4B25"/>
    <w:rsid w:val="003B74BC"/>
    <w:rsid w:val="003C1CB5"/>
    <w:rsid w:val="003C4135"/>
    <w:rsid w:val="003C43DE"/>
    <w:rsid w:val="003C54C9"/>
    <w:rsid w:val="003C7811"/>
    <w:rsid w:val="003D0625"/>
    <w:rsid w:val="003D0A36"/>
    <w:rsid w:val="003D1E1C"/>
    <w:rsid w:val="003D2039"/>
    <w:rsid w:val="003D2902"/>
    <w:rsid w:val="003D2F60"/>
    <w:rsid w:val="003D4366"/>
    <w:rsid w:val="003D4F07"/>
    <w:rsid w:val="003D52B7"/>
    <w:rsid w:val="003D6D0B"/>
    <w:rsid w:val="003E3D60"/>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1E10"/>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3BA6"/>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7E"/>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3373"/>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57A26"/>
    <w:rsid w:val="00561AE0"/>
    <w:rsid w:val="00561BB6"/>
    <w:rsid w:val="00563F76"/>
    <w:rsid w:val="00564CCA"/>
    <w:rsid w:val="0056660C"/>
    <w:rsid w:val="005677CA"/>
    <w:rsid w:val="0057155B"/>
    <w:rsid w:val="005750D7"/>
    <w:rsid w:val="005750F5"/>
    <w:rsid w:val="005759DD"/>
    <w:rsid w:val="00576C34"/>
    <w:rsid w:val="00581887"/>
    <w:rsid w:val="005821EF"/>
    <w:rsid w:val="0058297A"/>
    <w:rsid w:val="0058409F"/>
    <w:rsid w:val="00586640"/>
    <w:rsid w:val="0058666C"/>
    <w:rsid w:val="00586CC2"/>
    <w:rsid w:val="00590FFC"/>
    <w:rsid w:val="005924FF"/>
    <w:rsid w:val="00593CFF"/>
    <w:rsid w:val="00597B02"/>
    <w:rsid w:val="005A137B"/>
    <w:rsid w:val="005A1F60"/>
    <w:rsid w:val="005A49EA"/>
    <w:rsid w:val="005B228D"/>
    <w:rsid w:val="005B28B1"/>
    <w:rsid w:val="005B2BA5"/>
    <w:rsid w:val="005B466A"/>
    <w:rsid w:val="005B4A89"/>
    <w:rsid w:val="005B7B70"/>
    <w:rsid w:val="005C0826"/>
    <w:rsid w:val="005C2951"/>
    <w:rsid w:val="005C3B95"/>
    <w:rsid w:val="005C4658"/>
    <w:rsid w:val="005C6291"/>
    <w:rsid w:val="005C6503"/>
    <w:rsid w:val="005C7412"/>
    <w:rsid w:val="005D1196"/>
    <w:rsid w:val="005D1F6D"/>
    <w:rsid w:val="005D2362"/>
    <w:rsid w:val="005E00DA"/>
    <w:rsid w:val="005E2029"/>
    <w:rsid w:val="005E29A1"/>
    <w:rsid w:val="005E4205"/>
    <w:rsid w:val="005E4793"/>
    <w:rsid w:val="005E4B73"/>
    <w:rsid w:val="005E4F6C"/>
    <w:rsid w:val="005E5DD9"/>
    <w:rsid w:val="005E71A8"/>
    <w:rsid w:val="005E77ED"/>
    <w:rsid w:val="005E7C19"/>
    <w:rsid w:val="005F03AB"/>
    <w:rsid w:val="005F11AF"/>
    <w:rsid w:val="005F162D"/>
    <w:rsid w:val="005F2A14"/>
    <w:rsid w:val="005F2F66"/>
    <w:rsid w:val="005F3867"/>
    <w:rsid w:val="005F3E1B"/>
    <w:rsid w:val="005F52F5"/>
    <w:rsid w:val="005F65C4"/>
    <w:rsid w:val="005F6E6D"/>
    <w:rsid w:val="005F79C0"/>
    <w:rsid w:val="00600D97"/>
    <w:rsid w:val="00600EA9"/>
    <w:rsid w:val="0060374B"/>
    <w:rsid w:val="00604AB1"/>
    <w:rsid w:val="00605194"/>
    <w:rsid w:val="006054F0"/>
    <w:rsid w:val="006061D3"/>
    <w:rsid w:val="006072D7"/>
    <w:rsid w:val="00610417"/>
    <w:rsid w:val="00610600"/>
    <w:rsid w:val="0061104D"/>
    <w:rsid w:val="006121F2"/>
    <w:rsid w:val="00613688"/>
    <w:rsid w:val="00613C61"/>
    <w:rsid w:val="00616BD2"/>
    <w:rsid w:val="00617027"/>
    <w:rsid w:val="00621926"/>
    <w:rsid w:val="006231D2"/>
    <w:rsid w:val="00626DBA"/>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7AA"/>
    <w:rsid w:val="0068585D"/>
    <w:rsid w:val="00685E8D"/>
    <w:rsid w:val="0068678A"/>
    <w:rsid w:val="0069053C"/>
    <w:rsid w:val="0069239F"/>
    <w:rsid w:val="00693308"/>
    <w:rsid w:val="006940AD"/>
    <w:rsid w:val="0069520A"/>
    <w:rsid w:val="006968E6"/>
    <w:rsid w:val="006A033C"/>
    <w:rsid w:val="006A0E9A"/>
    <w:rsid w:val="006A385C"/>
    <w:rsid w:val="006A3DBC"/>
    <w:rsid w:val="006A3F51"/>
    <w:rsid w:val="006A4316"/>
    <w:rsid w:val="006A4943"/>
    <w:rsid w:val="006A6AC5"/>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2BF"/>
    <w:rsid w:val="006D3910"/>
    <w:rsid w:val="006D50D6"/>
    <w:rsid w:val="006D5BAD"/>
    <w:rsid w:val="006D6196"/>
    <w:rsid w:val="006D64A7"/>
    <w:rsid w:val="006D7362"/>
    <w:rsid w:val="006E13AE"/>
    <w:rsid w:val="006E28A2"/>
    <w:rsid w:val="006E5B51"/>
    <w:rsid w:val="006E5FFB"/>
    <w:rsid w:val="006F098A"/>
    <w:rsid w:val="006F0C06"/>
    <w:rsid w:val="006F19CC"/>
    <w:rsid w:val="006F299C"/>
    <w:rsid w:val="006F46DC"/>
    <w:rsid w:val="006F4853"/>
    <w:rsid w:val="006F490F"/>
    <w:rsid w:val="006F5CE9"/>
    <w:rsid w:val="006F6878"/>
    <w:rsid w:val="006F6F85"/>
    <w:rsid w:val="007003CC"/>
    <w:rsid w:val="00702C1F"/>
    <w:rsid w:val="00704A4D"/>
    <w:rsid w:val="0070525E"/>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66FA5"/>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644F"/>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DE7"/>
    <w:rsid w:val="007E5ED3"/>
    <w:rsid w:val="007E69D2"/>
    <w:rsid w:val="007E6F73"/>
    <w:rsid w:val="007F062B"/>
    <w:rsid w:val="007F255C"/>
    <w:rsid w:val="007F48F8"/>
    <w:rsid w:val="007F521C"/>
    <w:rsid w:val="007F78F3"/>
    <w:rsid w:val="007F7976"/>
    <w:rsid w:val="00800097"/>
    <w:rsid w:val="00800109"/>
    <w:rsid w:val="0080204D"/>
    <w:rsid w:val="00802735"/>
    <w:rsid w:val="00803909"/>
    <w:rsid w:val="00804229"/>
    <w:rsid w:val="008042A5"/>
    <w:rsid w:val="0080626B"/>
    <w:rsid w:val="00806CB2"/>
    <w:rsid w:val="00806DC0"/>
    <w:rsid w:val="008073BC"/>
    <w:rsid w:val="0081061A"/>
    <w:rsid w:val="00811B5E"/>
    <w:rsid w:val="00811C30"/>
    <w:rsid w:val="0081457C"/>
    <w:rsid w:val="00814BF3"/>
    <w:rsid w:val="008174FC"/>
    <w:rsid w:val="00821734"/>
    <w:rsid w:val="00822196"/>
    <w:rsid w:val="008227FE"/>
    <w:rsid w:val="0082305E"/>
    <w:rsid w:val="0082468F"/>
    <w:rsid w:val="0082507A"/>
    <w:rsid w:val="00825DD7"/>
    <w:rsid w:val="0082702F"/>
    <w:rsid w:val="00827E8F"/>
    <w:rsid w:val="00830EA9"/>
    <w:rsid w:val="008311F8"/>
    <w:rsid w:val="00834853"/>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0A14"/>
    <w:rsid w:val="00861D08"/>
    <w:rsid w:val="00862C72"/>
    <w:rsid w:val="00862E1D"/>
    <w:rsid w:val="008633FF"/>
    <w:rsid w:val="00867F30"/>
    <w:rsid w:val="008705C4"/>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2DB"/>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2D82"/>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316B"/>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1BB"/>
    <w:rsid w:val="00926958"/>
    <w:rsid w:val="00926AFD"/>
    <w:rsid w:val="009317B0"/>
    <w:rsid w:val="00932346"/>
    <w:rsid w:val="0093247C"/>
    <w:rsid w:val="00932D6C"/>
    <w:rsid w:val="00934359"/>
    <w:rsid w:val="009372EF"/>
    <w:rsid w:val="00942A6B"/>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2A7"/>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69A4"/>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171F"/>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759"/>
    <w:rsid w:val="00AC28DE"/>
    <w:rsid w:val="00AC4A36"/>
    <w:rsid w:val="00AC5219"/>
    <w:rsid w:val="00AC5D95"/>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92"/>
    <w:rsid w:val="00B35BFC"/>
    <w:rsid w:val="00B366A1"/>
    <w:rsid w:val="00B37052"/>
    <w:rsid w:val="00B40CCC"/>
    <w:rsid w:val="00B42707"/>
    <w:rsid w:val="00B432A0"/>
    <w:rsid w:val="00B46D5E"/>
    <w:rsid w:val="00B4720A"/>
    <w:rsid w:val="00B50716"/>
    <w:rsid w:val="00B50FC5"/>
    <w:rsid w:val="00B55F78"/>
    <w:rsid w:val="00B561E8"/>
    <w:rsid w:val="00B574A6"/>
    <w:rsid w:val="00B57549"/>
    <w:rsid w:val="00B60A7D"/>
    <w:rsid w:val="00B64C19"/>
    <w:rsid w:val="00B67970"/>
    <w:rsid w:val="00B67996"/>
    <w:rsid w:val="00B720D3"/>
    <w:rsid w:val="00B7286F"/>
    <w:rsid w:val="00B72C7B"/>
    <w:rsid w:val="00B72F7C"/>
    <w:rsid w:val="00B7431E"/>
    <w:rsid w:val="00B74E47"/>
    <w:rsid w:val="00B768DB"/>
    <w:rsid w:val="00B768E2"/>
    <w:rsid w:val="00B769AD"/>
    <w:rsid w:val="00B80434"/>
    <w:rsid w:val="00B81025"/>
    <w:rsid w:val="00B81D11"/>
    <w:rsid w:val="00B82F46"/>
    <w:rsid w:val="00B9055C"/>
    <w:rsid w:val="00B905EC"/>
    <w:rsid w:val="00B90C10"/>
    <w:rsid w:val="00B919C4"/>
    <w:rsid w:val="00B9252C"/>
    <w:rsid w:val="00B92A35"/>
    <w:rsid w:val="00B9498B"/>
    <w:rsid w:val="00B94BE4"/>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6CF"/>
    <w:rsid w:val="00BB67F1"/>
    <w:rsid w:val="00BB6DF6"/>
    <w:rsid w:val="00BB7AA8"/>
    <w:rsid w:val="00BC0359"/>
    <w:rsid w:val="00BC1EBF"/>
    <w:rsid w:val="00BC2E68"/>
    <w:rsid w:val="00BC44B6"/>
    <w:rsid w:val="00BC79C0"/>
    <w:rsid w:val="00BD1D37"/>
    <w:rsid w:val="00BD212B"/>
    <w:rsid w:val="00BD42DB"/>
    <w:rsid w:val="00BD6245"/>
    <w:rsid w:val="00BE1049"/>
    <w:rsid w:val="00BE15D7"/>
    <w:rsid w:val="00BE17A9"/>
    <w:rsid w:val="00BE231E"/>
    <w:rsid w:val="00BE407A"/>
    <w:rsid w:val="00BF1413"/>
    <w:rsid w:val="00BF19C4"/>
    <w:rsid w:val="00BF3BAD"/>
    <w:rsid w:val="00BF3CBD"/>
    <w:rsid w:val="00BF411A"/>
    <w:rsid w:val="00BF423A"/>
    <w:rsid w:val="00BF4C2E"/>
    <w:rsid w:val="00BF7748"/>
    <w:rsid w:val="00C00B5F"/>
    <w:rsid w:val="00C00D58"/>
    <w:rsid w:val="00C02A15"/>
    <w:rsid w:val="00C02C4F"/>
    <w:rsid w:val="00C0327F"/>
    <w:rsid w:val="00C0387E"/>
    <w:rsid w:val="00C1560B"/>
    <w:rsid w:val="00C1747F"/>
    <w:rsid w:val="00C20E79"/>
    <w:rsid w:val="00C226E8"/>
    <w:rsid w:val="00C233B8"/>
    <w:rsid w:val="00C23C3A"/>
    <w:rsid w:val="00C25484"/>
    <w:rsid w:val="00C25BEE"/>
    <w:rsid w:val="00C26F1C"/>
    <w:rsid w:val="00C3280C"/>
    <w:rsid w:val="00C356C1"/>
    <w:rsid w:val="00C35E26"/>
    <w:rsid w:val="00C36C28"/>
    <w:rsid w:val="00C3701E"/>
    <w:rsid w:val="00C4233A"/>
    <w:rsid w:val="00C44DC2"/>
    <w:rsid w:val="00C50014"/>
    <w:rsid w:val="00C50E68"/>
    <w:rsid w:val="00C5443A"/>
    <w:rsid w:val="00C55634"/>
    <w:rsid w:val="00C569A3"/>
    <w:rsid w:val="00C60FF1"/>
    <w:rsid w:val="00C613B7"/>
    <w:rsid w:val="00C61512"/>
    <w:rsid w:val="00C61ED0"/>
    <w:rsid w:val="00C61ED8"/>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0FDE"/>
    <w:rsid w:val="00C92F49"/>
    <w:rsid w:val="00C944BE"/>
    <w:rsid w:val="00C959C7"/>
    <w:rsid w:val="00CA2595"/>
    <w:rsid w:val="00CA2ABE"/>
    <w:rsid w:val="00CA3052"/>
    <w:rsid w:val="00CA3130"/>
    <w:rsid w:val="00CA3806"/>
    <w:rsid w:val="00CA69F1"/>
    <w:rsid w:val="00CB0B3E"/>
    <w:rsid w:val="00CB14F9"/>
    <w:rsid w:val="00CB1680"/>
    <w:rsid w:val="00CB2EEF"/>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7BD"/>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0DDB"/>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396"/>
    <w:rsid w:val="00D846CA"/>
    <w:rsid w:val="00D84A3C"/>
    <w:rsid w:val="00D92179"/>
    <w:rsid w:val="00D94567"/>
    <w:rsid w:val="00D9647E"/>
    <w:rsid w:val="00DA5C32"/>
    <w:rsid w:val="00DA64C7"/>
    <w:rsid w:val="00DA6D7B"/>
    <w:rsid w:val="00DA770E"/>
    <w:rsid w:val="00DA7AAC"/>
    <w:rsid w:val="00DB0BF5"/>
    <w:rsid w:val="00DB0CEC"/>
    <w:rsid w:val="00DB1185"/>
    <w:rsid w:val="00DB3C6E"/>
    <w:rsid w:val="00DB3D51"/>
    <w:rsid w:val="00DB4281"/>
    <w:rsid w:val="00DB7133"/>
    <w:rsid w:val="00DC0208"/>
    <w:rsid w:val="00DC465C"/>
    <w:rsid w:val="00DC4F6F"/>
    <w:rsid w:val="00DC6E1E"/>
    <w:rsid w:val="00DD13AA"/>
    <w:rsid w:val="00DD4374"/>
    <w:rsid w:val="00DD6502"/>
    <w:rsid w:val="00DD6E07"/>
    <w:rsid w:val="00DD714C"/>
    <w:rsid w:val="00DE0CDD"/>
    <w:rsid w:val="00DE1254"/>
    <w:rsid w:val="00DE29D7"/>
    <w:rsid w:val="00DE3681"/>
    <w:rsid w:val="00DE4B4B"/>
    <w:rsid w:val="00DE4B85"/>
    <w:rsid w:val="00DF0374"/>
    <w:rsid w:val="00DF07D4"/>
    <w:rsid w:val="00DF55DF"/>
    <w:rsid w:val="00DF5A32"/>
    <w:rsid w:val="00DF61D8"/>
    <w:rsid w:val="00E0083E"/>
    <w:rsid w:val="00E024D2"/>
    <w:rsid w:val="00E02545"/>
    <w:rsid w:val="00E030C9"/>
    <w:rsid w:val="00E05439"/>
    <w:rsid w:val="00E05F1D"/>
    <w:rsid w:val="00E10534"/>
    <w:rsid w:val="00E10BA9"/>
    <w:rsid w:val="00E10E97"/>
    <w:rsid w:val="00E13CFC"/>
    <w:rsid w:val="00E14310"/>
    <w:rsid w:val="00E14E2D"/>
    <w:rsid w:val="00E20D35"/>
    <w:rsid w:val="00E22084"/>
    <w:rsid w:val="00E22767"/>
    <w:rsid w:val="00E245A6"/>
    <w:rsid w:val="00E25C2D"/>
    <w:rsid w:val="00E25DAB"/>
    <w:rsid w:val="00E2791D"/>
    <w:rsid w:val="00E32A1D"/>
    <w:rsid w:val="00E33788"/>
    <w:rsid w:val="00E3410E"/>
    <w:rsid w:val="00E4045B"/>
    <w:rsid w:val="00E41626"/>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072E"/>
    <w:rsid w:val="00E810D5"/>
    <w:rsid w:val="00E83567"/>
    <w:rsid w:val="00E84FBC"/>
    <w:rsid w:val="00E8578F"/>
    <w:rsid w:val="00E876BF"/>
    <w:rsid w:val="00E90397"/>
    <w:rsid w:val="00E90BDB"/>
    <w:rsid w:val="00E9160D"/>
    <w:rsid w:val="00E91B23"/>
    <w:rsid w:val="00E92407"/>
    <w:rsid w:val="00E9262A"/>
    <w:rsid w:val="00E927E9"/>
    <w:rsid w:val="00E95501"/>
    <w:rsid w:val="00EA0A6E"/>
    <w:rsid w:val="00EA3CBF"/>
    <w:rsid w:val="00EA6A93"/>
    <w:rsid w:val="00EB1275"/>
    <w:rsid w:val="00EB3DA4"/>
    <w:rsid w:val="00EB512C"/>
    <w:rsid w:val="00EB5CE0"/>
    <w:rsid w:val="00EB6DB1"/>
    <w:rsid w:val="00EC1B98"/>
    <w:rsid w:val="00EC212C"/>
    <w:rsid w:val="00EC3A14"/>
    <w:rsid w:val="00EC6507"/>
    <w:rsid w:val="00ED0409"/>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E79C0"/>
    <w:rsid w:val="00EF0368"/>
    <w:rsid w:val="00EF1231"/>
    <w:rsid w:val="00EF14C7"/>
    <w:rsid w:val="00EF2909"/>
    <w:rsid w:val="00EF5B11"/>
    <w:rsid w:val="00F00060"/>
    <w:rsid w:val="00F000D3"/>
    <w:rsid w:val="00F015C6"/>
    <w:rsid w:val="00F05664"/>
    <w:rsid w:val="00F072DE"/>
    <w:rsid w:val="00F07323"/>
    <w:rsid w:val="00F0772F"/>
    <w:rsid w:val="00F10B2A"/>
    <w:rsid w:val="00F10E1E"/>
    <w:rsid w:val="00F1110B"/>
    <w:rsid w:val="00F1392B"/>
    <w:rsid w:val="00F15160"/>
    <w:rsid w:val="00F16205"/>
    <w:rsid w:val="00F1633B"/>
    <w:rsid w:val="00F172D8"/>
    <w:rsid w:val="00F177C5"/>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2418"/>
    <w:rsid w:val="00F533A3"/>
    <w:rsid w:val="00F576F1"/>
    <w:rsid w:val="00F61670"/>
    <w:rsid w:val="00F62DC9"/>
    <w:rsid w:val="00F6463B"/>
    <w:rsid w:val="00F656D5"/>
    <w:rsid w:val="00F65C1B"/>
    <w:rsid w:val="00F718BA"/>
    <w:rsid w:val="00F71D56"/>
    <w:rsid w:val="00F722CD"/>
    <w:rsid w:val="00F7440A"/>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0D5"/>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539"/>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099426B5-F32E-43CD-A993-156E7905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69579">
      <w:bodyDiv w:val="1"/>
      <w:marLeft w:val="0"/>
      <w:marRight w:val="0"/>
      <w:marTop w:val="0"/>
      <w:marBottom w:val="0"/>
      <w:divBdr>
        <w:top w:val="none" w:sz="0" w:space="0" w:color="auto"/>
        <w:left w:val="none" w:sz="0" w:space="0" w:color="auto"/>
        <w:bottom w:val="none" w:sz="0" w:space="0" w:color="auto"/>
        <w:right w:val="none" w:sz="0" w:space="0" w:color="auto"/>
      </w:divBdr>
      <w:divsChild>
        <w:div w:id="205265135">
          <w:marLeft w:val="0"/>
          <w:marRight w:val="0"/>
          <w:marTop w:val="0"/>
          <w:marBottom w:val="0"/>
          <w:divBdr>
            <w:top w:val="none" w:sz="0" w:space="0" w:color="auto"/>
            <w:left w:val="none" w:sz="0" w:space="0" w:color="auto"/>
            <w:bottom w:val="none" w:sz="0" w:space="0" w:color="auto"/>
            <w:right w:val="none" w:sz="0" w:space="0" w:color="auto"/>
          </w:divBdr>
        </w:div>
      </w:divsChild>
    </w:div>
    <w:div w:id="196428188">
      <w:bodyDiv w:val="1"/>
      <w:marLeft w:val="0"/>
      <w:marRight w:val="0"/>
      <w:marTop w:val="0"/>
      <w:marBottom w:val="0"/>
      <w:divBdr>
        <w:top w:val="none" w:sz="0" w:space="0" w:color="auto"/>
        <w:left w:val="none" w:sz="0" w:space="0" w:color="auto"/>
        <w:bottom w:val="none" w:sz="0" w:space="0" w:color="auto"/>
        <w:right w:val="none" w:sz="0" w:space="0" w:color="auto"/>
      </w:divBdr>
    </w:div>
    <w:div w:id="259610188">
      <w:bodyDiv w:val="1"/>
      <w:marLeft w:val="0"/>
      <w:marRight w:val="0"/>
      <w:marTop w:val="0"/>
      <w:marBottom w:val="0"/>
      <w:divBdr>
        <w:top w:val="none" w:sz="0" w:space="0" w:color="auto"/>
        <w:left w:val="none" w:sz="0" w:space="0" w:color="auto"/>
        <w:bottom w:val="none" w:sz="0" w:space="0" w:color="auto"/>
        <w:right w:val="none" w:sz="0" w:space="0" w:color="auto"/>
      </w:divBdr>
    </w:div>
    <w:div w:id="450127041">
      <w:bodyDiv w:val="1"/>
      <w:marLeft w:val="0"/>
      <w:marRight w:val="0"/>
      <w:marTop w:val="0"/>
      <w:marBottom w:val="0"/>
      <w:divBdr>
        <w:top w:val="none" w:sz="0" w:space="0" w:color="auto"/>
        <w:left w:val="none" w:sz="0" w:space="0" w:color="auto"/>
        <w:bottom w:val="none" w:sz="0" w:space="0" w:color="auto"/>
        <w:right w:val="none" w:sz="0" w:space="0" w:color="auto"/>
      </w:divBdr>
    </w:div>
    <w:div w:id="597955842">
      <w:bodyDiv w:val="1"/>
      <w:marLeft w:val="0"/>
      <w:marRight w:val="0"/>
      <w:marTop w:val="0"/>
      <w:marBottom w:val="0"/>
      <w:divBdr>
        <w:top w:val="none" w:sz="0" w:space="0" w:color="auto"/>
        <w:left w:val="none" w:sz="0" w:space="0" w:color="auto"/>
        <w:bottom w:val="none" w:sz="0" w:space="0" w:color="auto"/>
        <w:right w:val="none" w:sz="0" w:space="0" w:color="auto"/>
      </w:divBdr>
      <w:divsChild>
        <w:div w:id="1491823194">
          <w:marLeft w:val="0"/>
          <w:marRight w:val="0"/>
          <w:marTop w:val="0"/>
          <w:marBottom w:val="0"/>
          <w:divBdr>
            <w:top w:val="none" w:sz="0" w:space="0" w:color="auto"/>
            <w:left w:val="none" w:sz="0" w:space="0" w:color="auto"/>
            <w:bottom w:val="none" w:sz="0" w:space="0" w:color="auto"/>
            <w:right w:val="none" w:sz="0" w:space="0" w:color="auto"/>
          </w:divBdr>
        </w:div>
        <w:div w:id="1561866985">
          <w:marLeft w:val="0"/>
          <w:marRight w:val="0"/>
          <w:marTop w:val="0"/>
          <w:marBottom w:val="0"/>
          <w:divBdr>
            <w:top w:val="none" w:sz="0" w:space="0" w:color="auto"/>
            <w:left w:val="none" w:sz="0" w:space="0" w:color="auto"/>
            <w:bottom w:val="none" w:sz="0" w:space="0" w:color="auto"/>
            <w:right w:val="none" w:sz="0" w:space="0" w:color="auto"/>
          </w:divBdr>
        </w:div>
      </w:divsChild>
    </w:div>
    <w:div w:id="765154338">
      <w:bodyDiv w:val="1"/>
      <w:marLeft w:val="0"/>
      <w:marRight w:val="0"/>
      <w:marTop w:val="0"/>
      <w:marBottom w:val="0"/>
      <w:divBdr>
        <w:top w:val="none" w:sz="0" w:space="0" w:color="auto"/>
        <w:left w:val="none" w:sz="0" w:space="0" w:color="auto"/>
        <w:bottom w:val="none" w:sz="0" w:space="0" w:color="auto"/>
        <w:right w:val="none" w:sz="0" w:space="0" w:color="auto"/>
      </w:divBdr>
      <w:divsChild>
        <w:div w:id="1309936712">
          <w:marLeft w:val="0"/>
          <w:marRight w:val="0"/>
          <w:marTop w:val="0"/>
          <w:marBottom w:val="0"/>
          <w:divBdr>
            <w:top w:val="none" w:sz="0" w:space="0" w:color="auto"/>
            <w:left w:val="none" w:sz="0" w:space="0" w:color="auto"/>
            <w:bottom w:val="none" w:sz="0" w:space="0" w:color="auto"/>
            <w:right w:val="none" w:sz="0" w:space="0" w:color="auto"/>
          </w:divBdr>
        </w:div>
      </w:divsChild>
    </w:div>
    <w:div w:id="1053624832">
      <w:bodyDiv w:val="1"/>
      <w:marLeft w:val="0"/>
      <w:marRight w:val="0"/>
      <w:marTop w:val="0"/>
      <w:marBottom w:val="0"/>
      <w:divBdr>
        <w:top w:val="none" w:sz="0" w:space="0" w:color="auto"/>
        <w:left w:val="none" w:sz="0" w:space="0" w:color="auto"/>
        <w:bottom w:val="none" w:sz="0" w:space="0" w:color="auto"/>
        <w:right w:val="none" w:sz="0" w:space="0" w:color="auto"/>
      </w:divBdr>
    </w:div>
    <w:div w:id="1472213102">
      <w:bodyDiv w:val="1"/>
      <w:marLeft w:val="0"/>
      <w:marRight w:val="0"/>
      <w:marTop w:val="0"/>
      <w:marBottom w:val="0"/>
      <w:divBdr>
        <w:top w:val="none" w:sz="0" w:space="0" w:color="auto"/>
        <w:left w:val="none" w:sz="0" w:space="0" w:color="auto"/>
        <w:bottom w:val="none" w:sz="0" w:space="0" w:color="auto"/>
        <w:right w:val="none" w:sz="0" w:space="0" w:color="auto"/>
      </w:divBdr>
    </w:div>
    <w:div w:id="1536846760">
      <w:bodyDiv w:val="1"/>
      <w:marLeft w:val="0"/>
      <w:marRight w:val="0"/>
      <w:marTop w:val="0"/>
      <w:marBottom w:val="0"/>
      <w:divBdr>
        <w:top w:val="none" w:sz="0" w:space="0" w:color="auto"/>
        <w:left w:val="none" w:sz="0" w:space="0" w:color="auto"/>
        <w:bottom w:val="none" w:sz="0" w:space="0" w:color="auto"/>
        <w:right w:val="none" w:sz="0" w:space="0" w:color="auto"/>
      </w:divBdr>
    </w:div>
    <w:div w:id="1666517667">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18839363">
      <w:bodyDiv w:val="1"/>
      <w:marLeft w:val="0"/>
      <w:marRight w:val="0"/>
      <w:marTop w:val="0"/>
      <w:marBottom w:val="0"/>
      <w:divBdr>
        <w:top w:val="none" w:sz="0" w:space="0" w:color="auto"/>
        <w:left w:val="none" w:sz="0" w:space="0" w:color="auto"/>
        <w:bottom w:val="none" w:sz="0" w:space="0" w:color="auto"/>
        <w:right w:val="none" w:sz="0" w:space="0" w:color="auto"/>
      </w:divBdr>
      <w:divsChild>
        <w:div w:id="1842693394">
          <w:marLeft w:val="0"/>
          <w:marRight w:val="0"/>
          <w:marTop w:val="0"/>
          <w:marBottom w:val="0"/>
          <w:divBdr>
            <w:top w:val="none" w:sz="0" w:space="0" w:color="auto"/>
            <w:left w:val="none" w:sz="0" w:space="0" w:color="auto"/>
            <w:bottom w:val="none" w:sz="0" w:space="0" w:color="auto"/>
            <w:right w:val="none" w:sz="0" w:space="0" w:color="auto"/>
          </w:divBdr>
        </w:div>
        <w:div w:id="2068802577">
          <w:marLeft w:val="0"/>
          <w:marRight w:val="0"/>
          <w:marTop w:val="0"/>
          <w:marBottom w:val="0"/>
          <w:divBdr>
            <w:top w:val="none" w:sz="0" w:space="0" w:color="auto"/>
            <w:left w:val="none" w:sz="0" w:space="0" w:color="auto"/>
            <w:bottom w:val="none" w:sz="0" w:space="0" w:color="auto"/>
            <w:right w:val="none" w:sz="0" w:space="0" w:color="auto"/>
          </w:divBdr>
        </w:div>
      </w:divsChild>
    </w:div>
    <w:div w:id="188340267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15241712">
      <w:bodyDiv w:val="1"/>
      <w:marLeft w:val="0"/>
      <w:marRight w:val="0"/>
      <w:marTop w:val="0"/>
      <w:marBottom w:val="0"/>
      <w:divBdr>
        <w:top w:val="none" w:sz="0" w:space="0" w:color="auto"/>
        <w:left w:val="none" w:sz="0" w:space="0" w:color="auto"/>
        <w:bottom w:val="none" w:sz="0" w:space="0" w:color="auto"/>
        <w:right w:val="none" w:sz="0" w:space="0" w:color="auto"/>
      </w:divBdr>
    </w:div>
    <w:div w:id="211979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8796E-3A72-49BF-9619-F493ACD6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Julia Aldous</cp:lastModifiedBy>
  <cp:revision>3</cp:revision>
  <cp:lastPrinted>2017-01-18T15:31:00Z</cp:lastPrinted>
  <dcterms:created xsi:type="dcterms:W3CDTF">2017-01-25T15:42:00Z</dcterms:created>
  <dcterms:modified xsi:type="dcterms:W3CDTF">2017-01-26T09:15:00Z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