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27D9DB7A" w:rsidR="00CD0C5E" w:rsidRPr="00EC085A" w:rsidRDefault="0003055A" w:rsidP="00EE3D45">
      <w:pPr>
        <w:pStyle w:val="IntenseQuote"/>
        <w:rPr>
          <w:b/>
          <w:bCs/>
          <w:color w:val="000000" w:themeColor="text1"/>
        </w:rPr>
      </w:pPr>
      <w:r>
        <w:rPr>
          <w:b/>
          <w:bCs/>
          <w:color w:val="000000" w:themeColor="text1"/>
        </w:rPr>
        <w:t>Project_817</w:t>
      </w:r>
      <w:r w:rsidR="00EC085A">
        <w:rPr>
          <w:b/>
          <w:bCs/>
          <w:color w:val="000000" w:themeColor="text1"/>
        </w:rPr>
        <w:t>:</w:t>
      </w:r>
      <w:r w:rsidR="00EE3D45" w:rsidRPr="00EC085A">
        <w:rPr>
          <w:b/>
          <w:bCs/>
          <w:color w:val="000000" w:themeColor="text1"/>
        </w:rPr>
        <w:t xml:space="preserve"> </w:t>
      </w:r>
      <w:r w:rsidR="00667100">
        <w:rPr>
          <w:b/>
          <w:bCs/>
          <w:color w:val="000000" w:themeColor="text1"/>
        </w:rPr>
        <w:t>CPV Speedwell</w:t>
      </w:r>
      <w:r w:rsidR="00EC085A">
        <w:rPr>
          <w:b/>
          <w:bCs/>
          <w:color w:val="000000" w:themeColor="text1"/>
        </w:rPr>
        <w:t xml:space="preserve"> -</w:t>
      </w:r>
      <w:r w:rsidR="00FE46B3" w:rsidRPr="00EC085A">
        <w:rPr>
          <w:b/>
          <w:bCs/>
          <w:color w:val="000000" w:themeColor="text1"/>
        </w:rPr>
        <w:br/>
      </w:r>
      <w:r w:rsidR="00CD0C5E" w:rsidRPr="00EC085A">
        <w:rPr>
          <w:b/>
          <w:bCs/>
          <w:color w:val="000000" w:themeColor="text1"/>
        </w:rPr>
        <w:t xml:space="preserve">Planned Maintenance and Safety Equipment Recertification </w:t>
      </w:r>
      <w:r w:rsidR="00404820" w:rsidRPr="00EC085A">
        <w:rPr>
          <w:b/>
          <w:bCs/>
          <w:color w:val="000000" w:themeColor="text1"/>
        </w:rP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45E4EF7F" w:rsidR="00A24818" w:rsidRDefault="00A24818" w:rsidP="00A24818">
      <w:pPr>
        <w:rPr>
          <w:rFonts w:ascii="Arial" w:hAnsi="Arial" w:cs="Arial"/>
        </w:rPr>
      </w:pPr>
      <w:r>
        <w:rPr>
          <w:rFonts w:ascii="Arial" w:hAnsi="Arial" w:cs="Arial"/>
        </w:rPr>
        <w:t xml:space="preserve">The Technical Criteria is weighted at </w:t>
      </w:r>
      <w:r w:rsidR="00667100">
        <w:rPr>
          <w:rFonts w:ascii="Arial" w:hAnsi="Arial" w:cs="Arial"/>
        </w:rPr>
        <w:t>30%</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70</w:t>
      </w:r>
      <w:r>
        <w:rPr>
          <w:rFonts w:ascii="Arial" w:hAnsi="Arial" w:cs="Arial"/>
        </w:rPr>
        <w:t>%.</w:t>
      </w:r>
    </w:p>
    <w:p w14:paraId="36CFE0F2" w14:textId="201A6488"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Technical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667100">
        <w:rPr>
          <w:rFonts w:ascii="Arial" w:hAnsi="Arial" w:cs="Arial"/>
        </w:rPr>
        <w:t>C</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84029FF" w14:textId="7A512D26"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667100">
        <w:rPr>
          <w:rFonts w:ascii="Arial" w:hAnsi="Arial" w:cs="Arial"/>
          <w:color w:val="auto"/>
        </w:rPr>
        <w:t>C</w:t>
      </w:r>
      <w:r w:rsidRPr="0032507E">
        <w:rPr>
          <w:rFonts w:ascii="Arial" w:hAnsi="Arial" w:cs="Arial"/>
          <w:color w:val="auto"/>
        </w:rPr>
        <w:t xml:space="preserve"> requirement </w:t>
      </w:r>
      <w:r w:rsidR="00667100">
        <w:rPr>
          <w:rFonts w:ascii="Arial" w:hAnsi="Arial" w:cs="Arial"/>
          <w:color w:val="auto"/>
        </w:rPr>
        <w:t>1</w:t>
      </w:r>
      <w:r w:rsidRPr="0032507E">
        <w:rPr>
          <w:rFonts w:ascii="Arial" w:hAnsi="Arial" w:cs="Arial"/>
          <w:color w:val="auto"/>
        </w:rPr>
        <w:t>.</w:t>
      </w:r>
      <w:r w:rsidR="004C75F8" w:rsidRPr="0032507E">
        <w:rPr>
          <w:rFonts w:ascii="Arial" w:hAnsi="Arial" w:cs="Arial"/>
          <w:color w:val="auto"/>
        </w:rPr>
        <w:t>1</w:t>
      </w:r>
    </w:p>
    <w:p w14:paraId="509815C5" w14:textId="771AAD8A"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667100">
        <w:rPr>
          <w:rFonts w:ascii="Arial" w:hAnsi="Arial" w:cs="Arial"/>
          <w:color w:val="auto"/>
        </w:rPr>
        <w:t>C</w:t>
      </w:r>
      <w:r w:rsidRPr="0032507E">
        <w:rPr>
          <w:rFonts w:ascii="Arial" w:hAnsi="Arial" w:cs="Arial"/>
          <w:color w:val="auto"/>
        </w:rPr>
        <w:t xml:space="preserve"> requirement </w:t>
      </w:r>
      <w:r w:rsidR="00667100">
        <w:rPr>
          <w:rFonts w:ascii="Arial" w:hAnsi="Arial" w:cs="Arial"/>
          <w:color w:val="auto"/>
        </w:rPr>
        <w:t>14</w:t>
      </w:r>
      <w:r w:rsidRPr="0032507E">
        <w:rPr>
          <w:rFonts w:ascii="Arial" w:hAnsi="Arial" w:cs="Arial"/>
          <w:color w:val="auto"/>
        </w:rPr>
        <w:t>.</w:t>
      </w:r>
      <w:r w:rsidR="004C75F8" w:rsidRPr="0032507E">
        <w:rPr>
          <w:rFonts w:ascii="Arial" w:hAnsi="Arial" w:cs="Arial"/>
          <w:color w:val="auto"/>
        </w:rPr>
        <w:t>1</w:t>
      </w:r>
    </w:p>
    <w:p w14:paraId="75880366" w14:textId="1552610E"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D </w:t>
      </w:r>
      <w:r w:rsidR="00667100">
        <w:rPr>
          <w:rFonts w:ascii="Arial" w:hAnsi="Arial" w:cs="Arial"/>
          <w:color w:val="auto"/>
        </w:rPr>
        <w:t>defect 1</w:t>
      </w:r>
    </w:p>
    <w:p w14:paraId="7DF76247" w14:textId="4AAC6223" w:rsidR="005A67A3" w:rsidRPr="0032507E" w:rsidRDefault="005A67A3" w:rsidP="005A67A3">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310632">
        <w:rPr>
          <w:rFonts w:ascii="Arial" w:hAnsi="Arial" w:cs="Arial"/>
          <w:color w:val="auto"/>
        </w:rPr>
        <w:t>D</w:t>
      </w:r>
      <w:r w:rsidRPr="0032507E">
        <w:rPr>
          <w:rFonts w:ascii="Arial" w:hAnsi="Arial" w:cs="Arial"/>
          <w:color w:val="auto"/>
        </w:rPr>
        <w:t xml:space="preserve"> </w:t>
      </w:r>
      <w:r w:rsidR="00667100">
        <w:rPr>
          <w:rFonts w:ascii="Arial" w:hAnsi="Arial" w:cs="Arial"/>
          <w:color w:val="auto"/>
        </w:rPr>
        <w:t>defect</w:t>
      </w:r>
      <w:r w:rsidRPr="0032507E">
        <w:rPr>
          <w:rFonts w:ascii="Arial" w:hAnsi="Arial" w:cs="Arial"/>
          <w:color w:val="auto"/>
        </w:rPr>
        <w:t xml:space="preserve"> </w:t>
      </w:r>
      <w:r w:rsidR="00667100">
        <w:rPr>
          <w:rFonts w:ascii="Arial" w:hAnsi="Arial" w:cs="Arial"/>
          <w:color w:val="auto"/>
        </w:rPr>
        <w:t>5</w:t>
      </w:r>
    </w:p>
    <w:p w14:paraId="08FD9CF5" w14:textId="7873AE3B" w:rsidR="00CF62F7" w:rsidRPr="00CF62F7" w:rsidRDefault="005A67A3" w:rsidP="00CF62F7">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667100">
        <w:rPr>
          <w:rFonts w:ascii="Arial" w:hAnsi="Arial" w:cs="Arial"/>
          <w:color w:val="auto"/>
        </w:rPr>
        <w:t>D</w:t>
      </w:r>
      <w:r w:rsidRPr="0032507E">
        <w:rPr>
          <w:rFonts w:ascii="Arial" w:hAnsi="Arial" w:cs="Arial"/>
          <w:color w:val="auto"/>
        </w:rPr>
        <w:t xml:space="preserve"> </w:t>
      </w:r>
      <w:r w:rsidR="00667100">
        <w:rPr>
          <w:rFonts w:ascii="Arial" w:hAnsi="Arial" w:cs="Arial"/>
          <w:color w:val="auto"/>
        </w:rPr>
        <w:t>defect 8</w:t>
      </w:r>
    </w:p>
    <w:p w14:paraId="67531C82" w14:textId="27AB8BA6" w:rsidR="00CF62F7" w:rsidRPr="00477E59" w:rsidRDefault="00477E59" w:rsidP="00477E59">
      <w:pPr>
        <w:pStyle w:val="Subtitle"/>
        <w:numPr>
          <w:ilvl w:val="0"/>
          <w:numId w:val="1"/>
        </w:numPr>
        <w:rPr>
          <w:rFonts w:ascii="Arial" w:hAnsi="Arial" w:cs="Arial"/>
          <w:color w:val="auto"/>
        </w:rPr>
      </w:pPr>
      <w:r w:rsidRPr="0032507E">
        <w:rPr>
          <w:rFonts w:ascii="Arial" w:hAnsi="Arial" w:cs="Arial"/>
          <w:color w:val="auto"/>
        </w:rPr>
        <w:t>Statement of Requirements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00F60766">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00F60766">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00F60766">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77777777" w:rsidR="00F60766" w:rsidRDefault="00F60766">
            <w:pPr>
              <w:pStyle w:val="ClauseL1"/>
              <w:ind w:left="0" w:firstLine="0"/>
              <w:jc w:val="both"/>
            </w:pPr>
            <w:r>
              <w:t>Does 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*The Buyer shall be entitled to exclude Bidders from the procurement exercise who score ‘0’ for any Technical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8B355"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00F43A75">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00F43A75">
        <w:tc>
          <w:tcPr>
            <w:tcW w:w="8475" w:type="dxa"/>
          </w:tcPr>
          <w:p w14:paraId="6F686019" w14:textId="664404D2" w:rsidR="00477E59" w:rsidRDefault="00477E59" w:rsidP="00477E59">
            <w:pPr>
              <w:rPr>
                <w:rFonts w:ascii="Arial" w:hAnsi="Arial" w:cs="Arial"/>
                <w:color w:val="000000"/>
                <w:sz w:val="20"/>
                <w:szCs w:val="20"/>
              </w:rPr>
            </w:pPr>
            <w:r w:rsidRPr="00477E59">
              <w:rPr>
                <w:rFonts w:ascii="Arial" w:hAnsi="Arial" w:cs="Arial"/>
                <w:b/>
                <w:bCs/>
                <w:sz w:val="28"/>
                <w:szCs w:val="28"/>
              </w:rPr>
              <w:t xml:space="preserve">Bidding Tool Annex </w:t>
            </w:r>
            <w:r w:rsidR="00872881">
              <w:rPr>
                <w:rFonts w:ascii="Arial" w:hAnsi="Arial" w:cs="Arial"/>
                <w:b/>
                <w:bCs/>
                <w:sz w:val="28"/>
                <w:szCs w:val="28"/>
              </w:rPr>
              <w:t>C</w:t>
            </w:r>
            <w:r w:rsidRPr="00477E59">
              <w:rPr>
                <w:rFonts w:ascii="Arial" w:hAnsi="Arial" w:cs="Arial"/>
                <w:b/>
                <w:bCs/>
                <w:sz w:val="28"/>
                <w:szCs w:val="28"/>
              </w:rPr>
              <w:t xml:space="preserve"> requirement </w:t>
            </w:r>
            <w:r w:rsidR="00872881">
              <w:rPr>
                <w:rFonts w:ascii="Arial" w:hAnsi="Arial" w:cs="Arial"/>
                <w:b/>
                <w:bCs/>
                <w:sz w:val="28"/>
                <w:szCs w:val="28"/>
              </w:rPr>
              <w:t>1</w:t>
            </w:r>
            <w:r w:rsidRPr="00477E59">
              <w:rPr>
                <w:rFonts w:ascii="Arial" w:hAnsi="Arial" w:cs="Arial"/>
                <w:b/>
                <w:bCs/>
                <w:sz w:val="28"/>
                <w:szCs w:val="28"/>
              </w:rPr>
              <w:t>.1</w:t>
            </w:r>
            <w:r w:rsidR="00F43A75" w:rsidRPr="00F43A75">
              <w:rPr>
                <w:rFonts w:ascii="Arial" w:hAnsi="Arial" w:cs="Arial"/>
                <w:color w:val="000000"/>
                <w:sz w:val="20"/>
                <w:szCs w:val="20"/>
              </w:rPr>
              <w:t xml:space="preserve"> </w:t>
            </w:r>
          </w:p>
          <w:p w14:paraId="3B966B69" w14:textId="67642DCF" w:rsidR="004B79A8" w:rsidRPr="00F43A75" w:rsidRDefault="00872881" w:rsidP="00F43A75">
            <w:pPr>
              <w:rPr>
                <w:b/>
                <w:bCs/>
              </w:rPr>
            </w:pPr>
            <w:r w:rsidRPr="00872881">
              <w:t xml:space="preserve">Lift the CPV from the water, using an in-date certified lift and appropriate safe process to reduce the stresses on the GRP hull to prevent damage occurring. Supplier to provide hull blocks to protect sponson from excessive load. </w:t>
            </w:r>
            <w:r w:rsidRPr="00872881">
              <w:rPr>
                <w:b/>
                <w:bCs/>
                <w:color w:val="FF0000"/>
              </w:rPr>
              <w:t>Please provide a statement on how this is undertaken using a safe system of work and method statement</w:t>
            </w:r>
            <w:r w:rsidR="001D690C">
              <w:rPr>
                <w:b/>
                <w:bCs/>
                <w:color w:val="FF0000"/>
              </w:rPr>
              <w:t>.</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F5E62A7">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00F43A75">
        <w:trPr>
          <w:trHeight w:val="10055"/>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p w14:paraId="0D61DF36" w14:textId="36E7927D" w:rsidR="00061F4A" w:rsidRDefault="00061F4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00747DC7">
        <w:trPr>
          <w:trHeight w:val="661"/>
        </w:trPr>
        <w:tc>
          <w:tcPr>
            <w:tcW w:w="5733" w:type="dxa"/>
            <w:shd w:val="clear" w:color="auto" w:fill="7030A0"/>
          </w:tcPr>
          <w:p w14:paraId="37C9E09C" w14:textId="77777777" w:rsidR="00556551" w:rsidRDefault="00556551" w:rsidP="00DF58E3">
            <w:pPr>
              <w:rPr>
                <w:color w:val="FFFFFF" w:themeColor="background1"/>
              </w:rPr>
            </w:pPr>
          </w:p>
          <w:p w14:paraId="56BA921E" w14:textId="77777777" w:rsidR="00556551" w:rsidRPr="00BA0E13" w:rsidRDefault="00556551" w:rsidP="00DF58E3">
            <w:pPr>
              <w:rPr>
                <w:rFonts w:ascii="Arial" w:hAnsi="Arial" w:cs="Arial"/>
                <w:color w:val="FFFFFF" w:themeColor="background1"/>
                <w:sz w:val="32"/>
                <w:szCs w:val="32"/>
              </w:rPr>
            </w:pPr>
            <w:r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556551" w14:paraId="377C0D74" w14:textId="77777777" w:rsidTr="00747DC7">
        <w:trPr>
          <w:trHeight w:val="1749"/>
        </w:trPr>
        <w:tc>
          <w:tcPr>
            <w:tcW w:w="5733" w:type="dxa"/>
          </w:tcPr>
          <w:p w14:paraId="05680267" w14:textId="6CC55A5C" w:rsidR="00477E59" w:rsidRDefault="00477E59" w:rsidP="00503492">
            <w:pPr>
              <w:shd w:val="clear" w:color="auto" w:fill="FFFFFF"/>
              <w:rPr>
                <w:rFonts w:ascii="Arial" w:hAnsi="Arial" w:cs="Arial"/>
                <w:b/>
                <w:bCs/>
                <w:sz w:val="28"/>
                <w:szCs w:val="28"/>
              </w:rPr>
            </w:pPr>
            <w:r w:rsidRPr="00477E59">
              <w:rPr>
                <w:rFonts w:ascii="Arial" w:hAnsi="Arial" w:cs="Arial"/>
                <w:b/>
                <w:bCs/>
                <w:sz w:val="28"/>
                <w:szCs w:val="28"/>
              </w:rPr>
              <w:t xml:space="preserve">Bidding Tool Annex </w:t>
            </w:r>
            <w:r w:rsidR="00E754FF">
              <w:rPr>
                <w:rFonts w:ascii="Arial" w:hAnsi="Arial" w:cs="Arial"/>
                <w:b/>
                <w:bCs/>
                <w:sz w:val="28"/>
                <w:szCs w:val="28"/>
              </w:rPr>
              <w:t>C</w:t>
            </w:r>
            <w:r w:rsidRPr="00477E59">
              <w:rPr>
                <w:rFonts w:ascii="Arial" w:hAnsi="Arial" w:cs="Arial"/>
                <w:b/>
                <w:bCs/>
                <w:sz w:val="28"/>
                <w:szCs w:val="28"/>
              </w:rPr>
              <w:t xml:space="preserve"> requirement </w:t>
            </w:r>
            <w:r w:rsidR="00E754FF">
              <w:rPr>
                <w:rFonts w:ascii="Arial" w:hAnsi="Arial" w:cs="Arial"/>
                <w:b/>
                <w:bCs/>
                <w:sz w:val="28"/>
                <w:szCs w:val="28"/>
              </w:rPr>
              <w:t>14</w:t>
            </w:r>
            <w:r w:rsidRPr="00477E59">
              <w:rPr>
                <w:rFonts w:ascii="Arial" w:hAnsi="Arial" w:cs="Arial"/>
                <w:b/>
                <w:bCs/>
                <w:sz w:val="28"/>
                <w:szCs w:val="28"/>
              </w:rPr>
              <w:t>.1</w:t>
            </w:r>
          </w:p>
          <w:p w14:paraId="3437C33D" w14:textId="388A6929" w:rsidR="00556551" w:rsidRPr="00477E59" w:rsidRDefault="00E754FF" w:rsidP="00477E59">
            <w:pPr>
              <w:shd w:val="clear" w:color="auto" w:fill="FFFFFF"/>
              <w:rPr>
                <w:rFonts w:ascii="Segoe UI" w:eastAsia="Times New Roman" w:hAnsi="Segoe UI" w:cs="Segoe UI"/>
                <w:b/>
                <w:bCs/>
                <w:sz w:val="2"/>
                <w:szCs w:val="2"/>
                <w:lang w:eastAsia="en-GB"/>
              </w:rPr>
            </w:pPr>
            <w:r w:rsidRPr="00E754FF">
              <w:rPr>
                <w:rFonts w:ascii="Arial" w:eastAsia="Times New Roman" w:hAnsi="Arial" w:cs="Arial"/>
                <w:color w:val="000000"/>
                <w:sz w:val="20"/>
                <w:szCs w:val="20"/>
                <w:lang w:eastAsia="en-GB"/>
              </w:rPr>
              <w:t xml:space="preserve">Undertake battery capacity tests on all battery banks. </w:t>
            </w:r>
            <w:r w:rsidRPr="00E754FF">
              <w:rPr>
                <w:rFonts w:ascii="Arial" w:eastAsia="Times New Roman" w:hAnsi="Arial" w:cs="Arial"/>
                <w:color w:val="FF0000"/>
                <w:sz w:val="20"/>
                <w:szCs w:val="20"/>
                <w:lang w:eastAsia="en-GB"/>
              </w:rPr>
              <w:t>Please explain how this will be done, with what test equipment including a method statement</w:t>
            </w:r>
            <w:r w:rsidR="001D690C">
              <w:rPr>
                <w:rFonts w:ascii="Arial" w:eastAsia="Times New Roman" w:hAnsi="Arial" w:cs="Arial"/>
                <w:color w:val="FF0000"/>
                <w:sz w:val="20"/>
                <w:szCs w:val="20"/>
                <w:lang w:eastAsia="en-GB"/>
              </w:rPr>
              <w:t>.</w:t>
            </w:r>
          </w:p>
        </w:tc>
        <w:tc>
          <w:tcPr>
            <w:tcW w:w="4585" w:type="dxa"/>
          </w:tcPr>
          <w:p w14:paraId="5A49B9E0" w14:textId="77777777" w:rsidR="00556551" w:rsidRDefault="00556551" w:rsidP="00DF58E3">
            <w:pPr>
              <w:jc w:val="center"/>
              <w:rPr>
                <w:color w:val="0070C0"/>
                <w:sz w:val="28"/>
                <w:szCs w:val="28"/>
              </w:rPr>
            </w:pPr>
          </w:p>
          <w:p w14:paraId="596CA17D"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118789E0" w14:textId="77777777" w:rsidTr="00747DC7">
        <w:trPr>
          <w:trHeight w:val="672"/>
        </w:trPr>
        <w:tc>
          <w:tcPr>
            <w:tcW w:w="10318" w:type="dxa"/>
            <w:gridSpan w:val="2"/>
            <w:shd w:val="clear" w:color="auto" w:fill="7030A0"/>
          </w:tcPr>
          <w:p w14:paraId="2D1CFB33" w14:textId="77777777" w:rsidR="00556551" w:rsidRPr="007D44CD" w:rsidRDefault="00556551" w:rsidP="00DF58E3">
            <w:pPr>
              <w:pStyle w:val="Subtitle"/>
              <w:rPr>
                <w:color w:val="FFFFFF" w:themeColor="background1"/>
                <w:sz w:val="24"/>
                <w:szCs w:val="24"/>
              </w:rPr>
            </w:pPr>
          </w:p>
          <w:p w14:paraId="4BDDA81F"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668F203E" w14:textId="77777777" w:rsidTr="00747DC7">
        <w:trPr>
          <w:trHeight w:val="9846"/>
        </w:trPr>
        <w:tc>
          <w:tcPr>
            <w:tcW w:w="10318" w:type="dxa"/>
            <w:gridSpan w:val="2"/>
            <w:shd w:val="clear" w:color="auto" w:fill="FFF9E7"/>
          </w:tcPr>
          <w:p w14:paraId="17C11D56" w14:textId="77777777" w:rsidR="00556551" w:rsidRPr="007D44CD" w:rsidRDefault="00556551" w:rsidP="00DF58E3"/>
        </w:tc>
      </w:tr>
    </w:tbl>
    <w:p w14:paraId="4FC5E622" w14:textId="77777777" w:rsidR="006B5E36" w:rsidRDefault="006B5E36"/>
    <w:p w14:paraId="74388C80"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00DF58E3">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556551" w14:paraId="33E4C0B1" w14:textId="77777777" w:rsidTr="00DF58E3">
        <w:tc>
          <w:tcPr>
            <w:tcW w:w="5913" w:type="dxa"/>
          </w:tcPr>
          <w:p w14:paraId="37CF7368" w14:textId="77777777" w:rsidR="00E754FF" w:rsidRDefault="00477E59" w:rsidP="00477E59">
            <w:pPr>
              <w:rPr>
                <w:rFonts w:ascii="Arial" w:hAnsi="Arial" w:cs="Arial"/>
                <w:b/>
                <w:bCs/>
                <w:sz w:val="28"/>
                <w:szCs w:val="28"/>
              </w:rPr>
            </w:pPr>
            <w:r w:rsidRPr="00477E59">
              <w:rPr>
                <w:rFonts w:ascii="Arial" w:hAnsi="Arial" w:cs="Arial"/>
                <w:b/>
                <w:bCs/>
                <w:sz w:val="28"/>
                <w:szCs w:val="28"/>
              </w:rPr>
              <w:t xml:space="preserve">Bidding Tool Annex D </w:t>
            </w:r>
            <w:r w:rsidR="00E754FF">
              <w:rPr>
                <w:rFonts w:ascii="Arial" w:hAnsi="Arial" w:cs="Arial"/>
                <w:b/>
                <w:bCs/>
                <w:sz w:val="28"/>
                <w:szCs w:val="28"/>
              </w:rPr>
              <w:t>defect 1</w:t>
            </w:r>
          </w:p>
          <w:p w14:paraId="5F962574" w14:textId="2C45885E" w:rsidR="009B79D2" w:rsidRPr="009B79D2" w:rsidRDefault="00E754FF" w:rsidP="00477E59">
            <w:pPr>
              <w:rPr>
                <w:rFonts w:ascii="Arial" w:hAnsi="Arial" w:cs="Arial"/>
                <w:b/>
                <w:bCs/>
                <w:sz w:val="20"/>
                <w:szCs w:val="20"/>
                <w:shd w:val="clear" w:color="auto" w:fill="FFFFFF"/>
              </w:rPr>
            </w:pPr>
            <w:r w:rsidRPr="00E754FF">
              <w:rPr>
                <w:rFonts w:ascii="Arial" w:hAnsi="Arial" w:cs="Arial"/>
                <w:sz w:val="20"/>
                <w:szCs w:val="20"/>
                <w:shd w:val="clear" w:color="auto" w:fill="FFFFFF"/>
              </w:rPr>
              <w:t xml:space="preserve">Repair damaged/de-laminating areas of hull. </w:t>
            </w:r>
            <w:r w:rsidRPr="00E754FF">
              <w:rPr>
                <w:rFonts w:ascii="Arial" w:hAnsi="Arial" w:cs="Arial"/>
                <w:b/>
                <w:bCs/>
                <w:color w:val="FF0000"/>
                <w:sz w:val="20"/>
                <w:szCs w:val="20"/>
                <w:shd w:val="clear" w:color="auto" w:fill="FFFFFF"/>
              </w:rPr>
              <w:t>Please explain how this work would be undertaken, including safe systems of work? This should also include a brief description of any impact factors due to the time of year</w:t>
            </w:r>
            <w:r w:rsidR="001D690C">
              <w:rPr>
                <w:rFonts w:ascii="Arial" w:hAnsi="Arial" w:cs="Arial"/>
                <w:b/>
                <w:bCs/>
                <w:color w:val="FF0000"/>
                <w:sz w:val="20"/>
                <w:szCs w:val="20"/>
                <w:shd w:val="clear" w:color="auto" w:fill="FFFFFF"/>
              </w:rPr>
              <w:t>.</w:t>
            </w:r>
          </w:p>
        </w:tc>
        <w:tc>
          <w:tcPr>
            <w:tcW w:w="4405" w:type="dxa"/>
          </w:tcPr>
          <w:p w14:paraId="1E27B97F" w14:textId="77777777" w:rsidR="00556551" w:rsidRDefault="00556551" w:rsidP="00DF58E3">
            <w:pPr>
              <w:jc w:val="center"/>
              <w:rPr>
                <w:color w:val="0070C0"/>
                <w:sz w:val="28"/>
                <w:szCs w:val="28"/>
              </w:rPr>
            </w:pPr>
          </w:p>
          <w:p w14:paraId="7503F541"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736F12C0" w14:textId="77777777" w:rsidTr="00DF58E3">
        <w:tc>
          <w:tcPr>
            <w:tcW w:w="10318" w:type="dxa"/>
            <w:gridSpan w:val="2"/>
            <w:shd w:val="clear" w:color="auto" w:fill="7030A0"/>
          </w:tcPr>
          <w:p w14:paraId="69C1065D" w14:textId="77777777" w:rsidR="00556551" w:rsidRPr="007D44CD" w:rsidRDefault="00556551" w:rsidP="00DF58E3">
            <w:pPr>
              <w:pStyle w:val="Subtitle"/>
              <w:rPr>
                <w:color w:val="FFFFFF" w:themeColor="background1"/>
                <w:sz w:val="24"/>
                <w:szCs w:val="24"/>
              </w:rPr>
            </w:pPr>
          </w:p>
          <w:p w14:paraId="2D1E033D"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394CA128" w14:textId="77777777" w:rsidTr="009A10E2">
        <w:trPr>
          <w:trHeight w:val="10774"/>
        </w:trPr>
        <w:tc>
          <w:tcPr>
            <w:tcW w:w="10318" w:type="dxa"/>
            <w:gridSpan w:val="2"/>
            <w:shd w:val="clear" w:color="auto" w:fill="FFF9E7"/>
          </w:tcPr>
          <w:p w14:paraId="072F368E" w14:textId="77777777" w:rsidR="00556551" w:rsidRPr="007D44CD" w:rsidRDefault="00556551" w:rsidP="00DF58E3"/>
        </w:tc>
      </w:tr>
    </w:tbl>
    <w:p w14:paraId="168E093F" w14:textId="77777777" w:rsidR="006B5E36" w:rsidRDefault="006B5E36"/>
    <w:p w14:paraId="1C8B90BC" w14:textId="77777777" w:rsidR="001C1A37" w:rsidRDefault="001C1A37"/>
    <w:p w14:paraId="6D57CCB8" w14:textId="77777777" w:rsidR="001C1A37" w:rsidRDefault="001C1A37"/>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462DA6B1" w14:textId="77777777" w:rsidTr="00DF58E3">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556551" w14:paraId="3B82AAA5" w14:textId="77777777" w:rsidTr="00DF58E3">
        <w:tc>
          <w:tcPr>
            <w:tcW w:w="5913" w:type="dxa"/>
          </w:tcPr>
          <w:p w14:paraId="56EAEF5E" w14:textId="23B1DBCD" w:rsidR="00477E59" w:rsidRDefault="00477E59" w:rsidP="00DF58E3">
            <w:pPr>
              <w:rPr>
                <w:rFonts w:ascii="Arial" w:hAnsi="Arial" w:cs="Arial"/>
                <w:b/>
                <w:bCs/>
                <w:sz w:val="28"/>
                <w:szCs w:val="28"/>
              </w:rPr>
            </w:pPr>
            <w:r w:rsidRPr="00477E59">
              <w:rPr>
                <w:rFonts w:ascii="Arial" w:hAnsi="Arial" w:cs="Arial"/>
                <w:b/>
                <w:bCs/>
                <w:sz w:val="28"/>
                <w:szCs w:val="28"/>
              </w:rPr>
              <w:t xml:space="preserve">Bidding Tool Annex D </w:t>
            </w:r>
            <w:r w:rsidR="00E754FF">
              <w:rPr>
                <w:rFonts w:ascii="Arial" w:hAnsi="Arial" w:cs="Arial"/>
                <w:b/>
                <w:bCs/>
                <w:sz w:val="28"/>
                <w:szCs w:val="28"/>
              </w:rPr>
              <w:t>defect 5</w:t>
            </w:r>
          </w:p>
          <w:p w14:paraId="5BFA9847" w14:textId="028D5BE3" w:rsidR="00556551" w:rsidRDefault="00E754FF" w:rsidP="00477E59">
            <w:r w:rsidRPr="00E754FF">
              <w:rPr>
                <w:rFonts w:ascii="Arial" w:hAnsi="Arial" w:cs="Arial"/>
                <w:color w:val="000000"/>
                <w:sz w:val="20"/>
                <w:szCs w:val="20"/>
              </w:rPr>
              <w:t xml:space="preserve">Clean and inspect both main engine mounts. </w:t>
            </w:r>
            <w:r w:rsidRPr="00E754FF">
              <w:rPr>
                <w:rFonts w:ascii="Arial" w:hAnsi="Arial" w:cs="Arial"/>
                <w:b/>
                <w:bCs/>
                <w:color w:val="FF0000"/>
                <w:sz w:val="20"/>
                <w:szCs w:val="20"/>
              </w:rPr>
              <w:t>Explain what the inspector would be looking for during this inspection and his qualifications for undertaking this task</w:t>
            </w:r>
            <w:r w:rsidR="00477E59" w:rsidRPr="00E754FF">
              <w:rPr>
                <w:rFonts w:ascii="Arial" w:hAnsi="Arial" w:cs="Arial"/>
                <w:b/>
                <w:bCs/>
                <w:color w:val="FF0000"/>
                <w:sz w:val="20"/>
                <w:szCs w:val="20"/>
              </w:rPr>
              <w:t>.</w:t>
            </w:r>
          </w:p>
        </w:tc>
        <w:tc>
          <w:tcPr>
            <w:tcW w:w="4405" w:type="dxa"/>
          </w:tcPr>
          <w:p w14:paraId="37B0B1D0" w14:textId="77777777" w:rsidR="00556551" w:rsidRDefault="00556551" w:rsidP="00DF58E3">
            <w:pPr>
              <w:jc w:val="center"/>
              <w:rPr>
                <w:color w:val="0070C0"/>
                <w:sz w:val="28"/>
                <w:szCs w:val="28"/>
              </w:rPr>
            </w:pPr>
          </w:p>
          <w:p w14:paraId="10A2401F" w14:textId="77777777" w:rsidR="00556551" w:rsidRPr="004B79A8" w:rsidRDefault="00556551" w:rsidP="00DF58E3">
            <w:pPr>
              <w:jc w:val="center"/>
              <w:rPr>
                <w:color w:val="0070C0"/>
                <w:sz w:val="28"/>
                <w:szCs w:val="28"/>
              </w:rPr>
            </w:pPr>
            <w:r w:rsidRPr="004B79A8">
              <w:rPr>
                <w:color w:val="0070C0"/>
                <w:sz w:val="28"/>
                <w:szCs w:val="28"/>
              </w:rPr>
              <w:t>5%</w:t>
            </w:r>
          </w:p>
        </w:tc>
      </w:tr>
      <w:tr w:rsidR="00556551" w:rsidRPr="007D44CD" w14:paraId="5B13BFC0" w14:textId="77777777" w:rsidTr="00DF58E3">
        <w:tc>
          <w:tcPr>
            <w:tcW w:w="10318" w:type="dxa"/>
            <w:gridSpan w:val="2"/>
            <w:shd w:val="clear" w:color="auto" w:fill="7030A0"/>
          </w:tcPr>
          <w:p w14:paraId="1ED95D6D" w14:textId="77777777" w:rsidR="00556551" w:rsidRPr="007D44CD" w:rsidRDefault="00556551" w:rsidP="00DF58E3">
            <w:pPr>
              <w:pStyle w:val="Subtitle"/>
              <w:rPr>
                <w:color w:val="FFFFFF" w:themeColor="background1"/>
                <w:sz w:val="24"/>
                <w:szCs w:val="24"/>
              </w:rPr>
            </w:pPr>
          </w:p>
          <w:p w14:paraId="13E1DE24" w14:textId="77777777" w:rsidR="00556551" w:rsidRPr="007D44CD" w:rsidRDefault="00556551" w:rsidP="00DF58E3">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556551" w14:paraId="425C9E9E" w14:textId="77777777" w:rsidTr="008352A1">
        <w:trPr>
          <w:trHeight w:val="10466"/>
        </w:trPr>
        <w:tc>
          <w:tcPr>
            <w:tcW w:w="10318" w:type="dxa"/>
            <w:gridSpan w:val="2"/>
            <w:shd w:val="clear" w:color="auto" w:fill="FFF9E7"/>
          </w:tcPr>
          <w:p w14:paraId="1FB01D31" w14:textId="77777777" w:rsidR="00556551" w:rsidRPr="007D44CD" w:rsidRDefault="00556551" w:rsidP="00DF58E3"/>
        </w:tc>
      </w:tr>
    </w:tbl>
    <w:p w14:paraId="317A14E4" w14:textId="77777777" w:rsidR="006B5E36" w:rsidRDefault="006B5E36"/>
    <w:p w14:paraId="115EB37D" w14:textId="2A656444" w:rsidR="00E81F48" w:rsidRDefault="00E81F48" w:rsidP="00E81F48">
      <w:pPr>
        <w:tabs>
          <w:tab w:val="left" w:pos="1425"/>
        </w:tabs>
      </w:pPr>
      <w:r>
        <w:tab/>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00DF41F9">
        <w:trPr>
          <w:trHeight w:val="1160"/>
        </w:trPr>
        <w:tc>
          <w:tcPr>
            <w:tcW w:w="8759" w:type="dxa"/>
            <w:shd w:val="clear" w:color="auto" w:fill="7030A0"/>
          </w:tcPr>
          <w:p w14:paraId="0BAA0FF7" w14:textId="77777777" w:rsidR="004626A0" w:rsidRPr="00406E93" w:rsidRDefault="004626A0" w:rsidP="00DF41F9">
            <w:pPr>
              <w:rPr>
                <w:rFonts w:ascii="Arial" w:hAnsi="Arial" w:cs="Arial"/>
                <w:color w:val="FFFFFF" w:themeColor="background1"/>
              </w:rPr>
            </w:pPr>
          </w:p>
          <w:p w14:paraId="16332291" w14:textId="77777777" w:rsidR="004626A0" w:rsidRPr="00406E93" w:rsidRDefault="004626A0" w:rsidP="00DF41F9">
            <w:pPr>
              <w:rPr>
                <w:rFonts w:ascii="Arial" w:hAnsi="Arial" w:cs="Arial"/>
                <w:color w:val="FFFFFF" w:themeColor="background1"/>
              </w:rPr>
            </w:pPr>
          </w:p>
          <w:p w14:paraId="42C1D21E" w14:textId="77777777" w:rsidR="004626A0" w:rsidRPr="00406E93" w:rsidRDefault="004626A0" w:rsidP="00DF41F9">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406E93" w:rsidRDefault="004626A0" w:rsidP="00DF41F9">
            <w:pPr>
              <w:rPr>
                <w:rFonts w:ascii="Arial" w:hAnsi="Arial" w:cs="Arial"/>
                <w:color w:val="FFFFFF" w:themeColor="background1"/>
                <w:sz w:val="24"/>
                <w:szCs w:val="24"/>
              </w:rPr>
            </w:pPr>
          </w:p>
          <w:p w14:paraId="336D81F4" w14:textId="77777777" w:rsidR="004626A0" w:rsidRPr="00406E93" w:rsidRDefault="004626A0" w:rsidP="00DF41F9">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0B1F4755" w14:textId="77777777" w:rsidR="004626A0" w:rsidRPr="00406E93" w:rsidRDefault="004626A0" w:rsidP="00DF41F9">
            <w:pPr>
              <w:rPr>
                <w:rFonts w:ascii="Arial" w:hAnsi="Arial" w:cs="Arial"/>
                <w:color w:val="FFFFFF" w:themeColor="background1"/>
                <w:sz w:val="28"/>
                <w:szCs w:val="28"/>
              </w:rPr>
            </w:pPr>
          </w:p>
        </w:tc>
      </w:tr>
      <w:tr w:rsidR="004626A0" w14:paraId="28EEB13C" w14:textId="77777777" w:rsidTr="00DF41F9">
        <w:tc>
          <w:tcPr>
            <w:tcW w:w="8759" w:type="dxa"/>
          </w:tcPr>
          <w:p w14:paraId="0861A7AC" w14:textId="77777777" w:rsidR="004626A0" w:rsidRPr="00406E93" w:rsidRDefault="004626A0" w:rsidP="00DF41F9">
            <w:pPr>
              <w:rPr>
                <w:rFonts w:ascii="Arial" w:hAnsi="Arial" w:cs="Arial"/>
                <w:b/>
                <w:bCs/>
                <w:sz w:val="28"/>
                <w:szCs w:val="28"/>
              </w:rPr>
            </w:pPr>
            <w:r w:rsidRPr="00406E93">
              <w:rPr>
                <w:rFonts w:ascii="Arial" w:hAnsi="Arial" w:cs="Arial"/>
                <w:b/>
                <w:bCs/>
                <w:sz w:val="28"/>
                <w:szCs w:val="28"/>
              </w:rPr>
              <w:t>Statement of Requirements Clause 6.3</w:t>
            </w:r>
          </w:p>
          <w:p w14:paraId="256A1899" w14:textId="77777777" w:rsidR="004626A0" w:rsidRPr="00CC60F3" w:rsidRDefault="004626A0" w:rsidP="00DF41F9">
            <w:pPr>
              <w:rPr>
                <w:rFonts w:ascii="Arial" w:hAnsi="Arial" w:cs="Arial"/>
                <w:color w:val="000000"/>
                <w:sz w:val="16"/>
                <w:szCs w:val="16"/>
              </w:rPr>
            </w:pPr>
            <w:r w:rsidRPr="00CC60F3">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23E7860" w14:textId="5B79AC0F" w:rsidR="004626A0" w:rsidRPr="00CC60F3"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6.3.1</w:t>
            </w:r>
            <w:r w:rsidRPr="00CC60F3">
              <w:rPr>
                <w:rFonts w:ascii="Arial" w:hAnsi="Arial" w:cs="Arial"/>
                <w:color w:val="000000"/>
                <w:sz w:val="16"/>
                <w:szCs w:val="16"/>
              </w:rPr>
              <w:tab/>
              <w:t>The CDP will be evaluated and contribute 5% to the total evaluation score.</w:t>
            </w:r>
          </w:p>
          <w:p w14:paraId="5CB272F2" w14:textId="2AA268F7" w:rsidR="004626A0" w:rsidRDefault="004626A0" w:rsidP="007E4A86">
            <w:pPr>
              <w:ind w:left="720" w:hanging="429"/>
              <w:rPr>
                <w:rFonts w:ascii="Arial" w:hAnsi="Arial" w:cs="Arial"/>
                <w:color w:val="000000"/>
                <w:sz w:val="16"/>
                <w:szCs w:val="16"/>
              </w:rPr>
            </w:pPr>
            <w:r w:rsidRPr="00CC60F3">
              <w:rPr>
                <w:rFonts w:ascii="Arial" w:hAnsi="Arial" w:cs="Arial"/>
                <w:color w:val="000000"/>
                <w:sz w:val="16"/>
                <w:szCs w:val="16"/>
              </w:rPr>
              <w:t>6.3.2</w:t>
            </w:r>
            <w:r w:rsidRPr="00CC60F3">
              <w:rPr>
                <w:rFonts w:ascii="Arial" w:hAnsi="Arial" w:cs="Arial"/>
                <w:color w:val="000000"/>
                <w:sz w:val="16"/>
                <w:szCs w:val="16"/>
              </w:rPr>
              <w:tab/>
              <w:t>The CDP shall, in addition to § 6.3:</w:t>
            </w:r>
          </w:p>
          <w:p w14:paraId="44F0A5A6" w14:textId="45025E0F"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6.3.2.1</w:t>
            </w:r>
            <w:r w:rsidR="00EC085A">
              <w:rPr>
                <w:rFonts w:ascii="Arial" w:hAnsi="Arial" w:cs="Arial"/>
                <w:color w:val="000000"/>
                <w:sz w:val="16"/>
                <w:szCs w:val="16"/>
              </w:rPr>
              <w:tab/>
            </w:r>
            <w:r w:rsidRPr="00CC60F3">
              <w:rPr>
                <w:rFonts w:ascii="Arial" w:hAnsi="Arial" w:cs="Arial"/>
                <w:color w:val="000000"/>
                <w:sz w:val="16"/>
                <w:szCs w:val="16"/>
              </w:rPr>
              <w:t>Clearly show the Critical Path, with key milestones.</w:t>
            </w:r>
          </w:p>
          <w:p w14:paraId="5F0FB52F" w14:textId="4C869A5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6.3.2.2</w:t>
            </w:r>
            <w:r w:rsidRPr="00CC60F3">
              <w:rPr>
                <w:rFonts w:ascii="Arial" w:hAnsi="Arial" w:cs="Arial"/>
                <w:color w:val="000000"/>
                <w:sz w:val="16"/>
                <w:szCs w:val="16"/>
              </w:rPr>
              <w:tab/>
              <w:t xml:space="preserve">List all Major Headings in Annexes A, B, C, </w:t>
            </w:r>
            <w:r w:rsidR="00877327">
              <w:rPr>
                <w:rFonts w:ascii="Arial" w:hAnsi="Arial" w:cs="Arial"/>
                <w:color w:val="000000"/>
                <w:sz w:val="16"/>
                <w:szCs w:val="16"/>
              </w:rPr>
              <w:t>and D</w:t>
            </w:r>
            <w:r w:rsidRPr="00CC60F3">
              <w:rPr>
                <w:rFonts w:ascii="Arial" w:hAnsi="Arial" w:cs="Arial"/>
                <w:color w:val="000000"/>
                <w:sz w:val="16"/>
                <w:szCs w:val="16"/>
              </w:rPr>
              <w:t xml:space="preserve"> of the Bidding. Tool</w:t>
            </w:r>
          </w:p>
          <w:p w14:paraId="2CF2AB46" w14:textId="30D82B26"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6.3.2.3</w:t>
            </w:r>
            <w:r w:rsidRPr="00CC60F3">
              <w:rPr>
                <w:rFonts w:ascii="Arial" w:hAnsi="Arial" w:cs="Arial"/>
                <w:color w:val="000000"/>
                <w:sz w:val="16"/>
                <w:szCs w:val="16"/>
              </w:rPr>
              <w:tab/>
              <w:t xml:space="preserve">List all work in chronological order with relationships clearly shown and </w:t>
            </w:r>
            <w:r w:rsidR="00EC085A" w:rsidRPr="00CC60F3">
              <w:rPr>
                <w:rFonts w:ascii="Arial" w:hAnsi="Arial" w:cs="Arial"/>
                <w:color w:val="000000"/>
                <w:sz w:val="16"/>
                <w:szCs w:val="16"/>
              </w:rPr>
              <w:t>logically</w:t>
            </w:r>
            <w:r w:rsidR="00EC085A">
              <w:rPr>
                <w:rFonts w:ascii="Arial" w:hAnsi="Arial" w:cs="Arial"/>
                <w:color w:val="000000"/>
                <w:sz w:val="16"/>
                <w:szCs w:val="16"/>
              </w:rPr>
              <w:t xml:space="preserve"> </w:t>
            </w:r>
            <w:r w:rsidRPr="00CC60F3">
              <w:rPr>
                <w:rFonts w:ascii="Arial" w:hAnsi="Arial" w:cs="Arial"/>
                <w:color w:val="000000"/>
                <w:sz w:val="16"/>
                <w:szCs w:val="16"/>
              </w:rPr>
              <w:t>scheduled across all annexes.</w:t>
            </w:r>
          </w:p>
          <w:p w14:paraId="74A17691" w14:textId="77777777" w:rsidR="004626A0" w:rsidRPr="00CC60F3" w:rsidRDefault="004626A0" w:rsidP="007E4A86">
            <w:pPr>
              <w:ind w:left="1141" w:hanging="567"/>
              <w:rPr>
                <w:rFonts w:ascii="Arial" w:hAnsi="Arial" w:cs="Arial"/>
                <w:color w:val="000000"/>
                <w:sz w:val="16"/>
                <w:szCs w:val="16"/>
              </w:rPr>
            </w:pPr>
            <w:r w:rsidRPr="00CC60F3">
              <w:rPr>
                <w:rFonts w:ascii="Arial" w:hAnsi="Arial" w:cs="Arial"/>
                <w:color w:val="000000"/>
                <w:sz w:val="16"/>
                <w:szCs w:val="16"/>
              </w:rPr>
              <w:t>6.3.2.4</w:t>
            </w:r>
            <w:r w:rsidRPr="00CC60F3">
              <w:rPr>
                <w:rFonts w:ascii="Arial" w:hAnsi="Arial" w:cs="Arial"/>
                <w:color w:val="000000"/>
                <w:sz w:val="16"/>
                <w:szCs w:val="16"/>
              </w:rPr>
              <w:tab/>
              <w:t>Include start and finish dates for all work.</w:t>
            </w:r>
          </w:p>
          <w:p w14:paraId="714E8638" w14:textId="77777777" w:rsidR="004626A0" w:rsidRDefault="004626A0" w:rsidP="007E4A86">
            <w:pPr>
              <w:ind w:left="1141" w:hanging="567"/>
            </w:pPr>
            <w:r w:rsidRPr="00CC60F3">
              <w:rPr>
                <w:rFonts w:ascii="Arial" w:hAnsi="Arial" w:cs="Arial"/>
                <w:color w:val="000000"/>
                <w:sz w:val="16"/>
                <w:szCs w:val="16"/>
              </w:rPr>
              <w:t>6.3.2.5</w:t>
            </w:r>
            <w:r w:rsidRPr="00CC60F3">
              <w:rPr>
                <w:rFonts w:ascii="Arial" w:hAnsi="Arial" w:cs="Arial"/>
                <w:color w:val="000000"/>
                <w:sz w:val="16"/>
                <w:szCs w:val="16"/>
              </w:rPr>
              <w:tab/>
              <w:t>Be presented in a reasonable, understandable, and readily readable electronic format.</w:t>
            </w:r>
          </w:p>
        </w:tc>
        <w:tc>
          <w:tcPr>
            <w:tcW w:w="1559" w:type="dxa"/>
          </w:tcPr>
          <w:p w14:paraId="6C8001C2" w14:textId="77777777" w:rsidR="004626A0" w:rsidRDefault="004626A0" w:rsidP="00DF41F9">
            <w:pPr>
              <w:jc w:val="center"/>
              <w:rPr>
                <w:color w:val="0070C0"/>
                <w:sz w:val="28"/>
                <w:szCs w:val="28"/>
              </w:rPr>
            </w:pPr>
          </w:p>
          <w:p w14:paraId="05D07394" w14:textId="77777777" w:rsidR="004626A0" w:rsidRPr="004B79A8" w:rsidRDefault="004626A0" w:rsidP="00DF41F9">
            <w:pPr>
              <w:jc w:val="center"/>
              <w:rPr>
                <w:color w:val="0070C0"/>
                <w:sz w:val="28"/>
                <w:szCs w:val="28"/>
              </w:rPr>
            </w:pPr>
            <w:r w:rsidRPr="004B79A8">
              <w:rPr>
                <w:color w:val="0070C0"/>
                <w:sz w:val="28"/>
                <w:szCs w:val="28"/>
              </w:rPr>
              <w:t>5%</w:t>
            </w:r>
          </w:p>
        </w:tc>
      </w:tr>
      <w:tr w:rsidR="004626A0" w:rsidRPr="007D44CD" w14:paraId="35268D25" w14:textId="77777777" w:rsidTr="00DF41F9">
        <w:tc>
          <w:tcPr>
            <w:tcW w:w="10318" w:type="dxa"/>
            <w:gridSpan w:val="2"/>
            <w:shd w:val="clear" w:color="auto" w:fill="7030A0"/>
          </w:tcPr>
          <w:p w14:paraId="681214AD" w14:textId="77777777" w:rsidR="004626A0" w:rsidRPr="007D44CD" w:rsidRDefault="004626A0" w:rsidP="00DF41F9">
            <w:pPr>
              <w:pStyle w:val="Subtitle"/>
              <w:rPr>
                <w:color w:val="FFFFFF" w:themeColor="background1"/>
                <w:sz w:val="24"/>
                <w:szCs w:val="24"/>
              </w:rPr>
            </w:pPr>
          </w:p>
          <w:p w14:paraId="18B00E70" w14:textId="77777777" w:rsidR="004626A0" w:rsidRPr="007D44CD" w:rsidRDefault="004626A0" w:rsidP="00DF41F9">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4626A0" w14:paraId="0DEE9B2E" w14:textId="77777777" w:rsidTr="00DF41F9">
        <w:trPr>
          <w:trHeight w:val="9206"/>
        </w:trPr>
        <w:tc>
          <w:tcPr>
            <w:tcW w:w="10318" w:type="dxa"/>
            <w:gridSpan w:val="2"/>
            <w:shd w:val="clear" w:color="auto" w:fill="FFF9E7"/>
          </w:tcPr>
          <w:p w14:paraId="23018F99" w14:textId="77777777" w:rsidR="004626A0" w:rsidRPr="007D44CD" w:rsidRDefault="004626A0" w:rsidP="00DF41F9"/>
        </w:tc>
      </w:tr>
    </w:tbl>
    <w:p w14:paraId="15C3E8D7" w14:textId="77777777" w:rsidR="004626A0" w:rsidRDefault="004626A0" w:rsidP="004626A0"/>
    <w:p w14:paraId="2D7A73A6" w14:textId="77777777" w:rsidR="004626A0" w:rsidRPr="009B79D2" w:rsidRDefault="004626A0" w:rsidP="004626A0">
      <w:pPr>
        <w:pStyle w:val="Heading1"/>
        <w:rPr>
          <w:rFonts w:ascii="Arial" w:hAnsi="Arial" w:cs="Arial"/>
        </w:rPr>
      </w:pPr>
      <w:r w:rsidRPr="009B79D2">
        <w:rPr>
          <w:rFonts w:ascii="Arial" w:hAnsi="Arial" w:cs="Arial"/>
        </w:rPr>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7B44D94A"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70</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615BDCF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100/70/30/0 - 3</w:t>
            </w:r>
            <w:r w:rsidR="00877327">
              <w:rPr>
                <w:rFonts w:ascii="Arial" w:hAnsi="Arial" w:cs="Arial"/>
              </w:rPr>
              <w:t>0</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footerReference w:type="default" r:id="rId13"/>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0F269390" w:rsidR="00F230F9" w:rsidRPr="007E1E5B" w:rsidRDefault="009A10E2" w:rsidP="00F230F9">
    <w:pPr>
      <w:pStyle w:val="Footer"/>
      <w:jc w:val="center"/>
      <w:rPr>
        <w:sz w:val="18"/>
      </w:rPr>
    </w:pPr>
    <w:r>
      <w:rPr>
        <w:sz w:val="18"/>
      </w:rPr>
      <w:t xml:space="preserve">project_744 </w:t>
    </w:r>
    <w:r w:rsidR="00F230F9" w:rsidRPr="007E1E5B">
      <w:rPr>
        <w:sz w:val="18"/>
      </w:rPr>
      <w:t xml:space="preserve">- Page </w:t>
    </w:r>
    <w:r w:rsidR="00F230F9" w:rsidRPr="007E1E5B">
      <w:rPr>
        <w:sz w:val="18"/>
      </w:rPr>
      <w:fldChar w:fldCharType="begin"/>
    </w:r>
    <w:r w:rsidR="00F230F9" w:rsidRPr="007E1E5B">
      <w:rPr>
        <w:sz w:val="18"/>
      </w:rPr>
      <w:instrText xml:space="preserve"> PAGE  \* Arabic  \* MERGEFORMAT </w:instrText>
    </w:r>
    <w:r w:rsidR="00F230F9" w:rsidRPr="007E1E5B">
      <w:rPr>
        <w:sz w:val="18"/>
      </w:rPr>
      <w:fldChar w:fldCharType="separate"/>
    </w:r>
    <w:r w:rsidR="00F230F9">
      <w:rPr>
        <w:sz w:val="18"/>
      </w:rPr>
      <w:t>2</w:t>
    </w:r>
    <w:r w:rsidR="00F230F9" w:rsidRPr="007E1E5B">
      <w:rPr>
        <w:sz w:val="18"/>
      </w:rPr>
      <w:fldChar w:fldCharType="end"/>
    </w:r>
    <w:r w:rsidR="00F230F9" w:rsidRPr="007E1E5B">
      <w:rPr>
        <w:sz w:val="18"/>
      </w:rPr>
      <w:t xml:space="preserve"> of </w:t>
    </w:r>
    <w:r w:rsidR="00F230F9" w:rsidRPr="007E1E5B">
      <w:rPr>
        <w:sz w:val="18"/>
      </w:rPr>
      <w:fldChar w:fldCharType="begin"/>
    </w:r>
    <w:r w:rsidR="00F230F9" w:rsidRPr="007E1E5B">
      <w:rPr>
        <w:sz w:val="18"/>
      </w:rPr>
      <w:instrText xml:space="preserve"> NUMPAGES  \* Arabic  \* MERGEFORMAT </w:instrText>
    </w:r>
    <w:r w:rsidR="00F230F9" w:rsidRPr="007E1E5B">
      <w:rPr>
        <w:sz w:val="18"/>
      </w:rPr>
      <w:fldChar w:fldCharType="separate"/>
    </w:r>
    <w:r w:rsidR="00F230F9">
      <w:rPr>
        <w:sz w:val="18"/>
      </w:rPr>
      <w:t>33</w:t>
    </w:r>
    <w:r w:rsidR="00F230F9" w:rsidRPr="007E1E5B">
      <w:rPr>
        <w:sz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46AAA"/>
    <w:rsid w:val="00167A0C"/>
    <w:rsid w:val="001A361E"/>
    <w:rsid w:val="001C1A37"/>
    <w:rsid w:val="001C7D15"/>
    <w:rsid w:val="001D1784"/>
    <w:rsid w:val="001D690C"/>
    <w:rsid w:val="001F53DA"/>
    <w:rsid w:val="001F7DF7"/>
    <w:rsid w:val="00207F5F"/>
    <w:rsid w:val="00241FD1"/>
    <w:rsid w:val="00273618"/>
    <w:rsid w:val="00273EBD"/>
    <w:rsid w:val="002D0141"/>
    <w:rsid w:val="002D3CAC"/>
    <w:rsid w:val="00310632"/>
    <w:rsid w:val="003147A4"/>
    <w:rsid w:val="00317BF9"/>
    <w:rsid w:val="003239FD"/>
    <w:rsid w:val="0032507E"/>
    <w:rsid w:val="00340B6B"/>
    <w:rsid w:val="00350FFC"/>
    <w:rsid w:val="003D7024"/>
    <w:rsid w:val="003E5869"/>
    <w:rsid w:val="003F25CD"/>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77F3"/>
    <w:rsid w:val="005678EB"/>
    <w:rsid w:val="005A1151"/>
    <w:rsid w:val="005A67A3"/>
    <w:rsid w:val="005D00DC"/>
    <w:rsid w:val="005E5477"/>
    <w:rsid w:val="005F71C1"/>
    <w:rsid w:val="00656C4E"/>
    <w:rsid w:val="00667100"/>
    <w:rsid w:val="00677742"/>
    <w:rsid w:val="006B0C0F"/>
    <w:rsid w:val="006B5E36"/>
    <w:rsid w:val="006C2B3C"/>
    <w:rsid w:val="006C2B74"/>
    <w:rsid w:val="006E1ABD"/>
    <w:rsid w:val="00715638"/>
    <w:rsid w:val="00736A52"/>
    <w:rsid w:val="00746A07"/>
    <w:rsid w:val="00747DC7"/>
    <w:rsid w:val="007611EE"/>
    <w:rsid w:val="00763C6A"/>
    <w:rsid w:val="007A2549"/>
    <w:rsid w:val="007A3133"/>
    <w:rsid w:val="007D44CD"/>
    <w:rsid w:val="007E4A86"/>
    <w:rsid w:val="008352A1"/>
    <w:rsid w:val="008669B2"/>
    <w:rsid w:val="00867A70"/>
    <w:rsid w:val="00872881"/>
    <w:rsid w:val="00877327"/>
    <w:rsid w:val="0089279A"/>
    <w:rsid w:val="00895362"/>
    <w:rsid w:val="008A63DE"/>
    <w:rsid w:val="008B1FE9"/>
    <w:rsid w:val="008C48D2"/>
    <w:rsid w:val="008D3117"/>
    <w:rsid w:val="009210B7"/>
    <w:rsid w:val="00973185"/>
    <w:rsid w:val="0098596A"/>
    <w:rsid w:val="009A10E2"/>
    <w:rsid w:val="009A394F"/>
    <w:rsid w:val="009B2B56"/>
    <w:rsid w:val="009B79D2"/>
    <w:rsid w:val="009D262D"/>
    <w:rsid w:val="009E40AB"/>
    <w:rsid w:val="009F7AD8"/>
    <w:rsid w:val="00A13631"/>
    <w:rsid w:val="00A24818"/>
    <w:rsid w:val="00A26FAB"/>
    <w:rsid w:val="00A3037E"/>
    <w:rsid w:val="00A32A3B"/>
    <w:rsid w:val="00A40ACF"/>
    <w:rsid w:val="00A448D2"/>
    <w:rsid w:val="00A54169"/>
    <w:rsid w:val="00A56C1B"/>
    <w:rsid w:val="00A606A9"/>
    <w:rsid w:val="00A85520"/>
    <w:rsid w:val="00AA42DD"/>
    <w:rsid w:val="00AB425A"/>
    <w:rsid w:val="00AC61E2"/>
    <w:rsid w:val="00AD2932"/>
    <w:rsid w:val="00AE01A0"/>
    <w:rsid w:val="00AE11B5"/>
    <w:rsid w:val="00B04102"/>
    <w:rsid w:val="00B22458"/>
    <w:rsid w:val="00B31504"/>
    <w:rsid w:val="00B642C1"/>
    <w:rsid w:val="00BA0E13"/>
    <w:rsid w:val="00BA7886"/>
    <w:rsid w:val="00BC5B29"/>
    <w:rsid w:val="00BF02FE"/>
    <w:rsid w:val="00BF36B3"/>
    <w:rsid w:val="00C10EB8"/>
    <w:rsid w:val="00C30D30"/>
    <w:rsid w:val="00C31717"/>
    <w:rsid w:val="00C6137F"/>
    <w:rsid w:val="00CA19F3"/>
    <w:rsid w:val="00CC60F3"/>
    <w:rsid w:val="00CD0C5E"/>
    <w:rsid w:val="00CE7415"/>
    <w:rsid w:val="00CF62F7"/>
    <w:rsid w:val="00D32C67"/>
    <w:rsid w:val="00D46EDB"/>
    <w:rsid w:val="00D517BE"/>
    <w:rsid w:val="00D63C70"/>
    <w:rsid w:val="00D6552C"/>
    <w:rsid w:val="00D85B5C"/>
    <w:rsid w:val="00DA47E2"/>
    <w:rsid w:val="00DB44CA"/>
    <w:rsid w:val="00DE1836"/>
    <w:rsid w:val="00E07762"/>
    <w:rsid w:val="00E24A38"/>
    <w:rsid w:val="00E2614E"/>
    <w:rsid w:val="00E56B0F"/>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568C2"/>
    <w:rsid w:val="00F60766"/>
    <w:rsid w:val="00F65CC0"/>
    <w:rsid w:val="00F9404F"/>
    <w:rsid w:val="00F94AE9"/>
    <w:rsid w:val="00FA3297"/>
    <w:rsid w:val="00FB5CC3"/>
    <w:rsid w:val="00FD2180"/>
    <w:rsid w:val="00FD3222"/>
    <w:rsid w:val="00FD3D66"/>
    <w:rsid w:val="00FE46B3"/>
    <w:rsid w:val="2F5E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3191C-0B16-4B7D-9167-9458B755B453}">
  <ds:schemaRefs>
    <ds:schemaRef ds:uri="http://schemas.microsoft.com/office/2006/documentManagement/types"/>
    <ds:schemaRef ds:uri="4e9417ab-6472-4075-af16-7dc6074df91e"/>
    <ds:schemaRef ds:uri="http://purl.org/dc/elements/1.1/"/>
    <ds:schemaRef ds:uri="http://schemas.microsoft.com/office/2006/metadata/properties"/>
    <ds:schemaRef ds:uri="3b639a97-0ff6-4a15-934b-811491b3a8c7"/>
    <ds:schemaRef ds:uri="http://purl.org/dc/terms/"/>
    <ds:schemaRef ds:uri="http://schemas.openxmlformats.org/package/2006/metadata/core-properties"/>
    <ds:schemaRef ds:uri="http://schemas.microsoft.com/office/infopath/2007/PartnerControls"/>
    <ds:schemaRef ds:uri="52a8876e-26bc-47cf-a41e-2a913ade8aac"/>
    <ds:schemaRef ds:uri="http://www.w3.org/XML/1998/namespace"/>
    <ds:schemaRef ds:uri="http://purl.org/dc/dcmitype/"/>
  </ds:schemaRefs>
</ds:datastoreItem>
</file>

<file path=customXml/itemProps2.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3.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4.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5.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1103</Words>
  <Characters>6289</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Technical questions requiring a response from bidders.</vt:lpstr>
      <vt:lpstr>Annex A – scoring summary and examples.</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3</cp:revision>
  <dcterms:created xsi:type="dcterms:W3CDTF">2024-01-23T10:11:00Z</dcterms:created>
  <dcterms:modified xsi:type="dcterms:W3CDTF">2024-01-23T10:32:00Z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