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10313"/>
      </w:tblGrid>
      <w:tr w:rsidR="00AF4C0F" w:rsidRPr="003F1457" w:rsidTr="002318E0">
        <w:trPr>
          <w:jc w:val="center"/>
        </w:trPr>
        <w:tc>
          <w:tcPr>
            <w:tcW w:w="10313" w:type="dxa"/>
            <w:shd w:val="clear" w:color="auto" w:fill="006D68"/>
          </w:tcPr>
          <w:p w:rsidR="00AF4C0F" w:rsidRPr="002C62C2" w:rsidRDefault="00AF4C0F" w:rsidP="002318E0">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2318E0">
              <w:rPr>
                <w:rFonts w:asciiTheme="minorHAnsi" w:hAnsiTheme="minorHAnsi" w:cstheme="minorHAnsi"/>
                <w:b/>
                <w:iCs/>
                <w:color w:val="FFFFFF" w:themeColor="background1"/>
                <w:sz w:val="24"/>
              </w:rPr>
              <w:t>a Technical Training Course on Reactive Metals Behaviour</w:t>
            </w:r>
          </w:p>
        </w:tc>
      </w:tr>
      <w:tr w:rsidR="00AF4C0F" w:rsidTr="002318E0">
        <w:trPr>
          <w:jc w:val="center"/>
        </w:trPr>
        <w:tc>
          <w:tcPr>
            <w:tcW w:w="10313" w:type="dxa"/>
          </w:tcPr>
          <w:p w:rsidR="00AF4C0F" w:rsidRPr="002C62C2" w:rsidRDefault="00AF4C0F" w:rsidP="00DB6D97">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Background to the project</w:t>
            </w:r>
          </w:p>
          <w:p w:rsidR="002318E0" w:rsidRPr="002318E0" w:rsidRDefault="002318E0" w:rsidP="00DB6D97">
            <w:pPr>
              <w:pStyle w:val="TSNumberedParagraph11"/>
              <w:jc w:val="both"/>
              <w:rPr>
                <w:rFonts w:asciiTheme="minorHAnsi" w:hAnsiTheme="minorHAnsi" w:cstheme="minorHAnsi"/>
              </w:rPr>
            </w:pPr>
            <w:r w:rsidRPr="002318E0">
              <w:rPr>
                <w:rFonts w:asciiTheme="minorHAnsi" w:hAnsiTheme="minorHAnsi" w:cstheme="minorHAnsi"/>
              </w:rPr>
              <w:t xml:space="preserve">This statement of service specifies ONR’s requirements relating to the delivery of a technical training course on reactive metals behaviour by the successful contractor. The specification covers both the development of the training materials in line with ONR requirements (stage 1) and the delivery at ONR offices in Bootle, Merseyside (United Kingdom) (stage 2). </w:t>
            </w:r>
          </w:p>
          <w:p w:rsidR="002318E0" w:rsidRPr="002318E0" w:rsidRDefault="002318E0" w:rsidP="00DB6D97">
            <w:pPr>
              <w:pStyle w:val="TSNumberedParagraph11"/>
              <w:ind w:right="265"/>
              <w:jc w:val="both"/>
              <w:rPr>
                <w:rFonts w:asciiTheme="minorHAnsi" w:hAnsiTheme="minorHAnsi" w:cstheme="minorHAnsi"/>
              </w:rPr>
            </w:pPr>
            <w:r w:rsidRPr="002318E0">
              <w:rPr>
                <w:rFonts w:asciiTheme="minorHAnsi" w:hAnsiTheme="minorHAnsi" w:cstheme="minorHAnsi"/>
              </w:rPr>
              <w:t>A report written by LLW Repository Ltd, Radioactive Waste Management and the Nuclear Decommissioning Authority define reactive metals as ‘problematic waste’ within the nuclear industry. The term ‘problematic’ refers to waste that has difficult physical, chemical and rad</w:t>
            </w:r>
            <w:bookmarkStart w:id="0" w:name="_GoBack"/>
            <w:bookmarkEnd w:id="0"/>
            <w:r w:rsidRPr="002318E0">
              <w:rPr>
                <w:rFonts w:asciiTheme="minorHAnsi" w:hAnsiTheme="minorHAnsi" w:cstheme="minorHAnsi"/>
              </w:rPr>
              <w:t>iological properties and may have no defined waste treatment or disposal route available or that could give rise to significant hazards (for example hydrogen) as part of that disposal route/treatment process. Examples include highly reactive metals that react with water, such as Lithium, Sodium, Potassium; and metals that can react with cementitious grout to form Hydrogen, such as Aluminium and Magnox Fuel Element Debris (FED).  However for the purpose of this training requirement, ONR considers that the reactive metals under consideration must include alkali metals, alkali earth metals, transition metals, post transition metals and actinides.</w:t>
            </w:r>
          </w:p>
          <w:p w:rsidR="002C62C2" w:rsidRPr="002C62C2" w:rsidRDefault="002318E0" w:rsidP="00DB6D97">
            <w:pPr>
              <w:pStyle w:val="TSNumberedParagraph11"/>
              <w:ind w:right="265"/>
              <w:jc w:val="both"/>
              <w:rPr>
                <w:rFonts w:asciiTheme="minorHAnsi" w:hAnsiTheme="minorHAnsi" w:cstheme="minorHAnsi"/>
              </w:rPr>
            </w:pPr>
            <w:r w:rsidRPr="002318E0">
              <w:rPr>
                <w:rFonts w:asciiTheme="minorHAnsi" w:hAnsiTheme="minorHAnsi" w:cstheme="minorHAnsi"/>
              </w:rPr>
              <w:t xml:space="preserve">There is therefore a requirement for the ONR to be suitably knowledgeable about reactive metals (alkali metals, alkali earth metals, transition metals, post transition metals and actinides), their behaviour under different conditions and how they can be treated to achieve passive conditions for long term storage within the nuclear industry. To this purpose ONR is seeking an underpinning training programme to allow the ONR the capability to consider and understand all reactive metals behaviour requirements. </w:t>
            </w:r>
          </w:p>
        </w:tc>
      </w:tr>
      <w:tr w:rsidR="00AF4C0F" w:rsidTr="002318E0">
        <w:trPr>
          <w:jc w:val="center"/>
        </w:trPr>
        <w:tc>
          <w:tcPr>
            <w:tcW w:w="10313" w:type="dxa"/>
          </w:tcPr>
          <w:p w:rsidR="002318E0" w:rsidRDefault="002318E0" w:rsidP="0089677E">
            <w:pPr>
              <w:spacing w:before="120"/>
              <w:ind w:left="709" w:right="265" w:hanging="709"/>
              <w:jc w:val="both"/>
              <w:rPr>
                <w:rFonts w:cs="Arial"/>
                <w:sz w:val="20"/>
                <w:szCs w:val="20"/>
              </w:rPr>
            </w:pPr>
            <w:r>
              <w:rPr>
                <w:rFonts w:cs="Arial"/>
                <w:iCs/>
                <w:sz w:val="20"/>
                <w:szCs w:val="20"/>
              </w:rPr>
              <w:t>During Stage 1 of the project, ONR expects the</w:t>
            </w:r>
            <w:r>
              <w:rPr>
                <w:rFonts w:cs="Arial"/>
                <w:sz w:val="20"/>
                <w:szCs w:val="20"/>
              </w:rPr>
              <w:t xml:space="preserve"> contractor to undertake the following:</w:t>
            </w:r>
          </w:p>
          <w:p w:rsidR="002318E0" w:rsidRDefault="002318E0" w:rsidP="0089677E">
            <w:pPr>
              <w:ind w:left="709" w:right="265" w:hanging="709"/>
              <w:jc w:val="both"/>
              <w:rPr>
                <w:rFonts w:cs="Arial"/>
                <w:sz w:val="20"/>
                <w:szCs w:val="20"/>
              </w:rPr>
            </w:pPr>
          </w:p>
          <w:p w:rsidR="002318E0" w:rsidRPr="00C56540" w:rsidRDefault="002318E0" w:rsidP="0089677E">
            <w:pPr>
              <w:pStyle w:val="ListParagraph"/>
              <w:numPr>
                <w:ilvl w:val="0"/>
                <w:numId w:val="32"/>
              </w:numPr>
              <w:spacing w:after="240"/>
              <w:ind w:left="1066" w:right="265" w:hanging="357"/>
              <w:jc w:val="both"/>
              <w:rPr>
                <w:rFonts w:cs="Arial"/>
                <w:sz w:val="20"/>
                <w:szCs w:val="20"/>
              </w:rPr>
            </w:pPr>
            <w:r>
              <w:rPr>
                <w:rFonts w:cs="Arial"/>
                <w:sz w:val="20"/>
                <w:szCs w:val="20"/>
              </w:rPr>
              <w:t>The production of training course materials to reflect ONR’s needs</w:t>
            </w:r>
            <w:r w:rsidRPr="00C56540">
              <w:rPr>
                <w:rFonts w:cs="Arial"/>
                <w:sz w:val="20"/>
                <w:szCs w:val="20"/>
              </w:rPr>
              <w:t>. Th</w:t>
            </w:r>
            <w:r>
              <w:rPr>
                <w:rFonts w:cs="Arial"/>
                <w:sz w:val="20"/>
                <w:szCs w:val="20"/>
              </w:rPr>
              <w:t>e basis of this training course is as per ONR’s identified needs as outlined in the table below:</w:t>
            </w:r>
          </w:p>
          <w:tbl>
            <w:tblPr>
              <w:tblW w:w="0" w:type="auto"/>
              <w:tblInd w:w="817" w:type="dxa"/>
              <w:tblCellMar>
                <w:top w:w="57" w:type="dxa"/>
                <w:bottom w:w="57" w:type="dxa"/>
              </w:tblCellMar>
              <w:tblLook w:val="04A0" w:firstRow="1" w:lastRow="0" w:firstColumn="1" w:lastColumn="0" w:noHBand="0" w:noVBand="1"/>
            </w:tblPr>
            <w:tblGrid>
              <w:gridCol w:w="1181"/>
              <w:gridCol w:w="3827"/>
              <w:gridCol w:w="2410"/>
            </w:tblGrid>
            <w:tr w:rsidR="002318E0" w:rsidTr="002318E0">
              <w:trPr>
                <w:cantSplit/>
                <w:trHeight w:val="405"/>
                <w:tblHeader/>
              </w:trPr>
              <w:tc>
                <w:tcPr>
                  <w:tcW w:w="1134" w:type="dxa"/>
                  <w:tcBorders>
                    <w:top w:val="single" w:sz="12" w:space="0" w:color="auto"/>
                    <w:left w:val="single" w:sz="12" w:space="0" w:color="auto"/>
                    <w:bottom w:val="single" w:sz="8" w:space="0" w:color="auto"/>
                    <w:right w:val="single" w:sz="4" w:space="0" w:color="auto"/>
                  </w:tcBorders>
                  <w:noWrap/>
                  <w:vAlign w:val="center"/>
                  <w:hideMark/>
                </w:tcPr>
                <w:p w:rsidR="002318E0" w:rsidRPr="00C56540" w:rsidRDefault="002318E0" w:rsidP="0089677E">
                  <w:pPr>
                    <w:ind w:right="265"/>
                    <w:jc w:val="center"/>
                    <w:rPr>
                      <w:rFonts w:cs="Arial"/>
                      <w:b/>
                      <w:sz w:val="20"/>
                      <w:szCs w:val="20"/>
                    </w:rPr>
                  </w:pPr>
                  <w:r w:rsidRPr="00C56540">
                    <w:rPr>
                      <w:rFonts w:cs="Arial"/>
                      <w:b/>
                      <w:sz w:val="20"/>
                      <w:szCs w:val="20"/>
                    </w:rPr>
                    <w:t>Module</w:t>
                  </w:r>
                </w:p>
              </w:tc>
              <w:tc>
                <w:tcPr>
                  <w:tcW w:w="3827" w:type="dxa"/>
                  <w:tcBorders>
                    <w:top w:val="single" w:sz="12" w:space="0" w:color="auto"/>
                    <w:left w:val="nil"/>
                    <w:bottom w:val="single" w:sz="8" w:space="0" w:color="auto"/>
                    <w:right w:val="single" w:sz="4" w:space="0" w:color="auto"/>
                  </w:tcBorders>
                  <w:noWrap/>
                  <w:vAlign w:val="center"/>
                  <w:hideMark/>
                </w:tcPr>
                <w:p w:rsidR="002318E0" w:rsidRPr="00C56540" w:rsidRDefault="002318E0" w:rsidP="0089677E">
                  <w:pPr>
                    <w:ind w:right="265"/>
                    <w:jc w:val="center"/>
                    <w:rPr>
                      <w:rFonts w:cs="Arial"/>
                      <w:b/>
                      <w:sz w:val="20"/>
                      <w:szCs w:val="20"/>
                    </w:rPr>
                  </w:pPr>
                  <w:r w:rsidRPr="00C56540">
                    <w:rPr>
                      <w:rFonts w:cs="Arial"/>
                      <w:b/>
                      <w:sz w:val="20"/>
                      <w:szCs w:val="20"/>
                    </w:rPr>
                    <w:t>Title</w:t>
                  </w:r>
                </w:p>
              </w:tc>
              <w:tc>
                <w:tcPr>
                  <w:tcW w:w="2410" w:type="dxa"/>
                  <w:tcBorders>
                    <w:top w:val="single" w:sz="12" w:space="0" w:color="auto"/>
                    <w:left w:val="nil"/>
                    <w:bottom w:val="single" w:sz="8" w:space="0" w:color="auto"/>
                    <w:right w:val="single" w:sz="12" w:space="0" w:color="auto"/>
                  </w:tcBorders>
                  <w:noWrap/>
                  <w:vAlign w:val="center"/>
                  <w:hideMark/>
                </w:tcPr>
                <w:p w:rsidR="002318E0" w:rsidRPr="00C56540" w:rsidRDefault="002318E0" w:rsidP="0089677E">
                  <w:pPr>
                    <w:ind w:right="265"/>
                    <w:jc w:val="center"/>
                    <w:rPr>
                      <w:rFonts w:cs="Arial"/>
                      <w:b/>
                      <w:sz w:val="20"/>
                      <w:szCs w:val="20"/>
                    </w:rPr>
                  </w:pPr>
                  <w:r w:rsidRPr="00C56540">
                    <w:rPr>
                      <w:rFonts w:cs="Arial"/>
                      <w:b/>
                      <w:sz w:val="20"/>
                      <w:szCs w:val="20"/>
                    </w:rPr>
                    <w:t>Topics</w:t>
                  </w:r>
                </w:p>
              </w:tc>
            </w:tr>
            <w:tr w:rsidR="002318E0" w:rsidTr="002318E0">
              <w:trPr>
                <w:cantSplit/>
                <w:trHeight w:val="300"/>
              </w:trPr>
              <w:tc>
                <w:tcPr>
                  <w:tcW w:w="1134" w:type="dxa"/>
                  <w:vMerge w:val="restart"/>
                  <w:tcBorders>
                    <w:top w:val="nil"/>
                    <w:left w:val="single" w:sz="12" w:space="0" w:color="auto"/>
                    <w:right w:val="single" w:sz="4" w:space="0" w:color="auto"/>
                  </w:tcBorders>
                  <w:noWrap/>
                  <w:vAlign w:val="center"/>
                  <w:hideMark/>
                </w:tcPr>
                <w:p w:rsidR="002318E0" w:rsidRPr="00C56540" w:rsidRDefault="002318E0" w:rsidP="0089677E">
                  <w:pPr>
                    <w:ind w:right="265"/>
                    <w:jc w:val="center"/>
                    <w:rPr>
                      <w:rFonts w:cs="Arial"/>
                      <w:sz w:val="18"/>
                      <w:szCs w:val="18"/>
                    </w:rPr>
                  </w:pPr>
                  <w:r w:rsidRPr="00C56540">
                    <w:rPr>
                      <w:rFonts w:cs="Arial"/>
                      <w:sz w:val="18"/>
                      <w:szCs w:val="18"/>
                    </w:rPr>
                    <w:t>1</w:t>
                  </w:r>
                </w:p>
              </w:tc>
              <w:tc>
                <w:tcPr>
                  <w:tcW w:w="3827" w:type="dxa"/>
                  <w:vMerge w:val="restart"/>
                  <w:tcBorders>
                    <w:top w:val="nil"/>
                    <w:left w:val="single" w:sz="4" w:space="0" w:color="auto"/>
                    <w:right w:val="single" w:sz="4" w:space="0" w:color="auto"/>
                  </w:tcBorders>
                  <w:noWrap/>
                  <w:vAlign w:val="center"/>
                </w:tcPr>
                <w:p w:rsidR="002318E0" w:rsidRPr="00C56540" w:rsidRDefault="002318E0" w:rsidP="0089677E">
                  <w:pPr>
                    <w:ind w:right="265"/>
                    <w:rPr>
                      <w:rFonts w:cs="Arial"/>
                      <w:sz w:val="18"/>
                      <w:szCs w:val="18"/>
                    </w:rPr>
                  </w:pPr>
                  <w:r>
                    <w:rPr>
                      <w:rFonts w:cs="Arial"/>
                      <w:sz w:val="18"/>
                      <w:szCs w:val="18"/>
                    </w:rPr>
                    <w:t>Reactive Metals Overview</w:t>
                  </w:r>
                </w:p>
              </w:tc>
              <w:tc>
                <w:tcPr>
                  <w:tcW w:w="2410" w:type="dxa"/>
                  <w:tcBorders>
                    <w:top w:val="nil"/>
                    <w:left w:val="nil"/>
                    <w:bottom w:val="single" w:sz="4"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Alkali Metals</w:t>
                  </w:r>
                </w:p>
              </w:tc>
            </w:tr>
            <w:tr w:rsidR="002318E0" w:rsidTr="002318E0">
              <w:trPr>
                <w:cantSplit/>
                <w:trHeight w:val="300"/>
              </w:trPr>
              <w:tc>
                <w:tcPr>
                  <w:tcW w:w="1134" w:type="dxa"/>
                  <w:vMerge/>
                  <w:tcBorders>
                    <w:left w:val="single" w:sz="12" w:space="0" w:color="auto"/>
                    <w:right w:val="single" w:sz="4" w:space="0" w:color="auto"/>
                  </w:tcBorders>
                  <w:vAlign w:val="center"/>
                  <w:hideMark/>
                </w:tcPr>
                <w:p w:rsidR="002318E0" w:rsidRPr="00C56540" w:rsidRDefault="002318E0" w:rsidP="0089677E">
                  <w:pPr>
                    <w:ind w:right="265"/>
                    <w:rPr>
                      <w:rFonts w:cs="Arial"/>
                      <w:sz w:val="18"/>
                      <w:szCs w:val="18"/>
                    </w:rPr>
                  </w:pPr>
                </w:p>
              </w:tc>
              <w:tc>
                <w:tcPr>
                  <w:tcW w:w="3827" w:type="dxa"/>
                  <w:vMerge/>
                  <w:tcBorders>
                    <w:left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nil"/>
                    <w:left w:val="nil"/>
                    <w:bottom w:val="single" w:sz="4"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Alkaline Earth Metals</w:t>
                  </w:r>
                </w:p>
              </w:tc>
            </w:tr>
            <w:tr w:rsidR="002318E0" w:rsidTr="002318E0">
              <w:trPr>
                <w:cantSplit/>
                <w:trHeight w:val="315"/>
              </w:trPr>
              <w:tc>
                <w:tcPr>
                  <w:tcW w:w="1134" w:type="dxa"/>
                  <w:vMerge/>
                  <w:tcBorders>
                    <w:left w:val="single" w:sz="12" w:space="0" w:color="auto"/>
                    <w:right w:val="single" w:sz="4" w:space="0" w:color="auto"/>
                  </w:tcBorders>
                  <w:vAlign w:val="center"/>
                  <w:hideMark/>
                </w:tcPr>
                <w:p w:rsidR="002318E0" w:rsidRPr="00C56540" w:rsidRDefault="002318E0" w:rsidP="0089677E">
                  <w:pPr>
                    <w:ind w:right="265"/>
                    <w:rPr>
                      <w:rFonts w:cs="Arial"/>
                      <w:sz w:val="18"/>
                      <w:szCs w:val="18"/>
                    </w:rPr>
                  </w:pPr>
                </w:p>
              </w:tc>
              <w:tc>
                <w:tcPr>
                  <w:tcW w:w="3827" w:type="dxa"/>
                  <w:vMerge/>
                  <w:tcBorders>
                    <w:left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single" w:sz="4" w:space="0" w:color="auto"/>
                    <w:left w:val="nil"/>
                    <w:bottom w:val="single" w:sz="4"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Transition Metals</w:t>
                  </w:r>
                </w:p>
              </w:tc>
            </w:tr>
            <w:tr w:rsidR="002318E0" w:rsidTr="002318E0">
              <w:trPr>
                <w:cantSplit/>
                <w:trHeight w:val="315"/>
              </w:trPr>
              <w:tc>
                <w:tcPr>
                  <w:tcW w:w="1134" w:type="dxa"/>
                  <w:vMerge/>
                  <w:tcBorders>
                    <w:left w:val="single" w:sz="12" w:space="0" w:color="auto"/>
                    <w:right w:val="single" w:sz="4" w:space="0" w:color="auto"/>
                  </w:tcBorders>
                  <w:vAlign w:val="center"/>
                </w:tcPr>
                <w:p w:rsidR="002318E0" w:rsidRPr="00C56540" w:rsidRDefault="002318E0" w:rsidP="0089677E">
                  <w:pPr>
                    <w:ind w:right="265"/>
                    <w:rPr>
                      <w:rFonts w:cs="Arial"/>
                      <w:sz w:val="18"/>
                      <w:szCs w:val="18"/>
                    </w:rPr>
                  </w:pPr>
                </w:p>
              </w:tc>
              <w:tc>
                <w:tcPr>
                  <w:tcW w:w="3827" w:type="dxa"/>
                  <w:vMerge/>
                  <w:tcBorders>
                    <w:left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single" w:sz="4" w:space="0" w:color="auto"/>
                    <w:left w:val="nil"/>
                    <w:bottom w:val="single" w:sz="4" w:space="0" w:color="auto"/>
                    <w:right w:val="single" w:sz="12" w:space="0" w:color="auto"/>
                  </w:tcBorders>
                  <w:noWrap/>
                  <w:vAlign w:val="bottom"/>
                </w:tcPr>
                <w:p w:rsidR="002318E0" w:rsidRDefault="002318E0" w:rsidP="0089677E">
                  <w:pPr>
                    <w:ind w:right="265"/>
                    <w:rPr>
                      <w:rFonts w:cs="Arial"/>
                      <w:sz w:val="18"/>
                      <w:szCs w:val="18"/>
                    </w:rPr>
                  </w:pPr>
                  <w:r>
                    <w:rPr>
                      <w:rFonts w:cs="Arial"/>
                      <w:sz w:val="18"/>
                      <w:szCs w:val="18"/>
                    </w:rPr>
                    <w:t>Post-Transition Metals</w:t>
                  </w:r>
                </w:p>
              </w:tc>
            </w:tr>
            <w:tr w:rsidR="002318E0" w:rsidTr="002318E0">
              <w:trPr>
                <w:cantSplit/>
                <w:trHeight w:val="315"/>
              </w:trPr>
              <w:tc>
                <w:tcPr>
                  <w:tcW w:w="1134" w:type="dxa"/>
                  <w:vMerge/>
                  <w:tcBorders>
                    <w:left w:val="single" w:sz="12" w:space="0" w:color="auto"/>
                    <w:bottom w:val="single" w:sz="8" w:space="0" w:color="auto"/>
                    <w:right w:val="single" w:sz="4" w:space="0" w:color="auto"/>
                  </w:tcBorders>
                  <w:vAlign w:val="center"/>
                </w:tcPr>
                <w:p w:rsidR="002318E0" w:rsidRPr="00C56540" w:rsidRDefault="002318E0" w:rsidP="0089677E">
                  <w:pPr>
                    <w:ind w:right="265"/>
                    <w:rPr>
                      <w:rFonts w:cs="Arial"/>
                      <w:sz w:val="18"/>
                      <w:szCs w:val="18"/>
                    </w:rPr>
                  </w:pPr>
                </w:p>
              </w:tc>
              <w:tc>
                <w:tcPr>
                  <w:tcW w:w="3827" w:type="dxa"/>
                  <w:vMerge/>
                  <w:tcBorders>
                    <w:left w:val="single" w:sz="4" w:space="0" w:color="auto"/>
                    <w:bottom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single" w:sz="4" w:space="0" w:color="auto"/>
                    <w:left w:val="nil"/>
                    <w:bottom w:val="single" w:sz="8" w:space="0" w:color="auto"/>
                    <w:right w:val="single" w:sz="12" w:space="0" w:color="auto"/>
                  </w:tcBorders>
                  <w:noWrap/>
                  <w:vAlign w:val="bottom"/>
                </w:tcPr>
                <w:p w:rsidR="002318E0" w:rsidRDefault="002318E0" w:rsidP="0089677E">
                  <w:pPr>
                    <w:ind w:right="265"/>
                    <w:rPr>
                      <w:rFonts w:cs="Arial"/>
                      <w:sz w:val="18"/>
                      <w:szCs w:val="18"/>
                    </w:rPr>
                  </w:pPr>
                  <w:r>
                    <w:rPr>
                      <w:rFonts w:cs="Arial"/>
                      <w:sz w:val="18"/>
                      <w:szCs w:val="18"/>
                    </w:rPr>
                    <w:t>Actinides</w:t>
                  </w:r>
                </w:p>
              </w:tc>
            </w:tr>
            <w:tr w:rsidR="002318E0" w:rsidTr="002318E0">
              <w:trPr>
                <w:cantSplit/>
                <w:trHeight w:val="300"/>
              </w:trPr>
              <w:tc>
                <w:tcPr>
                  <w:tcW w:w="1134" w:type="dxa"/>
                  <w:vMerge w:val="restart"/>
                  <w:tcBorders>
                    <w:top w:val="single" w:sz="8" w:space="0" w:color="auto"/>
                    <w:left w:val="single" w:sz="12" w:space="0" w:color="auto"/>
                    <w:right w:val="single" w:sz="4" w:space="0" w:color="auto"/>
                  </w:tcBorders>
                  <w:noWrap/>
                  <w:vAlign w:val="center"/>
                  <w:hideMark/>
                </w:tcPr>
                <w:p w:rsidR="002318E0" w:rsidRPr="00C56540" w:rsidRDefault="002318E0" w:rsidP="0089677E">
                  <w:pPr>
                    <w:ind w:right="265"/>
                    <w:jc w:val="center"/>
                    <w:rPr>
                      <w:rFonts w:cs="Arial"/>
                      <w:sz w:val="18"/>
                      <w:szCs w:val="18"/>
                    </w:rPr>
                  </w:pPr>
                  <w:r w:rsidRPr="00C56540">
                    <w:rPr>
                      <w:rFonts w:cs="Arial"/>
                      <w:sz w:val="18"/>
                      <w:szCs w:val="18"/>
                    </w:rPr>
                    <w:t>2</w:t>
                  </w:r>
                </w:p>
              </w:tc>
              <w:tc>
                <w:tcPr>
                  <w:tcW w:w="3827" w:type="dxa"/>
                  <w:vMerge w:val="restart"/>
                  <w:tcBorders>
                    <w:top w:val="single" w:sz="4" w:space="0" w:color="auto"/>
                    <w:left w:val="single" w:sz="4" w:space="0" w:color="auto"/>
                    <w:right w:val="single" w:sz="4" w:space="0" w:color="auto"/>
                  </w:tcBorders>
                  <w:noWrap/>
                  <w:vAlign w:val="center"/>
                </w:tcPr>
                <w:p w:rsidR="002318E0" w:rsidRPr="00C56540" w:rsidRDefault="002318E0" w:rsidP="0089677E">
                  <w:pPr>
                    <w:ind w:right="265"/>
                    <w:rPr>
                      <w:rFonts w:cs="Arial"/>
                      <w:sz w:val="18"/>
                      <w:szCs w:val="18"/>
                    </w:rPr>
                  </w:pPr>
                  <w:r>
                    <w:rPr>
                      <w:rFonts w:cs="Arial"/>
                      <w:sz w:val="18"/>
                      <w:szCs w:val="18"/>
                    </w:rPr>
                    <w:t>Conditions for Reactions</w:t>
                  </w:r>
                </w:p>
              </w:tc>
              <w:tc>
                <w:tcPr>
                  <w:tcW w:w="2410" w:type="dxa"/>
                  <w:tcBorders>
                    <w:top w:val="single" w:sz="8" w:space="0" w:color="auto"/>
                    <w:left w:val="nil"/>
                    <w:bottom w:val="single" w:sz="4"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Temperature and pH</w:t>
                  </w:r>
                </w:p>
              </w:tc>
            </w:tr>
            <w:tr w:rsidR="002318E0" w:rsidTr="002318E0">
              <w:trPr>
                <w:cantSplit/>
                <w:trHeight w:val="315"/>
              </w:trPr>
              <w:tc>
                <w:tcPr>
                  <w:tcW w:w="1134" w:type="dxa"/>
                  <w:vMerge/>
                  <w:tcBorders>
                    <w:left w:val="single" w:sz="12" w:space="0" w:color="auto"/>
                    <w:right w:val="single" w:sz="4" w:space="0" w:color="auto"/>
                  </w:tcBorders>
                  <w:vAlign w:val="center"/>
                </w:tcPr>
                <w:p w:rsidR="002318E0" w:rsidRPr="00C56540" w:rsidRDefault="002318E0" w:rsidP="0089677E">
                  <w:pPr>
                    <w:ind w:right="265"/>
                    <w:rPr>
                      <w:rFonts w:cs="Arial"/>
                      <w:sz w:val="18"/>
                      <w:szCs w:val="18"/>
                    </w:rPr>
                  </w:pPr>
                </w:p>
              </w:tc>
              <w:tc>
                <w:tcPr>
                  <w:tcW w:w="3827" w:type="dxa"/>
                  <w:vMerge/>
                  <w:tcBorders>
                    <w:left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nil"/>
                    <w:left w:val="nil"/>
                    <w:bottom w:val="single" w:sz="8" w:space="0" w:color="auto"/>
                    <w:right w:val="single" w:sz="12" w:space="0" w:color="auto"/>
                  </w:tcBorders>
                  <w:noWrap/>
                  <w:vAlign w:val="bottom"/>
                </w:tcPr>
                <w:p w:rsidR="002318E0" w:rsidRDefault="002318E0" w:rsidP="0089677E">
                  <w:pPr>
                    <w:ind w:right="265"/>
                    <w:rPr>
                      <w:rFonts w:cs="Arial"/>
                      <w:sz w:val="18"/>
                      <w:szCs w:val="18"/>
                    </w:rPr>
                  </w:pPr>
                  <w:r>
                    <w:rPr>
                      <w:rFonts w:cs="Arial"/>
                      <w:sz w:val="18"/>
                      <w:szCs w:val="18"/>
                    </w:rPr>
                    <w:t xml:space="preserve">Reaction Behaviours </w:t>
                  </w:r>
                </w:p>
              </w:tc>
            </w:tr>
            <w:tr w:rsidR="002318E0" w:rsidTr="002318E0">
              <w:trPr>
                <w:cantSplit/>
                <w:trHeight w:val="315"/>
              </w:trPr>
              <w:tc>
                <w:tcPr>
                  <w:tcW w:w="1134" w:type="dxa"/>
                  <w:vMerge/>
                  <w:tcBorders>
                    <w:left w:val="single" w:sz="12" w:space="0" w:color="auto"/>
                    <w:right w:val="single" w:sz="4" w:space="0" w:color="auto"/>
                  </w:tcBorders>
                  <w:vAlign w:val="center"/>
                  <w:hideMark/>
                </w:tcPr>
                <w:p w:rsidR="002318E0" w:rsidRPr="00C56540" w:rsidRDefault="002318E0" w:rsidP="0089677E">
                  <w:pPr>
                    <w:ind w:right="265"/>
                    <w:rPr>
                      <w:rFonts w:cs="Arial"/>
                      <w:sz w:val="18"/>
                      <w:szCs w:val="18"/>
                    </w:rPr>
                  </w:pPr>
                </w:p>
              </w:tc>
              <w:tc>
                <w:tcPr>
                  <w:tcW w:w="3827" w:type="dxa"/>
                  <w:vMerge/>
                  <w:tcBorders>
                    <w:left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nil"/>
                    <w:left w:val="nil"/>
                    <w:bottom w:val="single" w:sz="8"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 xml:space="preserve">Reaction Rates </w:t>
                  </w:r>
                </w:p>
              </w:tc>
            </w:tr>
            <w:tr w:rsidR="002318E0" w:rsidTr="002318E0">
              <w:trPr>
                <w:cantSplit/>
                <w:trHeight w:val="315"/>
              </w:trPr>
              <w:tc>
                <w:tcPr>
                  <w:tcW w:w="1134" w:type="dxa"/>
                  <w:vMerge/>
                  <w:tcBorders>
                    <w:left w:val="single" w:sz="12" w:space="0" w:color="auto"/>
                    <w:bottom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3827" w:type="dxa"/>
                  <w:vMerge/>
                  <w:tcBorders>
                    <w:left w:val="single" w:sz="4" w:space="0" w:color="auto"/>
                    <w:bottom w:val="single" w:sz="4" w:space="0" w:color="auto"/>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nil"/>
                    <w:left w:val="nil"/>
                    <w:bottom w:val="single" w:sz="8" w:space="0" w:color="auto"/>
                    <w:right w:val="single" w:sz="12" w:space="0" w:color="auto"/>
                  </w:tcBorders>
                  <w:noWrap/>
                  <w:vAlign w:val="bottom"/>
                </w:tcPr>
                <w:p w:rsidR="002318E0" w:rsidRDefault="002318E0" w:rsidP="0089677E">
                  <w:pPr>
                    <w:ind w:right="265"/>
                    <w:rPr>
                      <w:rFonts w:cs="Arial"/>
                      <w:sz w:val="18"/>
                      <w:szCs w:val="18"/>
                    </w:rPr>
                  </w:pPr>
                  <w:r>
                    <w:rPr>
                      <w:rFonts w:cs="Arial"/>
                      <w:sz w:val="18"/>
                      <w:szCs w:val="18"/>
                    </w:rPr>
                    <w:t xml:space="preserve">Oxidation and Reduction </w:t>
                  </w:r>
                </w:p>
              </w:tc>
            </w:tr>
            <w:tr w:rsidR="002318E0" w:rsidTr="002318E0">
              <w:trPr>
                <w:cantSplit/>
                <w:trHeight w:val="315"/>
              </w:trPr>
              <w:tc>
                <w:tcPr>
                  <w:tcW w:w="1134" w:type="dxa"/>
                  <w:vMerge w:val="restart"/>
                  <w:tcBorders>
                    <w:top w:val="single" w:sz="4" w:space="0" w:color="auto"/>
                    <w:left w:val="single" w:sz="12" w:space="0" w:color="auto"/>
                    <w:right w:val="single" w:sz="4" w:space="0" w:color="auto"/>
                  </w:tcBorders>
                  <w:noWrap/>
                  <w:vAlign w:val="center"/>
                  <w:hideMark/>
                </w:tcPr>
                <w:p w:rsidR="002318E0" w:rsidRPr="00C56540" w:rsidRDefault="002318E0" w:rsidP="0089677E">
                  <w:pPr>
                    <w:ind w:right="265"/>
                    <w:jc w:val="center"/>
                    <w:rPr>
                      <w:rFonts w:cs="Arial"/>
                      <w:sz w:val="18"/>
                      <w:szCs w:val="18"/>
                    </w:rPr>
                  </w:pPr>
                  <w:r w:rsidRPr="00C56540">
                    <w:rPr>
                      <w:rFonts w:cs="Arial"/>
                      <w:sz w:val="18"/>
                      <w:szCs w:val="18"/>
                    </w:rPr>
                    <w:t>3</w:t>
                  </w:r>
                </w:p>
              </w:tc>
              <w:tc>
                <w:tcPr>
                  <w:tcW w:w="3827" w:type="dxa"/>
                  <w:vMerge w:val="restart"/>
                  <w:tcBorders>
                    <w:top w:val="single" w:sz="4" w:space="0" w:color="auto"/>
                    <w:left w:val="nil"/>
                    <w:bottom w:val="single" w:sz="4" w:space="0" w:color="auto"/>
                    <w:right w:val="single" w:sz="4" w:space="0" w:color="auto"/>
                  </w:tcBorders>
                  <w:noWrap/>
                  <w:vAlign w:val="center"/>
                </w:tcPr>
                <w:p w:rsidR="002318E0" w:rsidRPr="00C56540" w:rsidRDefault="002318E0" w:rsidP="0089677E">
                  <w:pPr>
                    <w:ind w:right="265"/>
                    <w:rPr>
                      <w:rFonts w:cs="Arial"/>
                      <w:sz w:val="18"/>
                      <w:szCs w:val="18"/>
                    </w:rPr>
                  </w:pPr>
                  <w:r>
                    <w:rPr>
                      <w:rFonts w:cs="Arial"/>
                      <w:sz w:val="18"/>
                      <w:szCs w:val="18"/>
                    </w:rPr>
                    <w:t>Storage of Reactive Metals</w:t>
                  </w:r>
                </w:p>
              </w:tc>
              <w:tc>
                <w:tcPr>
                  <w:tcW w:w="2410" w:type="dxa"/>
                  <w:tcBorders>
                    <w:top w:val="nil"/>
                    <w:left w:val="nil"/>
                    <w:bottom w:val="single" w:sz="8"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Long Term Storage</w:t>
                  </w:r>
                </w:p>
              </w:tc>
            </w:tr>
            <w:tr w:rsidR="002318E0" w:rsidTr="002318E0">
              <w:trPr>
                <w:cantSplit/>
                <w:trHeight w:val="315"/>
              </w:trPr>
              <w:tc>
                <w:tcPr>
                  <w:tcW w:w="1134" w:type="dxa"/>
                  <w:vMerge/>
                  <w:tcBorders>
                    <w:left w:val="single" w:sz="12" w:space="0" w:color="auto"/>
                    <w:right w:val="single" w:sz="4" w:space="0" w:color="auto"/>
                  </w:tcBorders>
                  <w:noWrap/>
                  <w:vAlign w:val="center"/>
                </w:tcPr>
                <w:p w:rsidR="002318E0" w:rsidRPr="00C56540" w:rsidRDefault="002318E0" w:rsidP="0089677E">
                  <w:pPr>
                    <w:ind w:right="265"/>
                    <w:jc w:val="center"/>
                    <w:rPr>
                      <w:rFonts w:cs="Arial"/>
                      <w:sz w:val="18"/>
                      <w:szCs w:val="18"/>
                    </w:rPr>
                  </w:pPr>
                </w:p>
              </w:tc>
              <w:tc>
                <w:tcPr>
                  <w:tcW w:w="3827" w:type="dxa"/>
                  <w:vMerge/>
                  <w:tcBorders>
                    <w:top w:val="single" w:sz="4" w:space="0" w:color="auto"/>
                    <w:left w:val="nil"/>
                    <w:bottom w:val="single" w:sz="4" w:space="0" w:color="auto"/>
                    <w:right w:val="single" w:sz="4" w:space="0" w:color="auto"/>
                  </w:tcBorders>
                  <w:noWrap/>
                  <w:vAlign w:val="center"/>
                </w:tcPr>
                <w:p w:rsidR="002318E0" w:rsidRPr="00C56540" w:rsidRDefault="002318E0" w:rsidP="0089677E">
                  <w:pPr>
                    <w:ind w:right="265"/>
                    <w:rPr>
                      <w:rFonts w:cs="Arial"/>
                      <w:sz w:val="18"/>
                      <w:szCs w:val="18"/>
                    </w:rPr>
                  </w:pPr>
                </w:p>
              </w:tc>
              <w:tc>
                <w:tcPr>
                  <w:tcW w:w="2410" w:type="dxa"/>
                  <w:tcBorders>
                    <w:top w:val="single" w:sz="8" w:space="0" w:color="auto"/>
                    <w:left w:val="nil"/>
                    <w:bottom w:val="single" w:sz="8" w:space="0" w:color="auto"/>
                    <w:right w:val="single" w:sz="12" w:space="0" w:color="auto"/>
                  </w:tcBorders>
                  <w:noWrap/>
                  <w:vAlign w:val="bottom"/>
                </w:tcPr>
                <w:p w:rsidR="002318E0" w:rsidRPr="00C56540" w:rsidDel="00D71024" w:rsidRDefault="002318E0" w:rsidP="0089677E">
                  <w:pPr>
                    <w:ind w:right="265"/>
                    <w:rPr>
                      <w:rFonts w:cs="Arial"/>
                      <w:sz w:val="18"/>
                      <w:szCs w:val="18"/>
                    </w:rPr>
                  </w:pPr>
                  <w:r>
                    <w:rPr>
                      <w:rFonts w:cs="Arial"/>
                      <w:sz w:val="18"/>
                      <w:szCs w:val="18"/>
                    </w:rPr>
                    <w:t>Chronic Hazards and Issues</w:t>
                  </w:r>
                </w:p>
              </w:tc>
            </w:tr>
            <w:tr w:rsidR="002318E0" w:rsidTr="002318E0">
              <w:trPr>
                <w:cantSplit/>
                <w:trHeight w:val="300"/>
              </w:trPr>
              <w:tc>
                <w:tcPr>
                  <w:tcW w:w="1134" w:type="dxa"/>
                  <w:vMerge w:val="restart"/>
                  <w:tcBorders>
                    <w:top w:val="single" w:sz="8" w:space="0" w:color="auto"/>
                    <w:left w:val="single" w:sz="12" w:space="0" w:color="auto"/>
                    <w:bottom w:val="single" w:sz="8" w:space="0" w:color="000000"/>
                    <w:right w:val="single" w:sz="4" w:space="0" w:color="auto"/>
                  </w:tcBorders>
                  <w:noWrap/>
                  <w:vAlign w:val="center"/>
                  <w:hideMark/>
                </w:tcPr>
                <w:p w:rsidR="002318E0" w:rsidRPr="00C56540" w:rsidRDefault="002318E0" w:rsidP="0089677E">
                  <w:pPr>
                    <w:ind w:right="265"/>
                    <w:jc w:val="center"/>
                    <w:rPr>
                      <w:rFonts w:cs="Arial"/>
                      <w:sz w:val="18"/>
                      <w:szCs w:val="18"/>
                    </w:rPr>
                  </w:pPr>
                  <w:r w:rsidRPr="00C56540">
                    <w:rPr>
                      <w:rFonts w:cs="Arial"/>
                      <w:sz w:val="18"/>
                      <w:szCs w:val="18"/>
                    </w:rPr>
                    <w:t>4</w:t>
                  </w:r>
                </w:p>
              </w:tc>
              <w:tc>
                <w:tcPr>
                  <w:tcW w:w="3827" w:type="dxa"/>
                  <w:vMerge w:val="restart"/>
                  <w:tcBorders>
                    <w:top w:val="single" w:sz="4" w:space="0" w:color="auto"/>
                    <w:left w:val="single" w:sz="4" w:space="0" w:color="auto"/>
                    <w:bottom w:val="single" w:sz="8" w:space="0" w:color="000000"/>
                    <w:right w:val="single" w:sz="4" w:space="0" w:color="auto"/>
                  </w:tcBorders>
                  <w:noWrap/>
                  <w:vAlign w:val="center"/>
                </w:tcPr>
                <w:p w:rsidR="002318E0" w:rsidRPr="00C56540" w:rsidRDefault="002318E0" w:rsidP="0089677E">
                  <w:pPr>
                    <w:ind w:right="265"/>
                    <w:rPr>
                      <w:rFonts w:cs="Arial"/>
                      <w:sz w:val="18"/>
                      <w:szCs w:val="18"/>
                    </w:rPr>
                  </w:pPr>
                  <w:r>
                    <w:rPr>
                      <w:rFonts w:cs="Arial"/>
                      <w:sz w:val="18"/>
                      <w:szCs w:val="18"/>
                    </w:rPr>
                    <w:t xml:space="preserve">Treatment </w:t>
                  </w:r>
                </w:p>
              </w:tc>
              <w:tc>
                <w:tcPr>
                  <w:tcW w:w="2410" w:type="dxa"/>
                  <w:tcBorders>
                    <w:top w:val="single" w:sz="8" w:space="0" w:color="auto"/>
                    <w:left w:val="nil"/>
                    <w:bottom w:val="single" w:sz="4"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Treatment Methods</w:t>
                  </w:r>
                </w:p>
              </w:tc>
            </w:tr>
            <w:tr w:rsidR="002318E0" w:rsidTr="002318E0">
              <w:trPr>
                <w:cantSplit/>
                <w:trHeight w:val="300"/>
              </w:trPr>
              <w:tc>
                <w:tcPr>
                  <w:tcW w:w="1134" w:type="dxa"/>
                  <w:vMerge/>
                  <w:tcBorders>
                    <w:top w:val="single" w:sz="8" w:space="0" w:color="auto"/>
                    <w:left w:val="single" w:sz="12" w:space="0" w:color="auto"/>
                    <w:bottom w:val="single" w:sz="8" w:space="0" w:color="000000"/>
                    <w:right w:val="single" w:sz="4" w:space="0" w:color="auto"/>
                  </w:tcBorders>
                  <w:vAlign w:val="center"/>
                  <w:hideMark/>
                </w:tcPr>
                <w:p w:rsidR="002318E0" w:rsidRPr="00C56540" w:rsidRDefault="002318E0" w:rsidP="0089677E">
                  <w:pPr>
                    <w:ind w:right="265"/>
                    <w:rPr>
                      <w:rFonts w:cs="Arial"/>
                      <w:sz w:val="18"/>
                      <w:szCs w:val="18"/>
                    </w:rPr>
                  </w:pPr>
                </w:p>
              </w:tc>
              <w:tc>
                <w:tcPr>
                  <w:tcW w:w="3827" w:type="dxa"/>
                  <w:vMerge/>
                  <w:tcBorders>
                    <w:top w:val="single" w:sz="8" w:space="0" w:color="auto"/>
                    <w:left w:val="single" w:sz="4" w:space="0" w:color="auto"/>
                    <w:bottom w:val="single" w:sz="8" w:space="0" w:color="000000"/>
                    <w:right w:val="single" w:sz="4" w:space="0" w:color="auto"/>
                  </w:tcBorders>
                  <w:vAlign w:val="center"/>
                </w:tcPr>
                <w:p w:rsidR="002318E0" w:rsidRPr="00C56540" w:rsidRDefault="002318E0" w:rsidP="0089677E">
                  <w:pPr>
                    <w:ind w:right="265"/>
                    <w:rPr>
                      <w:rFonts w:cs="Arial"/>
                      <w:sz w:val="18"/>
                      <w:szCs w:val="18"/>
                    </w:rPr>
                  </w:pPr>
                </w:p>
              </w:tc>
              <w:tc>
                <w:tcPr>
                  <w:tcW w:w="2410" w:type="dxa"/>
                  <w:tcBorders>
                    <w:top w:val="nil"/>
                    <w:left w:val="nil"/>
                    <w:bottom w:val="single" w:sz="4"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Passive Conditions</w:t>
                  </w:r>
                </w:p>
              </w:tc>
            </w:tr>
            <w:tr w:rsidR="002318E0" w:rsidTr="002318E0">
              <w:trPr>
                <w:cantSplit/>
                <w:trHeight w:val="300"/>
              </w:trPr>
              <w:tc>
                <w:tcPr>
                  <w:tcW w:w="1134" w:type="dxa"/>
                  <w:tcBorders>
                    <w:top w:val="nil"/>
                    <w:left w:val="single" w:sz="12" w:space="0" w:color="auto"/>
                    <w:bottom w:val="single" w:sz="4" w:space="0" w:color="auto"/>
                    <w:right w:val="single" w:sz="4" w:space="0" w:color="auto"/>
                  </w:tcBorders>
                  <w:noWrap/>
                  <w:vAlign w:val="center"/>
                  <w:hideMark/>
                </w:tcPr>
                <w:p w:rsidR="002318E0" w:rsidRPr="00C56540" w:rsidRDefault="002318E0" w:rsidP="0089677E">
                  <w:pPr>
                    <w:ind w:right="265"/>
                    <w:jc w:val="center"/>
                    <w:rPr>
                      <w:rFonts w:cs="Arial"/>
                      <w:sz w:val="18"/>
                      <w:szCs w:val="18"/>
                    </w:rPr>
                  </w:pPr>
                  <w:r w:rsidRPr="00C56540">
                    <w:rPr>
                      <w:rFonts w:cs="Arial"/>
                      <w:sz w:val="18"/>
                      <w:szCs w:val="18"/>
                    </w:rPr>
                    <w:t>5</w:t>
                  </w:r>
                </w:p>
              </w:tc>
              <w:tc>
                <w:tcPr>
                  <w:tcW w:w="3827" w:type="dxa"/>
                  <w:tcBorders>
                    <w:top w:val="nil"/>
                    <w:left w:val="single" w:sz="4" w:space="0" w:color="auto"/>
                    <w:bottom w:val="single" w:sz="4" w:space="0" w:color="auto"/>
                    <w:right w:val="single" w:sz="4" w:space="0" w:color="auto"/>
                  </w:tcBorders>
                  <w:noWrap/>
                  <w:vAlign w:val="center"/>
                </w:tcPr>
                <w:p w:rsidR="002318E0" w:rsidRPr="00C56540" w:rsidRDefault="002318E0" w:rsidP="0089677E">
                  <w:pPr>
                    <w:ind w:right="265"/>
                    <w:rPr>
                      <w:rFonts w:cs="Arial"/>
                      <w:sz w:val="18"/>
                      <w:szCs w:val="18"/>
                    </w:rPr>
                  </w:pPr>
                  <w:r>
                    <w:rPr>
                      <w:rFonts w:cs="Arial"/>
                      <w:sz w:val="18"/>
                      <w:szCs w:val="18"/>
                    </w:rPr>
                    <w:t>Safety</w:t>
                  </w:r>
                </w:p>
              </w:tc>
              <w:tc>
                <w:tcPr>
                  <w:tcW w:w="2410" w:type="dxa"/>
                  <w:tcBorders>
                    <w:top w:val="nil"/>
                    <w:left w:val="nil"/>
                    <w:bottom w:val="single" w:sz="4" w:space="0" w:color="auto"/>
                    <w:right w:val="single" w:sz="12" w:space="0" w:color="auto"/>
                  </w:tcBorders>
                  <w:noWrap/>
                  <w:vAlign w:val="bottom"/>
                </w:tcPr>
                <w:p w:rsidR="002318E0" w:rsidRPr="00C56540" w:rsidRDefault="002318E0" w:rsidP="0089677E">
                  <w:pPr>
                    <w:ind w:right="265"/>
                    <w:rPr>
                      <w:rFonts w:cs="Arial"/>
                      <w:sz w:val="18"/>
                      <w:szCs w:val="18"/>
                    </w:rPr>
                  </w:pPr>
                  <w:r>
                    <w:rPr>
                      <w:rFonts w:cs="Arial"/>
                      <w:sz w:val="18"/>
                      <w:szCs w:val="18"/>
                    </w:rPr>
                    <w:t>Hazards and Risks</w:t>
                  </w:r>
                </w:p>
              </w:tc>
            </w:tr>
          </w:tbl>
          <w:p w:rsidR="002318E0" w:rsidRPr="00C56540" w:rsidRDefault="002318E0" w:rsidP="0089677E">
            <w:pPr>
              <w:spacing w:before="120"/>
              <w:ind w:left="709" w:right="265" w:hanging="709"/>
              <w:jc w:val="both"/>
              <w:rPr>
                <w:rFonts w:cs="Arial"/>
                <w:sz w:val="20"/>
                <w:szCs w:val="20"/>
              </w:rPr>
            </w:pPr>
          </w:p>
          <w:p w:rsidR="002318E0" w:rsidRPr="00A5192C" w:rsidRDefault="002318E0" w:rsidP="0089677E">
            <w:pPr>
              <w:spacing w:before="120"/>
              <w:ind w:right="265"/>
              <w:jc w:val="both"/>
              <w:rPr>
                <w:rFonts w:cs="Arial"/>
                <w:sz w:val="20"/>
                <w:szCs w:val="20"/>
              </w:rPr>
            </w:pPr>
            <w:r w:rsidRPr="00A5192C">
              <w:rPr>
                <w:rFonts w:cs="Arial"/>
                <w:sz w:val="20"/>
                <w:szCs w:val="20"/>
              </w:rPr>
              <w:t>The scope of the training material should include the following:</w:t>
            </w:r>
          </w:p>
          <w:p w:rsidR="002318E0" w:rsidRDefault="002318E0" w:rsidP="0089677E">
            <w:pPr>
              <w:pStyle w:val="ListParagraph"/>
              <w:numPr>
                <w:ilvl w:val="0"/>
                <w:numId w:val="32"/>
              </w:numPr>
              <w:spacing w:before="120"/>
              <w:ind w:right="265"/>
              <w:jc w:val="both"/>
              <w:rPr>
                <w:rFonts w:cs="Arial"/>
                <w:sz w:val="20"/>
                <w:szCs w:val="20"/>
              </w:rPr>
            </w:pPr>
            <w:r>
              <w:rPr>
                <w:rFonts w:cs="Arial"/>
                <w:sz w:val="20"/>
                <w:szCs w:val="20"/>
              </w:rPr>
              <w:t>Topic 1: Reactive Metals Overview</w:t>
            </w:r>
          </w:p>
          <w:p w:rsidR="002318E0" w:rsidRDefault="002318E0" w:rsidP="0089677E">
            <w:pPr>
              <w:pStyle w:val="ListParagraph"/>
              <w:numPr>
                <w:ilvl w:val="0"/>
                <w:numId w:val="33"/>
              </w:numPr>
              <w:spacing w:before="120"/>
              <w:ind w:right="265"/>
              <w:jc w:val="both"/>
              <w:rPr>
                <w:rFonts w:cs="Arial"/>
                <w:sz w:val="20"/>
                <w:szCs w:val="20"/>
              </w:rPr>
            </w:pPr>
            <w:r>
              <w:rPr>
                <w:rFonts w:cs="Arial"/>
                <w:sz w:val="20"/>
                <w:szCs w:val="20"/>
              </w:rPr>
              <w:t>Alkali Metals</w:t>
            </w:r>
          </w:p>
          <w:p w:rsidR="002318E0" w:rsidRDefault="002318E0" w:rsidP="0089677E">
            <w:pPr>
              <w:pStyle w:val="ListParagraph"/>
              <w:numPr>
                <w:ilvl w:val="0"/>
                <w:numId w:val="33"/>
              </w:numPr>
              <w:spacing w:before="120"/>
              <w:ind w:right="265"/>
              <w:jc w:val="both"/>
              <w:rPr>
                <w:rFonts w:cs="Arial"/>
                <w:sz w:val="20"/>
                <w:szCs w:val="20"/>
              </w:rPr>
            </w:pPr>
            <w:r>
              <w:rPr>
                <w:rFonts w:cs="Arial"/>
                <w:sz w:val="20"/>
                <w:szCs w:val="20"/>
              </w:rPr>
              <w:t>Alkali Earth Metals</w:t>
            </w:r>
          </w:p>
          <w:p w:rsidR="002318E0" w:rsidRDefault="002318E0" w:rsidP="0089677E">
            <w:pPr>
              <w:pStyle w:val="ListParagraph"/>
              <w:numPr>
                <w:ilvl w:val="0"/>
                <w:numId w:val="33"/>
              </w:numPr>
              <w:spacing w:before="120"/>
              <w:ind w:right="265"/>
              <w:jc w:val="both"/>
              <w:rPr>
                <w:rFonts w:cs="Arial"/>
                <w:sz w:val="20"/>
                <w:szCs w:val="20"/>
              </w:rPr>
            </w:pPr>
            <w:r>
              <w:rPr>
                <w:rFonts w:cs="Arial"/>
                <w:sz w:val="20"/>
                <w:szCs w:val="20"/>
              </w:rPr>
              <w:t>Transition Metals</w:t>
            </w:r>
          </w:p>
          <w:p w:rsidR="002318E0" w:rsidRDefault="002318E0" w:rsidP="0089677E">
            <w:pPr>
              <w:pStyle w:val="ListParagraph"/>
              <w:numPr>
                <w:ilvl w:val="0"/>
                <w:numId w:val="33"/>
              </w:numPr>
              <w:spacing w:before="120"/>
              <w:ind w:right="265"/>
              <w:jc w:val="both"/>
              <w:rPr>
                <w:rFonts w:cs="Arial"/>
                <w:sz w:val="20"/>
                <w:szCs w:val="20"/>
              </w:rPr>
            </w:pPr>
            <w:r>
              <w:rPr>
                <w:rFonts w:cs="Arial"/>
                <w:sz w:val="20"/>
                <w:szCs w:val="20"/>
              </w:rPr>
              <w:t>Post-transition Metals</w:t>
            </w:r>
          </w:p>
          <w:p w:rsidR="002318E0" w:rsidRDefault="002318E0" w:rsidP="0089677E">
            <w:pPr>
              <w:pStyle w:val="ListParagraph"/>
              <w:numPr>
                <w:ilvl w:val="0"/>
                <w:numId w:val="33"/>
              </w:numPr>
              <w:spacing w:before="120"/>
              <w:ind w:right="265"/>
              <w:jc w:val="both"/>
              <w:rPr>
                <w:rFonts w:cs="Arial"/>
                <w:sz w:val="20"/>
                <w:szCs w:val="20"/>
              </w:rPr>
            </w:pPr>
            <w:r>
              <w:rPr>
                <w:rFonts w:cs="Arial"/>
                <w:sz w:val="20"/>
                <w:szCs w:val="20"/>
              </w:rPr>
              <w:t>Actinides</w:t>
            </w:r>
          </w:p>
          <w:p w:rsidR="002318E0" w:rsidRDefault="002318E0" w:rsidP="0089677E">
            <w:pPr>
              <w:spacing w:before="120"/>
              <w:ind w:right="265"/>
              <w:jc w:val="both"/>
              <w:rPr>
                <w:rFonts w:cs="Arial"/>
                <w:sz w:val="20"/>
                <w:szCs w:val="20"/>
              </w:rPr>
            </w:pPr>
            <w:r>
              <w:rPr>
                <w:rFonts w:cs="Arial"/>
                <w:sz w:val="20"/>
                <w:szCs w:val="20"/>
              </w:rPr>
              <w:t>Topic 1 should cover what the metals are and why they’re important in the nuclear industry, how they are used, and the high level hazards associated with them.</w:t>
            </w:r>
          </w:p>
          <w:p w:rsidR="002318E0" w:rsidRDefault="002318E0" w:rsidP="0089677E">
            <w:pPr>
              <w:pStyle w:val="ListParagraph"/>
              <w:numPr>
                <w:ilvl w:val="0"/>
                <w:numId w:val="32"/>
              </w:numPr>
              <w:spacing w:before="120"/>
              <w:ind w:right="265"/>
              <w:jc w:val="both"/>
              <w:rPr>
                <w:rFonts w:cs="Arial"/>
                <w:sz w:val="20"/>
                <w:szCs w:val="20"/>
              </w:rPr>
            </w:pPr>
            <w:r>
              <w:rPr>
                <w:rFonts w:cs="Arial"/>
                <w:sz w:val="20"/>
                <w:szCs w:val="20"/>
              </w:rPr>
              <w:t>Topic 2: Conditions for Reaction</w:t>
            </w:r>
          </w:p>
          <w:p w:rsidR="002318E0" w:rsidRDefault="002318E0" w:rsidP="0089677E">
            <w:pPr>
              <w:pStyle w:val="ListParagraph"/>
              <w:numPr>
                <w:ilvl w:val="0"/>
                <w:numId w:val="34"/>
              </w:numPr>
              <w:spacing w:before="120"/>
              <w:ind w:right="265"/>
              <w:jc w:val="both"/>
              <w:rPr>
                <w:rFonts w:cs="Arial"/>
                <w:sz w:val="20"/>
                <w:szCs w:val="20"/>
              </w:rPr>
            </w:pPr>
            <w:r>
              <w:rPr>
                <w:rFonts w:cs="Arial"/>
                <w:sz w:val="20"/>
                <w:szCs w:val="20"/>
              </w:rPr>
              <w:t>Temperature and pH</w:t>
            </w:r>
          </w:p>
          <w:p w:rsidR="002318E0" w:rsidRDefault="002318E0" w:rsidP="0089677E">
            <w:pPr>
              <w:pStyle w:val="ListParagraph"/>
              <w:numPr>
                <w:ilvl w:val="0"/>
                <w:numId w:val="34"/>
              </w:numPr>
              <w:spacing w:before="120"/>
              <w:ind w:right="265"/>
              <w:jc w:val="both"/>
              <w:rPr>
                <w:rFonts w:cs="Arial"/>
                <w:sz w:val="20"/>
                <w:szCs w:val="20"/>
              </w:rPr>
            </w:pPr>
            <w:r>
              <w:rPr>
                <w:rFonts w:cs="Arial"/>
                <w:sz w:val="20"/>
                <w:szCs w:val="20"/>
              </w:rPr>
              <w:t>Reaction Behaviours</w:t>
            </w:r>
          </w:p>
          <w:p w:rsidR="002318E0" w:rsidRDefault="002318E0" w:rsidP="0089677E">
            <w:pPr>
              <w:pStyle w:val="ListParagraph"/>
              <w:numPr>
                <w:ilvl w:val="0"/>
                <w:numId w:val="34"/>
              </w:numPr>
              <w:spacing w:before="120"/>
              <w:ind w:right="265"/>
              <w:jc w:val="both"/>
              <w:rPr>
                <w:rFonts w:cs="Arial"/>
                <w:sz w:val="20"/>
                <w:szCs w:val="20"/>
              </w:rPr>
            </w:pPr>
            <w:r>
              <w:rPr>
                <w:rFonts w:cs="Arial"/>
                <w:sz w:val="20"/>
                <w:szCs w:val="20"/>
              </w:rPr>
              <w:t>Reaction Rates</w:t>
            </w:r>
          </w:p>
          <w:p w:rsidR="002318E0" w:rsidRDefault="002318E0" w:rsidP="0089677E">
            <w:pPr>
              <w:pStyle w:val="ListParagraph"/>
              <w:numPr>
                <w:ilvl w:val="0"/>
                <w:numId w:val="34"/>
              </w:numPr>
              <w:spacing w:before="120"/>
              <w:ind w:right="265"/>
              <w:jc w:val="both"/>
              <w:rPr>
                <w:rFonts w:cs="Arial"/>
                <w:sz w:val="20"/>
                <w:szCs w:val="20"/>
              </w:rPr>
            </w:pPr>
            <w:r>
              <w:rPr>
                <w:rFonts w:cs="Arial"/>
                <w:sz w:val="20"/>
                <w:szCs w:val="20"/>
              </w:rPr>
              <w:t>Oxidation and Reduction</w:t>
            </w:r>
          </w:p>
          <w:p w:rsidR="002318E0" w:rsidRDefault="002318E0" w:rsidP="0089677E">
            <w:pPr>
              <w:spacing w:before="120"/>
              <w:ind w:right="265"/>
              <w:jc w:val="both"/>
              <w:rPr>
                <w:rFonts w:cs="Arial"/>
                <w:sz w:val="20"/>
                <w:szCs w:val="20"/>
              </w:rPr>
            </w:pPr>
            <w:r>
              <w:rPr>
                <w:rFonts w:cs="Arial"/>
                <w:sz w:val="20"/>
                <w:szCs w:val="20"/>
              </w:rPr>
              <w:t>Topic 2 should cover reactions of these materials in different states and temperatures with water, acid, mineral acids and powerful oxidising acids as well as interactions with other materials such as concrete including behaviours with cementitious grout.  This should include consideration of potentially pyrophoric behaviour of compounds of these metals that may form during operations, storage or treatment processes including potential hydrides.</w:t>
            </w:r>
          </w:p>
          <w:p w:rsidR="002318E0" w:rsidRDefault="002318E0" w:rsidP="0089677E">
            <w:pPr>
              <w:pStyle w:val="ListParagraph"/>
              <w:numPr>
                <w:ilvl w:val="0"/>
                <w:numId w:val="32"/>
              </w:numPr>
              <w:spacing w:before="120"/>
              <w:ind w:right="265"/>
              <w:jc w:val="both"/>
              <w:rPr>
                <w:rFonts w:cs="Arial"/>
                <w:sz w:val="20"/>
                <w:szCs w:val="20"/>
              </w:rPr>
            </w:pPr>
            <w:r>
              <w:rPr>
                <w:rFonts w:cs="Arial"/>
                <w:sz w:val="20"/>
                <w:szCs w:val="20"/>
              </w:rPr>
              <w:t>Topic 3: Storage of Reactive Metals</w:t>
            </w:r>
          </w:p>
          <w:p w:rsidR="002318E0" w:rsidRDefault="002318E0" w:rsidP="0089677E">
            <w:pPr>
              <w:pStyle w:val="ListParagraph"/>
              <w:numPr>
                <w:ilvl w:val="0"/>
                <w:numId w:val="35"/>
              </w:numPr>
              <w:spacing w:before="120"/>
              <w:ind w:right="265"/>
              <w:jc w:val="both"/>
              <w:rPr>
                <w:rFonts w:cs="Arial"/>
                <w:sz w:val="20"/>
                <w:szCs w:val="20"/>
              </w:rPr>
            </w:pPr>
            <w:r>
              <w:rPr>
                <w:rFonts w:cs="Arial"/>
                <w:sz w:val="20"/>
                <w:szCs w:val="20"/>
              </w:rPr>
              <w:t>Long Term Storage – behaviour in air</w:t>
            </w:r>
          </w:p>
          <w:p w:rsidR="002318E0" w:rsidRDefault="002318E0" w:rsidP="0089677E">
            <w:pPr>
              <w:pStyle w:val="ListParagraph"/>
              <w:numPr>
                <w:ilvl w:val="0"/>
                <w:numId w:val="35"/>
              </w:numPr>
              <w:spacing w:before="120"/>
              <w:ind w:right="265"/>
              <w:jc w:val="both"/>
              <w:rPr>
                <w:rFonts w:cs="Arial"/>
                <w:sz w:val="20"/>
                <w:szCs w:val="20"/>
              </w:rPr>
            </w:pPr>
            <w:r>
              <w:rPr>
                <w:rFonts w:cs="Arial"/>
                <w:sz w:val="20"/>
                <w:szCs w:val="20"/>
              </w:rPr>
              <w:t>Chronic Hazards and Issues – associated with storage including any examples within the UK and elsewhere</w:t>
            </w:r>
          </w:p>
          <w:p w:rsidR="002318E0" w:rsidRDefault="002318E0" w:rsidP="0089677E">
            <w:pPr>
              <w:spacing w:before="120"/>
              <w:ind w:right="265"/>
              <w:jc w:val="both"/>
              <w:rPr>
                <w:rFonts w:cs="Arial"/>
                <w:sz w:val="20"/>
                <w:szCs w:val="20"/>
              </w:rPr>
            </w:pPr>
            <w:r>
              <w:rPr>
                <w:rFonts w:cs="Arial"/>
                <w:sz w:val="20"/>
                <w:szCs w:val="20"/>
              </w:rPr>
              <w:t>Examples could include long term storage of Plutonium compounds and their potential behaviour or interaction on the storage containment and also the behaviour of Magnox, both wet and dry, in long term storage conditions.  This should cover the behaviour of materials in sealed environments and the potential hazards that may be generated.</w:t>
            </w:r>
          </w:p>
          <w:p w:rsidR="002318E0" w:rsidRDefault="002318E0" w:rsidP="0089677E">
            <w:pPr>
              <w:pStyle w:val="ListParagraph"/>
              <w:numPr>
                <w:ilvl w:val="0"/>
                <w:numId w:val="32"/>
              </w:numPr>
              <w:spacing w:before="120"/>
              <w:ind w:right="265"/>
              <w:jc w:val="both"/>
              <w:rPr>
                <w:rFonts w:cs="Arial"/>
                <w:sz w:val="20"/>
                <w:szCs w:val="20"/>
              </w:rPr>
            </w:pPr>
            <w:r>
              <w:rPr>
                <w:rFonts w:cs="Arial"/>
                <w:sz w:val="20"/>
                <w:szCs w:val="20"/>
              </w:rPr>
              <w:t>Topic 4: Treatment</w:t>
            </w:r>
          </w:p>
          <w:p w:rsidR="002318E0" w:rsidRDefault="002318E0" w:rsidP="0089677E">
            <w:pPr>
              <w:pStyle w:val="ListParagraph"/>
              <w:numPr>
                <w:ilvl w:val="0"/>
                <w:numId w:val="36"/>
              </w:numPr>
              <w:spacing w:before="120"/>
              <w:ind w:right="265"/>
              <w:jc w:val="both"/>
              <w:rPr>
                <w:rFonts w:cs="Arial"/>
                <w:sz w:val="20"/>
                <w:szCs w:val="20"/>
              </w:rPr>
            </w:pPr>
            <w:r>
              <w:rPr>
                <w:rFonts w:cs="Arial"/>
                <w:sz w:val="20"/>
                <w:szCs w:val="20"/>
              </w:rPr>
              <w:t>Treatment Methods</w:t>
            </w:r>
          </w:p>
          <w:p w:rsidR="002318E0" w:rsidRDefault="002318E0" w:rsidP="0089677E">
            <w:pPr>
              <w:pStyle w:val="ListParagraph"/>
              <w:numPr>
                <w:ilvl w:val="0"/>
                <w:numId w:val="36"/>
              </w:numPr>
              <w:spacing w:before="120"/>
              <w:ind w:right="265"/>
              <w:jc w:val="both"/>
              <w:rPr>
                <w:rFonts w:cs="Arial"/>
                <w:sz w:val="20"/>
                <w:szCs w:val="20"/>
              </w:rPr>
            </w:pPr>
            <w:r>
              <w:rPr>
                <w:rFonts w:cs="Arial"/>
                <w:sz w:val="20"/>
                <w:szCs w:val="20"/>
              </w:rPr>
              <w:t xml:space="preserve">Passive Conditions </w:t>
            </w:r>
          </w:p>
          <w:p w:rsidR="002318E0" w:rsidRDefault="002318E0" w:rsidP="0089677E">
            <w:pPr>
              <w:spacing w:before="120"/>
              <w:ind w:right="265"/>
              <w:jc w:val="both"/>
              <w:rPr>
                <w:rFonts w:cs="Arial"/>
                <w:sz w:val="20"/>
                <w:szCs w:val="20"/>
              </w:rPr>
            </w:pPr>
            <w:r>
              <w:rPr>
                <w:rFonts w:cs="Arial"/>
                <w:sz w:val="20"/>
                <w:szCs w:val="20"/>
              </w:rPr>
              <w:t>Topic 4 should include what the potential treatment methods are to achieve passive conditions for disposal, and what these passive conditions look like over the total range of metals as it may be different.  This can include various different approaches for different materials owing to their differing hazards, for example polymer encapsulation for reactive ILW materials or hot isostatic pressing for plutonium materials.</w:t>
            </w:r>
          </w:p>
          <w:p w:rsidR="002318E0" w:rsidRDefault="002318E0" w:rsidP="0089677E">
            <w:pPr>
              <w:pStyle w:val="ListParagraph"/>
              <w:numPr>
                <w:ilvl w:val="0"/>
                <w:numId w:val="32"/>
              </w:numPr>
              <w:spacing w:before="120"/>
              <w:ind w:right="265"/>
              <w:jc w:val="both"/>
              <w:rPr>
                <w:rFonts w:cs="Arial"/>
                <w:sz w:val="20"/>
                <w:szCs w:val="20"/>
              </w:rPr>
            </w:pPr>
            <w:r>
              <w:rPr>
                <w:rFonts w:cs="Arial"/>
                <w:sz w:val="20"/>
                <w:szCs w:val="20"/>
              </w:rPr>
              <w:t>Topic 5:  Safety</w:t>
            </w:r>
          </w:p>
          <w:p w:rsidR="002318E0" w:rsidRPr="00FE3FCA" w:rsidRDefault="002318E0" w:rsidP="0089677E">
            <w:pPr>
              <w:pStyle w:val="ListParagraph"/>
              <w:numPr>
                <w:ilvl w:val="0"/>
                <w:numId w:val="37"/>
              </w:numPr>
              <w:spacing w:before="120"/>
              <w:ind w:right="265"/>
              <w:jc w:val="both"/>
              <w:rPr>
                <w:rFonts w:cs="Arial"/>
                <w:sz w:val="20"/>
                <w:szCs w:val="20"/>
              </w:rPr>
            </w:pPr>
            <w:r>
              <w:rPr>
                <w:rFonts w:cs="Arial"/>
                <w:sz w:val="20"/>
                <w:szCs w:val="20"/>
              </w:rPr>
              <w:t xml:space="preserve">Hazards and Risks – associated with handling, storage and treatment of these materials, including uncertainties in material behaviour and toxic </w:t>
            </w:r>
            <w:proofErr w:type="spellStart"/>
            <w:r>
              <w:rPr>
                <w:rFonts w:cs="Arial"/>
                <w:sz w:val="20"/>
                <w:szCs w:val="20"/>
              </w:rPr>
              <w:t>byproducts</w:t>
            </w:r>
            <w:proofErr w:type="spellEnd"/>
            <w:r>
              <w:rPr>
                <w:rFonts w:cs="Arial"/>
                <w:sz w:val="20"/>
                <w:szCs w:val="20"/>
              </w:rPr>
              <w:t xml:space="preserve"> that can potentially be generated.  If possible include examples and plans for storage and treatment.  Where </w:t>
            </w:r>
            <w:r>
              <w:rPr>
                <w:rFonts w:cs="Arial"/>
                <w:sz w:val="20"/>
                <w:szCs w:val="20"/>
              </w:rPr>
              <w:lastRenderedPageBreak/>
              <w:t>possible case studies of events should be presented to support the examples and emphasise potential hazard management strategies.</w:t>
            </w:r>
          </w:p>
          <w:p w:rsidR="002318E0" w:rsidRDefault="002318E0" w:rsidP="0089677E">
            <w:pPr>
              <w:spacing w:before="120"/>
              <w:ind w:left="709" w:right="265" w:hanging="709"/>
              <w:jc w:val="both"/>
              <w:rPr>
                <w:rFonts w:cs="Arial"/>
                <w:iCs/>
                <w:sz w:val="20"/>
                <w:szCs w:val="20"/>
              </w:rPr>
            </w:pPr>
            <w:r>
              <w:rPr>
                <w:rFonts w:cs="Arial"/>
                <w:iCs/>
                <w:sz w:val="20"/>
                <w:szCs w:val="20"/>
              </w:rPr>
              <w:t>2.2</w:t>
            </w:r>
            <w:r>
              <w:rPr>
                <w:rFonts w:cs="Arial"/>
                <w:iCs/>
                <w:sz w:val="20"/>
                <w:szCs w:val="20"/>
              </w:rPr>
              <w:tab/>
            </w:r>
            <w:r>
              <w:rPr>
                <w:rFonts w:cs="Arial"/>
                <w:sz w:val="20"/>
                <w:szCs w:val="20"/>
              </w:rPr>
              <w:tab/>
            </w:r>
            <w:r w:rsidRPr="00BE073E">
              <w:rPr>
                <w:rFonts w:cs="Arial"/>
                <w:iCs/>
                <w:sz w:val="20"/>
                <w:szCs w:val="20"/>
              </w:rPr>
              <w:t xml:space="preserve">As part of the review and delivery of the course, </w:t>
            </w:r>
            <w:r>
              <w:rPr>
                <w:rFonts w:cs="Arial"/>
                <w:iCs/>
                <w:sz w:val="20"/>
                <w:szCs w:val="20"/>
              </w:rPr>
              <w:t>the contractor</w:t>
            </w:r>
            <w:r w:rsidRPr="00BE073E">
              <w:rPr>
                <w:rFonts w:cs="Arial"/>
                <w:iCs/>
                <w:sz w:val="20"/>
                <w:szCs w:val="20"/>
              </w:rPr>
              <w:t xml:space="preserve"> should explici</w:t>
            </w:r>
            <w:r>
              <w:rPr>
                <w:rFonts w:cs="Arial"/>
                <w:iCs/>
                <w:sz w:val="20"/>
                <w:szCs w:val="20"/>
              </w:rPr>
              <w:t>tly provide references to any</w:t>
            </w:r>
            <w:r w:rsidRPr="00BE073E">
              <w:rPr>
                <w:rFonts w:cs="Arial"/>
                <w:iCs/>
                <w:sz w:val="20"/>
                <w:szCs w:val="20"/>
              </w:rPr>
              <w:t xml:space="preserve"> materials used, and any</w:t>
            </w:r>
            <w:r>
              <w:rPr>
                <w:rFonts w:cs="Arial"/>
                <w:iCs/>
                <w:sz w:val="20"/>
                <w:szCs w:val="20"/>
              </w:rPr>
              <w:t xml:space="preserve"> names of any</w:t>
            </w:r>
            <w:r w:rsidRPr="00BE073E">
              <w:rPr>
                <w:rFonts w:cs="Arial"/>
                <w:iCs/>
                <w:sz w:val="20"/>
                <w:szCs w:val="20"/>
              </w:rPr>
              <w:t xml:space="preserve"> external academics and organisations which have been consulted or referred to in the development of the course. </w:t>
            </w:r>
            <w:r>
              <w:rPr>
                <w:rFonts w:cs="Arial"/>
                <w:iCs/>
                <w:sz w:val="20"/>
                <w:szCs w:val="20"/>
              </w:rPr>
              <w:t>This should include both completed and ongoing research programmes.  If a contractor cannot fulfil any part of the above requirements, or needs to partner with other organisations to achieve the full scope of work, this should be explicitly put forward in the tender response.</w:t>
            </w:r>
          </w:p>
          <w:p w:rsidR="002318E0" w:rsidRPr="00BE073E" w:rsidRDefault="002318E0" w:rsidP="0089677E">
            <w:pPr>
              <w:spacing w:before="120"/>
              <w:ind w:left="709" w:right="265" w:hanging="709"/>
              <w:jc w:val="both"/>
              <w:rPr>
                <w:rFonts w:cs="Arial"/>
                <w:iCs/>
                <w:sz w:val="20"/>
                <w:szCs w:val="20"/>
              </w:rPr>
            </w:pPr>
            <w:r>
              <w:rPr>
                <w:rFonts w:cs="Arial"/>
                <w:iCs/>
                <w:sz w:val="20"/>
                <w:szCs w:val="20"/>
              </w:rPr>
              <w:t>2.3</w:t>
            </w:r>
            <w:r>
              <w:rPr>
                <w:rFonts w:cs="Arial"/>
                <w:iCs/>
                <w:sz w:val="20"/>
                <w:szCs w:val="20"/>
              </w:rPr>
              <w:tab/>
            </w:r>
            <w:r w:rsidRPr="00BE073E">
              <w:rPr>
                <w:rFonts w:cs="Arial"/>
                <w:iCs/>
                <w:sz w:val="20"/>
                <w:szCs w:val="20"/>
              </w:rPr>
              <w:t xml:space="preserve">As part of this work, </w:t>
            </w:r>
            <w:r>
              <w:rPr>
                <w:rFonts w:cs="Arial"/>
                <w:iCs/>
                <w:sz w:val="20"/>
                <w:szCs w:val="20"/>
              </w:rPr>
              <w:t>the contractor</w:t>
            </w:r>
            <w:r w:rsidRPr="00BE073E">
              <w:rPr>
                <w:rFonts w:cs="Arial"/>
                <w:iCs/>
                <w:sz w:val="20"/>
                <w:szCs w:val="20"/>
              </w:rPr>
              <w:t xml:space="preserve"> should plan to take part in meetings with ONR via teleconference (to discuss progress made, provide early sight of the </w:t>
            </w:r>
            <w:r>
              <w:rPr>
                <w:rFonts w:cs="Arial"/>
                <w:iCs/>
                <w:sz w:val="20"/>
                <w:szCs w:val="20"/>
              </w:rPr>
              <w:t>training</w:t>
            </w:r>
            <w:r w:rsidRPr="00BE073E">
              <w:rPr>
                <w:rFonts w:cs="Arial"/>
                <w:iCs/>
                <w:sz w:val="20"/>
                <w:szCs w:val="20"/>
              </w:rPr>
              <w:t xml:space="preserve"> materials as they are adapted and prepare for course delivery). An assumption of such 3 teleconferences (project kick-off, pre-delivery </w:t>
            </w:r>
            <w:r>
              <w:rPr>
                <w:rFonts w:cs="Arial"/>
                <w:iCs/>
                <w:sz w:val="20"/>
                <w:szCs w:val="20"/>
              </w:rPr>
              <w:t xml:space="preserve">review of the training materials </w:t>
            </w:r>
            <w:r w:rsidRPr="00BE073E">
              <w:rPr>
                <w:rFonts w:cs="Arial"/>
                <w:iCs/>
                <w:sz w:val="20"/>
                <w:szCs w:val="20"/>
              </w:rPr>
              <w:t>and post-delivery</w:t>
            </w:r>
            <w:r>
              <w:rPr>
                <w:rFonts w:cs="Arial"/>
                <w:iCs/>
                <w:sz w:val="20"/>
                <w:szCs w:val="20"/>
              </w:rPr>
              <w:t xml:space="preserve"> review of the training materials</w:t>
            </w:r>
            <w:r w:rsidRPr="00BE073E">
              <w:rPr>
                <w:rFonts w:cs="Arial"/>
                <w:iCs/>
                <w:sz w:val="20"/>
                <w:szCs w:val="20"/>
              </w:rPr>
              <w:t>) should be made for the purposes of developing the precise scope and content of the work to be undertaken.</w:t>
            </w:r>
          </w:p>
          <w:p w:rsidR="002318E0" w:rsidRDefault="002318E0" w:rsidP="0089677E">
            <w:pPr>
              <w:spacing w:before="120"/>
              <w:ind w:left="709" w:right="265" w:hanging="709"/>
              <w:jc w:val="both"/>
              <w:rPr>
                <w:rFonts w:cs="Arial"/>
                <w:iCs/>
                <w:sz w:val="20"/>
                <w:szCs w:val="20"/>
              </w:rPr>
            </w:pPr>
            <w:r w:rsidRPr="00086A01">
              <w:rPr>
                <w:rFonts w:cs="Arial"/>
                <w:iCs/>
                <w:sz w:val="20"/>
                <w:szCs w:val="20"/>
              </w:rPr>
              <w:t>2.</w:t>
            </w:r>
            <w:r>
              <w:rPr>
                <w:rFonts w:cs="Arial"/>
                <w:iCs/>
                <w:sz w:val="20"/>
                <w:szCs w:val="20"/>
              </w:rPr>
              <w:t>4</w:t>
            </w:r>
            <w:r w:rsidRPr="00086A01">
              <w:rPr>
                <w:rFonts w:cs="Arial"/>
                <w:iCs/>
                <w:sz w:val="20"/>
                <w:szCs w:val="20"/>
              </w:rPr>
              <w:tab/>
            </w:r>
            <w:r w:rsidRPr="004354C4">
              <w:rPr>
                <w:rFonts w:cs="Arial"/>
                <w:iCs/>
                <w:sz w:val="20"/>
                <w:szCs w:val="20"/>
              </w:rPr>
              <w:t xml:space="preserve">At the end of Stage 1, </w:t>
            </w:r>
            <w:r>
              <w:rPr>
                <w:rFonts w:cs="Arial"/>
                <w:iCs/>
                <w:sz w:val="20"/>
                <w:szCs w:val="20"/>
              </w:rPr>
              <w:t>the contractor will provide a single</w:t>
            </w:r>
            <w:r w:rsidRPr="004354C4">
              <w:rPr>
                <w:rFonts w:cs="Arial"/>
                <w:iCs/>
                <w:sz w:val="20"/>
                <w:szCs w:val="20"/>
              </w:rPr>
              <w:t xml:space="preserve">, fully referenced </w:t>
            </w:r>
            <w:r>
              <w:rPr>
                <w:rFonts w:cs="Arial"/>
                <w:iCs/>
                <w:sz w:val="20"/>
                <w:szCs w:val="20"/>
              </w:rPr>
              <w:t>set of</w:t>
            </w:r>
            <w:r w:rsidRPr="004354C4">
              <w:rPr>
                <w:rFonts w:cs="Arial"/>
                <w:iCs/>
                <w:sz w:val="20"/>
                <w:szCs w:val="20"/>
              </w:rPr>
              <w:t xml:space="preserve"> the </w:t>
            </w:r>
            <w:r>
              <w:rPr>
                <w:rFonts w:cs="Arial"/>
                <w:iCs/>
                <w:sz w:val="20"/>
                <w:szCs w:val="20"/>
              </w:rPr>
              <w:t>seminar materials including overheads / slides and any practical exercises proposed both in MS PowerPoint formats or similar (to be agreed with ONR). Any assumptions and</w:t>
            </w:r>
            <w:r w:rsidRPr="004354C4">
              <w:rPr>
                <w:rFonts w:cs="Arial"/>
                <w:iCs/>
                <w:sz w:val="20"/>
                <w:szCs w:val="20"/>
              </w:rPr>
              <w:t xml:space="preserve"> </w:t>
            </w:r>
            <w:r>
              <w:rPr>
                <w:rFonts w:cs="Arial"/>
                <w:iCs/>
                <w:sz w:val="20"/>
                <w:szCs w:val="20"/>
              </w:rPr>
              <w:t xml:space="preserve">extrapolations made, </w:t>
            </w:r>
            <w:r w:rsidRPr="004354C4">
              <w:rPr>
                <w:rFonts w:cs="Arial"/>
                <w:iCs/>
                <w:sz w:val="20"/>
                <w:szCs w:val="20"/>
              </w:rPr>
              <w:t>c</w:t>
            </w:r>
            <w:r>
              <w:rPr>
                <w:rFonts w:cs="Arial"/>
                <w:iCs/>
                <w:sz w:val="20"/>
                <w:szCs w:val="20"/>
              </w:rPr>
              <w:t xml:space="preserve">aveats and uncertainties </w:t>
            </w:r>
            <w:r w:rsidRPr="004354C4">
              <w:rPr>
                <w:rFonts w:cs="Arial"/>
                <w:iCs/>
                <w:sz w:val="20"/>
                <w:szCs w:val="20"/>
              </w:rPr>
              <w:t xml:space="preserve">should be explicitly documented. </w:t>
            </w:r>
          </w:p>
          <w:p w:rsidR="002318E0" w:rsidRDefault="002318E0" w:rsidP="0089677E">
            <w:pPr>
              <w:spacing w:before="120"/>
              <w:ind w:left="709" w:right="265" w:hanging="709"/>
              <w:jc w:val="both"/>
              <w:rPr>
                <w:rFonts w:cs="Arial"/>
                <w:iCs/>
                <w:sz w:val="20"/>
                <w:szCs w:val="20"/>
              </w:rPr>
            </w:pPr>
            <w:r>
              <w:rPr>
                <w:rFonts w:cs="Arial"/>
                <w:iCs/>
                <w:sz w:val="20"/>
                <w:szCs w:val="20"/>
              </w:rPr>
              <w:t>2.5</w:t>
            </w:r>
            <w:r>
              <w:rPr>
                <w:rFonts w:cs="Arial"/>
                <w:iCs/>
                <w:sz w:val="20"/>
                <w:szCs w:val="20"/>
              </w:rPr>
              <w:tab/>
              <w:t>Following Stage 1 the contractor should plan for delivery of the training in the UK. This is the Stage 2 section.  There is a requirement to deliver the training and, owing to the current Covid</w:t>
            </w:r>
            <w:r>
              <w:rPr>
                <w:rFonts w:cs="Arial"/>
                <w:iCs/>
                <w:sz w:val="20"/>
                <w:szCs w:val="20"/>
              </w:rPr>
              <w:noBreakHyphen/>
              <w:t>19 circumstances, two options are requested to be presented; both options should be individually priced as part of the response to allow ONR to select the best solution in the current circumstances.  It should be noted that option one would be the preferred method of delivery:</w:t>
            </w:r>
          </w:p>
          <w:p w:rsidR="002318E0" w:rsidRDefault="002318E0" w:rsidP="0089677E">
            <w:pPr>
              <w:pStyle w:val="ListParagraph"/>
              <w:numPr>
                <w:ilvl w:val="0"/>
                <w:numId w:val="32"/>
              </w:numPr>
              <w:spacing w:before="120"/>
              <w:ind w:right="265"/>
              <w:jc w:val="both"/>
              <w:rPr>
                <w:rFonts w:cs="Arial"/>
                <w:iCs/>
                <w:sz w:val="20"/>
                <w:szCs w:val="20"/>
              </w:rPr>
            </w:pPr>
            <w:r>
              <w:rPr>
                <w:rFonts w:cs="Arial"/>
                <w:iCs/>
                <w:sz w:val="20"/>
                <w:szCs w:val="20"/>
              </w:rPr>
              <w:t xml:space="preserve">Option one: </w:t>
            </w:r>
            <w:r w:rsidRPr="00795183">
              <w:rPr>
                <w:rFonts w:cs="Arial"/>
                <w:iCs/>
                <w:sz w:val="20"/>
                <w:szCs w:val="20"/>
              </w:rPr>
              <w:t xml:space="preserve">This </w:t>
            </w:r>
            <w:r>
              <w:rPr>
                <w:rFonts w:cs="Arial"/>
                <w:iCs/>
                <w:sz w:val="20"/>
                <w:szCs w:val="20"/>
              </w:rPr>
              <w:t xml:space="preserve">is a </w:t>
            </w:r>
            <w:r w:rsidRPr="00795183">
              <w:rPr>
                <w:rFonts w:cs="Arial"/>
                <w:iCs/>
                <w:sz w:val="20"/>
                <w:szCs w:val="20"/>
              </w:rPr>
              <w:t xml:space="preserve">seminar </w:t>
            </w:r>
            <w:r>
              <w:rPr>
                <w:rFonts w:cs="Arial"/>
                <w:iCs/>
                <w:sz w:val="20"/>
                <w:szCs w:val="20"/>
              </w:rPr>
              <w:t>to be delivered</w:t>
            </w:r>
            <w:r w:rsidRPr="00795183">
              <w:rPr>
                <w:rFonts w:cs="Arial"/>
                <w:iCs/>
                <w:sz w:val="20"/>
                <w:szCs w:val="20"/>
              </w:rPr>
              <w:t xml:space="preserve"> by</w:t>
            </w:r>
            <w:r>
              <w:rPr>
                <w:rFonts w:cs="Arial"/>
                <w:iCs/>
                <w:sz w:val="20"/>
                <w:szCs w:val="20"/>
              </w:rPr>
              <w:t xml:space="preserve"> TSC</w:t>
            </w:r>
            <w:r w:rsidRPr="00795183">
              <w:rPr>
                <w:rFonts w:cs="Arial"/>
                <w:iCs/>
                <w:sz w:val="20"/>
                <w:szCs w:val="20"/>
              </w:rPr>
              <w:t xml:space="preserve"> staff members at a mutually agreed date (anticipated to be no later than 31 01 2021) subject to ONR’s acceptance of the seminar materials (to be provided to ONR no later than 5 weeks prior to the delivery date).</w:t>
            </w:r>
            <w:r>
              <w:rPr>
                <w:rFonts w:cs="Arial"/>
                <w:iCs/>
                <w:sz w:val="20"/>
                <w:szCs w:val="20"/>
              </w:rPr>
              <w:t xml:space="preserve">  ONR states that it will seek to record this seminar for future training purposes.  </w:t>
            </w:r>
          </w:p>
          <w:p w:rsidR="002318E0" w:rsidRPr="00795183" w:rsidRDefault="002318E0" w:rsidP="0089677E">
            <w:pPr>
              <w:pStyle w:val="ListParagraph"/>
              <w:numPr>
                <w:ilvl w:val="0"/>
                <w:numId w:val="32"/>
              </w:numPr>
              <w:spacing w:before="120"/>
              <w:ind w:right="265"/>
              <w:jc w:val="both"/>
              <w:rPr>
                <w:rFonts w:cs="Arial"/>
                <w:iCs/>
                <w:sz w:val="20"/>
                <w:szCs w:val="20"/>
              </w:rPr>
            </w:pPr>
            <w:r>
              <w:rPr>
                <w:rFonts w:cs="Arial"/>
                <w:iCs/>
                <w:sz w:val="20"/>
                <w:szCs w:val="20"/>
              </w:rPr>
              <w:t>Option two: This is to produce the seminar as a series of recorded voice over lectures in a suitable MP4 format to allow them to be disseminated to the ONR team.  This option is also to include a follow-up Q&amp;A session (nominally half a day) with the ONR inspectors four weeks after the delivery of the recorded materials to ONR (format to be determined, but expected to be in some form of video conference).</w:t>
            </w:r>
          </w:p>
          <w:p w:rsidR="002318E0" w:rsidRDefault="002318E0" w:rsidP="0089677E">
            <w:pPr>
              <w:spacing w:before="120"/>
              <w:ind w:left="709" w:right="265" w:hanging="675"/>
              <w:jc w:val="both"/>
              <w:rPr>
                <w:rFonts w:cs="Arial"/>
                <w:iCs/>
                <w:sz w:val="21"/>
                <w:szCs w:val="21"/>
              </w:rPr>
            </w:pPr>
            <w:r>
              <w:rPr>
                <w:rFonts w:cs="Arial"/>
                <w:iCs/>
                <w:sz w:val="20"/>
                <w:szCs w:val="20"/>
              </w:rPr>
              <w:t>2.6</w:t>
            </w:r>
            <w:r>
              <w:rPr>
                <w:rFonts w:cs="Arial"/>
                <w:iCs/>
                <w:sz w:val="20"/>
                <w:szCs w:val="20"/>
              </w:rPr>
              <w:tab/>
            </w:r>
            <w:r>
              <w:rPr>
                <w:rFonts w:cs="Arial"/>
                <w:iCs/>
                <w:sz w:val="21"/>
                <w:szCs w:val="21"/>
              </w:rPr>
              <w:t>ONR reserves the right to move from the preferred option one to option two, in terms of training material delivery, if government guidance on social distancing and social interaction changes in response to changes in the current Covid-19 infection rates.</w:t>
            </w:r>
          </w:p>
          <w:p w:rsidR="002318E0" w:rsidRDefault="002318E0" w:rsidP="0089677E">
            <w:pPr>
              <w:spacing w:before="120"/>
              <w:ind w:left="709" w:right="265" w:hanging="675"/>
              <w:jc w:val="both"/>
              <w:rPr>
                <w:rFonts w:cs="Arial"/>
                <w:iCs/>
                <w:sz w:val="20"/>
                <w:szCs w:val="20"/>
              </w:rPr>
            </w:pPr>
            <w:r>
              <w:rPr>
                <w:rFonts w:cs="Arial"/>
                <w:iCs/>
                <w:sz w:val="20"/>
                <w:szCs w:val="20"/>
              </w:rPr>
              <w:t>2.7</w:t>
            </w:r>
            <w:r>
              <w:rPr>
                <w:rFonts w:cs="Arial"/>
                <w:iCs/>
                <w:sz w:val="20"/>
                <w:szCs w:val="20"/>
              </w:rPr>
              <w:tab/>
              <w:t>ONR will own any training material produced by the TSC for the purposes of the course and reserves the right to re-use them for future training purposes.</w:t>
            </w:r>
          </w:p>
          <w:p w:rsidR="002318E0" w:rsidRDefault="002318E0" w:rsidP="0089677E">
            <w:pPr>
              <w:spacing w:before="120"/>
              <w:ind w:left="709" w:right="265" w:hanging="709"/>
              <w:jc w:val="both"/>
              <w:rPr>
                <w:rFonts w:cs="Arial"/>
                <w:iCs/>
                <w:sz w:val="20"/>
                <w:szCs w:val="20"/>
              </w:rPr>
            </w:pPr>
            <w:r>
              <w:rPr>
                <w:rFonts w:cs="Arial"/>
                <w:iCs/>
                <w:sz w:val="20"/>
                <w:szCs w:val="20"/>
              </w:rPr>
              <w:t>2.8</w:t>
            </w:r>
            <w:r>
              <w:rPr>
                <w:rFonts w:cs="Arial"/>
                <w:iCs/>
                <w:sz w:val="20"/>
                <w:szCs w:val="20"/>
              </w:rPr>
              <w:tab/>
              <w:t>The contractor is requested to identify the</w:t>
            </w:r>
            <w:r w:rsidRPr="004354C4">
              <w:rPr>
                <w:rFonts w:cs="Arial"/>
                <w:iCs/>
                <w:sz w:val="20"/>
                <w:szCs w:val="20"/>
              </w:rPr>
              <w:t xml:space="preserve"> suitably qualified and experienced persons (SQEPs) </w:t>
            </w:r>
            <w:r>
              <w:rPr>
                <w:rFonts w:cs="Arial"/>
                <w:iCs/>
                <w:sz w:val="20"/>
                <w:szCs w:val="20"/>
              </w:rPr>
              <w:t>who</w:t>
            </w:r>
            <w:r w:rsidRPr="004354C4">
              <w:rPr>
                <w:rFonts w:cs="Arial"/>
                <w:iCs/>
                <w:sz w:val="20"/>
                <w:szCs w:val="20"/>
              </w:rPr>
              <w:t xml:space="preserve"> </w:t>
            </w:r>
            <w:r>
              <w:rPr>
                <w:rFonts w:cs="Arial"/>
                <w:iCs/>
                <w:sz w:val="20"/>
                <w:szCs w:val="20"/>
              </w:rPr>
              <w:t>will deliver the training in the UK. This will include confirmation that the identified persons will satisfactorily meet Visa requirements for UK entry for the purposes of delivering the seminars. In terms of SQEP requirements, the ability to deliver technically detailed information in clear and understandable English is a minimum requirement.  The contractor is also requested to outline the duration of face-to-face seminars in the UK (anticipated up to 3 days plus travel time), provide an upper bound estimate of costs associated with travel and subsistence by the contractor’s staff and the level of post-delivery support that could be offered to supplement the seminar delivery. The latter should be in the form of a schedule of rates (for any future support if required).</w:t>
            </w:r>
          </w:p>
          <w:p w:rsidR="00AF4C0F" w:rsidRPr="002C62C2" w:rsidRDefault="00AF4C0F" w:rsidP="0089677E">
            <w:pPr>
              <w:tabs>
                <w:tab w:val="left" w:pos="0"/>
                <w:tab w:val="center" w:pos="4153"/>
                <w:tab w:val="right" w:pos="8306"/>
              </w:tabs>
              <w:spacing w:before="120" w:after="120"/>
              <w:ind w:right="265"/>
              <w:jc w:val="both"/>
              <w:rPr>
                <w:rFonts w:asciiTheme="minorHAnsi" w:hAnsiTheme="minorHAnsi" w:cstheme="minorHAnsi"/>
                <w:iCs/>
                <w:sz w:val="20"/>
                <w:szCs w:val="20"/>
              </w:rPr>
            </w:pPr>
          </w:p>
        </w:tc>
      </w:tr>
      <w:tr w:rsidR="00AF4C0F" w:rsidRPr="002C62C2" w:rsidTr="002318E0">
        <w:trPr>
          <w:jc w:val="center"/>
        </w:trPr>
        <w:tc>
          <w:tcPr>
            <w:tcW w:w="10313"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2318E0" w:rsidRPr="002318E0" w:rsidRDefault="002318E0" w:rsidP="002318E0">
            <w:pPr>
              <w:pStyle w:val="TSNumberedParagraph11"/>
              <w:numPr>
                <w:ilvl w:val="0"/>
                <w:numId w:val="0"/>
              </w:numPr>
              <w:ind w:left="720"/>
              <w:rPr>
                <w:rFonts w:asciiTheme="minorHAnsi" w:hAnsiTheme="minorHAnsi" w:cstheme="minorHAnsi"/>
              </w:rPr>
            </w:pPr>
            <w:r w:rsidRPr="002318E0">
              <w:rPr>
                <w:rFonts w:asciiTheme="minorHAnsi" w:hAnsiTheme="minorHAnsi" w:cstheme="minorHAnsi"/>
              </w:rPr>
              <w:t>The main phases for this project are as follows:</w:t>
            </w:r>
          </w:p>
          <w:p w:rsidR="002318E0" w:rsidRPr="002318E0" w:rsidRDefault="002318E0" w:rsidP="002318E0">
            <w:pPr>
              <w:pStyle w:val="TSNumberedParagraph11"/>
              <w:rPr>
                <w:rFonts w:asciiTheme="minorHAnsi" w:hAnsiTheme="minorHAnsi" w:cstheme="minorHAnsi"/>
              </w:rPr>
            </w:pPr>
            <w:r w:rsidRPr="002318E0">
              <w:rPr>
                <w:rFonts w:asciiTheme="minorHAnsi" w:hAnsiTheme="minorHAnsi" w:cstheme="minorHAnsi"/>
                <w:b/>
              </w:rPr>
              <w:t>Stage 1</w:t>
            </w:r>
            <w:r w:rsidRPr="002318E0">
              <w:rPr>
                <w:rFonts w:asciiTheme="minorHAnsi" w:hAnsiTheme="minorHAnsi" w:cstheme="minorHAnsi"/>
              </w:rPr>
              <w:t>: Research and develop training materials for the provision of a technical training course on the behaviour of Reactive Metals. This should also include:</w:t>
            </w:r>
          </w:p>
          <w:p w:rsidR="002318E0" w:rsidRPr="002318E0" w:rsidRDefault="002318E0" w:rsidP="002318E0">
            <w:pPr>
              <w:pStyle w:val="TSNumberedParagraph11"/>
              <w:numPr>
                <w:ilvl w:val="1"/>
                <w:numId w:val="38"/>
              </w:numPr>
              <w:tabs>
                <w:tab w:val="clear" w:pos="-31680"/>
              </w:tabs>
              <w:ind w:left="1178" w:hanging="425"/>
              <w:rPr>
                <w:rFonts w:asciiTheme="minorHAnsi" w:hAnsiTheme="minorHAnsi" w:cstheme="minorHAnsi"/>
              </w:rPr>
            </w:pPr>
            <w:r w:rsidRPr="002318E0">
              <w:rPr>
                <w:rFonts w:asciiTheme="minorHAnsi" w:hAnsiTheme="minorHAnsi" w:cstheme="minorHAnsi"/>
              </w:rPr>
              <w:lastRenderedPageBreak/>
              <w:t xml:space="preserve">Identification of relevant literature sources used, as available in the public domain;  </w:t>
            </w:r>
          </w:p>
          <w:p w:rsidR="002318E0" w:rsidRPr="002318E0" w:rsidRDefault="002318E0" w:rsidP="002318E0">
            <w:pPr>
              <w:pStyle w:val="TSNumberedParagraph11"/>
              <w:numPr>
                <w:ilvl w:val="1"/>
                <w:numId w:val="38"/>
              </w:numPr>
              <w:tabs>
                <w:tab w:val="clear" w:pos="-31680"/>
              </w:tabs>
              <w:ind w:left="1178" w:hanging="425"/>
              <w:rPr>
                <w:rFonts w:asciiTheme="minorHAnsi" w:hAnsiTheme="minorHAnsi" w:cstheme="minorHAnsi"/>
              </w:rPr>
            </w:pPr>
            <w:r w:rsidRPr="002318E0">
              <w:rPr>
                <w:rFonts w:asciiTheme="minorHAnsi" w:hAnsiTheme="minorHAnsi" w:cstheme="minorHAnsi"/>
              </w:rPr>
              <w:t>Issue of training materials to ONR at least five weeks prior to delivery, including incorporation of comments following ONR’s review.</w:t>
            </w:r>
          </w:p>
          <w:p w:rsidR="002318E0" w:rsidRPr="002318E0" w:rsidRDefault="002318E0" w:rsidP="002318E0">
            <w:pPr>
              <w:pStyle w:val="TSNumberedParagraph11"/>
              <w:numPr>
                <w:ilvl w:val="0"/>
                <w:numId w:val="0"/>
              </w:numPr>
              <w:ind w:left="720"/>
              <w:rPr>
                <w:rFonts w:asciiTheme="minorHAnsi" w:hAnsiTheme="minorHAnsi" w:cstheme="minorHAnsi"/>
              </w:rPr>
            </w:pPr>
            <w:r w:rsidRPr="002318E0">
              <w:rPr>
                <w:rFonts w:asciiTheme="minorHAnsi" w:hAnsiTheme="minorHAnsi" w:cstheme="minorHAnsi"/>
                <w:b/>
              </w:rPr>
              <w:t>Stage 2</w:t>
            </w:r>
            <w:r w:rsidRPr="002318E0">
              <w:rPr>
                <w:rFonts w:asciiTheme="minorHAnsi" w:hAnsiTheme="minorHAnsi" w:cstheme="minorHAnsi"/>
              </w:rPr>
              <w:t xml:space="preserve">: Seminar delivery in the UK and post-seminar support (the latter subject to further specification of ONR needs).  If option one is selected, the intent is for the delivery to be local to ONR’s offices in Bootle to a maximum of 30 ONR/ Environment Agency (EA) staff. </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AF4C0F" w:rsidRPr="002C62C2" w:rsidTr="002318E0">
        <w:trPr>
          <w:jc w:val="center"/>
        </w:trPr>
        <w:tc>
          <w:tcPr>
            <w:tcW w:w="10313"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2318E0" w:rsidRPr="002318E0" w:rsidRDefault="002318E0" w:rsidP="002318E0">
            <w:pPr>
              <w:pStyle w:val="TSNumberedParagraph11"/>
              <w:numPr>
                <w:ilvl w:val="0"/>
                <w:numId w:val="0"/>
              </w:numPr>
              <w:ind w:left="720"/>
              <w:rPr>
                <w:rFonts w:asciiTheme="minorHAnsi" w:hAnsiTheme="minorHAnsi" w:cstheme="minorHAnsi"/>
              </w:rPr>
            </w:pPr>
            <w:r w:rsidRPr="002318E0">
              <w:rPr>
                <w:rFonts w:asciiTheme="minorHAnsi" w:hAnsiTheme="minorHAnsi" w:cstheme="minorHAnsi"/>
              </w:rPr>
              <w:t>The following constraints will apply:</w:t>
            </w:r>
          </w:p>
          <w:p w:rsidR="002318E0" w:rsidRPr="002318E0" w:rsidRDefault="002318E0" w:rsidP="002318E0">
            <w:pPr>
              <w:pStyle w:val="TSNumberedParagraph11"/>
              <w:rPr>
                <w:rFonts w:asciiTheme="minorHAnsi" w:hAnsiTheme="minorHAnsi" w:cstheme="minorHAnsi"/>
              </w:rPr>
            </w:pPr>
            <w:r w:rsidRPr="002318E0">
              <w:rPr>
                <w:rFonts w:asciiTheme="minorHAnsi" w:hAnsiTheme="minorHAnsi" w:cstheme="minorHAnsi"/>
              </w:rPr>
              <w:t>ONR would expect the course development / tailoring work to start as soon as practicable upon contract award and the contractor should consider 01 10 2020 as the starting date for Stage 1 for planning purposes. ONR also expects the successful proposal to build sufficient flexibility in the submission to incorporate feedback from ONR on the draft seminar materials (provided for review by ONR at least 7 weeks prior to delivery). ONR will provide any comments/ amendments required no later than 4 weeks prior to the seminar date.</w:t>
            </w:r>
          </w:p>
          <w:p w:rsidR="002318E0" w:rsidRPr="002318E0" w:rsidRDefault="002318E0" w:rsidP="002318E0">
            <w:pPr>
              <w:pStyle w:val="TSNumberedParagraph11"/>
              <w:rPr>
                <w:rFonts w:asciiTheme="minorHAnsi" w:hAnsiTheme="minorHAnsi" w:cstheme="minorHAnsi"/>
              </w:rPr>
            </w:pPr>
            <w:r w:rsidRPr="002318E0">
              <w:rPr>
                <w:rFonts w:asciiTheme="minorHAnsi" w:hAnsiTheme="minorHAnsi" w:cstheme="minorHAnsi"/>
              </w:rPr>
              <w:t>Conflicts of Interest (</w:t>
            </w:r>
            <w:proofErr w:type="spellStart"/>
            <w:r w:rsidRPr="002318E0">
              <w:rPr>
                <w:rFonts w:asciiTheme="minorHAnsi" w:hAnsiTheme="minorHAnsi" w:cstheme="minorHAnsi"/>
              </w:rPr>
              <w:t>CoI</w:t>
            </w:r>
            <w:proofErr w:type="spellEnd"/>
            <w:r w:rsidRPr="002318E0">
              <w:rPr>
                <w:rFonts w:asciiTheme="minorHAnsi" w:hAnsiTheme="minorHAnsi" w:cstheme="minorHAnsi"/>
              </w:rPr>
              <w:t>)</w:t>
            </w:r>
          </w:p>
          <w:p w:rsidR="002318E0" w:rsidRPr="002318E0" w:rsidRDefault="002318E0" w:rsidP="002318E0">
            <w:pPr>
              <w:pStyle w:val="TSNumberedParagraph11"/>
              <w:numPr>
                <w:ilvl w:val="0"/>
                <w:numId w:val="0"/>
              </w:numPr>
              <w:ind w:left="720"/>
              <w:rPr>
                <w:rFonts w:asciiTheme="minorHAnsi" w:hAnsiTheme="minorHAnsi" w:cstheme="minorHAnsi"/>
              </w:rPr>
            </w:pPr>
            <w:r w:rsidRPr="002318E0">
              <w:rPr>
                <w:rFonts w:asciiTheme="minorHAnsi" w:hAnsiTheme="minorHAnsi" w:cstheme="minorHAnsi"/>
              </w:rPr>
              <w:t xml:space="preserve">As part of the submission, the contractor is required to declare any past, present or suspected conflict of interests originating from past or current provision of training in this field to  licensees, </w:t>
            </w:r>
            <w:proofErr w:type="spellStart"/>
            <w:r w:rsidRPr="002318E0">
              <w:rPr>
                <w:rFonts w:asciiTheme="minorHAnsi" w:hAnsiTheme="minorHAnsi" w:cstheme="minorHAnsi"/>
              </w:rPr>
              <w:t>dutyholders</w:t>
            </w:r>
            <w:proofErr w:type="spellEnd"/>
            <w:r w:rsidRPr="002318E0">
              <w:rPr>
                <w:rFonts w:asciiTheme="minorHAnsi" w:hAnsiTheme="minorHAnsi" w:cstheme="minorHAnsi"/>
              </w:rPr>
              <w:t xml:space="preserve">, vendors, designers, their parent organisations, predecessors or associated contractors. </w:t>
            </w:r>
          </w:p>
          <w:p w:rsidR="002318E0" w:rsidRPr="002318E0" w:rsidRDefault="002318E0" w:rsidP="002318E0">
            <w:pPr>
              <w:pStyle w:val="TSNumberedParagraph11"/>
              <w:numPr>
                <w:ilvl w:val="0"/>
                <w:numId w:val="0"/>
              </w:numPr>
              <w:ind w:left="720"/>
              <w:rPr>
                <w:rFonts w:asciiTheme="minorHAnsi" w:hAnsiTheme="minorHAnsi" w:cstheme="minorHAnsi"/>
              </w:rPr>
            </w:pPr>
            <w:r w:rsidRPr="002318E0">
              <w:rPr>
                <w:rFonts w:asciiTheme="minorHAnsi" w:hAnsiTheme="minorHAnsi" w:cstheme="minorHAnsi"/>
              </w:rPr>
              <w:t>Conflicts of interest are to be advised by completion and submission of the Potential Conflicts of Interest Declaration Form, attached at Schedule C.</w:t>
            </w:r>
          </w:p>
          <w:p w:rsidR="002318E0" w:rsidRPr="002318E0" w:rsidRDefault="002318E0" w:rsidP="002318E0">
            <w:pPr>
              <w:pStyle w:val="TSNumberedParagraph11"/>
              <w:rPr>
                <w:rFonts w:asciiTheme="minorHAnsi" w:hAnsiTheme="minorHAnsi" w:cstheme="minorHAnsi"/>
              </w:rPr>
            </w:pPr>
            <w:r w:rsidRPr="002318E0">
              <w:rPr>
                <w:rFonts w:asciiTheme="minorHAnsi" w:hAnsiTheme="minorHAnsi" w:cstheme="minorHAnsi"/>
              </w:rPr>
              <w:t>Security Clearance</w:t>
            </w:r>
          </w:p>
          <w:p w:rsidR="00AF4C0F" w:rsidRDefault="002318E0" w:rsidP="002318E0">
            <w:pPr>
              <w:pStyle w:val="TSNumberedParagraph11"/>
              <w:numPr>
                <w:ilvl w:val="0"/>
                <w:numId w:val="0"/>
              </w:numPr>
              <w:ind w:left="720"/>
              <w:rPr>
                <w:rFonts w:asciiTheme="minorHAnsi" w:hAnsiTheme="minorHAnsi" w:cstheme="minorHAnsi"/>
              </w:rPr>
            </w:pPr>
            <w:r w:rsidRPr="002318E0">
              <w:rPr>
                <w:rFonts w:asciiTheme="minorHAnsi" w:hAnsiTheme="minorHAnsi" w:cstheme="minorHAnsi"/>
              </w:rPr>
              <w:t xml:space="preserve">It is expected that personnel developing and delivering the seminar will have suitable internal clearance from contractor to undertake these tasks. </w:t>
            </w:r>
          </w:p>
          <w:p w:rsidR="0089677E" w:rsidRPr="0089677E" w:rsidRDefault="0089677E" w:rsidP="0089677E">
            <w:pPr>
              <w:pStyle w:val="TSNumberedParagraph11"/>
              <w:rPr>
                <w:rFonts w:asciiTheme="minorHAnsi" w:hAnsiTheme="minorHAnsi" w:cstheme="minorHAnsi"/>
              </w:rPr>
            </w:pPr>
            <w:r w:rsidRPr="0089677E">
              <w:rPr>
                <w:rFonts w:asciiTheme="minorHAnsi" w:hAnsiTheme="minorHAnsi" w:cstheme="minorHAnsi"/>
              </w:rPr>
              <w:t>S</w:t>
            </w:r>
            <w:r>
              <w:rPr>
                <w:rFonts w:asciiTheme="minorHAnsi" w:hAnsiTheme="minorHAnsi" w:cstheme="minorHAnsi"/>
              </w:rPr>
              <w:t>ecurity Markings of Documents</w:t>
            </w:r>
            <w:r w:rsidRPr="0089677E">
              <w:rPr>
                <w:rFonts w:asciiTheme="minorHAnsi" w:hAnsiTheme="minorHAnsi" w:cstheme="minorHAnsi"/>
              </w:rPr>
              <w:t xml:space="preserve"> </w:t>
            </w:r>
          </w:p>
          <w:p w:rsidR="0089677E" w:rsidRPr="002C62C2" w:rsidRDefault="0089677E" w:rsidP="0089677E">
            <w:pPr>
              <w:pStyle w:val="TSNumberedParagraph11"/>
              <w:numPr>
                <w:ilvl w:val="0"/>
                <w:numId w:val="0"/>
              </w:numPr>
              <w:ind w:left="720"/>
              <w:rPr>
                <w:rFonts w:asciiTheme="minorHAnsi" w:hAnsiTheme="minorHAnsi" w:cstheme="minorHAnsi"/>
                <w:iCs/>
                <w:sz w:val="20"/>
                <w:szCs w:val="20"/>
              </w:rPr>
            </w:pPr>
            <w:r w:rsidRPr="0089677E">
              <w:rPr>
                <w:rFonts w:asciiTheme="minorHAnsi" w:hAnsiTheme="minorHAnsi" w:cstheme="minorHAnsi"/>
              </w:rPr>
              <w:t>It is not anticipated that the delivery of the seminar and the references to be provided by the contractor will require references to nuclear-sensitive information and/or commercially sensitive materials. Both the contractor and ONR staff will ensure that no such information is provided as part of the seminar materials or discussed during delivery.</w:t>
            </w:r>
          </w:p>
        </w:tc>
      </w:tr>
      <w:tr w:rsidR="00AF4C0F" w:rsidRPr="002C62C2" w:rsidTr="002318E0">
        <w:trPr>
          <w:jc w:val="center"/>
        </w:trPr>
        <w:tc>
          <w:tcPr>
            <w:tcW w:w="10313"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AF4C0F" w:rsidRPr="00DB6D97" w:rsidRDefault="002318E0" w:rsidP="002318E0">
            <w:pPr>
              <w:pStyle w:val="TSNumberedParagraph11"/>
              <w:rPr>
                <w:rFonts w:asciiTheme="minorHAnsi" w:hAnsiTheme="minorHAnsi" w:cstheme="minorHAnsi"/>
                <w:iCs/>
                <w:sz w:val="20"/>
                <w:szCs w:val="20"/>
              </w:rPr>
            </w:pPr>
            <w:r w:rsidRPr="002318E0">
              <w:rPr>
                <w:rFonts w:asciiTheme="minorHAnsi" w:hAnsiTheme="minorHAnsi" w:cstheme="minorHAnsi"/>
              </w:rPr>
              <w:t>ONR will require to be kept updated about progress with delivery of the required work via telephone conferences. It is anticipated that a project kick-off teleconference will take place soon after contract awards followed by 2 other teleconferences (interim / pre-delivery review of training materials and post-delivery review of training materials). This will be scheduled at mutually suitable times. A maximum of 4 hours should be allowed for each teleconference</w:t>
            </w:r>
            <w:r w:rsidR="00DB6D97">
              <w:rPr>
                <w:rFonts w:asciiTheme="minorHAnsi" w:hAnsiTheme="minorHAnsi" w:cstheme="minorHAnsi"/>
              </w:rPr>
              <w:t>.</w:t>
            </w:r>
          </w:p>
          <w:p w:rsidR="00DB6D97" w:rsidRPr="002C62C2" w:rsidRDefault="00DB6D97" w:rsidP="00DB6D97">
            <w:pPr>
              <w:pStyle w:val="TSNumberedParagraph11"/>
              <w:numPr>
                <w:ilvl w:val="0"/>
                <w:numId w:val="0"/>
              </w:numPr>
              <w:ind w:left="720"/>
              <w:rPr>
                <w:rFonts w:asciiTheme="minorHAnsi" w:hAnsiTheme="minorHAnsi" w:cstheme="minorHAnsi"/>
                <w:iCs/>
                <w:sz w:val="20"/>
                <w:szCs w:val="20"/>
              </w:rPr>
            </w:pPr>
          </w:p>
        </w:tc>
      </w:tr>
      <w:tr w:rsidR="00863CDC" w:rsidRPr="002C62C2" w:rsidTr="002318E0">
        <w:trPr>
          <w:jc w:val="center"/>
        </w:trPr>
        <w:tc>
          <w:tcPr>
            <w:tcW w:w="10313"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2318E0">
        <w:trPr>
          <w:jc w:val="center"/>
        </w:trPr>
        <w:tc>
          <w:tcPr>
            <w:tcW w:w="10313"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2318E0" w:rsidRPr="002318E0" w:rsidRDefault="002318E0" w:rsidP="002318E0">
            <w:pPr>
              <w:pStyle w:val="TSNumberedParagraph11"/>
              <w:rPr>
                <w:rFonts w:asciiTheme="minorHAnsi" w:hAnsiTheme="minorHAnsi" w:cstheme="minorHAnsi"/>
              </w:rPr>
            </w:pPr>
            <w:r w:rsidRPr="002318E0">
              <w:rPr>
                <w:rFonts w:asciiTheme="minorHAnsi" w:hAnsiTheme="minorHAnsi" w:cstheme="minorHAnsi"/>
              </w:rPr>
              <w:t>To submit a compliant proposal in response to this specification, the contractor is requested to:</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Clearly address all aspects of the specification (including scope and constraints);</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Provide a description of how the proposed contractor staff has the appropriate experience to undertake this work;</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 xml:space="preserve">Provide details of the project team members, including grades and rates and curriculum vitae (CV) summarising relevant experience; </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 xml:space="preserve">Explain how the aims and scope of the work are to be addressed, and the proposed approach including any internal governance arrangements (peer review/acceptance process) for the training information. </w:t>
            </w:r>
          </w:p>
          <w:p w:rsidR="002318E0" w:rsidRPr="002318E0" w:rsidRDefault="002318E0" w:rsidP="0089677E">
            <w:pPr>
              <w:pStyle w:val="TSNumberedParagraph11"/>
              <w:numPr>
                <w:ilvl w:val="0"/>
                <w:numId w:val="0"/>
              </w:numPr>
              <w:spacing w:after="0"/>
              <w:ind w:left="720"/>
              <w:rPr>
                <w:rFonts w:asciiTheme="minorHAnsi" w:hAnsiTheme="minorHAnsi" w:cstheme="minorHAnsi"/>
              </w:rPr>
            </w:pPr>
            <w:r w:rsidRPr="002318E0">
              <w:rPr>
                <w:rFonts w:asciiTheme="minorHAnsi" w:hAnsiTheme="minorHAnsi" w:cstheme="minorHAnsi"/>
              </w:rPr>
              <w:t>This should include:</w:t>
            </w:r>
          </w:p>
          <w:p w:rsidR="002318E0" w:rsidRPr="002318E0" w:rsidRDefault="002318E0" w:rsidP="0089677E">
            <w:pPr>
              <w:pStyle w:val="TSNumberedParagraph11"/>
              <w:numPr>
                <w:ilvl w:val="0"/>
                <w:numId w:val="41"/>
              </w:numPr>
              <w:spacing w:after="0"/>
              <w:rPr>
                <w:rFonts w:asciiTheme="minorHAnsi" w:hAnsiTheme="minorHAnsi" w:cstheme="minorHAnsi"/>
              </w:rPr>
            </w:pPr>
            <w:r w:rsidRPr="002318E0">
              <w:rPr>
                <w:rFonts w:asciiTheme="minorHAnsi" w:hAnsiTheme="minorHAnsi" w:cstheme="minorHAnsi"/>
              </w:rPr>
              <w:t>Identification of the required tasks with the number of days required for each task and timescales, including details of who will undertake each of the tasks; and</w:t>
            </w:r>
          </w:p>
          <w:p w:rsidR="002318E0" w:rsidRPr="002318E0" w:rsidRDefault="002318E0" w:rsidP="0089677E">
            <w:pPr>
              <w:pStyle w:val="TSNumberedParagraph11"/>
              <w:numPr>
                <w:ilvl w:val="0"/>
                <w:numId w:val="41"/>
              </w:numPr>
              <w:spacing w:after="0"/>
              <w:rPr>
                <w:rFonts w:asciiTheme="minorHAnsi" w:hAnsiTheme="minorHAnsi" w:cstheme="minorHAnsi"/>
              </w:rPr>
            </w:pPr>
            <w:r w:rsidRPr="002318E0">
              <w:rPr>
                <w:rFonts w:asciiTheme="minorHAnsi" w:hAnsiTheme="minorHAnsi" w:cstheme="minorHAnsi"/>
              </w:rPr>
              <w:t xml:space="preserve">Experience of the project team relevant to each of the tasks. This should include a brief description of examples of the work undertaken by the individual that provides evidence of adequate experience to undertake the assigned task.  </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Identify the anticipated engagement with ONR, including any progress meetings;</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Include a project plan and timetable covering each of the proposed tasks;</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The arrangements for managing delivery of the work including contact details of the contract / project manager proposed for this task. This should also include the cost control arrangements that will apply during stages 1 and 2 of the project.</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Provide a detailed breakdown of all proposed costs associated with Stage 1 of the work and project team members’ rates that support the costings, any assumptions, exclusions and caveats made in developing the price. Costs associated with printing of seminar materials / workbooks for ONR staff use (for course delivery) should be excluded. ONR printing facilities will be used.</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Include the project management and subcontracting costs that may arise as a result of any engagement of external experts, academics or organisations.</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It is not currently anticipated that face-to-face meetings at ONR Bootle offices will be required as part of Stage 1 of the project. However, travel including flights, UK internal travel to ONR offices in Bootle and associated subsistence) will be incurred during seminar delivery (Stage 2). An upper bound estimate of travel and subsistence costs is requested as part of the proposal.</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The timeframes for Stage 2 (seminar delivery) are to be confirmed based on the duration of pre-contract discussions and stage 1 (course development / tailoring tasks). It is currently anticipated that the seminar should take place no later than 31st Jan 2021, which allows 3-4 months for contract agreement and course development.  The contractor should clearly outline any difficulties in meeting the above timescales at the time the proposal is developed.</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 xml:space="preserve">The proposed team member rates that would apply to Stage 2 (seminar delivery and post-delivery support) are also required. </w:t>
            </w:r>
          </w:p>
          <w:p w:rsidR="002318E0" w:rsidRPr="002318E0" w:rsidRDefault="002318E0" w:rsidP="0089677E">
            <w:pPr>
              <w:pStyle w:val="TSNumberedParagraph11"/>
              <w:numPr>
                <w:ilvl w:val="1"/>
                <w:numId w:val="40"/>
              </w:numPr>
              <w:tabs>
                <w:tab w:val="clear" w:pos="-31680"/>
              </w:tabs>
              <w:spacing w:after="0"/>
              <w:ind w:hanging="283"/>
              <w:rPr>
                <w:rFonts w:asciiTheme="minorHAnsi" w:hAnsiTheme="minorHAnsi" w:cstheme="minorHAnsi"/>
              </w:rPr>
            </w:pPr>
            <w:r w:rsidRPr="002318E0">
              <w:rPr>
                <w:rFonts w:asciiTheme="minorHAnsi" w:hAnsiTheme="minorHAnsi" w:cstheme="minorHAnsi"/>
              </w:rPr>
              <w:t>Provide a schedule of invoices and forecast of invoice values.</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2318E0">
      <w:headerReference w:type="default" r:id="rId9"/>
      <w:footerReference w:type="default" r:id="rId10"/>
      <w:headerReference w:type="first" r:id="rId11"/>
      <w:footerReference w:type="first" r:id="rId12"/>
      <w:type w:val="continuous"/>
      <w:pgSz w:w="11906" w:h="16838" w:code="9"/>
      <w:pgMar w:top="569" w:right="720" w:bottom="720" w:left="720" w:header="431" w:footer="7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8DF" w:rsidRDefault="001608DF">
      <w:r>
        <w:separator/>
      </w:r>
    </w:p>
  </w:endnote>
  <w:endnote w:type="continuationSeparator" w:id="0">
    <w:p w:rsidR="001608DF" w:rsidRDefault="0016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7D545C">
    <w:pPr>
      <w:pStyle w:val="Header"/>
      <w:jc w:val="center"/>
      <w:rPr>
        <w:b/>
        <w:color w:val="006D68"/>
        <w:sz w:val="14"/>
        <w:szCs w:val="14"/>
      </w:rPr>
    </w:pPr>
    <w:r w:rsidRPr="009962B1">
      <w:rPr>
        <w:b/>
        <w:color w:val="006D68"/>
        <w:sz w:val="20"/>
        <w:szCs w:val="20"/>
      </w:rPr>
      <w:t>SECURITY CLASSIFICATION (delete or add as required</w:t>
    </w:r>
    <w:r>
      <w:rPr>
        <w:b/>
        <w:color w:val="006D68"/>
        <w:sz w:val="24"/>
        <w:szCs w:val="14"/>
      </w:rPr>
      <w:t>)</w:t>
    </w: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89677E">
      <w:rPr>
        <w:b/>
        <w:noProof/>
        <w:color w:val="006D68"/>
        <w:sz w:val="14"/>
        <w:szCs w:val="14"/>
      </w:rPr>
      <w:t>5</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89677E">
      <w:rPr>
        <w:b/>
        <w:noProof/>
        <w:color w:val="006D68"/>
        <w:sz w:val="14"/>
        <w:szCs w:val="14"/>
      </w:rPr>
      <w:t>5</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7D545C">
    <w:pPr>
      <w:pStyle w:val="Header"/>
      <w:jc w:val="center"/>
      <w:rPr>
        <w:b/>
        <w:color w:val="006D68"/>
        <w:sz w:val="14"/>
        <w:szCs w:val="14"/>
      </w:rPr>
    </w:pPr>
    <w:r>
      <w:rPr>
        <w:b/>
        <w:color w:val="006D68"/>
        <w:sz w:val="24"/>
        <w:szCs w:val="14"/>
      </w:rPr>
      <w:t>SECURITY CLASSIFICATION (</w:t>
    </w:r>
    <w:r w:rsidR="002318E0">
      <w:rPr>
        <w:b/>
        <w:color w:val="006D68"/>
        <w:sz w:val="24"/>
        <w:szCs w:val="14"/>
      </w:rPr>
      <w:t>Official</w:t>
    </w:r>
    <w:r>
      <w:rPr>
        <w:b/>
        <w:color w:val="006D68"/>
        <w:sz w:val="24"/>
        <w:szCs w:val="14"/>
      </w:rPr>
      <w:t>)</w:t>
    </w: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89677E">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89677E">
      <w:rPr>
        <w:b/>
        <w:noProof/>
        <w:color w:val="006D68"/>
        <w:sz w:val="14"/>
        <w:szCs w:val="14"/>
      </w:rPr>
      <w:t>5</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8DF" w:rsidRDefault="001608DF">
      <w:r>
        <w:separator/>
      </w:r>
    </w:p>
  </w:footnote>
  <w:footnote w:type="continuationSeparator" w:id="0">
    <w:p w:rsidR="001608DF" w:rsidRDefault="00160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Pr="00AF4C0F" w:rsidRDefault="00D75DA2" w:rsidP="007D545C">
    <w:pPr>
      <w:pStyle w:val="Header"/>
      <w:jc w:val="center"/>
      <w:rPr>
        <w:b/>
        <w:color w:val="006D68"/>
        <w:sz w:val="20"/>
        <w:szCs w:val="20"/>
      </w:rPr>
    </w:pPr>
    <w:r w:rsidRPr="00AF4C0F">
      <w:rPr>
        <w:b/>
        <w:color w:val="006D68"/>
        <w:sz w:val="20"/>
        <w:szCs w:val="20"/>
      </w:rPr>
      <w:t>SECURITY CLASSIFICATION (delete or add as required)</w:t>
    </w: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97" w:rsidRDefault="00DB6D97" w:rsidP="00457068">
    <w:pPr>
      <w:pStyle w:val="Header"/>
      <w:rPr>
        <w:b/>
        <w:sz w:val="20"/>
        <w:szCs w:val="20"/>
      </w:rPr>
    </w:pPr>
  </w:p>
  <w:p w:rsidR="00DB6D97" w:rsidRDefault="00457068" w:rsidP="00DB6D97">
    <w:pPr>
      <w:pStyle w:val="Header"/>
      <w:rPr>
        <w:b/>
        <w:sz w:val="20"/>
        <w:szCs w:val="20"/>
      </w:rPr>
    </w:pPr>
    <w:r>
      <w:rPr>
        <w:b/>
        <w:noProof/>
        <w:sz w:val="20"/>
        <w:szCs w:val="20"/>
        <w:lang w:eastAsia="en-GB"/>
      </w:rPr>
      <w:drawing>
        <wp:inline distT="0" distB="0" distL="0" distR="0" wp14:anchorId="20FC5DD3" wp14:editId="0CA82339">
          <wp:extent cx="2578735" cy="878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457068" w:rsidRDefault="00DB6D97" w:rsidP="00DB6D97">
    <w:pPr>
      <w:pStyle w:val="Header"/>
      <w:jc w:val="right"/>
      <w:rPr>
        <w:b/>
        <w:sz w:val="20"/>
        <w:szCs w:val="20"/>
      </w:rPr>
    </w:pPr>
    <w:r>
      <w:rPr>
        <w:b/>
        <w:sz w:val="20"/>
        <w:szCs w:val="20"/>
      </w:rPr>
      <w:t>Schedule A</w:t>
    </w:r>
  </w:p>
  <w:p w:rsidR="00A25EB0" w:rsidRPr="00C754D7" w:rsidRDefault="00AF4C0F" w:rsidP="00457068">
    <w:pPr>
      <w:pStyle w:val="Header"/>
      <w:jc w:val="right"/>
      <w:rPr>
        <w:b/>
        <w:sz w:val="20"/>
        <w:szCs w:val="20"/>
      </w:rPr>
    </w:pPr>
    <w:r>
      <w:rPr>
        <w:b/>
        <w:sz w:val="20"/>
        <w:szCs w:val="20"/>
      </w:rPr>
      <w:t>ONR</w:t>
    </w:r>
    <w:r w:rsidR="00DB6D97">
      <w:rPr>
        <w:b/>
        <w:sz w:val="20"/>
        <w:szCs w:val="20"/>
      </w:rPr>
      <w:t>/</w:t>
    </w:r>
    <w:r w:rsidR="00F46609">
      <w:rPr>
        <w:b/>
        <w:sz w:val="20"/>
        <w:szCs w:val="20"/>
      </w:rPr>
      <w:t>680</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4D84427"/>
    <w:multiLevelType w:val="multilevel"/>
    <w:tmpl w:val="9CDAFF1E"/>
    <w:lvl w:ilvl="0">
      <w:start w:val="1"/>
      <w:numFmt w:val="decimal"/>
      <w:lvlText w:val="%1"/>
      <w:lvlJc w:val="left"/>
      <w:pPr>
        <w:tabs>
          <w:tab w:val="num" w:pos="-31538"/>
        </w:tabs>
        <w:ind w:left="862" w:hanging="720"/>
      </w:pPr>
      <w:rPr>
        <w:rFonts w:hint="default"/>
        <w:sz w:val="22"/>
      </w:rPr>
    </w:lvl>
    <w:lvl w:ilvl="1">
      <w:start w:val="1"/>
      <w:numFmt w:val="bullet"/>
      <w:lvlText w:val="o"/>
      <w:lvlJc w:val="left"/>
      <w:pPr>
        <w:tabs>
          <w:tab w:val="num" w:pos="-31680"/>
        </w:tabs>
        <w:ind w:left="720" w:hanging="720"/>
      </w:pPr>
      <w:rPr>
        <w:rFonts w:ascii="Courier New" w:hAnsi="Courier New" w:cs="Courier New"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DB69B4"/>
    <w:multiLevelType w:val="multilevel"/>
    <w:tmpl w:val="C958D83C"/>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8642C"/>
    <w:multiLevelType w:val="hybridMultilevel"/>
    <w:tmpl w:val="866C57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08129A"/>
    <w:multiLevelType w:val="hybridMultilevel"/>
    <w:tmpl w:val="C7721D08"/>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0"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3" w15:restartNumberingAfterBreak="0">
    <w:nsid w:val="28046781"/>
    <w:multiLevelType w:val="multilevel"/>
    <w:tmpl w:val="9CDAFF1E"/>
    <w:lvl w:ilvl="0">
      <w:start w:val="1"/>
      <w:numFmt w:val="decimal"/>
      <w:lvlText w:val="%1"/>
      <w:lvlJc w:val="left"/>
      <w:pPr>
        <w:tabs>
          <w:tab w:val="num" w:pos="-31538"/>
        </w:tabs>
        <w:ind w:left="862" w:hanging="720"/>
      </w:pPr>
      <w:rPr>
        <w:rFonts w:hint="default"/>
        <w:sz w:val="22"/>
      </w:rPr>
    </w:lvl>
    <w:lvl w:ilvl="1">
      <w:start w:val="1"/>
      <w:numFmt w:val="bullet"/>
      <w:lvlText w:val="o"/>
      <w:lvlJc w:val="left"/>
      <w:pPr>
        <w:tabs>
          <w:tab w:val="num" w:pos="-31680"/>
        </w:tabs>
        <w:ind w:left="720" w:hanging="720"/>
      </w:pPr>
      <w:rPr>
        <w:rFonts w:ascii="Courier New" w:hAnsi="Courier New" w:cs="Courier New"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C4A613F"/>
    <w:multiLevelType w:val="hybridMultilevel"/>
    <w:tmpl w:val="EB92CFF0"/>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6"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7" w15:restartNumberingAfterBreak="0">
    <w:nsid w:val="31136A8B"/>
    <w:multiLevelType w:val="hybridMultilevel"/>
    <w:tmpl w:val="642A1F1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21"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556F80"/>
    <w:multiLevelType w:val="hybridMultilevel"/>
    <w:tmpl w:val="A5509012"/>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5" w15:restartNumberingAfterBreak="0">
    <w:nsid w:val="51D1751E"/>
    <w:multiLevelType w:val="hybridMultilevel"/>
    <w:tmpl w:val="C5DE8AFE"/>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6"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7"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8"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31"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3"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5" w15:restartNumberingAfterBreak="0">
    <w:nsid w:val="72B307E8"/>
    <w:multiLevelType w:val="hybridMultilevel"/>
    <w:tmpl w:val="229632C2"/>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6"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8"/>
  </w:num>
  <w:num w:numId="3">
    <w:abstractNumId w:val="22"/>
  </w:num>
  <w:num w:numId="4">
    <w:abstractNumId w:val="0"/>
  </w:num>
  <w:num w:numId="5">
    <w:abstractNumId w:val="20"/>
  </w:num>
  <w:num w:numId="6">
    <w:abstractNumId w:val="36"/>
  </w:num>
  <w:num w:numId="7">
    <w:abstractNumId w:val="30"/>
  </w:num>
  <w:num w:numId="8">
    <w:abstractNumId w:val="27"/>
  </w:num>
  <w:num w:numId="9">
    <w:abstractNumId w:val="37"/>
  </w:num>
  <w:num w:numId="10">
    <w:abstractNumId w:val="2"/>
  </w:num>
  <w:num w:numId="11">
    <w:abstractNumId w:val="10"/>
  </w:num>
  <w:num w:numId="12">
    <w:abstractNumId w:val="14"/>
  </w:num>
  <w:num w:numId="13">
    <w:abstractNumId w:val="1"/>
  </w:num>
  <w:num w:numId="14">
    <w:abstractNumId w:val="28"/>
  </w:num>
  <w:num w:numId="15">
    <w:abstractNumId w:val="18"/>
  </w:num>
  <w:num w:numId="16">
    <w:abstractNumId w:val="33"/>
  </w:num>
  <w:num w:numId="17">
    <w:abstractNumId w:val="11"/>
  </w:num>
  <w:num w:numId="18">
    <w:abstractNumId w:val="23"/>
  </w:num>
  <w:num w:numId="19">
    <w:abstractNumId w:val="21"/>
  </w:num>
  <w:num w:numId="20">
    <w:abstractNumId w:val="3"/>
  </w:num>
  <w:num w:numId="21">
    <w:abstractNumId w:val="34"/>
  </w:num>
  <w:num w:numId="22">
    <w:abstractNumId w:val="5"/>
  </w:num>
  <w:num w:numId="23">
    <w:abstractNumId w:val="29"/>
  </w:num>
  <w:num w:numId="24">
    <w:abstractNumId w:val="31"/>
  </w:num>
  <w:num w:numId="25">
    <w:abstractNumId w:val="19"/>
  </w:num>
  <w:num w:numId="26">
    <w:abstractNumId w:val="7"/>
  </w:num>
  <w:num w:numId="27">
    <w:abstractNumId w:val="16"/>
  </w:num>
  <w:num w:numId="28">
    <w:abstractNumId w:val="32"/>
  </w:num>
  <w:num w:numId="29">
    <w:abstractNumId w:val="26"/>
  </w:num>
  <w:num w:numId="30">
    <w:abstractNumId w:val="33"/>
  </w:num>
  <w:num w:numId="31">
    <w:abstractNumId w:val="14"/>
  </w:num>
  <w:num w:numId="32">
    <w:abstractNumId w:val="17"/>
  </w:num>
  <w:num w:numId="33">
    <w:abstractNumId w:val="24"/>
  </w:num>
  <w:num w:numId="34">
    <w:abstractNumId w:val="25"/>
  </w:num>
  <w:num w:numId="35">
    <w:abstractNumId w:val="35"/>
  </w:num>
  <w:num w:numId="36">
    <w:abstractNumId w:val="9"/>
  </w:num>
  <w:num w:numId="37">
    <w:abstractNumId w:val="15"/>
  </w:num>
  <w:num w:numId="38">
    <w:abstractNumId w:val="4"/>
  </w:num>
  <w:num w:numId="39">
    <w:abstractNumId w:val="13"/>
  </w:num>
  <w:num w:numId="40">
    <w:abstractNumId w:val="6"/>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22"/>
    <w:rsid w:val="00030D3C"/>
    <w:rsid w:val="000312D3"/>
    <w:rsid w:val="000375D1"/>
    <w:rsid w:val="000715BD"/>
    <w:rsid w:val="00096F71"/>
    <w:rsid w:val="000B1830"/>
    <w:rsid w:val="000B4E40"/>
    <w:rsid w:val="000D6244"/>
    <w:rsid w:val="00121C8F"/>
    <w:rsid w:val="00131ECC"/>
    <w:rsid w:val="00144CEA"/>
    <w:rsid w:val="001608DF"/>
    <w:rsid w:val="00164F4F"/>
    <w:rsid w:val="00193C9A"/>
    <w:rsid w:val="001A58B1"/>
    <w:rsid w:val="001C3DB8"/>
    <w:rsid w:val="001D78A1"/>
    <w:rsid w:val="00200CB7"/>
    <w:rsid w:val="0021074A"/>
    <w:rsid w:val="00216018"/>
    <w:rsid w:val="002318E0"/>
    <w:rsid w:val="0026634B"/>
    <w:rsid w:val="0028011F"/>
    <w:rsid w:val="0028356A"/>
    <w:rsid w:val="00297401"/>
    <w:rsid w:val="002C62C2"/>
    <w:rsid w:val="0031706E"/>
    <w:rsid w:val="003B4AA2"/>
    <w:rsid w:val="003D005E"/>
    <w:rsid w:val="003E2CA6"/>
    <w:rsid w:val="003E452E"/>
    <w:rsid w:val="00457068"/>
    <w:rsid w:val="004750A2"/>
    <w:rsid w:val="00487A22"/>
    <w:rsid w:val="004A7B1B"/>
    <w:rsid w:val="004F24BC"/>
    <w:rsid w:val="00505F6E"/>
    <w:rsid w:val="005322E6"/>
    <w:rsid w:val="005556C6"/>
    <w:rsid w:val="00562F2F"/>
    <w:rsid w:val="005A1570"/>
    <w:rsid w:val="005A5A87"/>
    <w:rsid w:val="005F0722"/>
    <w:rsid w:val="00604F23"/>
    <w:rsid w:val="006A667F"/>
    <w:rsid w:val="006B2DA6"/>
    <w:rsid w:val="006C519A"/>
    <w:rsid w:val="006F1199"/>
    <w:rsid w:val="006F5420"/>
    <w:rsid w:val="00715C62"/>
    <w:rsid w:val="0072164C"/>
    <w:rsid w:val="007B4EE0"/>
    <w:rsid w:val="007D545C"/>
    <w:rsid w:val="007F7246"/>
    <w:rsid w:val="00842FD6"/>
    <w:rsid w:val="00863CDC"/>
    <w:rsid w:val="00891423"/>
    <w:rsid w:val="0089677E"/>
    <w:rsid w:val="008A7BDD"/>
    <w:rsid w:val="008D71E9"/>
    <w:rsid w:val="008E67CB"/>
    <w:rsid w:val="0091041C"/>
    <w:rsid w:val="00932851"/>
    <w:rsid w:val="009678DE"/>
    <w:rsid w:val="00971BA8"/>
    <w:rsid w:val="009765DB"/>
    <w:rsid w:val="00987AA6"/>
    <w:rsid w:val="009962B1"/>
    <w:rsid w:val="009B5159"/>
    <w:rsid w:val="009D3CD0"/>
    <w:rsid w:val="009F1B6F"/>
    <w:rsid w:val="00A25EB0"/>
    <w:rsid w:val="00A41FDA"/>
    <w:rsid w:val="00A442D1"/>
    <w:rsid w:val="00AB2BB0"/>
    <w:rsid w:val="00AB7147"/>
    <w:rsid w:val="00AD5635"/>
    <w:rsid w:val="00AE199F"/>
    <w:rsid w:val="00AF4C0F"/>
    <w:rsid w:val="00B255B3"/>
    <w:rsid w:val="00B43C54"/>
    <w:rsid w:val="00B504F7"/>
    <w:rsid w:val="00B56CCE"/>
    <w:rsid w:val="00B81B18"/>
    <w:rsid w:val="00BC24ED"/>
    <w:rsid w:val="00BC5FC8"/>
    <w:rsid w:val="00C25583"/>
    <w:rsid w:val="00C75298"/>
    <w:rsid w:val="00C75A1C"/>
    <w:rsid w:val="00CA3B14"/>
    <w:rsid w:val="00CD7B5F"/>
    <w:rsid w:val="00CE5958"/>
    <w:rsid w:val="00CE6571"/>
    <w:rsid w:val="00D3061A"/>
    <w:rsid w:val="00D55197"/>
    <w:rsid w:val="00D55FE7"/>
    <w:rsid w:val="00D75DA2"/>
    <w:rsid w:val="00D7747E"/>
    <w:rsid w:val="00DB6D97"/>
    <w:rsid w:val="00DC6611"/>
    <w:rsid w:val="00DE4417"/>
    <w:rsid w:val="00DF3697"/>
    <w:rsid w:val="00E12A39"/>
    <w:rsid w:val="00E32F3B"/>
    <w:rsid w:val="00E71B0C"/>
    <w:rsid w:val="00E87C8C"/>
    <w:rsid w:val="00E9478E"/>
    <w:rsid w:val="00E97293"/>
    <w:rsid w:val="00EA5EB4"/>
    <w:rsid w:val="00ED5F2B"/>
    <w:rsid w:val="00F46609"/>
    <w:rsid w:val="00F93E91"/>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090081"/>
  <w15:docId w15:val="{376C2964-4C11-4741-8A63-65FF6BA6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57B8-4091-4ED2-B8CC-E98839CF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2299</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2018-10-29T09:55:00Z</cp:lastPrinted>
  <dcterms:created xsi:type="dcterms:W3CDTF">2020-12-30T14:14:00Z</dcterms:created>
  <dcterms:modified xsi:type="dcterms:W3CDTF">2020-12-30T14:14:00Z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