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Award Form</w:t>
      </w:r>
      <w:r w:rsidDel="00000000" w:rsidR="00000000" w:rsidRPr="00000000">
        <w:rPr>
          <w:rtl w:val="0"/>
        </w:rPr>
      </w:r>
    </w:p>
    <w:p w:rsidR="00000000" w:rsidDel="00000000" w:rsidP="00000000" w:rsidRDefault="00000000" w:rsidRPr="00000000" w14:paraId="00000002">
      <w:pPr>
        <w:rPr>
          <w:rFonts w:ascii="Arial" w:cs="Arial" w:eastAsia="Arial" w:hAnsi="Arial"/>
          <w:sz w:val="24"/>
          <w:szCs w:val="24"/>
        </w:rPr>
      </w:pPr>
      <w:r w:rsidDel="00000000" w:rsidR="00000000" w:rsidRPr="00000000">
        <w:rPr>
          <w:rFonts w:ascii="Arial" w:cs="Arial" w:eastAsia="Arial" w:hAnsi="Arial"/>
          <w:sz w:val="24"/>
          <w:szCs w:val="24"/>
          <w:rtl w:val="0"/>
        </w:rPr>
        <w:t xml:space="preserve">This Award Form creates this Contract. It summarises the main features of the procurement and includes the Buyer and the Supplier’s contact details.</w:t>
      </w:r>
    </w:p>
    <w:tbl>
      <w:tblPr>
        <w:tblStyle w:val="Table1"/>
        <w:tblW w:w="9498.0" w:type="dxa"/>
        <w:jc w:val="left"/>
        <w:tblInd w:w="-10.0" w:type="dxa"/>
        <w:tblBorders>
          <w:top w:color="000000" w:space="0" w:sz="8" w:val="single"/>
          <w:left w:color="000000" w:space="0" w:sz="8" w:val="single"/>
          <w:bottom w:color="000000" w:space="0" w:sz="8" w:val="single"/>
          <w:right w:color="000000" w:space="0" w:sz="8" w:val="single"/>
          <w:insideH w:color="95b3d7" w:space="0" w:sz="4" w:val="single"/>
          <w:insideV w:color="95b3d7" w:space="0" w:sz="4" w:val="single"/>
        </w:tblBorders>
        <w:tblLayout w:type="fixed"/>
        <w:tblLook w:val="0000"/>
      </w:tblPr>
      <w:tblGrid>
        <w:gridCol w:w="426"/>
        <w:gridCol w:w="1842"/>
        <w:gridCol w:w="7230"/>
        <w:tblGridChange w:id="0">
          <w:tblGrid>
            <w:gridCol w:w="426"/>
            <w:gridCol w:w="1842"/>
            <w:gridCol w:w="7230"/>
          </w:tblGrid>
        </w:tblGridChange>
      </w:tblGrid>
      <w:tr>
        <w:trPr>
          <w:cantSplit w:val="0"/>
          <w:trHeight w:val="1060" w:hRule="atLeast"/>
          <w:tblHeader w:val="0"/>
        </w:trPr>
        <w:tc>
          <w:tcPr/>
          <w:p w:rsidR="00000000" w:rsidDel="00000000" w:rsidP="00000000" w:rsidRDefault="00000000" w:rsidRPr="00000000" w14:paraId="00000003">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w:t>
            </w:r>
          </w:p>
        </w:tc>
        <w:tc>
          <w:tcPr/>
          <w:p w:rsidR="00000000" w:rsidDel="00000000" w:rsidP="00000000" w:rsidRDefault="00000000" w:rsidRPr="00000000" w14:paraId="00000005">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Buyer’s name</w:t>
            </w:r>
            <w:r w:rsidDel="00000000" w:rsidR="00000000" w:rsidRPr="00000000">
              <w:rPr>
                <w:rFonts w:ascii="Arial" w:cs="Arial" w:eastAsia="Arial" w:hAnsi="Arial"/>
                <w:color w:val="000000"/>
                <w:sz w:val="24"/>
                <w:szCs w:val="24"/>
                <w:highlight w:val="white"/>
                <w:rtl w:val="0"/>
              </w:rPr>
              <w:t xml:space="preserve">: Cabinet Office (Government Digital Service (GDS))</w:t>
            </w:r>
            <w:r w:rsidDel="00000000" w:rsidR="00000000" w:rsidRPr="00000000">
              <w:rPr>
                <w:rtl w:val="0"/>
              </w:rPr>
            </w:r>
          </w:p>
          <w:p w:rsidR="00000000" w:rsidDel="00000000" w:rsidP="00000000" w:rsidRDefault="00000000" w:rsidRPr="00000000" w14:paraId="00000006">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Buyer’s main address</w:t>
            </w:r>
            <w:r w:rsidDel="00000000" w:rsidR="00000000" w:rsidRPr="00000000">
              <w:rPr>
                <w:rFonts w:ascii="Arial" w:cs="Arial" w:eastAsia="Arial" w:hAnsi="Arial"/>
                <w:color w:val="000000"/>
                <w:sz w:val="24"/>
                <w:szCs w:val="24"/>
                <w:highlight w:val="white"/>
                <w:rtl w:val="0"/>
              </w:rPr>
              <w:t xml:space="preserve">: Cabinet Office, I Horse Guards Road, London, SW1A 2HQ.</w:t>
            </w:r>
          </w:p>
          <w:p w:rsidR="00000000" w:rsidDel="00000000" w:rsidP="00000000" w:rsidRDefault="00000000" w:rsidRPr="00000000" w14:paraId="00000007">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GDS</w:t>
            </w:r>
            <w:r w:rsidDel="00000000" w:rsidR="00000000" w:rsidRPr="00000000">
              <w:rPr>
                <w:rFonts w:ascii="Arial" w:cs="Arial" w:eastAsia="Arial" w:hAnsi="Arial"/>
                <w:color w:val="000000"/>
                <w:sz w:val="24"/>
                <w:szCs w:val="24"/>
                <w:highlight w:val="white"/>
                <w:rtl w:val="0"/>
              </w:rPr>
              <w:t xml:space="preserve">: The White Chapel Building, 10 Whitechapel High Street, London, E1 8QS</w:t>
            </w:r>
          </w:p>
        </w:tc>
      </w:tr>
      <w:tr>
        <w:trPr>
          <w:cantSplit w:val="0"/>
          <w:trHeight w:val="2870" w:hRule="atLeast"/>
          <w:tblHeader w:val="0"/>
        </w:trPr>
        <w:tc>
          <w:tcPr/>
          <w:p w:rsidR="00000000" w:rsidDel="00000000" w:rsidP="00000000" w:rsidRDefault="00000000" w:rsidRPr="00000000" w14:paraId="00000008">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w:t>
            </w:r>
          </w:p>
        </w:tc>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highlight w:val="white"/>
              </w:rPr>
            </w:pPr>
            <w:r w:rsidDel="00000000" w:rsidR="00000000" w:rsidRPr="00000000">
              <w:rPr>
                <w:rtl w:val="0"/>
              </w:rPr>
            </w:r>
          </w:p>
          <w:tbl>
            <w:tblPr>
              <w:tblStyle w:val="Table2"/>
              <w:tblW w:w="613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96"/>
              <w:gridCol w:w="3836"/>
              <w:tblGridChange w:id="0">
                <w:tblGrid>
                  <w:gridCol w:w="2296"/>
                  <w:gridCol w:w="3836"/>
                </w:tblGrid>
              </w:tblGridChange>
            </w:tblGrid>
            <w:tr>
              <w:trPr>
                <w:cantSplit w:val="0"/>
                <w:tblHeader w:val="0"/>
              </w:trPr>
              <w:tc>
                <w:tcPr>
                  <w:shd w:fill="auto" w:val="clear"/>
                </w:tcPr>
                <w:p w:rsidR="00000000" w:rsidDel="00000000" w:rsidP="00000000" w:rsidRDefault="00000000" w:rsidRPr="00000000" w14:paraId="0000000B">
                  <w:pPr>
                    <w:spacing w:after="120" w:before="120" w:line="240" w:lineRule="auto"/>
                    <w:ind w:left="-75"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Name: </w:t>
                  </w:r>
                </w:p>
              </w:tc>
              <w:tc>
                <w:tcPr/>
                <w:p w:rsidR="00000000" w:rsidDel="00000000" w:rsidP="00000000" w:rsidRDefault="00000000" w:rsidRPr="00000000" w14:paraId="0000000C">
                  <w:pPr>
                    <w:spacing w:after="120" w:before="120" w:line="240" w:lineRule="auto"/>
                    <w:rPr>
                      <w:rFonts w:ascii="Arial" w:cs="Arial" w:eastAsia="Arial" w:hAnsi="Arial"/>
                      <w:b w:val="1"/>
                      <w:i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name (registered name if registered)]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D">
                  <w:pPr>
                    <w:spacing w:after="120" w:before="120" w:line="240" w:lineRule="auto"/>
                    <w:ind w:left="-75"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Address: </w:t>
                  </w:r>
                </w:p>
              </w:tc>
              <w:tc>
                <w:tcPr/>
                <w:p w:rsidR="00000000" w:rsidDel="00000000" w:rsidP="00000000" w:rsidRDefault="00000000" w:rsidRPr="00000000" w14:paraId="0000000E">
                  <w:pPr>
                    <w:spacing w:after="120" w:before="120" w:line="240" w:lineRule="auto"/>
                    <w:rPr>
                      <w:rFonts w:ascii="Arial" w:cs="Arial" w:eastAsia="Arial" w:hAnsi="Arial"/>
                      <w:b w:val="1"/>
                      <w:i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w:t>
                  </w:r>
                  <w:r w:rsidDel="00000000" w:rsidR="00000000" w:rsidRPr="00000000">
                    <w:rPr>
                      <w:rFonts w:ascii="Arial" w:cs="Arial" w:eastAsia="Arial" w:hAnsi="Arial"/>
                      <w:b w:val="1"/>
                      <w:i w:val="1"/>
                      <w:color w:val="000000"/>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address registered address if registered]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F">
                  <w:pPr>
                    <w:spacing w:after="120" w:before="120" w:line="240" w:lineRule="auto"/>
                    <w:ind w:left="-75"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Registration number: </w:t>
                  </w:r>
                </w:p>
              </w:tc>
              <w:tc>
                <w:tcPr/>
                <w:p w:rsidR="00000000" w:rsidDel="00000000" w:rsidP="00000000" w:rsidRDefault="00000000" w:rsidRPr="00000000" w14:paraId="00000010">
                  <w:pPr>
                    <w:spacing w:after="120" w:before="120" w:line="240" w:lineRule="auto"/>
                    <w:rPr>
                      <w:rFonts w:ascii="Arial" w:cs="Arial" w:eastAsia="Arial" w:hAnsi="Arial"/>
                      <w:b w:val="1"/>
                      <w:i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w:t>
                  </w:r>
                  <w:r w:rsidDel="00000000" w:rsidR="00000000" w:rsidRPr="00000000">
                    <w:rPr>
                      <w:rFonts w:ascii="Arial" w:cs="Arial" w:eastAsia="Arial" w:hAnsi="Arial"/>
                      <w:b w:val="1"/>
                      <w:i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registration number if registered]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1">
                  <w:pPr>
                    <w:spacing w:after="120" w:before="120" w:line="240" w:lineRule="auto"/>
                    <w:ind w:left="-75"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SID4GOV ID:</w:t>
                  </w:r>
                </w:p>
              </w:tc>
              <w:tc>
                <w:tcPr/>
                <w:p w:rsidR="00000000" w:rsidDel="00000000" w:rsidP="00000000" w:rsidRDefault="00000000" w:rsidRPr="00000000" w14:paraId="00000012">
                  <w:pPr>
                    <w:spacing w:after="120" w:before="120" w:line="240" w:lineRule="auto"/>
                    <w:rPr>
                      <w:rFonts w:ascii="Arial" w:cs="Arial" w:eastAsia="Arial" w:hAnsi="Arial"/>
                      <w:b w:val="1"/>
                      <w:i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w:t>
                  </w:r>
                  <w:r w:rsidDel="00000000" w:rsidR="00000000" w:rsidRPr="00000000">
                    <w:rPr>
                      <w:rFonts w:ascii="Arial" w:cs="Arial" w:eastAsia="Arial" w:hAnsi="Arial"/>
                      <w:b w:val="1"/>
                      <w:i w:val="1"/>
                      <w:color w:val="000000"/>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SID4GOV ID if you have one]</w:t>
                  </w:r>
                  <w:r w:rsidDel="00000000" w:rsidR="00000000" w:rsidRPr="00000000">
                    <w:rPr>
                      <w:rtl w:val="0"/>
                    </w:rPr>
                  </w:r>
                </w:p>
              </w:tc>
            </w:tr>
          </w:tbl>
          <w:p w:rsidR="00000000" w:rsidDel="00000000" w:rsidP="00000000" w:rsidRDefault="00000000" w:rsidRPr="00000000" w14:paraId="00000013">
            <w:pPr>
              <w:spacing w:after="120" w:before="120" w:line="240" w:lineRule="auto"/>
              <w:rPr>
                <w:rFonts w:ascii="Arial" w:cs="Arial" w:eastAsia="Arial" w:hAnsi="Arial"/>
                <w:sz w:val="24"/>
                <w:szCs w:val="24"/>
                <w:highlight w:val="white"/>
              </w:rPr>
            </w:pPr>
            <w:r w:rsidDel="00000000" w:rsidR="00000000" w:rsidRPr="00000000">
              <w:rPr>
                <w:rtl w:val="0"/>
              </w:rPr>
            </w:r>
          </w:p>
        </w:tc>
      </w:tr>
      <w:tr>
        <w:trPr>
          <w:cantSplit w:val="0"/>
          <w:trHeight w:val="1440" w:hRule="atLeast"/>
          <w:tblHeader w:val="0"/>
        </w:trPr>
        <w:tc>
          <w:tcPr/>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Contract</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This Contract between the Buyer and the Supplier is for the supply of Deliverables, being ‘WP2236 Payment Provider for GOV.UK Pay’ - see Schedule 2 (Specification) for full details.</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This opportunity is advertised in this Contract Notice  Find A Tender, reference </w:t>
            </w:r>
            <w:r w:rsidDel="00000000" w:rsidR="00000000" w:rsidRPr="00000000">
              <w:rPr>
                <w:rFonts w:ascii="Arial" w:cs="Arial" w:eastAsia="Arial" w:hAnsi="Arial"/>
                <w:b w:val="1"/>
                <w:color w:val="000000"/>
                <w:sz w:val="24"/>
                <w:szCs w:val="24"/>
                <w:highlight w:val="white"/>
                <w:rtl w:val="0"/>
              </w:rPr>
              <w:t xml:space="preserve">[tbc</w:t>
            </w:r>
            <w:r w:rsidDel="00000000" w:rsidR="00000000" w:rsidRPr="00000000">
              <w:rPr>
                <w:rFonts w:ascii="Arial" w:cs="Arial" w:eastAsia="Arial" w:hAnsi="Arial"/>
                <w:color w:val="000000"/>
                <w:sz w:val="24"/>
                <w:szCs w:val="24"/>
                <w:highlight w:val="white"/>
                <w:rtl w:val="0"/>
              </w:rPr>
              <w:t xml:space="preserve">] (FTS Contract Notice).</w:t>
            </w:r>
          </w:p>
        </w:tc>
      </w:tr>
      <w:tr>
        <w:trPr>
          <w:cantSplit w:val="0"/>
          <w:trHeight w:val="320" w:hRule="atLeast"/>
          <w:tblHeader w:val="0"/>
        </w:trPr>
        <w:tc>
          <w:tcPr/>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pacing w:after="120" w:before="120" w:line="240" w:lineRule="auto"/>
              <w:ind w:left="357" w:hanging="357"/>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Contract reference</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WP2236</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i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 </w:t>
            </w:r>
            <w:r w:rsidDel="00000000" w:rsidR="00000000" w:rsidRPr="00000000">
              <w:rPr>
                <w:rtl w:val="0"/>
              </w:rPr>
            </w:r>
          </w:p>
        </w:tc>
      </w:tr>
      <w:tr>
        <w:trPr>
          <w:cantSplit w:val="0"/>
          <w:trHeight w:val="320" w:hRule="atLeast"/>
          <w:tblHeader w:val="0"/>
        </w:trPr>
        <w:tc>
          <w:tcPr/>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 Cause</w:t>
            </w:r>
          </w:p>
        </w:tc>
        <w:tc>
          <w:tcPr/>
          <w:p w:rsidR="00000000" w:rsidDel="00000000" w:rsidP="00000000" w:rsidRDefault="00000000" w:rsidRPr="00000000" w14:paraId="0000001E">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Authority shall:</w:t>
            </w:r>
          </w:p>
          <w:p w:rsidR="00000000" w:rsidDel="00000000" w:rsidP="00000000" w:rsidRDefault="00000000" w:rsidRPr="00000000" w14:paraId="0000001F">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1. 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rsidR="00000000" w:rsidDel="00000000" w:rsidP="00000000" w:rsidRDefault="00000000" w:rsidRPr="00000000" w14:paraId="00000020">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2. provide sufficient and suitably qualified staff to fulfil the Authority’s roles and duties under this Contract as defined in the Implementation Plan; </w:t>
            </w:r>
          </w:p>
          <w:p w:rsidR="00000000" w:rsidDel="00000000" w:rsidP="00000000" w:rsidRDefault="00000000" w:rsidRPr="00000000" w14:paraId="00000021">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3. use its reasonable endeavours to provide such documentation, data and/or other information that the Supplier reasonably requests that is necessary to perform its obligations under the terms of this Contract provided that such documentation, data and/or information is available to the Authority and is authorised for release by the Authority; and </w:t>
            </w:r>
          </w:p>
          <w:p w:rsidR="00000000" w:rsidDel="00000000" w:rsidP="00000000" w:rsidRDefault="00000000" w:rsidRPr="00000000" w14:paraId="00000022">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4. </w:t>
            </w:r>
            <w:r w:rsidDel="00000000" w:rsidR="00000000" w:rsidRPr="00000000">
              <w:rPr>
                <w:rFonts w:ascii="Arial" w:cs="Arial" w:eastAsia="Arial" w:hAnsi="Arial"/>
                <w:color w:val="000000"/>
                <w:sz w:val="24"/>
                <w:szCs w:val="24"/>
                <w:highlight w:val="white"/>
                <w:rtl w:val="0"/>
              </w:rPr>
              <w:t xml:space="preserve">the Buyer shall have no obligation to perform any obligations placed on it in Schedule 2 (Specification) or Schedule 4 (Tender) unless they are specifically identified above.</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5. Any material breach of the obligations of the Buyer or any other default, act, omission, negligence or statement of the Buyer, of its employees, servants, agents in connection with or in relation to the subject-matter of this Contract and in respect of which the Buyer is liable to the Supplier.</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Collaborative working principles</w:t>
            </w:r>
          </w:p>
        </w:tc>
        <w:tc>
          <w:tcPr/>
          <w:p w:rsidR="00000000" w:rsidDel="00000000" w:rsidP="00000000" w:rsidRDefault="00000000" w:rsidRPr="00000000" w14:paraId="00000027">
            <w:pPr>
              <w:spacing w:after="120" w:before="120" w:line="240" w:lineRule="auto"/>
              <w:ind w:right="936"/>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Collaborative Working Principles do not apply to this Contract. See Clause 3.1.3 for further details.</w:t>
            </w:r>
          </w:p>
        </w:tc>
      </w:tr>
      <w:tr>
        <w:trPr>
          <w:cantSplit w:val="0"/>
          <w:trHeight w:val="460" w:hRule="atLeast"/>
          <w:tblHeader w:val="0"/>
        </w:trPr>
        <w:tc>
          <w:tcPr/>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Financial Transparency Objectives</w:t>
            </w:r>
          </w:p>
        </w:tc>
        <w:tc>
          <w:tcPr/>
          <w:p w:rsidR="00000000" w:rsidDel="00000000" w:rsidP="00000000" w:rsidRDefault="00000000" w:rsidRPr="00000000" w14:paraId="0000002A">
            <w:pPr>
              <w:spacing w:after="120" w:before="120" w:line="240" w:lineRule="auto"/>
              <w:ind w:right="936"/>
              <w:rPr>
                <w:rFonts w:ascii="Arial" w:cs="Arial" w:eastAsia="Arial" w:hAnsi="Arial"/>
                <w:b w:val="1"/>
                <w:i w:val="1"/>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Financial Transparency Objectives do not apply to this Contract. </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Start Date</w:t>
            </w:r>
            <w:r w:rsidDel="00000000" w:rsidR="00000000" w:rsidRPr="00000000">
              <w:rPr>
                <w:rtl w:val="0"/>
              </w:rPr>
            </w:r>
          </w:p>
        </w:tc>
        <w:tc>
          <w:tcPr/>
          <w:p w:rsidR="00000000" w:rsidDel="00000000" w:rsidP="00000000" w:rsidRDefault="00000000" w:rsidRPr="00000000" w14:paraId="0000002D">
            <w:pPr>
              <w:spacing w:after="120" w:before="120" w:line="240" w:lineRule="auto"/>
              <w:ind w:right="936"/>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w:t>
            </w:r>
            <w:r w:rsidDel="00000000" w:rsidR="00000000" w:rsidRPr="00000000">
              <w:rPr>
                <w:rFonts w:ascii="Arial" w:cs="Arial" w:eastAsia="Arial" w:hAnsi="Arial"/>
                <w:b w:val="1"/>
                <w:color w:val="000000"/>
                <w:sz w:val="24"/>
                <w:szCs w:val="24"/>
                <w:highlight w:val="white"/>
                <w:rtl w:val="0"/>
              </w:rPr>
              <w:t xml:space="preserve">8 July 2025</w:t>
            </w:r>
            <w:r w:rsidDel="00000000" w:rsidR="00000000" w:rsidRPr="00000000">
              <w:rPr>
                <w:rFonts w:ascii="Arial" w:cs="Arial" w:eastAsia="Arial" w:hAnsi="Arial"/>
                <w:color w:val="000000"/>
                <w:sz w:val="24"/>
                <w:szCs w:val="24"/>
                <w:highlight w:val="white"/>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i w:val="1"/>
                <w:color w:val="000000"/>
                <w:sz w:val="24"/>
                <w:szCs w:val="24"/>
                <w:highlight w:val="white"/>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i w:val="1"/>
                <w:sz w:val="24"/>
                <w:szCs w:val="24"/>
                <w:highlight w:val="white"/>
              </w:rPr>
            </w:pPr>
            <w:r w:rsidDel="00000000" w:rsidR="00000000" w:rsidRPr="00000000">
              <w:rPr>
                <w:rFonts w:ascii="Arial" w:cs="Arial" w:eastAsia="Arial" w:hAnsi="Arial"/>
                <w:b w:val="1"/>
                <w:color w:val="000000"/>
                <w:sz w:val="24"/>
                <w:szCs w:val="24"/>
                <w:highlight w:val="white"/>
                <w:rtl w:val="0"/>
              </w:rPr>
              <w:t xml:space="preserve">“Live” service to commence </w:t>
            </w:r>
            <w:r w:rsidDel="00000000" w:rsidR="00000000" w:rsidRPr="00000000">
              <w:rPr>
                <w:rFonts w:ascii="Arial" w:cs="Arial" w:eastAsia="Arial" w:hAnsi="Arial"/>
                <w:b w:val="1"/>
                <w:color w:val="000000"/>
                <w:sz w:val="24"/>
                <w:szCs w:val="24"/>
                <w:highlight w:val="white"/>
                <w:rtl w:val="0"/>
              </w:rPr>
              <w:t xml:space="preserve">12 months from contract start date</w:t>
            </w: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Expiry Date</w:t>
            </w:r>
          </w:p>
        </w:tc>
        <w:tc>
          <w:tcPr/>
          <w:p w:rsidR="00000000" w:rsidDel="00000000" w:rsidP="00000000" w:rsidRDefault="00000000" w:rsidRPr="00000000" w14:paraId="00000032">
            <w:pPr>
              <w:spacing w:after="120" w:before="120" w:line="240" w:lineRule="auto"/>
              <w:ind w:right="936"/>
              <w:rPr>
                <w:rFonts w:ascii="Arial" w:cs="Arial" w:eastAsia="Arial" w:hAnsi="Arial"/>
                <w:sz w:val="24"/>
                <w:szCs w:val="24"/>
                <w:highlight w:val="white"/>
              </w:rPr>
            </w:pPr>
            <w:r w:rsidDel="00000000" w:rsidR="00000000" w:rsidRPr="00000000">
              <w:rPr>
                <w:rFonts w:ascii="Arial" w:cs="Arial" w:eastAsia="Arial" w:hAnsi="Arial"/>
                <w:color w:val="000000"/>
                <w:sz w:val="24"/>
                <w:szCs w:val="24"/>
                <w:highlight w:val="white"/>
                <w:rtl w:val="0"/>
              </w:rPr>
              <w:t xml:space="preserve">[</w:t>
            </w:r>
            <w:r w:rsidDel="00000000" w:rsidR="00000000" w:rsidRPr="00000000">
              <w:rPr>
                <w:rFonts w:ascii="Arial" w:cs="Arial" w:eastAsia="Arial" w:hAnsi="Arial"/>
                <w:b w:val="1"/>
                <w:color w:val="000000"/>
                <w:sz w:val="24"/>
                <w:szCs w:val="24"/>
                <w:highlight w:val="white"/>
                <w:rtl w:val="0"/>
              </w:rPr>
              <w:t xml:space="preserve">7</w:t>
            </w:r>
            <w:r w:rsidDel="00000000" w:rsidR="00000000" w:rsidRPr="00000000">
              <w:rPr>
                <w:rFonts w:ascii="Arial" w:cs="Arial" w:eastAsia="Arial" w:hAnsi="Arial"/>
                <w:b w:val="1"/>
                <w:color w:val="000000"/>
                <w:sz w:val="24"/>
                <w:szCs w:val="24"/>
                <w:highlight w:val="white"/>
                <w:rtl w:val="0"/>
              </w:rPr>
              <w:t xml:space="preserve"> July 2028</w:t>
            </w:r>
            <w:r w:rsidDel="00000000" w:rsidR="00000000" w:rsidRPr="00000000">
              <w:rPr>
                <w:rFonts w:ascii="Arial" w:cs="Arial" w:eastAsia="Arial" w:hAnsi="Arial"/>
                <w:color w:val="000000"/>
                <w:sz w:val="24"/>
                <w:szCs w:val="24"/>
                <w:highlight w:val="white"/>
                <w:rtl w:val="0"/>
              </w:rPr>
              <w:t xml:space="preserve">]</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before="120" w:line="240" w:lineRule="auto"/>
              <w:ind w:left="34"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Extension Period</w:t>
            </w:r>
          </w:p>
        </w:tc>
        <w:tc>
          <w:tcPr/>
          <w:p w:rsidR="00000000" w:rsidDel="00000000" w:rsidP="00000000" w:rsidRDefault="00000000" w:rsidRPr="00000000" w14:paraId="00000035">
            <w:pPr>
              <w:spacing w:after="120" w:before="120" w:line="240" w:lineRule="auto"/>
              <w:ind w:right="936"/>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This contract may be extended by 2 periods of up to 12 months each.</w:t>
            </w:r>
            <w:r w:rsidDel="00000000" w:rsidR="00000000" w:rsidRPr="00000000">
              <w:rPr>
                <w:rtl w:val="0"/>
              </w:rPr>
            </w:r>
          </w:p>
          <w:p w:rsidR="00000000" w:rsidDel="00000000" w:rsidP="00000000" w:rsidRDefault="00000000" w:rsidRPr="00000000" w14:paraId="00000036">
            <w:pPr>
              <w:spacing w:after="120" w:before="120" w:line="240" w:lineRule="auto"/>
              <w:rPr>
                <w:rFonts w:ascii="Arial" w:cs="Arial" w:eastAsia="Arial" w:hAnsi="Arial"/>
                <w:sz w:val="24"/>
                <w:szCs w:val="24"/>
                <w:highlight w:val="white"/>
              </w:rPr>
            </w:pPr>
            <w:r w:rsidDel="00000000" w:rsidR="00000000" w:rsidRPr="00000000">
              <w:rPr>
                <w:rFonts w:ascii="Arial" w:cs="Arial" w:eastAsia="Arial" w:hAnsi="Arial"/>
                <w:color w:val="000000"/>
                <w:sz w:val="24"/>
                <w:szCs w:val="24"/>
                <w:highlight w:val="white"/>
                <w:rtl w:val="0"/>
              </w:rPr>
              <w:t xml:space="preserve">[Extension exercised where the Buyer gives the Supplier no less than 3 Months' written notice before this Contract expires] </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before="120" w:line="240" w:lineRule="auto"/>
              <w:ind w:left="34"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Ending this Contract without a reason</w:t>
            </w:r>
          </w:p>
        </w:tc>
        <w:tc>
          <w:tcPr/>
          <w:p w:rsidR="00000000" w:rsidDel="00000000" w:rsidP="00000000" w:rsidRDefault="00000000" w:rsidRPr="00000000" w14:paraId="00000039">
            <w:pPr>
              <w:spacing w:after="120" w:before="120" w:line="240" w:lineRule="auto"/>
              <w:ind w:right="936"/>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Buyer shall be able to terminate this Contract in accordance with Clause 14.3.</w:t>
            </w:r>
          </w:p>
          <w:p w:rsidR="00000000" w:rsidDel="00000000" w:rsidP="00000000" w:rsidRDefault="00000000" w:rsidRPr="00000000" w14:paraId="0000003A">
            <w:pPr>
              <w:pStyle w:val="Heading4"/>
              <w:keepNext w:val="0"/>
              <w:keepLines w:val="0"/>
              <w:spacing w:after="120" w:before="120" w:line="240" w:lineRule="auto"/>
              <w:rPr>
                <w:rFonts w:ascii="Arial" w:cs="Arial" w:eastAsia="Arial" w:hAnsi="Arial"/>
                <w:b w:val="0"/>
                <w:color w:val="000000"/>
                <w:highlight w:val="white"/>
              </w:rPr>
            </w:pPr>
            <w:r w:rsidDel="00000000" w:rsidR="00000000" w:rsidRPr="00000000">
              <w:rPr>
                <w:rFonts w:ascii="Arial" w:cs="Arial" w:eastAsia="Arial" w:hAnsi="Arial"/>
                <w:b w:val="0"/>
                <w:color w:val="000000"/>
                <w:highlight w:val="white"/>
                <w:rtl w:val="0"/>
              </w:rPr>
              <w:t xml:space="preserve">[Provided that the amount of notice that the Buyer shall give to terminate in Clause 14.3 shall be 1 month.]</w:t>
            </w:r>
          </w:p>
        </w:tc>
      </w:tr>
      <w:tr>
        <w:trPr>
          <w:cantSplit w:val="0"/>
          <w:trHeight w:val="220" w:hRule="atLeast"/>
          <w:tblHeader w:val="0"/>
        </w:trPr>
        <w:tc>
          <w:tcPr/>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Incorporated Terms </w:t>
            </w:r>
            <w:r w:rsidDel="00000000" w:rsidR="00000000" w:rsidRPr="00000000">
              <w:rPr>
                <w:rtl w:val="0"/>
              </w:rPr>
            </w:r>
          </w:p>
          <w:p w:rsidR="00000000" w:rsidDel="00000000" w:rsidP="00000000" w:rsidRDefault="00000000" w:rsidRPr="00000000" w14:paraId="0000003D">
            <w:pPr>
              <w:spacing w:after="120" w:before="12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(together these documents form the </w:t>
            </w:r>
            <w:r w:rsidDel="00000000" w:rsidR="00000000" w:rsidRPr="00000000">
              <w:rPr>
                <w:rFonts w:ascii="Arial" w:cs="Arial" w:eastAsia="Arial" w:hAnsi="Arial"/>
                <w:b w:val="1"/>
                <w:color w:val="000000"/>
                <w:sz w:val="24"/>
                <w:szCs w:val="24"/>
                <w:rtl w:val="0"/>
              </w:rPr>
              <w:t xml:space="preserve">"this Contract"</w:t>
            </w:r>
            <w:r w:rsidDel="00000000" w:rsidR="00000000" w:rsidRPr="00000000">
              <w:rPr>
                <w:rFonts w:ascii="Arial" w:cs="Arial" w:eastAsia="Arial" w:hAnsi="Arial"/>
                <w:color w:val="000000"/>
                <w:sz w:val="24"/>
                <w:szCs w:val="24"/>
                <w:rtl w:val="0"/>
              </w:rPr>
              <w:t xml:space="preserve">)</w:t>
            </w:r>
          </w:p>
        </w:tc>
        <w:tc>
          <w:tcPr/>
          <w:p w:rsidR="00000000" w:rsidDel="00000000" w:rsidP="00000000" w:rsidRDefault="00000000" w:rsidRPr="00000000" w14:paraId="0000003E">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following documents are incorporated into this Contract. Where numbers are missing we are not using these Schedules. If there is any conflict, the following order of precedence applies: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before="120" w:line="240" w:lineRule="auto"/>
              <w:ind w:firstLine="36"/>
              <w:rPr>
                <w:rFonts w:ascii="Arial" w:cs="Arial" w:eastAsia="Arial" w:hAnsi="Arial"/>
                <w:b w:val="1"/>
                <w:i w:val="1"/>
                <w:color w:val="000000"/>
                <w:sz w:val="24"/>
                <w:szCs w:val="24"/>
                <w:highlight w:val="white"/>
              </w:rPr>
            </w:pP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This Award Form</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Any Special Terms (see </w:t>
            </w:r>
            <w:r w:rsidDel="00000000" w:rsidR="00000000" w:rsidRPr="00000000">
              <w:rPr>
                <w:rFonts w:ascii="Arial" w:cs="Arial" w:eastAsia="Arial" w:hAnsi="Arial"/>
                <w:b w:val="1"/>
                <w:color w:val="000000"/>
                <w:sz w:val="24"/>
                <w:szCs w:val="24"/>
                <w:highlight w:val="white"/>
                <w:rtl w:val="0"/>
              </w:rPr>
              <w:t xml:space="preserve">Section 14 (Special Terms)</w:t>
            </w:r>
            <w:r w:rsidDel="00000000" w:rsidR="00000000" w:rsidRPr="00000000">
              <w:rPr>
                <w:rFonts w:ascii="Arial" w:cs="Arial" w:eastAsia="Arial" w:hAnsi="Arial"/>
                <w:color w:val="000000"/>
                <w:sz w:val="24"/>
                <w:szCs w:val="24"/>
                <w:highlight w:val="white"/>
                <w:rtl w:val="0"/>
              </w:rPr>
              <w:t xml:space="preserve"> in this Award Form)</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Core Terms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1 (Definitions) </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6 (Transparency Reports)</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20 (Processing Data) </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following Schedules (in equal order of precedence):</w:t>
            </w:r>
            <w:r w:rsidDel="00000000" w:rsidR="00000000" w:rsidRPr="00000000">
              <w:rPr>
                <w:rtl w:val="0"/>
              </w:rPr>
            </w:r>
          </w:p>
          <w:p w:rsidR="00000000" w:rsidDel="00000000" w:rsidP="00000000" w:rsidRDefault="00000000" w:rsidRPr="00000000" w14:paraId="00000047">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 (Specification)</w:t>
            </w:r>
          </w:p>
          <w:p w:rsidR="00000000" w:rsidDel="00000000" w:rsidP="00000000" w:rsidRDefault="00000000" w:rsidRPr="00000000" w14:paraId="00000048">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3 (Charges)</w:t>
            </w:r>
          </w:p>
          <w:p w:rsidR="00000000" w:rsidDel="00000000" w:rsidP="00000000" w:rsidRDefault="00000000" w:rsidRPr="00000000" w14:paraId="00000049">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5 (Commercially Sensitive Information)</w:t>
            </w:r>
          </w:p>
          <w:p w:rsidR="00000000" w:rsidDel="00000000" w:rsidP="00000000" w:rsidRDefault="00000000" w:rsidRPr="00000000" w14:paraId="0000004A">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6 (Transparency Report)</w:t>
            </w:r>
          </w:p>
          <w:p w:rsidR="00000000" w:rsidDel="00000000" w:rsidP="00000000" w:rsidRDefault="00000000" w:rsidRPr="00000000" w14:paraId="0000004B">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7 (Staff Transfer)</w:t>
            </w:r>
          </w:p>
          <w:p w:rsidR="00000000" w:rsidDel="00000000" w:rsidP="00000000" w:rsidRDefault="00000000" w:rsidRPr="00000000" w14:paraId="0000004C">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10 (Service Levels)</w:t>
            </w:r>
          </w:p>
          <w:p w:rsidR="00000000" w:rsidDel="00000000" w:rsidP="00000000" w:rsidRDefault="00000000" w:rsidRPr="00000000" w14:paraId="0000004D">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11 (Continuous Improvement)</w:t>
            </w:r>
          </w:p>
          <w:p w:rsidR="00000000" w:rsidDel="00000000" w:rsidP="00000000" w:rsidRDefault="00000000" w:rsidRPr="00000000" w14:paraId="0000004E">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14 (Business Continuity and Disaster Recovery)</w:t>
            </w:r>
          </w:p>
          <w:p w:rsidR="00000000" w:rsidDel="00000000" w:rsidP="00000000" w:rsidRDefault="00000000" w:rsidRPr="00000000" w14:paraId="0000004F">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15 (Minimum Standards of Reliability)</w:t>
            </w:r>
          </w:p>
          <w:p w:rsidR="00000000" w:rsidDel="00000000" w:rsidP="00000000" w:rsidRDefault="00000000" w:rsidRPr="00000000" w14:paraId="00000050">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16 (Security)</w:t>
            </w:r>
            <w:r w:rsidDel="00000000" w:rsidR="00000000" w:rsidRPr="00000000">
              <w:rPr>
                <w:rtl w:val="0"/>
              </w:rPr>
            </w:r>
          </w:p>
          <w:p w:rsidR="00000000" w:rsidDel="00000000" w:rsidP="00000000" w:rsidRDefault="00000000" w:rsidRPr="00000000" w14:paraId="00000051">
            <w:pPr>
              <w:numPr>
                <w:ilvl w:val="1"/>
                <w:numId w:val="5"/>
              </w:numPr>
              <w:pBdr>
                <w:top w:space="0" w:sz="0" w:val="nil"/>
                <w:left w:space="0" w:sz="0" w:val="nil"/>
                <w:bottom w:space="0" w:sz="0" w:val="nil"/>
                <w:right w:space="0" w:sz="0" w:val="nil"/>
                <w:between w:space="0" w:sz="0" w:val="nil"/>
              </w:pBdr>
              <w:tabs>
                <w:tab w:val="left" w:leader="none" w:pos="1164"/>
              </w:tabs>
              <w:spacing w:after="120" w:before="120" w:line="240" w:lineRule="auto"/>
              <w:ind w:left="1164" w:hanging="425"/>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    Schedule 18 (Supply Chain Visibility)</w:t>
            </w:r>
          </w:p>
          <w:p w:rsidR="00000000" w:rsidDel="00000000" w:rsidP="00000000" w:rsidRDefault="00000000" w:rsidRPr="00000000" w14:paraId="00000052">
            <w:pPr>
              <w:numPr>
                <w:ilvl w:val="1"/>
                <w:numId w:val="5"/>
              </w:numPr>
              <w:pBdr>
                <w:top w:space="0" w:sz="0" w:val="nil"/>
                <w:left w:space="0" w:sz="0" w:val="nil"/>
                <w:bottom w:space="0" w:sz="0" w:val="nil"/>
                <w:right w:space="0" w:sz="0" w:val="nil"/>
                <w:between w:space="0" w:sz="0" w:val="nil"/>
              </w:pBdr>
              <w:tabs>
                <w:tab w:val="left" w:leader="none" w:pos="1164"/>
              </w:tabs>
              <w:spacing w:after="120" w:before="120" w:line="240" w:lineRule="auto"/>
              <w:ind w:left="1164" w:hanging="425"/>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20 (Processing Data)</w:t>
            </w:r>
          </w:p>
          <w:p w:rsidR="00000000" w:rsidDel="00000000" w:rsidP="00000000" w:rsidRDefault="00000000" w:rsidRPr="00000000" w14:paraId="00000053">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21 (Variation Form)</w:t>
            </w:r>
          </w:p>
          <w:p w:rsidR="00000000" w:rsidDel="00000000" w:rsidP="00000000" w:rsidRDefault="00000000" w:rsidRPr="00000000" w14:paraId="00000054">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22 (Insurance Requirements)</w:t>
            </w:r>
          </w:p>
          <w:p w:rsidR="00000000" w:rsidDel="00000000" w:rsidP="00000000" w:rsidRDefault="00000000" w:rsidRPr="00000000" w14:paraId="00000055">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56">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24 (Financial Difficulties)</w:t>
            </w:r>
          </w:p>
          <w:p w:rsidR="00000000" w:rsidDel="00000000" w:rsidP="00000000" w:rsidRDefault="00000000" w:rsidRPr="00000000" w14:paraId="00000057">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25 (Rectification Plan)</w:t>
            </w:r>
          </w:p>
          <w:p w:rsidR="00000000" w:rsidDel="00000000" w:rsidP="00000000" w:rsidRDefault="00000000" w:rsidRPr="00000000" w14:paraId="00000058">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26 (Sustainability)</w:t>
            </w:r>
          </w:p>
          <w:p w:rsidR="00000000" w:rsidDel="00000000" w:rsidP="00000000" w:rsidRDefault="00000000" w:rsidRPr="00000000" w14:paraId="00000059">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27 (Key Subcontractors)</w:t>
            </w:r>
          </w:p>
          <w:p w:rsidR="00000000" w:rsidDel="00000000" w:rsidP="00000000" w:rsidRDefault="00000000" w:rsidRPr="00000000" w14:paraId="0000005A">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29 (Key Supplier Staff)</w:t>
            </w:r>
          </w:p>
          <w:p w:rsidR="00000000" w:rsidDel="00000000" w:rsidP="00000000" w:rsidRDefault="00000000" w:rsidRPr="00000000" w14:paraId="0000005B">
            <w:pPr>
              <w:numPr>
                <w:ilvl w:val="1"/>
                <w:numId w:val="5"/>
              </w:numPr>
              <w:pBdr>
                <w:top w:space="0" w:sz="0" w:val="nil"/>
                <w:left w:space="0" w:sz="0" w:val="nil"/>
                <w:bottom w:space="0" w:sz="0" w:val="nil"/>
                <w:right w:space="0" w:sz="0" w:val="nil"/>
                <w:between w:space="0" w:sz="0" w:val="nil"/>
              </w:pBdr>
              <w:tabs>
                <w:tab w:val="left" w:leader="none" w:pos="1448"/>
              </w:tabs>
              <w:spacing w:after="120" w:before="120" w:line="240" w:lineRule="auto"/>
              <w:ind w:left="1448"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30 (Exit Management)</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pacing w:after="120" w:before="120" w:line="240" w:lineRule="auto"/>
              <w:ind w:left="739" w:hanging="709"/>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Schedule 4 (Tender), unless any part of the Tender offers a better commercial position for the Buyer (as decided by the Buyer, in its absolute discretion), in which case that part of the Tender will take precedence over the documents above. </w:t>
            </w:r>
          </w:p>
        </w:tc>
      </w:tr>
      <w:tr>
        <w:trPr>
          <w:cantSplit w:val="0"/>
          <w:trHeight w:val="635" w:hRule="atLeast"/>
          <w:tblHeader w:val="0"/>
        </w:trPr>
        <w:tc>
          <w:tcPr>
            <w:vMerge w:val="restart"/>
          </w:tcPr>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bookmarkStart w:colFirst="0" w:colLast="0" w:name="_heading=h.30j0zll" w:id="0"/>
            <w:bookmarkEnd w:id="0"/>
            <w:r w:rsidDel="00000000" w:rsidR="00000000" w:rsidRPr="00000000">
              <w:rPr>
                <w:rtl w:val="0"/>
              </w:rPr>
            </w:r>
          </w:p>
        </w:tc>
        <w:tc>
          <w:tcPr>
            <w:vMerge w:val="restart"/>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Special Terms</w:t>
            </w:r>
          </w:p>
        </w:tc>
        <w:tc>
          <w:tcPr/>
          <w:p w:rsidR="00000000" w:rsidDel="00000000" w:rsidP="00000000" w:rsidRDefault="00000000" w:rsidRPr="00000000" w14:paraId="0000005F">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See Schedule - Payment and Related Services Supply Terms</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tabs>
                <w:tab w:val="left" w:leader="none" w:pos="1985"/>
                <w:tab w:val="left" w:leader="none" w:pos="2127"/>
                <w:tab w:val="left" w:leader="none" w:pos="741"/>
              </w:tabs>
              <w:spacing w:after="120" w:before="120" w:line="240" w:lineRule="auto"/>
              <w:ind w:left="741" w:hanging="651"/>
              <w:jc w:val="both"/>
              <w:rPr>
                <w:rFonts w:ascii="Arial" w:cs="Arial" w:eastAsia="Arial" w:hAnsi="Arial"/>
                <w:color w:val="000000"/>
                <w:sz w:val="24"/>
                <w:szCs w:val="24"/>
                <w:highlight w:val="white"/>
              </w:rPr>
            </w:pPr>
            <w:r w:rsidDel="00000000" w:rsidR="00000000" w:rsidRPr="00000000">
              <w:rPr>
                <w:rtl w:val="0"/>
              </w:rPr>
            </w:r>
          </w:p>
        </w:tc>
      </w:tr>
      <w:tr>
        <w:trPr>
          <w:cantSplit w:val="0"/>
          <w:trHeight w:val="660" w:hRule="atLeast"/>
          <w:tblHeader w:val="0"/>
        </w:trPr>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highlight w:val="yellow"/>
              </w:rPr>
            </w:pPr>
            <w:r w:rsidDel="00000000" w:rsidR="00000000" w:rsidRPr="00000000">
              <w:rPr>
                <w:rtl w:val="0"/>
              </w:rPr>
            </w:r>
          </w:p>
        </w:tc>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highlight w:val="yellow"/>
              </w:rPr>
            </w:pPr>
            <w:r w:rsidDel="00000000" w:rsidR="00000000" w:rsidRPr="00000000">
              <w:rPr>
                <w:rtl w:val="0"/>
              </w:rPr>
            </w:r>
          </w:p>
        </w:tc>
        <w:tc>
          <w:tcPr/>
          <w:p w:rsidR="00000000" w:rsidDel="00000000" w:rsidP="00000000" w:rsidRDefault="00000000" w:rsidRPr="00000000" w14:paraId="00000063">
            <w:pPr>
              <w:spacing w:after="120" w:before="120" w:line="240" w:lineRule="auto"/>
              <w:rPr>
                <w:rFonts w:ascii="Arial" w:cs="Arial" w:eastAsia="Arial" w:hAnsi="Arial"/>
                <w:i w:val="1"/>
                <w:color w:val="000000"/>
                <w:sz w:val="24"/>
                <w:szCs w:val="24"/>
                <w:highlight w:val="white"/>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Buyer’s Environmental Policy </w:t>
            </w:r>
          </w:p>
        </w:tc>
        <w:tc>
          <w:tcPr/>
          <w:p w:rsidR="00000000" w:rsidDel="00000000" w:rsidP="00000000" w:rsidRDefault="00000000" w:rsidRPr="00000000" w14:paraId="00000066">
            <w:pPr>
              <w:spacing w:after="120" w:before="120" w:line="240" w:lineRule="auto"/>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Buyer will provide a copy of its environmental policy to the Supplier on request, which the Supplier will comply with.</w:t>
            </w:r>
          </w:p>
          <w:p w:rsidR="00000000" w:rsidDel="00000000" w:rsidP="00000000" w:rsidRDefault="00000000" w:rsidRPr="00000000" w14:paraId="00000067">
            <w:pPr>
              <w:spacing w:after="120" w:before="120" w:line="240" w:lineRule="auto"/>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Supplier must provide reasonable support to enable Buyers to work in an environmentally friendly way, for example by helping them recycle or lower their carbon footprint.</w:t>
            </w:r>
          </w:p>
          <w:p w:rsidR="00000000" w:rsidDel="00000000" w:rsidP="00000000" w:rsidRDefault="00000000" w:rsidRPr="00000000" w14:paraId="00000068">
            <w:pPr>
              <w:spacing w:after="120" w:before="120" w:line="240" w:lineRule="auto"/>
              <w:jc w:val="both"/>
              <w:rPr>
                <w:rFonts w:ascii="Arial" w:cs="Arial" w:eastAsia="Arial" w:hAnsi="Arial"/>
                <w:b w:val="1"/>
                <w:color w:val="000000"/>
                <w:sz w:val="24"/>
                <w:szCs w:val="24"/>
                <w:highlight w:val="white"/>
              </w:rPr>
            </w:pPr>
            <w:r w:rsidDel="00000000" w:rsidR="00000000" w:rsidRPr="00000000">
              <w:rPr>
                <w:rtl w:val="0"/>
              </w:rPr>
            </w:r>
          </w:p>
          <w:p w:rsidR="00000000" w:rsidDel="00000000" w:rsidP="00000000" w:rsidRDefault="00000000" w:rsidRPr="00000000" w14:paraId="00000069">
            <w:pPr>
              <w:spacing w:after="120" w:before="120" w:line="240" w:lineRule="auto"/>
              <w:jc w:val="both"/>
              <w:rPr>
                <w:rFonts w:ascii="Arial" w:cs="Arial" w:eastAsia="Arial" w:hAnsi="Arial"/>
                <w:b w:val="1"/>
                <w:color w:val="000000"/>
                <w:sz w:val="24"/>
                <w:szCs w:val="24"/>
                <w:highlight w:val="white"/>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Social Value Commitment</w:t>
            </w:r>
          </w:p>
        </w:tc>
        <w:tc>
          <w:tcPr/>
          <w:p w:rsidR="00000000" w:rsidDel="00000000" w:rsidP="00000000" w:rsidRDefault="00000000" w:rsidRPr="00000000" w14:paraId="0000006C">
            <w:pPr>
              <w:tabs>
                <w:tab w:val="left" w:leader="none" w:pos="2257"/>
              </w:tabs>
              <w:spacing w:after="120" w:before="120"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6D">
            <w:pPr>
              <w:tabs>
                <w:tab w:val="left" w:leader="none" w:pos="2257"/>
              </w:tabs>
              <w:spacing w:after="120" w:before="120" w:line="240" w:lineRule="auto"/>
              <w:rPr>
                <w:rFonts w:ascii="Arial" w:cs="Arial" w:eastAsia="Arial" w:hAnsi="Arial"/>
                <w:b w:val="1"/>
                <w:sz w:val="24"/>
                <w:szCs w:val="24"/>
                <w:highlight w:val="white"/>
              </w:rPr>
            </w:pPr>
            <w:r w:rsidDel="00000000" w:rsidR="00000000" w:rsidRPr="00000000">
              <w:rPr>
                <w:rFonts w:ascii="Arial" w:cs="Arial" w:eastAsia="Arial" w:hAnsi="Arial"/>
                <w:color w:val="000000"/>
                <w:sz w:val="24"/>
                <w:szCs w:val="24"/>
                <w:highlight w:val="white"/>
                <w:rtl w:val="0"/>
              </w:rPr>
              <w:t xml:space="preserve">The Supplier agrees, in providing the Deliverables and performing its obligations under this Contract, to deliver the Social Value outcomes in Schedule 4 (Tender) and report on the Social Value KPIs as required by Schedule 10 (Service Levels)] </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Buyer’s Security Requirements and Security and ICT Policy</w:t>
            </w:r>
          </w:p>
        </w:tc>
        <w:tc>
          <w:tcPr/>
          <w:p w:rsidR="00000000" w:rsidDel="00000000" w:rsidP="00000000" w:rsidRDefault="00000000" w:rsidRPr="00000000" w14:paraId="00000070">
            <w:pPr>
              <w:tabs>
                <w:tab w:val="left" w:leader="none" w:pos="2257"/>
              </w:tabs>
              <w:spacing w:after="120" w:before="120" w:line="240" w:lineRule="auto"/>
              <w:rPr>
                <w:rFonts w:ascii="Arial" w:cs="Arial" w:eastAsia="Arial" w:hAnsi="Arial"/>
                <w:b w:val="1"/>
                <w:i w:val="1"/>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As set out in Schedule 16 (Security).</w:t>
            </w:r>
            <w:r w:rsidDel="00000000" w:rsidR="00000000" w:rsidRPr="00000000">
              <w:rPr>
                <w:rFonts w:ascii="Arial" w:cs="Arial" w:eastAsia="Arial" w:hAnsi="Arial"/>
                <w:b w:val="1"/>
                <w:i w:val="1"/>
                <w:color w:val="000000"/>
                <w:sz w:val="24"/>
                <w:szCs w:val="24"/>
                <w:highlight w:val="white"/>
                <w:rtl w:val="0"/>
              </w:rPr>
              <w:t xml:space="preserve"> </w:t>
            </w:r>
          </w:p>
          <w:p w:rsidR="00000000" w:rsidDel="00000000" w:rsidP="00000000" w:rsidRDefault="00000000" w:rsidRPr="00000000" w14:paraId="00000071">
            <w:pPr>
              <w:tabs>
                <w:tab w:val="left" w:leader="none" w:pos="2257"/>
              </w:tabs>
              <w:spacing w:after="120" w:before="120" w:line="240" w:lineRule="auto"/>
              <w:rPr>
                <w:rFonts w:ascii="Arial" w:cs="Arial" w:eastAsia="Arial" w:hAnsi="Arial"/>
                <w:color w:val="000000"/>
                <w:sz w:val="24"/>
                <w:szCs w:val="24"/>
                <w:highlight w:val="white"/>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Charges</w:t>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75">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Details in Schedule 3 (Charges)</w:t>
            </w:r>
          </w:p>
          <w:p w:rsidR="00000000" w:rsidDel="00000000" w:rsidP="00000000" w:rsidRDefault="00000000" w:rsidRPr="00000000" w14:paraId="00000076">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There is no guarantee to the Supplier of volume of Services required and the Buyer may increase or decrease the volume of Services to meet its flexible requirements.</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78">
            <w:pPr>
              <w:spacing w:after="120" w:before="120" w:line="240" w:lineRule="auto"/>
              <w:ind w:left="31" w:firstLine="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Estimated Year 1 Charges</w:t>
            </w:r>
            <w:r w:rsidDel="00000000" w:rsidR="00000000" w:rsidRPr="00000000">
              <w:rPr>
                <w:rtl w:val="0"/>
              </w:rPr>
            </w:r>
          </w:p>
        </w:tc>
        <w:tc>
          <w:tcPr/>
          <w:p w:rsidR="00000000" w:rsidDel="00000000" w:rsidP="00000000" w:rsidRDefault="00000000" w:rsidRPr="00000000" w14:paraId="00000079">
            <w:pPr>
              <w:spacing w:after="120" w:before="120" w:line="240" w:lineRule="auto"/>
              <w:ind w:left="32"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Details in Schedule 3 (Charges)</w:t>
            </w:r>
            <w:r w:rsidDel="00000000" w:rsidR="00000000" w:rsidRPr="00000000">
              <w:rPr>
                <w:rtl w:val="0"/>
              </w:rPr>
            </w:r>
          </w:p>
          <w:p w:rsidR="00000000" w:rsidDel="00000000" w:rsidP="00000000" w:rsidRDefault="00000000" w:rsidRPr="00000000" w14:paraId="0000007A">
            <w:pPr>
              <w:spacing w:after="120" w:before="120" w:line="240" w:lineRule="auto"/>
              <w:ind w:left="32" w:firstLine="0"/>
              <w:rPr>
                <w:rFonts w:ascii="Arial" w:cs="Arial" w:eastAsia="Arial" w:hAnsi="Arial"/>
                <w:color w:val="000000"/>
                <w:sz w:val="24"/>
                <w:szCs w:val="24"/>
                <w:highlight w:val="white"/>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Reimbursable expenses</w:t>
            </w:r>
          </w:p>
        </w:tc>
        <w:tc>
          <w:tcPr>
            <w:shd w:fill="auto"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None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Payment method</w:t>
            </w:r>
          </w:p>
        </w:tc>
        <w:tc>
          <w:tcPr>
            <w:shd w:fill="auto" w:val="clear"/>
          </w:tcPr>
          <w:p w:rsidR="00000000" w:rsidDel="00000000" w:rsidP="00000000" w:rsidRDefault="00000000" w:rsidRPr="00000000" w14:paraId="00000081">
            <w:pPr>
              <w:spacing w:after="120" w:before="120" w:line="240" w:lineRule="auto"/>
              <w:ind w:left="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payment method for this Call-Off Contract is BACS Monthly/Quarterly in arrears to:</w:t>
            </w:r>
          </w:p>
          <w:p w:rsidR="00000000" w:rsidDel="00000000" w:rsidP="00000000" w:rsidRDefault="00000000" w:rsidRPr="00000000" w14:paraId="00000082">
            <w:pPr>
              <w:spacing w:after="120" w:before="120" w:line="240" w:lineRule="auto"/>
              <w:ind w:left="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[Insert Supplier bank details]</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highlight w:val="white"/>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240" w:lineRule="auto"/>
              <w:ind w:left="29" w:hanging="29"/>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Service Levels</w:t>
            </w:r>
          </w:p>
        </w:tc>
        <w:tc>
          <w:tcPr>
            <w:shd w:fill="auto"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Details in Schedule 10 (Service Levels)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highlight w:val="white"/>
              </w:rPr>
            </w:pPr>
            <w:r w:rsidDel="00000000" w:rsidR="00000000" w:rsidRPr="00000000">
              <w:rPr>
                <w:rtl w:val="0"/>
              </w:rPr>
            </w:r>
          </w:p>
        </w:tc>
      </w:tr>
      <w:tr>
        <w:trPr>
          <w:cantSplit w:val="0"/>
          <w:trHeight w:val="920" w:hRule="atLeast"/>
          <w:tblHeader w:val="0"/>
        </w:trPr>
        <w:tc>
          <w:tcPr/>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bookmarkStart w:colFirst="0" w:colLast="0" w:name="_heading=h.1fob9te" w:id="1"/>
            <w:bookmarkEnd w:id="1"/>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before="120" w:line="240" w:lineRule="auto"/>
              <w:ind w:left="0" w:firstLine="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Liability</w:t>
            </w:r>
            <w:r w:rsidDel="00000000" w:rsidR="00000000" w:rsidRPr="00000000">
              <w:rPr>
                <w:rtl w:val="0"/>
              </w:rPr>
            </w:r>
          </w:p>
        </w:tc>
        <w:tc>
          <w:tcPr/>
          <w:p w:rsidR="00000000" w:rsidDel="00000000" w:rsidP="00000000" w:rsidRDefault="00000000" w:rsidRPr="00000000" w14:paraId="0000008A">
            <w:pPr>
              <w:numPr>
                <w:ilvl w:val="0"/>
                <w:numId w:val="6"/>
              </w:numPr>
              <w:pBdr>
                <w:top w:space="0" w:sz="0" w:val="nil"/>
                <w:left w:space="0" w:sz="0" w:val="nil"/>
                <w:bottom w:space="0" w:sz="0" w:val="nil"/>
                <w:right w:space="0" w:sz="0" w:val="nil"/>
                <w:between w:space="0" w:sz="0" w:val="nil"/>
              </w:pBdr>
              <w:spacing w:after="0" w:afterAutospacing="0" w:before="120" w:line="240" w:lineRule="auto"/>
              <w:ind w:left="72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In accordance with Clause 15.1 each Party's total aggregate liability in each Contract Year under this Contract (whether in tort, contract or otherwise) is no more than [the greater of £</w:t>
            </w:r>
            <w:r w:rsidDel="00000000" w:rsidR="00000000" w:rsidRPr="00000000">
              <w:rPr>
                <w:rFonts w:ascii="Arial" w:cs="Arial" w:eastAsia="Arial" w:hAnsi="Arial"/>
                <w:b w:val="1"/>
                <w:color w:val="000000"/>
                <w:sz w:val="24"/>
                <w:szCs w:val="24"/>
                <w:highlight w:val="white"/>
                <w:rtl w:val="0"/>
              </w:rPr>
              <w:t xml:space="preserve">5 million</w:t>
            </w:r>
            <w:r w:rsidDel="00000000" w:rsidR="00000000" w:rsidRPr="00000000">
              <w:rPr>
                <w:rFonts w:ascii="Arial" w:cs="Arial" w:eastAsia="Arial" w:hAnsi="Arial"/>
                <w:color w:val="000000"/>
                <w:sz w:val="24"/>
                <w:szCs w:val="24"/>
                <w:highlight w:val="white"/>
                <w:rtl w:val="0"/>
              </w:rPr>
              <w:t xml:space="preserve"> or </w:t>
            </w:r>
            <w:r w:rsidDel="00000000" w:rsidR="00000000" w:rsidRPr="00000000">
              <w:rPr>
                <w:rFonts w:ascii="Arial" w:cs="Arial" w:eastAsia="Arial" w:hAnsi="Arial"/>
                <w:b w:val="1"/>
                <w:color w:val="000000"/>
                <w:sz w:val="24"/>
                <w:szCs w:val="24"/>
                <w:highlight w:val="white"/>
                <w:rtl w:val="0"/>
              </w:rPr>
              <w:t xml:space="preserve">150</w:t>
            </w:r>
            <w:r w:rsidDel="00000000" w:rsidR="00000000" w:rsidRPr="00000000">
              <w:rPr>
                <w:rFonts w:ascii="Arial" w:cs="Arial" w:eastAsia="Arial" w:hAnsi="Arial"/>
                <w:color w:val="000000"/>
                <w:sz w:val="24"/>
                <w:szCs w:val="24"/>
                <w:highlight w:val="white"/>
                <w:rtl w:val="0"/>
              </w:rPr>
              <w:t xml:space="preserve">% of the Estimated Yearly Charges</w:t>
            </w:r>
          </w:p>
          <w:p w:rsidR="00000000" w:rsidDel="00000000" w:rsidP="00000000" w:rsidRDefault="00000000" w:rsidRPr="00000000" w14:paraId="0000008B">
            <w:pPr>
              <w:numPr>
                <w:ilvl w:val="0"/>
                <w:numId w:val="6"/>
              </w:numPr>
              <w:spacing w:after="0" w:afterAutospacing="0" w:before="0" w:beforeAutospacing="0" w:line="240" w:lineRule="auto"/>
              <w:ind w:left="72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annual total liability of either Party for all Property defaults will not exceed £5,000,000.</w:t>
            </w:r>
          </w:p>
          <w:p w:rsidR="00000000" w:rsidDel="00000000" w:rsidP="00000000" w:rsidRDefault="00000000" w:rsidRPr="00000000" w14:paraId="0000008C">
            <w:pPr>
              <w:numPr>
                <w:ilvl w:val="0"/>
                <w:numId w:val="6"/>
              </w:numPr>
              <w:spacing w:after="0" w:afterAutospacing="0" w:before="0" w:beforeAutospacing="0" w:line="240" w:lineRule="auto"/>
              <w:ind w:left="72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annual total liability for Buyer Data defaults will not exceed £5,000,000 or 125% of the Charges payable by the Buyer to the Supplier during the Call-Off Contract Term (whichever is the greater).</w:t>
            </w:r>
          </w:p>
          <w:p w:rsidR="00000000" w:rsidDel="00000000" w:rsidP="00000000" w:rsidRDefault="00000000" w:rsidRPr="00000000" w14:paraId="0000008D">
            <w:pPr>
              <w:numPr>
                <w:ilvl w:val="0"/>
                <w:numId w:val="6"/>
              </w:numPr>
              <w:spacing w:after="0" w:afterAutospacing="0" w:before="0" w:beforeAutospacing="0" w:line="240" w:lineRule="auto"/>
              <w:ind w:left="720"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The annual total liability for all other defaults will not exceed the greater of £5,000,000 or 125% of the Charges payable by the Buyer to the Supplier during the Call-Off Contract Term (whichever is the greater).</w:t>
            </w:r>
          </w:p>
          <w:p w:rsidR="00000000" w:rsidDel="00000000" w:rsidP="00000000" w:rsidRDefault="00000000" w:rsidRPr="00000000" w14:paraId="0000008E">
            <w:pPr>
              <w:widowControl w:val="0"/>
              <w:numPr>
                <w:ilvl w:val="0"/>
                <w:numId w:val="7"/>
              </w:numPr>
              <w:spacing w:after="0" w:afterAutospacing="0" w:before="0" w:beforeAutospacing="0" w:line="253.24118614196777" w:lineRule="auto"/>
              <w:ind w:left="720" w:right="624.4970703125" w:hanging="360"/>
              <w:jc w:val="both"/>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Professional indemnity insurance cover to be held by the Supplier and by any agent, Subcontractor or consultant involved in the supply of the Services. This professional indemnity insurance cover will have a minimum limit of indemnity of £1,000,000 for each individual claim or any higher limit the Buyer requires (and as required by Law) </w:t>
            </w:r>
          </w:p>
          <w:p w:rsidR="00000000" w:rsidDel="00000000" w:rsidP="00000000" w:rsidRDefault="00000000" w:rsidRPr="00000000" w14:paraId="0000008F">
            <w:pPr>
              <w:widowControl w:val="0"/>
              <w:numPr>
                <w:ilvl w:val="0"/>
                <w:numId w:val="7"/>
              </w:numPr>
              <w:spacing w:after="0" w:afterAutospacing="0" w:before="0" w:beforeAutospacing="0" w:line="258.61621856689453" w:lineRule="auto"/>
              <w:ind w:left="720" w:right="482.37060546875"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Employers' liability insurance with a minimum limit of £5,000,000 or any higher minimum limit required by Law</w:t>
            </w:r>
          </w:p>
          <w:p w:rsidR="00000000" w:rsidDel="00000000" w:rsidP="00000000" w:rsidRDefault="00000000" w:rsidRPr="00000000" w14:paraId="00000090">
            <w:pPr>
              <w:widowControl w:val="0"/>
              <w:numPr>
                <w:ilvl w:val="0"/>
                <w:numId w:val="7"/>
              </w:numPr>
              <w:spacing w:after="0" w:before="0" w:beforeAutospacing="0" w:line="258.61621856689453" w:lineRule="auto"/>
              <w:ind w:left="720" w:right="482.37060546875"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Cyber and Data Protection Insurance</w:t>
            </w:r>
          </w:p>
          <w:p w:rsidR="00000000" w:rsidDel="00000000" w:rsidP="00000000" w:rsidRDefault="00000000" w:rsidRPr="00000000" w14:paraId="00000091">
            <w:pPr>
              <w:widowControl w:val="0"/>
              <w:spacing w:after="0" w:before="21.656494140625" w:line="258.61621856689453" w:lineRule="auto"/>
              <w:ind w:left="0" w:right="482.37060546875" w:firstLine="0"/>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92">
            <w:pPr>
              <w:widowControl w:val="0"/>
              <w:spacing w:after="0" w:before="21.656494140625" w:line="258.61621856689453" w:lineRule="auto"/>
              <w:ind w:left="0" w:right="482.37060546875" w:firstLine="0"/>
              <w:rPr>
                <w:rFonts w:ascii="Arial" w:cs="Arial" w:eastAsia="Arial" w:hAnsi="Arial"/>
                <w:color w:val="000000"/>
                <w:sz w:val="24"/>
                <w:szCs w:val="24"/>
                <w:highlight w:val="white"/>
              </w:rPr>
            </w:pPr>
            <w:r w:rsidDel="00000000" w:rsidR="00000000" w:rsidRPr="00000000">
              <w:rPr>
                <w:rtl w:val="0"/>
              </w:rPr>
            </w:r>
          </w:p>
        </w:tc>
      </w:tr>
      <w:tr>
        <w:trPr>
          <w:cantSplit w:val="0"/>
          <w:trHeight w:val="920" w:hRule="atLeast"/>
          <w:tblHeader w:val="0"/>
        </w:trPr>
        <w:tc>
          <w:tcPr/>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Cyber Essentials Certification</w:t>
            </w:r>
          </w:p>
        </w:tc>
        <w:tc>
          <w:tcPr/>
          <w:p w:rsidR="00000000" w:rsidDel="00000000" w:rsidP="00000000" w:rsidRDefault="00000000" w:rsidRPr="00000000" w14:paraId="00000095">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Not required. The Supplier must be certified for the Payment Card Industry Data Security Standard (PCI-DSS) v4.0 or above.</w:t>
            </w: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Progress Meetings and Progress Reports</w:t>
            </w:r>
          </w:p>
        </w:tc>
        <w:tc>
          <w:tcPr/>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spacing w:after="120" w:before="120" w:line="240" w:lineRule="auto"/>
              <w:ind w:left="74" w:hanging="36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See Schedule 10 (Service Levels). </w:t>
            </w:r>
          </w:p>
          <w:p w:rsidR="00000000" w:rsidDel="00000000" w:rsidP="00000000" w:rsidRDefault="00000000" w:rsidRPr="00000000" w14:paraId="00000099">
            <w:pPr>
              <w:numPr>
                <w:ilvl w:val="0"/>
                <w:numId w:val="4"/>
              </w:numPr>
              <w:pBdr>
                <w:top w:space="0" w:sz="0" w:val="nil"/>
                <w:left w:space="0" w:sz="0" w:val="nil"/>
                <w:bottom w:space="0" w:sz="0" w:val="nil"/>
                <w:right w:space="0" w:sz="0" w:val="nil"/>
                <w:between w:space="0" w:sz="0" w:val="nil"/>
              </w:pBdr>
              <w:spacing w:after="120" w:before="120" w:line="240" w:lineRule="auto"/>
              <w:ind w:left="74" w:hanging="360"/>
              <w:rPr>
                <w:rFonts w:ascii="Arial" w:cs="Arial" w:eastAsia="Arial" w:hAnsi="Arial"/>
                <w:color w:val="000000"/>
                <w:sz w:val="24"/>
                <w:szCs w:val="24"/>
                <w:highlight w:val="white"/>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Guarantor</w:t>
            </w:r>
          </w:p>
        </w:tc>
        <w:tc>
          <w:tcPr/>
          <w:p w:rsidR="00000000" w:rsidDel="00000000" w:rsidP="00000000" w:rsidRDefault="00000000" w:rsidRPr="00000000" w14:paraId="0000009C">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Not applicable</w:t>
            </w:r>
          </w:p>
          <w:p w:rsidR="00000000" w:rsidDel="00000000" w:rsidP="00000000" w:rsidRDefault="00000000" w:rsidRPr="00000000" w14:paraId="0000009D">
            <w:pPr>
              <w:spacing w:after="120" w:before="120" w:line="240" w:lineRule="auto"/>
              <w:rPr>
                <w:rFonts w:ascii="Arial" w:cs="Arial" w:eastAsia="Arial" w:hAnsi="Arial"/>
                <w:color w:val="000000"/>
                <w:sz w:val="24"/>
                <w:szCs w:val="24"/>
                <w:highlight w:val="white"/>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tl w:val="0"/>
              </w:rPr>
            </w:r>
          </w:p>
        </w:tc>
        <w:tc>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Virtual Library</w:t>
            </w:r>
          </w:p>
        </w:tc>
        <w:tc>
          <w:tcPr/>
          <w:p w:rsidR="00000000" w:rsidDel="00000000" w:rsidP="00000000" w:rsidRDefault="00000000" w:rsidRPr="00000000" w14:paraId="000000A0">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Not applicable</w:t>
            </w:r>
          </w:p>
        </w:tc>
      </w:tr>
      <w:tr>
        <w:trPr>
          <w:cantSplit w:val="0"/>
          <w:trHeight w:val="1320" w:hRule="atLeast"/>
          <w:tblHeader w:val="0"/>
        </w:trPr>
        <w:tc>
          <w:tcPr/>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Supplier’s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Contract</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Manager</w:t>
            </w:r>
          </w:p>
        </w:tc>
        <w:tc>
          <w:tcPr/>
          <w:p w:rsidR="00000000" w:rsidDel="00000000" w:rsidP="00000000" w:rsidRDefault="00000000" w:rsidRPr="00000000" w14:paraId="000000A5">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name]</w:t>
            </w:r>
            <w:r w:rsidDel="00000000" w:rsidR="00000000" w:rsidRPr="00000000">
              <w:rPr>
                <w:rtl w:val="0"/>
              </w:rPr>
            </w:r>
          </w:p>
          <w:p w:rsidR="00000000" w:rsidDel="00000000" w:rsidP="00000000" w:rsidRDefault="00000000" w:rsidRPr="00000000" w14:paraId="000000A6">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job title]</w:t>
            </w:r>
            <w:r w:rsidDel="00000000" w:rsidR="00000000" w:rsidRPr="00000000">
              <w:rPr>
                <w:rtl w:val="0"/>
              </w:rPr>
            </w:r>
          </w:p>
          <w:p w:rsidR="00000000" w:rsidDel="00000000" w:rsidP="00000000" w:rsidRDefault="00000000" w:rsidRPr="00000000" w14:paraId="000000A7">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email address]</w:t>
            </w:r>
            <w:r w:rsidDel="00000000" w:rsidR="00000000" w:rsidRPr="00000000">
              <w:rPr>
                <w:rtl w:val="0"/>
              </w:rPr>
            </w:r>
          </w:p>
          <w:p w:rsidR="00000000" w:rsidDel="00000000" w:rsidP="00000000" w:rsidRDefault="00000000" w:rsidRPr="00000000" w14:paraId="000000A8">
            <w:pPr>
              <w:spacing w:after="120" w:before="120" w:line="240" w:lineRule="auto"/>
              <w:rPr>
                <w:rFonts w:ascii="Arial" w:cs="Arial" w:eastAsia="Arial" w:hAnsi="Arial"/>
                <w:b w:val="1"/>
                <w:i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 Authorised Representative</w:t>
            </w:r>
          </w:p>
        </w:tc>
        <w:tc>
          <w:tcPr/>
          <w:p w:rsidR="00000000" w:rsidDel="00000000" w:rsidP="00000000" w:rsidRDefault="00000000" w:rsidRPr="00000000" w14:paraId="000000AB">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name]</w:t>
            </w:r>
            <w:r w:rsidDel="00000000" w:rsidR="00000000" w:rsidRPr="00000000">
              <w:rPr>
                <w:rtl w:val="0"/>
              </w:rPr>
            </w:r>
          </w:p>
          <w:p w:rsidR="00000000" w:rsidDel="00000000" w:rsidP="00000000" w:rsidRDefault="00000000" w:rsidRPr="00000000" w14:paraId="000000AC">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job title]</w:t>
            </w:r>
            <w:r w:rsidDel="00000000" w:rsidR="00000000" w:rsidRPr="00000000">
              <w:rPr>
                <w:rtl w:val="0"/>
              </w:rPr>
            </w:r>
          </w:p>
          <w:p w:rsidR="00000000" w:rsidDel="00000000" w:rsidP="00000000" w:rsidRDefault="00000000" w:rsidRPr="00000000" w14:paraId="000000AD">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email address]</w:t>
            </w:r>
            <w:r w:rsidDel="00000000" w:rsidR="00000000" w:rsidRPr="00000000">
              <w:rPr>
                <w:rtl w:val="0"/>
              </w:rPr>
            </w:r>
          </w:p>
          <w:p w:rsidR="00000000" w:rsidDel="00000000" w:rsidP="00000000" w:rsidRDefault="00000000" w:rsidRPr="00000000" w14:paraId="000000AE">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 Compliance Officer</w:t>
            </w:r>
          </w:p>
        </w:tc>
        <w:tc>
          <w:tcPr/>
          <w:p w:rsidR="00000000" w:rsidDel="00000000" w:rsidP="00000000" w:rsidRDefault="00000000" w:rsidRPr="00000000" w14:paraId="000000B1">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name]</w:t>
            </w:r>
            <w:r w:rsidDel="00000000" w:rsidR="00000000" w:rsidRPr="00000000">
              <w:rPr>
                <w:rtl w:val="0"/>
              </w:rPr>
            </w:r>
          </w:p>
          <w:p w:rsidR="00000000" w:rsidDel="00000000" w:rsidP="00000000" w:rsidRDefault="00000000" w:rsidRPr="00000000" w14:paraId="000000B2">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job title]</w:t>
            </w:r>
            <w:r w:rsidDel="00000000" w:rsidR="00000000" w:rsidRPr="00000000">
              <w:rPr>
                <w:rtl w:val="0"/>
              </w:rPr>
            </w:r>
          </w:p>
          <w:p w:rsidR="00000000" w:rsidDel="00000000" w:rsidP="00000000" w:rsidRDefault="00000000" w:rsidRPr="00000000" w14:paraId="000000B3">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email address]</w:t>
            </w:r>
            <w:r w:rsidDel="00000000" w:rsidR="00000000" w:rsidRPr="00000000">
              <w:rPr>
                <w:rtl w:val="0"/>
              </w:rPr>
            </w:r>
          </w:p>
          <w:p w:rsidR="00000000" w:rsidDel="00000000" w:rsidP="00000000" w:rsidRDefault="00000000" w:rsidRPr="00000000" w14:paraId="000000B4">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B5">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 Data Protection Officer</w:t>
            </w:r>
          </w:p>
        </w:tc>
        <w:tc>
          <w:tcPr/>
          <w:p w:rsidR="00000000" w:rsidDel="00000000" w:rsidP="00000000" w:rsidRDefault="00000000" w:rsidRPr="00000000" w14:paraId="000000B7">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name]</w:t>
            </w:r>
            <w:r w:rsidDel="00000000" w:rsidR="00000000" w:rsidRPr="00000000">
              <w:rPr>
                <w:rtl w:val="0"/>
              </w:rPr>
            </w:r>
          </w:p>
          <w:p w:rsidR="00000000" w:rsidDel="00000000" w:rsidP="00000000" w:rsidRDefault="00000000" w:rsidRPr="00000000" w14:paraId="000000B8">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job title]</w:t>
            </w:r>
            <w:r w:rsidDel="00000000" w:rsidR="00000000" w:rsidRPr="00000000">
              <w:rPr>
                <w:rtl w:val="0"/>
              </w:rPr>
            </w:r>
          </w:p>
          <w:p w:rsidR="00000000" w:rsidDel="00000000" w:rsidP="00000000" w:rsidRDefault="00000000" w:rsidRPr="00000000" w14:paraId="000000B9">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email address]</w:t>
            </w:r>
            <w:r w:rsidDel="00000000" w:rsidR="00000000" w:rsidRPr="00000000">
              <w:rPr>
                <w:rtl w:val="0"/>
              </w:rPr>
            </w:r>
          </w:p>
          <w:p w:rsidR="00000000" w:rsidDel="00000000" w:rsidP="00000000" w:rsidRDefault="00000000" w:rsidRPr="00000000" w14:paraId="000000BA">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Supplier Marketing Contact</w:t>
            </w:r>
          </w:p>
        </w:tc>
        <w:tc>
          <w:tcPr/>
          <w:p w:rsidR="00000000" w:rsidDel="00000000" w:rsidP="00000000" w:rsidRDefault="00000000" w:rsidRPr="00000000" w14:paraId="000000BD">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name]</w:t>
            </w:r>
            <w:r w:rsidDel="00000000" w:rsidR="00000000" w:rsidRPr="00000000">
              <w:rPr>
                <w:rtl w:val="0"/>
              </w:rPr>
            </w:r>
          </w:p>
          <w:p w:rsidR="00000000" w:rsidDel="00000000" w:rsidP="00000000" w:rsidRDefault="00000000" w:rsidRPr="00000000" w14:paraId="000000BE">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job title]</w:t>
            </w:r>
            <w:r w:rsidDel="00000000" w:rsidR="00000000" w:rsidRPr="00000000">
              <w:rPr>
                <w:rtl w:val="0"/>
              </w:rPr>
            </w:r>
          </w:p>
          <w:p w:rsidR="00000000" w:rsidDel="00000000" w:rsidP="00000000" w:rsidRDefault="00000000" w:rsidRPr="00000000" w14:paraId="000000BF">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email address]</w:t>
            </w:r>
            <w:r w:rsidDel="00000000" w:rsidR="00000000" w:rsidRPr="00000000">
              <w:rPr>
                <w:rtl w:val="0"/>
              </w:rPr>
            </w:r>
          </w:p>
          <w:p w:rsidR="00000000" w:rsidDel="00000000" w:rsidP="00000000" w:rsidRDefault="00000000" w:rsidRPr="00000000" w14:paraId="000000C0">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phone number]</w:t>
            </w:r>
            <w:r w:rsidDel="00000000" w:rsidR="00000000" w:rsidRPr="00000000">
              <w:rPr>
                <w:rtl w:val="0"/>
              </w:rPr>
            </w:r>
          </w:p>
        </w:tc>
      </w:tr>
      <w:tr>
        <w:trPr>
          <w:cantSplit w:val="0"/>
          <w:trHeight w:val="1320" w:hRule="atLeast"/>
          <w:tblHeader w:val="0"/>
        </w:trPr>
        <w:tc>
          <w:tcPr/>
          <w:p w:rsidR="00000000" w:rsidDel="00000000" w:rsidP="00000000" w:rsidRDefault="00000000" w:rsidRPr="00000000" w14:paraId="000000C1">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Key Subcontractors</w:t>
            </w:r>
          </w:p>
        </w:tc>
        <w:tc>
          <w:tcPr>
            <w:shd w:fill="auto" w:val="clear"/>
          </w:tcPr>
          <w:p w:rsidR="00000000" w:rsidDel="00000000" w:rsidP="00000000" w:rsidRDefault="00000000" w:rsidRPr="00000000" w14:paraId="000000C3">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Key Subcontractor 1</w:t>
            </w:r>
          </w:p>
          <w:p w:rsidR="00000000" w:rsidDel="00000000" w:rsidP="00000000" w:rsidRDefault="00000000" w:rsidRPr="00000000" w14:paraId="000000C4">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Name (Registered name if registered): </w:t>
            </w: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name]</w:t>
            </w:r>
          </w:p>
          <w:p w:rsidR="00000000" w:rsidDel="00000000" w:rsidP="00000000" w:rsidRDefault="00000000" w:rsidRPr="00000000" w14:paraId="000000C5">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Registration number (if registered): </w:t>
            </w: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number]</w:t>
            </w:r>
          </w:p>
          <w:p w:rsidR="00000000" w:rsidDel="00000000" w:rsidP="00000000" w:rsidRDefault="00000000" w:rsidRPr="00000000" w14:paraId="000000C6">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Role of Subcontractor: </w:t>
            </w: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role]</w:t>
            </w:r>
            <w:r w:rsidDel="00000000" w:rsidR="00000000" w:rsidRPr="00000000">
              <w:rPr>
                <w:rtl w:val="0"/>
              </w:rPr>
            </w:r>
          </w:p>
          <w:p w:rsidR="00000000" w:rsidDel="00000000" w:rsidP="00000000" w:rsidRDefault="00000000" w:rsidRPr="00000000" w14:paraId="000000C7">
            <w:pPr>
              <w:spacing w:after="120" w:before="120" w:line="240" w:lineRule="auto"/>
              <w:rPr>
                <w:rFonts w:ascii="Arial" w:cs="Arial" w:eastAsia="Arial" w:hAnsi="Arial"/>
                <w:b w:val="1"/>
                <w:i w:val="1"/>
                <w:color w:val="000000"/>
                <w:sz w:val="24"/>
                <w:szCs w:val="24"/>
                <w:highlight w:val="white"/>
              </w:rPr>
            </w:pPr>
            <w:r w:rsidDel="00000000" w:rsidR="00000000" w:rsidRPr="00000000">
              <w:rPr>
                <w:rtl w:val="0"/>
              </w:rPr>
            </w:r>
          </w:p>
        </w:tc>
      </w:tr>
      <w:tr>
        <w:trPr>
          <w:cantSplit w:val="0"/>
          <w:trHeight w:val="1942" w:hRule="atLeast"/>
          <w:tblHeader w:val="0"/>
        </w:trPr>
        <w:tc>
          <w:tcPr/>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pacing w:after="120" w:before="120" w:line="240" w:lineRule="auto"/>
              <w:ind w:left="360" w:hanging="36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Buyer Authorised Representative</w:t>
            </w:r>
          </w:p>
        </w:tc>
        <w:tc>
          <w:tcPr/>
          <w:p w:rsidR="00000000" w:rsidDel="00000000" w:rsidP="00000000" w:rsidRDefault="00000000" w:rsidRPr="00000000" w14:paraId="000000CA">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name]</w:t>
            </w:r>
            <w:r w:rsidDel="00000000" w:rsidR="00000000" w:rsidRPr="00000000">
              <w:rPr>
                <w:rtl w:val="0"/>
              </w:rPr>
            </w:r>
          </w:p>
          <w:p w:rsidR="00000000" w:rsidDel="00000000" w:rsidP="00000000" w:rsidRDefault="00000000" w:rsidRPr="00000000" w14:paraId="000000CB">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job title]</w:t>
            </w:r>
            <w:r w:rsidDel="00000000" w:rsidR="00000000" w:rsidRPr="00000000">
              <w:rPr>
                <w:rtl w:val="0"/>
              </w:rPr>
            </w:r>
          </w:p>
          <w:p w:rsidR="00000000" w:rsidDel="00000000" w:rsidP="00000000" w:rsidRDefault="00000000" w:rsidRPr="00000000" w14:paraId="000000CC">
            <w:pPr>
              <w:spacing w:after="120" w:before="120" w:line="240" w:lineRule="auto"/>
              <w:rPr>
                <w:rFonts w:ascii="Arial" w:cs="Arial" w:eastAsia="Arial" w:hAnsi="Arial"/>
                <w:b w:val="1"/>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email address]</w:t>
            </w:r>
            <w:r w:rsidDel="00000000" w:rsidR="00000000" w:rsidRPr="00000000">
              <w:rPr>
                <w:rtl w:val="0"/>
              </w:rPr>
            </w:r>
          </w:p>
          <w:p w:rsidR="00000000" w:rsidDel="00000000" w:rsidP="00000000" w:rsidRDefault="00000000" w:rsidRPr="00000000" w14:paraId="000000CD">
            <w:pPr>
              <w:spacing w:after="120" w:before="120" w:line="240" w:lineRule="auto"/>
              <w:rPr>
                <w:rFonts w:ascii="Arial" w:cs="Arial" w:eastAsia="Arial" w:hAnsi="Arial"/>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[Insert </w:t>
            </w:r>
            <w:r w:rsidDel="00000000" w:rsidR="00000000" w:rsidRPr="00000000">
              <w:rPr>
                <w:rFonts w:ascii="Arial" w:cs="Arial" w:eastAsia="Arial" w:hAnsi="Arial"/>
                <w:color w:val="000000"/>
                <w:sz w:val="24"/>
                <w:szCs w:val="24"/>
                <w:highlight w:val="white"/>
                <w:rtl w:val="0"/>
              </w:rPr>
              <w:t xml:space="preserve">phone number]</w:t>
            </w:r>
          </w:p>
        </w:tc>
      </w:tr>
    </w:tbl>
    <w:p w:rsidR="00000000" w:rsidDel="00000000" w:rsidP="00000000" w:rsidRDefault="00000000" w:rsidRPr="00000000" w14:paraId="000000CE">
      <w:pPr>
        <w:spacing w:after="120" w:lineRule="auto"/>
        <w:rPr>
          <w:rFonts w:ascii="Arial" w:cs="Arial" w:eastAsia="Arial" w:hAnsi="Arial"/>
          <w:sz w:val="24"/>
          <w:szCs w:val="24"/>
        </w:rPr>
      </w:pPr>
      <w:r w:rsidDel="00000000" w:rsidR="00000000" w:rsidRPr="00000000">
        <w:rPr>
          <w:rtl w:val="0"/>
        </w:rPr>
      </w:r>
    </w:p>
    <w:tbl>
      <w:tblPr>
        <w:tblStyle w:val="Table3"/>
        <w:tblW w:w="917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2980"/>
        <w:gridCol w:w="1698"/>
        <w:gridCol w:w="2966"/>
        <w:tblGridChange w:id="0">
          <w:tblGrid>
            <w:gridCol w:w="1526"/>
            <w:gridCol w:w="2980"/>
            <w:gridCol w:w="1698"/>
            <w:gridCol w:w="2966"/>
          </w:tblGrid>
        </w:tblGridChange>
      </w:tblGrid>
      <w:tr>
        <w:trPr>
          <w:cantSplit w:val="0"/>
          <w:trHeight w:val="1162" w:hRule="atLeast"/>
          <w:tblHeader w:val="0"/>
        </w:trPr>
        <w:tc>
          <w:tcPr>
            <w:gridSpan w:val="2"/>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20" w:before="200"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For and on behalf of the Supplier: </w:t>
            </w:r>
            <w:r w:rsidDel="00000000" w:rsidR="00000000" w:rsidRPr="00000000">
              <w:rPr>
                <w:rtl w:val="0"/>
              </w:rPr>
            </w:r>
          </w:p>
        </w:tc>
        <w:tc>
          <w:tcPr>
            <w:gridSpan w:val="2"/>
          </w:tcPr>
          <w:p w:rsidR="00000000" w:rsidDel="00000000" w:rsidP="00000000" w:rsidRDefault="00000000" w:rsidRPr="00000000" w14:paraId="000000D1">
            <w:pPr>
              <w:keepNext w:val="1"/>
              <w:pBdr>
                <w:top w:space="0" w:sz="0" w:val="nil"/>
                <w:left w:space="0" w:sz="0" w:val="nil"/>
                <w:bottom w:space="0" w:sz="0" w:val="nil"/>
                <w:right w:space="0" w:sz="0" w:val="nil"/>
                <w:between w:space="0" w:sz="0" w:val="nil"/>
              </w:pBdr>
              <w:spacing w:after="120" w:before="200" w:line="240" w:lineRule="auto"/>
              <w:jc w:val="both"/>
              <w:rPr>
                <w:rFonts w:ascii="Arial" w:cs="Arial" w:eastAsia="Arial" w:hAnsi="Arial"/>
                <w:b w:val="1"/>
                <w:color w:val="000000"/>
                <w:sz w:val="24"/>
                <w:szCs w:val="24"/>
                <w:shd w:fill="dbe5f1" w:val="clear"/>
              </w:rPr>
            </w:pPr>
            <w:r w:rsidDel="00000000" w:rsidR="00000000" w:rsidRPr="00000000">
              <w:rPr>
                <w:rFonts w:ascii="Arial" w:cs="Arial" w:eastAsia="Arial" w:hAnsi="Arial"/>
                <w:b w:val="1"/>
                <w:color w:val="000000"/>
                <w:sz w:val="24"/>
                <w:szCs w:val="24"/>
                <w:rtl w:val="0"/>
              </w:rPr>
              <w:t xml:space="preserve">For and on behalf of the Buyer </w:t>
            </w:r>
            <w:r w:rsidDel="00000000" w:rsidR="00000000" w:rsidRPr="00000000">
              <w:rPr>
                <w:rFonts w:ascii="Arial" w:cs="Arial" w:eastAsia="Arial" w:hAnsi="Arial"/>
                <w:b w:val="1"/>
                <w:color w:val="000000"/>
                <w:sz w:val="24"/>
                <w:szCs w:val="24"/>
                <w:shd w:fill="dbe5f1" w:val="clear"/>
                <w:rtl w:val="0"/>
              </w:rPr>
              <w:t xml:space="preserve">Cabinet Office/ Department of Science, Innovation and Technology</w:t>
            </w: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Signature:</w:t>
            </w:r>
          </w:p>
        </w:tc>
        <w:tc>
          <w:tcPr/>
          <w:p w:rsidR="00000000" w:rsidDel="00000000" w:rsidP="00000000" w:rsidRDefault="00000000" w:rsidRPr="00000000" w14:paraId="000000D4">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D5">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Signature:</w:t>
            </w:r>
          </w:p>
        </w:tc>
        <w:tc>
          <w:tcPr/>
          <w:p w:rsidR="00000000" w:rsidDel="00000000" w:rsidP="00000000" w:rsidRDefault="00000000" w:rsidRPr="00000000" w14:paraId="000000D6">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Name:</w:t>
            </w:r>
          </w:p>
        </w:tc>
        <w:tc>
          <w:tcPr/>
          <w:p w:rsidR="00000000" w:rsidDel="00000000" w:rsidP="00000000" w:rsidRDefault="00000000" w:rsidRPr="00000000" w14:paraId="000000D8">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D9">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Name:</w:t>
            </w:r>
          </w:p>
        </w:tc>
        <w:tc>
          <w:tcPr/>
          <w:p w:rsidR="00000000" w:rsidDel="00000000" w:rsidP="00000000" w:rsidRDefault="00000000" w:rsidRPr="00000000" w14:paraId="000000DA">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Role:</w:t>
            </w:r>
          </w:p>
        </w:tc>
        <w:tc>
          <w:tcPr/>
          <w:p w:rsidR="00000000" w:rsidDel="00000000" w:rsidP="00000000" w:rsidRDefault="00000000" w:rsidRPr="00000000" w14:paraId="000000DC">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DD">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Role:</w:t>
            </w:r>
          </w:p>
        </w:tc>
        <w:tc>
          <w:tcPr/>
          <w:p w:rsidR="00000000" w:rsidDel="00000000" w:rsidP="00000000" w:rsidRDefault="00000000" w:rsidRPr="00000000" w14:paraId="000000DE">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r>
      <w:tr>
        <w:trPr>
          <w:cantSplit w:val="0"/>
          <w:trHeight w:val="651" w:hRule="atLeast"/>
          <w:tblHeader w:val="0"/>
        </w:trPr>
        <w:tc>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Date:</w:t>
            </w:r>
          </w:p>
        </w:tc>
        <w:tc>
          <w:tcPr/>
          <w:p w:rsidR="00000000" w:rsidDel="00000000" w:rsidP="00000000" w:rsidRDefault="00000000" w:rsidRPr="00000000" w14:paraId="000000E0">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0E1">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Date:</w:t>
            </w:r>
          </w:p>
        </w:tc>
        <w:tc>
          <w:tcPr/>
          <w:p w:rsidR="00000000" w:rsidDel="00000000" w:rsidP="00000000" w:rsidRDefault="00000000" w:rsidRPr="00000000" w14:paraId="000000E2">
            <w:pPr>
              <w:keepNext w:val="1"/>
              <w:pBdr>
                <w:top w:space="0" w:sz="0" w:val="nil"/>
                <w:left w:space="0" w:sz="0" w:val="nil"/>
                <w:bottom w:space="0" w:sz="0" w:val="nil"/>
                <w:right w:space="0" w:sz="0" w:val="nil"/>
                <w:between w:space="0" w:sz="0" w:val="nil"/>
              </w:pBdr>
              <w:spacing w:after="120" w:before="200" w:line="240" w:lineRule="auto"/>
              <w:ind w:left="142" w:hanging="142"/>
              <w:jc w:val="both"/>
              <w:rPr>
                <w:rFonts w:ascii="Arial" w:cs="Arial" w:eastAsia="Arial" w:hAnsi="Arial"/>
                <w:color w:val="000000"/>
                <w:sz w:val="24"/>
                <w:szCs w:val="24"/>
              </w:rPr>
            </w:pPr>
            <w:r w:rsidDel="00000000" w:rsidR="00000000" w:rsidRPr="00000000">
              <w:rPr>
                <w:rtl w:val="0"/>
              </w:rPr>
            </w:r>
          </w:p>
        </w:tc>
      </w:tr>
    </w:tbl>
    <w:bookmarkStart w:colFirst="0" w:colLast="0" w:name="bookmark=id.30j0zll" w:id="2"/>
    <w:bookmarkEnd w:id="2"/>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Rule="auto"/>
        <w:ind w:left="1871" w:hanging="72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Rule="auto"/>
        <w:ind w:left="1871" w:hanging="72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Rule="auto"/>
        <w:ind w:left="1871" w:hanging="720"/>
        <w:rPr>
          <w:rFonts w:ascii="Arial" w:cs="Arial" w:eastAsia="Arial" w:hAnsi="Arial"/>
          <w:i w:val="1"/>
          <w:color w:val="000000"/>
          <w:sz w:val="24"/>
          <w:szCs w:val="24"/>
        </w:rPr>
      </w:pPr>
      <w:r w:rsidDel="00000000" w:rsidR="00000000" w:rsidRPr="00000000">
        <w:rPr>
          <w:rtl w:val="0"/>
        </w:rPr>
      </w:r>
    </w:p>
    <w:bookmarkStart w:colFirst="0" w:colLast="0" w:name="bookmark=id.3znysh7" w:id="3"/>
    <w:bookmarkEnd w:id="3"/>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Rule="auto"/>
        <w:ind w:left="142" w:hanging="284"/>
        <w:rPr>
          <w:rFonts w:ascii="Arial" w:cs="Arial" w:eastAsia="Arial" w:hAnsi="Arial"/>
          <w:color w:val="000000"/>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276"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tabs>
        <w:tab w:val="center" w:leader="none" w:pos="4513"/>
        <w:tab w:val="right" w:leader="none" w:pos="9026"/>
      </w:tabs>
      <w:spacing w:after="0" w:lineRule="auto"/>
      <w:rPr>
        <w:color w:val="a6a6a6"/>
      </w:rPr>
    </w:pPr>
    <w:r w:rsidDel="00000000" w:rsidR="00000000" w:rsidRPr="00000000">
      <w:rPr>
        <w:rtl w:val="0"/>
      </w:rPr>
    </w:r>
  </w:p>
  <w:p w:rsidR="00000000" w:rsidDel="00000000" w:rsidP="00000000" w:rsidRDefault="00000000" w:rsidRPr="00000000" w14:paraId="000000EF">
    <w:pPr>
      <w:tabs>
        <w:tab w:val="center" w:leader="none" w:pos="4513"/>
        <w:tab w:val="right" w:leader="none" w:pos="9026"/>
      </w:tabs>
      <w:spacing w:after="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v.1.2</w:t>
      <w:tab/>
    </w:r>
    <w:r w:rsidDel="00000000" w:rsidR="00000000" w:rsidRPr="00000000">
      <w:rPr>
        <w:rFonts w:ascii="Arial" w:cs="Arial" w:eastAsia="Arial" w:hAnsi="Arial"/>
        <w:color w:val="000000"/>
        <w:sz w:val="20"/>
        <w:szCs w:val="20"/>
        <w:rtl w:val="0"/>
      </w:rPr>
      <w:tab/>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0">
    <w:pPr>
      <w:spacing w:after="0" w:line="240" w:lineRule="auto"/>
      <w:jc w:val="both"/>
      <w:rPr>
        <w:rFonts w:ascii="Arial" w:cs="Arial" w:eastAsia="Arial" w:hAnsi="Arial"/>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tabs>
        <w:tab w:val="center" w:leader="none" w:pos="4513"/>
        <w:tab w:val="right" w:leader="none" w:pos="9026"/>
      </w:tabs>
      <w:spacing w:after="0" w:lineRule="auto"/>
      <w:rPr>
        <w:rFonts w:ascii="Arial" w:cs="Arial" w:eastAsia="Arial" w:hAnsi="Arial"/>
        <w:color w:val="a6a6a6"/>
        <w:sz w:val="20"/>
        <w:szCs w:val="20"/>
      </w:rPr>
    </w:pPr>
    <w:r w:rsidDel="00000000" w:rsidR="00000000" w:rsidRPr="00000000">
      <w:rPr>
        <w:rtl w:val="0"/>
      </w:rPr>
    </w:r>
  </w:p>
  <w:p w:rsidR="00000000" w:rsidDel="00000000" w:rsidP="00000000" w:rsidRDefault="00000000" w:rsidRPr="00000000" w14:paraId="000000F2">
    <w:pPr>
      <w:spacing w:after="0" w:line="240" w:lineRule="auto"/>
      <w:jc w:val="both"/>
      <w:rPr>
        <w:rFonts w:ascii="Arial" w:cs="Arial" w:eastAsia="Arial" w:hAnsi="Arial"/>
        <w:color w:val="a6a6a6"/>
        <w:sz w:val="20"/>
        <w:szCs w:val="20"/>
      </w:rPr>
    </w:pPr>
    <w:r w:rsidDel="00000000" w:rsidR="00000000" w:rsidRPr="00000000">
      <w:rPr>
        <w:rFonts w:ascii="Arial" w:cs="Arial" w:eastAsia="Arial" w:hAnsi="Arial"/>
        <w:color w:val="a6a6a6"/>
        <w:sz w:val="20"/>
        <w:szCs w:val="20"/>
        <w:rtl w:val="0"/>
      </w:rPr>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Award Form, Crown Copyright 2023, [Subject to Contract]</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b w:val="1"/>
        <w:color w:val="a6a6a6"/>
        <w:sz w:val="20"/>
        <w:szCs w:val="20"/>
      </w:rPr>
    </w:pPr>
    <w:r w:rsidDel="00000000" w:rsidR="00000000" w:rsidRPr="00000000">
      <w:rPr>
        <w:rFonts w:ascii="Arial" w:cs="Arial" w:eastAsia="Arial" w:hAnsi="Arial"/>
        <w:b w:val="1"/>
        <w:color w:val="a6a6a6"/>
        <w:sz w:val="20"/>
        <w:szCs w:val="20"/>
        <w:rtl w:val="0"/>
      </w:rPr>
      <w:t xml:space="preserve">Award Form</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a6a6a6"/>
        <w:sz w:val="20"/>
        <w:szCs w:val="20"/>
      </w:rPr>
    </w:pPr>
    <w:r w:rsidDel="00000000" w:rsidR="00000000" w:rsidRPr="00000000">
      <w:rPr>
        <w:rFonts w:ascii="Arial" w:cs="Arial" w:eastAsia="Arial" w:hAnsi="Arial"/>
        <w:color w:val="a6a6a6"/>
        <w:sz w:val="20"/>
        <w:szCs w:val="20"/>
        <w:rtl w:val="0"/>
      </w:rPr>
      <w:t xml:space="preserve">Crown Copyright 2018</w:t>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50" w:hanging="360"/>
      </w:pPr>
      <w:rPr>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644" w:hanging="357.9999999999999"/>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4">
    <w:lvl w:ilvl="0">
      <w:start w:val="1"/>
      <w:numFmt w:val="bullet"/>
      <w:lvlText w:val="●"/>
      <w:lvlJc w:val="left"/>
      <w:pPr>
        <w:ind w:left="74" w:hanging="360"/>
      </w:pPr>
      <w:rPr>
        <w:rFonts w:ascii="Noto Sans" w:cs="Noto Sans" w:eastAsia="Noto Sans" w:hAnsi="Noto Sans"/>
      </w:rPr>
    </w:lvl>
    <w:lvl w:ilvl="1">
      <w:start w:val="1"/>
      <w:numFmt w:val="bullet"/>
      <w:lvlText w:val="o"/>
      <w:lvlJc w:val="left"/>
      <w:pPr>
        <w:ind w:left="794" w:hanging="359.99999999999994"/>
      </w:pPr>
      <w:rPr>
        <w:rFonts w:ascii="Courier New" w:cs="Courier New" w:eastAsia="Courier New" w:hAnsi="Courier New"/>
      </w:rPr>
    </w:lvl>
    <w:lvl w:ilvl="2">
      <w:start w:val="1"/>
      <w:numFmt w:val="bullet"/>
      <w:lvlText w:val="▪"/>
      <w:lvlJc w:val="left"/>
      <w:pPr>
        <w:ind w:left="1514" w:hanging="360"/>
      </w:pPr>
      <w:rPr>
        <w:rFonts w:ascii="Noto Sans" w:cs="Noto Sans" w:eastAsia="Noto Sans" w:hAnsi="Noto Sans"/>
      </w:rPr>
    </w:lvl>
    <w:lvl w:ilvl="3">
      <w:start w:val="1"/>
      <w:numFmt w:val="bullet"/>
      <w:lvlText w:val="●"/>
      <w:lvlJc w:val="left"/>
      <w:pPr>
        <w:ind w:left="2234" w:hanging="360"/>
      </w:pPr>
      <w:rPr>
        <w:rFonts w:ascii="Noto Sans" w:cs="Noto Sans" w:eastAsia="Noto Sans" w:hAnsi="Noto Sans"/>
      </w:rPr>
    </w:lvl>
    <w:lvl w:ilvl="4">
      <w:start w:val="1"/>
      <w:numFmt w:val="bullet"/>
      <w:lvlText w:val="o"/>
      <w:lvlJc w:val="left"/>
      <w:pPr>
        <w:ind w:left="2954" w:hanging="360"/>
      </w:pPr>
      <w:rPr>
        <w:rFonts w:ascii="Courier New" w:cs="Courier New" w:eastAsia="Courier New" w:hAnsi="Courier New"/>
      </w:rPr>
    </w:lvl>
    <w:lvl w:ilvl="5">
      <w:start w:val="1"/>
      <w:numFmt w:val="bullet"/>
      <w:lvlText w:val="▪"/>
      <w:lvlJc w:val="left"/>
      <w:pPr>
        <w:ind w:left="3674" w:hanging="360"/>
      </w:pPr>
      <w:rPr>
        <w:rFonts w:ascii="Noto Sans" w:cs="Noto Sans" w:eastAsia="Noto Sans" w:hAnsi="Noto Sans"/>
      </w:rPr>
    </w:lvl>
    <w:lvl w:ilvl="6">
      <w:start w:val="1"/>
      <w:numFmt w:val="bullet"/>
      <w:lvlText w:val="●"/>
      <w:lvlJc w:val="left"/>
      <w:pPr>
        <w:ind w:left="4394" w:hanging="360"/>
      </w:pPr>
      <w:rPr>
        <w:rFonts w:ascii="Noto Sans" w:cs="Noto Sans" w:eastAsia="Noto Sans" w:hAnsi="Noto Sans"/>
      </w:rPr>
    </w:lvl>
    <w:lvl w:ilvl="7">
      <w:start w:val="1"/>
      <w:numFmt w:val="bullet"/>
      <w:lvlText w:val="o"/>
      <w:lvlJc w:val="left"/>
      <w:pPr>
        <w:ind w:left="5114" w:hanging="360"/>
      </w:pPr>
      <w:rPr>
        <w:rFonts w:ascii="Courier New" w:cs="Courier New" w:eastAsia="Courier New" w:hAnsi="Courier New"/>
      </w:rPr>
    </w:lvl>
    <w:lvl w:ilvl="8">
      <w:start w:val="1"/>
      <w:numFmt w:val="bullet"/>
      <w:lvlText w:val="▪"/>
      <w:lvlJc w:val="left"/>
      <w:pPr>
        <w:ind w:left="5834" w:hanging="360"/>
      </w:pPr>
      <w:rPr>
        <w:rFonts w:ascii="Noto Sans" w:cs="Noto Sans" w:eastAsia="Noto Sans" w:hAnsi="Noto Sans"/>
      </w:rPr>
    </w:lvl>
  </w:abstractNum>
  <w:abstractNum w:abstractNumId="5">
    <w:lvl w:ilvl="0">
      <w:start w:val="1"/>
      <w:numFmt w:val="lowerLetter"/>
      <w:lvlText w:val="(%1)"/>
      <w:lvlJc w:val="left"/>
      <w:pPr>
        <w:ind w:left="1440" w:hanging="360"/>
      </w:pPr>
      <w:rPr/>
    </w:lvl>
    <w:lvl w:ilvl="1">
      <w:start w:val="1"/>
      <w:numFmt w:val="lowerRoman"/>
      <w:lvlText w:val="(%2)"/>
      <w:lvlJc w:val="left"/>
      <w:pPr>
        <w:ind w:left="2268" w:hanging="468"/>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tabs>
        <w:tab w:val="left" w:leader="none" w:pos="-5585"/>
      </w:tabs>
      <w:spacing w:after="120" w:line="240" w:lineRule="auto"/>
      <w:ind w:left="3600" w:hanging="360"/>
      <w:jc w:val="both"/>
    </w:pPr>
    <w:rPr>
      <w:rFonts w:ascii="Arial" w:cs="Arial" w:eastAsia="Arial" w:hAnsi="Arial"/>
    </w:rPr>
  </w:style>
  <w:style w:type="paragraph" w:styleId="Heading6">
    <w:name w:val="heading 6"/>
    <w:basedOn w:val="Normal"/>
    <w:next w:val="Normal"/>
    <w:pPr>
      <w:tabs>
        <w:tab w:val="left" w:leader="none" w:pos="-8987"/>
        <w:tab w:val="left" w:leader="none" w:pos="-8420"/>
      </w:tabs>
      <w:spacing w:after="120" w:line="240" w:lineRule="auto"/>
      <w:ind w:left="3600" w:hanging="360"/>
      <w:jc w:val="both"/>
    </w:pPr>
    <w:rPr>
      <w:rFonts w:ascii="Arial" w:cs="Arial" w:eastAsia="Arial" w:hAnsi="Arial"/>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44E22"/>
    <w:pPr>
      <w:suppressAutoHyphens w:val="1"/>
    </w:p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next w:val="Normal"/>
    <w:uiPriority w:val="9"/>
    <w:qFormat w:val="1"/>
    <w:pPr>
      <w:keepNext w:val="1"/>
      <w:keepLines w:val="1"/>
      <w:spacing w:after="120" w:before="480"/>
      <w:outlineLvl w:val="0"/>
    </w:pPr>
    <w:rPr>
      <w:b w:val="1"/>
      <w:sz w:val="48"/>
      <w:szCs w:val="48"/>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next w:val="Normal"/>
    <w:link w:val="Heading3Char"/>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Normal"/>
    <w:uiPriority w:val="9"/>
    <w:semiHidden w:val="1"/>
    <w:unhideWhenUsed w:val="1"/>
    <w:qFormat w:val="1"/>
    <w:pPr>
      <w:numPr>
        <w:ilvl w:val="4"/>
        <w:numId w:val="1"/>
      </w:numPr>
      <w:tabs>
        <w:tab w:val="left" w:pos="-5585"/>
      </w:tabs>
      <w:suppressAutoHyphens w:val="0"/>
      <w:overflowPunct w:val="0"/>
      <w:autoSpaceDE w:val="0"/>
      <w:spacing w:after="120" w:line="240" w:lineRule="auto"/>
      <w:jc w:val="both"/>
      <w:outlineLvl w:val="4"/>
    </w:pPr>
    <w:rPr>
      <w:rFonts w:ascii="Arial" w:eastAsia="Times New Roman" w:hAnsi="Arial"/>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Heading5"/>
    <w:uiPriority w:val="9"/>
    <w:semiHidden w:val="1"/>
    <w:unhideWhenUsed w:val="1"/>
    <w:qFormat w:val="1"/>
    <w:pPr>
      <w:numPr>
        <w:ilvl w:val="5"/>
      </w:numPr>
      <w:tabs>
        <w:tab w:val="clear" w:pos="-5585"/>
        <w:tab w:val="left" w:pos="-8987"/>
        <w:tab w:val="left" w:pos="-8420"/>
      </w:tabs>
      <w:outlineLvl w:val="5"/>
    </w:pPr>
  </w:style>
  <w:style w:type="paragraph" w:styleId="Heading7">
    <w:name w:val="heading 7"/>
    <w:basedOn w:val="Heading6"/>
    <w:pPr>
      <w:numPr>
        <w:ilvl w:val="6"/>
      </w:numPr>
      <w:tabs>
        <w:tab w:val="clear" w:pos="-8987"/>
        <w:tab w:val="clear" w:pos="-8420"/>
        <w:tab w:val="left" w:pos="-10688"/>
        <w:tab w:val="left" w:pos="-9554"/>
      </w:tabs>
      <w:outlineLvl w:val="6"/>
    </w:pPr>
  </w:style>
  <w:style w:type="paragraph" w:styleId="Heading8">
    <w:name w:val="heading 8"/>
    <w:basedOn w:val="Heading7"/>
    <w:pPr>
      <w:numPr>
        <w:ilvl w:val="7"/>
      </w:numPr>
      <w:tabs>
        <w:tab w:val="clear" w:pos="-9554"/>
        <w:tab w:val="left" w:pos="-12360"/>
        <w:tab w:val="left" w:pos="-9383"/>
      </w:tabs>
      <w:outlineLvl w:val="7"/>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numbering" w:styleId="WWOutlineListStyle8" w:customStyle="1">
    <w:name w:val="WW_OutlineListStyle_8"/>
    <w:basedOn w:val="NoList"/>
  </w:style>
  <w:style w:type="paragraph" w:styleId="Level1Heading" w:customStyle="1">
    <w:name w:val="Level 1 Heading"/>
    <w:basedOn w:val="BodyText"/>
    <w:next w:val="Normal"/>
    <w:pPr>
      <w:keepNext w:val="1"/>
      <w:tabs>
        <w:tab w:val="left" w:pos="-1342"/>
      </w:tabs>
      <w:suppressAutoHyphens w:val="0"/>
      <w:spacing w:after="200" w:before="360" w:line="360" w:lineRule="auto"/>
      <w:outlineLvl w:val="0"/>
    </w:pPr>
    <w:rPr>
      <w:rFonts w:ascii="Arial" w:eastAsia="Times New Roman" w:hAnsi="Arial"/>
      <w:b w:val="1"/>
      <w:szCs w:val="20"/>
    </w:rPr>
  </w:style>
  <w:style w:type="paragraph" w:styleId="GPSL1CLAUSEHEADING" w:customStyle="1">
    <w:name w:val="GPS L1 CLAUSE HEADING"/>
    <w:basedOn w:val="Normal"/>
    <w:next w:val="Normal"/>
    <w:qFormat w:val="1"/>
    <w:pPr>
      <w:tabs>
        <w:tab w:val="left" w:pos="-3864"/>
      </w:tabs>
      <w:suppressAutoHyphens w:val="0"/>
      <w:spacing w:after="240" w:before="240" w:line="240" w:lineRule="auto"/>
      <w:jc w:val="both"/>
      <w:outlineLvl w:val="1"/>
    </w:pPr>
    <w:rPr>
      <w:rFonts w:ascii="Arial Bold" w:cs="Arial" w:eastAsia="STZhongsong" w:hAnsi="Arial Bold"/>
      <w:b w:val="1"/>
      <w:caps w:val="1"/>
      <w:lang w:eastAsia="zh-CN"/>
    </w:rPr>
  </w:style>
  <w:style w:type="character" w:styleId="Heading5Char" w:customStyle="1">
    <w:name w:val="Heading 5 Char"/>
    <w:basedOn w:val="DefaultParagraphFont"/>
    <w:rPr>
      <w:rFonts w:ascii="Arial" w:eastAsia="Times New Roman" w:hAnsi="Arial"/>
      <w:sz w:val="22"/>
      <w:szCs w:val="22"/>
      <w:lang w:eastAsia="en-US"/>
    </w:rPr>
  </w:style>
  <w:style w:type="character" w:styleId="Heading6Char" w:customStyle="1">
    <w:name w:val="Heading 6 Char"/>
    <w:basedOn w:val="DefaultParagraphFont"/>
    <w:rPr>
      <w:rFonts w:ascii="Arial" w:eastAsia="Times New Roman" w:hAnsi="Arial"/>
      <w:sz w:val="22"/>
      <w:szCs w:val="22"/>
      <w:lang w:eastAsia="en-US"/>
    </w:rPr>
  </w:style>
  <w:style w:type="paragraph" w:styleId="GPSL2NumberedBoldHeading" w:customStyle="1">
    <w:name w:val="GPS L2 Numbered Bold Heading"/>
    <w:basedOn w:val="Normal"/>
    <w:qFormat w:val="1"/>
    <w:pPr>
      <w:tabs>
        <w:tab w:val="left" w:pos="1134"/>
      </w:tabs>
      <w:suppressAutoHyphens w:val="0"/>
      <w:spacing w:after="120" w:before="120" w:line="240" w:lineRule="auto"/>
      <w:ind w:left="1494" w:hanging="218"/>
      <w:jc w:val="both"/>
    </w:pPr>
    <w:rPr>
      <w:rFonts w:cs="Arial" w:eastAsia="Times New Roman"/>
      <w:b w:val="1"/>
      <w:lang w:eastAsia="zh-CN"/>
    </w:rPr>
  </w:style>
  <w:style w:type="paragraph" w:styleId="BodyText1" w:customStyle="1">
    <w:name w:val="Body Text 1"/>
    <w:basedOn w:val="BodyText"/>
    <w:pPr>
      <w:suppressAutoHyphens w:val="0"/>
      <w:spacing w:after="240" w:line="360" w:lineRule="auto"/>
      <w:ind w:left="851"/>
    </w:pPr>
    <w:rPr>
      <w:rFonts w:ascii="Arial" w:eastAsia="Times New Roman" w:hAnsi="Arial"/>
      <w:sz w:val="20"/>
      <w:szCs w:val="20"/>
    </w:rPr>
  </w:style>
  <w:style w:type="paragraph" w:styleId="ListParagraph">
    <w:name w:val="List Paragraph"/>
    <w:basedOn w:val="Normal"/>
    <w:uiPriority w:val="34"/>
    <w:qFormat w:val="1"/>
    <w:pPr>
      <w:ind w:left="720"/>
    </w:pPr>
  </w:style>
  <w:style w:type="character" w:styleId="Emphasis">
    <w:name w:val="Emphasis"/>
    <w:basedOn w:val="DefaultParagraphFont"/>
    <w:rPr>
      <w:i w:val="1"/>
      <w:iCs w:val="1"/>
    </w:rPr>
  </w:style>
  <w:style w:type="paragraph" w:styleId="11table" w:customStyle="1">
    <w:name w:val="1.1 table"/>
    <w:basedOn w:val="Normal"/>
    <w:qFormat w:val="1"/>
    <w:pPr>
      <w:numPr>
        <w:numId w:val="6"/>
      </w:numPr>
      <w:suppressAutoHyphens w:val="0"/>
      <w:spacing w:after="0" w:line="240" w:lineRule="auto"/>
    </w:pPr>
    <w:rPr>
      <w:rFonts w:eastAsia="STZhongsong"/>
      <w:b w:val="1"/>
      <w:lang w:eastAsia="zh-CN"/>
    </w:rPr>
  </w:style>
  <w:style w:type="character" w:styleId="11tableChar" w:customStyle="1">
    <w:name w:val="1.1 table Char"/>
    <w:rPr>
      <w:rFonts w:eastAsia="STZhongsong"/>
      <w:b w:val="1"/>
      <w:sz w:val="22"/>
      <w:szCs w:val="22"/>
      <w:lang w:eastAsia="zh-CN"/>
    </w:rPr>
  </w:style>
  <w:style w:type="paragraph" w:styleId="BalloonText">
    <w:name w:val="Balloon Text"/>
    <w:basedOn w:val="Normal"/>
    <w:pPr>
      <w:spacing w:after="0" w:line="240" w:lineRule="auto"/>
    </w:pPr>
    <w:rPr>
      <w:rFonts w:ascii="Tahoma" w:cs="Tahoma" w:hAnsi="Tahoma"/>
      <w:sz w:val="16"/>
      <w:szCs w:val="16"/>
    </w:rPr>
  </w:style>
  <w:style w:type="character" w:styleId="BalloonTextChar" w:customStyle="1">
    <w:name w:val="Balloon Text Char"/>
    <w:basedOn w:val="DefaultParagraphFont"/>
    <w:rPr>
      <w:rFonts w:ascii="Tahoma" w:cs="Tahoma" w:hAnsi="Tahoma"/>
      <w:sz w:val="16"/>
      <w:szCs w:val="16"/>
      <w:lang w:eastAsia="en-US"/>
    </w:rPr>
  </w:style>
  <w:style w:type="paragraph" w:styleId="Header">
    <w:name w:val="header"/>
    <w:basedOn w:val="Normal"/>
    <w:uiPriority w:val="99"/>
    <w:pPr>
      <w:tabs>
        <w:tab w:val="center" w:pos="4513"/>
        <w:tab w:val="right" w:pos="9026"/>
      </w:tabs>
      <w:spacing w:after="0" w:line="240" w:lineRule="auto"/>
    </w:pPr>
  </w:style>
  <w:style w:type="character" w:styleId="HeaderChar" w:customStyle="1">
    <w:name w:val="Header Char"/>
    <w:basedOn w:val="DefaultParagraphFont"/>
    <w:uiPriority w:val="99"/>
    <w:rPr>
      <w:sz w:val="22"/>
      <w:szCs w:val="22"/>
      <w:lang w:eastAsia="en-US"/>
    </w:rPr>
  </w:style>
  <w:style w:type="paragraph" w:styleId="Footer">
    <w:name w:val="footer"/>
    <w:basedOn w:val="Normal"/>
    <w:uiPriority w:val="99"/>
    <w:pPr>
      <w:tabs>
        <w:tab w:val="center" w:pos="4513"/>
        <w:tab w:val="right" w:pos="9026"/>
      </w:tabs>
      <w:spacing w:after="0" w:line="240" w:lineRule="auto"/>
    </w:pPr>
  </w:style>
  <w:style w:type="character" w:styleId="FooterChar" w:customStyle="1">
    <w:name w:val="Footer Char"/>
    <w:basedOn w:val="DefaultParagraphFont"/>
    <w:uiPriority w:val="99"/>
    <w:rPr>
      <w:sz w:val="22"/>
      <w:szCs w:val="22"/>
      <w:lang w:eastAsia="en-US"/>
    </w:rPr>
  </w:style>
  <w:style w:type="paragraph" w:styleId="MarginText" w:customStyle="1">
    <w:name w:val="Margin Text"/>
    <w:basedOn w:val="Normal"/>
    <w:pPr>
      <w:keepNext w:val="1"/>
      <w:suppressAutoHyphens w:val="0"/>
      <w:spacing w:after="120" w:before="240" w:line="240" w:lineRule="auto"/>
      <w:ind w:left="142"/>
      <w:jc w:val="both"/>
    </w:pPr>
    <w:rPr>
      <w:rFonts w:ascii="Arial" w:eastAsia="STZhongsong" w:hAnsi="Arial"/>
      <w:sz w:val="18"/>
      <w:szCs w:val="18"/>
      <w:lang w:eastAsia="zh-CN"/>
    </w:rPr>
  </w:style>
  <w:style w:type="character" w:styleId="MarginTextChar" w:customStyle="1">
    <w:name w:val="Margin Text Char"/>
    <w:rPr>
      <w:rFonts w:ascii="Arial" w:eastAsia="STZhongsong" w:hAnsi="Arial"/>
      <w:sz w:val="18"/>
      <w:szCs w:val="18"/>
      <w:lang w:eastAsia="zh-CN"/>
    </w:rPr>
  </w:style>
  <w:style w:type="paragraph" w:styleId="GPSL2numberedclause" w:customStyle="1">
    <w:name w:val="GPS L2 numbered clause"/>
    <w:basedOn w:val="Normal"/>
    <w:qFormat w:val="1"/>
    <w:pPr>
      <w:tabs>
        <w:tab w:val="left" w:pos="1134"/>
      </w:tabs>
      <w:suppressAutoHyphens w:val="0"/>
      <w:spacing w:after="120" w:before="120" w:line="240" w:lineRule="auto"/>
      <w:ind w:left="1134" w:hanging="567"/>
      <w:jc w:val="both"/>
    </w:pPr>
    <w:rPr>
      <w:rFonts w:cs="Arial" w:eastAsia="Times New Roman"/>
      <w:lang w:eastAsia="zh-CN"/>
    </w:rPr>
  </w:style>
  <w:style w:type="paragraph" w:styleId="GPSL3numberedclause" w:customStyle="1">
    <w:name w:val="GPS L3 numbered clause"/>
    <w:basedOn w:val="GPSL2numberedclause"/>
    <w:qFormat w:val="1"/>
    <w:pPr>
      <w:tabs>
        <w:tab w:val="clear" w:pos="1134"/>
        <w:tab w:val="left" w:pos="1985"/>
        <w:tab w:val="left" w:pos="2127"/>
      </w:tabs>
      <w:ind w:left="1985" w:hanging="851"/>
    </w:pPr>
  </w:style>
  <w:style w:type="paragraph" w:styleId="GPSL4numberedclause" w:customStyle="1">
    <w:name w:val="GPS L4 numbered clause"/>
    <w:basedOn w:val="GPSL3numberedclause"/>
    <w:qFormat w:val="1"/>
    <w:pPr>
      <w:tabs>
        <w:tab w:val="clear" w:pos="2127"/>
      </w:tabs>
      <w:ind w:left="2835" w:hanging="708"/>
    </w:pPr>
    <w:rPr>
      <w:szCs w:val="20"/>
    </w:rPr>
  </w:style>
  <w:style w:type="character" w:styleId="GPSL2numberedclauseChar1" w:customStyle="1">
    <w:name w:val="GPS L2 numbered clause Char1"/>
    <w:rPr>
      <w:rFonts w:cs="Arial" w:eastAsia="Times New Roman"/>
      <w:sz w:val="22"/>
      <w:szCs w:val="22"/>
      <w:lang w:eastAsia="zh-CN"/>
    </w:rPr>
  </w:style>
  <w:style w:type="character" w:styleId="GPSL3numberedclauseChar" w:customStyle="1">
    <w:name w:val="GPS L3 numbered clause Char"/>
    <w:rPr>
      <w:rFonts w:cs="Arial" w:eastAsia="Times New Roman"/>
      <w:sz w:val="22"/>
      <w:szCs w:val="22"/>
      <w:lang w:eastAsia="zh-CN"/>
    </w:rPr>
  </w:style>
  <w:style w:type="paragraph" w:styleId="GPSL5numberedclause" w:customStyle="1">
    <w:name w:val="GPS L5 numbered clause"/>
    <w:basedOn w:val="GPSL4numberedclause"/>
    <w:qFormat w:val="1"/>
    <w:pPr>
      <w:tabs>
        <w:tab w:val="left" w:pos="3402"/>
      </w:tabs>
      <w:ind w:left="3402" w:hanging="567"/>
    </w:pPr>
  </w:style>
  <w:style w:type="paragraph" w:styleId="GPSL6numbered" w:customStyle="1">
    <w:name w:val="GPS L6 numbered"/>
    <w:basedOn w:val="GPSL5numberedclause"/>
    <w:qFormat w:val="1"/>
    <w:pPr>
      <w:tabs>
        <w:tab w:val="clear" w:pos="1985"/>
        <w:tab w:val="clear" w:pos="3402"/>
        <w:tab w:val="num" w:pos="720"/>
        <w:tab w:val="left" w:pos="24049"/>
        <w:tab w:val="left" w:pos="25466"/>
        <w:tab w:val="left" w:pos="26317"/>
      </w:tabs>
      <w:ind w:left="720" w:hanging="720"/>
    </w:pPr>
  </w:style>
  <w:style w:type="paragraph" w:styleId="Style1" w:customStyle="1">
    <w:name w:val="Style1"/>
    <w:basedOn w:val="ListParagraph"/>
    <w:pPr>
      <w:tabs>
        <w:tab w:val="num" w:pos="720"/>
      </w:tabs>
      <w:ind w:hanging="720"/>
    </w:pPr>
    <w:rPr>
      <w:b w:val="1"/>
      <w:sz w:val="20"/>
    </w:rPr>
  </w:style>
  <w:style w:type="character" w:styleId="ListParagraphChar" w:customStyle="1">
    <w:name w:val="List Paragraph Char"/>
    <w:basedOn w:val="DefaultParagraphFont"/>
    <w:rPr>
      <w:sz w:val="22"/>
      <w:szCs w:val="22"/>
      <w:lang w:eastAsia="en-US"/>
    </w:rPr>
  </w:style>
  <w:style w:type="character" w:styleId="Style1Char" w:customStyle="1">
    <w:name w:val="Style1 Char"/>
    <w:basedOn w:val="ListParagraphChar"/>
    <w:rPr>
      <w:b w:val="1"/>
      <w:sz w:val="22"/>
      <w:szCs w:val="22"/>
      <w:lang w:eastAsia="en-US"/>
    </w:rPr>
  </w:style>
  <w:style w:type="character" w:styleId="CommentReference">
    <w:name w:val="annotation reference"/>
    <w:basedOn w:val="DefaultParagraphFont"/>
    <w:rPr>
      <w:sz w:val="16"/>
      <w:szCs w:val="16"/>
    </w:rPr>
  </w:style>
  <w:style w:type="paragraph" w:styleId="CommentText">
    <w:name w:val="annotation text"/>
    <w:basedOn w:val="Normal"/>
    <w:uiPriority w:val="99"/>
    <w:pPr>
      <w:spacing w:line="240" w:lineRule="auto"/>
    </w:pPr>
    <w:rPr>
      <w:sz w:val="20"/>
      <w:szCs w:val="20"/>
    </w:rPr>
  </w:style>
  <w:style w:type="character" w:styleId="CommentTextChar" w:customStyle="1">
    <w:name w:val="Comment Text Char"/>
    <w:basedOn w:val="DefaultParagraphFont"/>
    <w:rPr>
      <w:lang w:eastAsia="en-US"/>
    </w:rPr>
  </w:style>
  <w:style w:type="paragraph" w:styleId="CommentSubject">
    <w:name w:val="annotation subject"/>
    <w:basedOn w:val="CommentText"/>
    <w:next w:val="CommentText"/>
    <w:rPr>
      <w:b w:val="1"/>
      <w:bCs w:val="1"/>
    </w:rPr>
  </w:style>
  <w:style w:type="character" w:styleId="CommentSubjectChar" w:customStyle="1">
    <w:name w:val="Comment Subject Char"/>
    <w:basedOn w:val="CommentTextChar"/>
    <w:rPr>
      <w:b w:val="1"/>
      <w:bCs w:val="1"/>
      <w:lang w:eastAsia="en-US"/>
    </w:rPr>
  </w:style>
  <w:style w:type="paragraph" w:styleId="Revision">
    <w:name w:val="Revision"/>
  </w:style>
  <w:style w:type="paragraph" w:styleId="GPsDefinition" w:customStyle="1">
    <w:name w:val="GPs Definition"/>
    <w:basedOn w:val="Normal"/>
    <w:pPr>
      <w:tabs>
        <w:tab w:val="left" w:pos="-179"/>
      </w:tabs>
      <w:suppressAutoHyphens w:val="0"/>
      <w:overflowPunct w:val="0"/>
      <w:autoSpaceDE w:val="0"/>
      <w:spacing w:after="120" w:line="240" w:lineRule="auto"/>
      <w:jc w:val="both"/>
    </w:pPr>
    <w:rPr>
      <w:rFonts w:ascii="Arial" w:cs="Arial" w:eastAsia="Times New Roman" w:hAnsi="Arial"/>
    </w:rPr>
  </w:style>
  <w:style w:type="paragraph" w:styleId="GPSDefinitionL2" w:customStyle="1">
    <w:name w:val="GPS Definition L2"/>
    <w:basedOn w:val="GPsDefinition"/>
    <w:pPr>
      <w:tabs>
        <w:tab w:val="clear" w:pos="-179"/>
        <w:tab w:val="left" w:pos="-576"/>
      </w:tabs>
      <w:ind w:hanging="545"/>
    </w:pPr>
  </w:style>
  <w:style w:type="character" w:styleId="GPSDefinitionL2Char" w:customStyle="1">
    <w:name w:val="GPS Definition L2 Char"/>
    <w:rPr>
      <w:rFonts w:ascii="Arial" w:cs="Arial" w:eastAsia="Times New Roman" w:hAnsi="Arial"/>
      <w:sz w:val="22"/>
      <w:szCs w:val="22"/>
      <w:lang w:eastAsia="en-US"/>
    </w:rPr>
  </w:style>
  <w:style w:type="paragraph" w:styleId="GPSDefinitionL3" w:customStyle="1">
    <w:name w:val="GPS Definition L3"/>
    <w:basedOn w:val="GPSDefinitionL2"/>
  </w:style>
  <w:style w:type="paragraph" w:styleId="GPSDefinitionL4" w:customStyle="1">
    <w:name w:val="GPS Definition L4"/>
    <w:basedOn w:val="GPSDefinitionL3"/>
    <w:pPr>
      <w:tabs>
        <w:tab w:val="clear" w:pos="-576"/>
        <w:tab w:val="left" w:pos="-2316"/>
        <w:tab w:val="left" w:pos="-2100"/>
        <w:tab w:val="num" w:pos="720"/>
      </w:tabs>
      <w:ind w:left="720" w:hanging="720"/>
    </w:pPr>
  </w:style>
  <w:style w:type="character" w:styleId="GPSDefinitionL3Char" w:customStyle="1">
    <w:name w:val="GPS Definition L3 Char"/>
    <w:rPr>
      <w:rFonts w:ascii="Arial" w:cs="Arial" w:eastAsia="Times New Roman" w:hAnsi="Arial"/>
      <w:sz w:val="22"/>
      <w:szCs w:val="22"/>
      <w:lang w:eastAsia="en-US"/>
    </w:rPr>
  </w:style>
  <w:style w:type="paragraph" w:styleId="FootnoteText">
    <w:name w:val="footnote text"/>
    <w:basedOn w:val="Normal"/>
    <w:pPr>
      <w:suppressAutoHyphens w:val="0"/>
      <w:overflowPunct w:val="0"/>
      <w:autoSpaceDE w:val="0"/>
      <w:spacing w:after="240" w:line="240" w:lineRule="auto"/>
      <w:ind w:left="1418"/>
      <w:jc w:val="both"/>
    </w:pPr>
    <w:rPr>
      <w:rFonts w:ascii="Arial" w:cs="Arial" w:eastAsia="Times New Roman" w:hAnsi="Arial"/>
      <w:sz w:val="20"/>
      <w:szCs w:val="20"/>
    </w:rPr>
  </w:style>
  <w:style w:type="character" w:styleId="FootnoteTextChar" w:customStyle="1">
    <w:name w:val="Footnote Text Char"/>
    <w:basedOn w:val="DefaultParagraphFont"/>
    <w:rPr>
      <w:rFonts w:ascii="Arial" w:cs="Arial" w:eastAsia="Times New Roman" w:hAnsi="Arial"/>
      <w:lang w:eastAsia="en-US"/>
    </w:rPr>
  </w:style>
  <w:style w:type="paragraph" w:styleId="BodyText">
    <w:name w:val="Body Text"/>
    <w:basedOn w:val="Normal"/>
    <w:pPr>
      <w:spacing w:after="120"/>
    </w:pPr>
  </w:style>
  <w:style w:type="character" w:styleId="BodyTextChar" w:customStyle="1">
    <w:name w:val="Body Text Char"/>
    <w:basedOn w:val="DefaultParagraphFont"/>
    <w:rPr>
      <w:sz w:val="22"/>
      <w:szCs w:val="22"/>
      <w:lang w:eastAsia="en-US"/>
    </w:rPr>
  </w:style>
  <w:style w:type="paragraph" w:styleId="Level2Heading" w:customStyle="1">
    <w:name w:val="Level 2 Heading"/>
    <w:basedOn w:val="BodyText"/>
    <w:next w:val="BodyText2"/>
    <w:pPr>
      <w:keepNext w:val="1"/>
      <w:tabs>
        <w:tab w:val="left" w:pos="360"/>
      </w:tabs>
      <w:suppressAutoHyphens w:val="0"/>
      <w:spacing w:after="200" w:before="360" w:line="360" w:lineRule="auto"/>
      <w:outlineLvl w:val="1"/>
    </w:pPr>
    <w:rPr>
      <w:rFonts w:ascii="Arial" w:eastAsia="Times New Roman" w:hAnsi="Arial"/>
      <w:b w:val="1"/>
      <w:sz w:val="20"/>
      <w:szCs w:val="20"/>
      <w:lang w:eastAsia="en-GB"/>
    </w:rPr>
  </w:style>
  <w:style w:type="paragraph" w:styleId="Level3Number" w:customStyle="1">
    <w:name w:val="Level 3 Number"/>
    <w:basedOn w:val="BodyText"/>
    <w:pPr>
      <w:tabs>
        <w:tab w:val="left" w:pos="360"/>
      </w:tabs>
      <w:suppressAutoHyphens w:val="0"/>
      <w:spacing w:after="200" w:before="360" w:line="360" w:lineRule="auto"/>
    </w:pPr>
    <w:rPr>
      <w:rFonts w:ascii="Arial" w:eastAsia="Times New Roman" w:hAnsi="Arial"/>
      <w:sz w:val="20"/>
      <w:szCs w:val="20"/>
    </w:rPr>
  </w:style>
  <w:style w:type="paragraph" w:styleId="Level4Number" w:customStyle="1">
    <w:name w:val="Level 4 Number"/>
    <w:basedOn w:val="BodyText"/>
    <w:pPr>
      <w:tabs>
        <w:tab w:val="left" w:pos="360"/>
      </w:tabs>
      <w:suppressAutoHyphens w:val="0"/>
      <w:spacing w:after="200" w:before="360" w:line="360" w:lineRule="auto"/>
    </w:pPr>
    <w:rPr>
      <w:rFonts w:ascii="Arial" w:eastAsia="Times New Roman" w:hAnsi="Arial"/>
      <w:sz w:val="20"/>
      <w:szCs w:val="20"/>
    </w:rPr>
  </w:style>
  <w:style w:type="paragraph" w:styleId="Level5Number" w:customStyle="1">
    <w:name w:val="Level 5 Number"/>
    <w:basedOn w:val="BodyText"/>
    <w:pPr>
      <w:tabs>
        <w:tab w:val="left" w:pos="360"/>
      </w:tabs>
      <w:suppressAutoHyphens w:val="0"/>
      <w:spacing w:after="240" w:line="360" w:lineRule="auto"/>
    </w:pPr>
    <w:rPr>
      <w:rFonts w:ascii="Arial" w:eastAsia="Times New Roman" w:hAnsi="Arial"/>
      <w:sz w:val="20"/>
      <w:szCs w:val="20"/>
    </w:rPr>
  </w:style>
  <w:style w:type="paragraph" w:styleId="Level6Number" w:customStyle="1">
    <w:name w:val="Level 6 Number"/>
    <w:basedOn w:val="BodyText"/>
    <w:pPr>
      <w:tabs>
        <w:tab w:val="left" w:pos="360"/>
      </w:tabs>
      <w:suppressAutoHyphens w:val="0"/>
      <w:spacing w:after="240" w:line="360" w:lineRule="auto"/>
    </w:pPr>
    <w:rPr>
      <w:rFonts w:ascii="Arial" w:eastAsia="Times New Roman" w:hAnsi="Arial"/>
      <w:sz w:val="20"/>
      <w:szCs w:val="20"/>
    </w:rPr>
  </w:style>
  <w:style w:type="paragraph" w:styleId="Level7Number" w:customStyle="1">
    <w:name w:val="Level 7 Number"/>
    <w:basedOn w:val="BodyText"/>
    <w:pPr>
      <w:tabs>
        <w:tab w:val="left" w:pos="360"/>
      </w:tabs>
      <w:suppressAutoHyphens w:val="0"/>
      <w:spacing w:after="240" w:line="360" w:lineRule="auto"/>
    </w:pPr>
    <w:rPr>
      <w:rFonts w:ascii="Arial" w:eastAsia="Times New Roman" w:hAnsi="Arial"/>
      <w:sz w:val="20"/>
      <w:szCs w:val="20"/>
    </w:rPr>
  </w:style>
  <w:style w:type="paragraph" w:styleId="Level8Number" w:customStyle="1">
    <w:name w:val="Level 8 Number"/>
    <w:basedOn w:val="BodyText"/>
    <w:pPr>
      <w:tabs>
        <w:tab w:val="left" w:pos="-3895"/>
        <w:tab w:val="num" w:pos="720"/>
      </w:tabs>
      <w:suppressAutoHyphens w:val="0"/>
      <w:spacing w:after="240" w:line="360" w:lineRule="auto"/>
      <w:ind w:left="720" w:hanging="720"/>
    </w:pPr>
    <w:rPr>
      <w:rFonts w:ascii="Arial" w:eastAsia="Times New Roman" w:hAnsi="Arial"/>
      <w:sz w:val="20"/>
      <w:szCs w:val="20"/>
    </w:rPr>
  </w:style>
  <w:style w:type="paragraph" w:styleId="BodyText2">
    <w:name w:val="Body Text 2"/>
    <w:basedOn w:val="Normal"/>
    <w:pPr>
      <w:spacing w:after="120" w:line="480" w:lineRule="auto"/>
    </w:pPr>
  </w:style>
  <w:style w:type="character" w:styleId="BodyText2Char" w:customStyle="1">
    <w:name w:val="Body Text 2 Char"/>
    <w:basedOn w:val="DefaultParagraphFont"/>
    <w:rPr>
      <w:sz w:val="22"/>
      <w:szCs w:val="22"/>
      <w:lang w:eastAsia="en-US"/>
    </w:rPr>
  </w:style>
  <w:style w:type="character" w:styleId="GPSL2NumberedBoldHeadingChar" w:customStyle="1">
    <w:name w:val="GPS L2 Numbered Bold Heading Char"/>
    <w:rPr>
      <w:rFonts w:cs="Arial" w:eastAsia="Times New Roman"/>
      <w:b w:val="1"/>
      <w:sz w:val="22"/>
      <w:szCs w:val="22"/>
      <w:lang w:eastAsia="zh-CN"/>
    </w:rPr>
  </w:style>
  <w:style w:type="paragraph" w:styleId="GPSL2Indent" w:customStyle="1">
    <w:name w:val="GPS L2 Indent"/>
    <w:basedOn w:val="Normal"/>
    <w:pPr>
      <w:tabs>
        <w:tab w:val="left" w:pos="3402"/>
      </w:tabs>
      <w:suppressAutoHyphens w:val="0"/>
      <w:overflowPunct w:val="0"/>
      <w:autoSpaceDE w:val="0"/>
      <w:spacing w:after="220" w:line="240" w:lineRule="auto"/>
      <w:ind w:left="1134"/>
      <w:jc w:val="both"/>
    </w:pPr>
    <w:rPr>
      <w:rFonts w:cs="Arial" w:eastAsia="Times New Roman"/>
      <w:szCs w:val="24"/>
    </w:rPr>
  </w:style>
  <w:style w:type="paragraph" w:styleId="GPSL2Numbered" w:customStyle="1">
    <w:name w:val="GPS L2 Numbered"/>
    <w:basedOn w:val="GPSL2NumberedBoldHeading"/>
    <w:qFormat w:val="1"/>
    <w:pPr>
      <w:tabs>
        <w:tab w:val="left" w:pos="709"/>
      </w:tabs>
      <w:ind w:hanging="360"/>
    </w:pPr>
    <w:rPr>
      <w:b w:val="0"/>
    </w:rPr>
  </w:style>
  <w:style w:type="character" w:styleId="GPSL2NumberedChar" w:customStyle="1">
    <w:name w:val="GPS L2 Numbered Char"/>
    <w:rPr>
      <w:rFonts w:cs="Arial" w:eastAsia="Times New Roman"/>
      <w:sz w:val="22"/>
      <w:szCs w:val="22"/>
      <w:lang w:eastAsia="zh-CN"/>
    </w:rPr>
  </w:style>
  <w:style w:type="character" w:styleId="GPSL2IndentChar" w:customStyle="1">
    <w:name w:val="GPS L2 Indent Char"/>
    <w:rPr>
      <w:rFonts w:cs="Arial" w:eastAsia="Times New Roman"/>
      <w:sz w:val="22"/>
      <w:szCs w:val="24"/>
      <w:lang w:eastAsia="en-US"/>
    </w:rPr>
  </w:style>
  <w:style w:type="character" w:styleId="GPSL4numberedclauseChar" w:customStyle="1">
    <w:name w:val="GPS L4 numbered clause Char"/>
    <w:rPr>
      <w:rFonts w:cs="Arial" w:eastAsia="Times New Roman"/>
      <w:sz w:val="22"/>
      <w:lang w:eastAsia="zh-CN"/>
    </w:rPr>
  </w:style>
  <w:style w:type="paragraph" w:styleId="GPSL3Indent" w:customStyle="1">
    <w:name w:val="GPS L3 Indent"/>
    <w:basedOn w:val="Normal"/>
    <w:pPr>
      <w:tabs>
        <w:tab w:val="left" w:pos="2127"/>
      </w:tabs>
      <w:suppressAutoHyphens w:val="0"/>
      <w:spacing w:after="120" w:before="120" w:line="240" w:lineRule="auto"/>
      <w:ind w:left="2127"/>
      <w:jc w:val="both"/>
    </w:pPr>
    <w:rPr>
      <w:rFonts w:ascii="Arial" w:cs="Arial" w:eastAsia="Times New Roman" w:hAnsi="Arial"/>
      <w:lang w:eastAsia="zh-CN" w:val="en-US"/>
    </w:rPr>
  </w:style>
  <w:style w:type="character" w:styleId="GPSL3IndentChar" w:customStyle="1">
    <w:name w:val="GPS L3 Indent Char"/>
    <w:rPr>
      <w:rFonts w:ascii="Arial" w:cs="Arial" w:eastAsia="Times New Roman" w:hAnsi="Arial"/>
      <w:sz w:val="22"/>
      <w:szCs w:val="22"/>
      <w:lang w:eastAsia="zh-CN" w:val="en-US"/>
    </w:rPr>
  </w:style>
  <w:style w:type="character" w:styleId="GPSL5numberedclauseChar" w:customStyle="1">
    <w:name w:val="GPS L5 numbered clause Char"/>
    <w:rPr>
      <w:rFonts w:cs="Arial" w:eastAsia="Times New Roman"/>
      <w:sz w:val="22"/>
      <w:lang w:eastAsia="zh-CN"/>
    </w:rPr>
  </w:style>
  <w:style w:type="paragraph" w:styleId="Body3" w:customStyle="1">
    <w:name w:val="Body3"/>
    <w:basedOn w:val="Normal"/>
    <w:pPr>
      <w:suppressAutoHyphens w:val="0"/>
      <w:spacing w:after="220" w:line="240" w:lineRule="auto"/>
      <w:ind w:left="1412"/>
      <w:jc w:val="both"/>
    </w:pPr>
    <w:rPr>
      <w:rFonts w:ascii="Trebuchet MS" w:eastAsia="Times New Roman" w:hAnsi="Trebuchet MS"/>
      <w:sz w:val="20"/>
      <w:szCs w:val="20"/>
    </w:rPr>
  </w:style>
  <w:style w:type="paragraph" w:styleId="GPSDefinitionTerm" w:customStyle="1">
    <w:name w:val="GPS Definition Term"/>
    <w:basedOn w:val="Normal"/>
    <w:pPr>
      <w:suppressAutoHyphens w:val="0"/>
      <w:overflowPunct w:val="0"/>
      <w:autoSpaceDE w:val="0"/>
      <w:spacing w:after="120" w:line="240" w:lineRule="auto"/>
      <w:ind w:left="-108"/>
    </w:pPr>
    <w:rPr>
      <w:rFonts w:cs="Arial" w:eastAsia="Times New Roman"/>
      <w:b w:val="1"/>
    </w:rPr>
  </w:style>
  <w:style w:type="character" w:styleId="Heading7Char" w:customStyle="1">
    <w:name w:val="Heading 7 Char"/>
    <w:basedOn w:val="DefaultParagraphFont"/>
    <w:rPr>
      <w:rFonts w:ascii="Arial" w:eastAsia="Times New Roman" w:hAnsi="Arial"/>
      <w:sz w:val="22"/>
      <w:szCs w:val="22"/>
      <w:lang w:eastAsia="en-US"/>
    </w:rPr>
  </w:style>
  <w:style w:type="character" w:styleId="Heading8Char" w:customStyle="1">
    <w:name w:val="Heading 8 Char"/>
    <w:basedOn w:val="DefaultParagraphFont"/>
    <w:rPr>
      <w:rFonts w:ascii="Arial" w:eastAsia="Times New Roman" w:hAnsi="Arial"/>
      <w:sz w:val="22"/>
      <w:szCs w:val="22"/>
      <w:lang w:eastAsia="en-US"/>
    </w:rPr>
  </w:style>
  <w:style w:type="paragraph" w:styleId="GPSL4boldheading" w:customStyle="1">
    <w:name w:val="GPS L4 bold heading"/>
    <w:basedOn w:val="GPSL3numberedclause"/>
    <w:pPr>
      <w:numPr>
        <w:numId w:val="7"/>
      </w:numPr>
    </w:pPr>
    <w:rPr>
      <w:b w:val="1"/>
    </w:rPr>
  </w:style>
  <w:style w:type="character" w:styleId="GPSL4boldheadingChar" w:customStyle="1">
    <w:name w:val="GPS L4 bold heading Char"/>
    <w:rPr>
      <w:rFonts w:cs="Arial" w:eastAsia="Times New Roman"/>
      <w:b w:val="1"/>
      <w:sz w:val="22"/>
      <w:szCs w:val="22"/>
      <w:lang w:eastAsia="zh-CN"/>
    </w:rPr>
  </w:style>
  <w:style w:type="numbering" w:styleId="WWOutlineListStyle7" w:customStyle="1">
    <w:name w:val="WW_OutlineListStyle_7"/>
    <w:basedOn w:val="NoList"/>
  </w:style>
  <w:style w:type="numbering" w:styleId="WWOutlineListStyle6" w:customStyle="1">
    <w:name w:val="WW_OutlineListStyle_6"/>
    <w:basedOn w:val="NoList"/>
  </w:style>
  <w:style w:type="numbering" w:styleId="WWOutlineListStyle5" w:customStyle="1">
    <w:name w:val="WW_OutlineListStyle_5"/>
    <w:basedOn w:val="NoList"/>
  </w:style>
  <w:style w:type="numbering" w:styleId="WWOutlineListStyle4" w:customStyle="1">
    <w:name w:val="WW_OutlineListStyle_4"/>
    <w:basedOn w:val="NoList"/>
  </w:style>
  <w:style w:type="numbering" w:styleId="WWOutlineListStyle3" w:customStyle="1">
    <w:name w:val="WW_OutlineListStyle_3"/>
    <w:basedOn w:val="NoList"/>
  </w:style>
  <w:style w:type="numbering" w:styleId="WWOutlineListStyle2" w:customStyle="1">
    <w:name w:val="WW_OutlineListStyle_2"/>
    <w:basedOn w:val="NoList"/>
  </w:style>
  <w:style w:type="numbering" w:styleId="WWOutlineListStyle1" w:customStyle="1">
    <w:name w:val="WW_OutlineListStyle_1"/>
    <w:basedOn w:val="NoList"/>
  </w:style>
  <w:style w:type="numbering" w:styleId="WWOutlineListStyle" w:customStyle="1">
    <w:name w:val="WW_OutlineListStyle"/>
    <w:basedOn w:val="NoList"/>
  </w:style>
  <w:style w:type="numbering" w:styleId="LFO7" w:customStyle="1">
    <w:name w:val="LFO7"/>
    <w:basedOn w:val="NoList"/>
  </w:style>
  <w:style w:type="numbering" w:styleId="LFO9" w:customStyle="1">
    <w:name w:val="LFO9"/>
    <w:basedOn w:val="NoList"/>
  </w:style>
  <w:style w:type="numbering" w:styleId="LFO10" w:customStyle="1">
    <w:name w:val="LFO10"/>
    <w:basedOn w:val="NoList"/>
  </w:style>
  <w:style w:type="numbering" w:styleId="LFO12" w:customStyle="1">
    <w:name w:val="LFO12"/>
    <w:basedOn w:val="NoList"/>
  </w:style>
  <w:style w:type="numbering" w:styleId="LFO13" w:customStyle="1">
    <w:name w:val="LFO13"/>
    <w:basedOn w:val="NoList"/>
  </w:style>
  <w:style w:type="table" w:styleId="LightShading-Accent5">
    <w:name w:val="Light Shading Accent 5"/>
    <w:basedOn w:val="TableNormal"/>
    <w:uiPriority w:val="60"/>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TableGrid">
    <w:name w:val="Table Grid"/>
    <w:basedOn w:val="TableNormal"/>
    <w:uiPriority w:val="5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3-Accent51" w:customStyle="1">
    <w:name w:val="List Table 3 - Accent 51"/>
    <w:basedOn w:val="TableNormal"/>
    <w:uiPriority w:val="48"/>
    <w:tblPr>
      <w:tblStyleRowBandSize w:val="1"/>
      <w:tblStyleColBandSize w:val="1"/>
      <w:tblBorders>
        <w:top w:color="4bacc6" w:space="0" w:sz="4" w:themeColor="accent5" w:val="single"/>
        <w:left w:color="4bacc6" w:space="0" w:sz="4" w:themeColor="accent5" w:val="single"/>
        <w:bottom w:color="4bacc6" w:space="0" w:sz="4" w:themeColor="accent5" w:val="single"/>
        <w:right w:color="4bacc6" w:space="0" w:sz="4" w:themeColor="accent5" w:val="single"/>
      </w:tblBorders>
    </w:tblPr>
    <w:tblStylePr w:type="firstRow">
      <w:rPr>
        <w:b w:val="1"/>
        <w:bCs w:val="1"/>
        <w:color w:val="ffffff" w:themeColor="background1"/>
      </w:rPr>
      <w:tblPr/>
      <w:tcPr>
        <w:shd w:color="auto" w:fill="4bacc6" w:themeFill="accent5" w:val="clear"/>
      </w:tcPr>
    </w:tblStylePr>
    <w:tblStylePr w:type="lastRow">
      <w:rPr>
        <w:b w:val="1"/>
        <w:bCs w:val="1"/>
      </w:rPr>
      <w:tblPr/>
      <w:tcPr>
        <w:tcBorders>
          <w:top w:color="4bacc6"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bacc6" w:space="0" w:sz="4" w:themeColor="accent5" w:val="single"/>
          <w:right w:color="4bacc6" w:space="0" w:sz="4" w:themeColor="accent5" w:val="single"/>
        </w:tcBorders>
      </w:tcPr>
    </w:tblStylePr>
    <w:tblStylePr w:type="band1Horz">
      <w:tblPr/>
      <w:tcPr>
        <w:tcBorders>
          <w:top w:color="4bacc6" w:space="0" w:sz="4" w:themeColor="accent5" w:val="single"/>
          <w:bottom w:color="4bacc6"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bacc6" w:space="0" w:sz="4" w:themeColor="accent5" w:val="double"/>
          <w:left w:space="0" w:sz="0" w:val="nil"/>
        </w:tcBorders>
      </w:tcPr>
    </w:tblStylePr>
    <w:tblStylePr w:type="swCell">
      <w:tblPr/>
      <w:tcPr>
        <w:tcBorders>
          <w:top w:color="4bacc6" w:space="0" w:sz="4" w:themeColor="accent5" w:val="double"/>
          <w:right w:space="0" w:sz="0" w:val="nil"/>
        </w:tcBorders>
      </w:tcPr>
    </w:tblStylePr>
  </w:style>
  <w:style w:type="table" w:styleId="GridTable2-Accent51" w:customStyle="1">
    <w:name w:val="Grid Table 2 - Accent 51"/>
    <w:basedOn w:val="TableNormal"/>
    <w:uiPriority w:val="47"/>
    <w:tblPr>
      <w:tblStyleRowBandSize w:val="1"/>
      <w:tblStyleColBandSize w:val="1"/>
      <w:tblBorders>
        <w:top w:color="92cddc" w:space="0" w:sz="2" w:themeColor="accent5" w:themeTint="000099" w:val="single"/>
        <w:bottom w:color="92cddc" w:space="0" w:sz="2" w:themeColor="accent5" w:themeTint="000099" w:val="single"/>
        <w:insideH w:color="92cddc" w:space="0" w:sz="2" w:themeColor="accent5" w:themeTint="000099" w:val="single"/>
        <w:insideV w:color="92cddc" w:space="0" w:sz="2" w:themeColor="accent5" w:themeTint="000099" w:val="single"/>
      </w:tblBorders>
    </w:tblPr>
    <w:tblStylePr w:type="firstRow">
      <w:rPr>
        <w:b w:val="1"/>
        <w:bCs w:val="1"/>
      </w:rPr>
      <w:tblPr/>
      <w:tcPr>
        <w:tcBorders>
          <w:top w:space="0" w:sz="0" w:val="nil"/>
          <w:bottom w:color="92cddc"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92cddc"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table" w:styleId="GridTable2-Accent11" w:customStyle="1">
    <w:name w:val="Grid Table 2 - Accent 11"/>
    <w:basedOn w:val="TableNormal"/>
    <w:uiPriority w:val="47"/>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GridTable4-Accent11" w:customStyle="1">
    <w:name w:val="Grid Table 4 - Accent 11"/>
    <w:basedOn w:val="TableNormal"/>
    <w:uiPriority w:val="49"/>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GridTable6Colorful-Accent11" w:customStyle="1">
    <w:name w:val="Grid Table 6 Colorful - Accent 11"/>
    <w:basedOn w:val="TableNormal"/>
    <w:uiPriority w:val="51"/>
    <w:rPr>
      <w:color w:val="365f91" w:themeColor="accent1" w:themeShade="0000BF"/>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EndnoteText">
    <w:name w:val="endnote text"/>
    <w:basedOn w:val="Normal"/>
    <w:link w:val="EndnoteTextChar"/>
    <w:uiPriority w:val="99"/>
    <w:semiHidden w:val="1"/>
    <w:unhideWhenUsed w:val="1"/>
    <w:pPr>
      <w:spacing w:after="0" w:line="240" w:lineRule="auto"/>
    </w:pPr>
    <w:rPr>
      <w:sz w:val="20"/>
      <w:szCs w:val="20"/>
    </w:rPr>
  </w:style>
  <w:style w:type="character" w:styleId="EndnoteTextChar" w:customStyle="1">
    <w:name w:val="Endnote Text Char"/>
    <w:basedOn w:val="DefaultParagraphFont"/>
    <w:link w:val="EndnoteText"/>
    <w:uiPriority w:val="99"/>
    <w:semiHidden w:val="1"/>
    <w:rPr>
      <w:lang w:eastAsia="en-US"/>
    </w:rPr>
  </w:style>
  <w:style w:type="character" w:styleId="EndnoteReference">
    <w:name w:val="endnote reference"/>
    <w:basedOn w:val="DefaultParagraphFont"/>
    <w:uiPriority w:val="99"/>
    <w:semiHidden w:val="1"/>
    <w:unhideWhenUsed w:val="1"/>
    <w:rPr>
      <w:vertAlign w:val="superscript"/>
    </w:rPr>
  </w:style>
  <w:style w:type="table" w:styleId="LightList">
    <w:name w:val="Light List"/>
    <w:basedOn w:val="TableNormal"/>
    <w:uiPriority w:val="61"/>
    <w:rsid w:val="00AB5036"/>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character" w:styleId="Hyperlink">
    <w:name w:val="Hyperlink"/>
    <w:basedOn w:val="DefaultParagraphFont"/>
    <w:uiPriority w:val="99"/>
    <w:unhideWhenUsed w:val="1"/>
    <w:rsid w:val="00D40441"/>
    <w:rPr>
      <w:color w:val="0000ff"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color w:val="366091"/>
    </w:rPr>
    <w:tblPr>
      <w:tblStyleRowBandSize w:val="1"/>
      <w:tblStyleColBandSize w:val="1"/>
    </w:tblPr>
    <w:tblStylePr w:type="firstRow">
      <w:pPr>
        <w:spacing w:after="0" w:before="0" w:line="240" w:lineRule="auto"/>
      </w:pPr>
      <w:rPr>
        <w:b w:val="1"/>
        <w:color w:val="ffffff"/>
      </w:rPr>
      <w:tblPr/>
      <w:tcPr>
        <w:shd w:color="auto" w:fill="000000" w:val="clear"/>
      </w:tcPr>
    </w:tblStylePr>
    <w:tblStylePr w:type="lastRow">
      <w:pPr>
        <w:spacing w:after="0" w:before="0" w:line="240" w:lineRule="auto"/>
      </w:pPr>
      <w:rPr>
        <w:b w:val="1"/>
      </w:rPr>
      <w:tblPr/>
      <w:tcPr>
        <w:tcBorders>
          <w:top w:color="000000" w:space="0" w:sz="6" w:val="single"/>
          <w:left w:color="000000" w:space="0" w:sz="8" w:val="single"/>
          <w:bottom w:color="000000" w:space="0" w:sz="8" w:val="single"/>
          <w:right w:color="000000" w:space="0" w:sz="8" w:val="single"/>
        </w:tcBorders>
      </w:tcPr>
    </w:tblStylePr>
    <w:tblStylePr w:type="firstCol">
      <w:rPr>
        <w:b w:val="1"/>
      </w:rPr>
    </w:tblStylePr>
    <w:tblStylePr w:type="lastCol">
      <w:rPr>
        <w:b w:val="1"/>
      </w:rPr>
    </w:tblStylePr>
    <w:tblStylePr w:type="band1Vert">
      <w:tblPr/>
      <w:tcPr>
        <w:tcBorders>
          <w:top w:color="000000" w:space="0" w:sz="8" w:val="single"/>
          <w:left w:color="000000" w:space="0" w:sz="8" w:val="single"/>
          <w:bottom w:color="000000" w:space="0" w:sz="8" w:val="single"/>
          <w:right w:color="000000" w:space="0" w:sz="8" w:val="single"/>
        </w:tcBorders>
      </w:tcPr>
    </w:tblStylePr>
    <w:tblStylePr w:type="band1Horz">
      <w:tblPr/>
      <w:tcPr>
        <w:tcBorders>
          <w:top w:color="000000" w:space="0" w:sz="8" w:val="single"/>
          <w:left w:color="000000" w:space="0" w:sz="8" w:val="single"/>
          <w:bottom w:color="000000" w:space="0" w:sz="8" w:val="single"/>
          <w:right w:color="000000" w:space="0" w:sz="8" w:val="single"/>
        </w:tcBorders>
      </w:tcPr>
    </w:tblStylePr>
  </w:style>
  <w:style w:type="table" w:styleId="a0" w:customStyle="1">
    <w:basedOn w:val="TableNormal"/>
    <w:rPr>
      <w:color w:val="366091"/>
    </w:rPr>
    <w:tblPr>
      <w:tblStyleRowBandSize w:val="1"/>
      <w:tblStyleColBandSize w:val="1"/>
    </w:tblPr>
  </w:style>
  <w:style w:type="table" w:styleId="a1" w:customStyle="1">
    <w:basedOn w:val="TableNormal"/>
    <w:rPr>
      <w:color w:val="366091"/>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BodyTextIndent">
    <w:name w:val="Body Text Indent"/>
    <w:basedOn w:val="Normal"/>
    <w:link w:val="BodyTextIndentChar"/>
    <w:uiPriority w:val="99"/>
    <w:semiHidden w:val="1"/>
    <w:unhideWhenUsed w:val="1"/>
    <w:rsid w:val="00153488"/>
    <w:pPr>
      <w:spacing w:after="120"/>
      <w:ind w:left="283"/>
    </w:pPr>
  </w:style>
  <w:style w:type="character" w:styleId="BodyTextIndentChar" w:customStyle="1">
    <w:name w:val="Body Text Indent Char"/>
    <w:basedOn w:val="DefaultParagraphFont"/>
    <w:link w:val="BodyTextIndent"/>
    <w:uiPriority w:val="99"/>
    <w:semiHidden w:val="1"/>
    <w:rsid w:val="00153488"/>
  </w:style>
  <w:style w:type="character" w:styleId="Heading3Char" w:customStyle="1">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0F0E86"/>
    <w:rPr>
      <w:b w:val="1"/>
      <w:sz w:val="28"/>
      <w:szCs w:val="28"/>
    </w:rPr>
  </w:style>
  <w:style w:type="character" w:styleId="UnresolvedMention1" w:customStyle="1">
    <w:name w:val="Unresolved Mention1"/>
    <w:basedOn w:val="DefaultParagraphFont"/>
    <w:uiPriority w:val="99"/>
    <w:semiHidden w:val="1"/>
    <w:unhideWhenUsed w:val="1"/>
    <w:rsid w:val="00342132"/>
    <w:rPr>
      <w:color w:val="605e5c"/>
      <w:shd w:color="auto" w:fill="e1dfdd" w:val="clear"/>
    </w:rPr>
  </w:style>
  <w:style w:type="character" w:styleId="UnresolvedMention2" w:customStyle="1">
    <w:name w:val="Unresolved Mention2"/>
    <w:basedOn w:val="DefaultParagraphFont"/>
    <w:uiPriority w:val="99"/>
    <w:semiHidden w:val="1"/>
    <w:unhideWhenUsed w:val="1"/>
    <w:rsid w:val="007D6F0C"/>
    <w:rPr>
      <w:color w:val="605e5c"/>
      <w:shd w:color="auto" w:fill="e1dfdd" w:val="clear"/>
    </w:rPr>
  </w:style>
  <w:style w:type="table" w:styleId="a2" w:customStyle="1">
    <w:basedOn w:val="TableNormal"/>
    <w:rPr>
      <w:color w:val="366091"/>
    </w:rPr>
    <w:tblPr>
      <w:tblStyleRowBandSize w:val="1"/>
      <w:tblStyleColBandSize w:val="1"/>
    </w:tblPr>
    <w:tblStylePr w:type="firstRow">
      <w:pPr>
        <w:spacing w:after="0" w:before="0" w:line="240" w:lineRule="auto"/>
      </w:pPr>
      <w:rPr>
        <w:b w:val="1"/>
        <w:color w:val="ffffff"/>
      </w:rPr>
      <w:tblPr/>
      <w:tcPr>
        <w:shd w:color="auto" w:fill="000000" w:val="clear"/>
      </w:tcPr>
    </w:tblStylePr>
    <w:tblStylePr w:type="lastRow">
      <w:pPr>
        <w:spacing w:after="0" w:before="0" w:line="240" w:lineRule="auto"/>
      </w:pPr>
      <w:rPr>
        <w:b w:val="1"/>
      </w:rPr>
      <w:tblPr/>
      <w:tcPr>
        <w:tcBorders>
          <w:top w:color="000000" w:space="0" w:sz="6" w:val="single"/>
          <w:left w:color="000000" w:space="0" w:sz="8" w:val="single"/>
          <w:bottom w:color="000000" w:space="0" w:sz="8" w:val="single"/>
          <w:right w:color="000000" w:space="0" w:sz="8" w:val="single"/>
        </w:tcBorders>
      </w:tcPr>
    </w:tblStylePr>
    <w:tblStylePr w:type="firstCol">
      <w:rPr>
        <w:b w:val="1"/>
      </w:rPr>
    </w:tblStylePr>
    <w:tblStylePr w:type="lastCol">
      <w:rPr>
        <w:b w:val="1"/>
      </w:rPr>
    </w:tblStylePr>
    <w:tblStylePr w:type="band1Vert">
      <w:tblPr/>
      <w:tcPr>
        <w:tcBorders>
          <w:top w:color="000000" w:space="0" w:sz="8" w:val="single"/>
          <w:left w:color="000000" w:space="0" w:sz="8" w:val="single"/>
          <w:bottom w:color="000000" w:space="0" w:sz="8" w:val="single"/>
          <w:right w:color="000000" w:space="0" w:sz="8" w:val="single"/>
        </w:tcBorders>
      </w:tcPr>
    </w:tblStylePr>
    <w:tblStylePr w:type="band1Horz">
      <w:tblPr/>
      <w:tcPr>
        <w:tcBorders>
          <w:top w:color="000000" w:space="0" w:sz="8" w:val="single"/>
          <w:left w:color="000000" w:space="0" w:sz="8" w:val="single"/>
          <w:bottom w:color="000000" w:space="0" w:sz="8" w:val="single"/>
          <w:right w:color="000000" w:space="0" w:sz="8" w:val="single"/>
        </w:tcBorders>
      </w:tcPr>
    </w:tblStylePr>
  </w:style>
  <w:style w:type="table" w:styleId="a3" w:customStyle="1">
    <w:basedOn w:val="TableNormal"/>
    <w:rPr>
      <w:color w:val="366091"/>
    </w:rPr>
    <w:tblPr>
      <w:tblStyleRowBandSize w:val="1"/>
      <w:tblStyleColBandSize w:val="1"/>
    </w:tblPr>
  </w:style>
  <w:style w:type="table" w:styleId="a4" w:customStyle="1">
    <w:basedOn w:val="TableNormal"/>
    <w:rPr>
      <w:color w:val="366091"/>
    </w:rPr>
    <w:tblPr>
      <w:tblStyleRowBandSize w:val="1"/>
      <w:tblStyleColBandSize w:val="1"/>
    </w:tblPr>
    <w:tblStylePr w:type="firstRow">
      <w:rPr>
        <w:b w:val="1"/>
      </w:rPr>
      <w:tblPr/>
      <w:tcPr>
        <w:tcBorders>
          <w:top w:space="0" w:sz="0" w:val="nil"/>
          <w:bottom w:color="95b3d7" w:space="0" w:sz="12" w:val="single"/>
          <w:insideH w:space="0" w:sz="0" w:val="nil"/>
          <w:insideV w:space="0" w:sz="0" w:val="nil"/>
        </w:tcBorders>
        <w:shd w:color="auto" w:fill="ffffff" w:val="clear"/>
      </w:tcPr>
    </w:tblStylePr>
    <w:tblStylePr w:type="lastRow">
      <w:rPr>
        <w:b w:val="1"/>
      </w:rPr>
      <w:tblPr/>
      <w:tcPr>
        <w:tcBorders>
          <w:top w:color="95b3d7" w:space="0" w:sz="4" w:val="single"/>
          <w:bottom w:space="0" w:sz="0" w:val="nil"/>
          <w:insideH w:space="0" w:sz="0" w:val="nil"/>
          <w:insideV w:space="0" w:sz="0" w:val="nil"/>
        </w:tcBorders>
        <w:shd w:color="auto" w:fill="ffffff" w:val="clear"/>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366091"/>
    </w:rPr>
    <w:tblPr>
      <w:tblStyleRowBandSize w:val="1"/>
      <w:tblStyleColBandSize w:val="1"/>
      <w:tblCellMar>
        <w:top w:w="0.0" w:type="dxa"/>
        <w:left w:w="108.0" w:type="dxa"/>
        <w:bottom w:w="0.0" w:type="dxa"/>
        <w:right w:w="108.0" w:type="dxa"/>
      </w:tblCellMar>
    </w:tblPr>
    <w:tblStylePr w:type="band1Horz">
      <w:tcPr>
        <w:tcBorders>
          <w:top w:color="000000" w:space="0" w:sz="8" w:val="single"/>
          <w:left w:color="000000" w:space="0" w:sz="8" w:val="single"/>
          <w:bottom w:color="000000" w:space="0" w:sz="8" w:val="single"/>
          <w:right w:color="000000" w:space="0" w:sz="8" w:val="single"/>
        </w:tcBorders>
      </w:tcPr>
    </w:tblStylePr>
    <w:tblStylePr w:type="band1Vert">
      <w:tcPr>
        <w:tcBorders>
          <w:top w:color="000000" w:space="0" w:sz="8" w:val="single"/>
          <w:left w:color="000000" w:space="0" w:sz="8" w:val="single"/>
          <w:bottom w:color="000000" w:space="0" w:sz="8" w:val="single"/>
          <w:right w:color="000000" w:space="0" w:sz="8" w:val="single"/>
        </w:tcBorders>
      </w:tcPr>
    </w:tblStylePr>
    <w:tblStylePr w:type="firstCol">
      <w:rPr>
        <w:b w:val="1"/>
      </w:rPr>
    </w:tblStylePr>
    <w:tblStylePr w:type="firstRow">
      <w:pPr>
        <w:spacing w:after="0" w:before="0" w:line="240" w:lineRule="auto"/>
      </w:pPr>
      <w:rPr>
        <w:b w:val="1"/>
        <w:color w:val="ffffff"/>
      </w:rPr>
      <w:tcPr>
        <w:shd w:fill="000000" w:val="clear"/>
      </w:tcPr>
    </w:tblStylePr>
    <w:tblStylePr w:type="lastCol">
      <w:rPr>
        <w:b w:val="1"/>
      </w:rPr>
    </w:tblStylePr>
    <w:tblStylePr w:type="lastRow">
      <w:pPr>
        <w:spacing w:after="0" w:before="0" w:line="240" w:lineRule="auto"/>
      </w:pPr>
      <w:rPr>
        <w:b w:val="1"/>
      </w:rPr>
      <w:tcPr>
        <w:tcBorders>
          <w:top w:color="000000" w:space="0" w:sz="6" w:val="single"/>
          <w:left w:color="000000" w:space="0" w:sz="8" w:val="single"/>
          <w:bottom w:color="000000" w:space="0" w:sz="8" w:val="single"/>
          <w:right w:color="000000" w:space="0" w:sz="8" w:val="single"/>
        </w:tcBorders>
      </w:tcPr>
    </w:tblStylePr>
  </w:style>
  <w:style w:type="table" w:styleId="Table2">
    <w:basedOn w:val="TableNormal"/>
    <w:rPr>
      <w:color w:val="366091"/>
    </w:rPr>
    <w:tblPr>
      <w:tblStyleRowBandSize w:val="1"/>
      <w:tblStyleColBandSize w:val="1"/>
      <w:tblCellMar>
        <w:top w:w="0.0" w:type="dxa"/>
        <w:left w:w="108.0" w:type="dxa"/>
        <w:bottom w:w="0.0" w:type="dxa"/>
        <w:right w:w="108.0" w:type="dxa"/>
      </w:tblCellMar>
    </w:tblPr>
  </w:style>
  <w:style w:type="table" w:styleId="Table3">
    <w:basedOn w:val="TableNormal"/>
    <w:rPr>
      <w:color w:val="366091"/>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top w:color="000000" w:space="0" w:sz="0" w:val="nil"/>
          <w:bottom w:color="95b3d7"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5b3d7"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TKGfUg7SouaeKonZWsMSzEiCTA==">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2023-07-27T03:51:00Z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ce4e89e0-9a44-4f1b-8c7e-ab46bbe2769c</vt:lpwstr>
  </property>
</Properties>
</file>