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421"/>
        <w:gridCol w:w="4366"/>
      </w:tblGrid>
      <w:tr w:rsidR="00ED67E0" w14:paraId="37DAD45A" w14:textId="77777777" w:rsidTr="61C65586">
        <w:tc>
          <w:tcPr>
            <w:tcW w:w="4421" w:type="dxa"/>
          </w:tcPr>
          <w:p w14:paraId="37DAD458" w14:textId="77777777" w:rsidR="00ED67E0" w:rsidRDefault="00ED67E0" w:rsidP="000419AD">
            <w:pPr>
              <w:pStyle w:val="Header"/>
              <w:tabs>
                <w:tab w:val="clear" w:pos="4153"/>
                <w:tab w:val="clear" w:pos="8306"/>
                <w:tab w:val="left" w:pos="1185"/>
              </w:tabs>
            </w:pPr>
            <w:r>
              <w:tab/>
            </w:r>
          </w:p>
        </w:tc>
        <w:tc>
          <w:tcPr>
            <w:tcW w:w="4366" w:type="dxa"/>
          </w:tcPr>
          <w:p w14:paraId="37DAD459" w14:textId="77777777" w:rsidR="00ED67E0" w:rsidRDefault="00ED67E0" w:rsidP="000419AD">
            <w:pPr>
              <w:pStyle w:val="Header"/>
              <w:jc w:val="right"/>
            </w:pPr>
          </w:p>
        </w:tc>
      </w:tr>
      <w:tr w:rsidR="00ED67E0" w:rsidRPr="002465E9" w14:paraId="37DAD45D" w14:textId="77777777" w:rsidTr="61C65586">
        <w:tc>
          <w:tcPr>
            <w:tcW w:w="4421" w:type="dxa"/>
          </w:tcPr>
          <w:p w14:paraId="37DAD45B" w14:textId="77777777" w:rsidR="00ED67E0" w:rsidRDefault="00ED67E0" w:rsidP="000419AD">
            <w:pPr>
              <w:pStyle w:val="Header"/>
            </w:pPr>
            <w:r>
              <w:rPr>
                <w:noProof/>
                <w:lang w:eastAsia="en-GB"/>
              </w:rPr>
              <w:drawing>
                <wp:inline distT="0" distB="0" distL="0" distR="0" wp14:anchorId="37DAD5A5" wp14:editId="37DAD5A6">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37DAD45C" w14:textId="77777777" w:rsidR="00ED67E0" w:rsidRDefault="000D51DE" w:rsidP="000419AD">
            <w:pPr>
              <w:pStyle w:val="Header"/>
              <w:jc w:val="right"/>
            </w:pPr>
            <w:r>
              <w:rPr>
                <w:noProof/>
                <w:lang w:eastAsia="en-GB"/>
              </w:rPr>
              <w:drawing>
                <wp:inline distT="0" distB="0" distL="0" distR="0" wp14:anchorId="37DAD5A7" wp14:editId="37DAD5A8">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37DAD460" w14:textId="77777777" w:rsidTr="61C65586">
        <w:tc>
          <w:tcPr>
            <w:tcW w:w="4421" w:type="dxa"/>
          </w:tcPr>
          <w:p w14:paraId="37DAD45E" w14:textId="77777777" w:rsidR="008441FE" w:rsidRDefault="008441FE" w:rsidP="000419AD">
            <w:pPr>
              <w:pStyle w:val="Header"/>
              <w:rPr>
                <w:noProof/>
                <w:lang w:eastAsia="en-GB"/>
              </w:rPr>
            </w:pPr>
          </w:p>
        </w:tc>
        <w:tc>
          <w:tcPr>
            <w:tcW w:w="4366" w:type="dxa"/>
          </w:tcPr>
          <w:p w14:paraId="37DAD45F" w14:textId="77777777" w:rsidR="008441FE" w:rsidRDefault="008441FE" w:rsidP="000419AD">
            <w:pPr>
              <w:pStyle w:val="Header"/>
              <w:jc w:val="right"/>
              <w:rPr>
                <w:noProof/>
                <w:lang w:eastAsia="en-GB"/>
              </w:rPr>
            </w:pPr>
          </w:p>
        </w:tc>
      </w:tr>
    </w:tbl>
    <w:p w14:paraId="37DAD461" w14:textId="77777777" w:rsidR="0015011A" w:rsidRDefault="0015011A" w:rsidP="0015011A"/>
    <w:tbl>
      <w:tblPr>
        <w:tblStyle w:val="TableGrid"/>
        <w:tblW w:w="5000" w:type="pct"/>
        <w:tblCellMar>
          <w:right w:w="170" w:type="dxa"/>
        </w:tblCellMar>
        <w:tblLook w:val="04A0" w:firstRow="1" w:lastRow="0" w:firstColumn="1" w:lastColumn="0" w:noHBand="0" w:noVBand="1"/>
      </w:tblPr>
      <w:tblGrid>
        <w:gridCol w:w="8777"/>
      </w:tblGrid>
      <w:tr w:rsidR="00967429" w:rsidRPr="00EF4406" w14:paraId="37DAD466" w14:textId="77777777" w:rsidTr="00A0F983">
        <w:trPr>
          <w:trHeight w:val="597"/>
        </w:trPr>
        <w:tc>
          <w:tcPr>
            <w:tcW w:w="5000" w:type="pct"/>
          </w:tcPr>
          <w:p w14:paraId="37DAD462" w14:textId="77777777" w:rsidR="00C107CE" w:rsidRPr="009145E2" w:rsidRDefault="00A0F983" w:rsidP="00A524B5">
            <w:pPr>
              <w:pStyle w:val="BodyText"/>
              <w:tabs>
                <w:tab w:val="num" w:pos="1134"/>
              </w:tabs>
              <w:spacing w:after="0"/>
              <w:jc w:val="both"/>
              <w:rPr>
                <w:rFonts w:ascii="Arial" w:hAnsi="Arial" w:cs="Arial"/>
                <w:b/>
              </w:rPr>
            </w:pPr>
            <w:r w:rsidRPr="00A0F983">
              <w:rPr>
                <w:rFonts w:ascii="Arial" w:eastAsia="Arial" w:hAnsi="Arial" w:cs="Arial"/>
                <w:b/>
                <w:bCs/>
              </w:rPr>
              <w:t>Official-Sensitive</w:t>
            </w:r>
          </w:p>
          <w:p w14:paraId="37DAD463" w14:textId="77777777" w:rsidR="007654E6" w:rsidRPr="009145E2" w:rsidRDefault="00A0F983" w:rsidP="00A524B5">
            <w:pPr>
              <w:pStyle w:val="BodyText"/>
              <w:tabs>
                <w:tab w:val="num" w:pos="1134"/>
              </w:tabs>
              <w:spacing w:after="0"/>
              <w:jc w:val="both"/>
              <w:rPr>
                <w:rFonts w:ascii="Arial" w:hAnsi="Arial" w:cs="Arial"/>
                <w:b/>
              </w:rPr>
            </w:pPr>
            <w:r w:rsidRPr="00A0F983">
              <w:rPr>
                <w:rFonts w:ascii="Arial" w:eastAsia="Arial" w:hAnsi="Arial" w:cs="Arial"/>
                <w:b/>
                <w:bCs/>
              </w:rPr>
              <w:t>EUROPEAN SOCIAL FUND COMMUNITY GRANTS – MANAGING AGENT SPECIFICATION for:</w:t>
            </w:r>
          </w:p>
          <w:p w14:paraId="37DAD464" w14:textId="77777777" w:rsidR="00967429" w:rsidRPr="009145E2" w:rsidRDefault="00A0F983" w:rsidP="00A524B5">
            <w:pPr>
              <w:pStyle w:val="BodyText"/>
              <w:tabs>
                <w:tab w:val="num" w:pos="1134"/>
              </w:tabs>
              <w:spacing w:after="0"/>
              <w:jc w:val="both"/>
              <w:rPr>
                <w:rFonts w:ascii="Arial" w:hAnsi="Arial" w:cs="Arial"/>
                <w:b/>
              </w:rPr>
            </w:pPr>
            <w:r w:rsidRPr="00A0F983">
              <w:rPr>
                <w:rFonts w:ascii="Arial" w:eastAsia="Arial" w:hAnsi="Arial" w:cs="Arial"/>
                <w:b/>
                <w:bCs/>
              </w:rPr>
              <w:t>Oxfordshire LEP</w:t>
            </w:r>
          </w:p>
          <w:p w14:paraId="37DAD465" w14:textId="6F2D78A6" w:rsidR="00B87B7F" w:rsidRPr="00200BC6" w:rsidRDefault="00A0F983" w:rsidP="00A524B5">
            <w:pPr>
              <w:pStyle w:val="BodyText"/>
              <w:tabs>
                <w:tab w:val="num" w:pos="1134"/>
              </w:tabs>
              <w:spacing w:after="0"/>
              <w:jc w:val="both"/>
              <w:rPr>
                <w:rFonts w:ascii="Arial" w:hAnsi="Arial" w:cs="Arial"/>
                <w:b/>
                <w:color w:val="FF0000"/>
              </w:rPr>
            </w:pPr>
            <w:r w:rsidRPr="00A0F983">
              <w:rPr>
                <w:rFonts w:ascii="Arial" w:eastAsia="Arial" w:hAnsi="Arial" w:cs="Arial"/>
                <w:b/>
                <w:bCs/>
              </w:rPr>
              <w:t>ITT_29833-27-002-01</w:t>
            </w:r>
          </w:p>
        </w:tc>
      </w:tr>
      <w:tr w:rsidR="00967429" w14:paraId="37DAD468" w14:textId="77777777" w:rsidTr="00A0F983">
        <w:trPr>
          <w:trHeight w:val="567"/>
        </w:trPr>
        <w:tc>
          <w:tcPr>
            <w:tcW w:w="5000" w:type="pct"/>
            <w:shd w:val="clear" w:color="auto" w:fill="D9D9D9" w:themeFill="background1" w:themeFillShade="D9"/>
            <w:vAlign w:val="center"/>
          </w:tcPr>
          <w:p w14:paraId="37DAD467" w14:textId="77777777" w:rsidR="00967429" w:rsidRPr="00FD3B0A" w:rsidRDefault="00A0F983" w:rsidP="00FD3B0A">
            <w:pPr>
              <w:pStyle w:val="SpecificationHeading"/>
            </w:pPr>
            <w:r>
              <w:t>BACKGROUND</w:t>
            </w:r>
          </w:p>
        </w:tc>
      </w:tr>
      <w:tr w:rsidR="00967429" w:rsidRPr="00EF4406" w14:paraId="37DAD4C4" w14:textId="77777777" w:rsidTr="00A0F983">
        <w:tc>
          <w:tcPr>
            <w:tcW w:w="5000" w:type="pct"/>
          </w:tcPr>
          <w:p w14:paraId="37DAD469" w14:textId="77777777" w:rsidR="00B24D65" w:rsidRPr="004E3BCB" w:rsidRDefault="00B24D65" w:rsidP="00AC03C0">
            <w:pPr>
              <w:tabs>
                <w:tab w:val="num" w:pos="900"/>
              </w:tabs>
              <w:autoSpaceDE w:val="0"/>
              <w:autoSpaceDN w:val="0"/>
              <w:adjustRightInd w:val="0"/>
              <w:ind w:right="282"/>
              <w:rPr>
                <w:rFonts w:cs="Arial"/>
                <w:b/>
              </w:rPr>
            </w:pPr>
          </w:p>
          <w:p w14:paraId="37DAD46A" w14:textId="77777777" w:rsidR="001F0385" w:rsidRPr="004E3BCB" w:rsidRDefault="00A0F983" w:rsidP="00AC03C0">
            <w:pPr>
              <w:tabs>
                <w:tab w:val="num" w:pos="900"/>
              </w:tabs>
              <w:autoSpaceDE w:val="0"/>
              <w:autoSpaceDN w:val="0"/>
              <w:adjustRightInd w:val="0"/>
              <w:ind w:right="282"/>
              <w:rPr>
                <w:rFonts w:cs="Arial"/>
                <w:b/>
              </w:rPr>
            </w:pPr>
            <w:r w:rsidRPr="00A0F983">
              <w:rPr>
                <w:rFonts w:eastAsia="Arial" w:cs="Arial"/>
                <w:b/>
                <w:bCs/>
              </w:rPr>
              <w:t>General</w:t>
            </w:r>
          </w:p>
          <w:p w14:paraId="37DAD46B" w14:textId="77777777" w:rsidR="002833D9" w:rsidRPr="004E3BCB" w:rsidRDefault="002833D9" w:rsidP="00AC03C0">
            <w:pPr>
              <w:tabs>
                <w:tab w:val="num" w:pos="900"/>
              </w:tabs>
              <w:autoSpaceDE w:val="0"/>
              <w:autoSpaceDN w:val="0"/>
              <w:adjustRightInd w:val="0"/>
              <w:ind w:right="282"/>
              <w:rPr>
                <w:rFonts w:cs="Arial"/>
                <w:b/>
              </w:rPr>
            </w:pPr>
          </w:p>
          <w:p w14:paraId="37DAD46C" w14:textId="77777777" w:rsidR="00B24D65" w:rsidRPr="004E3BCB" w:rsidRDefault="00A0F983" w:rsidP="00AC03C0">
            <w:pPr>
              <w:tabs>
                <w:tab w:val="num" w:pos="900"/>
                <w:tab w:val="left" w:pos="10093"/>
              </w:tabs>
              <w:autoSpaceDE w:val="0"/>
              <w:autoSpaceDN w:val="0"/>
              <w:adjustRightInd w:val="0"/>
              <w:ind w:right="282"/>
              <w:rPr>
                <w:rFonts w:cs="Arial"/>
              </w:rPr>
            </w:pPr>
            <w:r w:rsidRPr="00A0F983">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37DAD46E" w14:textId="77777777" w:rsidR="002833D9" w:rsidRPr="004E3BCB" w:rsidRDefault="002833D9" w:rsidP="00AC03C0">
            <w:pPr>
              <w:ind w:right="282"/>
              <w:rPr>
                <w:rFonts w:cs="Arial"/>
              </w:rPr>
            </w:pPr>
          </w:p>
          <w:p w14:paraId="37DAD46F" w14:textId="77777777" w:rsidR="00FA04FF" w:rsidRPr="004E3BCB" w:rsidRDefault="00A0F983" w:rsidP="00AC03C0">
            <w:pPr>
              <w:ind w:right="282"/>
              <w:rPr>
                <w:rFonts w:cs="Arial"/>
              </w:rPr>
            </w:pPr>
            <w:r w:rsidRPr="00A0F983">
              <w:rPr>
                <w:rFonts w:eastAsia="Arial" w:cs="Arial"/>
              </w:rPr>
              <w:t>The Services to be procured by the SFA is the management and running of a community grant programme funded by ESF referred to in this specification as a Managing Agent.</w:t>
            </w:r>
          </w:p>
          <w:p w14:paraId="37DAD470" w14:textId="77777777" w:rsidR="00FA04FF" w:rsidRPr="004E3BCB" w:rsidRDefault="00FA04FF" w:rsidP="00AC03C0">
            <w:pPr>
              <w:ind w:right="282"/>
              <w:rPr>
                <w:rFonts w:cs="Arial"/>
              </w:rPr>
            </w:pPr>
          </w:p>
          <w:p w14:paraId="37DAD471" w14:textId="77777777" w:rsidR="00FA04FF" w:rsidRPr="004E3BCB" w:rsidRDefault="00A0F983" w:rsidP="00AC03C0">
            <w:pPr>
              <w:ind w:right="282"/>
            </w:pPr>
            <w:r>
              <w:t>The SFA wishes to make ESF Community Grants available in the form of small grants to appropriate third sector and other small organisations that would not otherwise be able to access ESF for the purpose of mobilising disadvantaged or excluded unemployed and inactive people to facilitate their progress towards employment. Grants will support a range of activities aimed at assisting the disadvantaged or excluded to move closer to the labour market by improving their access to mainstream ESF and domestic employment and skills provision.</w:t>
            </w:r>
          </w:p>
          <w:p w14:paraId="37DAD472" w14:textId="77777777" w:rsidR="00FA04FF" w:rsidRPr="004E3BCB" w:rsidRDefault="00FA04FF" w:rsidP="00AC03C0">
            <w:pPr>
              <w:ind w:right="282"/>
              <w:rPr>
                <w:rFonts w:cs="Arial"/>
              </w:rPr>
            </w:pPr>
          </w:p>
          <w:p w14:paraId="37DAD473" w14:textId="6FBCC43E" w:rsidR="00FA04FF" w:rsidRPr="004E3BCB" w:rsidRDefault="00A0F983" w:rsidP="00AC03C0">
            <w:pPr>
              <w:ind w:right="282"/>
              <w:rPr>
                <w:rFonts w:cs="Arial"/>
              </w:rPr>
            </w:pPr>
            <w:r w:rsidRPr="00A0F983">
              <w:rPr>
                <w:rFonts w:eastAsia="Arial" w:cs="Arial"/>
              </w:rPr>
              <w:t>The Grant award process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w:t>
            </w:r>
          </w:p>
          <w:p w14:paraId="37DAD474" w14:textId="77777777" w:rsidR="008A4DF1" w:rsidRPr="004E3BCB" w:rsidRDefault="008A4DF1" w:rsidP="00AC03C0">
            <w:pPr>
              <w:ind w:right="282"/>
              <w:rPr>
                <w:rFonts w:cs="Arial"/>
              </w:rPr>
            </w:pPr>
          </w:p>
          <w:p w14:paraId="37DAD475" w14:textId="77777777" w:rsidR="008A4DF1" w:rsidRPr="004E3BCB" w:rsidRDefault="00A0F983" w:rsidP="008A4DF1">
            <w:pPr>
              <w:rPr>
                <w:rFonts w:cs="Arial"/>
              </w:rPr>
            </w:pPr>
            <w:r w:rsidRPr="00A0F983">
              <w:rPr>
                <w:rFonts w:eastAsia="Arial" w:cs="Arial"/>
                <w:lang w:eastAsia="en-GB"/>
              </w:rPr>
              <w:lastRenderedPageBreak/>
              <w:t>Grants will provide support to the hardest to reach communities and individuals, especially those from deprived communities, to access employment or further learning and training. Small third sector organisations that access grants are likely to be well placed to reach excluded individuals facing barriers, which hinder their access to mainstream provision.</w:t>
            </w:r>
          </w:p>
          <w:p w14:paraId="37DAD476" w14:textId="77777777" w:rsidR="008A4DF1" w:rsidRPr="004E3BCB" w:rsidRDefault="008A4DF1" w:rsidP="008A4DF1">
            <w:pPr>
              <w:rPr>
                <w:rFonts w:cs="Arial"/>
              </w:rPr>
            </w:pPr>
          </w:p>
          <w:p w14:paraId="37DAD477" w14:textId="6209E758" w:rsidR="008A4DF1" w:rsidRPr="004E3BCB" w:rsidRDefault="00A0F983" w:rsidP="008A4DF1">
            <w:pPr>
              <w:autoSpaceDE w:val="0"/>
              <w:autoSpaceDN w:val="0"/>
              <w:adjustRightInd w:val="0"/>
              <w:rPr>
                <w:rFonts w:cs="Arial"/>
                <w:lang w:eastAsia="en-GB"/>
              </w:rPr>
            </w:pPr>
            <w:r w:rsidRPr="00A0F983">
              <w:rPr>
                <w:rFonts w:eastAsia="Arial" w:cs="Arial"/>
                <w:lang w:eastAsia="en-GB"/>
              </w:rPr>
              <w:t>The SFA will make payment to the Managing Agent on the production of evidence that grants have been paid.  Payments are made a month in arrears.  So, for example, grants paid in July up to 31</w:t>
            </w:r>
            <w:r w:rsidRPr="00A0F983">
              <w:rPr>
                <w:rFonts w:eastAsia="Arial" w:cs="Arial"/>
                <w:vertAlign w:val="superscript"/>
                <w:lang w:eastAsia="en-GB"/>
              </w:rPr>
              <w:t>st</w:t>
            </w:r>
            <w:r w:rsidRPr="00A0F983">
              <w:rPr>
                <w:rFonts w:eastAsia="Arial" w:cs="Arial"/>
                <w:lang w:eastAsia="en-GB"/>
              </w:rPr>
              <w:t xml:space="preserve"> July will be reported to the SFA by the 4</w:t>
            </w:r>
            <w:r w:rsidRPr="00A0F983">
              <w:rPr>
                <w:rFonts w:eastAsia="Arial" w:cs="Arial"/>
                <w:vertAlign w:val="superscript"/>
                <w:lang w:eastAsia="en-GB"/>
              </w:rPr>
              <w:t>th</w:t>
            </w:r>
            <w:r w:rsidRPr="00A0F983">
              <w:rPr>
                <w:rFonts w:eastAsia="Arial" w:cs="Arial"/>
                <w:lang w:eastAsia="en-GB"/>
              </w:rPr>
              <w:t xml:space="preserve"> working day of August and will be paid on the 18</w:t>
            </w:r>
            <w:r w:rsidRPr="00A0F983">
              <w:rPr>
                <w:rFonts w:eastAsia="Arial" w:cs="Arial"/>
                <w:vertAlign w:val="superscript"/>
                <w:lang w:eastAsia="en-GB"/>
              </w:rPr>
              <w:t>th</w:t>
            </w:r>
            <w:r w:rsidRPr="00A0F983">
              <w:rPr>
                <w:rFonts w:eastAsia="Arial" w:cs="Arial"/>
                <w:lang w:eastAsia="en-GB"/>
              </w:rPr>
              <w:t xml:space="preserve"> working day of August. Managing Agents should structure the management of the programme in line with the payments timetable, to ensure minimum disruption in receiving payments.</w:t>
            </w:r>
          </w:p>
          <w:p w14:paraId="37DAD478" w14:textId="77777777" w:rsidR="009145E2" w:rsidRPr="004E3BCB" w:rsidRDefault="009145E2" w:rsidP="008A4DF1">
            <w:pPr>
              <w:autoSpaceDE w:val="0"/>
              <w:autoSpaceDN w:val="0"/>
              <w:adjustRightInd w:val="0"/>
              <w:rPr>
                <w:rFonts w:cs="Arial"/>
                <w:lang w:eastAsia="en-GB"/>
              </w:rPr>
            </w:pPr>
          </w:p>
          <w:p w14:paraId="37DAD479" w14:textId="721D1D13" w:rsidR="008A4DF1" w:rsidRPr="004E3BCB" w:rsidRDefault="00A0F983" w:rsidP="008A4DF1">
            <w:pPr>
              <w:autoSpaceDE w:val="0"/>
              <w:autoSpaceDN w:val="0"/>
              <w:adjustRightInd w:val="0"/>
              <w:rPr>
                <w:rFonts w:cs="Arial"/>
                <w:lang w:eastAsia="en-GB"/>
              </w:rPr>
            </w:pPr>
            <w:r w:rsidRPr="00A0F983">
              <w:rPr>
                <w:rFonts w:eastAsia="Arial" w:cs="Arial"/>
                <w:lang w:eastAsia="en-GB"/>
              </w:rPr>
              <w:t xml:space="preserve">Managing Agents will be able to claim 10% of the Grant amount for management costs to assist with the resources to meet the relevant administration costs. </w:t>
            </w:r>
          </w:p>
          <w:p w14:paraId="37DAD47B" w14:textId="77777777" w:rsidR="00020B5F" w:rsidRPr="004E3BCB" w:rsidRDefault="00020B5F" w:rsidP="00AC03C0">
            <w:pPr>
              <w:ind w:right="282"/>
              <w:rPr>
                <w:rFonts w:cs="Arial"/>
              </w:rPr>
            </w:pPr>
          </w:p>
          <w:p w14:paraId="37DAD47C" w14:textId="77777777" w:rsidR="00A55BAF" w:rsidRPr="004E3BCB" w:rsidRDefault="00A0F983" w:rsidP="00AC03C0">
            <w:pPr>
              <w:ind w:right="282"/>
              <w:rPr>
                <w:rFonts w:cs="Arial"/>
              </w:rPr>
            </w:pPr>
            <w:r w:rsidRPr="00A0F983">
              <w:rPr>
                <w:rFonts w:eastAsia="Arial" w:cs="Arial"/>
              </w:rPr>
              <w:t xml:space="preserve">The Services will cover the following LEP area(s): </w:t>
            </w:r>
            <w:r w:rsidRPr="00A0F983">
              <w:rPr>
                <w:rFonts w:eastAsia="Arial" w:cs="Arial"/>
                <w:b/>
                <w:bCs/>
              </w:rPr>
              <w:t>Oxfordshire.</w:t>
            </w:r>
          </w:p>
          <w:p w14:paraId="37DAD47E" w14:textId="77777777" w:rsidR="00156871" w:rsidRPr="004E3BCB" w:rsidRDefault="00156871" w:rsidP="00AC03C0">
            <w:pPr>
              <w:ind w:right="282"/>
              <w:rPr>
                <w:rFonts w:cs="Arial"/>
              </w:rPr>
            </w:pPr>
          </w:p>
          <w:p w14:paraId="37DAD47F" w14:textId="77777777" w:rsidR="002833D9" w:rsidRPr="004E3BCB" w:rsidRDefault="00A0F983" w:rsidP="00AC03C0">
            <w:pPr>
              <w:ind w:right="282"/>
              <w:rPr>
                <w:rFonts w:cs="Arial"/>
                <w:b/>
              </w:rPr>
            </w:pPr>
            <w:r w:rsidRPr="00A0F983">
              <w:rPr>
                <w:rFonts w:eastAsia="Arial" w:cs="Arial"/>
                <w:b/>
                <w:bCs/>
              </w:rPr>
              <w:t>Local Enterprise Partnership</w:t>
            </w:r>
          </w:p>
          <w:p w14:paraId="37DAD480" w14:textId="77777777" w:rsidR="00D634E2" w:rsidRPr="004E3BCB" w:rsidRDefault="00D634E2" w:rsidP="00AC03C0">
            <w:pPr>
              <w:ind w:right="282"/>
              <w:rPr>
                <w:rFonts w:cs="Arial"/>
                <w:lang w:eastAsia="en-GB"/>
              </w:rPr>
            </w:pPr>
          </w:p>
          <w:p w14:paraId="37DAD481" w14:textId="77777777" w:rsidR="002427B3" w:rsidRPr="006A6203" w:rsidRDefault="00A0F983" w:rsidP="002427B3">
            <w:pPr>
              <w:rPr>
                <w:rFonts w:eastAsia="Arial" w:cs="Arial"/>
                <w:lang w:eastAsia="en-GB"/>
              </w:rPr>
            </w:pPr>
            <w:r w:rsidRPr="00A0F983">
              <w:rPr>
                <w:rFonts w:eastAsia="Arial" w:cs="Arial"/>
                <w:lang w:eastAsia="en-GB"/>
              </w:rPr>
              <w:t>Oxfordshire is in practice a full employment labour market, with 0.4% JSA claimants – fewer than 2,000 residents, but also with a substantial number of people on long term sickness or disability benefits, some 15,000 claiming ESA. Long term unemployed residents are to be found across the county, although with concentrations in Oxford City itself and around the county’s other towns.</w:t>
            </w:r>
          </w:p>
          <w:p w14:paraId="37DAD482" w14:textId="77777777" w:rsidR="002427B3" w:rsidRPr="006A6203" w:rsidRDefault="002427B3" w:rsidP="002427B3">
            <w:pPr>
              <w:rPr>
                <w:rFonts w:eastAsia="Arial" w:cs="Arial"/>
                <w:lang w:eastAsia="en-GB"/>
              </w:rPr>
            </w:pPr>
          </w:p>
          <w:p w14:paraId="37DAD483" w14:textId="25921739" w:rsidR="002427B3" w:rsidRPr="006A6203" w:rsidRDefault="00A0F983" w:rsidP="002427B3">
            <w:pPr>
              <w:rPr>
                <w:rFonts w:eastAsia="Arial" w:cs="Arial"/>
                <w:lang w:eastAsia="en-GB"/>
              </w:rPr>
            </w:pPr>
            <w:r w:rsidRPr="00A0F983">
              <w:rPr>
                <w:rFonts w:eastAsia="Arial" w:cs="Arial"/>
                <w:lang w:eastAsia="en-GB"/>
              </w:rPr>
              <w:t>The challenge of virtual full employment is the ability of employers to find and recruit suitably qualified staff, especially in professional (level 4 and above) and technical and associate professional level business sectors (level 3 and above) where over 7,500 vacancies exist with fewer than 600 people seeking those roles. Similar labour shortages exist in skilled trade occupations – with c1, 150 vacancies registered against 500 people seeking them.</w:t>
            </w:r>
          </w:p>
          <w:p w14:paraId="37DAD484" w14:textId="77777777" w:rsidR="002427B3" w:rsidRPr="006A6203" w:rsidRDefault="002427B3" w:rsidP="002427B3">
            <w:pPr>
              <w:rPr>
                <w:rFonts w:eastAsia="Arial" w:cs="Arial"/>
                <w:lang w:eastAsia="en-GB"/>
              </w:rPr>
            </w:pPr>
          </w:p>
          <w:p w14:paraId="37DAD485" w14:textId="77777777" w:rsidR="002427B3" w:rsidRPr="006A6203" w:rsidRDefault="00A0F983" w:rsidP="002427B3">
            <w:pPr>
              <w:rPr>
                <w:rFonts w:eastAsia="Arial" w:cs="Arial"/>
                <w:lang w:eastAsia="en-GB"/>
              </w:rPr>
            </w:pPr>
            <w:r w:rsidRPr="00A0F983">
              <w:rPr>
                <w:rFonts w:eastAsia="Arial" w:cs="Arial"/>
                <w:lang w:eastAsia="en-GB"/>
              </w:rPr>
              <w:t xml:space="preserve">Only 86,400 Oxfordshire residents – 20.4% of working age people – were economically inactive between July 2014 2012 and June 2015, a far lower proportion than the national average (22.5%). A relatively high share of economic inactivity is accounted for by students and retired people, meaning there is little ‘hidden’ unemployment compared to other parts of the country. Unsurprisingly, economic inactivity is highest in Oxford City. </w:t>
            </w:r>
          </w:p>
          <w:p w14:paraId="37DAD486" w14:textId="77777777" w:rsidR="002427B3" w:rsidRPr="006A6203" w:rsidRDefault="002427B3" w:rsidP="002427B3">
            <w:pPr>
              <w:rPr>
                <w:rFonts w:eastAsia="Arial" w:cs="Arial"/>
                <w:lang w:eastAsia="en-GB"/>
              </w:rPr>
            </w:pPr>
          </w:p>
          <w:p w14:paraId="37DAD487" w14:textId="77777777" w:rsidR="002427B3" w:rsidRPr="006A6203" w:rsidRDefault="00A0F983" w:rsidP="002427B3">
            <w:pPr>
              <w:rPr>
                <w:rFonts w:eastAsia="Arial" w:cs="Arial"/>
                <w:lang w:eastAsia="en-GB"/>
              </w:rPr>
            </w:pPr>
            <w:r w:rsidRPr="00A0F983">
              <w:rPr>
                <w:rFonts w:eastAsia="Arial" w:cs="Arial"/>
                <w:lang w:eastAsia="en-GB"/>
              </w:rPr>
              <w:t>In this situation, those out of work, particularly for any length of time, must be significantly disadvantaged or have major barriers to finding employment. Our ESIF programme therefore targets precisely those furthest from the labour market for particular attention. With skills shortages in many sectors, our programme will seek to channel unemployed residents towards those sectors with the most appropriate opportunities for them.</w:t>
            </w:r>
          </w:p>
          <w:p w14:paraId="37DAD488" w14:textId="77777777" w:rsidR="002427B3" w:rsidRPr="006A6203" w:rsidRDefault="002427B3" w:rsidP="002427B3">
            <w:pPr>
              <w:rPr>
                <w:rFonts w:eastAsia="Arial" w:cs="Arial"/>
                <w:lang w:eastAsia="en-GB"/>
              </w:rPr>
            </w:pPr>
          </w:p>
          <w:p w14:paraId="37DAD489" w14:textId="77777777" w:rsidR="002427B3" w:rsidRPr="006A6203" w:rsidRDefault="00A0F983" w:rsidP="002427B3">
            <w:pPr>
              <w:rPr>
                <w:rFonts w:eastAsia="Arial" w:cs="Arial"/>
                <w:lang w:eastAsia="en-GB"/>
              </w:rPr>
            </w:pPr>
            <w:r w:rsidRPr="00A0F983">
              <w:rPr>
                <w:rFonts w:eastAsia="Arial" w:cs="Arial"/>
                <w:lang w:eastAsia="en-GB"/>
              </w:rPr>
              <w:t xml:space="preserve">Employment in the Oxfordshire LEP area is spread across a number of sectors. Compared with the national and regional averages, a high share of total employment is found in the education sector (14.6%) and the professional, scientific, and technical activities sector (10.9%). Employment in lower-value adding activities like transport and storage and public administration and defence is comparatively low. </w:t>
            </w:r>
          </w:p>
          <w:p w14:paraId="37DAD48A" w14:textId="77777777" w:rsidR="002427B3" w:rsidRPr="006A6203" w:rsidRDefault="002427B3" w:rsidP="002427B3">
            <w:pPr>
              <w:rPr>
                <w:rFonts w:eastAsia="Arial" w:cs="Arial"/>
                <w:lang w:eastAsia="en-GB"/>
              </w:rPr>
            </w:pPr>
          </w:p>
          <w:p w14:paraId="37DAD48B" w14:textId="0655547C" w:rsidR="002427B3" w:rsidRPr="006A6203" w:rsidRDefault="00A0F983" w:rsidP="002427B3">
            <w:pPr>
              <w:rPr>
                <w:rFonts w:eastAsia="Arial" w:cs="Arial"/>
                <w:lang w:eastAsia="en-GB"/>
              </w:rPr>
            </w:pPr>
            <w:r w:rsidRPr="00A0F983">
              <w:rPr>
                <w:rFonts w:eastAsia="Arial" w:cs="Arial"/>
                <w:lang w:eastAsia="en-GB"/>
              </w:rPr>
              <w:t>The top 10 current sectors for Oxfordshire employees are listed below, with the number of employees in brackets:</w:t>
            </w:r>
          </w:p>
          <w:p w14:paraId="37DAD48C" w14:textId="77777777" w:rsidR="002427B3" w:rsidRPr="006A6203" w:rsidRDefault="002427B3" w:rsidP="002427B3">
            <w:pPr>
              <w:rPr>
                <w:rFonts w:eastAsia="Arial" w:cs="Arial"/>
                <w:lang w:eastAsia="en-GB"/>
              </w:rPr>
            </w:pPr>
          </w:p>
          <w:p w14:paraId="37DAD48D" w14:textId="77777777" w:rsidR="002427B3" w:rsidRPr="006A6203" w:rsidRDefault="00A0F983" w:rsidP="00A0F983">
            <w:pPr>
              <w:pStyle w:val="ListParagraph"/>
              <w:numPr>
                <w:ilvl w:val="0"/>
                <w:numId w:val="9"/>
              </w:numPr>
              <w:rPr>
                <w:rFonts w:eastAsia="Arial" w:cs="Arial"/>
                <w:lang w:eastAsia="en-GB"/>
              </w:rPr>
            </w:pPr>
            <w:r w:rsidRPr="00A0F983">
              <w:rPr>
                <w:rFonts w:eastAsia="Arial" w:cs="Arial"/>
                <w:lang w:eastAsia="en-GB"/>
              </w:rPr>
              <w:t>Education (51,000)</w:t>
            </w:r>
          </w:p>
          <w:p w14:paraId="37DAD48E" w14:textId="77777777" w:rsidR="002427B3" w:rsidRPr="006A6203" w:rsidRDefault="00A0F983" w:rsidP="00A0F983">
            <w:pPr>
              <w:pStyle w:val="ListParagraph"/>
              <w:numPr>
                <w:ilvl w:val="0"/>
                <w:numId w:val="9"/>
              </w:numPr>
              <w:rPr>
                <w:rFonts w:eastAsia="Arial" w:cs="Arial"/>
                <w:lang w:eastAsia="en-GB"/>
              </w:rPr>
            </w:pPr>
            <w:r w:rsidRPr="00A0F983">
              <w:rPr>
                <w:rFonts w:eastAsia="Arial" w:cs="Arial"/>
                <w:lang w:eastAsia="en-GB"/>
              </w:rPr>
              <w:t>Professional, Scientific and technical activities (41,200)</w:t>
            </w:r>
          </w:p>
          <w:p w14:paraId="37DAD48F" w14:textId="77777777" w:rsidR="002427B3" w:rsidRPr="006A6203" w:rsidRDefault="00A0F983" w:rsidP="00A0F983">
            <w:pPr>
              <w:pStyle w:val="ListParagraph"/>
              <w:numPr>
                <w:ilvl w:val="0"/>
                <w:numId w:val="9"/>
              </w:numPr>
              <w:rPr>
                <w:rFonts w:eastAsia="Arial" w:cs="Arial"/>
                <w:lang w:eastAsia="en-GB"/>
              </w:rPr>
            </w:pPr>
            <w:r w:rsidRPr="00A0F983">
              <w:rPr>
                <w:rFonts w:eastAsia="Arial" w:cs="Arial"/>
                <w:lang w:eastAsia="en-GB"/>
              </w:rPr>
              <w:t>Human health and social work activities (40,200)</w:t>
            </w:r>
          </w:p>
          <w:p w14:paraId="37DAD490" w14:textId="77777777" w:rsidR="002427B3" w:rsidRPr="006A6203" w:rsidRDefault="00A0F983" w:rsidP="00A0F983">
            <w:pPr>
              <w:pStyle w:val="ListParagraph"/>
              <w:numPr>
                <w:ilvl w:val="0"/>
                <w:numId w:val="9"/>
              </w:numPr>
              <w:rPr>
                <w:rFonts w:eastAsia="Arial" w:cs="Arial"/>
                <w:lang w:eastAsia="en-GB"/>
              </w:rPr>
            </w:pPr>
            <w:r w:rsidRPr="00A0F983">
              <w:rPr>
                <w:rFonts w:eastAsia="Arial" w:cs="Arial"/>
                <w:lang w:eastAsia="en-GB"/>
              </w:rPr>
              <w:t>Retail (32,000)</w:t>
            </w:r>
          </w:p>
          <w:p w14:paraId="37DAD491" w14:textId="77777777" w:rsidR="002427B3" w:rsidRPr="006A6203" w:rsidRDefault="00A0F983" w:rsidP="00A0F983">
            <w:pPr>
              <w:pStyle w:val="ListParagraph"/>
              <w:numPr>
                <w:ilvl w:val="0"/>
                <w:numId w:val="9"/>
              </w:numPr>
              <w:rPr>
                <w:rFonts w:eastAsia="Arial" w:cs="Arial"/>
                <w:lang w:eastAsia="en-GB"/>
              </w:rPr>
            </w:pPr>
            <w:r w:rsidRPr="00A0F983">
              <w:rPr>
                <w:rFonts w:eastAsia="Arial" w:cs="Arial"/>
                <w:lang w:eastAsia="en-GB"/>
              </w:rPr>
              <w:t>Accommodation and food service activities (24,800)</w:t>
            </w:r>
          </w:p>
          <w:p w14:paraId="37DAD492" w14:textId="77777777" w:rsidR="002427B3" w:rsidRPr="006A6203" w:rsidRDefault="00A0F983" w:rsidP="00A0F983">
            <w:pPr>
              <w:pStyle w:val="ListParagraph"/>
              <w:numPr>
                <w:ilvl w:val="0"/>
                <w:numId w:val="9"/>
              </w:numPr>
              <w:rPr>
                <w:rFonts w:eastAsia="Arial" w:cs="Arial"/>
                <w:lang w:eastAsia="en-GB"/>
              </w:rPr>
            </w:pPr>
            <w:r w:rsidRPr="00A0F983">
              <w:rPr>
                <w:rFonts w:eastAsia="Arial" w:cs="Arial"/>
                <w:lang w:eastAsia="en-GB"/>
              </w:rPr>
              <w:t>Manufacturing (24,200)</w:t>
            </w:r>
          </w:p>
          <w:p w14:paraId="37DAD493" w14:textId="77777777" w:rsidR="002427B3" w:rsidRPr="006A6203" w:rsidRDefault="00A0F983" w:rsidP="00A0F983">
            <w:pPr>
              <w:pStyle w:val="ListParagraph"/>
              <w:numPr>
                <w:ilvl w:val="0"/>
                <w:numId w:val="9"/>
              </w:numPr>
              <w:rPr>
                <w:rFonts w:eastAsia="Arial" w:cs="Arial"/>
                <w:lang w:eastAsia="en-GB"/>
              </w:rPr>
            </w:pPr>
            <w:r w:rsidRPr="00A0F983">
              <w:rPr>
                <w:rFonts w:eastAsia="Arial" w:cs="Arial"/>
                <w:lang w:eastAsia="en-GB"/>
              </w:rPr>
              <w:t>Administrative and support service activities (24,200)</w:t>
            </w:r>
          </w:p>
          <w:p w14:paraId="37DAD494" w14:textId="77777777" w:rsidR="002427B3" w:rsidRPr="006A6203" w:rsidRDefault="00A0F983" w:rsidP="00A0F983">
            <w:pPr>
              <w:pStyle w:val="ListParagraph"/>
              <w:numPr>
                <w:ilvl w:val="0"/>
                <w:numId w:val="9"/>
              </w:numPr>
              <w:rPr>
                <w:rFonts w:eastAsia="Arial" w:cs="Arial"/>
                <w:lang w:eastAsia="en-GB"/>
              </w:rPr>
            </w:pPr>
            <w:r w:rsidRPr="00A0F983">
              <w:rPr>
                <w:rFonts w:eastAsia="Arial" w:cs="Arial"/>
                <w:lang w:eastAsia="en-GB"/>
              </w:rPr>
              <w:t>Construction (17,700)</w:t>
            </w:r>
          </w:p>
          <w:p w14:paraId="37DAD495" w14:textId="77777777" w:rsidR="002427B3" w:rsidRPr="006A6203" w:rsidRDefault="00A0F983" w:rsidP="00A0F983">
            <w:pPr>
              <w:pStyle w:val="ListParagraph"/>
              <w:numPr>
                <w:ilvl w:val="0"/>
                <w:numId w:val="9"/>
              </w:numPr>
              <w:rPr>
                <w:rFonts w:eastAsia="Arial" w:cs="Arial"/>
                <w:lang w:eastAsia="en-GB"/>
              </w:rPr>
            </w:pPr>
            <w:r w:rsidRPr="00A0F983">
              <w:rPr>
                <w:rFonts w:eastAsia="Arial" w:cs="Arial"/>
                <w:lang w:eastAsia="en-GB"/>
              </w:rPr>
              <w:t>Information and communication (16,600)</w:t>
            </w:r>
          </w:p>
          <w:p w14:paraId="37DAD496" w14:textId="55C56BFD" w:rsidR="002427B3" w:rsidRPr="006A6203" w:rsidRDefault="00A0F983" w:rsidP="00A0F983">
            <w:pPr>
              <w:pStyle w:val="ListParagraph"/>
              <w:numPr>
                <w:ilvl w:val="0"/>
                <w:numId w:val="9"/>
              </w:numPr>
              <w:rPr>
                <w:rFonts w:eastAsia="Arial" w:cs="Arial"/>
                <w:lang w:eastAsia="en-GB"/>
              </w:rPr>
            </w:pPr>
            <w:r w:rsidRPr="00A0F983">
              <w:rPr>
                <w:rFonts w:eastAsia="Arial" w:cs="Arial"/>
                <w:lang w:eastAsia="en-GB"/>
              </w:rPr>
              <w:t>Wholesale (13,200).</w:t>
            </w:r>
          </w:p>
          <w:p w14:paraId="37DAD497" w14:textId="77777777" w:rsidR="002427B3" w:rsidRPr="006A6203" w:rsidRDefault="002427B3" w:rsidP="002427B3">
            <w:pPr>
              <w:pStyle w:val="ListParagraph"/>
              <w:rPr>
                <w:rFonts w:eastAsia="Arial" w:cs="Arial"/>
                <w:lang w:eastAsia="en-GB"/>
              </w:rPr>
            </w:pPr>
          </w:p>
          <w:p w14:paraId="37DAD498" w14:textId="77777777" w:rsidR="002427B3" w:rsidRPr="006A6203" w:rsidRDefault="00A0F983" w:rsidP="002427B3">
            <w:pPr>
              <w:rPr>
                <w:rFonts w:eastAsia="Arial" w:cs="Arial"/>
                <w:lang w:eastAsia="en-GB"/>
              </w:rPr>
            </w:pPr>
            <w:r w:rsidRPr="00A0F983">
              <w:rPr>
                <w:rFonts w:eastAsia="Arial" w:cs="Arial"/>
                <w:lang w:eastAsia="en-GB"/>
              </w:rPr>
              <w:t>Additional economically and socially important sectors for Oxfordshire according to previous researchers include telecommunications, life sciences, protective services and the voluntary and community sector.</w:t>
            </w:r>
          </w:p>
          <w:p w14:paraId="37DAD499" w14:textId="77777777" w:rsidR="002427B3" w:rsidRPr="006A6203" w:rsidRDefault="002427B3" w:rsidP="002427B3">
            <w:pPr>
              <w:rPr>
                <w:rFonts w:eastAsia="Arial" w:cs="Arial"/>
                <w:lang w:eastAsia="en-GB"/>
              </w:rPr>
            </w:pPr>
          </w:p>
          <w:p w14:paraId="37DAD49A" w14:textId="77777777" w:rsidR="002427B3" w:rsidRPr="006A6203" w:rsidRDefault="002427B3" w:rsidP="002427B3">
            <w:pPr>
              <w:rPr>
                <w:rFonts w:eastAsia="Arial" w:cs="Arial"/>
                <w:lang w:eastAsia="en-GB"/>
              </w:rPr>
            </w:pPr>
            <w:r w:rsidRPr="00A0F983">
              <w:rPr>
                <w:rFonts w:eastAsia="Arial" w:cs="Arial"/>
                <w:lang w:eastAsia="en-GB"/>
              </w:rPr>
              <w:t xml:space="preserve">Oxfordshire’s labour market is forecast to grow significantly over the coming decades. Research to inform the county’s strategic housing market assessment </w:t>
            </w:r>
            <w:r w:rsidRPr="00A0F983">
              <w:rPr>
                <w:rFonts w:eastAsia="Arial" w:cs="Arial"/>
                <w:lang w:eastAsia="en-GB"/>
              </w:rPr>
              <w:footnoteReference w:id="2"/>
            </w:r>
            <w:r w:rsidRPr="00A0F983">
              <w:rPr>
                <w:rFonts w:eastAsia="Arial" w:cs="Arial"/>
                <w:lang w:eastAsia="en-GB"/>
              </w:rPr>
              <w:t xml:space="preserve"> concluded a likely increase of some 88,000 jobs up to 2031, 4,400 per year (1% pa) – in increase in annual growth of 25% over the previous decade. This projection is based on taking into account all likely sources of growth, including those planned from developments such as the Science Vale Oxford Enterprise Zone, Oxfordshire City Deal, NW Bicester Eco Town, the redevelopment of the Westgate shopping centre in Oxford city centre and other planned infrastructure investment. The county’s goal of growth through innovation is based on economic growth, but clearly is expected to bring with it employment growth too, and from a LEP and local authority point of view employment growth is equally important as a goal for Oxfordshire. This will bring with it a number of implications relevant for the use of EU funds, including:</w:t>
            </w:r>
          </w:p>
          <w:p w14:paraId="37DAD49B" w14:textId="77777777" w:rsidR="002427B3" w:rsidRPr="006A6203" w:rsidRDefault="002427B3" w:rsidP="002427B3">
            <w:pPr>
              <w:rPr>
                <w:rFonts w:eastAsia="Arial" w:cs="Arial"/>
                <w:lang w:eastAsia="en-GB"/>
              </w:rPr>
            </w:pPr>
          </w:p>
          <w:p w14:paraId="37DAD49C" w14:textId="77777777" w:rsidR="002427B3" w:rsidRPr="006A6203" w:rsidRDefault="00A0F983" w:rsidP="00A0F983">
            <w:pPr>
              <w:pStyle w:val="ListParagraph"/>
              <w:numPr>
                <w:ilvl w:val="0"/>
                <w:numId w:val="9"/>
              </w:numPr>
              <w:rPr>
                <w:rFonts w:eastAsia="Arial" w:cs="Arial"/>
                <w:lang w:eastAsia="en-GB"/>
              </w:rPr>
            </w:pPr>
            <w:r w:rsidRPr="00A0F983">
              <w:rPr>
                <w:rFonts w:eastAsia="Arial" w:cs="Arial"/>
                <w:lang w:eastAsia="en-GB"/>
              </w:rPr>
              <w:lastRenderedPageBreak/>
              <w:t>Greater need to match labour market supply and demand, and opportunities to bring the more disadvantaged into work</w:t>
            </w:r>
          </w:p>
          <w:p w14:paraId="37DAD49D" w14:textId="77777777" w:rsidR="002427B3" w:rsidRPr="006A6203" w:rsidRDefault="00A0F983" w:rsidP="00A0F983">
            <w:pPr>
              <w:pStyle w:val="ListParagraph"/>
              <w:numPr>
                <w:ilvl w:val="0"/>
                <w:numId w:val="9"/>
              </w:numPr>
              <w:rPr>
                <w:rFonts w:eastAsia="Arial" w:cs="Arial"/>
                <w:lang w:eastAsia="en-GB"/>
              </w:rPr>
            </w:pPr>
            <w:r w:rsidRPr="00A0F983">
              <w:rPr>
                <w:rFonts w:eastAsia="Arial" w:cs="Arial"/>
                <w:lang w:eastAsia="en-GB"/>
              </w:rPr>
              <w:t>More pressure on the skills base and greater needs to ensure the right mix of types and skills is available</w:t>
            </w:r>
          </w:p>
          <w:p w14:paraId="37DAD49E" w14:textId="0AAF6BFC" w:rsidR="002427B3" w:rsidRPr="006A6203" w:rsidRDefault="00A0F983" w:rsidP="00A0F983">
            <w:pPr>
              <w:pStyle w:val="ListParagraph"/>
              <w:numPr>
                <w:ilvl w:val="0"/>
                <w:numId w:val="9"/>
              </w:numPr>
              <w:rPr>
                <w:rFonts w:eastAsia="Arial" w:cs="Arial"/>
                <w:lang w:eastAsia="en-GB"/>
              </w:rPr>
            </w:pPr>
            <w:r w:rsidRPr="00A0F983">
              <w:rPr>
                <w:rFonts w:eastAsia="Arial" w:cs="Arial"/>
                <w:lang w:eastAsia="en-GB"/>
              </w:rPr>
              <w:t>In-migration including from overseas with associated need for ESOL provision.</w:t>
            </w:r>
          </w:p>
          <w:p w14:paraId="37DAD4C3" w14:textId="77777777" w:rsidR="000D51DE" w:rsidRPr="004E3BCB" w:rsidRDefault="000D51DE" w:rsidP="00AC03C0">
            <w:pPr>
              <w:ind w:right="282"/>
              <w:rPr>
                <w:rFonts w:cs="Arial"/>
                <w:lang w:eastAsia="en-GB"/>
              </w:rPr>
            </w:pPr>
          </w:p>
        </w:tc>
      </w:tr>
      <w:tr w:rsidR="00967429" w14:paraId="37DAD4C6" w14:textId="77777777" w:rsidTr="00A0F983">
        <w:trPr>
          <w:trHeight w:val="567"/>
        </w:trPr>
        <w:tc>
          <w:tcPr>
            <w:tcW w:w="5000" w:type="pct"/>
            <w:shd w:val="clear" w:color="auto" w:fill="D9D9D9" w:themeFill="background1" w:themeFillShade="D9"/>
            <w:vAlign w:val="center"/>
          </w:tcPr>
          <w:p w14:paraId="37DAD4C5" w14:textId="77777777" w:rsidR="00967429" w:rsidRPr="00C107CE" w:rsidRDefault="00A0F983" w:rsidP="00AC03C0">
            <w:pPr>
              <w:tabs>
                <w:tab w:val="num" w:pos="900"/>
              </w:tabs>
              <w:autoSpaceDE w:val="0"/>
              <w:autoSpaceDN w:val="0"/>
              <w:adjustRightInd w:val="0"/>
              <w:ind w:right="282"/>
              <w:rPr>
                <w:rFonts w:cs="Arial"/>
                <w:b/>
              </w:rPr>
            </w:pPr>
            <w:r w:rsidRPr="00A0F983">
              <w:rPr>
                <w:rFonts w:eastAsia="Arial" w:cs="Arial"/>
                <w:b/>
                <w:bCs/>
              </w:rPr>
              <w:lastRenderedPageBreak/>
              <w:t>DEFINITION OF TERMS</w:t>
            </w:r>
          </w:p>
        </w:tc>
      </w:tr>
      <w:tr w:rsidR="00967429" w:rsidRPr="00EF4406" w14:paraId="37DAD4ED" w14:textId="77777777" w:rsidTr="00A0F983">
        <w:tc>
          <w:tcPr>
            <w:tcW w:w="5000" w:type="pct"/>
          </w:tcPr>
          <w:p w14:paraId="745C581C" w14:textId="77777777" w:rsidR="00494D3C" w:rsidRDefault="00494D3C" w:rsidP="00AC03C0">
            <w:pPr>
              <w:ind w:left="360" w:right="282" w:hanging="360"/>
              <w:rPr>
                <w:b/>
              </w:rPr>
            </w:pPr>
          </w:p>
          <w:p w14:paraId="37DAD4C7" w14:textId="77777777" w:rsidR="000C02F6" w:rsidRPr="004E3BCB" w:rsidRDefault="00A0F983" w:rsidP="00AC03C0">
            <w:pPr>
              <w:ind w:left="360" w:right="282" w:hanging="360"/>
            </w:pPr>
            <w:r w:rsidRPr="00A0F983">
              <w:rPr>
                <w:b/>
                <w:bCs/>
              </w:rPr>
              <w:t xml:space="preserve">Candidate: </w:t>
            </w:r>
            <w:r>
              <w:t>means an organisation who has been invited to take part in this procurement procedure</w:t>
            </w:r>
          </w:p>
          <w:p w14:paraId="37DAD4C8" w14:textId="77777777" w:rsidR="0038461C" w:rsidRPr="004E3BCB" w:rsidRDefault="0038461C" w:rsidP="00AC03C0">
            <w:pPr>
              <w:ind w:left="360" w:right="282" w:hanging="360"/>
              <w:rPr>
                <w:b/>
              </w:rPr>
            </w:pPr>
          </w:p>
          <w:p w14:paraId="37DAD4C9" w14:textId="77777777" w:rsidR="000C02F6" w:rsidRPr="004E3BCB" w:rsidRDefault="00A0F983" w:rsidP="00AC03C0">
            <w:pPr>
              <w:ind w:left="360" w:right="282" w:hanging="360"/>
            </w:pPr>
            <w:r w:rsidRPr="00A0F983">
              <w:rPr>
                <w:b/>
                <w:bCs/>
              </w:rPr>
              <w:t xml:space="preserve">Disadvantaged: </w:t>
            </w:r>
            <w:r>
              <w:t>individuals who are deprived of the basic necessities of life such as adequate housing, medical care or educational facilities</w:t>
            </w:r>
          </w:p>
          <w:p w14:paraId="37DAD4CA" w14:textId="77777777" w:rsidR="000C02F6" w:rsidRPr="004E3BCB" w:rsidRDefault="000C02F6" w:rsidP="00AC03C0">
            <w:pPr>
              <w:ind w:left="360" w:right="282" w:hanging="360"/>
              <w:rPr>
                <w:b/>
              </w:rPr>
            </w:pPr>
          </w:p>
          <w:p w14:paraId="37DAD4CB" w14:textId="34A87327" w:rsidR="000C02F6" w:rsidRPr="004E3BCB" w:rsidRDefault="00A0F983" w:rsidP="00AC03C0">
            <w:pPr>
              <w:ind w:left="360" w:right="282" w:hanging="360"/>
            </w:pPr>
            <w:r w:rsidRPr="00A0F983">
              <w:rPr>
                <w:b/>
                <w:bCs/>
              </w:rPr>
              <w:t>Eligibility:</w:t>
            </w:r>
            <w:r>
              <w:t xml:space="preserve"> Only people who are eligible to work in UK are eligible for this programme.  Asylum seekers are not generally supported by ESF</w:t>
            </w:r>
          </w:p>
          <w:p w14:paraId="37DAD4CC" w14:textId="77777777" w:rsidR="000C02F6" w:rsidRPr="004E3BCB" w:rsidRDefault="000C02F6" w:rsidP="00AC03C0">
            <w:pPr>
              <w:ind w:left="360" w:right="282" w:hanging="360"/>
            </w:pPr>
          </w:p>
          <w:p w14:paraId="37DAD4CD" w14:textId="55C267CA" w:rsidR="000C02F6" w:rsidRPr="004E3BCB" w:rsidRDefault="00A0F983" w:rsidP="00AC03C0">
            <w:pPr>
              <w:autoSpaceDE w:val="0"/>
              <w:autoSpaceDN w:val="0"/>
              <w:adjustRightInd w:val="0"/>
              <w:ind w:left="360" w:right="282" w:hanging="360"/>
            </w:pPr>
            <w:r w:rsidRPr="00A0F983">
              <w:rPr>
                <w:b/>
                <w:bCs/>
              </w:rPr>
              <w:t>Employed</w:t>
            </w:r>
            <w:r>
              <w:t>: People are employed if they perform work for pay, profit or family gain. People are self-employed if they work in his/her own business for the purpose of earning a profit, even if they are not making a profit or are just setting up</w:t>
            </w:r>
          </w:p>
          <w:p w14:paraId="37DAD4CE" w14:textId="77777777" w:rsidR="00020B5F" w:rsidRPr="004E3BCB" w:rsidRDefault="00020B5F" w:rsidP="00AC03C0">
            <w:pPr>
              <w:autoSpaceDE w:val="0"/>
              <w:autoSpaceDN w:val="0"/>
              <w:adjustRightInd w:val="0"/>
              <w:ind w:left="360" w:right="282" w:hanging="360"/>
            </w:pPr>
          </w:p>
          <w:p w14:paraId="37DAD4CF" w14:textId="77777777" w:rsidR="00020B5F" w:rsidRPr="004E3BCB" w:rsidRDefault="00A0F983" w:rsidP="00AC03C0">
            <w:pPr>
              <w:ind w:left="29" w:right="282" w:hanging="29"/>
              <w:contextualSpacing/>
            </w:pPr>
            <w:r w:rsidRPr="00A0F983">
              <w:rPr>
                <w:b/>
                <w:bCs/>
              </w:rPr>
              <w:t xml:space="preserve">ESF Funding: </w:t>
            </w:r>
            <w:r>
              <w:t>funding from the European Social Fund</w:t>
            </w:r>
          </w:p>
          <w:p w14:paraId="37DAD4D0" w14:textId="77777777" w:rsidR="000C02F6" w:rsidRPr="004E3BCB" w:rsidRDefault="000C02F6" w:rsidP="00AC03C0">
            <w:pPr>
              <w:autoSpaceDE w:val="0"/>
              <w:autoSpaceDN w:val="0"/>
              <w:adjustRightInd w:val="0"/>
              <w:ind w:left="360" w:right="282" w:hanging="360"/>
            </w:pPr>
          </w:p>
          <w:p w14:paraId="37DAD4D1" w14:textId="77777777" w:rsidR="000C02F6" w:rsidRPr="004E3BCB" w:rsidRDefault="00A0F983" w:rsidP="00AC03C0">
            <w:pPr>
              <w:autoSpaceDE w:val="0"/>
              <w:autoSpaceDN w:val="0"/>
              <w:adjustRightInd w:val="0"/>
              <w:ind w:left="360" w:right="282" w:hanging="360"/>
            </w:pPr>
            <w:r w:rsidRPr="00A0F983">
              <w:rPr>
                <w:b/>
                <w:bCs/>
              </w:rPr>
              <w:t xml:space="preserve">Excluded: </w:t>
            </w:r>
            <w:r>
              <w:t>individuals who are either not included, not considered or not accepted</w:t>
            </w:r>
          </w:p>
          <w:p w14:paraId="37DAD4D2" w14:textId="77777777" w:rsidR="00020B5F" w:rsidRPr="004E3BCB" w:rsidRDefault="00020B5F" w:rsidP="00AC03C0">
            <w:pPr>
              <w:autoSpaceDE w:val="0"/>
              <w:autoSpaceDN w:val="0"/>
              <w:adjustRightInd w:val="0"/>
              <w:ind w:left="360" w:right="282" w:hanging="360"/>
            </w:pPr>
          </w:p>
          <w:p w14:paraId="37DAD4D3" w14:textId="77777777" w:rsidR="00020B5F" w:rsidRPr="004E3BCB" w:rsidRDefault="00A0F983" w:rsidP="00AC03C0">
            <w:pPr>
              <w:ind w:left="29" w:right="282" w:hanging="29"/>
              <w:contextualSpacing/>
            </w:pPr>
            <w:r w:rsidRPr="00A0F983">
              <w:rPr>
                <w:b/>
                <w:bCs/>
              </w:rPr>
              <w:t>Funding Payments:</w:t>
            </w:r>
            <w:r>
              <w:t xml:space="preserve"> payments out of ESF Funding to be made to Providers</w:t>
            </w:r>
          </w:p>
          <w:p w14:paraId="37DAD4D4" w14:textId="77777777" w:rsidR="00140390" w:rsidRPr="004E3BCB" w:rsidRDefault="00140390" w:rsidP="00AC03C0">
            <w:pPr>
              <w:ind w:left="29" w:right="282" w:hanging="29"/>
              <w:contextualSpacing/>
            </w:pPr>
          </w:p>
          <w:p w14:paraId="37DAD4D5" w14:textId="77777777" w:rsidR="00140390" w:rsidRPr="004E3BCB" w:rsidRDefault="00A0F983" w:rsidP="00AC03C0">
            <w:pPr>
              <w:ind w:left="29" w:right="282" w:hanging="29"/>
              <w:contextualSpacing/>
              <w:rPr>
                <w:b/>
              </w:rPr>
            </w:pPr>
            <w:r w:rsidRPr="00A0F983">
              <w:rPr>
                <w:b/>
                <w:bCs/>
              </w:rPr>
              <w:t xml:space="preserve">Grant:  </w:t>
            </w:r>
            <w:r>
              <w:t>Community Grant funded by ESF Funding</w:t>
            </w:r>
          </w:p>
          <w:p w14:paraId="37DAD4D6" w14:textId="77777777" w:rsidR="00020B5F" w:rsidRPr="004E3BCB" w:rsidRDefault="00020B5F" w:rsidP="00AC03C0">
            <w:pPr>
              <w:ind w:left="720" w:right="282"/>
              <w:contextualSpacing/>
              <w:rPr>
                <w:color w:val="FF0000"/>
              </w:rPr>
            </w:pPr>
          </w:p>
          <w:p w14:paraId="37DAD4D7" w14:textId="77777777" w:rsidR="00020B5F" w:rsidRPr="004E3BCB" w:rsidRDefault="00A0F983" w:rsidP="00494D3C">
            <w:pPr>
              <w:ind w:left="360" w:right="282" w:hanging="360"/>
            </w:pPr>
            <w:r w:rsidRPr="00A0F983">
              <w:rPr>
                <w:b/>
                <w:bCs/>
              </w:rPr>
              <w:t>Individualised Learner Record (ILR):</w:t>
            </w:r>
            <w:r>
              <w:t xml:space="preserve"> the primary data collection return required from learning providers by the Skills Funding Agency about further education and work-based learning in England</w:t>
            </w:r>
          </w:p>
          <w:p w14:paraId="37DAD4D9" w14:textId="77777777" w:rsidR="000C02F6" w:rsidRPr="004E3BCB" w:rsidRDefault="000C02F6" w:rsidP="00AC03C0">
            <w:pPr>
              <w:autoSpaceDE w:val="0"/>
              <w:autoSpaceDN w:val="0"/>
              <w:adjustRightInd w:val="0"/>
              <w:ind w:left="360" w:right="282" w:hanging="360"/>
              <w:rPr>
                <w:color w:val="FF0000"/>
              </w:rPr>
            </w:pPr>
          </w:p>
          <w:p w14:paraId="37DAD4DA" w14:textId="64744B06" w:rsidR="000C02F6" w:rsidRPr="004E3BCB" w:rsidRDefault="00A0F983" w:rsidP="00AC03C0">
            <w:pPr>
              <w:autoSpaceDE w:val="0"/>
              <w:autoSpaceDN w:val="0"/>
              <w:adjustRightInd w:val="0"/>
              <w:ind w:left="360" w:right="282" w:hanging="360"/>
            </w:pPr>
            <w:r w:rsidRPr="00A0F983">
              <w:rPr>
                <w:b/>
                <w:bCs/>
              </w:rPr>
              <w:t>Job Seeking:</w:t>
            </w:r>
            <w:r>
              <w:t xml:space="preserve"> Where applicable, persons engaged in job seeking is understood to be persons usually without work and actively seeking work</w:t>
            </w:r>
          </w:p>
          <w:p w14:paraId="37DAD4DB" w14:textId="77777777" w:rsidR="00187630" w:rsidRPr="004E3BCB" w:rsidRDefault="00187630" w:rsidP="00AC03C0">
            <w:pPr>
              <w:autoSpaceDE w:val="0"/>
              <w:autoSpaceDN w:val="0"/>
              <w:adjustRightInd w:val="0"/>
              <w:ind w:left="360" w:right="282" w:hanging="360"/>
            </w:pPr>
          </w:p>
          <w:p w14:paraId="37DAD4DC" w14:textId="7E5F80A3" w:rsidR="008A4DF1" w:rsidRPr="004E3BCB" w:rsidRDefault="00A0F983" w:rsidP="008A4DF1">
            <w:pPr>
              <w:autoSpaceDE w:val="0"/>
              <w:autoSpaceDN w:val="0"/>
              <w:adjustRightInd w:val="0"/>
              <w:ind w:left="360" w:hanging="360"/>
            </w:pPr>
            <w:r w:rsidRPr="00A0F983">
              <w:rPr>
                <w:b/>
                <w:bCs/>
              </w:rPr>
              <w:t>Managing Agent</w:t>
            </w:r>
            <w:r>
              <w:t>: The body that delivers the service defined in this specification</w:t>
            </w:r>
          </w:p>
          <w:p w14:paraId="37DAD4DE" w14:textId="77777777" w:rsidR="008A4DF1" w:rsidRDefault="008A4DF1" w:rsidP="00AC03C0">
            <w:pPr>
              <w:autoSpaceDE w:val="0"/>
              <w:autoSpaceDN w:val="0"/>
              <w:adjustRightInd w:val="0"/>
              <w:ind w:left="360" w:right="282" w:hanging="360"/>
            </w:pPr>
          </w:p>
          <w:p w14:paraId="324C5758" w14:textId="08D0F1B6" w:rsidR="009B2568" w:rsidRDefault="00A0F983" w:rsidP="00AC03C0">
            <w:pPr>
              <w:autoSpaceDE w:val="0"/>
              <w:autoSpaceDN w:val="0"/>
              <w:adjustRightInd w:val="0"/>
              <w:ind w:left="360" w:right="282" w:hanging="360"/>
              <w:rPr>
                <w:rStyle w:val="normaltextrun"/>
                <w:rFonts w:cs="Arial"/>
                <w:color w:val="222222"/>
              </w:rPr>
            </w:pPr>
            <w:r w:rsidRPr="00A0F983">
              <w:rPr>
                <w:rStyle w:val="normaltextrun"/>
                <w:rFonts w:eastAsia="Arial" w:cs="Arial"/>
                <w:b/>
                <w:bCs/>
              </w:rPr>
              <w:t>RARPA:</w:t>
            </w:r>
            <w:r w:rsidRPr="00A0F983">
              <w:rPr>
                <w:rStyle w:val="normaltextrun"/>
                <w:rFonts w:eastAsia="Arial" w:cs="Arial"/>
                <w:b/>
                <w:bCs/>
                <w:color w:val="222222"/>
              </w:rPr>
              <w:t xml:space="preserve"> </w:t>
            </w:r>
            <w:r w:rsidRPr="00A0F983">
              <w:rPr>
                <w:rStyle w:val="normaltextrun"/>
                <w:rFonts w:eastAsia="Arial" w:cs="Arial"/>
                <w:color w:val="222222"/>
              </w:rPr>
              <w:t>Recognising and Recording Progress and Achievement for soft outcomes</w:t>
            </w:r>
          </w:p>
          <w:p w14:paraId="62CA5FFA" w14:textId="77777777" w:rsidR="009B2568" w:rsidRPr="004E3BCB" w:rsidRDefault="009B2568" w:rsidP="00AC03C0">
            <w:pPr>
              <w:autoSpaceDE w:val="0"/>
              <w:autoSpaceDN w:val="0"/>
              <w:adjustRightInd w:val="0"/>
              <w:ind w:left="360" w:right="282" w:hanging="360"/>
            </w:pPr>
          </w:p>
          <w:p w14:paraId="37DAD4DF" w14:textId="77777777" w:rsidR="00020B5F" w:rsidRPr="004E3BCB" w:rsidRDefault="00A0F983" w:rsidP="00080F2C">
            <w:pPr>
              <w:ind w:right="282"/>
              <w:contextualSpacing/>
            </w:pPr>
            <w:r w:rsidRPr="00A0F983">
              <w:rPr>
                <w:b/>
                <w:bCs/>
              </w:rPr>
              <w:t>Recipients</w:t>
            </w:r>
            <w:r>
              <w:t xml:space="preserve">: organisations in receipt of Grants </w:t>
            </w:r>
          </w:p>
          <w:p w14:paraId="37DAD4E0" w14:textId="77777777" w:rsidR="00020B5F" w:rsidRPr="004E3BCB" w:rsidRDefault="00020B5F" w:rsidP="00AC03C0">
            <w:pPr>
              <w:ind w:left="29" w:right="282"/>
              <w:contextualSpacing/>
            </w:pPr>
          </w:p>
          <w:p w14:paraId="37DAD4E1" w14:textId="77777777" w:rsidR="00020B5F" w:rsidRPr="004E3BCB" w:rsidRDefault="00A0F983" w:rsidP="00494D3C">
            <w:pPr>
              <w:autoSpaceDE w:val="0"/>
              <w:autoSpaceDN w:val="0"/>
              <w:adjustRightInd w:val="0"/>
              <w:ind w:left="360" w:right="282" w:hanging="360"/>
              <w:rPr>
                <w:b/>
              </w:rPr>
            </w:pPr>
            <w:r w:rsidRPr="00A0F983">
              <w:rPr>
                <w:b/>
                <w:bCs/>
              </w:rPr>
              <w:t>Regulated unit(s) and/or qualification(s) on the QCF:</w:t>
            </w:r>
            <w:r>
              <w:t xml:space="preserve"> Qualifications and Credit Framework (QCF) unit(s) and qualification(s) that are on the Learning Aim Reference Application (LARA) (or successor systems) and approved for public funding</w:t>
            </w:r>
            <w:r w:rsidRPr="00A0F983">
              <w:rPr>
                <w:b/>
                <w:bCs/>
              </w:rPr>
              <w:t xml:space="preserve"> </w:t>
            </w:r>
          </w:p>
          <w:p w14:paraId="37DAD4E2" w14:textId="77777777" w:rsidR="00020B5F" w:rsidRPr="004E3BCB" w:rsidRDefault="00020B5F" w:rsidP="00AC03C0">
            <w:pPr>
              <w:ind w:left="360" w:right="282"/>
              <w:contextualSpacing/>
              <w:rPr>
                <w:b/>
              </w:rPr>
            </w:pPr>
          </w:p>
          <w:p w14:paraId="37DAD4E3" w14:textId="77777777" w:rsidR="00020B5F" w:rsidRPr="004E3BCB" w:rsidRDefault="00A0F983" w:rsidP="00AC03C0">
            <w:pPr>
              <w:ind w:right="282"/>
              <w:contextualSpacing/>
            </w:pPr>
            <w:r w:rsidRPr="00A0F983">
              <w:rPr>
                <w:b/>
                <w:bCs/>
              </w:rPr>
              <w:t>Services:</w:t>
            </w:r>
            <w:r>
              <w:t xml:space="preserve"> the management and running of community grants </w:t>
            </w:r>
          </w:p>
          <w:p w14:paraId="37DAD4E4" w14:textId="77777777" w:rsidR="00020B5F" w:rsidRPr="004E3BCB" w:rsidRDefault="00020B5F" w:rsidP="00AC03C0">
            <w:pPr>
              <w:ind w:right="282"/>
              <w:contextualSpacing/>
            </w:pPr>
          </w:p>
          <w:p w14:paraId="37DAD4E5" w14:textId="77777777" w:rsidR="00020B5F" w:rsidRPr="004E3BCB" w:rsidRDefault="00A0F983" w:rsidP="00494D3C">
            <w:pPr>
              <w:autoSpaceDE w:val="0"/>
              <w:autoSpaceDN w:val="0"/>
              <w:adjustRightInd w:val="0"/>
              <w:ind w:left="360" w:right="282" w:hanging="360"/>
            </w:pPr>
            <w:r w:rsidRPr="00A0F983">
              <w:rPr>
                <w:b/>
                <w:bCs/>
              </w:rPr>
              <w:t>Services Payments:</w:t>
            </w:r>
            <w:r>
              <w:t xml:space="preserve"> payments made or to be made by the SFA and ESF Funding for the Services</w:t>
            </w:r>
          </w:p>
          <w:p w14:paraId="37DAD4E6" w14:textId="77777777" w:rsidR="00020B5F" w:rsidRPr="004E3BCB" w:rsidRDefault="00020B5F" w:rsidP="00AC03C0">
            <w:pPr>
              <w:ind w:left="29" w:right="282" w:hanging="29"/>
              <w:contextualSpacing/>
            </w:pPr>
          </w:p>
          <w:p w14:paraId="37DAD4E8" w14:textId="77777777" w:rsidR="000C02F6" w:rsidRPr="004E3BCB" w:rsidRDefault="00A0F983" w:rsidP="00AC03C0">
            <w:pPr>
              <w:autoSpaceDE w:val="0"/>
              <w:autoSpaceDN w:val="0"/>
              <w:adjustRightInd w:val="0"/>
              <w:ind w:left="360" w:right="282" w:hanging="360"/>
              <w:rPr>
                <w:color w:val="FF0000"/>
              </w:rPr>
            </w:pPr>
            <w:r w:rsidRPr="00A0F983">
              <w:rPr>
                <w:b/>
                <w:bCs/>
              </w:rPr>
              <w:t xml:space="preserve">Third Sector: </w:t>
            </w:r>
            <w:r>
              <w:t>the part of an economy or society comprising non-governmental and non-profit making organisations or associations including charities, voluntary &amp; community groups etc.</w:t>
            </w:r>
          </w:p>
          <w:p w14:paraId="37DAD4E9" w14:textId="77777777" w:rsidR="000C02F6" w:rsidRPr="004E3BCB" w:rsidRDefault="000C02F6" w:rsidP="00AC03C0">
            <w:pPr>
              <w:autoSpaceDE w:val="0"/>
              <w:autoSpaceDN w:val="0"/>
              <w:adjustRightInd w:val="0"/>
              <w:ind w:left="360" w:right="282" w:hanging="360"/>
              <w:rPr>
                <w:color w:val="FF0000"/>
              </w:rPr>
            </w:pPr>
          </w:p>
          <w:p w14:paraId="37DAD4EA" w14:textId="77777777" w:rsidR="00AA35C7" w:rsidRPr="004E3BCB" w:rsidRDefault="00A0F983" w:rsidP="00494D3C">
            <w:pPr>
              <w:autoSpaceDE w:val="0"/>
              <w:autoSpaceDN w:val="0"/>
              <w:adjustRightInd w:val="0"/>
              <w:ind w:left="360" w:right="282" w:hanging="360"/>
            </w:pPr>
            <w:r w:rsidRPr="00A0F983">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37DAD4EC" w14:textId="77777777" w:rsidR="00200BC6" w:rsidRPr="004E3BCB" w:rsidRDefault="00200BC6" w:rsidP="00AC03C0">
            <w:pPr>
              <w:ind w:right="282"/>
            </w:pPr>
          </w:p>
        </w:tc>
      </w:tr>
      <w:tr w:rsidR="00967429" w:rsidRPr="00544738" w14:paraId="37DAD4EF" w14:textId="77777777" w:rsidTr="00A0F983">
        <w:trPr>
          <w:trHeight w:val="567"/>
        </w:trPr>
        <w:tc>
          <w:tcPr>
            <w:tcW w:w="5000" w:type="pct"/>
            <w:shd w:val="clear" w:color="auto" w:fill="D9D9D9" w:themeFill="background1" w:themeFillShade="D9"/>
            <w:vAlign w:val="center"/>
          </w:tcPr>
          <w:p w14:paraId="37DAD4EE" w14:textId="77777777" w:rsidR="00967429" w:rsidRPr="004E3BCB" w:rsidRDefault="00A0F983" w:rsidP="00AC03C0">
            <w:pPr>
              <w:autoSpaceDE w:val="0"/>
              <w:autoSpaceDN w:val="0"/>
              <w:adjustRightInd w:val="0"/>
              <w:ind w:right="282"/>
              <w:rPr>
                <w:rFonts w:cs="Arial"/>
                <w:b/>
                <w:lang w:eastAsia="en-GB"/>
              </w:rPr>
            </w:pPr>
            <w:r w:rsidRPr="00A0F983">
              <w:rPr>
                <w:rFonts w:eastAsia="Arial" w:cs="Arial"/>
                <w:b/>
                <w:bCs/>
                <w:lang w:eastAsia="en-GB"/>
              </w:rPr>
              <w:lastRenderedPageBreak/>
              <w:t>SERVICE REQUIREMENTS</w:t>
            </w:r>
          </w:p>
        </w:tc>
      </w:tr>
      <w:tr w:rsidR="00967429" w:rsidRPr="00544738" w14:paraId="37DAD553" w14:textId="77777777" w:rsidTr="00A0F983">
        <w:tc>
          <w:tcPr>
            <w:tcW w:w="5000" w:type="pct"/>
          </w:tcPr>
          <w:p w14:paraId="37DAD4F1" w14:textId="77777777" w:rsidR="002E25F4" w:rsidRPr="002833D9" w:rsidRDefault="002E25F4" w:rsidP="00AC03C0">
            <w:pPr>
              <w:ind w:right="282"/>
              <w:rPr>
                <w:rFonts w:cs="Arial"/>
              </w:rPr>
            </w:pPr>
          </w:p>
          <w:p w14:paraId="37DAD4F2" w14:textId="77777777" w:rsidR="002E25F4" w:rsidRPr="004E3BCB" w:rsidRDefault="00A0F983" w:rsidP="00AC03C0">
            <w:pPr>
              <w:ind w:right="282"/>
              <w:rPr>
                <w:rFonts w:cs="Arial"/>
              </w:rPr>
            </w:pPr>
            <w:r w:rsidRPr="00A0F983">
              <w:rPr>
                <w:rFonts w:eastAsia="Arial" w:cs="Arial"/>
              </w:rPr>
              <w:t>All activities must complement and avoid duplication with other provision, thereby adding value to Department for Work and Pensions, Big Lottery, Education Funding Agency, SFA, local authority, National Careers Service and the new Careers Enterprise Company funded services. Successful candidates will be required to ensure that ESF funded services will clearly add value and not duplicate any delivery that can be arranged locally through existing mainstream institutions.</w:t>
            </w:r>
          </w:p>
          <w:p w14:paraId="37DAD4F3" w14:textId="77777777" w:rsidR="00B305E3" w:rsidRDefault="00B305E3" w:rsidP="00AC03C0">
            <w:pPr>
              <w:ind w:right="282"/>
              <w:rPr>
                <w:rFonts w:cs="Arial"/>
                <w:highlight w:val="yellow"/>
              </w:rPr>
            </w:pPr>
          </w:p>
          <w:p w14:paraId="37DAD4F4" w14:textId="77777777" w:rsidR="006372B3" w:rsidRDefault="00A0F983" w:rsidP="00AC03C0">
            <w:pPr>
              <w:pStyle w:val="numberedparagraph"/>
              <w:numPr>
                <w:ilvl w:val="3"/>
                <w:numId w:val="0"/>
              </w:numPr>
              <w:ind w:left="29" w:right="282" w:hanging="29"/>
            </w:pPr>
            <w:r>
              <w:t>The section sets out the details of the services which the successful candidate will be required to deliver as the Managing Agent for Community Grants.</w:t>
            </w:r>
          </w:p>
          <w:p w14:paraId="6390FF4C" w14:textId="77777777" w:rsidR="00494D3C" w:rsidRDefault="00494D3C" w:rsidP="00AC03C0">
            <w:pPr>
              <w:ind w:right="282"/>
              <w:rPr>
                <w:rFonts w:cs="Arial"/>
                <w:b/>
                <w:i/>
              </w:rPr>
            </w:pPr>
          </w:p>
          <w:p w14:paraId="37DAD4F7" w14:textId="25739F37" w:rsidR="00B2490D" w:rsidRPr="00494D3C" w:rsidRDefault="00A0F983" w:rsidP="00494D3C">
            <w:pPr>
              <w:ind w:right="282"/>
              <w:rPr>
                <w:b/>
                <w:i/>
              </w:rPr>
            </w:pPr>
            <w:r w:rsidRPr="00A0F983">
              <w:rPr>
                <w:rFonts w:eastAsia="Arial" w:cs="Arial"/>
                <w:b/>
                <w:bCs/>
                <w:i/>
                <w:iCs/>
              </w:rPr>
              <w:t>Capacity and Capability</w:t>
            </w:r>
          </w:p>
          <w:p w14:paraId="37DAD4F9" w14:textId="506AE88F" w:rsidR="005C196E" w:rsidRDefault="00A0F983" w:rsidP="00494D3C">
            <w:pPr>
              <w:pStyle w:val="numberedparagraph"/>
              <w:numPr>
                <w:ilvl w:val="3"/>
                <w:numId w:val="0"/>
              </w:numPr>
              <w:ind w:left="29" w:right="282" w:hanging="29"/>
              <w:rPr>
                <w:bCs/>
                <w:lang w:eastAsia="en-GB"/>
              </w:rPr>
            </w:pPr>
            <w:r>
              <w:lastRenderedPageBreak/>
              <w:t>The</w:t>
            </w:r>
            <w:r w:rsidRPr="00A0F983">
              <w:rPr>
                <w:lang w:eastAsia="en-GB"/>
              </w:rPr>
              <w:t xml:space="preserve"> successful Candidate will need to have the capacity to deliver the Services immediately upon commencement of the contract and delivery of the Services   must not be delayed in any way by any recruitment of staff establishment of systems or relationships required.</w:t>
            </w:r>
          </w:p>
          <w:p w14:paraId="5E24762D" w14:textId="77777777" w:rsidR="00494D3C" w:rsidRDefault="00494D3C" w:rsidP="00494D3C">
            <w:pPr>
              <w:pStyle w:val="numberedparagraph"/>
              <w:numPr>
                <w:ilvl w:val="0"/>
                <w:numId w:val="0"/>
              </w:numPr>
              <w:ind w:left="29" w:right="282" w:hanging="29"/>
              <w:rPr>
                <w:szCs w:val="22"/>
              </w:rPr>
            </w:pPr>
          </w:p>
          <w:p w14:paraId="37DAD4FA" w14:textId="77777777" w:rsidR="00A55BAF" w:rsidRPr="004E3BCB" w:rsidRDefault="00A0F983" w:rsidP="00494D3C">
            <w:pPr>
              <w:pStyle w:val="numberedparagraph"/>
              <w:numPr>
                <w:ilvl w:val="3"/>
                <w:numId w:val="0"/>
              </w:numPr>
              <w:ind w:left="29" w:right="282" w:hanging="29"/>
              <w:rPr>
                <w:szCs w:val="22"/>
              </w:rPr>
            </w:pPr>
            <w:r>
              <w:t>The successful Candidate will need to carry out the following activities:</w:t>
            </w:r>
          </w:p>
          <w:p w14:paraId="37DAD4FB" w14:textId="77777777" w:rsidR="00A55BAF" w:rsidRPr="004E3BCB" w:rsidRDefault="00A55BAF" w:rsidP="00AC03C0">
            <w:pPr>
              <w:ind w:right="282"/>
              <w:rPr>
                <w:rFonts w:cs="Arial"/>
                <w:szCs w:val="22"/>
              </w:rPr>
            </w:pPr>
          </w:p>
          <w:p w14:paraId="37DAD4FC" w14:textId="0B1E9892" w:rsidR="00140390" w:rsidRPr="004E3BCB" w:rsidRDefault="00A0F983" w:rsidP="00574448">
            <w:pPr>
              <w:pStyle w:val="ListParagraph"/>
              <w:numPr>
                <w:ilvl w:val="0"/>
                <w:numId w:val="8"/>
              </w:numPr>
              <w:ind w:right="282"/>
            </w:pPr>
            <w:r>
              <w:t xml:space="preserve">Develop and deliver an engagement and marketing strategy which reflects the LEP specific requirements to encourage relevant applications from appropriate organisations for Grants </w:t>
            </w:r>
          </w:p>
          <w:p w14:paraId="37DAD4FD" w14:textId="245403BC" w:rsidR="00A55BAF" w:rsidRPr="004E3BCB" w:rsidRDefault="00A0F983" w:rsidP="00574448">
            <w:pPr>
              <w:pStyle w:val="ListParagraph"/>
              <w:numPr>
                <w:ilvl w:val="0"/>
                <w:numId w:val="8"/>
              </w:numPr>
              <w:ind w:right="282"/>
            </w:pPr>
            <w:r>
              <w:t>Publicise the availability of Grants and making calls for applications in line with agreed priorities in the LEP area</w:t>
            </w:r>
          </w:p>
          <w:p w14:paraId="37DAD4FE" w14:textId="57063E4B" w:rsidR="00140390" w:rsidRPr="004E3BCB" w:rsidRDefault="00A0F983" w:rsidP="00A0F983">
            <w:pPr>
              <w:pStyle w:val="ListParagraph"/>
              <w:numPr>
                <w:ilvl w:val="0"/>
                <w:numId w:val="8"/>
              </w:numPr>
              <w:ind w:right="282"/>
              <w:rPr>
                <w:rFonts w:eastAsia="Arial" w:cs="Arial"/>
              </w:rPr>
            </w:pPr>
            <w:r>
              <w:t>Develop an application process and timetable to ensure at least three calls for grant applications throughout the lifetime of the contract (this may be a rolling programme)</w:t>
            </w:r>
          </w:p>
          <w:p w14:paraId="37DAD4FF" w14:textId="661C81EE" w:rsidR="00DC32A0" w:rsidRPr="004E3BCB" w:rsidRDefault="00A0F983" w:rsidP="00574448">
            <w:pPr>
              <w:pStyle w:val="ListParagraph"/>
              <w:numPr>
                <w:ilvl w:val="0"/>
                <w:numId w:val="8"/>
              </w:numPr>
              <w:ind w:right="282"/>
            </w:pPr>
            <w:r>
              <w:t xml:space="preserve">Receive and assess applications for Grants using a common set of open and transparent criteria which meet the specific requirements for the LEP set out below </w:t>
            </w:r>
          </w:p>
          <w:p w14:paraId="37DAD500" w14:textId="77777777" w:rsidR="00A55BAF" w:rsidRPr="004E3BCB" w:rsidRDefault="00A0F983" w:rsidP="00574448">
            <w:pPr>
              <w:pStyle w:val="ListParagraph"/>
              <w:numPr>
                <w:ilvl w:val="0"/>
                <w:numId w:val="8"/>
              </w:numPr>
              <w:ind w:right="282"/>
            </w:pPr>
            <w:r>
              <w:t xml:space="preserve">Manage volume of applications from </w:t>
            </w:r>
            <w:r w:rsidRPr="00A0F983">
              <w:rPr>
                <w:i/>
                <w:iCs/>
              </w:rPr>
              <w:t>the</w:t>
            </w:r>
            <w:r>
              <w:t xml:space="preserve"> geographical area(s)</w:t>
            </w:r>
          </w:p>
          <w:p w14:paraId="37DAD501" w14:textId="443095A1" w:rsidR="00A55BAF" w:rsidRPr="004E3BCB" w:rsidRDefault="00A0F983" w:rsidP="00574448">
            <w:pPr>
              <w:pStyle w:val="ListParagraph"/>
              <w:numPr>
                <w:ilvl w:val="0"/>
                <w:numId w:val="8"/>
              </w:numPr>
              <w:ind w:right="282"/>
            </w:pPr>
            <w:r>
              <w:t>Select successful applicants, agreeing level of approved Grant and planned outcomes and issue Grant agreement setting out conditions of Grant</w:t>
            </w:r>
          </w:p>
          <w:p w14:paraId="37DAD502" w14:textId="77777777" w:rsidR="00A55BAF" w:rsidRPr="004E3BCB" w:rsidRDefault="00A0F983" w:rsidP="00574448">
            <w:pPr>
              <w:pStyle w:val="ListParagraph"/>
              <w:numPr>
                <w:ilvl w:val="0"/>
                <w:numId w:val="8"/>
              </w:numPr>
              <w:ind w:right="282"/>
            </w:pPr>
            <w:r>
              <w:t xml:space="preserve">Provide support to Grant recipients to help them manage ESF funds especially in maintaining records of actual grant expenditure to ensure a full audit trail  </w:t>
            </w:r>
          </w:p>
          <w:p w14:paraId="37DAD503" w14:textId="090668F7" w:rsidR="00A55BAF" w:rsidRPr="004E3BCB" w:rsidRDefault="00A0F983" w:rsidP="00574448">
            <w:pPr>
              <w:pStyle w:val="ListParagraph"/>
              <w:numPr>
                <w:ilvl w:val="0"/>
                <w:numId w:val="8"/>
              </w:numPr>
              <w:ind w:right="282"/>
            </w:pPr>
            <w:r>
              <w:t>Ensure that Grant recipients keep financial records such as invoices to support expenditure, bank statements, staff time sheets, job descriptions, expense payments in accordance with Grant agreement</w:t>
            </w:r>
          </w:p>
          <w:p w14:paraId="37DAD504" w14:textId="17ADEC43" w:rsidR="00A55BAF" w:rsidRPr="004E3BCB" w:rsidRDefault="00A0F983" w:rsidP="00574448">
            <w:pPr>
              <w:pStyle w:val="ListParagraph"/>
              <w:numPr>
                <w:ilvl w:val="0"/>
                <w:numId w:val="8"/>
              </w:numPr>
              <w:ind w:right="282"/>
            </w:pPr>
            <w:r>
              <w:t xml:space="preserve">Monitor performance and delivery by Grant recipients in accordance with Grant agreement and report on performance to the SFA including the impact of delivery in supporting employment outcomes for individual beneficiaries. </w:t>
            </w:r>
          </w:p>
          <w:p w14:paraId="37DAD505" w14:textId="77777777" w:rsidR="00A55BAF" w:rsidRPr="004E3BCB" w:rsidRDefault="00A55BAF" w:rsidP="00AC03C0">
            <w:pPr>
              <w:ind w:right="282"/>
              <w:rPr>
                <w:rFonts w:cs="Arial"/>
                <w:b/>
                <w:i/>
              </w:rPr>
            </w:pPr>
          </w:p>
          <w:p w14:paraId="37DAD507" w14:textId="6DEA8B27" w:rsidR="00005B67" w:rsidRPr="004E3BCB" w:rsidRDefault="00A0F983" w:rsidP="00494D3C">
            <w:pPr>
              <w:ind w:right="282"/>
              <w:rPr>
                <w:rFonts w:cs="Arial"/>
              </w:rPr>
            </w:pPr>
            <w:r w:rsidRPr="00A0F983">
              <w:rPr>
                <w:rFonts w:eastAsia="Arial" w:cs="Arial"/>
                <w:b/>
                <w:bCs/>
                <w:i/>
                <w:iCs/>
              </w:rPr>
              <w:t>Market intelligence and local knowledge</w:t>
            </w:r>
          </w:p>
          <w:p w14:paraId="4A2023D3" w14:textId="37698427" w:rsidR="008E606E" w:rsidRDefault="00A0F983" w:rsidP="008E606E">
            <w:pPr>
              <w:rPr>
                <w:rFonts w:cs="Arial"/>
              </w:rPr>
            </w:pPr>
            <w:r w:rsidRPr="00A0F983">
              <w:rPr>
                <w:rFonts w:eastAsia="Arial" w:cs="Arial"/>
              </w:rPr>
              <w:t>The successful delivery of the Services requires:</w:t>
            </w:r>
          </w:p>
          <w:p w14:paraId="4E0B2DFE" w14:textId="278CF09B" w:rsidR="008E606E" w:rsidRDefault="00A0F983" w:rsidP="00A0F983">
            <w:pPr>
              <w:pStyle w:val="ListParagraph"/>
              <w:numPr>
                <w:ilvl w:val="0"/>
                <w:numId w:val="10"/>
              </w:numPr>
              <w:rPr>
                <w:rFonts w:eastAsia="Arial" w:cs="Arial"/>
              </w:rPr>
            </w:pPr>
            <w:r w:rsidRPr="00A0F983">
              <w:rPr>
                <w:rFonts w:eastAsia="Arial" w:cs="Arial"/>
              </w:rPr>
              <w:t>a comprehensive understanding of the current employment market, the current and future social and economic indicators including labour market intelligence and local stakeholder needs</w:t>
            </w:r>
          </w:p>
          <w:p w14:paraId="1DF04909" w14:textId="65FF9479" w:rsidR="008E606E" w:rsidRPr="00BB4B1A" w:rsidRDefault="00A0F983" w:rsidP="00A0F983">
            <w:pPr>
              <w:pStyle w:val="ListParagraph"/>
              <w:numPr>
                <w:ilvl w:val="0"/>
                <w:numId w:val="10"/>
              </w:numPr>
              <w:rPr>
                <w:rFonts w:eastAsia="Arial" w:cs="Arial"/>
              </w:rPr>
            </w:pPr>
            <w:r w:rsidRPr="00A0F983">
              <w:rPr>
                <w:rFonts w:eastAsia="Arial" w:cs="Arial"/>
              </w:rPr>
              <w:t>effective arrangements to ensure the active engagement of key stakeholders including third sector organisations.</w:t>
            </w:r>
          </w:p>
          <w:p w14:paraId="37DAD50F" w14:textId="77777777" w:rsidR="002476AE" w:rsidRPr="004E3BCB" w:rsidRDefault="002476AE" w:rsidP="008E606E">
            <w:pPr>
              <w:pStyle w:val="letteredlist"/>
              <w:numPr>
                <w:ilvl w:val="0"/>
                <w:numId w:val="0"/>
              </w:numPr>
              <w:ind w:right="282"/>
              <w:rPr>
                <w:color w:val="FF0000"/>
              </w:rPr>
            </w:pPr>
          </w:p>
          <w:p w14:paraId="37DAD510" w14:textId="77777777" w:rsidR="002476AE" w:rsidRPr="004E3BCB" w:rsidRDefault="00A0F983" w:rsidP="00494D3C">
            <w:pPr>
              <w:ind w:right="282"/>
              <w:rPr>
                <w:b/>
                <w:i/>
              </w:rPr>
            </w:pPr>
            <w:r w:rsidRPr="00A0F983">
              <w:rPr>
                <w:rFonts w:eastAsia="Arial" w:cs="Arial"/>
                <w:b/>
                <w:bCs/>
                <w:i/>
                <w:iCs/>
              </w:rPr>
              <w:t>Performance management</w:t>
            </w:r>
          </w:p>
          <w:p w14:paraId="37DAD511" w14:textId="77777777" w:rsidR="002476AE" w:rsidRPr="004E3BCB" w:rsidRDefault="00A0F983" w:rsidP="00494D3C">
            <w:pPr>
              <w:ind w:right="282"/>
            </w:pPr>
            <w:r w:rsidRPr="00A0F983">
              <w:rPr>
                <w:rFonts w:eastAsia="Arial" w:cs="Arial"/>
              </w:rPr>
              <w:t>The successful Candidate must develop and implement robust performance monitoring arrangements for the Grant recipients of the LEP area(s).</w:t>
            </w:r>
          </w:p>
          <w:p w14:paraId="37DAD512" w14:textId="77777777" w:rsidR="002476AE" w:rsidRPr="004E3BCB" w:rsidRDefault="002476AE" w:rsidP="00AC03C0">
            <w:pPr>
              <w:ind w:left="360" w:right="282"/>
            </w:pPr>
          </w:p>
          <w:p w14:paraId="37DAD513" w14:textId="77777777" w:rsidR="00A55BAF" w:rsidRPr="004E3BCB" w:rsidRDefault="00A0F983" w:rsidP="00494D3C">
            <w:pPr>
              <w:ind w:right="282"/>
              <w:rPr>
                <w:rFonts w:cs="Arial"/>
              </w:rPr>
            </w:pPr>
            <w:r w:rsidRPr="00A0F983">
              <w:rPr>
                <w:rFonts w:eastAsia="Arial" w:cs="Arial"/>
              </w:rPr>
              <w:t>The successful Candidate must have in place quality assurance and improvement processes.</w:t>
            </w:r>
          </w:p>
          <w:p w14:paraId="37DAD514" w14:textId="77777777" w:rsidR="00A55BAF" w:rsidRPr="004E3BCB" w:rsidRDefault="00A55BAF" w:rsidP="00AC03C0">
            <w:pPr>
              <w:pStyle w:val="letteredlist"/>
              <w:numPr>
                <w:ilvl w:val="0"/>
                <w:numId w:val="0"/>
              </w:numPr>
              <w:ind w:left="964" w:right="282"/>
            </w:pPr>
          </w:p>
          <w:p w14:paraId="37DAD515" w14:textId="77777777" w:rsidR="002476AE" w:rsidRPr="004E3BCB" w:rsidRDefault="00A0F983" w:rsidP="00494D3C">
            <w:pPr>
              <w:ind w:right="282"/>
              <w:rPr>
                <w:b/>
                <w:i/>
              </w:rPr>
            </w:pPr>
            <w:r w:rsidRPr="00A0F983">
              <w:rPr>
                <w:rFonts w:eastAsia="Arial" w:cs="Arial"/>
                <w:b/>
                <w:bCs/>
                <w:i/>
                <w:iCs/>
              </w:rPr>
              <w:t>Financial management</w:t>
            </w:r>
          </w:p>
          <w:p w14:paraId="633E034C" w14:textId="040A9490" w:rsidR="54DDB94F" w:rsidRDefault="00A0F983" w:rsidP="54DDB94F">
            <w:pPr>
              <w:ind w:right="282"/>
              <w:rPr>
                <w:rFonts w:eastAsia="Arial" w:cs="Arial"/>
              </w:rPr>
            </w:pPr>
            <w:r w:rsidRPr="00A0F983">
              <w:rPr>
                <w:rFonts w:eastAsia="Arial" w:cs="Arial"/>
              </w:rPr>
              <w:t>The successful Candidate will manage the funding available to ensure that it only awards Grants for projects which meet the LEP requirements set out below.  Where there is more than one table in the Funding and Deliverables section of this specification, the Candidate must manage the funding and Grants for each one separately.</w:t>
            </w:r>
          </w:p>
          <w:p w14:paraId="38E9FFE4" w14:textId="77777777" w:rsidR="006A6203" w:rsidRDefault="006A6203" w:rsidP="54DDB94F">
            <w:pPr>
              <w:ind w:right="282"/>
            </w:pPr>
          </w:p>
          <w:p w14:paraId="37DAD51B" w14:textId="6F267748" w:rsidR="002476AE" w:rsidRPr="00311C62" w:rsidRDefault="00A0F983" w:rsidP="00494D3C">
            <w:pPr>
              <w:ind w:right="282"/>
              <w:rPr>
                <w:rFonts w:cs="Arial"/>
              </w:rPr>
            </w:pPr>
            <w:r w:rsidRPr="00A0F983">
              <w:rPr>
                <w:rFonts w:eastAsia="Arial" w:cs="Arial"/>
              </w:rPr>
              <w:t>Monthly financial reports detailing grants awarded must be provided by LEP area.</w:t>
            </w:r>
          </w:p>
          <w:p w14:paraId="4EDDB603" w14:textId="77777777" w:rsidR="004E3BCB" w:rsidRPr="00311C62" w:rsidRDefault="004E3BCB" w:rsidP="00AC03C0">
            <w:pPr>
              <w:ind w:left="360" w:right="282"/>
            </w:pPr>
          </w:p>
          <w:p w14:paraId="7D9E1E17" w14:textId="4F5F91A9" w:rsidR="004E3BCB" w:rsidRDefault="00A0F983" w:rsidP="00EC4B18">
            <w:pPr>
              <w:ind w:right="282"/>
              <w:rPr>
                <w:rFonts w:eastAsia="Arial" w:cs="Arial"/>
              </w:rPr>
            </w:pPr>
            <w:r w:rsidRPr="00A0F983">
              <w:rPr>
                <w:rFonts w:eastAsia="Arial" w:cs="Arial"/>
              </w:rPr>
              <w:t>The successful candidate will design and implement a payment system which protects public funding.</w:t>
            </w:r>
          </w:p>
          <w:p w14:paraId="32D4F4D3" w14:textId="77777777" w:rsidR="006A6203" w:rsidRPr="004E3BCB" w:rsidRDefault="006A6203" w:rsidP="00EC4B18">
            <w:pPr>
              <w:ind w:right="282"/>
            </w:pPr>
          </w:p>
          <w:p w14:paraId="37DAD51D" w14:textId="77777777" w:rsidR="002476AE" w:rsidRPr="004E3BCB" w:rsidRDefault="00A0F983" w:rsidP="00494D3C">
            <w:pPr>
              <w:ind w:right="282"/>
            </w:pPr>
            <w:r w:rsidRPr="00A0F983">
              <w:rPr>
                <w:rFonts w:eastAsia="Arial" w:cs="Arial"/>
              </w:rPr>
              <w:t xml:space="preserve">Systems will be implemented which ensure compliance with ESF including internal audit functions. </w:t>
            </w:r>
          </w:p>
          <w:p w14:paraId="123091F3" w14:textId="77777777" w:rsidR="00311C62" w:rsidRPr="004E3BCB" w:rsidRDefault="00311C62" w:rsidP="00AC03C0">
            <w:pPr>
              <w:ind w:right="282"/>
              <w:rPr>
                <w:b/>
                <w:i/>
              </w:rPr>
            </w:pPr>
          </w:p>
          <w:p w14:paraId="37DAD520" w14:textId="5DA175A8" w:rsidR="009876C0" w:rsidRPr="00EC4B18" w:rsidRDefault="00A0F983" w:rsidP="00EC4B18">
            <w:pPr>
              <w:ind w:right="282"/>
              <w:rPr>
                <w:b/>
                <w:i/>
              </w:rPr>
            </w:pPr>
            <w:r w:rsidRPr="00A0F983">
              <w:rPr>
                <w:rFonts w:eastAsia="Arial" w:cs="Arial"/>
                <w:b/>
                <w:bCs/>
                <w:i/>
                <w:iCs/>
              </w:rPr>
              <w:t>Management information and reporting</w:t>
            </w:r>
          </w:p>
          <w:p w14:paraId="37DAD521" w14:textId="77777777" w:rsidR="006372B3" w:rsidRPr="004E3BCB" w:rsidRDefault="00A0F983" w:rsidP="00494D3C">
            <w:pPr>
              <w:ind w:right="282"/>
            </w:pPr>
            <w:r w:rsidRPr="00A0F983">
              <w:rPr>
                <w:rFonts w:eastAsia="Arial" w:cs="Arial"/>
              </w:rPr>
              <w:t>A management information system will be in place to enable the submission of data to the Skills Funding Agency via the Individual Learner Record.</w:t>
            </w:r>
          </w:p>
          <w:p w14:paraId="37DAD522" w14:textId="093AA4D7" w:rsidR="002476AE" w:rsidRPr="004E3BCB" w:rsidRDefault="00A0F983" w:rsidP="00494D3C">
            <w:pPr>
              <w:ind w:right="282"/>
            </w:pPr>
            <w:r w:rsidRPr="00A0F983">
              <w:rPr>
                <w:rFonts w:eastAsia="Arial" w:cs="Arial"/>
              </w:rPr>
              <w:t>Data and Management Information will be collected which generates eligible payments from the SFA and supports the performance management process; supports additional performance information for each LEP and provides further economic intelligence of skills to support future devolution of adult skills provision within the LEP area.</w:t>
            </w:r>
          </w:p>
          <w:p w14:paraId="37DAD523" w14:textId="77777777" w:rsidR="009876C0" w:rsidRPr="004E3BCB" w:rsidRDefault="009876C0" w:rsidP="00AC03C0">
            <w:pPr>
              <w:ind w:left="360" w:right="282"/>
            </w:pPr>
          </w:p>
          <w:p w14:paraId="092B68C5" w14:textId="02B7034F" w:rsidR="00494D3C" w:rsidRDefault="00A0F983" w:rsidP="00494D3C">
            <w:pPr>
              <w:ind w:right="282"/>
              <w:rPr>
                <w:rFonts w:cs="Arial"/>
              </w:rPr>
            </w:pPr>
            <w:r w:rsidRPr="00A0F983">
              <w:rPr>
                <w:rFonts w:eastAsia="Arial" w:cs="Arial"/>
              </w:rPr>
              <w:t xml:space="preserve">Quarterly information will be required and will as a minimum include: </w:t>
            </w:r>
          </w:p>
          <w:p w14:paraId="6C3EF4DD" w14:textId="77777777" w:rsidR="00080F2C" w:rsidRPr="00494D3C" w:rsidRDefault="00080F2C" w:rsidP="00494D3C">
            <w:pPr>
              <w:ind w:right="282"/>
              <w:rPr>
                <w:rFonts w:cs="Arial"/>
              </w:rPr>
            </w:pPr>
          </w:p>
          <w:p w14:paraId="37DAD525" w14:textId="77777777" w:rsidR="006372B3" w:rsidRPr="004E3BCB" w:rsidRDefault="00A0F983" w:rsidP="00574448">
            <w:pPr>
              <w:pStyle w:val="ListParagraph"/>
              <w:numPr>
                <w:ilvl w:val="0"/>
                <w:numId w:val="9"/>
              </w:numPr>
            </w:pPr>
            <w:r>
              <w:t xml:space="preserve">Number of applications for grants received </w:t>
            </w:r>
          </w:p>
          <w:p w14:paraId="37DAD526" w14:textId="49933A8F" w:rsidR="006372B3" w:rsidRPr="004E3BCB" w:rsidRDefault="00A0F983" w:rsidP="00574448">
            <w:pPr>
              <w:pStyle w:val="ListParagraph"/>
              <w:numPr>
                <w:ilvl w:val="0"/>
                <w:numId w:val="9"/>
              </w:numPr>
            </w:pPr>
            <w:r>
              <w:t xml:space="preserve">Number and value of grants awarded </w:t>
            </w:r>
          </w:p>
          <w:p w14:paraId="37DAD527" w14:textId="187C3ED1" w:rsidR="006372B3" w:rsidRPr="004E3BCB" w:rsidRDefault="00A0F983" w:rsidP="00574448">
            <w:pPr>
              <w:pStyle w:val="ListParagraph"/>
              <w:numPr>
                <w:ilvl w:val="0"/>
                <w:numId w:val="9"/>
              </w:numPr>
            </w:pPr>
            <w:r>
              <w:t xml:space="preserve">Average value of grants awarded </w:t>
            </w:r>
          </w:p>
          <w:p w14:paraId="37DAD528" w14:textId="1450D07E" w:rsidR="006372B3" w:rsidRPr="004E3BCB" w:rsidRDefault="00A0F983" w:rsidP="00574448">
            <w:pPr>
              <w:pStyle w:val="ListParagraph"/>
              <w:numPr>
                <w:ilvl w:val="0"/>
                <w:numId w:val="9"/>
              </w:numPr>
            </w:pPr>
            <w:r>
              <w:t xml:space="preserve">Number of participants supported through grants </w:t>
            </w:r>
          </w:p>
          <w:p w14:paraId="37DAD529" w14:textId="7B870657" w:rsidR="006372B3" w:rsidRPr="004E3BCB" w:rsidRDefault="00A0F983" w:rsidP="00574448">
            <w:pPr>
              <w:pStyle w:val="ListParagraph"/>
              <w:numPr>
                <w:ilvl w:val="0"/>
                <w:numId w:val="9"/>
              </w:numPr>
            </w:pPr>
            <w:r>
              <w:t xml:space="preserve">Number of participants helped into employment </w:t>
            </w:r>
          </w:p>
          <w:p w14:paraId="37DAD52A" w14:textId="0519F0A8" w:rsidR="006372B3" w:rsidRPr="004E3BCB" w:rsidRDefault="00A0F983" w:rsidP="00574448">
            <w:pPr>
              <w:pStyle w:val="ListParagraph"/>
              <w:numPr>
                <w:ilvl w:val="0"/>
                <w:numId w:val="9"/>
              </w:numPr>
            </w:pPr>
            <w:r>
              <w:t xml:space="preserve">Qualification level or module achieved </w:t>
            </w:r>
          </w:p>
          <w:p w14:paraId="37DAD52B" w14:textId="10520893" w:rsidR="006372B3" w:rsidRPr="004E3BCB" w:rsidRDefault="00A0F983" w:rsidP="00574448">
            <w:pPr>
              <w:pStyle w:val="ListParagraph"/>
              <w:numPr>
                <w:ilvl w:val="0"/>
                <w:numId w:val="9"/>
              </w:numPr>
            </w:pPr>
            <w:r>
              <w:t xml:space="preserve">Progression into further learning/education </w:t>
            </w:r>
          </w:p>
          <w:p w14:paraId="37DAD52C" w14:textId="7D2B299C" w:rsidR="006372B3" w:rsidRPr="004E3BCB" w:rsidRDefault="00A0F983" w:rsidP="00574448">
            <w:pPr>
              <w:pStyle w:val="ListParagraph"/>
              <w:numPr>
                <w:ilvl w:val="0"/>
                <w:numId w:val="9"/>
              </w:numPr>
            </w:pPr>
            <w:r>
              <w:t xml:space="preserve">Outcomes achieved by the grant recipients including soft outcomes using RARPA principles </w:t>
            </w:r>
          </w:p>
          <w:p w14:paraId="37DAD52D" w14:textId="77777777" w:rsidR="006372B3" w:rsidRPr="004E3BCB" w:rsidRDefault="00A0F983" w:rsidP="00574448">
            <w:pPr>
              <w:pStyle w:val="ListParagraph"/>
              <w:numPr>
                <w:ilvl w:val="0"/>
                <w:numId w:val="9"/>
              </w:numPr>
            </w:pPr>
            <w:r>
              <w:t>Preparation of case studies of how grants have supported specific target groups and specific outcomes, as advised by the SFA</w:t>
            </w:r>
          </w:p>
          <w:p w14:paraId="37DAD52E" w14:textId="08497CEE" w:rsidR="006372B3" w:rsidRPr="004E3BCB" w:rsidRDefault="00A0F983" w:rsidP="00574448">
            <w:pPr>
              <w:pStyle w:val="ListParagraph"/>
              <w:numPr>
                <w:ilvl w:val="0"/>
                <w:numId w:val="9"/>
              </w:numPr>
            </w:pPr>
            <w:r>
              <w:t>Summary of how grants have supported LEP priorities as advised by the SFA.</w:t>
            </w:r>
          </w:p>
          <w:p w14:paraId="37DAD52F" w14:textId="77777777" w:rsidR="006372B3" w:rsidRPr="004E3BCB" w:rsidRDefault="006372B3" w:rsidP="00AC03C0">
            <w:pPr>
              <w:pStyle w:val="letteredlist"/>
              <w:numPr>
                <w:ilvl w:val="0"/>
                <w:numId w:val="0"/>
              </w:numPr>
              <w:ind w:left="964" w:right="282"/>
            </w:pPr>
          </w:p>
          <w:p w14:paraId="37DAD530" w14:textId="0EE63141" w:rsidR="002476AE" w:rsidRPr="004E3BCB" w:rsidRDefault="00A0F983" w:rsidP="00EC4B18">
            <w:pPr>
              <w:ind w:right="282"/>
            </w:pPr>
            <w:r w:rsidRPr="00A0F983">
              <w:rPr>
                <w:rFonts w:eastAsia="Arial" w:cs="Arial"/>
              </w:rPr>
              <w:lastRenderedPageBreak/>
              <w:t>Additional</w:t>
            </w:r>
            <w:r>
              <w:t xml:space="preserve"> reports will be produced as required by the LEP. This includes labour market intelligence to support future strategic developments for skills within the LEP area.</w:t>
            </w:r>
          </w:p>
          <w:p w14:paraId="37DAD531" w14:textId="77777777" w:rsidR="008A4DF1" w:rsidRPr="004E3BCB" w:rsidRDefault="008A4DF1" w:rsidP="00AC03C0">
            <w:pPr>
              <w:pStyle w:val="letteredlist"/>
              <w:numPr>
                <w:ilvl w:val="0"/>
                <w:numId w:val="0"/>
              </w:numPr>
              <w:ind w:left="313" w:right="282"/>
            </w:pPr>
          </w:p>
          <w:p w14:paraId="37DAD532" w14:textId="2CBDFDD0" w:rsidR="008A4DF1" w:rsidRPr="004E3BCB" w:rsidRDefault="00A0F983" w:rsidP="008A4DF1">
            <w:pPr>
              <w:pStyle w:val="letteredlist"/>
              <w:numPr>
                <w:ilvl w:val="4"/>
                <w:numId w:val="0"/>
              </w:numPr>
            </w:pPr>
            <w:r>
              <w:t xml:space="preserve">ILR data must be returned for each participant for the activity that is funded through the Grant.  This will include all regulated and non-regulated learning as well as their destination.  </w:t>
            </w:r>
          </w:p>
          <w:p w14:paraId="37DAD534" w14:textId="77777777" w:rsidR="006372B3" w:rsidRPr="00490282" w:rsidRDefault="006372B3" w:rsidP="00AC03C0">
            <w:pPr>
              <w:pStyle w:val="letteredlist"/>
              <w:numPr>
                <w:ilvl w:val="0"/>
                <w:numId w:val="0"/>
              </w:numPr>
              <w:ind w:left="964" w:right="282"/>
              <w:rPr>
                <w:b/>
                <w:highlight w:val="yellow"/>
              </w:rPr>
            </w:pPr>
          </w:p>
          <w:p w14:paraId="37DAD535" w14:textId="77777777" w:rsidR="00A55BAF" w:rsidRPr="004E3BCB" w:rsidRDefault="00A0F983" w:rsidP="00AC03C0">
            <w:pPr>
              <w:ind w:right="282"/>
              <w:rPr>
                <w:b/>
              </w:rPr>
            </w:pPr>
            <w:r w:rsidRPr="00A0F983">
              <w:rPr>
                <w:rFonts w:eastAsia="Arial" w:cs="Arial"/>
                <w:b/>
                <w:bCs/>
              </w:rPr>
              <w:t>Final Evaluation</w:t>
            </w:r>
            <w:r w:rsidRPr="00A0F983">
              <w:rPr>
                <w:b/>
                <w:bCs/>
                <w:i/>
                <w:iCs/>
              </w:rPr>
              <w:t xml:space="preserve"> </w:t>
            </w:r>
          </w:p>
          <w:p w14:paraId="37DAD536" w14:textId="77777777" w:rsidR="00A55BAF" w:rsidRPr="004E3BCB" w:rsidRDefault="00A55BAF" w:rsidP="00AC03C0">
            <w:pPr>
              <w:ind w:right="282"/>
            </w:pPr>
          </w:p>
          <w:p w14:paraId="37DAD537" w14:textId="77777777" w:rsidR="00A55BAF" w:rsidRPr="004E3BCB" w:rsidRDefault="00A0F983" w:rsidP="00EC4B18">
            <w:pPr>
              <w:ind w:right="282"/>
              <w:rPr>
                <w:rFonts w:cs="Arial"/>
              </w:rPr>
            </w:pPr>
            <w:r>
              <w:t xml:space="preserve">A project evaluation by LEP area must be conducted by the end of the project. </w:t>
            </w:r>
          </w:p>
          <w:p w14:paraId="37DAD538" w14:textId="77777777" w:rsidR="00A55BAF" w:rsidRPr="00384794" w:rsidRDefault="00A55BAF" w:rsidP="00AC03C0">
            <w:pPr>
              <w:autoSpaceDE w:val="0"/>
              <w:autoSpaceDN w:val="0"/>
              <w:adjustRightInd w:val="0"/>
              <w:ind w:right="282"/>
              <w:rPr>
                <w:rFonts w:cs="Arial"/>
                <w:b/>
                <w:lang w:eastAsia="en-GB"/>
              </w:rPr>
            </w:pPr>
          </w:p>
          <w:p w14:paraId="37DAD539" w14:textId="77777777" w:rsidR="00B048EE" w:rsidRDefault="00A0F983" w:rsidP="00AC03C0">
            <w:pPr>
              <w:ind w:right="282"/>
              <w:rPr>
                <w:rFonts w:cs="Arial"/>
                <w:b/>
              </w:rPr>
            </w:pPr>
            <w:r w:rsidRPr="00A0F983">
              <w:rPr>
                <w:rFonts w:eastAsia="Arial" w:cs="Arial"/>
                <w:b/>
                <w:bCs/>
              </w:rPr>
              <w:t>The specific LEP requirements for the award of Grants are set out below</w:t>
            </w:r>
          </w:p>
          <w:p w14:paraId="37DAD53A" w14:textId="77777777" w:rsidR="002D130A" w:rsidRDefault="002D130A" w:rsidP="00AC03C0">
            <w:pPr>
              <w:ind w:right="282"/>
              <w:rPr>
                <w:rFonts w:cs="Arial"/>
              </w:rPr>
            </w:pPr>
          </w:p>
          <w:p w14:paraId="37DAD53B" w14:textId="77777777" w:rsidR="002D130A" w:rsidRPr="002D130A" w:rsidRDefault="00A0F983" w:rsidP="00AC03C0">
            <w:pPr>
              <w:autoSpaceDE w:val="0"/>
              <w:autoSpaceDN w:val="0"/>
              <w:adjustRightInd w:val="0"/>
              <w:ind w:right="282"/>
              <w:rPr>
                <w:rFonts w:cs="Arial"/>
              </w:rPr>
            </w:pPr>
            <w:r w:rsidRPr="00A0F983">
              <w:rPr>
                <w:rFonts w:eastAsia="Arial" w:cs="Arial"/>
              </w:rPr>
              <w:t>Grant applications can be made three times a year.</w:t>
            </w:r>
          </w:p>
          <w:p w14:paraId="37DAD53C" w14:textId="77777777" w:rsidR="002D130A" w:rsidRPr="002D130A" w:rsidRDefault="002D130A" w:rsidP="00AC03C0">
            <w:pPr>
              <w:autoSpaceDE w:val="0"/>
              <w:autoSpaceDN w:val="0"/>
              <w:adjustRightInd w:val="0"/>
              <w:ind w:right="282"/>
              <w:rPr>
                <w:rFonts w:cs="Arial"/>
              </w:rPr>
            </w:pPr>
          </w:p>
          <w:p w14:paraId="37DAD53D" w14:textId="77777777" w:rsidR="002D130A" w:rsidRPr="002D130A" w:rsidRDefault="00A0F983" w:rsidP="00AC03C0">
            <w:pPr>
              <w:autoSpaceDE w:val="0"/>
              <w:autoSpaceDN w:val="0"/>
              <w:adjustRightInd w:val="0"/>
              <w:ind w:right="282"/>
              <w:rPr>
                <w:rFonts w:cs="Arial"/>
              </w:rPr>
            </w:pPr>
            <w:r w:rsidRPr="00A0F983">
              <w:rPr>
                <w:rFonts w:eastAsia="Arial" w:cs="Arial"/>
              </w:rPr>
              <w:t>All community, voluntary and faith organisations in Oxfordshire, including those in Oxford city, the rural areas and in market towns where there is demonstrable evidence of local social and economic deprivation will be able to apply for a Grant.</w:t>
            </w:r>
          </w:p>
          <w:p w14:paraId="37DAD53E" w14:textId="77777777" w:rsidR="002D130A" w:rsidRPr="002D130A" w:rsidRDefault="002D130A" w:rsidP="00AC03C0">
            <w:pPr>
              <w:autoSpaceDE w:val="0"/>
              <w:autoSpaceDN w:val="0"/>
              <w:adjustRightInd w:val="0"/>
              <w:ind w:right="282"/>
              <w:rPr>
                <w:rFonts w:cs="Arial"/>
              </w:rPr>
            </w:pPr>
          </w:p>
          <w:p w14:paraId="37DAD53F" w14:textId="084D1A29" w:rsidR="002D130A" w:rsidRPr="002D130A" w:rsidRDefault="00A0F983" w:rsidP="00AC03C0">
            <w:pPr>
              <w:autoSpaceDE w:val="0"/>
              <w:autoSpaceDN w:val="0"/>
              <w:adjustRightInd w:val="0"/>
              <w:ind w:right="282"/>
              <w:rPr>
                <w:rFonts w:cs="Arial"/>
              </w:rPr>
            </w:pPr>
            <w:r w:rsidRPr="00A0F983">
              <w:rPr>
                <w:rFonts w:eastAsia="Arial" w:cs="Arial"/>
              </w:rPr>
              <w:t>The minimum Grant will be £5,000 and the maximum £50,000.</w:t>
            </w:r>
          </w:p>
          <w:p w14:paraId="37DAD540" w14:textId="77777777" w:rsidR="002D130A" w:rsidRPr="002D130A" w:rsidRDefault="002D130A" w:rsidP="00AC03C0">
            <w:pPr>
              <w:autoSpaceDE w:val="0"/>
              <w:autoSpaceDN w:val="0"/>
              <w:adjustRightInd w:val="0"/>
              <w:ind w:right="282"/>
              <w:rPr>
                <w:rFonts w:cs="Arial"/>
              </w:rPr>
            </w:pPr>
          </w:p>
          <w:p w14:paraId="37DAD541" w14:textId="77777777" w:rsidR="002D130A" w:rsidRPr="002D130A" w:rsidRDefault="00A0F983" w:rsidP="00AC03C0">
            <w:pPr>
              <w:autoSpaceDE w:val="0"/>
              <w:autoSpaceDN w:val="0"/>
              <w:adjustRightInd w:val="0"/>
              <w:ind w:right="282"/>
              <w:rPr>
                <w:rFonts w:cs="Arial"/>
              </w:rPr>
            </w:pPr>
            <w:r w:rsidRPr="00A0F983">
              <w:rPr>
                <w:rFonts w:eastAsia="Arial" w:cs="Arial"/>
              </w:rPr>
              <w:t>Projects funded by Grants  must address one of three core priorities:</w:t>
            </w:r>
          </w:p>
          <w:p w14:paraId="37DAD542" w14:textId="77777777" w:rsidR="002D130A" w:rsidRPr="002D130A" w:rsidRDefault="002D130A" w:rsidP="00AC03C0">
            <w:pPr>
              <w:autoSpaceDE w:val="0"/>
              <w:autoSpaceDN w:val="0"/>
              <w:adjustRightInd w:val="0"/>
              <w:ind w:right="282"/>
              <w:rPr>
                <w:rFonts w:cs="Arial"/>
              </w:rPr>
            </w:pPr>
          </w:p>
          <w:p w14:paraId="37DAD543" w14:textId="77777777" w:rsidR="002D130A" w:rsidRPr="002D130A" w:rsidRDefault="002D130A" w:rsidP="00AC03C0">
            <w:pPr>
              <w:autoSpaceDE w:val="0"/>
              <w:autoSpaceDN w:val="0"/>
              <w:adjustRightInd w:val="0"/>
              <w:ind w:right="282"/>
              <w:rPr>
                <w:rFonts w:cs="Arial"/>
              </w:rPr>
            </w:pPr>
            <w:r w:rsidRPr="00A0F983">
              <w:rPr>
                <w:rFonts w:eastAsia="Arial" w:cs="Arial"/>
              </w:rPr>
              <w:t>1.</w:t>
            </w:r>
            <w:r w:rsidRPr="002D130A">
              <w:rPr>
                <w:rFonts w:cs="Arial"/>
              </w:rPr>
              <w:tab/>
            </w:r>
            <w:r w:rsidRPr="00A0F983">
              <w:rPr>
                <w:rFonts w:eastAsia="Arial" w:cs="Arial"/>
              </w:rPr>
              <w:t>Increase social inclusion by supporting residents towards and into sustainable employment, and promoting employment opportunities.</w:t>
            </w:r>
          </w:p>
          <w:p w14:paraId="37DAD544" w14:textId="77777777" w:rsidR="002D130A" w:rsidRPr="002D130A" w:rsidRDefault="002D130A" w:rsidP="00AC03C0">
            <w:pPr>
              <w:autoSpaceDE w:val="0"/>
              <w:autoSpaceDN w:val="0"/>
              <w:adjustRightInd w:val="0"/>
              <w:ind w:right="282"/>
              <w:rPr>
                <w:rFonts w:cs="Arial"/>
              </w:rPr>
            </w:pPr>
          </w:p>
          <w:p w14:paraId="37DAD545" w14:textId="38850085" w:rsidR="002D130A" w:rsidRPr="002D130A" w:rsidRDefault="00A0F983" w:rsidP="00AC03C0">
            <w:pPr>
              <w:autoSpaceDE w:val="0"/>
              <w:autoSpaceDN w:val="0"/>
              <w:adjustRightInd w:val="0"/>
              <w:ind w:right="282"/>
              <w:rPr>
                <w:rFonts w:cs="Arial"/>
              </w:rPr>
            </w:pPr>
            <w:r w:rsidRPr="00A0F983">
              <w:rPr>
                <w:rFonts w:eastAsia="Arial" w:cs="Arial"/>
              </w:rPr>
              <w:t>Projects under this priority will include those that help the long-term unemployed and involuntarily workless move closer to the labour market, employment and training programmes, which equip residents with skills needed to achieve employment, and those that support first generation migrant women to access skills training and job opportunities. This may include access to volunteering, work placements, intermediate labour markets and other activities offering opportunities to participate and demonstrate commitment.</w:t>
            </w:r>
          </w:p>
          <w:p w14:paraId="37DAD546" w14:textId="77777777" w:rsidR="002D130A" w:rsidRPr="002D130A" w:rsidRDefault="002D130A" w:rsidP="00AC03C0">
            <w:pPr>
              <w:autoSpaceDE w:val="0"/>
              <w:autoSpaceDN w:val="0"/>
              <w:adjustRightInd w:val="0"/>
              <w:ind w:right="282"/>
              <w:rPr>
                <w:rFonts w:cs="Arial"/>
              </w:rPr>
            </w:pPr>
          </w:p>
          <w:p w14:paraId="37DAD547" w14:textId="68D6F7F6" w:rsidR="002D130A" w:rsidRPr="002D130A" w:rsidRDefault="002D130A" w:rsidP="00AC03C0">
            <w:pPr>
              <w:autoSpaceDE w:val="0"/>
              <w:autoSpaceDN w:val="0"/>
              <w:adjustRightInd w:val="0"/>
              <w:ind w:right="282"/>
              <w:rPr>
                <w:rFonts w:cs="Arial"/>
              </w:rPr>
            </w:pPr>
            <w:r w:rsidRPr="00A0F983">
              <w:rPr>
                <w:rFonts w:eastAsia="Arial" w:cs="Arial"/>
              </w:rPr>
              <w:t>2.</w:t>
            </w:r>
            <w:r w:rsidRPr="002D130A">
              <w:rPr>
                <w:rFonts w:cs="Arial"/>
              </w:rPr>
              <w:tab/>
            </w:r>
            <w:r w:rsidRPr="00A0F983">
              <w:rPr>
                <w:rFonts w:eastAsia="Arial" w:cs="Arial"/>
              </w:rPr>
              <w:t>Help residents become better qualified and raise educational aspirations</w:t>
            </w:r>
            <w:r w:rsidR="006A6203" w:rsidRPr="00A0F983">
              <w:rPr>
                <w:rFonts w:eastAsia="Arial" w:cs="Arial"/>
              </w:rPr>
              <w:t>.</w:t>
            </w:r>
          </w:p>
          <w:p w14:paraId="37DAD548" w14:textId="77777777" w:rsidR="002D130A" w:rsidRPr="002D130A" w:rsidRDefault="002D130A" w:rsidP="00AC03C0">
            <w:pPr>
              <w:autoSpaceDE w:val="0"/>
              <w:autoSpaceDN w:val="0"/>
              <w:adjustRightInd w:val="0"/>
              <w:ind w:right="282"/>
              <w:rPr>
                <w:rFonts w:cs="Arial"/>
              </w:rPr>
            </w:pPr>
          </w:p>
          <w:p w14:paraId="37DAD549" w14:textId="77777777" w:rsidR="002D130A" w:rsidRPr="002D130A" w:rsidRDefault="00A0F983" w:rsidP="00AC03C0">
            <w:pPr>
              <w:autoSpaceDE w:val="0"/>
              <w:autoSpaceDN w:val="0"/>
              <w:adjustRightInd w:val="0"/>
              <w:ind w:right="282"/>
              <w:rPr>
                <w:rFonts w:cs="Arial"/>
              </w:rPr>
            </w:pPr>
            <w:r w:rsidRPr="00A0F983">
              <w:rPr>
                <w:rFonts w:eastAsia="Arial" w:cs="Arial"/>
              </w:rPr>
              <w:t xml:space="preserve">Activities could include educational programmes for young people who are NEET, and adults, youth engagement and youth leadership projects, mentoring, community education projects aimed at raising aspirations and projects that </w:t>
            </w:r>
            <w:r w:rsidRPr="00A0F983">
              <w:rPr>
                <w:rFonts w:eastAsia="Arial" w:cs="Arial"/>
              </w:rPr>
              <w:lastRenderedPageBreak/>
              <w:t>support family learning. Recipients are not required to offer accredited qualifications but should demonstrate willingness to help move participants towards the acquisition of skills and qualifications needed in the labour market.</w:t>
            </w:r>
          </w:p>
          <w:p w14:paraId="37DAD54B" w14:textId="77777777" w:rsidR="002D130A" w:rsidRPr="002D130A" w:rsidRDefault="002D130A" w:rsidP="00AC03C0">
            <w:pPr>
              <w:autoSpaceDE w:val="0"/>
              <w:autoSpaceDN w:val="0"/>
              <w:adjustRightInd w:val="0"/>
              <w:ind w:right="282"/>
              <w:rPr>
                <w:rFonts w:cs="Arial"/>
              </w:rPr>
            </w:pPr>
          </w:p>
          <w:p w14:paraId="37DAD54C" w14:textId="77777777" w:rsidR="002D130A" w:rsidRPr="002D130A" w:rsidRDefault="002D130A" w:rsidP="00AC03C0">
            <w:pPr>
              <w:autoSpaceDE w:val="0"/>
              <w:autoSpaceDN w:val="0"/>
              <w:adjustRightInd w:val="0"/>
              <w:ind w:right="282"/>
              <w:rPr>
                <w:rFonts w:cs="Arial"/>
              </w:rPr>
            </w:pPr>
            <w:r w:rsidRPr="00A0F983">
              <w:rPr>
                <w:rFonts w:eastAsia="Arial" w:cs="Arial"/>
              </w:rPr>
              <w:t>3.</w:t>
            </w:r>
            <w:r w:rsidRPr="002D130A">
              <w:rPr>
                <w:rFonts w:cs="Arial"/>
              </w:rPr>
              <w:tab/>
            </w:r>
            <w:r w:rsidRPr="00A0F983">
              <w:rPr>
                <w:rFonts w:eastAsia="Arial" w:cs="Arial"/>
              </w:rPr>
              <w:t>To actively promote and engage in partnership working with other local key stakeholders within communities.</w:t>
            </w:r>
          </w:p>
          <w:p w14:paraId="37DAD54D" w14:textId="77777777" w:rsidR="002D130A" w:rsidRPr="002D130A" w:rsidRDefault="002D130A" w:rsidP="00AC03C0">
            <w:pPr>
              <w:autoSpaceDE w:val="0"/>
              <w:autoSpaceDN w:val="0"/>
              <w:adjustRightInd w:val="0"/>
              <w:ind w:right="282"/>
              <w:rPr>
                <w:rFonts w:cs="Arial"/>
              </w:rPr>
            </w:pPr>
          </w:p>
          <w:p w14:paraId="5053B1CD" w14:textId="77777777" w:rsidR="00344FA1" w:rsidRDefault="00A0F983" w:rsidP="004E3BCB">
            <w:pPr>
              <w:autoSpaceDE w:val="0"/>
              <w:autoSpaceDN w:val="0"/>
              <w:adjustRightInd w:val="0"/>
              <w:ind w:right="282"/>
              <w:rPr>
                <w:rFonts w:cs="Arial"/>
              </w:rPr>
            </w:pPr>
            <w:r w:rsidRPr="00A0F983">
              <w:rPr>
                <w:rFonts w:eastAsia="Arial" w:cs="Arial"/>
              </w:rPr>
              <w:t>Recipients will need to demonstrate that they will work with other organisations, especially those operating in their communities, to get the maximum impact for the beneficiaries. Organisations might include local children’s centres, youth hubs, health centres and other appropriate settings. The overall aim of the Oxfordshire ESIF Strategy and Implementation Plan, is to make sure existing a new provision aiming to increase social inclusion within community, communicate and join up with each other as far as possible so that services (and their promotion) are perceived as ‘seamless’ by those who use them. Recipients should also demonstrate an ability to engage positively with Oxfordshire’s labour market including public, private and third sector employers so as to ensure activities are founded on a realistic and aspirational understanding of where opportunities lie.</w:t>
            </w:r>
          </w:p>
          <w:p w14:paraId="37DAD552" w14:textId="678CBDAF" w:rsidR="00EC4B18" w:rsidRPr="007C2B80" w:rsidRDefault="00EC4B18" w:rsidP="004E3BCB">
            <w:pPr>
              <w:autoSpaceDE w:val="0"/>
              <w:autoSpaceDN w:val="0"/>
              <w:adjustRightInd w:val="0"/>
              <w:ind w:right="282"/>
              <w:rPr>
                <w:rFonts w:cs="Arial"/>
              </w:rPr>
            </w:pPr>
          </w:p>
        </w:tc>
      </w:tr>
      <w:tr w:rsidR="00967429" w:rsidRPr="00544738" w14:paraId="37DAD555" w14:textId="77777777" w:rsidTr="00A0F983">
        <w:trPr>
          <w:trHeight w:val="567"/>
        </w:trPr>
        <w:tc>
          <w:tcPr>
            <w:tcW w:w="5000" w:type="pct"/>
            <w:shd w:val="clear" w:color="auto" w:fill="D9D9D9" w:themeFill="background1" w:themeFillShade="D9"/>
            <w:vAlign w:val="center"/>
          </w:tcPr>
          <w:p w14:paraId="37DAD554" w14:textId="77777777" w:rsidR="00967429" w:rsidRPr="00544738" w:rsidRDefault="00A0F983" w:rsidP="00AC03C0">
            <w:pPr>
              <w:pStyle w:val="SpecificationHeading"/>
              <w:ind w:right="282"/>
            </w:pPr>
            <w:r>
              <w:lastRenderedPageBreak/>
              <w:t>ELIGIBILITY</w:t>
            </w:r>
          </w:p>
        </w:tc>
      </w:tr>
      <w:tr w:rsidR="00967429" w:rsidRPr="00EF4406" w14:paraId="37DAD56F" w14:textId="77777777" w:rsidTr="00A0F983">
        <w:tc>
          <w:tcPr>
            <w:tcW w:w="5000" w:type="pct"/>
          </w:tcPr>
          <w:p w14:paraId="37DAD556" w14:textId="77777777" w:rsidR="001E23AA" w:rsidRDefault="001E23AA" w:rsidP="00AC03C0">
            <w:pPr>
              <w:ind w:right="282"/>
              <w:rPr>
                <w:rFonts w:cs="Arial"/>
                <w:b/>
                <w:u w:val="single"/>
              </w:rPr>
            </w:pPr>
          </w:p>
          <w:p w14:paraId="37DAD557" w14:textId="77777777" w:rsidR="00A005EF" w:rsidRPr="00344FA1" w:rsidRDefault="00A0F983" w:rsidP="00AC03C0">
            <w:pPr>
              <w:ind w:right="282"/>
            </w:pPr>
            <w:r w:rsidRPr="00A0F983">
              <w:rPr>
                <w:b/>
                <w:bCs/>
              </w:rPr>
              <w:t>General</w:t>
            </w:r>
          </w:p>
          <w:p w14:paraId="37DAD558" w14:textId="7410B63F" w:rsidR="00A005EF" w:rsidRPr="002833D9" w:rsidRDefault="00A0F983" w:rsidP="00AC03C0">
            <w:pPr>
              <w:ind w:right="282"/>
              <w:rPr>
                <w:rFonts w:cs="Arial"/>
              </w:rPr>
            </w:pPr>
            <w:r w:rsidRPr="00A0F983">
              <w:rPr>
                <w:rFonts w:eastAsia="Arial" w:cs="Arial"/>
              </w:rPr>
              <w:t>General eligibility requirements are set out in : the</w:t>
            </w:r>
            <w:r>
              <w:t xml:space="preserve"> </w:t>
            </w:r>
            <w:r w:rsidRPr="00A0F983">
              <w:rPr>
                <w:rFonts w:eastAsia="Arial" w:cs="Arial"/>
              </w:rPr>
              <w:t xml:space="preserve">European Social Fund Programme for England 2014-2020 National Eligibility Rules which can be found by accessing this web link: </w:t>
            </w:r>
            <w:hyperlink r:id="rId14">
              <w:r w:rsidRPr="00A0F983">
                <w:rPr>
                  <w:rStyle w:val="Hyperlink"/>
                  <w:rFonts w:eastAsia="Arial" w:cs="Arial"/>
                  <w:sz w:val="24"/>
                  <w:szCs w:val="24"/>
                </w:rPr>
                <w:t>https://www.gov.uk/government/publications/european-structural-and-investment-funds-programme-guidance</w:t>
              </w:r>
            </w:hyperlink>
            <w:r w:rsidRPr="00A0F983">
              <w:rPr>
                <w:rFonts w:eastAsia="Arial" w:cs="Arial"/>
              </w:rPr>
              <w:t xml:space="preserve"> </w:t>
            </w:r>
          </w:p>
          <w:p w14:paraId="37DAD55A" w14:textId="77777777" w:rsidR="0044066C" w:rsidRPr="002833D9" w:rsidRDefault="0044066C" w:rsidP="00AC03C0">
            <w:pPr>
              <w:ind w:right="282"/>
              <w:rPr>
                <w:rFonts w:cs="Arial"/>
              </w:rPr>
            </w:pPr>
          </w:p>
          <w:p w14:paraId="37DAD55B" w14:textId="77777777" w:rsidR="00A005EF" w:rsidRPr="00F06A90" w:rsidRDefault="00A0F983" w:rsidP="00AC03C0">
            <w:pPr>
              <w:autoSpaceDE w:val="0"/>
              <w:autoSpaceDN w:val="0"/>
              <w:adjustRightInd w:val="0"/>
              <w:ind w:right="282"/>
              <w:rPr>
                <w:rFonts w:cs="Arial"/>
                <w:b/>
              </w:rPr>
            </w:pPr>
            <w:r w:rsidRPr="00A0F983">
              <w:rPr>
                <w:rFonts w:eastAsia="Arial" w:cs="Arial"/>
                <w:b/>
                <w:bCs/>
              </w:rPr>
              <w:t xml:space="preserve">LEP Specific </w:t>
            </w:r>
          </w:p>
          <w:p w14:paraId="37DAD55C" w14:textId="77777777" w:rsidR="00145B73" w:rsidRPr="00145B73" w:rsidRDefault="00A0F983" w:rsidP="00AC03C0">
            <w:pPr>
              <w:autoSpaceDE w:val="0"/>
              <w:autoSpaceDN w:val="0"/>
              <w:adjustRightInd w:val="0"/>
              <w:ind w:right="282"/>
              <w:rPr>
                <w:rFonts w:cs="Arial"/>
                <w:color w:val="000000"/>
              </w:rPr>
            </w:pPr>
            <w:r w:rsidRPr="00A0F983">
              <w:rPr>
                <w:rFonts w:eastAsia="Arial" w:cs="Arial"/>
                <w:color w:val="000000" w:themeColor="text1"/>
              </w:rPr>
              <w:t>Recipients should identify and demonstrate the needs of the target groups they wish to support based on local circumstances. Projects should support different groups, particularly where social exclusion is concentrated in particular localities and may impact on people with different characteristics.</w:t>
            </w:r>
          </w:p>
          <w:p w14:paraId="37DAD55D" w14:textId="77777777" w:rsidR="00145B73" w:rsidRPr="00145B73" w:rsidRDefault="00145B73" w:rsidP="00AC03C0">
            <w:pPr>
              <w:autoSpaceDE w:val="0"/>
              <w:autoSpaceDN w:val="0"/>
              <w:adjustRightInd w:val="0"/>
              <w:ind w:right="282"/>
              <w:rPr>
                <w:rFonts w:cs="Arial"/>
                <w:color w:val="000000"/>
              </w:rPr>
            </w:pPr>
          </w:p>
          <w:p w14:paraId="37DAD55E" w14:textId="77777777" w:rsidR="00145B73" w:rsidRPr="00145B73" w:rsidRDefault="00A0F983" w:rsidP="00AC03C0">
            <w:pPr>
              <w:autoSpaceDE w:val="0"/>
              <w:autoSpaceDN w:val="0"/>
              <w:adjustRightInd w:val="0"/>
              <w:ind w:right="282"/>
              <w:rPr>
                <w:rFonts w:cs="Arial"/>
                <w:color w:val="000000"/>
              </w:rPr>
            </w:pPr>
            <w:r w:rsidRPr="00A0F983">
              <w:rPr>
                <w:rFonts w:eastAsia="Arial" w:cs="Arial"/>
                <w:color w:val="000000" w:themeColor="text1"/>
              </w:rPr>
              <w:t>The target groups for Grant funded projects would therefore be drawn from:</w:t>
            </w:r>
          </w:p>
          <w:p w14:paraId="37DAD55F" w14:textId="77777777" w:rsidR="00145B73" w:rsidRPr="00145B73" w:rsidRDefault="00145B73" w:rsidP="00AC03C0">
            <w:pPr>
              <w:autoSpaceDE w:val="0"/>
              <w:autoSpaceDN w:val="0"/>
              <w:adjustRightInd w:val="0"/>
              <w:ind w:right="282"/>
              <w:rPr>
                <w:rFonts w:cs="Arial"/>
                <w:color w:val="000000"/>
              </w:rPr>
            </w:pPr>
          </w:p>
          <w:p w14:paraId="37DAD560" w14:textId="26248B66" w:rsidR="00145B73" w:rsidRPr="00145B73" w:rsidRDefault="00A0F983" w:rsidP="00A0F983">
            <w:pPr>
              <w:pStyle w:val="ListParagraph"/>
              <w:numPr>
                <w:ilvl w:val="0"/>
                <w:numId w:val="9"/>
              </w:numPr>
              <w:rPr>
                <w:rFonts w:eastAsia="Arial" w:cs="Arial"/>
                <w:color w:val="000000"/>
              </w:rPr>
            </w:pPr>
            <w:r w:rsidRPr="00A0F983">
              <w:rPr>
                <w:rFonts w:eastAsia="Arial" w:cs="Arial"/>
                <w:color w:val="000000" w:themeColor="text1"/>
              </w:rPr>
              <w:t>Individuals who are homeless or vulnerable to homelessness</w:t>
            </w:r>
          </w:p>
          <w:p w14:paraId="37DAD561" w14:textId="0F8D5209" w:rsidR="00145B73" w:rsidRPr="00145B73" w:rsidRDefault="00A0F983" w:rsidP="00A0F983">
            <w:pPr>
              <w:pStyle w:val="ListParagraph"/>
              <w:numPr>
                <w:ilvl w:val="0"/>
                <w:numId w:val="9"/>
              </w:numPr>
              <w:rPr>
                <w:rFonts w:eastAsia="Arial" w:cs="Arial"/>
                <w:color w:val="000000"/>
              </w:rPr>
            </w:pPr>
            <w:r w:rsidRPr="00A0F983">
              <w:rPr>
                <w:rFonts w:eastAsia="Arial" w:cs="Arial"/>
                <w:color w:val="000000" w:themeColor="text1"/>
              </w:rPr>
              <w:t>Offenders on release from custody and individuals with a recent offending history</w:t>
            </w:r>
          </w:p>
          <w:p w14:paraId="37DAD562" w14:textId="3B530EB5" w:rsidR="00145B73" w:rsidRPr="00145B73" w:rsidRDefault="00A0F983" w:rsidP="00A0F983">
            <w:pPr>
              <w:pStyle w:val="ListParagraph"/>
              <w:numPr>
                <w:ilvl w:val="0"/>
                <w:numId w:val="9"/>
              </w:numPr>
              <w:rPr>
                <w:rFonts w:eastAsia="Arial" w:cs="Arial"/>
                <w:color w:val="000000"/>
              </w:rPr>
            </w:pPr>
            <w:r w:rsidRPr="00A0F983">
              <w:rPr>
                <w:rFonts w:eastAsia="Arial" w:cs="Arial"/>
                <w:color w:val="000000" w:themeColor="text1"/>
              </w:rPr>
              <w:t>ESA claimants (for whom employment is appropriate, such as in the WRAG 1 cohort)</w:t>
            </w:r>
          </w:p>
          <w:p w14:paraId="37DAD563" w14:textId="5E22A405" w:rsidR="00145B73" w:rsidRPr="00145B73" w:rsidRDefault="00A0F983" w:rsidP="00A0F983">
            <w:pPr>
              <w:pStyle w:val="ListParagraph"/>
              <w:numPr>
                <w:ilvl w:val="0"/>
                <w:numId w:val="9"/>
              </w:numPr>
              <w:rPr>
                <w:rFonts w:eastAsia="Arial" w:cs="Arial"/>
                <w:color w:val="000000"/>
              </w:rPr>
            </w:pPr>
            <w:r w:rsidRPr="00A0F983">
              <w:rPr>
                <w:rFonts w:eastAsia="Arial" w:cs="Arial"/>
                <w:color w:val="000000" w:themeColor="text1"/>
              </w:rPr>
              <w:t xml:space="preserve">Individuals affected by chronic ill-health and anxiety and depression </w:t>
            </w:r>
          </w:p>
          <w:p w14:paraId="37DAD564" w14:textId="42CF4B3C" w:rsidR="00145B73" w:rsidRPr="00145B73" w:rsidRDefault="00A0F983" w:rsidP="00A0F983">
            <w:pPr>
              <w:pStyle w:val="ListParagraph"/>
              <w:numPr>
                <w:ilvl w:val="0"/>
                <w:numId w:val="9"/>
              </w:numPr>
              <w:rPr>
                <w:rFonts w:eastAsia="Arial" w:cs="Arial"/>
                <w:color w:val="000000"/>
              </w:rPr>
            </w:pPr>
            <w:r w:rsidRPr="00A0F983">
              <w:rPr>
                <w:rFonts w:eastAsia="Arial" w:cs="Arial"/>
                <w:color w:val="000000" w:themeColor="text1"/>
              </w:rPr>
              <w:t>Over 50s</w:t>
            </w:r>
          </w:p>
          <w:p w14:paraId="37DAD565" w14:textId="43277F9E" w:rsidR="00145B73" w:rsidRPr="00145B73" w:rsidRDefault="00A0F983" w:rsidP="00A0F983">
            <w:pPr>
              <w:pStyle w:val="ListParagraph"/>
              <w:numPr>
                <w:ilvl w:val="0"/>
                <w:numId w:val="9"/>
              </w:numPr>
              <w:rPr>
                <w:rFonts w:eastAsia="Arial" w:cs="Arial"/>
                <w:color w:val="000000"/>
              </w:rPr>
            </w:pPr>
            <w:r w:rsidRPr="00A0F983">
              <w:rPr>
                <w:rFonts w:eastAsia="Arial" w:cs="Arial"/>
                <w:color w:val="000000" w:themeColor="text1"/>
              </w:rPr>
              <w:t>Ex-service personnel and family members</w:t>
            </w:r>
          </w:p>
          <w:p w14:paraId="37DAD566" w14:textId="1B3BB7E5" w:rsidR="00145B73" w:rsidRPr="00145B73" w:rsidRDefault="00A0F983" w:rsidP="00A0F983">
            <w:pPr>
              <w:pStyle w:val="ListParagraph"/>
              <w:numPr>
                <w:ilvl w:val="0"/>
                <w:numId w:val="9"/>
              </w:numPr>
              <w:rPr>
                <w:rFonts w:eastAsia="Arial" w:cs="Arial"/>
                <w:color w:val="000000"/>
              </w:rPr>
            </w:pPr>
            <w:r w:rsidRPr="00A0F983">
              <w:rPr>
                <w:rFonts w:eastAsia="Arial" w:cs="Arial"/>
                <w:color w:val="000000" w:themeColor="text1"/>
              </w:rPr>
              <w:lastRenderedPageBreak/>
              <w:t>Individuals recovering from drugs and alcohol addiction</w:t>
            </w:r>
          </w:p>
          <w:p w14:paraId="37DAD567" w14:textId="36C2EDA6" w:rsidR="00145B73" w:rsidRPr="00145B73" w:rsidRDefault="00A0F983" w:rsidP="00A0F983">
            <w:pPr>
              <w:pStyle w:val="ListParagraph"/>
              <w:numPr>
                <w:ilvl w:val="0"/>
                <w:numId w:val="9"/>
              </w:numPr>
              <w:rPr>
                <w:rFonts w:eastAsia="Arial" w:cs="Arial"/>
                <w:color w:val="000000"/>
              </w:rPr>
            </w:pPr>
            <w:r w:rsidRPr="00A0F983">
              <w:rPr>
                <w:rFonts w:eastAsia="Arial" w:cs="Arial"/>
                <w:color w:val="000000" w:themeColor="text1"/>
              </w:rPr>
              <w:t xml:space="preserve">Individuals with ESOL needs </w:t>
            </w:r>
          </w:p>
          <w:p w14:paraId="37DAD568" w14:textId="3DEB46F8" w:rsidR="00145B73" w:rsidRPr="00145B73" w:rsidRDefault="00A0F983" w:rsidP="00A0F983">
            <w:pPr>
              <w:pStyle w:val="ListParagraph"/>
              <w:numPr>
                <w:ilvl w:val="0"/>
                <w:numId w:val="9"/>
              </w:numPr>
              <w:rPr>
                <w:rFonts w:eastAsia="Arial" w:cs="Arial"/>
                <w:color w:val="000000"/>
              </w:rPr>
            </w:pPr>
            <w:r w:rsidRPr="00A0F983">
              <w:rPr>
                <w:rFonts w:eastAsia="Arial" w:cs="Arial"/>
                <w:color w:val="000000" w:themeColor="text1"/>
              </w:rPr>
              <w:t>Refugees who qualify to work in the UK</w:t>
            </w:r>
          </w:p>
          <w:p w14:paraId="37DAD569" w14:textId="29AD9067" w:rsidR="00145B73" w:rsidRPr="00145B73" w:rsidRDefault="00A0F983" w:rsidP="00A0F983">
            <w:pPr>
              <w:pStyle w:val="ListParagraph"/>
              <w:numPr>
                <w:ilvl w:val="0"/>
                <w:numId w:val="9"/>
              </w:numPr>
              <w:rPr>
                <w:rFonts w:eastAsia="Arial" w:cs="Arial"/>
                <w:color w:val="000000"/>
              </w:rPr>
            </w:pPr>
            <w:r w:rsidRPr="00A0F983">
              <w:rPr>
                <w:rFonts w:eastAsia="Arial" w:cs="Arial"/>
                <w:color w:val="000000" w:themeColor="text1"/>
              </w:rPr>
              <w:t>Single parents, particularly those entitled to free childcare</w:t>
            </w:r>
          </w:p>
          <w:p w14:paraId="37DAD56A" w14:textId="61E44D6D" w:rsidR="00145B73" w:rsidRPr="00145B73" w:rsidRDefault="00A0F983" w:rsidP="00A0F983">
            <w:pPr>
              <w:pStyle w:val="ListParagraph"/>
              <w:numPr>
                <w:ilvl w:val="0"/>
                <w:numId w:val="9"/>
              </w:numPr>
              <w:rPr>
                <w:rFonts w:eastAsia="Arial" w:cs="Arial"/>
                <w:color w:val="000000"/>
              </w:rPr>
            </w:pPr>
            <w:r w:rsidRPr="00A0F983">
              <w:rPr>
                <w:rFonts w:eastAsia="Arial" w:cs="Arial"/>
                <w:color w:val="000000" w:themeColor="text1"/>
              </w:rPr>
              <w:t>Young people NEET – age at start of activity</w:t>
            </w:r>
          </w:p>
          <w:p w14:paraId="37DAD56B" w14:textId="73979B00" w:rsidR="00145B73" w:rsidRPr="00145B73" w:rsidRDefault="00A0F983" w:rsidP="00A0F983">
            <w:pPr>
              <w:pStyle w:val="ListParagraph"/>
              <w:numPr>
                <w:ilvl w:val="0"/>
                <w:numId w:val="9"/>
              </w:numPr>
              <w:rPr>
                <w:rFonts w:eastAsia="Arial" w:cs="Arial"/>
                <w:color w:val="000000"/>
              </w:rPr>
            </w:pPr>
            <w:r w:rsidRPr="00A0F983">
              <w:rPr>
                <w:rFonts w:eastAsia="Arial" w:cs="Arial"/>
                <w:color w:val="000000" w:themeColor="text1"/>
              </w:rPr>
              <w:t>Troubled Families adult clients</w:t>
            </w:r>
          </w:p>
          <w:p w14:paraId="37DAD56C" w14:textId="08BA939E" w:rsidR="00145B73" w:rsidRPr="00145B73" w:rsidRDefault="00A0F983" w:rsidP="00A0F983">
            <w:pPr>
              <w:pStyle w:val="ListParagraph"/>
              <w:numPr>
                <w:ilvl w:val="0"/>
                <w:numId w:val="9"/>
              </w:numPr>
              <w:rPr>
                <w:rFonts w:eastAsia="Arial" w:cs="Arial"/>
                <w:color w:val="000000"/>
              </w:rPr>
            </w:pPr>
            <w:r w:rsidRPr="00A0F983">
              <w:rPr>
                <w:rFonts w:eastAsia="Arial" w:cs="Arial"/>
                <w:color w:val="000000" w:themeColor="text1"/>
              </w:rPr>
              <w:t>Work Programme returners</w:t>
            </w:r>
          </w:p>
          <w:p w14:paraId="37DAD56D" w14:textId="1B98D9E1" w:rsidR="00772BBA" w:rsidRDefault="00A0F983" w:rsidP="00A0F983">
            <w:pPr>
              <w:pStyle w:val="ListParagraph"/>
              <w:numPr>
                <w:ilvl w:val="0"/>
                <w:numId w:val="9"/>
              </w:numPr>
              <w:rPr>
                <w:rFonts w:eastAsia="Arial" w:cs="Arial"/>
                <w:color w:val="000000"/>
              </w:rPr>
            </w:pPr>
            <w:r w:rsidRPr="00A0F983">
              <w:rPr>
                <w:rFonts w:eastAsia="Arial" w:cs="Arial"/>
                <w:color w:val="000000" w:themeColor="text1"/>
              </w:rPr>
              <w:t xml:space="preserve">Individuals who are long-term unemployed or in a cycle of temporary contract, low skilled employment and need intensive support to increase self-esteem, self-confidence and core employability skills such as ICT, literacy, CV development.  </w:t>
            </w:r>
          </w:p>
          <w:p w14:paraId="37DAD56E" w14:textId="77777777" w:rsidR="00FD3B0A" w:rsidRPr="00344FA1" w:rsidRDefault="00FD3B0A" w:rsidP="00AC03C0">
            <w:pPr>
              <w:autoSpaceDE w:val="0"/>
              <w:autoSpaceDN w:val="0"/>
              <w:adjustRightInd w:val="0"/>
              <w:ind w:right="282"/>
              <w:rPr>
                <w:rFonts w:cs="Arial"/>
                <w:color w:val="000000"/>
              </w:rPr>
            </w:pPr>
          </w:p>
        </w:tc>
      </w:tr>
      <w:tr w:rsidR="00967429" w:rsidRPr="00EF4406" w14:paraId="37DAD571" w14:textId="77777777" w:rsidTr="00A0F983">
        <w:trPr>
          <w:trHeight w:val="567"/>
        </w:trPr>
        <w:tc>
          <w:tcPr>
            <w:tcW w:w="5000" w:type="pct"/>
            <w:shd w:val="clear" w:color="auto" w:fill="D9D9D9" w:themeFill="background1" w:themeFillShade="D9"/>
            <w:vAlign w:val="center"/>
          </w:tcPr>
          <w:p w14:paraId="37DAD570" w14:textId="77777777" w:rsidR="00967429" w:rsidRPr="00A005EF" w:rsidRDefault="00A0F983" w:rsidP="00AC03C0">
            <w:pPr>
              <w:spacing w:before="120" w:after="120"/>
              <w:ind w:right="282"/>
              <w:rPr>
                <w:b/>
                <w:bCs/>
              </w:rPr>
            </w:pPr>
            <w:r w:rsidRPr="00A0F983">
              <w:rPr>
                <w:b/>
                <w:bCs/>
              </w:rPr>
              <w:lastRenderedPageBreak/>
              <w:t>GEOGRAPHY / AREA OF DELIVERY</w:t>
            </w:r>
          </w:p>
        </w:tc>
      </w:tr>
      <w:tr w:rsidR="00967429" w:rsidRPr="0052695C" w14:paraId="37DAD578" w14:textId="77777777" w:rsidTr="00A0F983">
        <w:trPr>
          <w:trHeight w:val="983"/>
        </w:trPr>
        <w:tc>
          <w:tcPr>
            <w:tcW w:w="5000" w:type="pct"/>
          </w:tcPr>
          <w:p w14:paraId="37DAD572" w14:textId="77777777" w:rsidR="00A005EF" w:rsidRDefault="00A005EF" w:rsidP="00AC03C0">
            <w:pPr>
              <w:ind w:right="282"/>
            </w:pPr>
          </w:p>
          <w:p w14:paraId="37DAD573" w14:textId="77777777" w:rsidR="007E7731" w:rsidRDefault="00A0F983" w:rsidP="00AC03C0">
            <w:pPr>
              <w:ind w:right="282"/>
              <w:rPr>
                <w:b/>
              </w:rPr>
            </w:pPr>
            <w:r w:rsidRPr="00A0F983">
              <w:rPr>
                <w:b/>
                <w:bCs/>
              </w:rPr>
              <w:t>LEP Specific</w:t>
            </w:r>
          </w:p>
          <w:p w14:paraId="37DAD574" w14:textId="77777777" w:rsidR="007E7731" w:rsidRPr="00C107CE" w:rsidRDefault="007E7731" w:rsidP="00AC03C0">
            <w:pPr>
              <w:ind w:right="282"/>
              <w:rPr>
                <w:b/>
              </w:rPr>
            </w:pPr>
          </w:p>
          <w:p w14:paraId="37DAD575" w14:textId="77777777" w:rsidR="007C2B80" w:rsidRDefault="00A0F983" w:rsidP="00AC03C0">
            <w:pPr>
              <w:autoSpaceDE w:val="0"/>
              <w:autoSpaceDN w:val="0"/>
              <w:adjustRightInd w:val="0"/>
              <w:ind w:right="282"/>
            </w:pPr>
            <w:r w:rsidRPr="00A0F983">
              <w:rPr>
                <w:rFonts w:eastAsia="Arial" w:cs="Arial"/>
              </w:rPr>
              <w:t>The Services will be delivered within Oxfordshire.</w:t>
            </w:r>
          </w:p>
          <w:p w14:paraId="37DAD577" w14:textId="3584118F" w:rsidR="004E3BCB" w:rsidRPr="00FF6CCA" w:rsidRDefault="004E3BCB" w:rsidP="00AC03C0">
            <w:pPr>
              <w:autoSpaceDE w:val="0"/>
              <w:autoSpaceDN w:val="0"/>
              <w:adjustRightInd w:val="0"/>
              <w:ind w:right="282"/>
            </w:pPr>
          </w:p>
        </w:tc>
      </w:tr>
      <w:tr w:rsidR="00967429" w:rsidRPr="00505117" w14:paraId="37DAD57A" w14:textId="77777777" w:rsidTr="00A0F983">
        <w:trPr>
          <w:trHeight w:val="567"/>
        </w:trPr>
        <w:tc>
          <w:tcPr>
            <w:tcW w:w="5000" w:type="pct"/>
            <w:shd w:val="clear" w:color="auto" w:fill="D9D9D9" w:themeFill="background1" w:themeFillShade="D9"/>
            <w:vAlign w:val="center"/>
          </w:tcPr>
          <w:p w14:paraId="37DAD579" w14:textId="77777777" w:rsidR="00967429" w:rsidRPr="00A005EF" w:rsidRDefault="00A0F983" w:rsidP="00AC03C0">
            <w:pPr>
              <w:spacing w:before="120" w:after="120"/>
              <w:ind w:right="282"/>
              <w:rPr>
                <w:b/>
                <w:bCs/>
              </w:rPr>
            </w:pPr>
            <w:r w:rsidRPr="00A0F983">
              <w:rPr>
                <w:b/>
                <w:bCs/>
              </w:rPr>
              <w:t>FUNDING AND DELIVERABLES</w:t>
            </w:r>
          </w:p>
        </w:tc>
      </w:tr>
      <w:tr w:rsidR="00967429" w:rsidRPr="00EF4406" w14:paraId="37DAD5A3" w14:textId="77777777" w:rsidTr="00A0F983">
        <w:trPr>
          <w:trHeight w:val="1408"/>
        </w:trPr>
        <w:tc>
          <w:tcPr>
            <w:tcW w:w="5000" w:type="pct"/>
          </w:tcPr>
          <w:p w14:paraId="37DAD57B" w14:textId="77777777" w:rsidR="007E7731" w:rsidRDefault="007E7731" w:rsidP="00AC03C0">
            <w:pPr>
              <w:ind w:right="282"/>
              <w:rPr>
                <w:rFonts w:cs="Arial"/>
              </w:rPr>
            </w:pPr>
          </w:p>
          <w:p w14:paraId="37DAD57C" w14:textId="77777777" w:rsidR="007E7731" w:rsidRPr="00C107CE" w:rsidRDefault="00A0F983" w:rsidP="00AC03C0">
            <w:pPr>
              <w:ind w:right="282"/>
              <w:rPr>
                <w:rFonts w:cs="Arial"/>
                <w:b/>
              </w:rPr>
            </w:pPr>
            <w:r w:rsidRPr="00A0F983">
              <w:rPr>
                <w:rFonts w:eastAsia="Arial" w:cs="Arial"/>
                <w:b/>
                <w:bCs/>
              </w:rPr>
              <w:t>LEP Specific</w:t>
            </w:r>
          </w:p>
          <w:p w14:paraId="37DAD57D" w14:textId="77777777" w:rsidR="007E7731" w:rsidRDefault="007E7731" w:rsidP="00AC03C0">
            <w:pPr>
              <w:ind w:right="282"/>
              <w:rPr>
                <w:rFonts w:cs="Arial"/>
              </w:rPr>
            </w:pPr>
          </w:p>
          <w:p w14:paraId="37DAD57E" w14:textId="32B60DBC" w:rsidR="00A005EF" w:rsidRPr="004E3BCB" w:rsidRDefault="00A0F983" w:rsidP="00AC03C0">
            <w:pPr>
              <w:ind w:right="282"/>
              <w:rPr>
                <w:rFonts w:cs="Arial"/>
              </w:rPr>
            </w:pPr>
            <w:r w:rsidRPr="00A0F983">
              <w:rPr>
                <w:rFonts w:eastAsia="Arial" w:cs="Arial"/>
              </w:rPr>
              <w:t>Currently £430,000 will be available for the period from 1 June 2016 to 31 March 2018.  This may be increased if additional funding becomes available.</w:t>
            </w:r>
          </w:p>
          <w:p w14:paraId="37DAD57F" w14:textId="77777777" w:rsidR="00B87B7F" w:rsidRPr="004E3BCB" w:rsidRDefault="00B87B7F" w:rsidP="00AC03C0">
            <w:pPr>
              <w:ind w:right="282"/>
              <w:rPr>
                <w:rFonts w:cs="Arial"/>
              </w:rPr>
            </w:pPr>
          </w:p>
          <w:p w14:paraId="37DAD580" w14:textId="77777777" w:rsidR="00B87B7F" w:rsidRPr="004E3BCB" w:rsidRDefault="00A0F983" w:rsidP="00B87B7F">
            <w:pPr>
              <w:rPr>
                <w:rFonts w:ascii="Calibri" w:hAnsi="Calibri"/>
                <w:iCs/>
                <w:sz w:val="22"/>
                <w:szCs w:val="22"/>
              </w:rPr>
            </w:pPr>
            <w:r w:rsidRPr="00A0F983">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37DAD581" w14:textId="77777777" w:rsidR="00B87B7F" w:rsidRPr="004E3BCB" w:rsidRDefault="00A0F983" w:rsidP="00B87B7F">
            <w:pPr>
              <w:ind w:left="720"/>
              <w:rPr>
                <w:iCs/>
              </w:rPr>
            </w:pPr>
            <w:r w:rsidRPr="00A0F983">
              <w:rPr>
                <w:rFonts w:eastAsia="Arial" w:cs="Arial"/>
              </w:rPr>
              <w:t> </w:t>
            </w:r>
          </w:p>
          <w:p w14:paraId="37DAD582" w14:textId="77777777" w:rsidR="00B87B7F" w:rsidRPr="004E3BCB" w:rsidRDefault="00A0F983" w:rsidP="00B87B7F">
            <w:pPr>
              <w:rPr>
                <w:rFonts w:cs="Arial"/>
                <w:iCs/>
              </w:rPr>
            </w:pPr>
            <w:r w:rsidRPr="00A0F983">
              <w:rPr>
                <w:rFonts w:eastAsia="Arial" w:cs="Arial"/>
              </w:rPr>
              <w:t>Over 50s                                 min 14%</w:t>
            </w:r>
          </w:p>
          <w:p w14:paraId="37DAD583" w14:textId="77777777" w:rsidR="00B87B7F" w:rsidRPr="004E3BCB" w:rsidRDefault="00A0F983" w:rsidP="00B87B7F">
            <w:pPr>
              <w:rPr>
                <w:rFonts w:ascii="Calibri" w:hAnsi="Calibri"/>
                <w:iCs/>
              </w:rPr>
            </w:pPr>
            <w:r w:rsidRPr="00A0F983">
              <w:rPr>
                <w:rFonts w:eastAsia="Arial" w:cs="Arial"/>
              </w:rPr>
              <w:t>Ethnic groups                          min 25%</w:t>
            </w:r>
          </w:p>
          <w:p w14:paraId="37DAD584" w14:textId="77777777" w:rsidR="00B87B7F" w:rsidRPr="004E3BCB" w:rsidRDefault="00A0F983" w:rsidP="00B87B7F">
            <w:pPr>
              <w:rPr>
                <w:iCs/>
              </w:rPr>
            </w:pPr>
            <w:r w:rsidRPr="00A0F983">
              <w:rPr>
                <w:rFonts w:eastAsia="Arial" w:cs="Arial"/>
              </w:rPr>
              <w:t>Disability/health issues            min 22%</w:t>
            </w:r>
          </w:p>
          <w:p w14:paraId="37DAD585" w14:textId="77777777" w:rsidR="00B87B7F" w:rsidRPr="004E3BCB" w:rsidRDefault="00A0F983" w:rsidP="00B87B7F">
            <w:pPr>
              <w:rPr>
                <w:iCs/>
              </w:rPr>
            </w:pPr>
            <w:r w:rsidRPr="00A0F983">
              <w:rPr>
                <w:rFonts w:eastAsia="Arial" w:cs="Arial"/>
              </w:rPr>
              <w:t>Female                                    min 36%</w:t>
            </w:r>
          </w:p>
          <w:p w14:paraId="37DAD586" w14:textId="77777777" w:rsidR="00B87B7F" w:rsidRPr="004E3BCB" w:rsidRDefault="00A0F983" w:rsidP="00B87B7F">
            <w:pPr>
              <w:rPr>
                <w:rFonts w:cs="Arial"/>
                <w:iCs/>
              </w:rPr>
            </w:pPr>
            <w:r w:rsidRPr="00A0F983">
              <w:rPr>
                <w:rFonts w:eastAsia="Arial" w:cs="Arial"/>
              </w:rPr>
              <w:t>Offenders/ex-offenders           min 29%</w:t>
            </w:r>
          </w:p>
          <w:p w14:paraId="37DAD587" w14:textId="77777777" w:rsidR="00B87B7F" w:rsidRPr="004E3BCB" w:rsidRDefault="00B87B7F" w:rsidP="00AC03C0">
            <w:pPr>
              <w:ind w:right="282"/>
              <w:rPr>
                <w:rFonts w:cs="Arial"/>
              </w:rPr>
            </w:pPr>
          </w:p>
          <w:p w14:paraId="37DAD589" w14:textId="09694BC8" w:rsidR="00D9739D" w:rsidRPr="004E3BCB" w:rsidRDefault="00A0F983" w:rsidP="00AC03C0">
            <w:pPr>
              <w:autoSpaceDE w:val="0"/>
              <w:autoSpaceDN w:val="0"/>
              <w:adjustRightInd w:val="0"/>
              <w:ind w:right="282"/>
              <w:rPr>
                <w:rFonts w:cs="Arial"/>
              </w:rPr>
            </w:pPr>
            <w:r w:rsidRPr="00A0F983">
              <w:rPr>
                <w:rFonts w:eastAsia="Arial" w:cs="Arial"/>
              </w:rPr>
              <w:t>The minimum service deliverables, values and volumes for which evidence must be provided are:</w:t>
            </w:r>
          </w:p>
          <w:p w14:paraId="37DAD58C" w14:textId="77777777" w:rsidR="00D9739D" w:rsidRDefault="00D9739D" w:rsidP="00AC03C0">
            <w:pPr>
              <w:autoSpaceDE w:val="0"/>
              <w:autoSpaceDN w:val="0"/>
              <w:adjustRightInd w:val="0"/>
              <w:ind w:right="282"/>
              <w:rPr>
                <w:rFonts w:cs="Arial"/>
                <w:highlight w:val="yellow"/>
              </w:rPr>
            </w:pPr>
          </w:p>
          <w:tbl>
            <w:tblPr>
              <w:tblW w:w="8452" w:type="dxa"/>
              <w:tblLook w:val="04A0" w:firstRow="1" w:lastRow="0" w:firstColumn="1" w:lastColumn="0" w:noHBand="0" w:noVBand="1"/>
            </w:tblPr>
            <w:tblGrid>
              <w:gridCol w:w="3598"/>
              <w:gridCol w:w="1415"/>
              <w:gridCol w:w="1590"/>
              <w:gridCol w:w="1849"/>
            </w:tblGrid>
            <w:tr w:rsidR="009B2568" w:rsidRPr="00473B2A" w14:paraId="29138CB1" w14:textId="77777777" w:rsidTr="00A0F983">
              <w:trPr>
                <w:trHeight w:val="1490"/>
              </w:trPr>
              <w:tc>
                <w:tcPr>
                  <w:tcW w:w="369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94D292F" w14:textId="77777777" w:rsidR="009B2568" w:rsidRPr="00473B2A" w:rsidRDefault="00A0F983" w:rsidP="009B2568">
                  <w:pPr>
                    <w:rPr>
                      <w:rFonts w:cs="Arial"/>
                      <w:b/>
                      <w:bCs/>
                      <w:color w:val="000000"/>
                      <w:lang w:eastAsia="en-GB"/>
                    </w:rPr>
                  </w:pPr>
                  <w:r w:rsidRPr="00A0F983">
                    <w:rPr>
                      <w:rFonts w:eastAsia="Arial" w:cs="Arial"/>
                      <w:b/>
                      <w:bCs/>
                      <w:color w:val="000000" w:themeColor="text1"/>
                      <w:lang w:eastAsia="en-GB"/>
                    </w:rPr>
                    <w:t>Description</w:t>
                  </w:r>
                </w:p>
              </w:tc>
              <w:tc>
                <w:tcPr>
                  <w:tcW w:w="142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0319A7B" w14:textId="77777777" w:rsidR="009B2568" w:rsidRPr="00473B2A" w:rsidRDefault="00A0F983" w:rsidP="009B2568">
                  <w:pPr>
                    <w:jc w:val="center"/>
                    <w:rPr>
                      <w:rFonts w:cs="Arial"/>
                      <w:b/>
                      <w:bCs/>
                      <w:color w:val="000000"/>
                      <w:lang w:eastAsia="en-GB"/>
                    </w:rPr>
                  </w:pPr>
                  <w:r w:rsidRPr="00A0F983">
                    <w:rPr>
                      <w:rFonts w:eastAsia="Arial" w:cs="Arial"/>
                      <w:b/>
                      <w:bCs/>
                      <w:color w:val="000000" w:themeColor="text1"/>
                      <w:lang w:eastAsia="en-GB"/>
                    </w:rPr>
                    <w:t>Volumes</w:t>
                  </w:r>
                </w:p>
              </w:tc>
              <w:tc>
                <w:tcPr>
                  <w:tcW w:w="148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00598B" w14:textId="77777777" w:rsidR="009B2568" w:rsidRPr="00473B2A" w:rsidRDefault="00A0F983" w:rsidP="009B2568">
                  <w:pPr>
                    <w:jc w:val="center"/>
                    <w:rPr>
                      <w:rFonts w:cs="Arial"/>
                      <w:b/>
                      <w:bCs/>
                      <w:color w:val="000000"/>
                      <w:lang w:eastAsia="en-GB"/>
                    </w:rPr>
                  </w:pPr>
                  <w:r w:rsidRPr="00A0F983">
                    <w:rPr>
                      <w:rFonts w:eastAsia="Arial" w:cs="Arial"/>
                      <w:b/>
                      <w:bCs/>
                      <w:color w:val="000000" w:themeColor="text1"/>
                      <w:lang w:eastAsia="en-GB"/>
                    </w:rPr>
                    <w:t>Unit Cost Total Value Average per Intervention</w:t>
                  </w:r>
                </w:p>
              </w:tc>
              <w:tc>
                <w:tcPr>
                  <w:tcW w:w="184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7802E3" w14:textId="77777777" w:rsidR="009B2568" w:rsidRPr="00473B2A" w:rsidRDefault="00A0F983" w:rsidP="009B2568">
                  <w:pPr>
                    <w:jc w:val="center"/>
                    <w:rPr>
                      <w:rFonts w:cs="Arial"/>
                      <w:b/>
                      <w:bCs/>
                      <w:color w:val="000000"/>
                      <w:lang w:eastAsia="en-GB"/>
                    </w:rPr>
                  </w:pPr>
                  <w:r w:rsidRPr="00A0F983">
                    <w:rPr>
                      <w:rFonts w:eastAsia="Arial" w:cs="Arial"/>
                      <w:b/>
                      <w:bCs/>
                      <w:color w:val="000000" w:themeColor="text1"/>
                      <w:lang w:eastAsia="en-GB"/>
                    </w:rPr>
                    <w:t>£</w:t>
                  </w:r>
                </w:p>
              </w:tc>
            </w:tr>
            <w:tr w:rsidR="009B2568" w:rsidRPr="00473B2A" w14:paraId="22026E5F" w14:textId="77777777" w:rsidTr="00A0F983">
              <w:trPr>
                <w:trHeight w:val="419"/>
              </w:trPr>
              <w:tc>
                <w:tcPr>
                  <w:tcW w:w="3696"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E092E0D" w14:textId="77777777" w:rsidR="009B2568" w:rsidRPr="00473B2A" w:rsidRDefault="00A0F983" w:rsidP="009B2568">
                  <w:pPr>
                    <w:rPr>
                      <w:rFonts w:cs="Arial"/>
                      <w:color w:val="000000"/>
                      <w:lang w:eastAsia="en-GB"/>
                    </w:rPr>
                  </w:pPr>
                  <w:r w:rsidRPr="00A0F983">
                    <w:rPr>
                      <w:rFonts w:eastAsia="Arial" w:cs="Arial"/>
                      <w:color w:val="000000" w:themeColor="text1"/>
                      <w:lang w:eastAsia="en-GB"/>
                    </w:rPr>
                    <w:t>CG01 Community Grant Payment</w:t>
                  </w:r>
                </w:p>
              </w:tc>
              <w:tc>
                <w:tcPr>
                  <w:tcW w:w="142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71389B10" w14:textId="77777777" w:rsidR="009B2568" w:rsidRPr="00473B2A" w:rsidRDefault="009B2568" w:rsidP="009B2568">
                  <w:pPr>
                    <w:jc w:val="center"/>
                    <w:rPr>
                      <w:rFonts w:cs="Arial"/>
                      <w:color w:val="000000"/>
                      <w:lang w:eastAsia="en-GB"/>
                    </w:rPr>
                  </w:pPr>
                </w:p>
              </w:tc>
              <w:tc>
                <w:tcPr>
                  <w:tcW w:w="1482"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tcPr>
                <w:p w14:paraId="23A195D9" w14:textId="77777777" w:rsidR="009B2568" w:rsidRPr="00473B2A" w:rsidRDefault="009B2568" w:rsidP="009B2568">
                  <w:pPr>
                    <w:jc w:val="center"/>
                    <w:rPr>
                      <w:rFonts w:cs="Arial"/>
                      <w:color w:val="000000"/>
                      <w:lang w:eastAsia="en-GB"/>
                    </w:rPr>
                  </w:pPr>
                </w:p>
              </w:tc>
              <w:tc>
                <w:tcPr>
                  <w:tcW w:w="1849"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08FE6201" w14:textId="062F29BF" w:rsidR="009B2568" w:rsidRPr="00473B2A" w:rsidRDefault="00A0F983" w:rsidP="009B2568">
                  <w:pPr>
                    <w:jc w:val="center"/>
                    <w:rPr>
                      <w:rFonts w:cs="Arial"/>
                      <w:color w:val="000000"/>
                      <w:lang w:eastAsia="en-GB"/>
                    </w:rPr>
                  </w:pPr>
                  <w:r w:rsidRPr="00A0F983">
                    <w:rPr>
                      <w:rFonts w:eastAsia="Arial" w:cs="Arial"/>
                      <w:color w:val="000000" w:themeColor="text1"/>
                      <w:lang w:eastAsia="en-GB"/>
                    </w:rPr>
                    <w:t>£387,000</w:t>
                  </w:r>
                </w:p>
              </w:tc>
            </w:tr>
            <w:tr w:rsidR="009B2568" w:rsidRPr="00473B2A" w14:paraId="54AC02E0" w14:textId="77777777" w:rsidTr="00A0F983">
              <w:trPr>
                <w:trHeight w:val="559"/>
              </w:trPr>
              <w:tc>
                <w:tcPr>
                  <w:tcW w:w="3696"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5250FA38" w14:textId="77777777" w:rsidR="009B2568" w:rsidRPr="00473B2A" w:rsidRDefault="00A0F983" w:rsidP="009B2568">
                  <w:pPr>
                    <w:rPr>
                      <w:rFonts w:cs="Arial"/>
                      <w:color w:val="000000"/>
                      <w:lang w:eastAsia="en-GB"/>
                    </w:rPr>
                  </w:pPr>
                  <w:r w:rsidRPr="00A0F983">
                    <w:rPr>
                      <w:rFonts w:eastAsia="Arial" w:cs="Arial"/>
                      <w:color w:val="000000" w:themeColor="text1"/>
                      <w:lang w:eastAsia="en-GB"/>
                    </w:rPr>
                    <w:t>CG02 Community Grant Management Cost</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79C09AB" w14:textId="77777777" w:rsidR="009B2568" w:rsidRPr="00473B2A" w:rsidRDefault="009B2568" w:rsidP="009B2568">
                  <w:pPr>
                    <w:jc w:val="center"/>
                    <w:rPr>
                      <w:rFonts w:cs="Arial"/>
                      <w:lang w:eastAsia="en-GB"/>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B9800" w14:textId="77777777" w:rsidR="009B2568" w:rsidRPr="00473B2A" w:rsidRDefault="009B2568" w:rsidP="009B2568">
                  <w:pPr>
                    <w:jc w:val="center"/>
                    <w:rPr>
                      <w:rFonts w:cs="Arial"/>
                      <w:color w:val="000000"/>
                      <w:lang w:eastAsia="en-GB"/>
                    </w:rPr>
                  </w:pPr>
                </w:p>
              </w:tc>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2F84B" w14:textId="1E5A3F77" w:rsidR="009B2568" w:rsidRPr="00473B2A" w:rsidRDefault="00A0F983" w:rsidP="009B2568">
                  <w:pPr>
                    <w:jc w:val="center"/>
                    <w:rPr>
                      <w:rFonts w:cs="Arial"/>
                      <w:color w:val="000000"/>
                      <w:lang w:eastAsia="en-GB"/>
                    </w:rPr>
                  </w:pPr>
                  <w:r w:rsidRPr="00A0F983">
                    <w:rPr>
                      <w:rFonts w:eastAsia="Arial" w:cs="Arial"/>
                      <w:color w:val="000000" w:themeColor="text1"/>
                      <w:lang w:eastAsia="en-GB"/>
                    </w:rPr>
                    <w:t>£43,000</w:t>
                  </w:r>
                </w:p>
              </w:tc>
            </w:tr>
            <w:tr w:rsidR="009B2568" w:rsidRPr="00473B2A" w14:paraId="6E9D8192" w14:textId="77777777" w:rsidTr="00A0F983">
              <w:trPr>
                <w:trHeight w:val="419"/>
              </w:trPr>
              <w:tc>
                <w:tcPr>
                  <w:tcW w:w="3696"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5F73CF7" w14:textId="77777777" w:rsidR="009B2568" w:rsidRPr="00473B2A" w:rsidRDefault="00A0F983" w:rsidP="009B2568">
                  <w:pPr>
                    <w:rPr>
                      <w:rFonts w:cs="Arial"/>
                      <w:color w:val="000000"/>
                      <w:lang w:eastAsia="en-GB"/>
                    </w:rPr>
                  </w:pPr>
                  <w:r w:rsidRPr="00A0F983">
                    <w:rPr>
                      <w:rFonts w:eastAsia="Arial" w:cs="Arial"/>
                      <w:color w:val="000000" w:themeColor="text1"/>
                      <w:lang w:eastAsia="en-GB"/>
                    </w:rPr>
                    <w:t xml:space="preserve">ST01 Learner Assessment and Plan </w:t>
                  </w:r>
                </w:p>
              </w:tc>
              <w:tc>
                <w:tcPr>
                  <w:tcW w:w="1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AB7A8" w14:textId="7A8B70F3" w:rsidR="009B2568" w:rsidRPr="00473B2A" w:rsidRDefault="00A0F983" w:rsidP="009B2568">
                  <w:pPr>
                    <w:jc w:val="center"/>
                    <w:rPr>
                      <w:rFonts w:cs="Arial"/>
                      <w:lang w:eastAsia="en-GB"/>
                    </w:rPr>
                  </w:pPr>
                  <w:r w:rsidRPr="00A0F983">
                    <w:rPr>
                      <w:rFonts w:eastAsia="Arial" w:cs="Arial"/>
                      <w:lang w:eastAsia="en-GB"/>
                    </w:rPr>
                    <w:t>325</w:t>
                  </w:r>
                </w:p>
              </w:tc>
              <w:tc>
                <w:tcPr>
                  <w:tcW w:w="1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F947F66" w14:textId="77777777" w:rsidR="009B2568" w:rsidRPr="00473B2A" w:rsidRDefault="00A0F983" w:rsidP="009B2568">
                  <w:pPr>
                    <w:jc w:val="center"/>
                    <w:rPr>
                      <w:rFonts w:cs="Arial"/>
                      <w:color w:val="000000"/>
                      <w:lang w:eastAsia="en-GB"/>
                    </w:rPr>
                  </w:pPr>
                  <w:r w:rsidRPr="00A0F983">
                    <w:rPr>
                      <w:rFonts w:eastAsia="Arial" w:cs="Arial"/>
                      <w:color w:val="000000" w:themeColor="text1"/>
                      <w:lang w:eastAsia="en-GB"/>
                    </w:rPr>
                    <w:t>£0</w:t>
                  </w:r>
                </w:p>
              </w:tc>
              <w:tc>
                <w:tcPr>
                  <w:tcW w:w="1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E83DF4" w14:textId="77777777" w:rsidR="009B2568" w:rsidRPr="00473B2A" w:rsidRDefault="00A0F983" w:rsidP="009B2568">
                  <w:pPr>
                    <w:jc w:val="center"/>
                    <w:rPr>
                      <w:rFonts w:cs="Arial"/>
                      <w:color w:val="000000"/>
                      <w:lang w:eastAsia="en-GB"/>
                    </w:rPr>
                  </w:pPr>
                  <w:r w:rsidRPr="00A0F983">
                    <w:rPr>
                      <w:rFonts w:eastAsia="Arial" w:cs="Arial"/>
                      <w:color w:val="000000" w:themeColor="text1"/>
                      <w:lang w:eastAsia="en-GB"/>
                    </w:rPr>
                    <w:t>£0</w:t>
                  </w:r>
                </w:p>
              </w:tc>
            </w:tr>
            <w:tr w:rsidR="009B2568" w:rsidRPr="00473B2A" w14:paraId="61F9B6E7" w14:textId="77777777" w:rsidTr="00A0F983">
              <w:trPr>
                <w:trHeight w:val="419"/>
              </w:trPr>
              <w:tc>
                <w:tcPr>
                  <w:tcW w:w="3696"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B80A644" w14:textId="77777777" w:rsidR="009B2568" w:rsidRPr="00473B2A" w:rsidRDefault="00A0F983" w:rsidP="009B2568">
                  <w:pPr>
                    <w:rPr>
                      <w:rFonts w:cs="Arial"/>
                      <w:color w:val="000000"/>
                      <w:lang w:eastAsia="en-GB"/>
                    </w:rPr>
                  </w:pPr>
                  <w:r w:rsidRPr="00A0F983">
                    <w:rPr>
                      <w:rFonts w:eastAsia="Arial" w:cs="Arial"/>
                      <w:color w:val="000000" w:themeColor="text1"/>
                      <w:lang w:eastAsia="en-GB"/>
                    </w:rPr>
                    <w:t>Total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1774BA9" w14:textId="77777777" w:rsidR="009B2568" w:rsidRPr="00473B2A" w:rsidRDefault="009B2568" w:rsidP="009B2568">
                  <w:pPr>
                    <w:jc w:val="center"/>
                    <w:rPr>
                      <w:rFonts w:cs="Arial"/>
                      <w:lang w:eastAsia="en-GB"/>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E3469" w14:textId="77777777" w:rsidR="009B2568" w:rsidRPr="00473B2A" w:rsidRDefault="009B2568" w:rsidP="009B2568">
                  <w:pPr>
                    <w:jc w:val="center"/>
                    <w:rPr>
                      <w:rFonts w:cs="Arial"/>
                      <w:color w:val="000000"/>
                      <w:lang w:eastAsia="en-GB"/>
                    </w:rPr>
                  </w:pPr>
                </w:p>
              </w:tc>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D8BD1" w14:textId="5A95F02F" w:rsidR="009B2568" w:rsidRPr="00473B2A" w:rsidRDefault="00A0F983" w:rsidP="009B2568">
                  <w:pPr>
                    <w:jc w:val="center"/>
                    <w:rPr>
                      <w:rFonts w:cs="Arial"/>
                      <w:color w:val="000000"/>
                      <w:lang w:eastAsia="en-GB"/>
                    </w:rPr>
                  </w:pPr>
                  <w:r w:rsidRPr="00A0F983">
                    <w:rPr>
                      <w:rFonts w:eastAsia="Arial" w:cs="Arial"/>
                      <w:color w:val="000000" w:themeColor="text1"/>
                      <w:lang w:eastAsia="en-GB"/>
                    </w:rPr>
                    <w:t>£430,000</w:t>
                  </w:r>
                </w:p>
              </w:tc>
            </w:tr>
          </w:tbl>
          <w:p w14:paraId="37DAD5A1" w14:textId="77777777" w:rsidR="00C107CE" w:rsidRDefault="00C107CE" w:rsidP="00AC03C0">
            <w:pPr>
              <w:autoSpaceDE w:val="0"/>
              <w:autoSpaceDN w:val="0"/>
              <w:adjustRightInd w:val="0"/>
              <w:ind w:right="282"/>
              <w:rPr>
                <w:rFonts w:cs="Arial"/>
              </w:rPr>
            </w:pPr>
          </w:p>
          <w:p w14:paraId="37DAD5A2" w14:textId="77777777" w:rsidR="00344FA1" w:rsidRPr="00187630" w:rsidRDefault="00344FA1" w:rsidP="00AC03C0">
            <w:pPr>
              <w:autoSpaceDE w:val="0"/>
              <w:autoSpaceDN w:val="0"/>
              <w:adjustRightInd w:val="0"/>
              <w:ind w:right="282"/>
              <w:rPr>
                <w:rFonts w:cs="Arial"/>
                <w:b/>
              </w:rPr>
            </w:pPr>
          </w:p>
        </w:tc>
      </w:tr>
    </w:tbl>
    <w:p w14:paraId="37DAD5A4" w14:textId="77A89FDA" w:rsidR="00C02A62" w:rsidRDefault="00C02A62" w:rsidP="00AC03C0">
      <w:pPr>
        <w:ind w:right="282"/>
      </w:pPr>
    </w:p>
    <w:p w14:paraId="546FAA48" w14:textId="6928A81F" w:rsidR="00FF6C06" w:rsidRDefault="00FF6C06" w:rsidP="00C02A62"/>
    <w:p w14:paraId="782E0EB0" w14:textId="77777777" w:rsidR="00FF6C06" w:rsidRPr="00FF6C06" w:rsidRDefault="00FF6C06" w:rsidP="00FF6C06"/>
    <w:p w14:paraId="1C8712A0" w14:textId="77777777" w:rsidR="00FF6C06" w:rsidRPr="00FF6C06" w:rsidRDefault="00FF6C06" w:rsidP="00FF6C06"/>
    <w:p w14:paraId="7A194B76" w14:textId="77777777" w:rsidR="00FF6C06" w:rsidRPr="00FF6C06" w:rsidRDefault="00FF6C06" w:rsidP="00FF6C06"/>
    <w:p w14:paraId="017B64F3" w14:textId="77777777" w:rsidR="00FF6C06" w:rsidRPr="00FF6C06" w:rsidRDefault="00FF6C06" w:rsidP="00FF6C06"/>
    <w:p w14:paraId="57C6AB5D" w14:textId="75DC6E14" w:rsidR="00FF6C06" w:rsidRDefault="00FF6C06" w:rsidP="00C02A62"/>
    <w:p w14:paraId="4D8A7A81" w14:textId="7AAA4BB0" w:rsidR="00C02A62" w:rsidRDefault="00FF6C06" w:rsidP="00FF6C06">
      <w:pPr>
        <w:tabs>
          <w:tab w:val="left" w:pos="1788"/>
        </w:tabs>
      </w:pPr>
      <w:r>
        <w:tab/>
      </w:r>
      <w:bookmarkStart w:id="0" w:name="_GoBack"/>
      <w:bookmarkEnd w:id="0"/>
    </w:p>
    <w:sectPr w:rsidR="00C02A62" w:rsidSect="0014799D">
      <w:headerReference w:type="default" r:id="rId15"/>
      <w:footerReference w:type="default" r:id="rId16"/>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5903C" w14:textId="77777777" w:rsidR="00E914D3" w:rsidRDefault="00E914D3">
      <w:r>
        <w:separator/>
      </w:r>
    </w:p>
  </w:endnote>
  <w:endnote w:type="continuationSeparator" w:id="0">
    <w:p w14:paraId="43FC33F9" w14:textId="77777777" w:rsidR="00E914D3" w:rsidRDefault="00E914D3">
      <w:r>
        <w:continuationSeparator/>
      </w:r>
    </w:p>
  </w:endnote>
  <w:endnote w:type="continuationNotice" w:id="1">
    <w:p w14:paraId="1054E9F9" w14:textId="77777777" w:rsidR="00E914D3" w:rsidRDefault="00E91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4E7D9F24" w14:textId="77777777" w:rsidR="00D309FF" w:rsidRDefault="00D309FF">
        <w:pPr>
          <w:pStyle w:val="Footer"/>
          <w:jc w:val="right"/>
          <w:rPr>
            <w:noProof/>
          </w:rPr>
        </w:pPr>
        <w:r>
          <w:fldChar w:fldCharType="begin"/>
        </w:r>
        <w:r>
          <w:instrText xml:space="preserve"> PAGE   \* MERGEFORMAT </w:instrText>
        </w:r>
        <w:r>
          <w:fldChar w:fldCharType="separate"/>
        </w:r>
        <w:r w:rsidR="00FF6C06">
          <w:rPr>
            <w:noProof/>
          </w:rPr>
          <w:t>10</w:t>
        </w:r>
        <w:r>
          <w:rPr>
            <w:noProof/>
          </w:rPr>
          <w:fldChar w:fldCharType="end"/>
        </w:r>
      </w:p>
      <w:p w14:paraId="37DAD5AE" w14:textId="3D885F4E" w:rsidR="00D309FF" w:rsidRDefault="00D309FF" w:rsidP="00462BA1">
        <w:pPr>
          <w:pStyle w:val="Footer"/>
        </w:pPr>
        <w:r>
          <w:rPr>
            <w:noProof/>
          </w:rPr>
          <w:t>Community Grants February 2016 Final</w:t>
        </w:r>
      </w:p>
    </w:sdtContent>
  </w:sdt>
  <w:p w14:paraId="37DAD5AF" w14:textId="77777777" w:rsidR="00D309FF" w:rsidRDefault="00D30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C9155" w14:textId="77777777" w:rsidR="00E914D3" w:rsidRDefault="00E914D3">
      <w:r>
        <w:separator/>
      </w:r>
    </w:p>
  </w:footnote>
  <w:footnote w:type="continuationSeparator" w:id="0">
    <w:p w14:paraId="362A9408" w14:textId="77777777" w:rsidR="00E914D3" w:rsidRDefault="00E914D3">
      <w:r>
        <w:continuationSeparator/>
      </w:r>
    </w:p>
  </w:footnote>
  <w:footnote w:type="continuationNotice" w:id="1">
    <w:p w14:paraId="67596595" w14:textId="77777777" w:rsidR="00E914D3" w:rsidRDefault="00E914D3"/>
  </w:footnote>
  <w:footnote w:id="2">
    <w:p w14:paraId="37DAD5B2" w14:textId="77777777" w:rsidR="00D309FF" w:rsidRPr="00BA6E2C" w:rsidRDefault="00D309FF" w:rsidP="002427B3">
      <w:pPr>
        <w:pStyle w:val="FootnoteText"/>
      </w:pPr>
      <w:r>
        <w:rPr>
          <w:rStyle w:val="FootnoteReference"/>
        </w:rPr>
        <w:footnoteRef/>
      </w:r>
      <w:r>
        <w:t xml:space="preserve"> </w:t>
      </w:r>
      <w:r w:rsidRPr="00BA6E2C">
        <w:t xml:space="preserve"> </w:t>
      </w:r>
      <w:r w:rsidRPr="54DDB94F">
        <w:t>Economic Forecasting to Inform the Oxfordshire Strategic Economic Plan and Strategic Housing Market Assessment SQW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37DAD5AD" w14:textId="77777777" w:rsidR="00D309FF" w:rsidRDefault="00FF6C06">
        <w:pPr>
          <w:pStyle w:val="Header"/>
        </w:pPr>
        <w:r>
          <w:rPr>
            <w:noProof/>
            <w:lang w:val="en-US"/>
          </w:rPr>
          <w:pict w14:anchorId="37DAD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D6128D"/>
    <w:multiLevelType w:val="hybridMultilevel"/>
    <w:tmpl w:val="B8C01BB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01DA44CD"/>
    <w:multiLevelType w:val="hybridMultilevel"/>
    <w:tmpl w:val="7B38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44227"/>
    <w:multiLevelType w:val="hybridMultilevel"/>
    <w:tmpl w:val="4B86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376A5"/>
    <w:multiLevelType w:val="hybridMultilevel"/>
    <w:tmpl w:val="B5EA61D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6A6B4F"/>
    <w:multiLevelType w:val="hybridMultilevel"/>
    <w:tmpl w:val="4BFA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E3E7A8A"/>
    <w:multiLevelType w:val="hybridMultilevel"/>
    <w:tmpl w:val="A8A8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9B4C54"/>
    <w:multiLevelType w:val="hybridMultilevel"/>
    <w:tmpl w:val="F2C4012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3F345DBB"/>
    <w:multiLevelType w:val="hybridMultilevel"/>
    <w:tmpl w:val="2512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25477"/>
    <w:multiLevelType w:val="hybridMultilevel"/>
    <w:tmpl w:val="37DA2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BD08A8"/>
    <w:multiLevelType w:val="hybridMultilevel"/>
    <w:tmpl w:val="8BA0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3E16EC"/>
    <w:multiLevelType w:val="hybridMultilevel"/>
    <w:tmpl w:val="44FA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6"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C14675"/>
    <w:multiLevelType w:val="hybridMultilevel"/>
    <w:tmpl w:val="7CFE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5"/>
  </w:num>
  <w:num w:numId="4">
    <w:abstractNumId w:val="15"/>
  </w:num>
  <w:num w:numId="5">
    <w:abstractNumId w:val="7"/>
  </w:num>
  <w:num w:numId="6">
    <w:abstractNumId w:val="0"/>
  </w:num>
  <w:num w:numId="7">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num>
  <w:num w:numId="10">
    <w:abstractNumId w:val="10"/>
  </w:num>
  <w:num w:numId="11">
    <w:abstractNumId w:val="14"/>
  </w:num>
  <w:num w:numId="12">
    <w:abstractNumId w:val="17"/>
  </w:num>
  <w:num w:numId="13">
    <w:abstractNumId w:val="3"/>
  </w:num>
  <w:num w:numId="14">
    <w:abstractNumId w:val="2"/>
  </w:num>
  <w:num w:numId="15">
    <w:abstractNumId w:val="1"/>
  </w:num>
  <w:num w:numId="16">
    <w:abstractNumId w:val="11"/>
  </w:num>
  <w:num w:numId="17">
    <w:abstractNumId w:val="13"/>
  </w:num>
  <w:num w:numId="18">
    <w:abstractNumId w:val="5"/>
  </w:num>
  <w:num w:numId="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5B67"/>
    <w:rsid w:val="0000772D"/>
    <w:rsid w:val="00020B5F"/>
    <w:rsid w:val="000241A5"/>
    <w:rsid w:val="00025309"/>
    <w:rsid w:val="00025EF8"/>
    <w:rsid w:val="000262AC"/>
    <w:rsid w:val="000304B2"/>
    <w:rsid w:val="00033BE9"/>
    <w:rsid w:val="000419AD"/>
    <w:rsid w:val="000426C3"/>
    <w:rsid w:val="00044B29"/>
    <w:rsid w:val="000457C3"/>
    <w:rsid w:val="00045DF4"/>
    <w:rsid w:val="00054962"/>
    <w:rsid w:val="00055B31"/>
    <w:rsid w:val="00056790"/>
    <w:rsid w:val="00061405"/>
    <w:rsid w:val="000616F5"/>
    <w:rsid w:val="000670D9"/>
    <w:rsid w:val="0006724D"/>
    <w:rsid w:val="0007093F"/>
    <w:rsid w:val="000730F1"/>
    <w:rsid w:val="00080F2C"/>
    <w:rsid w:val="000935EF"/>
    <w:rsid w:val="000A0728"/>
    <w:rsid w:val="000A5C48"/>
    <w:rsid w:val="000A6802"/>
    <w:rsid w:val="000B01C8"/>
    <w:rsid w:val="000B07A1"/>
    <w:rsid w:val="000B41E7"/>
    <w:rsid w:val="000B44ED"/>
    <w:rsid w:val="000B4E0D"/>
    <w:rsid w:val="000B6EB8"/>
    <w:rsid w:val="000C02F6"/>
    <w:rsid w:val="000C1CF5"/>
    <w:rsid w:val="000C7381"/>
    <w:rsid w:val="000C7A51"/>
    <w:rsid w:val="000C7C92"/>
    <w:rsid w:val="000D0395"/>
    <w:rsid w:val="000D3936"/>
    <w:rsid w:val="000D51DE"/>
    <w:rsid w:val="000E4725"/>
    <w:rsid w:val="000F0F49"/>
    <w:rsid w:val="000F1295"/>
    <w:rsid w:val="000F1BF3"/>
    <w:rsid w:val="00100DB8"/>
    <w:rsid w:val="00101C79"/>
    <w:rsid w:val="00105A7C"/>
    <w:rsid w:val="00110113"/>
    <w:rsid w:val="00112FF0"/>
    <w:rsid w:val="0012138E"/>
    <w:rsid w:val="00131443"/>
    <w:rsid w:val="0013204A"/>
    <w:rsid w:val="00133A11"/>
    <w:rsid w:val="00137737"/>
    <w:rsid w:val="00140390"/>
    <w:rsid w:val="00143A7D"/>
    <w:rsid w:val="00145B73"/>
    <w:rsid w:val="0014799D"/>
    <w:rsid w:val="0015011A"/>
    <w:rsid w:val="001535BC"/>
    <w:rsid w:val="00156871"/>
    <w:rsid w:val="00161E3A"/>
    <w:rsid w:val="00162CAD"/>
    <w:rsid w:val="00171CCB"/>
    <w:rsid w:val="0017418C"/>
    <w:rsid w:val="00174E73"/>
    <w:rsid w:val="00182175"/>
    <w:rsid w:val="00187630"/>
    <w:rsid w:val="00191EFE"/>
    <w:rsid w:val="00194CEF"/>
    <w:rsid w:val="001A0525"/>
    <w:rsid w:val="001A4B42"/>
    <w:rsid w:val="001B180A"/>
    <w:rsid w:val="001C0F4B"/>
    <w:rsid w:val="001C6BE0"/>
    <w:rsid w:val="001D1AC8"/>
    <w:rsid w:val="001E025B"/>
    <w:rsid w:val="001E04A4"/>
    <w:rsid w:val="001E1416"/>
    <w:rsid w:val="001E23AA"/>
    <w:rsid w:val="001E3703"/>
    <w:rsid w:val="001E45D5"/>
    <w:rsid w:val="001E48F1"/>
    <w:rsid w:val="001E4DC7"/>
    <w:rsid w:val="001E5188"/>
    <w:rsid w:val="001E53AD"/>
    <w:rsid w:val="001E6A24"/>
    <w:rsid w:val="001F0385"/>
    <w:rsid w:val="001F0D61"/>
    <w:rsid w:val="001F0E6A"/>
    <w:rsid w:val="001F3341"/>
    <w:rsid w:val="001F5FDF"/>
    <w:rsid w:val="001F683C"/>
    <w:rsid w:val="001F687D"/>
    <w:rsid w:val="00200BC6"/>
    <w:rsid w:val="0020278B"/>
    <w:rsid w:val="002048CD"/>
    <w:rsid w:val="0021080C"/>
    <w:rsid w:val="00226225"/>
    <w:rsid w:val="00230104"/>
    <w:rsid w:val="002325E4"/>
    <w:rsid w:val="00234B05"/>
    <w:rsid w:val="002369B8"/>
    <w:rsid w:val="00236EB2"/>
    <w:rsid w:val="00241ACD"/>
    <w:rsid w:val="002427B3"/>
    <w:rsid w:val="00244732"/>
    <w:rsid w:val="002476AE"/>
    <w:rsid w:val="00252D5F"/>
    <w:rsid w:val="0025417A"/>
    <w:rsid w:val="00254DC6"/>
    <w:rsid w:val="002614C3"/>
    <w:rsid w:val="00261A57"/>
    <w:rsid w:val="002725CD"/>
    <w:rsid w:val="002747FB"/>
    <w:rsid w:val="00274F72"/>
    <w:rsid w:val="00275DF2"/>
    <w:rsid w:val="002833D9"/>
    <w:rsid w:val="00294130"/>
    <w:rsid w:val="00294FCA"/>
    <w:rsid w:val="002A10EA"/>
    <w:rsid w:val="002A4103"/>
    <w:rsid w:val="002A52B1"/>
    <w:rsid w:val="002A5E6B"/>
    <w:rsid w:val="002B2730"/>
    <w:rsid w:val="002B2B9C"/>
    <w:rsid w:val="002C2C52"/>
    <w:rsid w:val="002C3DD0"/>
    <w:rsid w:val="002C62CF"/>
    <w:rsid w:val="002C72A2"/>
    <w:rsid w:val="002D130A"/>
    <w:rsid w:val="002D7D91"/>
    <w:rsid w:val="002E25F4"/>
    <w:rsid w:val="002E3B40"/>
    <w:rsid w:val="002E53B9"/>
    <w:rsid w:val="002E7560"/>
    <w:rsid w:val="002F2910"/>
    <w:rsid w:val="002F70E9"/>
    <w:rsid w:val="00301CA8"/>
    <w:rsid w:val="003035E8"/>
    <w:rsid w:val="00303609"/>
    <w:rsid w:val="00303EFB"/>
    <w:rsid w:val="003045E2"/>
    <w:rsid w:val="00304D39"/>
    <w:rsid w:val="00307FC5"/>
    <w:rsid w:val="00311C62"/>
    <w:rsid w:val="003146D9"/>
    <w:rsid w:val="00320393"/>
    <w:rsid w:val="003218C6"/>
    <w:rsid w:val="003240A6"/>
    <w:rsid w:val="00325BC2"/>
    <w:rsid w:val="00325EB2"/>
    <w:rsid w:val="00332E13"/>
    <w:rsid w:val="00333E86"/>
    <w:rsid w:val="003372BE"/>
    <w:rsid w:val="003436BF"/>
    <w:rsid w:val="00344FA1"/>
    <w:rsid w:val="0035514D"/>
    <w:rsid w:val="00363111"/>
    <w:rsid w:val="00364A6D"/>
    <w:rsid w:val="00365815"/>
    <w:rsid w:val="00370ADD"/>
    <w:rsid w:val="003711BA"/>
    <w:rsid w:val="00372BC6"/>
    <w:rsid w:val="00374539"/>
    <w:rsid w:val="00375997"/>
    <w:rsid w:val="003815F3"/>
    <w:rsid w:val="003817E6"/>
    <w:rsid w:val="0038461C"/>
    <w:rsid w:val="00384794"/>
    <w:rsid w:val="00384AE2"/>
    <w:rsid w:val="00387205"/>
    <w:rsid w:val="00391879"/>
    <w:rsid w:val="003A3761"/>
    <w:rsid w:val="003A3C37"/>
    <w:rsid w:val="003A457D"/>
    <w:rsid w:val="003A4747"/>
    <w:rsid w:val="003A703E"/>
    <w:rsid w:val="003B6ACC"/>
    <w:rsid w:val="003B6D47"/>
    <w:rsid w:val="003C070A"/>
    <w:rsid w:val="003C218D"/>
    <w:rsid w:val="003C2466"/>
    <w:rsid w:val="003C3A97"/>
    <w:rsid w:val="003C3FC1"/>
    <w:rsid w:val="003D3636"/>
    <w:rsid w:val="003D5D97"/>
    <w:rsid w:val="003E3DEA"/>
    <w:rsid w:val="003E657D"/>
    <w:rsid w:val="003F314B"/>
    <w:rsid w:val="003F57F0"/>
    <w:rsid w:val="004050CC"/>
    <w:rsid w:val="0041542B"/>
    <w:rsid w:val="00415AB1"/>
    <w:rsid w:val="00416BE3"/>
    <w:rsid w:val="00422EF3"/>
    <w:rsid w:val="004241A1"/>
    <w:rsid w:val="004404D5"/>
    <w:rsid w:val="0044066C"/>
    <w:rsid w:val="00442DA3"/>
    <w:rsid w:val="00444DB8"/>
    <w:rsid w:val="00447E3D"/>
    <w:rsid w:val="00454193"/>
    <w:rsid w:val="00457BC3"/>
    <w:rsid w:val="00462BA1"/>
    <w:rsid w:val="00464787"/>
    <w:rsid w:val="00475879"/>
    <w:rsid w:val="00490282"/>
    <w:rsid w:val="00494D3C"/>
    <w:rsid w:val="004B7AFB"/>
    <w:rsid w:val="004C3A3C"/>
    <w:rsid w:val="004C5399"/>
    <w:rsid w:val="004C726D"/>
    <w:rsid w:val="004D1EA6"/>
    <w:rsid w:val="004D7820"/>
    <w:rsid w:val="004E3BCB"/>
    <w:rsid w:val="004F2FFD"/>
    <w:rsid w:val="005005F6"/>
    <w:rsid w:val="0050287E"/>
    <w:rsid w:val="0051360B"/>
    <w:rsid w:val="0051414C"/>
    <w:rsid w:val="00515602"/>
    <w:rsid w:val="00517252"/>
    <w:rsid w:val="0052301F"/>
    <w:rsid w:val="0052417A"/>
    <w:rsid w:val="00525050"/>
    <w:rsid w:val="00527247"/>
    <w:rsid w:val="00532143"/>
    <w:rsid w:val="005325A3"/>
    <w:rsid w:val="00533590"/>
    <w:rsid w:val="00552885"/>
    <w:rsid w:val="005530E1"/>
    <w:rsid w:val="0055442A"/>
    <w:rsid w:val="005574E2"/>
    <w:rsid w:val="00557EE4"/>
    <w:rsid w:val="00570163"/>
    <w:rsid w:val="00574448"/>
    <w:rsid w:val="0057560E"/>
    <w:rsid w:val="00575A04"/>
    <w:rsid w:val="00581451"/>
    <w:rsid w:val="00581C17"/>
    <w:rsid w:val="005844BD"/>
    <w:rsid w:val="00584D89"/>
    <w:rsid w:val="00584F79"/>
    <w:rsid w:val="00587150"/>
    <w:rsid w:val="00590073"/>
    <w:rsid w:val="00596FF4"/>
    <w:rsid w:val="005A233C"/>
    <w:rsid w:val="005A277B"/>
    <w:rsid w:val="005B3498"/>
    <w:rsid w:val="005B4B9E"/>
    <w:rsid w:val="005C04A2"/>
    <w:rsid w:val="005C196E"/>
    <w:rsid w:val="005C220B"/>
    <w:rsid w:val="005C350D"/>
    <w:rsid w:val="005C5996"/>
    <w:rsid w:val="005C74C2"/>
    <w:rsid w:val="005D1F68"/>
    <w:rsid w:val="005D2D1A"/>
    <w:rsid w:val="005D2FF1"/>
    <w:rsid w:val="005D3214"/>
    <w:rsid w:val="005D3E38"/>
    <w:rsid w:val="005D6598"/>
    <w:rsid w:val="005D77FE"/>
    <w:rsid w:val="005E0E16"/>
    <w:rsid w:val="005E1FA1"/>
    <w:rsid w:val="005E317E"/>
    <w:rsid w:val="005E37D8"/>
    <w:rsid w:val="005E3A1D"/>
    <w:rsid w:val="00601F38"/>
    <w:rsid w:val="00607370"/>
    <w:rsid w:val="00607A17"/>
    <w:rsid w:val="006106F1"/>
    <w:rsid w:val="00614254"/>
    <w:rsid w:val="00622E87"/>
    <w:rsid w:val="006254BD"/>
    <w:rsid w:val="006321E9"/>
    <w:rsid w:val="006372B3"/>
    <w:rsid w:val="00655E68"/>
    <w:rsid w:val="006701D5"/>
    <w:rsid w:val="0067125E"/>
    <w:rsid w:val="00673325"/>
    <w:rsid w:val="00680408"/>
    <w:rsid w:val="00683123"/>
    <w:rsid w:val="00683FE3"/>
    <w:rsid w:val="0068445E"/>
    <w:rsid w:val="00685FB5"/>
    <w:rsid w:val="00697265"/>
    <w:rsid w:val="006A4FD3"/>
    <w:rsid w:val="006A5DFC"/>
    <w:rsid w:val="006A6203"/>
    <w:rsid w:val="006B2902"/>
    <w:rsid w:val="006B627F"/>
    <w:rsid w:val="006B7267"/>
    <w:rsid w:val="006C00C2"/>
    <w:rsid w:val="006C5495"/>
    <w:rsid w:val="006C64F5"/>
    <w:rsid w:val="006D5858"/>
    <w:rsid w:val="006E31CF"/>
    <w:rsid w:val="006E6DED"/>
    <w:rsid w:val="006E7CEE"/>
    <w:rsid w:val="006F33C3"/>
    <w:rsid w:val="006F520C"/>
    <w:rsid w:val="006F6D5D"/>
    <w:rsid w:val="0070487E"/>
    <w:rsid w:val="0070702A"/>
    <w:rsid w:val="00712993"/>
    <w:rsid w:val="007167C9"/>
    <w:rsid w:val="0072012D"/>
    <w:rsid w:val="00721D14"/>
    <w:rsid w:val="007221B7"/>
    <w:rsid w:val="00733C44"/>
    <w:rsid w:val="007362B9"/>
    <w:rsid w:val="00736E23"/>
    <w:rsid w:val="00740BBC"/>
    <w:rsid w:val="00741E70"/>
    <w:rsid w:val="007430EF"/>
    <w:rsid w:val="00746B8C"/>
    <w:rsid w:val="007544F0"/>
    <w:rsid w:val="00755E41"/>
    <w:rsid w:val="00757D21"/>
    <w:rsid w:val="0076010B"/>
    <w:rsid w:val="007654E6"/>
    <w:rsid w:val="00765616"/>
    <w:rsid w:val="00772BBA"/>
    <w:rsid w:val="007779B8"/>
    <w:rsid w:val="00780C7F"/>
    <w:rsid w:val="00787807"/>
    <w:rsid w:val="00794997"/>
    <w:rsid w:val="00795FB8"/>
    <w:rsid w:val="007977E5"/>
    <w:rsid w:val="007A1505"/>
    <w:rsid w:val="007A38DA"/>
    <w:rsid w:val="007A3B66"/>
    <w:rsid w:val="007A4CDA"/>
    <w:rsid w:val="007A63F7"/>
    <w:rsid w:val="007C1168"/>
    <w:rsid w:val="007C1C00"/>
    <w:rsid w:val="007C271A"/>
    <w:rsid w:val="007C294F"/>
    <w:rsid w:val="007C2B80"/>
    <w:rsid w:val="007C5451"/>
    <w:rsid w:val="007D184B"/>
    <w:rsid w:val="007D5435"/>
    <w:rsid w:val="007E21BD"/>
    <w:rsid w:val="007E2F31"/>
    <w:rsid w:val="007E5629"/>
    <w:rsid w:val="007E7731"/>
    <w:rsid w:val="007F24D4"/>
    <w:rsid w:val="007F51F2"/>
    <w:rsid w:val="007F575A"/>
    <w:rsid w:val="007F61A6"/>
    <w:rsid w:val="007F7502"/>
    <w:rsid w:val="00806C56"/>
    <w:rsid w:val="00812EC6"/>
    <w:rsid w:val="008139C0"/>
    <w:rsid w:val="00843FCD"/>
    <w:rsid w:val="008441FE"/>
    <w:rsid w:val="00854FFA"/>
    <w:rsid w:val="00856A39"/>
    <w:rsid w:val="0086257F"/>
    <w:rsid w:val="00865DD0"/>
    <w:rsid w:val="00866F8D"/>
    <w:rsid w:val="008751AB"/>
    <w:rsid w:val="00887CC4"/>
    <w:rsid w:val="008914FB"/>
    <w:rsid w:val="00891C05"/>
    <w:rsid w:val="00892D58"/>
    <w:rsid w:val="00893B59"/>
    <w:rsid w:val="008A2040"/>
    <w:rsid w:val="008A4DF1"/>
    <w:rsid w:val="008A7BFE"/>
    <w:rsid w:val="008B0638"/>
    <w:rsid w:val="008B301A"/>
    <w:rsid w:val="008B3265"/>
    <w:rsid w:val="008C33A1"/>
    <w:rsid w:val="008C74BF"/>
    <w:rsid w:val="008D41F4"/>
    <w:rsid w:val="008D685F"/>
    <w:rsid w:val="008E0CA3"/>
    <w:rsid w:val="008E2EBC"/>
    <w:rsid w:val="008E3CAF"/>
    <w:rsid w:val="008E606E"/>
    <w:rsid w:val="008E6320"/>
    <w:rsid w:val="00900D0A"/>
    <w:rsid w:val="00902694"/>
    <w:rsid w:val="0090511E"/>
    <w:rsid w:val="00906CBD"/>
    <w:rsid w:val="00906ED1"/>
    <w:rsid w:val="00911515"/>
    <w:rsid w:val="009116BD"/>
    <w:rsid w:val="00911A56"/>
    <w:rsid w:val="00912377"/>
    <w:rsid w:val="009145E2"/>
    <w:rsid w:val="00914BB9"/>
    <w:rsid w:val="00914DF9"/>
    <w:rsid w:val="00931BC9"/>
    <w:rsid w:val="00936137"/>
    <w:rsid w:val="00945E4C"/>
    <w:rsid w:val="00946A67"/>
    <w:rsid w:val="00954D17"/>
    <w:rsid w:val="009552C2"/>
    <w:rsid w:val="009612F7"/>
    <w:rsid w:val="00965A85"/>
    <w:rsid w:val="00967429"/>
    <w:rsid w:val="00975D7E"/>
    <w:rsid w:val="009840A5"/>
    <w:rsid w:val="009876C0"/>
    <w:rsid w:val="009907A3"/>
    <w:rsid w:val="00991E98"/>
    <w:rsid w:val="009924E0"/>
    <w:rsid w:val="009945CA"/>
    <w:rsid w:val="009A48CE"/>
    <w:rsid w:val="009B2568"/>
    <w:rsid w:val="009B3FE6"/>
    <w:rsid w:val="009B666D"/>
    <w:rsid w:val="009C1A29"/>
    <w:rsid w:val="009C5070"/>
    <w:rsid w:val="009D12A3"/>
    <w:rsid w:val="009D12C5"/>
    <w:rsid w:val="009D13EE"/>
    <w:rsid w:val="009D327E"/>
    <w:rsid w:val="009D3D53"/>
    <w:rsid w:val="009D55C8"/>
    <w:rsid w:val="009E20A3"/>
    <w:rsid w:val="009F1166"/>
    <w:rsid w:val="009F49B8"/>
    <w:rsid w:val="009F51A8"/>
    <w:rsid w:val="009F7667"/>
    <w:rsid w:val="00A005EF"/>
    <w:rsid w:val="00A0341F"/>
    <w:rsid w:val="00A06583"/>
    <w:rsid w:val="00A077AE"/>
    <w:rsid w:val="00A0F983"/>
    <w:rsid w:val="00A11AEC"/>
    <w:rsid w:val="00A1567A"/>
    <w:rsid w:val="00A16F11"/>
    <w:rsid w:val="00A205A2"/>
    <w:rsid w:val="00A228E4"/>
    <w:rsid w:val="00A3031B"/>
    <w:rsid w:val="00A31AB9"/>
    <w:rsid w:val="00A3376F"/>
    <w:rsid w:val="00A34142"/>
    <w:rsid w:val="00A353F2"/>
    <w:rsid w:val="00A402FE"/>
    <w:rsid w:val="00A4045A"/>
    <w:rsid w:val="00A406BC"/>
    <w:rsid w:val="00A477D1"/>
    <w:rsid w:val="00A524B5"/>
    <w:rsid w:val="00A55BAF"/>
    <w:rsid w:val="00A605B5"/>
    <w:rsid w:val="00A62B87"/>
    <w:rsid w:val="00A6430E"/>
    <w:rsid w:val="00A668E8"/>
    <w:rsid w:val="00A72135"/>
    <w:rsid w:val="00A76A58"/>
    <w:rsid w:val="00A813F8"/>
    <w:rsid w:val="00A818CD"/>
    <w:rsid w:val="00A81976"/>
    <w:rsid w:val="00A857B7"/>
    <w:rsid w:val="00A926B4"/>
    <w:rsid w:val="00A933DA"/>
    <w:rsid w:val="00A93F46"/>
    <w:rsid w:val="00AA0653"/>
    <w:rsid w:val="00AA35C7"/>
    <w:rsid w:val="00AA3E5C"/>
    <w:rsid w:val="00AA5676"/>
    <w:rsid w:val="00AB276E"/>
    <w:rsid w:val="00AB5F90"/>
    <w:rsid w:val="00AC03C0"/>
    <w:rsid w:val="00AC72AC"/>
    <w:rsid w:val="00AD6D2B"/>
    <w:rsid w:val="00AE01E8"/>
    <w:rsid w:val="00AF3545"/>
    <w:rsid w:val="00AF6AC9"/>
    <w:rsid w:val="00B048EE"/>
    <w:rsid w:val="00B05C27"/>
    <w:rsid w:val="00B06A9F"/>
    <w:rsid w:val="00B12A05"/>
    <w:rsid w:val="00B13229"/>
    <w:rsid w:val="00B15729"/>
    <w:rsid w:val="00B21ED4"/>
    <w:rsid w:val="00B2490D"/>
    <w:rsid w:val="00B24D65"/>
    <w:rsid w:val="00B305E3"/>
    <w:rsid w:val="00B37256"/>
    <w:rsid w:val="00B505CF"/>
    <w:rsid w:val="00B52D80"/>
    <w:rsid w:val="00B5677B"/>
    <w:rsid w:val="00B56C5A"/>
    <w:rsid w:val="00B64855"/>
    <w:rsid w:val="00B650A9"/>
    <w:rsid w:val="00B6696F"/>
    <w:rsid w:val="00B66CC6"/>
    <w:rsid w:val="00B70FB2"/>
    <w:rsid w:val="00B87752"/>
    <w:rsid w:val="00B87B7F"/>
    <w:rsid w:val="00BA120C"/>
    <w:rsid w:val="00BA1865"/>
    <w:rsid w:val="00BB06DA"/>
    <w:rsid w:val="00BB79E5"/>
    <w:rsid w:val="00BC07D7"/>
    <w:rsid w:val="00BC357A"/>
    <w:rsid w:val="00BC3D6D"/>
    <w:rsid w:val="00BD16C9"/>
    <w:rsid w:val="00BD660A"/>
    <w:rsid w:val="00BD78CA"/>
    <w:rsid w:val="00BD7FA4"/>
    <w:rsid w:val="00BE4001"/>
    <w:rsid w:val="00C00A3A"/>
    <w:rsid w:val="00C0243B"/>
    <w:rsid w:val="00C02A62"/>
    <w:rsid w:val="00C1049A"/>
    <w:rsid w:val="00C107CE"/>
    <w:rsid w:val="00C14303"/>
    <w:rsid w:val="00C14DC6"/>
    <w:rsid w:val="00C20DCE"/>
    <w:rsid w:val="00C3030B"/>
    <w:rsid w:val="00C34EC6"/>
    <w:rsid w:val="00C4536B"/>
    <w:rsid w:val="00C47F4E"/>
    <w:rsid w:val="00C6044B"/>
    <w:rsid w:val="00C60796"/>
    <w:rsid w:val="00C6219F"/>
    <w:rsid w:val="00C641E9"/>
    <w:rsid w:val="00C644F5"/>
    <w:rsid w:val="00C70F69"/>
    <w:rsid w:val="00C72AA4"/>
    <w:rsid w:val="00C8302D"/>
    <w:rsid w:val="00C87AC8"/>
    <w:rsid w:val="00C92574"/>
    <w:rsid w:val="00CA506B"/>
    <w:rsid w:val="00CA6D69"/>
    <w:rsid w:val="00CB61CE"/>
    <w:rsid w:val="00CB6BB7"/>
    <w:rsid w:val="00CC0D56"/>
    <w:rsid w:val="00CC1802"/>
    <w:rsid w:val="00CE1BA1"/>
    <w:rsid w:val="00CE298D"/>
    <w:rsid w:val="00CE6114"/>
    <w:rsid w:val="00D1792F"/>
    <w:rsid w:val="00D309FF"/>
    <w:rsid w:val="00D4509F"/>
    <w:rsid w:val="00D6167E"/>
    <w:rsid w:val="00D634E2"/>
    <w:rsid w:val="00D67580"/>
    <w:rsid w:val="00D70054"/>
    <w:rsid w:val="00D75418"/>
    <w:rsid w:val="00D76FA8"/>
    <w:rsid w:val="00D90744"/>
    <w:rsid w:val="00D92E9F"/>
    <w:rsid w:val="00D934F2"/>
    <w:rsid w:val="00D9739D"/>
    <w:rsid w:val="00DA3E5E"/>
    <w:rsid w:val="00DA7651"/>
    <w:rsid w:val="00DB2FA1"/>
    <w:rsid w:val="00DB519C"/>
    <w:rsid w:val="00DB5C0F"/>
    <w:rsid w:val="00DC32A0"/>
    <w:rsid w:val="00DC5127"/>
    <w:rsid w:val="00DC64A1"/>
    <w:rsid w:val="00DC7B87"/>
    <w:rsid w:val="00DD44CA"/>
    <w:rsid w:val="00DD47E2"/>
    <w:rsid w:val="00DD6338"/>
    <w:rsid w:val="00DE1B57"/>
    <w:rsid w:val="00DE379E"/>
    <w:rsid w:val="00DE4672"/>
    <w:rsid w:val="00DF4569"/>
    <w:rsid w:val="00DF4F49"/>
    <w:rsid w:val="00DF61FC"/>
    <w:rsid w:val="00DF6F18"/>
    <w:rsid w:val="00E076C0"/>
    <w:rsid w:val="00E11599"/>
    <w:rsid w:val="00E21F98"/>
    <w:rsid w:val="00E275C2"/>
    <w:rsid w:val="00E33CEE"/>
    <w:rsid w:val="00E44261"/>
    <w:rsid w:val="00E55D00"/>
    <w:rsid w:val="00E56D8F"/>
    <w:rsid w:val="00E627AE"/>
    <w:rsid w:val="00E63FDE"/>
    <w:rsid w:val="00E74099"/>
    <w:rsid w:val="00E751A1"/>
    <w:rsid w:val="00E77A34"/>
    <w:rsid w:val="00E838E3"/>
    <w:rsid w:val="00E84720"/>
    <w:rsid w:val="00E914D3"/>
    <w:rsid w:val="00E93E97"/>
    <w:rsid w:val="00EA61ED"/>
    <w:rsid w:val="00EA6ABF"/>
    <w:rsid w:val="00EB0715"/>
    <w:rsid w:val="00EB1337"/>
    <w:rsid w:val="00EB2C7B"/>
    <w:rsid w:val="00EB6E31"/>
    <w:rsid w:val="00EC1414"/>
    <w:rsid w:val="00EC2AFC"/>
    <w:rsid w:val="00EC4B18"/>
    <w:rsid w:val="00EC5F1C"/>
    <w:rsid w:val="00ED156A"/>
    <w:rsid w:val="00ED67E0"/>
    <w:rsid w:val="00EE3F01"/>
    <w:rsid w:val="00EE6303"/>
    <w:rsid w:val="00F06A90"/>
    <w:rsid w:val="00F10244"/>
    <w:rsid w:val="00F118A0"/>
    <w:rsid w:val="00F11CC0"/>
    <w:rsid w:val="00F20CFE"/>
    <w:rsid w:val="00F20E79"/>
    <w:rsid w:val="00F2255D"/>
    <w:rsid w:val="00F22D1A"/>
    <w:rsid w:val="00F351EC"/>
    <w:rsid w:val="00F3689D"/>
    <w:rsid w:val="00F41B74"/>
    <w:rsid w:val="00F45857"/>
    <w:rsid w:val="00F523D2"/>
    <w:rsid w:val="00F5711C"/>
    <w:rsid w:val="00F72938"/>
    <w:rsid w:val="00F7375E"/>
    <w:rsid w:val="00F87D3E"/>
    <w:rsid w:val="00F9192C"/>
    <w:rsid w:val="00FA04FF"/>
    <w:rsid w:val="00FA346F"/>
    <w:rsid w:val="00FC0576"/>
    <w:rsid w:val="00FD0099"/>
    <w:rsid w:val="00FD05D4"/>
    <w:rsid w:val="00FD3B0A"/>
    <w:rsid w:val="00FD4ABD"/>
    <w:rsid w:val="00FF0769"/>
    <w:rsid w:val="00FF08DF"/>
    <w:rsid w:val="00FF6C06"/>
    <w:rsid w:val="00FF6CCA"/>
    <w:rsid w:val="1EA07E32"/>
    <w:rsid w:val="54DDB94F"/>
    <w:rsid w:val="61C65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DAD458"/>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tabs>
        <w:tab w:val="clear" w:pos="567"/>
        <w:tab w:val="num" w:pos="360"/>
      </w:tabs>
      <w:spacing w:after="60"/>
      <w:ind w:left="0" w:firstLine="0"/>
    </w:pPr>
  </w:style>
  <w:style w:type="paragraph" w:customStyle="1" w:styleId="BulletInLetteredList">
    <w:name w:val="BulletInLetteredList"/>
    <w:basedOn w:val="Normal"/>
    <w:rsid w:val="0014799D"/>
    <w:pPr>
      <w:numPr>
        <w:numId w:val="2"/>
      </w:numPr>
      <w:tabs>
        <w:tab w:val="clear" w:pos="1134"/>
        <w:tab w:val="num" w:pos="360"/>
      </w:tabs>
      <w:spacing w:after="60"/>
      <w:ind w:left="0" w:firstLine="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51360B"/>
    <w:rPr>
      <w:rFonts w:ascii="Arial" w:hAnsi="Arial"/>
      <w:sz w:val="24"/>
      <w:szCs w:val="24"/>
      <w:lang w:eastAsia="en-US"/>
    </w:rPr>
  </w:style>
  <w:style w:type="character" w:customStyle="1" w:styleId="tgc">
    <w:name w:val="_tgc"/>
    <w:basedOn w:val="DefaultParagraphFont"/>
    <w:rsid w:val="00187630"/>
  </w:style>
  <w:style w:type="character" w:styleId="FootnoteReference">
    <w:name w:val="footnote reference"/>
    <w:uiPriority w:val="99"/>
    <w:unhideWhenUsed/>
    <w:rsid w:val="002427B3"/>
    <w:rPr>
      <w:vertAlign w:val="superscript"/>
    </w:rPr>
  </w:style>
  <w:style w:type="character" w:customStyle="1" w:styleId="normaltextrun">
    <w:name w:val="normaltextrun"/>
    <w:basedOn w:val="DefaultParagraphFont"/>
    <w:rsid w:val="009B2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6536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58242372">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840659720">
      <w:bodyDiv w:val="1"/>
      <w:marLeft w:val="0"/>
      <w:marRight w:val="0"/>
      <w:marTop w:val="0"/>
      <w:marBottom w:val="0"/>
      <w:divBdr>
        <w:top w:val="none" w:sz="0" w:space="0" w:color="auto"/>
        <w:left w:val="none" w:sz="0" w:space="0" w:color="auto"/>
        <w:bottom w:val="none" w:sz="0" w:space="0" w:color="auto"/>
        <w:right w:val="none" w:sz="0" w:space="0" w:color="auto"/>
      </w:divBdr>
    </w:div>
    <w:div w:id="103489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european-structural-and-investment-funds-programme-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df3b1274f5fe4b187ef8227b6f63e56f">
  <xsd:schema xmlns:xsd="http://www.w3.org/2001/XMLSchema" xmlns:xs="http://www.w3.org/2001/XMLSchema" xmlns:p="http://schemas.microsoft.com/office/2006/metadata/properties" xmlns:ns2="57662250-88eb-4feb-ad90-0853014cc4f8" targetNamespace="http://schemas.microsoft.com/office/2006/metadata/properties" ma:root="true" ma:fieldsID="a8bfb6ca43af62225a43e28744f82f0f"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CC5B6-CFFF-446B-B19D-2E53891B0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BF632BDC-9E09-4606-924E-4C135CAFED4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7662250-88eb-4feb-ad90-0853014cc4f8"/>
    <ds:schemaRef ds:uri="http://www.w3.org/XML/1998/namespace"/>
    <ds:schemaRef ds:uri="http://purl.org/dc/dcmitype/"/>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15ABC6D6-D1F1-4A03-A333-6BF2C86CD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2973</Words>
  <Characters>16951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Sunita Pancholi</cp:lastModifiedBy>
  <cp:revision>3</cp:revision>
  <cp:lastPrinted>2015-08-13T11:52:00Z</cp:lastPrinted>
  <dcterms:created xsi:type="dcterms:W3CDTF">2016-02-22T16:21:00Z</dcterms:created>
  <dcterms:modified xsi:type="dcterms:W3CDTF">2016-02-22T16:22:00Z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