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EB" w:rsidRPr="003C2266" w:rsidRDefault="00002EEB" w:rsidP="00002EEB">
      <w:pPr>
        <w:jc w:val="center"/>
        <w:rPr>
          <w:rFonts w:ascii="Arial" w:hAnsi="Arial" w:cs="Arial"/>
          <w:b/>
          <w:bCs/>
          <w:sz w:val="36"/>
          <w:szCs w:val="36"/>
        </w:rPr>
      </w:pPr>
      <w:bookmarkStart w:id="0" w:name="_GoBack"/>
      <w:bookmarkEnd w:id="0"/>
      <w:r>
        <w:rPr>
          <w:rFonts w:ascii="Arial" w:hAnsi="Arial" w:cs="Arial"/>
          <w:b/>
          <w:bCs/>
          <w:sz w:val="36"/>
          <w:szCs w:val="36"/>
        </w:rPr>
        <w:t xml:space="preserve">INVITATION TO TENDER      </w:t>
      </w:r>
      <w:r w:rsidRPr="00CA27CF">
        <w:rPr>
          <w:rFonts w:ascii="Times New Roman" w:eastAsia="Times New Roman" w:hAnsi="Times New Roman"/>
          <w:noProof/>
          <w:sz w:val="24"/>
          <w:szCs w:val="24"/>
          <w:lang w:eastAsia="en-GB"/>
        </w:rPr>
        <w:drawing>
          <wp:inline distT="0" distB="0" distL="0" distR="0" wp14:anchorId="54D04EC3" wp14:editId="566A77D0">
            <wp:extent cx="1630018" cy="92131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385" t="10916" r="20024" b="5090"/>
                    <a:stretch/>
                  </pic:blipFill>
                  <pic:spPr bwMode="auto">
                    <a:xfrm>
                      <a:off x="0" y="0"/>
                      <a:ext cx="1634341" cy="923758"/>
                    </a:xfrm>
                    <a:prstGeom prst="rect">
                      <a:avLst/>
                    </a:prstGeom>
                    <a:noFill/>
                    <a:ln>
                      <a:noFill/>
                    </a:ln>
                    <a:extLst>
                      <a:ext uri="{53640926-AAD7-44D8-BBD7-CCE9431645EC}">
                        <a14:shadowObscured xmlns:a14="http://schemas.microsoft.com/office/drawing/2010/main"/>
                      </a:ext>
                    </a:extLst>
                  </pic:spPr>
                </pic:pic>
              </a:graphicData>
            </a:graphic>
          </wp:inline>
        </w:drawing>
      </w:r>
    </w:p>
    <w:p w:rsidR="00CA27CF" w:rsidRDefault="00CA27CF"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931D49" w:rsidRPr="00CA27CF" w:rsidRDefault="00AC17E3" w:rsidP="00EB468E">
      <w:pPr>
        <w:pStyle w:val="Header"/>
        <w:jc w:val="center"/>
        <w:rPr>
          <w:b/>
          <w:sz w:val="48"/>
          <w:szCs w:val="48"/>
          <w:u w:val="single"/>
        </w:rPr>
      </w:pPr>
      <w:r>
        <w:rPr>
          <w:b/>
          <w:sz w:val="48"/>
          <w:szCs w:val="48"/>
          <w:u w:val="single"/>
        </w:rPr>
        <w:t>PPE</w:t>
      </w:r>
    </w:p>
    <w:p w:rsidR="00EB468E" w:rsidRPr="004B61FD" w:rsidRDefault="00EB468E" w:rsidP="00EB468E">
      <w:pPr>
        <w:pStyle w:val="DefaultText"/>
        <w:rPr>
          <w:rFonts w:ascii="Calibri" w:hAnsi="Calibri"/>
        </w:rPr>
      </w:pPr>
    </w:p>
    <w:p w:rsidR="00EB468E" w:rsidRPr="004B61FD" w:rsidRDefault="00EB468E" w:rsidP="00931D49">
      <w:pPr>
        <w:pStyle w:val="Header"/>
        <w:jc w:val="center"/>
        <w:rPr>
          <w:b/>
          <w:sz w:val="40"/>
          <w:szCs w:val="40"/>
          <w:u w:val="single"/>
        </w:rPr>
      </w:pPr>
      <w:r w:rsidRPr="004B61FD">
        <w:rPr>
          <w:b/>
          <w:sz w:val="40"/>
          <w:szCs w:val="40"/>
          <w:u w:val="single"/>
        </w:rPr>
        <w:t>ENQU</w:t>
      </w:r>
      <w:r w:rsidR="00931D49" w:rsidRPr="004B61FD">
        <w:rPr>
          <w:b/>
          <w:sz w:val="40"/>
          <w:szCs w:val="40"/>
          <w:u w:val="single"/>
        </w:rPr>
        <w:t>I</w:t>
      </w:r>
      <w:r w:rsidRPr="004B61FD">
        <w:rPr>
          <w:b/>
          <w:sz w:val="40"/>
          <w:szCs w:val="40"/>
          <w:u w:val="single"/>
        </w:rPr>
        <w:t xml:space="preserve">RY REFERENCE: </w:t>
      </w:r>
      <w:r w:rsidR="00CE3F35" w:rsidRPr="004B61FD">
        <w:rPr>
          <w:b/>
          <w:sz w:val="40"/>
          <w:szCs w:val="40"/>
          <w:u w:val="single"/>
        </w:rPr>
        <w:t>S</w:t>
      </w:r>
      <w:r w:rsidR="00CA27CF" w:rsidRPr="004B61FD">
        <w:rPr>
          <w:b/>
          <w:sz w:val="40"/>
          <w:szCs w:val="40"/>
          <w:u w:val="single"/>
        </w:rPr>
        <w:t>T</w:t>
      </w:r>
      <w:r w:rsidR="00CE3F35" w:rsidRPr="004B61FD">
        <w:rPr>
          <w:b/>
          <w:sz w:val="40"/>
          <w:szCs w:val="40"/>
          <w:u w:val="single"/>
        </w:rPr>
        <w:t>S</w:t>
      </w:r>
      <w:r w:rsidR="00D724FE" w:rsidRPr="004B61FD">
        <w:rPr>
          <w:b/>
          <w:sz w:val="40"/>
          <w:szCs w:val="40"/>
          <w:u w:val="single"/>
        </w:rPr>
        <w:t>C-JN</w:t>
      </w:r>
      <w:r w:rsidR="007B279A" w:rsidRPr="004B61FD">
        <w:rPr>
          <w:b/>
          <w:sz w:val="40"/>
          <w:szCs w:val="40"/>
          <w:u w:val="single"/>
        </w:rPr>
        <w:t>-</w:t>
      </w:r>
      <w:r w:rsidR="00CA27CF" w:rsidRPr="004B61FD">
        <w:rPr>
          <w:b/>
          <w:sz w:val="40"/>
          <w:szCs w:val="40"/>
          <w:u w:val="single"/>
        </w:rPr>
        <w:t>0</w:t>
      </w:r>
      <w:r w:rsidR="00CE3F35" w:rsidRPr="004B61FD">
        <w:rPr>
          <w:b/>
          <w:sz w:val="40"/>
          <w:szCs w:val="40"/>
          <w:u w:val="single"/>
        </w:rPr>
        <w:t>0</w:t>
      </w:r>
      <w:r w:rsidR="00AC17E3">
        <w:rPr>
          <w:b/>
          <w:sz w:val="40"/>
          <w:szCs w:val="40"/>
          <w:u w:val="single"/>
        </w:rPr>
        <w:t>10</w:t>
      </w:r>
    </w:p>
    <w:p w:rsidR="00EB468E" w:rsidRPr="004B61FD" w:rsidRDefault="00EB468E" w:rsidP="00931D49">
      <w:pPr>
        <w:pStyle w:val="Header"/>
        <w:jc w:val="center"/>
        <w:rPr>
          <w:b/>
          <w:sz w:val="40"/>
          <w:szCs w:val="40"/>
          <w:u w:val="single"/>
        </w:rPr>
      </w:pPr>
      <w:r w:rsidRPr="004B61FD">
        <w:rPr>
          <w:b/>
          <w:sz w:val="40"/>
          <w:szCs w:val="40"/>
          <w:u w:val="single"/>
        </w:rPr>
        <w:t xml:space="preserve">Enquiry Date:  </w:t>
      </w:r>
      <w:proofErr w:type="gramStart"/>
      <w:r w:rsidR="00C469AC">
        <w:rPr>
          <w:b/>
          <w:sz w:val="40"/>
          <w:szCs w:val="40"/>
          <w:u w:val="single"/>
        </w:rPr>
        <w:t>6</w:t>
      </w:r>
      <w:r w:rsidR="00C469AC" w:rsidRPr="00C469AC">
        <w:rPr>
          <w:b/>
          <w:sz w:val="40"/>
          <w:szCs w:val="40"/>
          <w:u w:val="single"/>
          <w:vertAlign w:val="superscript"/>
        </w:rPr>
        <w:t>th</w:t>
      </w:r>
      <w:r w:rsidR="00C469AC">
        <w:rPr>
          <w:b/>
          <w:sz w:val="40"/>
          <w:szCs w:val="40"/>
          <w:u w:val="single"/>
        </w:rPr>
        <w:t xml:space="preserve"> </w:t>
      </w:r>
      <w:r w:rsidR="003110FD">
        <w:rPr>
          <w:b/>
          <w:sz w:val="40"/>
          <w:szCs w:val="40"/>
          <w:u w:val="single"/>
        </w:rPr>
        <w:t xml:space="preserve"> October</w:t>
      </w:r>
      <w:proofErr w:type="gramEnd"/>
      <w:r w:rsidR="003110FD">
        <w:rPr>
          <w:b/>
          <w:sz w:val="40"/>
          <w:szCs w:val="40"/>
          <w:u w:val="single"/>
        </w:rPr>
        <w:t xml:space="preserve"> </w:t>
      </w:r>
      <w:r w:rsidR="004B61FD" w:rsidRPr="004B61FD">
        <w:rPr>
          <w:b/>
          <w:sz w:val="40"/>
          <w:szCs w:val="40"/>
          <w:u w:val="single"/>
        </w:rPr>
        <w:t>2017</w:t>
      </w:r>
    </w:p>
    <w:p w:rsidR="00EB468E" w:rsidRPr="00931D49" w:rsidRDefault="00EB468E" w:rsidP="00931D49">
      <w:pPr>
        <w:pStyle w:val="Header"/>
        <w:jc w:val="center"/>
        <w:rPr>
          <w:b/>
          <w:sz w:val="40"/>
          <w:szCs w:val="40"/>
          <w:u w:val="single"/>
        </w:rPr>
      </w:pPr>
      <w:r w:rsidRPr="00931D49">
        <w:rPr>
          <w:b/>
          <w:sz w:val="40"/>
          <w:szCs w:val="40"/>
          <w:u w:val="single"/>
        </w:rPr>
        <w:t>Re</w:t>
      </w:r>
      <w:r w:rsidR="00931D49" w:rsidRPr="00931D49">
        <w:rPr>
          <w:b/>
          <w:sz w:val="40"/>
          <w:szCs w:val="40"/>
          <w:u w:val="single"/>
        </w:rPr>
        <w:t>t</w:t>
      </w:r>
      <w:r w:rsidR="00AC17E3">
        <w:rPr>
          <w:b/>
          <w:sz w:val="40"/>
          <w:szCs w:val="40"/>
          <w:u w:val="single"/>
        </w:rPr>
        <w:t xml:space="preserve">urn Date: </w:t>
      </w:r>
      <w:r w:rsidR="003110FD">
        <w:rPr>
          <w:b/>
          <w:sz w:val="40"/>
          <w:szCs w:val="40"/>
          <w:u w:val="single"/>
        </w:rPr>
        <w:t>20</w:t>
      </w:r>
      <w:r w:rsidR="003110FD" w:rsidRPr="003110FD">
        <w:rPr>
          <w:b/>
          <w:sz w:val="40"/>
          <w:szCs w:val="40"/>
          <w:u w:val="single"/>
          <w:vertAlign w:val="superscript"/>
        </w:rPr>
        <w:t>th</w:t>
      </w:r>
      <w:r w:rsidR="003110FD">
        <w:rPr>
          <w:b/>
          <w:sz w:val="40"/>
          <w:szCs w:val="40"/>
          <w:u w:val="single"/>
        </w:rPr>
        <w:t xml:space="preserve"> October 2017</w:t>
      </w:r>
    </w:p>
    <w:p w:rsidR="00931D49" w:rsidRDefault="00931D49"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EB468E" w:rsidRDefault="00CA27CF" w:rsidP="00EB468E">
      <w:pPr>
        <w:pStyle w:val="DefaultText"/>
        <w:rPr>
          <w:rFonts w:ascii="Calibri" w:hAnsi="Calibri"/>
        </w:rPr>
      </w:pPr>
      <w:r>
        <w:rPr>
          <w:rFonts w:ascii="Calibri" w:hAnsi="Calibri"/>
        </w:rPr>
        <w:t>South Tees Site Company Limited</w:t>
      </w:r>
    </w:p>
    <w:p w:rsidR="00EB468E" w:rsidRDefault="00EB468E" w:rsidP="00EB468E">
      <w:pPr>
        <w:pStyle w:val="DefaultText"/>
        <w:rPr>
          <w:rFonts w:ascii="Calibri" w:hAnsi="Calibri"/>
        </w:rPr>
      </w:pPr>
      <w:r>
        <w:rPr>
          <w:rFonts w:ascii="Calibri" w:hAnsi="Calibri"/>
        </w:rPr>
        <w:t>Procurement Department</w:t>
      </w:r>
    </w:p>
    <w:p w:rsidR="00EB468E" w:rsidRDefault="00CA27CF" w:rsidP="00EB468E">
      <w:pPr>
        <w:pStyle w:val="DefaultText"/>
        <w:rPr>
          <w:rFonts w:ascii="Calibri" w:hAnsi="Calibri"/>
        </w:rPr>
      </w:pPr>
      <w:r>
        <w:rPr>
          <w:rFonts w:ascii="Calibri" w:hAnsi="Calibri"/>
        </w:rPr>
        <w:t>Teesside Management Offices</w:t>
      </w:r>
    </w:p>
    <w:p w:rsidR="00EB468E" w:rsidRDefault="00CA27CF" w:rsidP="00EB468E">
      <w:pPr>
        <w:pStyle w:val="DefaultText"/>
        <w:rPr>
          <w:rFonts w:ascii="Calibri" w:hAnsi="Calibri"/>
        </w:rPr>
      </w:pPr>
      <w:r>
        <w:rPr>
          <w:rFonts w:ascii="Calibri" w:hAnsi="Calibri"/>
        </w:rPr>
        <w:t>Redcar</w:t>
      </w:r>
    </w:p>
    <w:p w:rsidR="004A0248" w:rsidRDefault="00EB468E" w:rsidP="00EB468E">
      <w:pPr>
        <w:pStyle w:val="DefaultText"/>
        <w:rPr>
          <w:rFonts w:ascii="Calibri" w:hAnsi="Calibri"/>
        </w:rPr>
      </w:pPr>
      <w:r>
        <w:rPr>
          <w:rFonts w:ascii="Calibri" w:hAnsi="Calibri"/>
        </w:rPr>
        <w:t>TS10 5QW</w:t>
      </w:r>
    </w:p>
    <w:p w:rsidR="00F3137D" w:rsidRDefault="00F3137D" w:rsidP="00DC2D30">
      <w:pPr>
        <w:pStyle w:val="NoSpacing"/>
        <w:rPr>
          <w:b/>
        </w:rPr>
      </w:pPr>
    </w:p>
    <w:p w:rsidR="00396287" w:rsidRDefault="00396287" w:rsidP="00DC2D30">
      <w:pPr>
        <w:pStyle w:val="NoSpacing"/>
        <w:rPr>
          <w:b/>
        </w:rPr>
      </w:pPr>
    </w:p>
    <w:p w:rsidR="00CF0F01" w:rsidRDefault="00CF0F01" w:rsidP="00F4551E">
      <w:pPr>
        <w:jc w:val="both"/>
        <w:rPr>
          <w:b/>
        </w:rPr>
      </w:pPr>
    </w:p>
    <w:p w:rsidR="00F4551E" w:rsidRDefault="00F4551E" w:rsidP="00F4551E">
      <w:pPr>
        <w:jc w:val="both"/>
        <w:rPr>
          <w:rFonts w:cs="Arial"/>
          <w:b/>
        </w:rPr>
      </w:pPr>
      <w:r w:rsidRPr="00F4551E">
        <w:rPr>
          <w:rFonts w:cs="Arial"/>
          <w:b/>
        </w:rPr>
        <w:t>Enclosed are the following sections:</w:t>
      </w:r>
    </w:p>
    <w:p w:rsidR="00B85678" w:rsidRDefault="00B85678" w:rsidP="00B85678">
      <w:pPr>
        <w:jc w:val="both"/>
        <w:rPr>
          <w:rFonts w:cs="Arial"/>
          <w:b/>
        </w:rPr>
      </w:pPr>
      <w:r>
        <w:rPr>
          <w:rFonts w:cs="Arial"/>
          <w:b/>
        </w:rPr>
        <w:t>Section 1</w:t>
      </w:r>
      <w:r>
        <w:rPr>
          <w:rFonts w:cs="Arial"/>
          <w:b/>
        </w:rPr>
        <w:tab/>
        <w:t>Introduction/Indicative timetable</w:t>
      </w:r>
    </w:p>
    <w:p w:rsidR="00B85678" w:rsidRDefault="00B85678" w:rsidP="00B85678">
      <w:pPr>
        <w:pStyle w:val="NoSpacing"/>
        <w:rPr>
          <w:rFonts w:ascii="Arial" w:hAnsi="Arial" w:cs="Arial"/>
          <w:sz w:val="20"/>
          <w:szCs w:val="20"/>
          <w:lang w:val="nb-NO"/>
        </w:rPr>
      </w:pPr>
      <w:r>
        <w:rPr>
          <w:rFonts w:cs="Arial"/>
          <w:b/>
        </w:rPr>
        <w:t>Section 2</w:t>
      </w:r>
      <w:r>
        <w:rPr>
          <w:rFonts w:cs="Arial"/>
          <w:b/>
        </w:rPr>
        <w:tab/>
      </w:r>
      <w:r w:rsidRPr="0093162C">
        <w:rPr>
          <w:rFonts w:ascii="Arial" w:hAnsi="Arial" w:cs="Arial"/>
          <w:b/>
          <w:sz w:val="20"/>
          <w:szCs w:val="20"/>
          <w:lang w:val="nb-NO"/>
        </w:rPr>
        <w:t>Procedure for Submitting tenders</w:t>
      </w:r>
    </w:p>
    <w:p w:rsidR="00B85678" w:rsidRPr="0034464C" w:rsidRDefault="00B85678" w:rsidP="00B85678">
      <w:pPr>
        <w:pStyle w:val="NoSpacing"/>
        <w:rPr>
          <w:rFonts w:ascii="Arial" w:hAnsi="Arial" w:cs="Arial"/>
          <w:sz w:val="20"/>
          <w:szCs w:val="20"/>
          <w:lang w:val="nb-NO"/>
        </w:rPr>
      </w:pPr>
    </w:p>
    <w:p w:rsidR="00B85678" w:rsidRDefault="00B85678" w:rsidP="00B85678">
      <w:pPr>
        <w:jc w:val="both"/>
        <w:rPr>
          <w:rFonts w:cs="Arial"/>
          <w:b/>
        </w:rPr>
      </w:pPr>
      <w:r>
        <w:rPr>
          <w:rFonts w:cs="Arial"/>
          <w:b/>
        </w:rPr>
        <w:t>Section 3</w:t>
      </w:r>
      <w:r>
        <w:rPr>
          <w:rFonts w:cs="Arial"/>
          <w:b/>
        </w:rPr>
        <w:tab/>
        <w:t>Job background</w:t>
      </w:r>
    </w:p>
    <w:p w:rsidR="00B85678" w:rsidRDefault="00B85678" w:rsidP="00B85678">
      <w:pPr>
        <w:jc w:val="both"/>
        <w:rPr>
          <w:rFonts w:cs="Arial"/>
          <w:b/>
        </w:rPr>
      </w:pPr>
      <w:r>
        <w:rPr>
          <w:rFonts w:cs="Arial"/>
          <w:b/>
        </w:rPr>
        <w:t>Section 4</w:t>
      </w:r>
      <w:r>
        <w:rPr>
          <w:rFonts w:cs="Arial"/>
          <w:b/>
        </w:rPr>
        <w:tab/>
        <w:t xml:space="preserve">Scope/drawings &amp; </w:t>
      </w:r>
      <w:proofErr w:type="gramStart"/>
      <w:r>
        <w:rPr>
          <w:rFonts w:cs="Arial"/>
          <w:b/>
        </w:rPr>
        <w:t>specifications/standards/KPI’s</w:t>
      </w:r>
      <w:proofErr w:type="gramEnd"/>
    </w:p>
    <w:p w:rsidR="00B85678" w:rsidRDefault="00B85678" w:rsidP="00B85678">
      <w:pPr>
        <w:jc w:val="both"/>
        <w:rPr>
          <w:rFonts w:cs="Arial"/>
          <w:b/>
        </w:rPr>
      </w:pPr>
      <w:r>
        <w:rPr>
          <w:rFonts w:cs="Arial"/>
          <w:b/>
        </w:rPr>
        <w:t>Section 5</w:t>
      </w:r>
      <w:r>
        <w:rPr>
          <w:rFonts w:cs="Arial"/>
          <w:b/>
        </w:rPr>
        <w:tab/>
        <w:t>Site PPE / visit information</w:t>
      </w:r>
    </w:p>
    <w:p w:rsidR="00B85678" w:rsidRDefault="00B85678" w:rsidP="00B85678">
      <w:pPr>
        <w:jc w:val="both"/>
        <w:rPr>
          <w:rFonts w:cs="Arial"/>
          <w:b/>
        </w:rPr>
      </w:pPr>
      <w:r>
        <w:rPr>
          <w:rFonts w:cs="Arial"/>
          <w:b/>
        </w:rPr>
        <w:t>Section 6</w:t>
      </w:r>
      <w:r>
        <w:rPr>
          <w:rFonts w:cs="Arial"/>
          <w:b/>
        </w:rPr>
        <w:tab/>
        <w:t>Price questions/requirements</w:t>
      </w:r>
    </w:p>
    <w:p w:rsidR="00B85678" w:rsidRDefault="00B85678" w:rsidP="00B85678">
      <w:pPr>
        <w:jc w:val="both"/>
        <w:rPr>
          <w:rFonts w:cs="Arial"/>
          <w:b/>
        </w:rPr>
      </w:pPr>
      <w:r>
        <w:rPr>
          <w:rFonts w:cs="Arial"/>
          <w:b/>
        </w:rPr>
        <w:t>Section 7</w:t>
      </w:r>
      <w:r>
        <w:rPr>
          <w:rFonts w:cs="Arial"/>
          <w:b/>
        </w:rPr>
        <w:tab/>
        <w:t>Evaluation/Quality questions</w:t>
      </w:r>
    </w:p>
    <w:p w:rsidR="00B85678" w:rsidRDefault="00B85678" w:rsidP="00B85678">
      <w:pPr>
        <w:jc w:val="both"/>
        <w:rPr>
          <w:rFonts w:cs="Arial"/>
          <w:b/>
        </w:rPr>
      </w:pPr>
      <w:r>
        <w:rPr>
          <w:rFonts w:cs="Arial"/>
          <w:b/>
        </w:rPr>
        <w:t>Section 8</w:t>
      </w:r>
      <w:r>
        <w:rPr>
          <w:rFonts w:cs="Arial"/>
          <w:b/>
        </w:rPr>
        <w:tab/>
        <w:t>Program/contract duration</w:t>
      </w:r>
    </w:p>
    <w:p w:rsidR="00B85678" w:rsidRPr="0093162C" w:rsidRDefault="00B85678" w:rsidP="00B85678">
      <w:pPr>
        <w:jc w:val="both"/>
        <w:rPr>
          <w:rFonts w:asciiTheme="minorHAnsi" w:hAnsiTheme="minorHAnsi" w:cs="Arial"/>
          <w:b/>
        </w:rPr>
      </w:pPr>
      <w:r>
        <w:rPr>
          <w:rFonts w:asciiTheme="minorHAnsi" w:hAnsiTheme="minorHAnsi" w:cs="Arial"/>
          <w:b/>
        </w:rPr>
        <w:t>Section 9</w:t>
      </w:r>
      <w:r w:rsidRPr="0093162C">
        <w:rPr>
          <w:rFonts w:asciiTheme="minorHAnsi" w:hAnsiTheme="minorHAnsi" w:cs="Arial"/>
          <w:b/>
        </w:rPr>
        <w:tab/>
        <w:t>General procurement information</w:t>
      </w:r>
    </w:p>
    <w:p w:rsidR="00B85678" w:rsidRPr="0093162C" w:rsidRDefault="00B85678" w:rsidP="00B85678">
      <w:pPr>
        <w:pStyle w:val="NoSpacing"/>
        <w:rPr>
          <w:rFonts w:asciiTheme="minorHAnsi" w:hAnsiTheme="minorHAnsi" w:cs="Arial"/>
          <w:b/>
          <w:lang w:val="nb-NO"/>
        </w:rPr>
      </w:pPr>
      <w:r w:rsidRPr="0093162C">
        <w:rPr>
          <w:rFonts w:asciiTheme="minorHAnsi" w:hAnsiTheme="minorHAnsi" w:cs="Arial"/>
          <w:b/>
          <w:lang w:val="nb-NO"/>
        </w:rPr>
        <w:t>Declaration</w:t>
      </w:r>
      <w:r>
        <w:rPr>
          <w:rFonts w:asciiTheme="minorHAnsi" w:hAnsiTheme="minorHAnsi" w:cs="Arial"/>
          <w:b/>
          <w:lang w:val="nb-NO"/>
        </w:rPr>
        <w:t xml:space="preserve"> </w:t>
      </w:r>
      <w:r w:rsidRPr="0093162C">
        <w:rPr>
          <w:rFonts w:asciiTheme="minorHAnsi" w:hAnsiTheme="minorHAnsi" w:cs="Arial"/>
          <w:b/>
          <w:lang w:val="nb-NO"/>
        </w:rPr>
        <w:t>1 – Statement of non-collusion</w:t>
      </w:r>
    </w:p>
    <w:p w:rsidR="00B85678" w:rsidRPr="0093162C" w:rsidRDefault="00B85678" w:rsidP="00B85678">
      <w:pPr>
        <w:pStyle w:val="NoSpacing"/>
        <w:rPr>
          <w:rFonts w:asciiTheme="minorHAnsi" w:hAnsiTheme="minorHAnsi" w:cs="Arial"/>
          <w:b/>
          <w:lang w:val="nb-NO"/>
        </w:rPr>
      </w:pPr>
      <w:r w:rsidRPr="0093162C">
        <w:rPr>
          <w:rFonts w:asciiTheme="minorHAnsi" w:hAnsiTheme="minorHAnsi" w:cs="Arial"/>
          <w:b/>
          <w:lang w:val="nb-NO"/>
        </w:rPr>
        <w:t>Declaration 2 – Form of Tender</w:t>
      </w:r>
    </w:p>
    <w:p w:rsidR="00B85678" w:rsidRPr="0093162C" w:rsidRDefault="00B85678" w:rsidP="00B85678">
      <w:pPr>
        <w:pStyle w:val="NoSpacing"/>
        <w:rPr>
          <w:rFonts w:asciiTheme="minorHAnsi" w:hAnsiTheme="minorHAnsi" w:cs="Arial"/>
          <w:b/>
          <w:lang w:val="nb-NO"/>
        </w:rPr>
      </w:pPr>
      <w:r w:rsidRPr="0093162C">
        <w:rPr>
          <w:rFonts w:asciiTheme="minorHAnsi" w:hAnsiTheme="minorHAnsi" w:cs="Arial"/>
          <w:b/>
          <w:lang w:val="nb-NO"/>
        </w:rPr>
        <w:t>Declaration 3 – Conflict of Interest</w:t>
      </w:r>
    </w:p>
    <w:p w:rsidR="00B85678" w:rsidRPr="0093162C" w:rsidRDefault="00B85678" w:rsidP="00B85678">
      <w:pPr>
        <w:pStyle w:val="NoSpacing"/>
        <w:rPr>
          <w:rFonts w:asciiTheme="minorHAnsi" w:hAnsiTheme="minorHAnsi" w:cs="Arial"/>
          <w:b/>
          <w:lang w:val="nb-NO"/>
        </w:rPr>
      </w:pPr>
      <w:r w:rsidRPr="0093162C">
        <w:rPr>
          <w:rFonts w:asciiTheme="minorHAnsi" w:hAnsiTheme="minorHAnsi" w:cs="Arial"/>
          <w:b/>
          <w:lang w:val="nb-NO"/>
        </w:rPr>
        <w:t>Declaration</w:t>
      </w:r>
      <w:r>
        <w:rPr>
          <w:rFonts w:asciiTheme="minorHAnsi" w:hAnsiTheme="minorHAnsi" w:cs="Arial"/>
          <w:b/>
          <w:lang w:val="nb-NO"/>
        </w:rPr>
        <w:t xml:space="preserve"> </w:t>
      </w:r>
      <w:r w:rsidRPr="0093162C">
        <w:rPr>
          <w:rFonts w:asciiTheme="minorHAnsi" w:hAnsiTheme="minorHAnsi" w:cs="Arial"/>
          <w:b/>
          <w:lang w:val="nb-NO"/>
        </w:rPr>
        <w:t>4 – Questions for Tenderers</w:t>
      </w:r>
    </w:p>
    <w:p w:rsidR="00F4551E" w:rsidRDefault="00F4551E" w:rsidP="00DC2D30">
      <w:pPr>
        <w:pStyle w:val="NoSpacing"/>
        <w:rPr>
          <w:b/>
        </w:rPr>
      </w:pPr>
    </w:p>
    <w:p w:rsidR="008822BB" w:rsidRPr="003C59D9" w:rsidRDefault="00AC6AC9" w:rsidP="00DC2D30">
      <w:pPr>
        <w:pStyle w:val="NoSpacing"/>
        <w:rPr>
          <w:b/>
        </w:rPr>
      </w:pPr>
      <w:r>
        <w:rPr>
          <w:b/>
        </w:rPr>
        <w:t>Section 1:</w:t>
      </w:r>
      <w:r>
        <w:rPr>
          <w:b/>
        </w:rPr>
        <w:tab/>
      </w:r>
      <w:r w:rsidR="003A3AD0" w:rsidRPr="003C59D9">
        <w:rPr>
          <w:b/>
        </w:rPr>
        <w:t xml:space="preserve">Introduction </w:t>
      </w:r>
    </w:p>
    <w:p w:rsidR="00CA27CF" w:rsidRPr="003C59D9" w:rsidRDefault="00CA27CF" w:rsidP="00DC2D30">
      <w:pPr>
        <w:pStyle w:val="NoSpacing"/>
        <w:rPr>
          <w:sz w:val="20"/>
          <w:szCs w:val="20"/>
          <w:lang w:val="nb-NO"/>
        </w:rPr>
      </w:pPr>
    </w:p>
    <w:p w:rsidR="00396287" w:rsidRPr="003C59D9" w:rsidRDefault="00396287" w:rsidP="00396287">
      <w:pPr>
        <w:spacing w:after="150" w:line="220" w:lineRule="atLeast"/>
        <w:rPr>
          <w:rFonts w:cs="Arial"/>
          <w:lang w:val="en" w:eastAsia="en-GB"/>
        </w:rPr>
      </w:pPr>
      <w:r w:rsidRPr="003C59D9">
        <w:rPr>
          <w:rFonts w:cs="Arial"/>
          <w:lang w:val="en" w:eastAsia="en-GB"/>
        </w:rPr>
        <w:t>On 2 October 2015 the SSI steel works in Redcar was placed into compulsory liquidation and an official receiver (OR) was appointed as liquidator. On 12 October, following no buyer for the steel works being found, the decision was taken by the official receiver to set about the hard closure of the site. Since that time the official receiver undertook a protracted liquidation of SSI and, in the absence of an owner, he has been overseeing the safe and secure hard closure of the site. Government, through the Department for Business, Energy and Industrial Strategy,</w:t>
      </w:r>
      <w:r w:rsidR="00763E0B" w:rsidRPr="003C59D9">
        <w:rPr>
          <w:rFonts w:cs="Arial"/>
          <w:lang w:val="en" w:eastAsia="en-GB"/>
        </w:rPr>
        <w:t> provided</w:t>
      </w:r>
      <w:r w:rsidRPr="003C59D9">
        <w:rPr>
          <w:rFonts w:cs="Arial"/>
          <w:lang w:val="en" w:eastAsia="en-GB"/>
        </w:rPr>
        <w:t xml:space="preserve"> an indemnity to the OR so that he could carry out his duties as liquidator of the company and ensure its ongoing safety and security.</w:t>
      </w:r>
    </w:p>
    <w:p w:rsidR="004660E6" w:rsidRDefault="00396287" w:rsidP="004660E6">
      <w:pPr>
        <w:rPr>
          <w:rFonts w:cs="Arial"/>
          <w:lang w:val="en"/>
        </w:rPr>
      </w:pPr>
      <w:r w:rsidRPr="003C59D9">
        <w:rPr>
          <w:rFonts w:cs="Arial"/>
          <w:lang w:val="en"/>
        </w:rPr>
        <w:t>On the 1</w:t>
      </w:r>
      <w:r w:rsidRPr="003C59D9">
        <w:rPr>
          <w:rFonts w:cs="Arial"/>
          <w:vertAlign w:val="superscript"/>
          <w:lang w:val="en"/>
        </w:rPr>
        <w:t>st</w:t>
      </w:r>
      <w:r w:rsidRPr="003C59D9">
        <w:rPr>
          <w:rFonts w:cs="Arial"/>
          <w:lang w:val="en"/>
        </w:rPr>
        <w:t xml:space="preserve"> December 2016 The Department established a Government company, known as the South Tees Site Company Ltd, in order to take forward the safety and security of the site from the OR. STSC have a management team as well as a board of directors, accountable to the BEIS Secretary of State. In order to allow the board of directors and management team to carry out their duties, as well as funding the operation of the Company, BEIS has agreed to indemnify them against all claims, proceedings, costs—including the cost of defending proceedings—and expenses</w:t>
      </w:r>
      <w:r w:rsidR="00F623A8" w:rsidRPr="003C59D9">
        <w:rPr>
          <w:rFonts w:cs="Arial"/>
          <w:lang w:val="en"/>
        </w:rPr>
        <w:t>.</w:t>
      </w:r>
      <w:bookmarkStart w:id="1" w:name="_Ref382213948"/>
      <w:bookmarkStart w:id="2" w:name="_Toc405888275"/>
    </w:p>
    <w:p w:rsidR="004660E6" w:rsidRPr="004660E6" w:rsidRDefault="004660E6" w:rsidP="004660E6">
      <w:pPr>
        <w:rPr>
          <w:rFonts w:cs="Arial"/>
          <w:b/>
          <w:lang w:val="en"/>
        </w:rPr>
      </w:pPr>
      <w:r w:rsidRPr="004660E6">
        <w:rPr>
          <w:rFonts w:asciiTheme="minorHAnsi" w:hAnsiTheme="minorHAnsi" w:cs="Arial"/>
          <w:b/>
        </w:rPr>
        <w:t>Indicative Timetable</w:t>
      </w:r>
      <w:bookmarkEnd w:id="1"/>
      <w:bookmarkEnd w:id="2"/>
    </w:p>
    <w:p w:rsidR="004660E6" w:rsidRDefault="004660E6" w:rsidP="007B0562">
      <w:pPr>
        <w:jc w:val="both"/>
        <w:rPr>
          <w:rFonts w:asciiTheme="minorHAnsi" w:hAnsiTheme="minorHAnsi" w:cs="Arial"/>
        </w:rPr>
      </w:pPr>
      <w:r w:rsidRPr="004660E6">
        <w:rPr>
          <w:rFonts w:asciiTheme="minorHAnsi" w:hAnsiTheme="minorHAnsi" w:cs="Arial"/>
        </w:rPr>
        <w:t>The anticipated timetable for this tender exercise is as follows. The OGA reserves the right to vary this timetable. Any variations will be published on contracts finder or circulated to all organisations who have registered an interest in notifications.</w:t>
      </w:r>
    </w:p>
    <w:p w:rsidR="000E6127" w:rsidRPr="007B0562" w:rsidRDefault="000E6127" w:rsidP="007B0562">
      <w:pPr>
        <w:jc w:val="both"/>
        <w:rPr>
          <w:rFonts w:asciiTheme="minorHAnsi" w:hAnsiTheme="minorHAnsi" w:cs="Arial"/>
        </w:rPr>
      </w:pPr>
    </w:p>
    <w:tbl>
      <w:tblPr>
        <w:tblW w:w="9070" w:type="dxa"/>
        <w:tblCellMar>
          <w:left w:w="0" w:type="dxa"/>
          <w:right w:w="0" w:type="dxa"/>
        </w:tblCellMar>
        <w:tblLook w:val="04A0" w:firstRow="1" w:lastRow="0" w:firstColumn="1" w:lastColumn="0" w:noHBand="0" w:noVBand="1"/>
      </w:tblPr>
      <w:tblGrid>
        <w:gridCol w:w="4361"/>
        <w:gridCol w:w="4709"/>
      </w:tblGrid>
      <w:tr w:rsidR="004660E6" w:rsidRPr="004660E6" w:rsidTr="0067422A">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60E6" w:rsidRPr="004660E6" w:rsidRDefault="004660E6" w:rsidP="0067422A">
            <w:pPr>
              <w:rPr>
                <w:rFonts w:asciiTheme="minorHAnsi" w:hAnsiTheme="minorHAnsi" w:cs="Arial"/>
                <w:b/>
                <w:bCs/>
              </w:rPr>
            </w:pPr>
            <w:r w:rsidRPr="004660E6">
              <w:rPr>
                <w:rFonts w:asciiTheme="minorHAnsi" w:hAnsiTheme="minorHAnsi" w:cs="Arial"/>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60E6" w:rsidRPr="004660E6" w:rsidRDefault="004660E6" w:rsidP="0067422A">
            <w:pPr>
              <w:rPr>
                <w:rFonts w:asciiTheme="minorHAnsi" w:hAnsiTheme="minorHAnsi" w:cs="Arial"/>
                <w:b/>
                <w:bCs/>
              </w:rPr>
            </w:pPr>
            <w:r w:rsidRPr="004660E6">
              <w:rPr>
                <w:rFonts w:asciiTheme="minorHAnsi" w:hAnsiTheme="minorHAnsi" w:cs="Arial"/>
                <w:b/>
                <w:bCs/>
              </w:rPr>
              <w:t>Date</w:t>
            </w:r>
          </w:p>
        </w:tc>
      </w:tr>
      <w:tr w:rsidR="004660E6" w:rsidRPr="004660E6" w:rsidTr="0067422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0E6" w:rsidRPr="004660E6" w:rsidRDefault="004660E6" w:rsidP="0067422A">
            <w:pPr>
              <w:rPr>
                <w:rFonts w:asciiTheme="minorHAnsi" w:hAnsiTheme="minorHAnsi" w:cs="Arial"/>
              </w:rPr>
            </w:pPr>
            <w:r w:rsidRPr="004660E6">
              <w:rPr>
                <w:rFonts w:asciiTheme="minorHAnsi" w:hAnsiTheme="minorHAnsi" w:cs="Arial"/>
              </w:rPr>
              <w:t>Advert and full invitation to tender issued</w:t>
            </w:r>
            <w:r w:rsidR="00B4422D">
              <w:rPr>
                <w:rFonts w:asciiTheme="minorHAnsi" w:hAnsiTheme="minorHAnsi" w:cs="Arial"/>
              </w:rPr>
              <w:t xml:space="preserve"> (STSC</w:t>
            </w:r>
            <w:r w:rsidR="007B0562">
              <w:rPr>
                <w:rFonts w:asciiTheme="minorHAnsi" w:hAnsiTheme="minorHAnsi" w:cs="Arial"/>
              </w:rPr>
              <w:t xml:space="preserve"> </w:t>
            </w:r>
            <w:r w:rsidR="00B4422D">
              <w:rPr>
                <w:rFonts w:asciiTheme="minorHAnsi" w:hAnsiTheme="minorHAnsi" w:cs="Arial"/>
              </w:rPr>
              <w:t>Ltd)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C469AC" w:rsidP="0067422A">
            <w:pPr>
              <w:rPr>
                <w:rFonts w:asciiTheme="minorHAnsi" w:hAnsiTheme="minorHAnsi" w:cs="Arial"/>
              </w:rPr>
            </w:pPr>
            <w:r>
              <w:rPr>
                <w:rFonts w:asciiTheme="minorHAnsi" w:hAnsiTheme="minorHAnsi" w:cs="Arial"/>
              </w:rPr>
              <w:t>06</w:t>
            </w:r>
            <w:r w:rsidR="003110FD">
              <w:rPr>
                <w:rFonts w:asciiTheme="minorHAnsi" w:hAnsiTheme="minorHAnsi" w:cs="Arial"/>
              </w:rPr>
              <w:t>.10.17</w:t>
            </w:r>
          </w:p>
        </w:tc>
      </w:tr>
      <w:tr w:rsidR="004660E6" w:rsidRPr="004660E6" w:rsidTr="0067422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0E6" w:rsidRDefault="004660E6" w:rsidP="0067422A">
            <w:pPr>
              <w:rPr>
                <w:rFonts w:asciiTheme="minorHAnsi" w:hAnsiTheme="minorHAnsi" w:cs="Arial"/>
              </w:rPr>
            </w:pPr>
            <w:r w:rsidRPr="004660E6">
              <w:rPr>
                <w:rFonts w:asciiTheme="minorHAnsi" w:hAnsiTheme="minorHAnsi" w:cs="Arial"/>
              </w:rPr>
              <w:t>Deadline for questions relating to the tender</w:t>
            </w:r>
          </w:p>
          <w:p w:rsidR="00B4422D" w:rsidRPr="004660E6" w:rsidRDefault="00B4422D" w:rsidP="0067422A">
            <w:pPr>
              <w:rPr>
                <w:rFonts w:asciiTheme="minorHAnsi" w:hAnsiTheme="minorHAnsi" w:cs="Arial"/>
              </w:rPr>
            </w:pPr>
            <w:r>
              <w:rPr>
                <w:rFonts w:asciiTheme="minorHAnsi" w:hAnsiTheme="minorHAnsi" w:cs="Arial"/>
              </w:rPr>
              <w:t>(Bidder)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13.10.17</w:t>
            </w:r>
          </w:p>
        </w:tc>
      </w:tr>
      <w:tr w:rsidR="004660E6" w:rsidRPr="004660E6" w:rsidTr="0067422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0E6" w:rsidRDefault="004660E6" w:rsidP="0067422A">
            <w:pPr>
              <w:rPr>
                <w:rFonts w:asciiTheme="minorHAnsi" w:hAnsiTheme="minorHAnsi" w:cs="Arial"/>
              </w:rPr>
            </w:pPr>
            <w:r w:rsidRPr="004660E6">
              <w:rPr>
                <w:rFonts w:asciiTheme="minorHAnsi" w:hAnsiTheme="minorHAnsi" w:cs="Arial"/>
              </w:rPr>
              <w:t xml:space="preserve">Responses to questions published </w:t>
            </w:r>
          </w:p>
          <w:p w:rsidR="00B4422D" w:rsidRPr="004660E6" w:rsidRDefault="00B4422D" w:rsidP="0067422A">
            <w:pPr>
              <w:rPr>
                <w:rFonts w:asciiTheme="minorHAnsi" w:hAnsiTheme="minorHAnsi" w:cs="Arial"/>
              </w:rPr>
            </w:pPr>
            <w:r>
              <w:rPr>
                <w:rFonts w:asciiTheme="minorHAnsi" w:hAnsiTheme="minorHAnsi" w:cs="Arial"/>
              </w:rPr>
              <w:t>(STSC Ltd)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17.10.17</w:t>
            </w:r>
          </w:p>
        </w:tc>
      </w:tr>
      <w:tr w:rsidR="004660E6" w:rsidRPr="004660E6" w:rsidTr="0067422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0E6" w:rsidRDefault="004660E6" w:rsidP="0067422A">
            <w:pPr>
              <w:rPr>
                <w:rFonts w:asciiTheme="minorHAnsi" w:hAnsiTheme="minorHAnsi" w:cs="Arial"/>
              </w:rPr>
            </w:pPr>
            <w:r w:rsidRPr="004660E6">
              <w:rPr>
                <w:rFonts w:asciiTheme="minorHAnsi" w:hAnsiTheme="minorHAnsi" w:cs="Arial"/>
              </w:rPr>
              <w:t>Deadline for receipt of tender</w:t>
            </w:r>
          </w:p>
          <w:p w:rsidR="00B4422D" w:rsidRPr="004660E6" w:rsidRDefault="00B4422D" w:rsidP="0067422A">
            <w:pPr>
              <w:rPr>
                <w:rFonts w:asciiTheme="minorHAnsi" w:hAnsiTheme="minorHAnsi" w:cs="Arial"/>
              </w:rPr>
            </w:pPr>
            <w:r>
              <w:rPr>
                <w:rFonts w:asciiTheme="minorHAnsi" w:hAnsiTheme="minorHAnsi" w:cs="Arial"/>
              </w:rPr>
              <w:t>(Bidder)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27.10.17</w:t>
            </w:r>
          </w:p>
        </w:tc>
      </w:tr>
      <w:tr w:rsidR="004660E6" w:rsidRPr="004660E6" w:rsidTr="00A756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0E6" w:rsidRDefault="004660E6" w:rsidP="0067422A">
            <w:pPr>
              <w:rPr>
                <w:rFonts w:asciiTheme="minorHAnsi" w:hAnsiTheme="minorHAnsi" w:cs="Arial"/>
              </w:rPr>
            </w:pPr>
            <w:r w:rsidRPr="004660E6">
              <w:rPr>
                <w:rFonts w:asciiTheme="minorHAnsi" w:hAnsiTheme="minorHAnsi" w:cs="Arial"/>
              </w:rPr>
              <w:t>Invite suppliers for bid clarification (if needed)</w:t>
            </w:r>
          </w:p>
          <w:p w:rsidR="00B4422D" w:rsidRPr="004660E6" w:rsidRDefault="00B4422D" w:rsidP="0067422A">
            <w:pPr>
              <w:rPr>
                <w:rFonts w:asciiTheme="minorHAnsi" w:hAnsiTheme="minorHAnsi" w:cs="Arial"/>
              </w:rPr>
            </w:pPr>
            <w:r>
              <w:rPr>
                <w:rFonts w:asciiTheme="minorHAnsi" w:hAnsiTheme="minorHAnsi" w:cs="Arial"/>
              </w:rPr>
              <w:t>(STSC Ltd)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30.10.17</w:t>
            </w:r>
          </w:p>
        </w:tc>
      </w:tr>
      <w:tr w:rsidR="004660E6" w:rsidRPr="004660E6" w:rsidTr="00A756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60E6" w:rsidRDefault="004660E6" w:rsidP="0067422A">
            <w:pPr>
              <w:rPr>
                <w:rFonts w:asciiTheme="minorHAnsi" w:hAnsiTheme="minorHAnsi" w:cs="Arial"/>
              </w:rPr>
            </w:pPr>
            <w:r w:rsidRPr="004660E6">
              <w:rPr>
                <w:rFonts w:asciiTheme="minorHAnsi" w:hAnsiTheme="minorHAnsi" w:cs="Arial"/>
              </w:rPr>
              <w:t>All suppliers alerted of outcome</w:t>
            </w:r>
          </w:p>
          <w:p w:rsidR="00B4422D" w:rsidRPr="004660E6" w:rsidRDefault="00B4422D" w:rsidP="0067422A">
            <w:pPr>
              <w:rPr>
                <w:rFonts w:asciiTheme="minorHAnsi" w:hAnsiTheme="minorHAnsi" w:cs="Arial"/>
              </w:rPr>
            </w:pPr>
            <w:r>
              <w:rPr>
                <w:rFonts w:asciiTheme="minorHAnsi" w:hAnsiTheme="minorHAnsi" w:cs="Arial"/>
              </w:rPr>
              <w:t>(STSC Ltd)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06.11.17</w:t>
            </w:r>
          </w:p>
        </w:tc>
      </w:tr>
      <w:tr w:rsidR="004660E6" w:rsidRPr="004660E6" w:rsidTr="00A7564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4660E6" w:rsidRPr="004660E6" w:rsidRDefault="004660E6" w:rsidP="0067422A">
            <w:pPr>
              <w:rPr>
                <w:rFonts w:asciiTheme="minorHAnsi" w:hAnsiTheme="minorHAnsi" w:cs="Arial"/>
              </w:rPr>
            </w:pPr>
          </w:p>
        </w:tc>
        <w:tc>
          <w:tcPr>
            <w:tcW w:w="4709" w:type="dxa"/>
            <w:tcBorders>
              <w:top w:val="nil"/>
              <w:left w:val="nil"/>
              <w:bottom w:val="nil"/>
              <w:right w:val="single" w:sz="8" w:space="0" w:color="auto"/>
            </w:tcBorders>
            <w:tcMar>
              <w:top w:w="0" w:type="dxa"/>
              <w:left w:w="108" w:type="dxa"/>
              <w:bottom w:w="0" w:type="dxa"/>
              <w:right w:w="108" w:type="dxa"/>
            </w:tcMar>
          </w:tcPr>
          <w:p w:rsidR="003110FD" w:rsidRPr="004660E6" w:rsidRDefault="003110FD" w:rsidP="0067422A">
            <w:pPr>
              <w:rPr>
                <w:rFonts w:asciiTheme="minorHAnsi" w:hAnsiTheme="minorHAnsi" w:cs="Arial"/>
              </w:rPr>
            </w:pPr>
          </w:p>
        </w:tc>
      </w:tr>
      <w:tr w:rsidR="004660E6" w:rsidRPr="004660E6" w:rsidTr="0067422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0E6" w:rsidRPr="004660E6" w:rsidRDefault="004660E6" w:rsidP="0067422A">
            <w:pPr>
              <w:rPr>
                <w:rFonts w:asciiTheme="minorHAnsi" w:hAnsiTheme="minorHAnsi" w:cs="Arial"/>
              </w:rPr>
            </w:pPr>
            <w:r w:rsidRPr="004660E6">
              <w:rPr>
                <w:rFonts w:asciiTheme="minorHAnsi" w:hAnsiTheme="minorHAnsi" w:cs="Arial"/>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4660E6" w:rsidRPr="004660E6" w:rsidRDefault="003110FD" w:rsidP="0067422A">
            <w:pPr>
              <w:rPr>
                <w:rFonts w:asciiTheme="minorHAnsi" w:hAnsiTheme="minorHAnsi" w:cs="Arial"/>
              </w:rPr>
            </w:pPr>
            <w:r>
              <w:rPr>
                <w:rFonts w:asciiTheme="minorHAnsi" w:hAnsiTheme="minorHAnsi" w:cs="Arial"/>
              </w:rPr>
              <w:t>13.11.17</w:t>
            </w:r>
          </w:p>
        </w:tc>
      </w:tr>
    </w:tbl>
    <w:p w:rsidR="001108C9" w:rsidRDefault="001108C9" w:rsidP="00DC2D30">
      <w:pPr>
        <w:pStyle w:val="NoSpacing"/>
        <w:rPr>
          <w:b/>
        </w:rPr>
      </w:pPr>
    </w:p>
    <w:p w:rsidR="008665AD" w:rsidRDefault="00B85678" w:rsidP="00DC2D30">
      <w:pPr>
        <w:pStyle w:val="NoSpacing"/>
        <w:rPr>
          <w:b/>
        </w:rPr>
      </w:pPr>
      <w:r>
        <w:rPr>
          <w:b/>
        </w:rPr>
        <w:t>Section 2:</w:t>
      </w:r>
      <w:r>
        <w:rPr>
          <w:b/>
        </w:rPr>
        <w:tab/>
        <w:t>Procedure for submitting tenders</w:t>
      </w:r>
    </w:p>
    <w:p w:rsidR="00B85678" w:rsidRDefault="00B85678" w:rsidP="00DC2D30">
      <w:pPr>
        <w:pStyle w:val="NoSpacing"/>
        <w:rPr>
          <w:b/>
        </w:rPr>
      </w:pPr>
    </w:p>
    <w:p w:rsidR="00B85678" w:rsidRPr="00E84E53" w:rsidRDefault="00B85678" w:rsidP="00B85678">
      <w:pPr>
        <w:pStyle w:val="NoSpacing"/>
        <w:rPr>
          <w:rFonts w:asciiTheme="minorHAnsi" w:hAnsiTheme="minorHAnsi" w:cs="Arial"/>
          <w:b/>
        </w:rPr>
      </w:pPr>
      <w:bookmarkStart w:id="3" w:name="_Toc405888276"/>
      <w:r w:rsidRPr="00E84E53">
        <w:rPr>
          <w:rFonts w:asciiTheme="minorHAnsi" w:hAnsiTheme="minorHAnsi" w:cs="Arial"/>
          <w:b/>
        </w:rPr>
        <w:t>Procedure for Submitting Tenders</w:t>
      </w:r>
      <w:bookmarkEnd w:id="3"/>
    </w:p>
    <w:p w:rsidR="00B85678" w:rsidRPr="00E84E53" w:rsidRDefault="00B85678" w:rsidP="00B85678">
      <w:pPr>
        <w:pStyle w:val="NoSpacing"/>
        <w:rPr>
          <w:rFonts w:asciiTheme="minorHAnsi" w:hAnsiTheme="minorHAnsi" w:cs="Arial"/>
        </w:rPr>
      </w:pPr>
      <w:bookmarkStart w:id="4" w:name="OLE_LINK1"/>
      <w:bookmarkStart w:id="5" w:name="OLE_LINK2"/>
      <w:r w:rsidRPr="00E84E53">
        <w:rPr>
          <w:rFonts w:asciiTheme="minorHAnsi" w:hAnsiTheme="minorHAnsi" w:cs="Arial"/>
        </w:rPr>
        <w:t xml:space="preserve">Please send your proposal clearly marked as “TENDER” and include the Tender Reference Number e.g. STSC-XX-XXXX </w:t>
      </w:r>
      <w:r w:rsidRPr="00E84E53">
        <w:rPr>
          <w:rFonts w:asciiTheme="minorHAnsi" w:hAnsiTheme="minorHAnsi" w:cs="Arial"/>
          <w:b/>
        </w:rPr>
        <w:t xml:space="preserve">before </w:t>
      </w:r>
      <w:r>
        <w:rPr>
          <w:rFonts w:asciiTheme="minorHAnsi" w:hAnsiTheme="minorHAnsi" w:cs="Arial"/>
        </w:rPr>
        <w:t xml:space="preserve">the deadline of </w:t>
      </w:r>
      <w:r w:rsidR="003110FD">
        <w:rPr>
          <w:rFonts w:asciiTheme="minorHAnsi" w:hAnsiTheme="minorHAnsi" w:cs="Arial"/>
        </w:rPr>
        <w:t>27</w:t>
      </w:r>
      <w:r w:rsidR="003110FD" w:rsidRPr="003110FD">
        <w:rPr>
          <w:rFonts w:asciiTheme="minorHAnsi" w:hAnsiTheme="minorHAnsi" w:cs="Arial"/>
          <w:vertAlign w:val="superscript"/>
        </w:rPr>
        <w:t>th</w:t>
      </w:r>
      <w:r w:rsidR="003110FD">
        <w:rPr>
          <w:rFonts w:asciiTheme="minorHAnsi" w:hAnsiTheme="minorHAnsi" w:cs="Arial"/>
        </w:rPr>
        <w:t xml:space="preserve"> October</w:t>
      </w:r>
      <w:r>
        <w:rPr>
          <w:rFonts w:asciiTheme="minorHAnsi" w:hAnsiTheme="minorHAnsi" w:cs="Arial"/>
        </w:rPr>
        <w:t xml:space="preserve"> 5</w:t>
      </w:r>
      <w:r w:rsidRPr="00E84E53">
        <w:rPr>
          <w:rFonts w:asciiTheme="minorHAnsi" w:hAnsiTheme="minorHAnsi" w:cs="Arial"/>
        </w:rPr>
        <w:t>pm</w:t>
      </w:r>
      <w:r w:rsidRPr="00E84E53">
        <w:rPr>
          <w:rFonts w:asciiTheme="minorHAnsi" w:hAnsiTheme="minorHAnsi" w:cs="Arial"/>
          <w:color w:val="FF0000"/>
        </w:rPr>
        <w:t xml:space="preserve"> </w:t>
      </w:r>
      <w:r w:rsidRPr="00E84E53">
        <w:rPr>
          <w:rFonts w:asciiTheme="minorHAnsi" w:hAnsiTheme="minorHAnsi" w:cs="Arial"/>
        </w:rPr>
        <w:t xml:space="preserve">to Procurement via email </w:t>
      </w:r>
    </w:p>
    <w:p w:rsidR="00B85678" w:rsidRPr="00E84E53" w:rsidRDefault="0006618F" w:rsidP="00B85678">
      <w:pPr>
        <w:pStyle w:val="NoSpacing"/>
        <w:rPr>
          <w:rFonts w:asciiTheme="minorHAnsi" w:hAnsiTheme="minorHAnsi" w:cs="Arial"/>
        </w:rPr>
      </w:pPr>
      <w:hyperlink r:id="rId10" w:history="1">
        <w:r w:rsidR="00B85678" w:rsidRPr="00E84E53">
          <w:rPr>
            <w:rStyle w:val="Hyperlink"/>
            <w:rFonts w:asciiTheme="minorHAnsi" w:hAnsiTheme="minorHAnsi" w:cs="Arial"/>
          </w:rPr>
          <w:t>procurement@stscltd.co.uk</w:t>
        </w:r>
      </w:hyperlink>
      <w:r w:rsidR="00B85678" w:rsidRPr="00E84E53">
        <w:rPr>
          <w:rFonts w:asciiTheme="minorHAnsi" w:hAnsiTheme="minorHAnsi" w:cs="Arial"/>
        </w:rPr>
        <w:t xml:space="preserve">  </w:t>
      </w:r>
    </w:p>
    <w:p w:rsidR="00B85678" w:rsidRPr="00E84E53" w:rsidRDefault="00B85678" w:rsidP="00B85678">
      <w:pPr>
        <w:pStyle w:val="NoSpacing"/>
        <w:rPr>
          <w:rFonts w:asciiTheme="minorHAnsi" w:hAnsiTheme="minorHAnsi" w:cs="Arial"/>
          <w:color w:val="FF0000"/>
        </w:rPr>
      </w:pPr>
    </w:p>
    <w:p w:rsidR="00B85678" w:rsidRPr="00E84E53" w:rsidRDefault="00B85678" w:rsidP="00B85678">
      <w:pPr>
        <w:pStyle w:val="NoSpacing"/>
        <w:rPr>
          <w:rFonts w:asciiTheme="minorHAnsi" w:hAnsiTheme="minorHAnsi" w:cs="Arial"/>
        </w:rPr>
      </w:pPr>
      <w:r w:rsidRPr="00E84E53">
        <w:rPr>
          <w:rFonts w:asciiTheme="minorHAnsi" w:hAnsiTheme="minorHAnsi" w:cs="Arial"/>
          <w:lang w:val="en"/>
        </w:rPr>
        <w:t xml:space="preserve">For questions regarding the procurement process please contact </w:t>
      </w:r>
      <w:hyperlink r:id="rId11" w:history="1">
        <w:r w:rsidRPr="00E84E53">
          <w:rPr>
            <w:rStyle w:val="Hyperlink"/>
            <w:rFonts w:asciiTheme="minorHAnsi" w:hAnsiTheme="minorHAnsi" w:cs="Arial"/>
          </w:rPr>
          <w:t>procurement@stscltd.co.uk</w:t>
        </w:r>
      </w:hyperlink>
      <w:r w:rsidRPr="00E84E53">
        <w:rPr>
          <w:rFonts w:asciiTheme="minorHAnsi" w:hAnsiTheme="minorHAnsi" w:cs="Arial"/>
        </w:rPr>
        <w:t xml:space="preserve">. </w:t>
      </w:r>
    </w:p>
    <w:p w:rsidR="00B85678" w:rsidRPr="00E84E53" w:rsidRDefault="00B85678" w:rsidP="00B85678">
      <w:pPr>
        <w:pStyle w:val="NoSpacing"/>
        <w:rPr>
          <w:rFonts w:asciiTheme="minorHAnsi" w:hAnsiTheme="minorHAnsi" w:cs="Arial"/>
          <w:color w:val="000000"/>
        </w:rPr>
      </w:pPr>
    </w:p>
    <w:p w:rsidR="00B85678" w:rsidRPr="00E84E53" w:rsidRDefault="00B85678" w:rsidP="00B85678">
      <w:pPr>
        <w:pStyle w:val="NoSpacing"/>
        <w:rPr>
          <w:rFonts w:asciiTheme="minorHAnsi" w:hAnsiTheme="minorHAnsi" w:cs="Arial"/>
        </w:rPr>
      </w:pPr>
      <w:r w:rsidRPr="00E84E53">
        <w:rPr>
          <w:rFonts w:asciiTheme="minorHAnsi" w:hAnsiTheme="minorHAnsi" w:cs="Arial"/>
          <w:color w:val="000000"/>
        </w:rPr>
        <w:t>Tenders will be received up to the time and date stated. Please ensure that your tender is delivered no later than the appointed time on the appointed date. STSC does not undertake to consider tenders received after that time.</w:t>
      </w:r>
      <w:bookmarkEnd w:id="4"/>
      <w:bookmarkEnd w:id="5"/>
      <w:r w:rsidRPr="00E84E53">
        <w:rPr>
          <w:rFonts w:asciiTheme="minorHAnsi" w:hAnsiTheme="minorHAnsi" w:cs="Arial"/>
          <w:color w:val="000000"/>
        </w:rPr>
        <w:t xml:space="preserve"> STSC</w:t>
      </w:r>
      <w:r w:rsidRPr="00E84E53">
        <w:rPr>
          <w:rFonts w:asciiTheme="minorHAnsi" w:hAnsiTheme="minorHAnsi" w:cs="Arial"/>
        </w:rPr>
        <w:t xml:space="preserve"> requires tenders to remain valid for a period indicated in the specification of requirements.</w:t>
      </w:r>
    </w:p>
    <w:p w:rsidR="00B85678" w:rsidRPr="00E84E53" w:rsidRDefault="00B85678" w:rsidP="00B85678">
      <w:pPr>
        <w:pStyle w:val="NoSpacing"/>
        <w:rPr>
          <w:rFonts w:asciiTheme="minorHAnsi" w:hAnsiTheme="minorHAnsi" w:cs="Arial"/>
        </w:rPr>
      </w:pPr>
    </w:p>
    <w:p w:rsidR="00B85678" w:rsidRDefault="00B85678" w:rsidP="00B85678">
      <w:pPr>
        <w:pStyle w:val="NoSpacing"/>
        <w:rPr>
          <w:rFonts w:asciiTheme="minorHAnsi" w:eastAsia="Times New Roman" w:hAnsiTheme="minorHAnsi" w:cs="Arial"/>
          <w:lang w:eastAsia="en-GB"/>
        </w:rPr>
      </w:pPr>
      <w:r w:rsidRPr="00E84E53">
        <w:rPr>
          <w:rFonts w:asciiTheme="minorHAnsi" w:hAnsiTheme="minorHAnsi" w:cs="Arial"/>
        </w:rPr>
        <w:t xml:space="preserve">STSC shall have the right to disqualify a bidder from the procurement if they fail to fully complete their response, or do not return all of the fully completed documentation and declarations requested in this ITT. STSC shall also have the right to disqualify you if it later becomes aware of any omission or misrepresentation in your response to any question within this invitation to tender. </w:t>
      </w:r>
      <w:r w:rsidRPr="00E84E53">
        <w:rPr>
          <w:rFonts w:asciiTheme="minorHAnsi" w:eastAsia="Times New Roman" w:hAnsiTheme="minorHAnsi" w:cs="Arial"/>
          <w:lang w:eastAsia="en-GB"/>
        </w:rPr>
        <w:t xml:space="preserve">If you require further information concerning the tender process, or the nature of the proposed email </w:t>
      </w:r>
      <w:hyperlink r:id="rId12" w:history="1">
        <w:r w:rsidRPr="00E84E53">
          <w:rPr>
            <w:rStyle w:val="Hyperlink"/>
            <w:rFonts w:asciiTheme="minorHAnsi" w:hAnsiTheme="minorHAnsi" w:cs="Arial"/>
          </w:rPr>
          <w:t>procurement@stscltd.co.uk</w:t>
        </w:r>
      </w:hyperlink>
      <w:r w:rsidRPr="00E84E53">
        <w:rPr>
          <w:rFonts w:asciiTheme="minorHAnsi" w:eastAsia="Times New Roman" w:hAnsiTheme="minorHAnsi" w:cs="Arial"/>
          <w:lang w:eastAsia="en-GB"/>
        </w:rPr>
        <w:t xml:space="preserve"> </w:t>
      </w:r>
    </w:p>
    <w:p w:rsidR="00B85678" w:rsidRPr="00E84E53" w:rsidRDefault="00B85678" w:rsidP="00B85678">
      <w:pPr>
        <w:pStyle w:val="NoSpacing"/>
        <w:rPr>
          <w:rFonts w:asciiTheme="minorHAnsi" w:eastAsia="Times New Roman" w:hAnsiTheme="minorHAnsi" w:cs="Arial"/>
          <w:lang w:eastAsia="en-GB"/>
        </w:rPr>
      </w:pPr>
    </w:p>
    <w:p w:rsidR="00B85678" w:rsidRPr="00E84E53" w:rsidRDefault="00B85678" w:rsidP="00B85678">
      <w:pPr>
        <w:pStyle w:val="NoSpacing"/>
        <w:rPr>
          <w:rFonts w:asciiTheme="minorHAnsi" w:eastAsia="Times New Roman" w:hAnsiTheme="minorHAnsi" w:cs="Arial"/>
          <w:lang w:eastAsia="en-GB"/>
        </w:rPr>
      </w:pPr>
      <w:r w:rsidRPr="00E84E53">
        <w:rPr>
          <w:rFonts w:asciiTheme="minorHAnsi" w:eastAsia="Times New Roman" w:hAnsiTheme="minorHAnsi" w:cs="Arial"/>
          <w:lang w:eastAsia="en-GB"/>
        </w:rPr>
        <w:t xml:space="preserve">You will not be entitled to claim from STSC any costs or expenses that you may incur in preparing your tender whether or not </w:t>
      </w:r>
      <w:proofErr w:type="gramStart"/>
      <w:r w:rsidRPr="00E84E53">
        <w:rPr>
          <w:rFonts w:asciiTheme="minorHAnsi" w:eastAsia="Times New Roman" w:hAnsiTheme="minorHAnsi" w:cs="Arial"/>
          <w:lang w:eastAsia="en-GB"/>
        </w:rPr>
        <w:t>your</w:t>
      </w:r>
      <w:proofErr w:type="gramEnd"/>
      <w:r w:rsidRPr="00E84E53">
        <w:rPr>
          <w:rFonts w:asciiTheme="minorHAnsi" w:eastAsia="Times New Roman" w:hAnsiTheme="minorHAnsi" w:cs="Arial"/>
          <w:lang w:eastAsia="en-GB"/>
        </w:rPr>
        <w:t xml:space="preserve"> tender is successful.</w:t>
      </w:r>
    </w:p>
    <w:p w:rsidR="00B85678" w:rsidRDefault="00B85678" w:rsidP="00DC2D30">
      <w:pPr>
        <w:pStyle w:val="NoSpacing"/>
        <w:rPr>
          <w:b/>
        </w:rPr>
      </w:pPr>
    </w:p>
    <w:p w:rsidR="003A3AD0" w:rsidRPr="003C59D9" w:rsidRDefault="00B85678" w:rsidP="00DC2D30">
      <w:pPr>
        <w:pStyle w:val="NoSpacing"/>
        <w:rPr>
          <w:b/>
        </w:rPr>
      </w:pPr>
      <w:r>
        <w:rPr>
          <w:b/>
        </w:rPr>
        <w:t>Section 3</w:t>
      </w:r>
      <w:r w:rsidR="00AC6AC9">
        <w:rPr>
          <w:b/>
        </w:rPr>
        <w:t>:</w:t>
      </w:r>
      <w:r w:rsidR="00AC6AC9">
        <w:rPr>
          <w:b/>
        </w:rPr>
        <w:tab/>
      </w:r>
      <w:r w:rsidR="00BB5DD4" w:rsidRPr="003C59D9">
        <w:rPr>
          <w:b/>
        </w:rPr>
        <w:t>Job</w:t>
      </w:r>
      <w:r w:rsidR="003A3AD0" w:rsidRPr="003C59D9">
        <w:rPr>
          <w:b/>
        </w:rPr>
        <w:t xml:space="preserve"> Background</w:t>
      </w:r>
    </w:p>
    <w:p w:rsidR="00CA27CF" w:rsidRDefault="00CA27CF" w:rsidP="00DC2D30">
      <w:pPr>
        <w:pStyle w:val="NoSpacing"/>
      </w:pPr>
    </w:p>
    <w:p w:rsidR="001A2919" w:rsidRPr="000E6127" w:rsidRDefault="000E6127" w:rsidP="00DC2D30">
      <w:pPr>
        <w:pStyle w:val="NoSpacing"/>
      </w:pPr>
      <w:r>
        <w:t>South Tees Site Company Ltd has a team of Engineers and Operators carrying out routines and inspections across the site in order to fulfil the ‘Keep Safe’ requirements associated with a top tier COMAH site.</w:t>
      </w:r>
    </w:p>
    <w:p w:rsidR="001A2919" w:rsidRDefault="000E6127" w:rsidP="00817557">
      <w:pPr>
        <w:pStyle w:val="Header"/>
        <w:tabs>
          <w:tab w:val="right" w:pos="1418"/>
          <w:tab w:val="left" w:pos="1701"/>
        </w:tabs>
        <w:rPr>
          <w:rFonts w:cs="Arial"/>
        </w:rPr>
      </w:pPr>
      <w:r>
        <w:rPr>
          <w:rFonts w:cs="Arial"/>
        </w:rPr>
        <w:t>The team is made up of HV/LV Electricians, welders etc. and as such the correct PPE must be worn at all times.</w:t>
      </w:r>
      <w:r w:rsidR="00FD0577">
        <w:rPr>
          <w:rFonts w:cs="Arial"/>
        </w:rPr>
        <w:t xml:space="preserve">  We are looking to roll out South Tees Site Company Ltd logoed PPE to all team members who require this, and have a small pool stock for occasional users and visitors.</w:t>
      </w:r>
    </w:p>
    <w:p w:rsidR="00817557" w:rsidRDefault="00271F88" w:rsidP="00DC2D30">
      <w:pPr>
        <w:pStyle w:val="NoSpacing"/>
        <w:rPr>
          <w:b/>
        </w:rPr>
      </w:pPr>
      <w:r>
        <w:rPr>
          <w:b/>
        </w:rPr>
        <w:t>Section 4:</w:t>
      </w:r>
    </w:p>
    <w:p w:rsidR="00271F88" w:rsidRPr="00817557" w:rsidRDefault="00271F88" w:rsidP="00DC2D30">
      <w:pPr>
        <w:pStyle w:val="NoSpacing"/>
        <w:rPr>
          <w:b/>
        </w:rPr>
      </w:pPr>
    </w:p>
    <w:p w:rsidR="003A3AD0" w:rsidRDefault="003A3AD0" w:rsidP="00DC2D30">
      <w:pPr>
        <w:pStyle w:val="NoSpacing"/>
        <w:rPr>
          <w:b/>
        </w:rPr>
      </w:pPr>
      <w:r w:rsidRPr="003C59D9">
        <w:rPr>
          <w:b/>
        </w:rPr>
        <w:t>Standards</w:t>
      </w:r>
    </w:p>
    <w:p w:rsidR="008665AD" w:rsidRDefault="008665AD" w:rsidP="00DC2D30">
      <w:pPr>
        <w:pStyle w:val="NoSpacing"/>
        <w:rPr>
          <w:b/>
        </w:rPr>
      </w:pPr>
    </w:p>
    <w:p w:rsidR="008665AD" w:rsidRDefault="008665AD" w:rsidP="008665AD">
      <w:pPr>
        <w:pStyle w:val="NoSpacing"/>
        <w:numPr>
          <w:ilvl w:val="0"/>
          <w:numId w:val="14"/>
        </w:numPr>
      </w:pPr>
      <w:r>
        <w:t>All garments are manufactured to the required specification</w:t>
      </w:r>
      <w:r w:rsidR="001D58D7">
        <w:t>, noted in price schedule</w:t>
      </w:r>
      <w:r>
        <w:t>.</w:t>
      </w:r>
    </w:p>
    <w:p w:rsidR="008665AD" w:rsidRPr="003C59D9" w:rsidRDefault="008665AD" w:rsidP="008665AD">
      <w:pPr>
        <w:pStyle w:val="NoSpacing"/>
        <w:numPr>
          <w:ilvl w:val="0"/>
          <w:numId w:val="14"/>
        </w:numPr>
        <w:rPr>
          <w:b/>
        </w:rPr>
      </w:pPr>
      <w:r>
        <w:t>All specifications must be supplied (for fabrics and garments).</w:t>
      </w:r>
    </w:p>
    <w:p w:rsidR="00396287" w:rsidRPr="003C59D9" w:rsidRDefault="00396287" w:rsidP="00DC2D30">
      <w:pPr>
        <w:pStyle w:val="NoSpacing"/>
        <w:rPr>
          <w:b/>
        </w:rPr>
      </w:pPr>
    </w:p>
    <w:p w:rsidR="008665AD" w:rsidRDefault="008665AD" w:rsidP="00DC2D30">
      <w:pPr>
        <w:pStyle w:val="NoSpacing"/>
        <w:rPr>
          <w:b/>
        </w:rPr>
      </w:pPr>
    </w:p>
    <w:p w:rsidR="005B4413" w:rsidRPr="003C59D9" w:rsidRDefault="00271F88" w:rsidP="00DC2D30">
      <w:pPr>
        <w:pStyle w:val="NoSpacing"/>
        <w:rPr>
          <w:b/>
        </w:rPr>
      </w:pPr>
      <w:r>
        <w:rPr>
          <w:b/>
        </w:rPr>
        <w:t>Section 5</w:t>
      </w:r>
      <w:r w:rsidR="00AC6AC9">
        <w:rPr>
          <w:b/>
        </w:rPr>
        <w:t>:</w:t>
      </w:r>
      <w:r w:rsidR="00AC6AC9">
        <w:rPr>
          <w:b/>
        </w:rPr>
        <w:tab/>
        <w:t>Site visit information</w:t>
      </w:r>
    </w:p>
    <w:p w:rsidR="00844C7F" w:rsidRDefault="00844C7F" w:rsidP="00DC2D30">
      <w:pPr>
        <w:pStyle w:val="NoSpacing"/>
      </w:pPr>
    </w:p>
    <w:p w:rsidR="001108C9" w:rsidRDefault="001108C9" w:rsidP="00DC2D30">
      <w:pPr>
        <w:pStyle w:val="NoSpacing"/>
      </w:pPr>
      <w:r>
        <w:t>There is no requirement for a site visit for this tender.</w:t>
      </w:r>
    </w:p>
    <w:p w:rsidR="008665AD" w:rsidRDefault="008665AD" w:rsidP="00527354">
      <w:pPr>
        <w:jc w:val="both"/>
      </w:pPr>
    </w:p>
    <w:p w:rsidR="00271F88" w:rsidRDefault="00271F88" w:rsidP="00527354">
      <w:pPr>
        <w:jc w:val="both"/>
      </w:pPr>
    </w:p>
    <w:p w:rsidR="00271F88" w:rsidRDefault="00271F88" w:rsidP="00527354">
      <w:pPr>
        <w:jc w:val="both"/>
      </w:pPr>
    </w:p>
    <w:p w:rsidR="00271F88" w:rsidRDefault="00271F88" w:rsidP="00527354">
      <w:pPr>
        <w:jc w:val="both"/>
      </w:pPr>
    </w:p>
    <w:p w:rsidR="00271F88" w:rsidRDefault="00271F88" w:rsidP="00527354">
      <w:pPr>
        <w:jc w:val="both"/>
        <w:rPr>
          <w:b/>
        </w:rPr>
      </w:pPr>
    </w:p>
    <w:p w:rsidR="00527354" w:rsidRDefault="00271F88" w:rsidP="00527354">
      <w:pPr>
        <w:jc w:val="both"/>
        <w:rPr>
          <w:rFonts w:cs="Arial"/>
          <w:b/>
        </w:rPr>
      </w:pPr>
      <w:r>
        <w:rPr>
          <w:b/>
        </w:rPr>
        <w:t>Section 6</w:t>
      </w:r>
      <w:r w:rsidR="00527354">
        <w:rPr>
          <w:b/>
        </w:rPr>
        <w:t>:</w:t>
      </w:r>
      <w:r w:rsidR="00527354">
        <w:rPr>
          <w:b/>
        </w:rPr>
        <w:tab/>
      </w:r>
      <w:r w:rsidR="00527354">
        <w:rPr>
          <w:rFonts w:cs="Arial"/>
          <w:b/>
        </w:rPr>
        <w:t>Price questions/requirements</w:t>
      </w:r>
    </w:p>
    <w:p w:rsidR="009B6D7D" w:rsidRPr="003C59D9" w:rsidRDefault="009B6D7D" w:rsidP="00DC2D30">
      <w:pPr>
        <w:pStyle w:val="NoSpacing"/>
        <w:rPr>
          <w:b/>
        </w:rPr>
      </w:pPr>
      <w:r w:rsidRPr="003C59D9">
        <w:rPr>
          <w:b/>
        </w:rPr>
        <w:t>Price</w:t>
      </w:r>
      <w:r w:rsidR="004F21FB">
        <w:rPr>
          <w:b/>
        </w:rPr>
        <w:t xml:space="preserve"> – Question 1</w:t>
      </w:r>
    </w:p>
    <w:p w:rsidR="00DC2D30" w:rsidRPr="003C59D9" w:rsidRDefault="00DC2D30" w:rsidP="00DC2D30">
      <w:pPr>
        <w:pStyle w:val="NoSpacing"/>
      </w:pPr>
    </w:p>
    <w:p w:rsidR="00844C7F" w:rsidRDefault="00844C7F" w:rsidP="00DC2D30">
      <w:pPr>
        <w:pStyle w:val="NoSpacing"/>
      </w:pPr>
      <w:r w:rsidRPr="003C59D9">
        <w:t>Please provide a fixed lump sum price for this scope of work broken down into the elements below as required.</w:t>
      </w:r>
    </w:p>
    <w:p w:rsidR="001C7C0B" w:rsidRDefault="001C7C0B" w:rsidP="00DC2D30">
      <w:pPr>
        <w:pStyle w:val="NoSpacing"/>
        <w:rPr>
          <w:b/>
        </w:rPr>
      </w:pPr>
    </w:p>
    <w:p w:rsidR="008665AD" w:rsidRDefault="008665AD" w:rsidP="00DC2D30">
      <w:pPr>
        <w:pStyle w:val="NoSpacing"/>
        <w:rPr>
          <w:b/>
        </w:rPr>
      </w:pPr>
    </w:p>
    <w:bookmarkStart w:id="6" w:name="_MON_1567940919"/>
    <w:bookmarkEnd w:id="6"/>
    <w:p w:rsidR="00221D35" w:rsidRDefault="0006618F" w:rsidP="00DC2D30">
      <w:pPr>
        <w:pStyle w:val="NoSpacing"/>
        <w:rPr>
          <w:b/>
        </w:rPr>
      </w:pPr>
      <w:r>
        <w:rPr>
          <w: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45pt;height:49.8pt" o:ole="">
            <v:imagedata r:id="rId13" o:title=""/>
          </v:shape>
          <o:OLEObject Type="Embed" ProgID="Excel.Sheet.12" ShapeID="_x0000_i1028" DrawAspect="Icon" ObjectID="_1568795043" r:id="rId14"/>
        </w:object>
      </w:r>
    </w:p>
    <w:p w:rsidR="00722CA4" w:rsidRPr="00722CA4" w:rsidRDefault="00722CA4" w:rsidP="00722CA4">
      <w:pPr>
        <w:pStyle w:val="NoSpacing"/>
        <w:numPr>
          <w:ilvl w:val="0"/>
          <w:numId w:val="17"/>
        </w:numPr>
      </w:pPr>
      <w:r w:rsidRPr="00722CA4">
        <w:t>We may request samples of each item from compliant bidders.</w:t>
      </w:r>
    </w:p>
    <w:p w:rsidR="008665AD" w:rsidRDefault="008665AD" w:rsidP="00DC2D30">
      <w:pPr>
        <w:pStyle w:val="NoSpacing"/>
        <w:rPr>
          <w:b/>
        </w:rPr>
      </w:pPr>
    </w:p>
    <w:p w:rsidR="00583F02" w:rsidRDefault="00583F02" w:rsidP="00DC2D30">
      <w:pPr>
        <w:pStyle w:val="NoSpacing"/>
        <w:rPr>
          <w:b/>
        </w:rPr>
      </w:pPr>
    </w:p>
    <w:p w:rsidR="00583F02" w:rsidRDefault="00583F02"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3A3AD0" w:rsidRDefault="003A3AD0" w:rsidP="00DC2D30">
      <w:pPr>
        <w:pStyle w:val="NoSpacing"/>
        <w:rPr>
          <w:b/>
        </w:rPr>
      </w:pPr>
      <w:r w:rsidRPr="003C59D9">
        <w:rPr>
          <w:b/>
        </w:rPr>
        <w:t>KPI’s</w:t>
      </w:r>
    </w:p>
    <w:p w:rsidR="00EE7510" w:rsidRPr="003C59D9" w:rsidRDefault="00EE7510" w:rsidP="00DC2D30">
      <w:pPr>
        <w:pStyle w:val="NoSpacing"/>
        <w:rPr>
          <w:b/>
        </w:rPr>
      </w:pPr>
    </w:p>
    <w:p w:rsidR="00763E0B" w:rsidRPr="003C59D9" w:rsidRDefault="00EE7510" w:rsidP="00EE7510">
      <w:pPr>
        <w:pStyle w:val="NoSpacing"/>
        <w:numPr>
          <w:ilvl w:val="0"/>
          <w:numId w:val="14"/>
        </w:numPr>
      </w:pPr>
      <w:r>
        <w:t>All garments supplied where possible should be stocked as continuity is required.  If this is not the case this must be made clear within the submission.</w:t>
      </w:r>
    </w:p>
    <w:p w:rsidR="002E7F00" w:rsidRDefault="001108C9" w:rsidP="001108C9">
      <w:pPr>
        <w:pStyle w:val="NoSpacing"/>
        <w:numPr>
          <w:ilvl w:val="0"/>
          <w:numId w:val="14"/>
        </w:numPr>
      </w:pPr>
      <w:r>
        <w:t>Delivery schedule</w:t>
      </w:r>
      <w:r w:rsidR="00583F02">
        <w:t xml:space="preserve"> is met.</w:t>
      </w:r>
    </w:p>
    <w:p w:rsidR="00583F02" w:rsidRDefault="00583F02" w:rsidP="001108C9">
      <w:pPr>
        <w:pStyle w:val="NoSpacing"/>
        <w:numPr>
          <w:ilvl w:val="0"/>
          <w:numId w:val="14"/>
        </w:numPr>
      </w:pPr>
      <w:r>
        <w:t>All garments are manufactured to the required specification.</w:t>
      </w:r>
    </w:p>
    <w:p w:rsidR="001E2CA8" w:rsidRDefault="001E2CA8" w:rsidP="001108C9">
      <w:pPr>
        <w:pStyle w:val="NoSpacing"/>
        <w:numPr>
          <w:ilvl w:val="0"/>
          <w:numId w:val="14"/>
        </w:numPr>
      </w:pPr>
      <w:r>
        <w:t>All specifications must be supplied (for fabrics and garments).</w:t>
      </w:r>
    </w:p>
    <w:p w:rsidR="00583F02" w:rsidRDefault="00583F02" w:rsidP="001108C9">
      <w:pPr>
        <w:pStyle w:val="NoSpacing"/>
        <w:numPr>
          <w:ilvl w:val="0"/>
          <w:numId w:val="14"/>
        </w:numPr>
      </w:pPr>
      <w:r>
        <w:t>Logos/names are added where agreed.</w:t>
      </w:r>
    </w:p>
    <w:p w:rsidR="002E7F00" w:rsidRPr="003C59D9" w:rsidRDefault="002E7F00" w:rsidP="002E7F00">
      <w:pPr>
        <w:pStyle w:val="NoSpacing"/>
      </w:pPr>
    </w:p>
    <w:p w:rsidR="002E7F00" w:rsidRDefault="002E7F00" w:rsidP="002E7F00">
      <w:pPr>
        <w:pStyle w:val="NoSpacing"/>
        <w:rPr>
          <w:b/>
        </w:rPr>
      </w:pPr>
    </w:p>
    <w:p w:rsidR="002E7F00" w:rsidRDefault="002E7F00" w:rsidP="002E7F00">
      <w:pPr>
        <w:pStyle w:val="NoSpacing"/>
        <w:rPr>
          <w:b/>
        </w:rPr>
      </w:pPr>
    </w:p>
    <w:p w:rsidR="002E7F00" w:rsidRPr="003C59D9" w:rsidRDefault="002E7F00" w:rsidP="002E7F00">
      <w:pPr>
        <w:pStyle w:val="NoSpacing"/>
        <w:rPr>
          <w:b/>
        </w:rPr>
      </w:pPr>
      <w:r w:rsidRPr="003C59D9">
        <w:rPr>
          <w:b/>
        </w:rPr>
        <w:t>PPE requirements</w:t>
      </w:r>
      <w:r w:rsidR="001108C9">
        <w:rPr>
          <w:b/>
        </w:rPr>
        <w:t xml:space="preserve"> on site</w:t>
      </w:r>
      <w:r w:rsidRPr="003C59D9">
        <w:rPr>
          <w:b/>
        </w:rPr>
        <w:t xml:space="preserve"> </w:t>
      </w:r>
    </w:p>
    <w:p w:rsidR="002E7F00" w:rsidRPr="003C59D9" w:rsidRDefault="002E7F00" w:rsidP="002E7F00">
      <w:pPr>
        <w:pStyle w:val="NoSpacing"/>
        <w:rPr>
          <w:b/>
        </w:rPr>
      </w:pPr>
    </w:p>
    <w:p w:rsidR="002E7F00" w:rsidRPr="003C59D9" w:rsidRDefault="001108C9" w:rsidP="001108C9">
      <w:pPr>
        <w:pStyle w:val="NoSpacing"/>
        <w:numPr>
          <w:ilvl w:val="0"/>
          <w:numId w:val="14"/>
        </w:numPr>
      </w:pPr>
      <w:r>
        <w:t>Not applicable</w:t>
      </w:r>
      <w:r w:rsidR="00D05BFE">
        <w:t xml:space="preserve"> (no visit is required).</w:t>
      </w:r>
    </w:p>
    <w:p w:rsidR="00B507A4" w:rsidRPr="003C59D9" w:rsidRDefault="00B507A4" w:rsidP="00B507A4">
      <w:pPr>
        <w:pStyle w:val="NoSpacing"/>
        <w:ind w:left="360"/>
      </w:pPr>
    </w:p>
    <w:p w:rsidR="00637AF4" w:rsidRPr="003C59D9" w:rsidRDefault="00271F88" w:rsidP="00DC2D30">
      <w:pPr>
        <w:pStyle w:val="NoSpacing"/>
        <w:rPr>
          <w:b/>
        </w:rPr>
      </w:pPr>
      <w:r>
        <w:rPr>
          <w:b/>
        </w:rPr>
        <w:t>Section 7</w:t>
      </w:r>
      <w:r w:rsidR="00975443">
        <w:rPr>
          <w:b/>
        </w:rPr>
        <w:t>:</w:t>
      </w:r>
      <w:r w:rsidR="00975443">
        <w:rPr>
          <w:b/>
        </w:rPr>
        <w:tab/>
        <w:t>Evaluation/Quality questions</w:t>
      </w:r>
    </w:p>
    <w:p w:rsidR="00B507A4" w:rsidRPr="003C59D9" w:rsidRDefault="00B507A4" w:rsidP="00B507A4">
      <w:pPr>
        <w:pStyle w:val="Default"/>
        <w:rPr>
          <w:rFonts w:ascii="Calibri" w:hAnsi="Calibri"/>
          <w:sz w:val="23"/>
          <w:szCs w:val="23"/>
        </w:rPr>
      </w:pPr>
    </w:p>
    <w:p w:rsidR="00B507A4" w:rsidRPr="003D2582" w:rsidRDefault="00B507A4" w:rsidP="00B507A4">
      <w:pPr>
        <w:pStyle w:val="NoSpacing"/>
        <w:numPr>
          <w:ilvl w:val="0"/>
          <w:numId w:val="15"/>
        </w:numPr>
        <w:rPr>
          <w:b/>
        </w:rPr>
      </w:pPr>
      <w:r w:rsidRPr="003C59D9">
        <w:t>In consideration of this particular requirement STSC Ltd has decided to evaluate Potential Providers by adopting the weightings/scoring mechanism detailed within this ITQ.  STSC Ltd considers these weightings to be in line with existing best practice for a requirement of this type:</w:t>
      </w:r>
    </w:p>
    <w:p w:rsidR="00FF5EA5" w:rsidRPr="00FF5EA5" w:rsidRDefault="00FF5EA5" w:rsidP="00FF5EA5">
      <w:pPr>
        <w:pStyle w:val="ListParagraph"/>
        <w:numPr>
          <w:ilvl w:val="0"/>
          <w:numId w:val="15"/>
        </w:numPr>
        <w:spacing w:after="0" w:line="240" w:lineRule="auto"/>
        <w:contextualSpacing w:val="0"/>
        <w:rPr>
          <w:rFonts w:asciiTheme="minorHAnsi" w:eastAsia="Times New Roman" w:hAnsiTheme="minorHAnsi" w:cs="Calibri"/>
          <w:lang w:eastAsia="en-GB"/>
        </w:rPr>
      </w:pPr>
      <w:r w:rsidRPr="00FF5EA5">
        <w:rPr>
          <w:rFonts w:asciiTheme="minorHAnsi" w:eastAsia="Times New Roman" w:hAnsiTheme="minorHAnsi" w:cs="Arial"/>
          <w:lang w:eastAsia="en-GB"/>
        </w:rPr>
        <w:t>The tender process will be conducted to ensure that bids are evaluated fairly and transparently, in accordance with agreed assessment criteria.  Further details a</w:t>
      </w:r>
      <w:r>
        <w:rPr>
          <w:rFonts w:asciiTheme="minorHAnsi" w:eastAsia="Times New Roman" w:hAnsiTheme="minorHAnsi" w:cs="Arial"/>
          <w:lang w:eastAsia="en-GB"/>
        </w:rPr>
        <w:t>re provided below.</w:t>
      </w:r>
    </w:p>
    <w:p w:rsidR="003D2582" w:rsidRPr="003C59D9" w:rsidRDefault="003D2582" w:rsidP="00FF5EA5">
      <w:pPr>
        <w:pStyle w:val="NoSpacing"/>
        <w:ind w:left="720"/>
        <w:rPr>
          <w:b/>
        </w:rPr>
      </w:pPr>
    </w:p>
    <w:p w:rsidR="00B507A4" w:rsidRPr="003C59D9" w:rsidRDefault="00B507A4" w:rsidP="00DC2D30">
      <w:pPr>
        <w:pStyle w:val="NoSpacing"/>
      </w:pPr>
    </w:p>
    <w:tbl>
      <w:tblPr>
        <w:tblW w:w="0" w:type="auto"/>
        <w:tblBorders>
          <w:top w:val="nil"/>
          <w:left w:val="nil"/>
          <w:bottom w:val="nil"/>
          <w:right w:val="nil"/>
        </w:tblBorders>
        <w:tblLayout w:type="fixed"/>
        <w:tblLook w:val="0000" w:firstRow="0" w:lastRow="0" w:firstColumn="0" w:lastColumn="0" w:noHBand="0" w:noVBand="0"/>
      </w:tblPr>
      <w:tblGrid>
        <w:gridCol w:w="846"/>
        <w:gridCol w:w="1225"/>
        <w:gridCol w:w="2071"/>
        <w:gridCol w:w="2071"/>
        <w:gridCol w:w="2071"/>
        <w:gridCol w:w="732"/>
      </w:tblGrid>
      <w:tr w:rsidR="00B507A4" w:rsidRPr="003C59D9">
        <w:trPr>
          <w:gridAfter w:val="1"/>
          <w:wAfter w:w="732" w:type="dxa"/>
          <w:trHeight w:val="167"/>
        </w:trPr>
        <w:tc>
          <w:tcPr>
            <w:tcW w:w="2071" w:type="dxa"/>
            <w:gridSpan w:val="2"/>
          </w:tcPr>
          <w:p w:rsidR="00B507A4" w:rsidRPr="003C59D9" w:rsidRDefault="00B507A4">
            <w:pPr>
              <w:pStyle w:val="Default"/>
              <w:rPr>
                <w:rFonts w:ascii="Calibri" w:hAnsi="Calibri"/>
                <w:sz w:val="22"/>
                <w:szCs w:val="22"/>
              </w:rPr>
            </w:pPr>
            <w:r w:rsidRPr="003C59D9">
              <w:rPr>
                <w:rFonts w:ascii="Calibri" w:hAnsi="Calibri"/>
                <w:b/>
                <w:bCs/>
                <w:sz w:val="22"/>
                <w:szCs w:val="22"/>
              </w:rPr>
              <w:t xml:space="preserve">Questionnaire </w:t>
            </w:r>
          </w:p>
        </w:tc>
        <w:tc>
          <w:tcPr>
            <w:tcW w:w="2071" w:type="dxa"/>
          </w:tcPr>
          <w:p w:rsidR="00B507A4" w:rsidRPr="003C59D9" w:rsidRDefault="00B507A4">
            <w:pPr>
              <w:pStyle w:val="Default"/>
              <w:rPr>
                <w:rFonts w:ascii="Calibri" w:hAnsi="Calibri"/>
                <w:sz w:val="22"/>
                <w:szCs w:val="22"/>
              </w:rPr>
            </w:pPr>
            <w:r w:rsidRPr="003C59D9">
              <w:rPr>
                <w:rFonts w:ascii="Calibri" w:hAnsi="Calibri"/>
                <w:b/>
                <w:bCs/>
                <w:sz w:val="22"/>
                <w:szCs w:val="22"/>
              </w:rPr>
              <w:t xml:space="preserve">Q No. </w:t>
            </w:r>
          </w:p>
        </w:tc>
        <w:tc>
          <w:tcPr>
            <w:tcW w:w="2071" w:type="dxa"/>
          </w:tcPr>
          <w:p w:rsidR="00B507A4" w:rsidRPr="003C59D9" w:rsidRDefault="00B507A4">
            <w:pPr>
              <w:pStyle w:val="Default"/>
              <w:rPr>
                <w:rFonts w:ascii="Calibri" w:hAnsi="Calibri"/>
                <w:sz w:val="22"/>
                <w:szCs w:val="22"/>
              </w:rPr>
            </w:pPr>
            <w:r w:rsidRPr="003C59D9">
              <w:rPr>
                <w:rFonts w:ascii="Calibri" w:hAnsi="Calibri"/>
                <w:b/>
                <w:bCs/>
                <w:sz w:val="22"/>
                <w:szCs w:val="22"/>
              </w:rPr>
              <w:t xml:space="preserve">Question subject </w:t>
            </w:r>
          </w:p>
        </w:tc>
        <w:tc>
          <w:tcPr>
            <w:tcW w:w="2071" w:type="dxa"/>
          </w:tcPr>
          <w:p w:rsidR="00B507A4" w:rsidRDefault="00B507A4">
            <w:pPr>
              <w:pStyle w:val="Default"/>
              <w:rPr>
                <w:rFonts w:ascii="Calibri" w:hAnsi="Calibri"/>
                <w:b/>
                <w:bCs/>
                <w:sz w:val="22"/>
                <w:szCs w:val="22"/>
              </w:rPr>
            </w:pPr>
            <w:r w:rsidRPr="003C59D9">
              <w:rPr>
                <w:rFonts w:ascii="Calibri" w:hAnsi="Calibri"/>
                <w:b/>
                <w:bCs/>
                <w:sz w:val="22"/>
                <w:szCs w:val="22"/>
              </w:rPr>
              <w:t xml:space="preserve">Maximum Marks </w:t>
            </w:r>
          </w:p>
          <w:p w:rsidR="00D05BFE" w:rsidRPr="003C59D9" w:rsidRDefault="00D05BFE">
            <w:pPr>
              <w:pStyle w:val="Default"/>
              <w:rPr>
                <w:rFonts w:ascii="Calibri" w:hAnsi="Calibri"/>
                <w:sz w:val="22"/>
                <w:szCs w:val="22"/>
              </w:rPr>
            </w:pPr>
          </w:p>
        </w:tc>
      </w:tr>
      <w:tr w:rsidR="00B507A4" w:rsidRPr="003C59D9">
        <w:trPr>
          <w:gridAfter w:val="1"/>
          <w:wAfter w:w="732" w:type="dxa"/>
          <w:trHeight w:val="146"/>
        </w:trPr>
        <w:tc>
          <w:tcPr>
            <w:tcW w:w="2071" w:type="dxa"/>
            <w:gridSpan w:val="2"/>
          </w:tcPr>
          <w:p w:rsidR="00B507A4" w:rsidRPr="003C59D9" w:rsidRDefault="00B507A4">
            <w:pPr>
              <w:pStyle w:val="Default"/>
              <w:rPr>
                <w:rFonts w:ascii="Calibri" w:hAnsi="Calibri"/>
                <w:sz w:val="22"/>
                <w:szCs w:val="22"/>
              </w:rPr>
            </w:pPr>
            <w:r w:rsidRPr="003C59D9">
              <w:rPr>
                <w:rFonts w:ascii="Calibri" w:hAnsi="Calibri"/>
                <w:sz w:val="22"/>
                <w:szCs w:val="22"/>
              </w:rPr>
              <w:t xml:space="preserve">Price </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1</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 xml:space="preserve">Price </w:t>
            </w:r>
          </w:p>
        </w:tc>
        <w:tc>
          <w:tcPr>
            <w:tcW w:w="2071" w:type="dxa"/>
          </w:tcPr>
          <w:p w:rsidR="00B507A4" w:rsidRPr="003C59D9" w:rsidRDefault="00FB6D81">
            <w:pPr>
              <w:pStyle w:val="Default"/>
              <w:rPr>
                <w:rFonts w:ascii="Calibri" w:hAnsi="Calibri"/>
                <w:sz w:val="22"/>
                <w:szCs w:val="22"/>
              </w:rPr>
            </w:pPr>
            <w:r>
              <w:rPr>
                <w:rFonts w:ascii="Calibri" w:hAnsi="Calibri"/>
                <w:sz w:val="22"/>
                <w:szCs w:val="22"/>
              </w:rPr>
              <w:t>7</w:t>
            </w:r>
            <w:r w:rsidR="00B507A4" w:rsidRPr="003C59D9">
              <w:rPr>
                <w:rFonts w:ascii="Calibri" w:hAnsi="Calibri"/>
                <w:sz w:val="22"/>
                <w:szCs w:val="22"/>
              </w:rPr>
              <w:t xml:space="preserve">0% </w:t>
            </w:r>
          </w:p>
        </w:tc>
      </w:tr>
      <w:tr w:rsidR="00B507A4" w:rsidRPr="003C59D9">
        <w:trPr>
          <w:gridAfter w:val="1"/>
          <w:wAfter w:w="732" w:type="dxa"/>
          <w:trHeight w:val="146"/>
        </w:trPr>
        <w:tc>
          <w:tcPr>
            <w:tcW w:w="2071" w:type="dxa"/>
            <w:gridSpan w:val="2"/>
          </w:tcPr>
          <w:p w:rsidR="00B507A4" w:rsidRPr="003C59D9" w:rsidRDefault="00B507A4">
            <w:pPr>
              <w:pStyle w:val="Default"/>
              <w:rPr>
                <w:rFonts w:ascii="Calibri" w:hAnsi="Calibri"/>
                <w:sz w:val="22"/>
                <w:szCs w:val="22"/>
              </w:rPr>
            </w:pPr>
            <w:r w:rsidRPr="003C59D9">
              <w:rPr>
                <w:rFonts w:ascii="Calibri" w:hAnsi="Calibri"/>
                <w:sz w:val="22"/>
                <w:szCs w:val="22"/>
              </w:rPr>
              <w:t xml:space="preserve">Quality </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2</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 xml:space="preserve">Methodology </w:t>
            </w:r>
          </w:p>
        </w:tc>
        <w:tc>
          <w:tcPr>
            <w:tcW w:w="2071" w:type="dxa"/>
          </w:tcPr>
          <w:p w:rsidR="00D05BFE" w:rsidRPr="003C59D9" w:rsidRDefault="00D05BFE">
            <w:pPr>
              <w:pStyle w:val="Default"/>
              <w:rPr>
                <w:rFonts w:ascii="Calibri" w:hAnsi="Calibri"/>
                <w:sz w:val="22"/>
                <w:szCs w:val="22"/>
              </w:rPr>
            </w:pPr>
            <w:r>
              <w:rPr>
                <w:rFonts w:ascii="Calibri" w:hAnsi="Calibri"/>
                <w:sz w:val="22"/>
                <w:szCs w:val="22"/>
              </w:rPr>
              <w:t>10%</w:t>
            </w:r>
          </w:p>
        </w:tc>
      </w:tr>
      <w:tr w:rsidR="00B507A4" w:rsidRPr="003C59D9">
        <w:trPr>
          <w:gridAfter w:val="1"/>
          <w:wAfter w:w="732" w:type="dxa"/>
          <w:trHeight w:val="146"/>
        </w:trPr>
        <w:tc>
          <w:tcPr>
            <w:tcW w:w="2071" w:type="dxa"/>
            <w:gridSpan w:val="2"/>
          </w:tcPr>
          <w:p w:rsidR="00B507A4" w:rsidRPr="003C59D9" w:rsidRDefault="00B507A4">
            <w:pPr>
              <w:pStyle w:val="Default"/>
              <w:rPr>
                <w:rFonts w:ascii="Calibri" w:hAnsi="Calibri"/>
                <w:sz w:val="22"/>
                <w:szCs w:val="22"/>
              </w:rPr>
            </w:pPr>
            <w:r w:rsidRPr="003C59D9">
              <w:rPr>
                <w:rFonts w:ascii="Calibri" w:hAnsi="Calibri"/>
                <w:sz w:val="22"/>
                <w:szCs w:val="22"/>
              </w:rPr>
              <w:t xml:space="preserve">Quality </w:t>
            </w:r>
          </w:p>
        </w:tc>
        <w:tc>
          <w:tcPr>
            <w:tcW w:w="2071" w:type="dxa"/>
          </w:tcPr>
          <w:p w:rsidR="00B507A4" w:rsidRPr="003C59D9" w:rsidRDefault="00D05BFE">
            <w:pPr>
              <w:pStyle w:val="Default"/>
              <w:rPr>
                <w:rFonts w:ascii="Calibri" w:hAnsi="Calibri"/>
                <w:sz w:val="22"/>
                <w:szCs w:val="22"/>
              </w:rPr>
            </w:pPr>
            <w:r>
              <w:rPr>
                <w:rFonts w:ascii="Calibri" w:hAnsi="Calibri"/>
                <w:sz w:val="22"/>
                <w:szCs w:val="22"/>
              </w:rPr>
              <w:t>3</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 xml:space="preserve">Knowledge </w:t>
            </w:r>
          </w:p>
        </w:tc>
        <w:tc>
          <w:tcPr>
            <w:tcW w:w="2071" w:type="dxa"/>
          </w:tcPr>
          <w:p w:rsidR="00B507A4" w:rsidRPr="003C59D9" w:rsidRDefault="00987189">
            <w:pPr>
              <w:pStyle w:val="Default"/>
              <w:rPr>
                <w:rFonts w:ascii="Calibri" w:hAnsi="Calibri"/>
                <w:sz w:val="22"/>
                <w:szCs w:val="22"/>
              </w:rPr>
            </w:pPr>
            <w:r>
              <w:rPr>
                <w:rFonts w:ascii="Calibri" w:hAnsi="Calibri"/>
                <w:sz w:val="22"/>
                <w:szCs w:val="22"/>
              </w:rPr>
              <w:t>10</w:t>
            </w:r>
            <w:r w:rsidR="00B507A4" w:rsidRPr="003C59D9">
              <w:rPr>
                <w:rFonts w:ascii="Calibri" w:hAnsi="Calibri"/>
                <w:sz w:val="22"/>
                <w:szCs w:val="22"/>
              </w:rPr>
              <w:t xml:space="preserve">% </w:t>
            </w:r>
          </w:p>
        </w:tc>
      </w:tr>
      <w:tr w:rsidR="00B507A4" w:rsidRPr="003C59D9">
        <w:trPr>
          <w:gridAfter w:val="1"/>
          <w:wAfter w:w="732" w:type="dxa"/>
          <w:trHeight w:val="146"/>
        </w:trPr>
        <w:tc>
          <w:tcPr>
            <w:tcW w:w="2071" w:type="dxa"/>
            <w:gridSpan w:val="2"/>
          </w:tcPr>
          <w:p w:rsidR="00D55F73" w:rsidRPr="00E76D3D" w:rsidRDefault="00B507A4" w:rsidP="00E76D3D">
            <w:pPr>
              <w:pStyle w:val="Default"/>
              <w:rPr>
                <w:rFonts w:ascii="Calibri" w:hAnsi="Calibri"/>
                <w:sz w:val="22"/>
                <w:szCs w:val="22"/>
              </w:rPr>
            </w:pPr>
            <w:r w:rsidRPr="003C59D9">
              <w:rPr>
                <w:rFonts w:ascii="Calibri" w:hAnsi="Calibri"/>
                <w:sz w:val="22"/>
                <w:szCs w:val="22"/>
              </w:rPr>
              <w:t xml:space="preserve">Quality </w:t>
            </w:r>
          </w:p>
          <w:p w:rsidR="00D55F73" w:rsidRDefault="00D55F73" w:rsidP="00D55F73">
            <w:pPr>
              <w:pStyle w:val="NoSpacing"/>
              <w:rPr>
                <w:lang w:eastAsia="en-GB"/>
              </w:rPr>
            </w:pPr>
          </w:p>
          <w:p w:rsidR="00D05BFE" w:rsidRDefault="00D05BFE" w:rsidP="00D82CD9">
            <w:pPr>
              <w:rPr>
                <w:b/>
                <w:lang w:eastAsia="en-GB"/>
              </w:rPr>
            </w:pPr>
          </w:p>
          <w:p w:rsidR="00EE4FB9" w:rsidRPr="00D82CD9" w:rsidRDefault="00D55F73" w:rsidP="00D82CD9">
            <w:pPr>
              <w:rPr>
                <w:b/>
                <w:lang w:eastAsia="en-GB"/>
              </w:rPr>
            </w:pPr>
            <w:r>
              <w:rPr>
                <w:b/>
                <w:lang w:eastAsia="en-GB"/>
              </w:rPr>
              <w:t>Quality scoring:</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5</w:t>
            </w:r>
          </w:p>
        </w:tc>
        <w:tc>
          <w:tcPr>
            <w:tcW w:w="2071" w:type="dxa"/>
          </w:tcPr>
          <w:p w:rsidR="00B507A4" w:rsidRPr="003C59D9" w:rsidRDefault="00B507A4">
            <w:pPr>
              <w:pStyle w:val="Default"/>
              <w:rPr>
                <w:rFonts w:ascii="Calibri" w:hAnsi="Calibri"/>
                <w:sz w:val="22"/>
                <w:szCs w:val="22"/>
              </w:rPr>
            </w:pPr>
            <w:r w:rsidRPr="003C59D9">
              <w:rPr>
                <w:rFonts w:ascii="Calibri" w:hAnsi="Calibri"/>
                <w:sz w:val="22"/>
                <w:szCs w:val="22"/>
              </w:rPr>
              <w:t xml:space="preserve">Contingency </w:t>
            </w:r>
          </w:p>
        </w:tc>
        <w:tc>
          <w:tcPr>
            <w:tcW w:w="2071" w:type="dxa"/>
          </w:tcPr>
          <w:p w:rsidR="00B507A4" w:rsidRDefault="00987189">
            <w:pPr>
              <w:pStyle w:val="Default"/>
              <w:rPr>
                <w:rFonts w:ascii="Calibri" w:hAnsi="Calibri"/>
                <w:sz w:val="22"/>
                <w:szCs w:val="22"/>
              </w:rPr>
            </w:pPr>
            <w:r>
              <w:rPr>
                <w:rFonts w:ascii="Calibri" w:hAnsi="Calibri"/>
                <w:sz w:val="22"/>
                <w:szCs w:val="22"/>
              </w:rPr>
              <w:t>10</w:t>
            </w:r>
            <w:r w:rsidR="00B507A4" w:rsidRPr="003C59D9">
              <w:rPr>
                <w:rFonts w:ascii="Calibri" w:hAnsi="Calibri"/>
                <w:sz w:val="22"/>
                <w:szCs w:val="22"/>
              </w:rPr>
              <w:t xml:space="preserve">% </w:t>
            </w:r>
          </w:p>
          <w:p w:rsidR="005904C8" w:rsidRDefault="005904C8">
            <w:pPr>
              <w:pStyle w:val="Default"/>
              <w:rPr>
                <w:rFonts w:ascii="Calibri" w:hAnsi="Calibri"/>
                <w:sz w:val="22"/>
                <w:szCs w:val="22"/>
              </w:rPr>
            </w:pPr>
          </w:p>
          <w:p w:rsidR="005904C8" w:rsidRPr="003C59D9" w:rsidRDefault="005904C8">
            <w:pPr>
              <w:pStyle w:val="Default"/>
              <w:rPr>
                <w:rFonts w:ascii="Calibri" w:hAnsi="Calibri"/>
                <w:sz w:val="22"/>
                <w:szCs w:val="22"/>
              </w:rPr>
            </w:pP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0</w:t>
            </w:r>
          </w:p>
        </w:tc>
        <w:tc>
          <w:tcPr>
            <w:tcW w:w="81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 xml:space="preserve">The Question is not answered or the response is completely unacceptable.  </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10</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Extremely poor response – they have completely missed the point of the question.</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 xml:space="preserve">20 </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Very poor response and not wholly acceptable. Requires major revision to the response to make it acceptable.  Only partially answers the requirement, with major deficiencies and little relevant detail proposed.</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 xml:space="preserve">40 </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Poor response only partially satisfying the selection question requirements with deficiencies apparent.    Some useful evidence provided but response falls well short of expectations.  Low probability of being a capable supplier.</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lastRenderedPageBreak/>
              <w:t xml:space="preserve">60 </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 xml:space="preserve">Response is acceptable but remains basic and could have been expanded upon.  Response is sufficient but does not inspire.  </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 xml:space="preserve">80 </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5904C8" w:rsidTr="005904C8">
        <w:tblPrEx>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100</w:t>
            </w:r>
          </w:p>
        </w:tc>
        <w:tc>
          <w:tcPr>
            <w:tcW w:w="817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5904C8" w:rsidRPr="005904C8" w:rsidRDefault="005904C8">
            <w:pPr>
              <w:jc w:val="both"/>
              <w:rPr>
                <w:rFonts w:asciiTheme="minorHAnsi" w:eastAsiaTheme="minorHAnsi" w:hAnsiTheme="minorHAnsi" w:cs="Arial"/>
                <w:color w:val="000000"/>
              </w:rPr>
            </w:pPr>
            <w:r w:rsidRPr="005904C8">
              <w:rPr>
                <w:rFonts w:asciiTheme="minorHAnsi" w:hAnsiTheme="minorHAnsi"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rsidR="00B507A4" w:rsidRDefault="00B507A4" w:rsidP="00DC2D30">
      <w:pPr>
        <w:pStyle w:val="NoSpacing"/>
      </w:pPr>
    </w:p>
    <w:p w:rsidR="005904C8" w:rsidRPr="00E76D3D" w:rsidRDefault="00E76D3D" w:rsidP="00DC2D30">
      <w:pPr>
        <w:pStyle w:val="NoSpacing"/>
        <w:rPr>
          <w:rFonts w:asciiTheme="minorHAnsi" w:hAnsiTheme="minorHAnsi"/>
          <w:b/>
        </w:rPr>
      </w:pPr>
      <w:r w:rsidRPr="00E76D3D">
        <w:rPr>
          <w:rFonts w:asciiTheme="minorHAnsi" w:hAnsiTheme="minorHAnsi"/>
          <w:b/>
        </w:rPr>
        <w:t>Price Scoring:</w:t>
      </w:r>
    </w:p>
    <w:p w:rsidR="00E76D3D" w:rsidRPr="00E76D3D" w:rsidRDefault="00E76D3D" w:rsidP="00DC2D30">
      <w:pPr>
        <w:pStyle w:val="NoSpacing"/>
        <w:rPr>
          <w:rFonts w:asciiTheme="minorHAnsi" w:hAnsiTheme="minorHAnsi"/>
        </w:rPr>
      </w:pPr>
    </w:p>
    <w:p w:rsidR="00E76D3D" w:rsidRDefault="00E76D3D" w:rsidP="00E76D3D">
      <w:pPr>
        <w:autoSpaceDE w:val="0"/>
        <w:autoSpaceDN w:val="0"/>
        <w:adjustRightInd w:val="0"/>
        <w:spacing w:after="0" w:line="240" w:lineRule="auto"/>
        <w:rPr>
          <w:rFonts w:asciiTheme="minorHAnsi" w:hAnsiTheme="minorHAnsi" w:cs="Arial"/>
          <w:color w:val="000000"/>
          <w:lang w:eastAsia="en-GB"/>
        </w:rPr>
      </w:pPr>
      <w:r w:rsidRPr="00E76D3D">
        <w:rPr>
          <w:rFonts w:asciiTheme="minorHAnsi" w:hAnsiTheme="minorHAnsi" w:cs="Arial"/>
          <w:color w:val="000000"/>
          <w:lang w:eastAsia="en-GB"/>
        </w:rPr>
        <w:t xml:space="preserve">Where an evaluation criterion is worth 10% then the 0-100 score achieved will be multiplied by 10. </w:t>
      </w:r>
    </w:p>
    <w:p w:rsidR="00E76D3D" w:rsidRPr="00E76D3D" w:rsidRDefault="00E76D3D" w:rsidP="00E76D3D">
      <w:pPr>
        <w:autoSpaceDE w:val="0"/>
        <w:autoSpaceDN w:val="0"/>
        <w:adjustRightInd w:val="0"/>
        <w:spacing w:after="0" w:line="240" w:lineRule="auto"/>
        <w:rPr>
          <w:rFonts w:asciiTheme="minorHAnsi" w:hAnsiTheme="minorHAnsi" w:cs="Arial"/>
          <w:color w:val="000000"/>
          <w:lang w:eastAsia="en-GB"/>
        </w:rPr>
      </w:pPr>
    </w:p>
    <w:p w:rsidR="00E76D3D" w:rsidRPr="00E76D3D" w:rsidRDefault="00E76D3D" w:rsidP="00E76D3D">
      <w:pPr>
        <w:pStyle w:val="NoSpacing"/>
        <w:rPr>
          <w:rFonts w:asciiTheme="minorHAnsi" w:hAnsiTheme="minorHAnsi"/>
        </w:rPr>
      </w:pPr>
      <w:r w:rsidRPr="00E76D3D">
        <w:rPr>
          <w:rFonts w:asciiTheme="minorHAnsi" w:hAnsiTheme="minorHAnsi" w:cs="Arial"/>
          <w:b/>
          <w:bCs/>
          <w:color w:val="000000"/>
          <w:lang w:eastAsia="en-GB"/>
        </w:rPr>
        <w:t xml:space="preserve">Example </w:t>
      </w:r>
      <w:r w:rsidRPr="00E76D3D">
        <w:rPr>
          <w:rFonts w:asciiTheme="minorHAnsi" w:hAnsiTheme="minorHAnsi" w:cs="Arial"/>
          <w:color w:val="000000"/>
          <w:lang w:eastAsia="en-GB"/>
        </w:rPr>
        <w:t xml:space="preserve">if a Bidder scores 60 from the available 100 points this will equate to 6% by using the following calculation: Score/Total Points available multiplied by 10 (60/100 x 10 = 6) </w:t>
      </w:r>
    </w:p>
    <w:p w:rsidR="00E76D3D" w:rsidRPr="003C59D9" w:rsidRDefault="00E76D3D" w:rsidP="00DC2D30">
      <w:pPr>
        <w:pStyle w:val="NoSpacing"/>
      </w:pPr>
    </w:p>
    <w:p w:rsidR="003C59D9" w:rsidRPr="003C59D9" w:rsidRDefault="003C59D9" w:rsidP="00DC2D30">
      <w:pPr>
        <w:pStyle w:val="NoSpacing"/>
        <w:rPr>
          <w:b/>
        </w:rPr>
      </w:pPr>
      <w:r w:rsidRPr="003C59D9">
        <w:rPr>
          <w:b/>
        </w:rPr>
        <w:t>Quality questions:</w:t>
      </w:r>
    </w:p>
    <w:p w:rsidR="003C59D9" w:rsidRPr="003C59D9" w:rsidRDefault="003C59D9" w:rsidP="00DC2D30">
      <w:pPr>
        <w:pStyle w:val="NoSpacing"/>
      </w:pPr>
    </w:p>
    <w:p w:rsidR="003C59D9" w:rsidRPr="003C59D9" w:rsidRDefault="003C59D9" w:rsidP="00DC2D30">
      <w:pPr>
        <w:pStyle w:val="NoSpacing"/>
        <w:rPr>
          <w:rStyle w:val="originalelement"/>
          <w:rFonts w:cs="Arial"/>
          <w:b/>
        </w:rPr>
      </w:pPr>
      <w:r w:rsidRPr="003C59D9">
        <w:rPr>
          <w:rStyle w:val="originalelement"/>
          <w:rFonts w:cs="Arial"/>
          <w:b/>
        </w:rPr>
        <w:t>Methodology –</w:t>
      </w:r>
      <w:r w:rsidR="004F21FB">
        <w:rPr>
          <w:rStyle w:val="originalelement"/>
          <w:rFonts w:cs="Arial"/>
          <w:b/>
        </w:rPr>
        <w:t xml:space="preserve"> Question 2</w:t>
      </w:r>
    </w:p>
    <w:p w:rsidR="003C59D9" w:rsidRPr="003C59D9" w:rsidRDefault="003C59D9" w:rsidP="00DC2D30">
      <w:pPr>
        <w:pStyle w:val="NoSpacing"/>
        <w:rPr>
          <w:rStyle w:val="originalelement"/>
          <w:rFonts w:cs="Arial"/>
        </w:rPr>
      </w:pPr>
    </w:p>
    <w:p w:rsidR="003C59D9" w:rsidRPr="00D05BFE" w:rsidRDefault="003C59D9" w:rsidP="00DC2D30">
      <w:pPr>
        <w:pStyle w:val="NoSpacing"/>
        <w:rPr>
          <w:rStyle w:val="originalelement"/>
          <w:rFonts w:cs="Arial"/>
          <w:i/>
        </w:rPr>
      </w:pPr>
      <w:r w:rsidRPr="003C59D9">
        <w:rPr>
          <w:rStyle w:val="originalelement"/>
          <w:rFonts w:cs="Arial"/>
        </w:rPr>
        <w:t xml:space="preserve"> </w:t>
      </w:r>
      <w:r w:rsidRPr="00900DB5">
        <w:rPr>
          <w:rStyle w:val="originalelement"/>
          <w:rFonts w:cs="Arial"/>
          <w:b/>
        </w:rPr>
        <w:t>Please provide a comprehensive methodology of how you will meet the requirements set out in the specification</w:t>
      </w:r>
      <w:r w:rsidRPr="00900DB5">
        <w:rPr>
          <w:rFonts w:cs="Arial"/>
          <w:b/>
        </w:rPr>
        <w:br/>
      </w:r>
      <w:r w:rsidRPr="003C59D9">
        <w:rPr>
          <w:rFonts w:cs="Arial"/>
        </w:rPr>
        <w:br/>
      </w:r>
      <w:r w:rsidRPr="005648A0">
        <w:rPr>
          <w:rStyle w:val="originalelement"/>
          <w:rFonts w:cs="Arial"/>
          <w:i/>
        </w:rPr>
        <w:t xml:space="preserve">Bidder guidance - The bidder should detail clearly how their bid will meet the requirements including (but not limited to) details of the approach to be taken, the stages of development and the key considerations. </w:t>
      </w:r>
      <w:r w:rsidRPr="005648A0">
        <w:rPr>
          <w:rFonts w:cs="Arial"/>
          <w:i/>
        </w:rPr>
        <w:br/>
      </w:r>
      <w:r w:rsidRPr="005648A0">
        <w:rPr>
          <w:rFonts w:cs="Arial"/>
          <w:i/>
        </w:rPr>
        <w:br/>
      </w:r>
      <w:r w:rsidRPr="005648A0">
        <w:rPr>
          <w:rStyle w:val="originalelement"/>
          <w:rFonts w:cs="Arial"/>
          <w:i/>
        </w:rPr>
        <w:t>Maximum word count: 1,000 words.</w:t>
      </w:r>
      <w:r w:rsidRPr="005648A0">
        <w:rPr>
          <w:rFonts w:cs="Arial"/>
          <w:i/>
        </w:rPr>
        <w:br/>
      </w:r>
      <w:r w:rsidRPr="005648A0">
        <w:rPr>
          <w:rFonts w:cs="Arial"/>
          <w:i/>
        </w:rPr>
        <w:br/>
      </w:r>
      <w:r w:rsidRPr="005648A0">
        <w:rPr>
          <w:rStyle w:val="originalelement"/>
          <w:rFonts w:cs="Arial"/>
          <w:i/>
        </w:rPr>
        <w:t>Bid responses over 1,000 words will only be scored based on the words within the prescribed limit.</w:t>
      </w:r>
      <w:r w:rsidRPr="005648A0">
        <w:rPr>
          <w:rFonts w:cs="Arial"/>
          <w:i/>
        </w:rPr>
        <w:br/>
      </w:r>
      <w:r w:rsidRPr="005648A0">
        <w:rPr>
          <w:rFonts w:cs="Arial"/>
          <w:i/>
        </w:rPr>
        <w:br/>
      </w:r>
      <w:r w:rsidRPr="005648A0">
        <w:rPr>
          <w:rStyle w:val="originalelement"/>
          <w:rFonts w:cs="Arial"/>
          <w:i/>
        </w:rPr>
        <w:t>Please ensure your response, if provided as an attachment, is in Word format so that the word count can be verified.</w:t>
      </w:r>
      <w:r w:rsidRPr="005648A0">
        <w:rPr>
          <w:rFonts w:cs="Arial"/>
          <w:i/>
        </w:rPr>
        <w:br/>
      </w:r>
      <w:r w:rsidRPr="005648A0">
        <w:rPr>
          <w:rFonts w:cs="Arial"/>
          <w:i/>
        </w:rPr>
        <w:br/>
      </w:r>
      <w:r w:rsidRPr="005648A0">
        <w:rPr>
          <w:rStyle w:val="originalelement"/>
          <w:rFonts w:cs="Arial"/>
          <w:i/>
        </w:rPr>
        <w:t>Scoring criteria - 0 – 100 Scoring Methodology.</w:t>
      </w:r>
      <w:r w:rsidRPr="005648A0">
        <w:rPr>
          <w:rFonts w:cs="Arial"/>
          <w:i/>
        </w:rPr>
        <w:br/>
      </w:r>
      <w:r w:rsidRPr="005648A0">
        <w:rPr>
          <w:rFonts w:cs="Arial"/>
          <w:i/>
        </w:rPr>
        <w:br/>
      </w:r>
      <w:r w:rsidR="00D05BFE">
        <w:rPr>
          <w:rStyle w:val="originalelement"/>
          <w:rFonts w:cs="Arial"/>
          <w:i/>
        </w:rPr>
        <w:t>Maximum Score = 10</w:t>
      </w:r>
      <w:r w:rsidR="004153EB">
        <w:rPr>
          <w:rStyle w:val="originalelement"/>
          <w:rFonts w:cs="Arial"/>
          <w:i/>
        </w:rPr>
        <w:t>% of over</w:t>
      </w:r>
      <w:r w:rsidRPr="005648A0">
        <w:rPr>
          <w:rStyle w:val="originalelement"/>
          <w:rFonts w:cs="Arial"/>
          <w:i/>
        </w:rPr>
        <w:t>all bid.</w:t>
      </w:r>
    </w:p>
    <w:p w:rsidR="003C59D9" w:rsidRDefault="003C59D9" w:rsidP="00DC2D30">
      <w:pPr>
        <w:pStyle w:val="NoSpacing"/>
        <w:rPr>
          <w:rStyle w:val="originalelement"/>
          <w:rFonts w:ascii="Arial" w:hAnsi="Arial" w:cs="Arial"/>
          <w:sz w:val="17"/>
          <w:szCs w:val="17"/>
        </w:rPr>
      </w:pPr>
    </w:p>
    <w:p w:rsidR="005648A0" w:rsidRDefault="005648A0" w:rsidP="00DC2D30">
      <w:pPr>
        <w:pStyle w:val="NoSpacing"/>
        <w:rPr>
          <w:rStyle w:val="originalelement"/>
          <w:rFonts w:asciiTheme="minorHAnsi" w:hAnsiTheme="minorHAnsi" w:cs="Arial"/>
          <w:b/>
        </w:rPr>
      </w:pPr>
    </w:p>
    <w:p w:rsidR="003C59D9" w:rsidRPr="003C59D9" w:rsidRDefault="003C59D9" w:rsidP="00DC2D30">
      <w:pPr>
        <w:pStyle w:val="NoSpacing"/>
        <w:rPr>
          <w:rStyle w:val="originalelement"/>
          <w:rFonts w:asciiTheme="minorHAnsi" w:hAnsiTheme="minorHAnsi" w:cs="Arial"/>
          <w:b/>
        </w:rPr>
      </w:pPr>
      <w:r w:rsidRPr="003C59D9">
        <w:rPr>
          <w:rStyle w:val="originalelement"/>
          <w:rFonts w:asciiTheme="minorHAnsi" w:hAnsiTheme="minorHAnsi" w:cs="Arial"/>
          <w:b/>
        </w:rPr>
        <w:t>Knowledge –</w:t>
      </w:r>
      <w:r w:rsidR="00D05BFE">
        <w:rPr>
          <w:rStyle w:val="originalelement"/>
          <w:rFonts w:asciiTheme="minorHAnsi" w:hAnsiTheme="minorHAnsi" w:cs="Arial"/>
          <w:b/>
        </w:rPr>
        <w:t xml:space="preserve"> Question 3</w:t>
      </w:r>
    </w:p>
    <w:p w:rsidR="003C59D9" w:rsidRDefault="003C59D9" w:rsidP="00DC2D30">
      <w:pPr>
        <w:pStyle w:val="NoSpacing"/>
        <w:rPr>
          <w:rStyle w:val="originalelement"/>
          <w:rFonts w:asciiTheme="minorHAnsi" w:hAnsiTheme="minorHAnsi" w:cs="Arial"/>
        </w:rPr>
      </w:pPr>
    </w:p>
    <w:p w:rsidR="00C744E6" w:rsidRDefault="003C59D9" w:rsidP="00DC2D30">
      <w:pPr>
        <w:pStyle w:val="NoSpacing"/>
        <w:rPr>
          <w:rStyle w:val="originalelement"/>
          <w:rFonts w:asciiTheme="minorHAnsi" w:hAnsiTheme="minorHAnsi" w:cs="Arial"/>
          <w:b/>
        </w:rPr>
      </w:pPr>
      <w:r w:rsidRPr="00900DB5">
        <w:rPr>
          <w:rStyle w:val="originalelement"/>
          <w:rFonts w:asciiTheme="minorHAnsi" w:hAnsiTheme="minorHAnsi" w:cs="Arial"/>
          <w:b/>
        </w:rPr>
        <w:t xml:space="preserve"> Please detail your knowledge of working and managing</w:t>
      </w:r>
      <w:r w:rsidR="00FE7CDE">
        <w:rPr>
          <w:rStyle w:val="originalelement"/>
          <w:rFonts w:asciiTheme="minorHAnsi" w:hAnsiTheme="minorHAnsi" w:cs="Arial"/>
          <w:b/>
        </w:rPr>
        <w:t xml:space="preserve"> similar Contracts o</w:t>
      </w:r>
      <w:r w:rsidRPr="00900DB5">
        <w:rPr>
          <w:rStyle w:val="originalelement"/>
          <w:rFonts w:asciiTheme="minorHAnsi" w:hAnsiTheme="minorHAnsi" w:cs="Arial"/>
          <w:b/>
        </w:rPr>
        <w:t>n Heavy Industrial Sites</w:t>
      </w:r>
      <w:r w:rsidRPr="00900DB5">
        <w:rPr>
          <w:rFonts w:asciiTheme="minorHAnsi" w:hAnsiTheme="minorHAnsi" w:cs="Arial"/>
          <w:b/>
        </w:rPr>
        <w:br/>
      </w:r>
      <w:r w:rsidRPr="005648A0">
        <w:rPr>
          <w:rFonts w:asciiTheme="minorHAnsi" w:hAnsiTheme="minorHAnsi" w:cs="Arial"/>
          <w:i/>
        </w:rPr>
        <w:br/>
      </w:r>
      <w:r w:rsidRPr="005648A0">
        <w:rPr>
          <w:rStyle w:val="originalelement"/>
          <w:rFonts w:asciiTheme="minorHAnsi" w:hAnsiTheme="minorHAnsi" w:cs="Arial"/>
          <w:i/>
        </w:rPr>
        <w:t>Bidder guidance - The Bidder is required to provide a detailed description on their knowledge of working within Heavy Industrial Site and how they would manage such an environment.</w:t>
      </w:r>
      <w:r w:rsidRPr="005648A0">
        <w:rPr>
          <w:rFonts w:asciiTheme="minorHAnsi" w:hAnsiTheme="minorHAnsi" w:cs="Arial"/>
          <w:i/>
        </w:rPr>
        <w:br/>
      </w:r>
      <w:r w:rsidRPr="005648A0">
        <w:rPr>
          <w:rFonts w:asciiTheme="minorHAnsi" w:hAnsiTheme="minorHAnsi" w:cs="Arial"/>
          <w:i/>
        </w:rPr>
        <w:br/>
      </w:r>
      <w:r w:rsidRPr="005648A0">
        <w:rPr>
          <w:rStyle w:val="originalelement"/>
          <w:rFonts w:asciiTheme="minorHAnsi" w:hAnsiTheme="minorHAnsi" w:cs="Arial"/>
          <w:i/>
        </w:rPr>
        <w:t>Maximum word count: 1,000 words.</w:t>
      </w:r>
      <w:r w:rsidRPr="005648A0">
        <w:rPr>
          <w:rFonts w:asciiTheme="minorHAnsi" w:hAnsiTheme="minorHAnsi" w:cs="Arial"/>
          <w:i/>
        </w:rPr>
        <w:br/>
      </w:r>
      <w:r w:rsidRPr="005648A0">
        <w:rPr>
          <w:rFonts w:asciiTheme="minorHAnsi" w:hAnsiTheme="minorHAnsi" w:cs="Arial"/>
          <w:i/>
        </w:rPr>
        <w:lastRenderedPageBreak/>
        <w:br/>
      </w:r>
      <w:r w:rsidRPr="005648A0">
        <w:rPr>
          <w:rStyle w:val="originalelement"/>
          <w:rFonts w:asciiTheme="minorHAnsi" w:hAnsiTheme="minorHAnsi" w:cs="Arial"/>
          <w:i/>
        </w:rPr>
        <w:t>Bid responses over 1,000 words will only be scored based on the words within the prescribed limit.</w:t>
      </w:r>
      <w:r w:rsidRPr="005648A0">
        <w:rPr>
          <w:rFonts w:asciiTheme="minorHAnsi" w:hAnsiTheme="minorHAnsi" w:cs="Arial"/>
          <w:i/>
        </w:rPr>
        <w:br/>
      </w:r>
      <w:r w:rsidRPr="005648A0">
        <w:rPr>
          <w:rFonts w:asciiTheme="minorHAnsi" w:hAnsiTheme="minorHAnsi" w:cs="Arial"/>
          <w:i/>
        </w:rPr>
        <w:br/>
      </w:r>
      <w:r w:rsidRPr="005648A0">
        <w:rPr>
          <w:rStyle w:val="originalelement"/>
          <w:rFonts w:asciiTheme="minorHAnsi" w:hAnsiTheme="minorHAnsi" w:cs="Arial"/>
          <w:i/>
        </w:rPr>
        <w:t>Please ensure your response, if provided as an attachment, is in Word format so that the word count can be verified.</w:t>
      </w:r>
      <w:r w:rsidRPr="005648A0">
        <w:rPr>
          <w:rFonts w:asciiTheme="minorHAnsi" w:hAnsiTheme="minorHAnsi" w:cs="Arial"/>
          <w:i/>
        </w:rPr>
        <w:br/>
      </w:r>
      <w:r w:rsidRPr="005648A0">
        <w:rPr>
          <w:rFonts w:asciiTheme="minorHAnsi" w:hAnsiTheme="minorHAnsi" w:cs="Arial"/>
          <w:i/>
        </w:rPr>
        <w:br/>
      </w:r>
      <w:r w:rsidRPr="005648A0">
        <w:rPr>
          <w:rStyle w:val="originalelement"/>
          <w:rFonts w:asciiTheme="minorHAnsi" w:hAnsiTheme="minorHAnsi" w:cs="Arial"/>
          <w:i/>
        </w:rPr>
        <w:t>Scoring criter</w:t>
      </w:r>
      <w:r w:rsidR="00D05BFE">
        <w:rPr>
          <w:rStyle w:val="originalelement"/>
          <w:rFonts w:asciiTheme="minorHAnsi" w:hAnsiTheme="minorHAnsi" w:cs="Arial"/>
          <w:i/>
        </w:rPr>
        <w:t>ia - 0 – 100 Scoring Knowledge</w:t>
      </w:r>
      <w:r w:rsidRPr="005648A0">
        <w:rPr>
          <w:rStyle w:val="originalelement"/>
          <w:rFonts w:asciiTheme="minorHAnsi" w:hAnsiTheme="minorHAnsi" w:cs="Arial"/>
          <w:i/>
        </w:rPr>
        <w:t>.</w:t>
      </w:r>
      <w:r w:rsidRPr="005648A0">
        <w:rPr>
          <w:rFonts w:asciiTheme="minorHAnsi" w:hAnsiTheme="minorHAnsi" w:cs="Arial"/>
          <w:i/>
        </w:rPr>
        <w:br/>
      </w:r>
      <w:r w:rsidRPr="005648A0">
        <w:rPr>
          <w:rFonts w:asciiTheme="minorHAnsi" w:hAnsiTheme="minorHAnsi" w:cs="Arial"/>
          <w:i/>
        </w:rPr>
        <w:br/>
      </w:r>
      <w:r w:rsidR="00786CC2">
        <w:rPr>
          <w:rStyle w:val="originalelement"/>
          <w:rFonts w:asciiTheme="minorHAnsi" w:hAnsiTheme="minorHAnsi" w:cs="Arial"/>
          <w:i/>
        </w:rPr>
        <w:t>Maximum Score = 10</w:t>
      </w:r>
      <w:r w:rsidRPr="005648A0">
        <w:rPr>
          <w:rStyle w:val="originalelement"/>
          <w:rFonts w:asciiTheme="minorHAnsi" w:hAnsiTheme="minorHAnsi" w:cs="Arial"/>
          <w:i/>
        </w:rPr>
        <w:t xml:space="preserve">% of </w:t>
      </w:r>
      <w:r w:rsidR="00B81C70" w:rsidRPr="005648A0">
        <w:rPr>
          <w:rStyle w:val="originalelement"/>
          <w:rFonts w:asciiTheme="minorHAnsi" w:hAnsiTheme="minorHAnsi" w:cs="Arial"/>
          <w:i/>
        </w:rPr>
        <w:t>overall</w:t>
      </w:r>
      <w:r w:rsidRPr="005648A0">
        <w:rPr>
          <w:rStyle w:val="originalelement"/>
          <w:rFonts w:asciiTheme="minorHAnsi" w:hAnsiTheme="minorHAnsi" w:cs="Arial"/>
          <w:i/>
        </w:rPr>
        <w:t xml:space="preserve"> bid.</w:t>
      </w:r>
      <w:r w:rsidRPr="005648A0">
        <w:rPr>
          <w:rFonts w:ascii="Arial" w:hAnsi="Arial" w:cs="Arial"/>
          <w:sz w:val="17"/>
          <w:szCs w:val="17"/>
        </w:rPr>
        <w:br/>
      </w:r>
      <w:r>
        <w:rPr>
          <w:rFonts w:ascii="Arial" w:hAnsi="Arial" w:cs="Arial"/>
          <w:sz w:val="17"/>
          <w:szCs w:val="17"/>
        </w:rPr>
        <w:br/>
      </w:r>
    </w:p>
    <w:p w:rsidR="004F21FB" w:rsidRDefault="004F21FB" w:rsidP="00DC2D30">
      <w:pPr>
        <w:pStyle w:val="NoSpacing"/>
        <w:rPr>
          <w:rStyle w:val="originalelement"/>
          <w:rFonts w:asciiTheme="minorHAnsi" w:hAnsiTheme="minorHAnsi" w:cs="Arial"/>
        </w:rPr>
      </w:pPr>
      <w:r w:rsidRPr="004F21FB">
        <w:rPr>
          <w:rStyle w:val="originalelement"/>
          <w:rFonts w:asciiTheme="minorHAnsi" w:hAnsiTheme="minorHAnsi" w:cs="Arial"/>
          <w:b/>
        </w:rPr>
        <w:t>Contingency –</w:t>
      </w:r>
      <w:r w:rsidR="00D05BFE">
        <w:rPr>
          <w:rStyle w:val="originalelement"/>
          <w:rFonts w:asciiTheme="minorHAnsi" w:hAnsiTheme="minorHAnsi" w:cs="Arial"/>
          <w:b/>
        </w:rPr>
        <w:t xml:space="preserve"> Question 4</w:t>
      </w:r>
    </w:p>
    <w:p w:rsidR="00C56D1F" w:rsidRDefault="00C56D1F" w:rsidP="00DC2D30">
      <w:pPr>
        <w:pStyle w:val="NoSpacing"/>
        <w:rPr>
          <w:rStyle w:val="originalelement"/>
          <w:rFonts w:asciiTheme="minorHAnsi" w:hAnsiTheme="minorHAnsi" w:cs="Arial"/>
        </w:rPr>
      </w:pPr>
    </w:p>
    <w:p w:rsidR="00271F88" w:rsidRDefault="00EB3EAE" w:rsidP="00DC2D30">
      <w:pPr>
        <w:pStyle w:val="NoSpacing"/>
        <w:rPr>
          <w:b/>
        </w:rPr>
      </w:pPr>
      <w:r>
        <w:rPr>
          <w:rStyle w:val="originalelement"/>
          <w:rFonts w:asciiTheme="minorHAnsi" w:hAnsiTheme="minorHAnsi" w:cs="Arial"/>
          <w:b/>
        </w:rPr>
        <w:t xml:space="preserve"> Please detail </w:t>
      </w:r>
      <w:r w:rsidR="004501FE">
        <w:rPr>
          <w:rStyle w:val="originalelement"/>
          <w:rFonts w:asciiTheme="minorHAnsi" w:hAnsiTheme="minorHAnsi" w:cs="Arial"/>
          <w:b/>
        </w:rPr>
        <w:t>how you would manage</w:t>
      </w:r>
      <w:r>
        <w:rPr>
          <w:rStyle w:val="originalelement"/>
          <w:rFonts w:asciiTheme="minorHAnsi" w:hAnsiTheme="minorHAnsi" w:cs="Arial"/>
          <w:b/>
        </w:rPr>
        <w:t xml:space="preserve"> resources to ensure agreed timescales are met.</w:t>
      </w:r>
      <w:r w:rsidR="004F21FB" w:rsidRPr="00900DB5">
        <w:rPr>
          <w:rFonts w:asciiTheme="minorHAnsi" w:hAnsiTheme="minorHAnsi" w:cs="Arial"/>
          <w:b/>
        </w:rPr>
        <w:br/>
      </w:r>
      <w:r w:rsidR="004F21FB" w:rsidRPr="004F21FB">
        <w:rPr>
          <w:rFonts w:asciiTheme="minorHAnsi" w:hAnsiTheme="minorHAnsi" w:cs="Arial"/>
        </w:rPr>
        <w:br/>
      </w:r>
      <w:r w:rsidR="004F21FB" w:rsidRPr="005648A0">
        <w:rPr>
          <w:rStyle w:val="originalelement"/>
          <w:rFonts w:asciiTheme="minorHAnsi" w:hAnsiTheme="minorHAnsi" w:cs="Arial"/>
          <w:i/>
        </w:rPr>
        <w:t xml:space="preserve">Bidder guidance - The Bidder is required to detail their ability to </w:t>
      </w:r>
      <w:r w:rsidR="00F20053">
        <w:rPr>
          <w:rStyle w:val="originalelement"/>
          <w:rFonts w:asciiTheme="minorHAnsi" w:hAnsiTheme="minorHAnsi" w:cs="Arial"/>
          <w:i/>
        </w:rPr>
        <w:t>ensure the required resources are available in order to meet agreed timescales.</w:t>
      </w:r>
      <w:r w:rsidR="004F21FB" w:rsidRPr="005648A0">
        <w:rPr>
          <w:rFonts w:asciiTheme="minorHAnsi" w:hAnsiTheme="minorHAnsi" w:cs="Arial"/>
          <w:i/>
        </w:rPr>
        <w:br/>
      </w:r>
      <w:r w:rsidR="004F21FB" w:rsidRPr="005648A0">
        <w:rPr>
          <w:rFonts w:asciiTheme="minorHAnsi" w:hAnsiTheme="minorHAnsi" w:cs="Arial"/>
          <w:i/>
        </w:rPr>
        <w:br/>
      </w:r>
      <w:r w:rsidR="00F20053">
        <w:rPr>
          <w:rStyle w:val="originalelement"/>
          <w:rFonts w:asciiTheme="minorHAnsi" w:hAnsiTheme="minorHAnsi" w:cs="Arial"/>
          <w:i/>
        </w:rPr>
        <w:t>Maximum word count: 500</w:t>
      </w:r>
      <w:r w:rsidR="004F21FB" w:rsidRPr="005648A0">
        <w:rPr>
          <w:rStyle w:val="originalelement"/>
          <w:rFonts w:asciiTheme="minorHAnsi" w:hAnsiTheme="minorHAnsi" w:cs="Arial"/>
          <w:i/>
        </w:rPr>
        <w:t xml:space="preserve"> words.</w:t>
      </w:r>
      <w:r w:rsidR="004F21FB" w:rsidRPr="005648A0">
        <w:rPr>
          <w:rFonts w:asciiTheme="minorHAnsi" w:hAnsiTheme="minorHAnsi" w:cs="Arial"/>
          <w:i/>
        </w:rPr>
        <w:br/>
      </w:r>
      <w:r w:rsidR="004F21FB" w:rsidRPr="005648A0">
        <w:rPr>
          <w:rFonts w:asciiTheme="minorHAnsi" w:hAnsiTheme="minorHAnsi" w:cs="Arial"/>
          <w:i/>
        </w:rPr>
        <w:br/>
      </w:r>
      <w:r w:rsidR="00F20053">
        <w:rPr>
          <w:rStyle w:val="originalelement"/>
          <w:rFonts w:asciiTheme="minorHAnsi" w:hAnsiTheme="minorHAnsi" w:cs="Arial"/>
          <w:i/>
        </w:rPr>
        <w:t xml:space="preserve">Bid responses over 500 </w:t>
      </w:r>
      <w:r w:rsidR="004F21FB" w:rsidRPr="005648A0">
        <w:rPr>
          <w:rStyle w:val="originalelement"/>
          <w:rFonts w:asciiTheme="minorHAnsi" w:hAnsiTheme="minorHAnsi" w:cs="Arial"/>
          <w:i/>
        </w:rPr>
        <w:t>words will only be scored based on the words within the prescribed limit.</w:t>
      </w:r>
      <w:r w:rsidR="004F21FB" w:rsidRPr="005648A0">
        <w:rPr>
          <w:rFonts w:asciiTheme="minorHAnsi" w:hAnsiTheme="minorHAnsi" w:cs="Arial"/>
          <w:i/>
        </w:rPr>
        <w:br/>
      </w:r>
      <w:r w:rsidR="004F21FB" w:rsidRPr="005648A0">
        <w:rPr>
          <w:rFonts w:asciiTheme="minorHAnsi" w:hAnsiTheme="minorHAnsi" w:cs="Arial"/>
          <w:i/>
        </w:rPr>
        <w:br/>
      </w:r>
      <w:r w:rsidR="004F21FB" w:rsidRPr="005648A0">
        <w:rPr>
          <w:rStyle w:val="originalelement"/>
          <w:rFonts w:asciiTheme="minorHAnsi" w:hAnsiTheme="minorHAnsi" w:cs="Arial"/>
          <w:i/>
        </w:rPr>
        <w:t>Please ensure your response, if provided as an attachment, is in Word format so that the word count can be verified.</w:t>
      </w:r>
      <w:r w:rsidR="004F21FB" w:rsidRPr="005648A0">
        <w:rPr>
          <w:rFonts w:asciiTheme="minorHAnsi" w:hAnsiTheme="minorHAnsi" w:cs="Arial"/>
          <w:i/>
        </w:rPr>
        <w:br/>
      </w:r>
      <w:r w:rsidR="004F21FB" w:rsidRPr="005648A0">
        <w:rPr>
          <w:rFonts w:asciiTheme="minorHAnsi" w:hAnsiTheme="minorHAnsi" w:cs="Arial"/>
          <w:i/>
        </w:rPr>
        <w:br/>
      </w:r>
      <w:r w:rsidR="004F21FB" w:rsidRPr="005648A0">
        <w:rPr>
          <w:rStyle w:val="originalelement"/>
          <w:rFonts w:asciiTheme="minorHAnsi" w:hAnsiTheme="minorHAnsi" w:cs="Arial"/>
          <w:i/>
        </w:rPr>
        <w:t>Scoring crite</w:t>
      </w:r>
      <w:r w:rsidR="00D05BFE">
        <w:rPr>
          <w:rStyle w:val="originalelement"/>
          <w:rFonts w:asciiTheme="minorHAnsi" w:hAnsiTheme="minorHAnsi" w:cs="Arial"/>
          <w:i/>
        </w:rPr>
        <w:t>ria - 0 – 100 Scoring Contingency</w:t>
      </w:r>
      <w:r w:rsidR="004F21FB" w:rsidRPr="005648A0">
        <w:rPr>
          <w:rStyle w:val="originalelement"/>
          <w:rFonts w:asciiTheme="minorHAnsi" w:hAnsiTheme="minorHAnsi" w:cs="Arial"/>
          <w:i/>
        </w:rPr>
        <w:t>.</w:t>
      </w:r>
      <w:r w:rsidR="004F21FB" w:rsidRPr="005648A0">
        <w:rPr>
          <w:rFonts w:asciiTheme="minorHAnsi" w:hAnsiTheme="minorHAnsi" w:cs="Arial"/>
          <w:i/>
        </w:rPr>
        <w:br/>
      </w:r>
      <w:r w:rsidR="004F21FB" w:rsidRPr="005648A0">
        <w:rPr>
          <w:rFonts w:asciiTheme="minorHAnsi" w:hAnsiTheme="minorHAnsi" w:cs="Arial"/>
          <w:i/>
        </w:rPr>
        <w:br/>
      </w:r>
      <w:r w:rsidR="00786CC2">
        <w:rPr>
          <w:rStyle w:val="originalelement"/>
          <w:rFonts w:asciiTheme="minorHAnsi" w:hAnsiTheme="minorHAnsi" w:cs="Arial"/>
          <w:i/>
        </w:rPr>
        <w:t>Maximum Score = 10</w:t>
      </w:r>
      <w:r w:rsidR="004F21FB" w:rsidRPr="005648A0">
        <w:rPr>
          <w:rStyle w:val="originalelement"/>
          <w:rFonts w:asciiTheme="minorHAnsi" w:hAnsiTheme="minorHAnsi" w:cs="Arial"/>
          <w:i/>
        </w:rPr>
        <w:t xml:space="preserve">% of </w:t>
      </w:r>
      <w:r w:rsidR="00B81C70" w:rsidRPr="005648A0">
        <w:rPr>
          <w:rStyle w:val="originalelement"/>
          <w:rFonts w:asciiTheme="minorHAnsi" w:hAnsiTheme="minorHAnsi" w:cs="Arial"/>
          <w:i/>
        </w:rPr>
        <w:t>overall</w:t>
      </w:r>
      <w:r w:rsidR="004F21FB" w:rsidRPr="005648A0">
        <w:rPr>
          <w:rStyle w:val="originalelement"/>
          <w:rFonts w:asciiTheme="minorHAnsi" w:hAnsiTheme="minorHAnsi" w:cs="Arial"/>
          <w:i/>
        </w:rPr>
        <w:t xml:space="preserve"> bid.</w:t>
      </w:r>
      <w:r w:rsidR="004F21FB" w:rsidRPr="005648A0">
        <w:rPr>
          <w:rFonts w:asciiTheme="minorHAnsi" w:hAnsiTheme="minorHAnsi" w:cs="Arial"/>
          <w:i/>
        </w:rPr>
        <w:br/>
      </w:r>
      <w:r w:rsidR="004F21FB" w:rsidRPr="004F21FB">
        <w:rPr>
          <w:rFonts w:asciiTheme="minorHAnsi" w:hAnsiTheme="minorHAnsi" w:cs="Arial"/>
        </w:rPr>
        <w:br/>
      </w:r>
      <w:r w:rsidR="004F21FB" w:rsidRPr="004F21FB">
        <w:rPr>
          <w:rStyle w:val="originalelement"/>
          <w:rFonts w:asciiTheme="minorHAnsi" w:hAnsiTheme="minorHAnsi" w:cs="Arial"/>
        </w:rPr>
        <w:t>Please confirm that you understand that by submitting your completed bid response, should you be awarded this contract, the pricing and installation timetable submitted will be non-negotiable.</w:t>
      </w:r>
      <w:r w:rsidR="004F21FB" w:rsidRPr="004F21FB">
        <w:rPr>
          <w:rFonts w:asciiTheme="minorHAnsi" w:hAnsiTheme="minorHAnsi" w:cs="Arial"/>
        </w:rPr>
        <w:br/>
      </w:r>
      <w:r w:rsidR="004F21FB" w:rsidRPr="004F21FB">
        <w:rPr>
          <w:rFonts w:asciiTheme="minorHAnsi" w:hAnsiTheme="minorHAnsi" w:cs="Arial"/>
        </w:rPr>
        <w:br/>
      </w:r>
      <w:r w:rsidR="004F21FB" w:rsidRPr="004F21FB">
        <w:rPr>
          <w:rStyle w:val="originalelement"/>
          <w:rFonts w:asciiTheme="minorHAnsi" w:hAnsiTheme="minorHAnsi" w:cs="Arial"/>
        </w:rPr>
        <w:t xml:space="preserve">There will be no allowance for lack of information or understanding of requirement. </w:t>
      </w:r>
      <w:r w:rsidR="004F21FB" w:rsidRPr="004F21FB">
        <w:rPr>
          <w:rFonts w:asciiTheme="minorHAnsi" w:hAnsiTheme="minorHAnsi" w:cs="Arial"/>
        </w:rPr>
        <w:br/>
      </w:r>
      <w:r w:rsidR="004F21FB" w:rsidRPr="004F21FB">
        <w:rPr>
          <w:rFonts w:asciiTheme="minorHAnsi" w:hAnsiTheme="minorHAnsi" w:cs="Arial"/>
        </w:rPr>
        <w:br/>
      </w:r>
      <w:r w:rsidR="004F21FB" w:rsidRPr="004F21FB">
        <w:rPr>
          <w:rStyle w:val="originalelement"/>
          <w:rFonts w:asciiTheme="minorHAnsi" w:hAnsiTheme="minorHAnsi" w:cs="Arial"/>
        </w:rPr>
        <w:t>Should you be awarded this Contract without having visited site</w:t>
      </w:r>
      <w:r w:rsidR="00271F88">
        <w:rPr>
          <w:rStyle w:val="originalelement"/>
          <w:rFonts w:asciiTheme="minorHAnsi" w:hAnsiTheme="minorHAnsi" w:cs="Arial"/>
        </w:rPr>
        <w:t xml:space="preserve"> (where applicable)</w:t>
      </w:r>
      <w:r w:rsidR="004F21FB" w:rsidRPr="004F21FB">
        <w:rPr>
          <w:rStyle w:val="originalelement"/>
          <w:rFonts w:asciiTheme="minorHAnsi" w:hAnsiTheme="minorHAnsi" w:cs="Arial"/>
        </w:rPr>
        <w:t xml:space="preserve"> and then find that there will be additional costs that you have not allowed for, these will have to be covered by your </w:t>
      </w:r>
      <w:proofErr w:type="gramStart"/>
      <w:r w:rsidR="004F21FB" w:rsidRPr="004F21FB">
        <w:rPr>
          <w:rStyle w:val="originalelement"/>
          <w:rFonts w:asciiTheme="minorHAnsi" w:hAnsiTheme="minorHAnsi" w:cs="Arial"/>
        </w:rPr>
        <w:t>company.</w:t>
      </w:r>
      <w:proofErr w:type="gramEnd"/>
      <w:r w:rsidR="004F21FB" w:rsidRPr="004F21FB">
        <w:rPr>
          <w:rStyle w:val="originalelement"/>
          <w:rFonts w:asciiTheme="minorHAnsi" w:hAnsiTheme="minorHAnsi" w:cs="Arial"/>
        </w:rPr>
        <w:t xml:space="preserve"> </w:t>
      </w:r>
      <w:r w:rsidR="004F21FB" w:rsidRPr="004F21FB">
        <w:rPr>
          <w:rFonts w:asciiTheme="minorHAnsi" w:hAnsiTheme="minorHAnsi" w:cs="Arial"/>
        </w:rPr>
        <w:br/>
      </w:r>
      <w:r w:rsidR="004F21FB" w:rsidRPr="004F21FB">
        <w:rPr>
          <w:rFonts w:asciiTheme="minorHAnsi" w:hAnsiTheme="minorHAnsi" w:cs="Arial"/>
        </w:rPr>
        <w:br/>
      </w:r>
      <w:r w:rsidR="004F21FB" w:rsidRPr="004F21FB">
        <w:rPr>
          <w:rStyle w:val="originalelement"/>
          <w:rFonts w:asciiTheme="minorHAnsi" w:hAnsiTheme="minorHAnsi" w:cs="Arial"/>
        </w:rPr>
        <w:t xml:space="preserve">For this reason we strongly advise that you have visited site and submitted any clarification questions to gain complete clarity of these Works </w:t>
      </w:r>
      <w:r w:rsidR="004F21FB" w:rsidRPr="004F21FB">
        <w:rPr>
          <w:rFonts w:asciiTheme="minorHAnsi" w:hAnsiTheme="minorHAnsi" w:cs="Arial"/>
        </w:rPr>
        <w:br/>
      </w:r>
      <w:r w:rsidR="004F21FB" w:rsidRPr="004F21FB">
        <w:rPr>
          <w:rFonts w:asciiTheme="minorHAnsi" w:hAnsiTheme="minorHAnsi" w:cs="Arial"/>
        </w:rPr>
        <w:br/>
      </w: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271F88" w:rsidRDefault="00271F88" w:rsidP="00DC2D30">
      <w:pPr>
        <w:pStyle w:val="NoSpacing"/>
        <w:rPr>
          <w:b/>
        </w:rPr>
      </w:pPr>
    </w:p>
    <w:p w:rsidR="003C59D9" w:rsidRDefault="00271F88" w:rsidP="00DC2D30">
      <w:pPr>
        <w:pStyle w:val="NoSpacing"/>
      </w:pPr>
      <w:r w:rsidRPr="00271F88">
        <w:rPr>
          <w:b/>
        </w:rPr>
        <w:t>Section 8:</w:t>
      </w:r>
      <w:r w:rsidRPr="00271F88">
        <w:rPr>
          <w:b/>
        </w:rPr>
        <w:tab/>
        <w:t>Contract/program duration</w:t>
      </w:r>
    </w:p>
    <w:p w:rsidR="00271F88" w:rsidRDefault="00271F88" w:rsidP="00DC2D30">
      <w:pPr>
        <w:pStyle w:val="NoSpacing"/>
      </w:pPr>
    </w:p>
    <w:p w:rsidR="00271F88" w:rsidRDefault="00271F88" w:rsidP="00271F88">
      <w:pPr>
        <w:pStyle w:val="NoSpacing"/>
        <w:rPr>
          <w:b/>
        </w:rPr>
      </w:pPr>
    </w:p>
    <w:p w:rsidR="00271F88" w:rsidRPr="003C59D9" w:rsidRDefault="00271F88" w:rsidP="00271F88">
      <w:pPr>
        <w:pStyle w:val="NoSpacing"/>
        <w:rPr>
          <w:b/>
        </w:rPr>
      </w:pPr>
      <w:r w:rsidRPr="003C59D9">
        <w:rPr>
          <w:b/>
        </w:rPr>
        <w:t>Programme / Contract Duration</w:t>
      </w:r>
    </w:p>
    <w:p w:rsidR="00271F88" w:rsidRPr="003C59D9" w:rsidRDefault="00271F88" w:rsidP="00271F88">
      <w:pPr>
        <w:pStyle w:val="NoSpacing"/>
        <w:rPr>
          <w:b/>
        </w:rPr>
      </w:pPr>
    </w:p>
    <w:p w:rsidR="00271F88" w:rsidRDefault="00271F88" w:rsidP="00271F88">
      <w:pPr>
        <w:pStyle w:val="NoSpacing"/>
        <w:numPr>
          <w:ilvl w:val="0"/>
          <w:numId w:val="14"/>
        </w:numPr>
      </w:pPr>
      <w:r>
        <w:t>Programme will be the delivery schedule, adding names and logo’s to the garments and expected delivery.</w:t>
      </w:r>
    </w:p>
    <w:p w:rsidR="00271F88" w:rsidRDefault="00271F88" w:rsidP="00271F88">
      <w:pPr>
        <w:pStyle w:val="NoSpacing"/>
        <w:ind w:left="720"/>
      </w:pPr>
    </w:p>
    <w:tbl>
      <w:tblPr>
        <w:tblStyle w:val="TableGrid"/>
        <w:tblW w:w="0" w:type="auto"/>
        <w:tblInd w:w="720" w:type="dxa"/>
        <w:tblLook w:val="04A0" w:firstRow="1" w:lastRow="0" w:firstColumn="1" w:lastColumn="0" w:noHBand="0" w:noVBand="1"/>
      </w:tblPr>
      <w:tblGrid>
        <w:gridCol w:w="1514"/>
        <w:gridCol w:w="1186"/>
        <w:gridCol w:w="1452"/>
        <w:gridCol w:w="1473"/>
        <w:gridCol w:w="1435"/>
        <w:gridCol w:w="1462"/>
      </w:tblGrid>
      <w:tr w:rsidR="00271F88" w:rsidTr="001651C3">
        <w:tc>
          <w:tcPr>
            <w:tcW w:w="1514" w:type="dxa"/>
          </w:tcPr>
          <w:p w:rsidR="00271F88" w:rsidRDefault="00271F88" w:rsidP="001651C3">
            <w:pPr>
              <w:pStyle w:val="NoSpacing"/>
            </w:pPr>
            <w:r>
              <w:t>Garment type</w:t>
            </w:r>
          </w:p>
        </w:tc>
        <w:tc>
          <w:tcPr>
            <w:tcW w:w="1186" w:type="dxa"/>
          </w:tcPr>
          <w:p w:rsidR="00271F88" w:rsidRDefault="00271F88" w:rsidP="001651C3">
            <w:pPr>
              <w:pStyle w:val="NoSpacing"/>
            </w:pPr>
            <w:r>
              <w:t>Lead-time for initial delivery (where items are not stock)</w:t>
            </w:r>
          </w:p>
        </w:tc>
        <w:tc>
          <w:tcPr>
            <w:tcW w:w="1452" w:type="dxa"/>
          </w:tcPr>
          <w:p w:rsidR="00271F88" w:rsidRDefault="00271F88" w:rsidP="001651C3">
            <w:pPr>
              <w:pStyle w:val="NoSpacing"/>
            </w:pPr>
            <w:r>
              <w:t>Addition of required logo(s)</w:t>
            </w:r>
          </w:p>
        </w:tc>
        <w:tc>
          <w:tcPr>
            <w:tcW w:w="1473" w:type="dxa"/>
          </w:tcPr>
          <w:p w:rsidR="00271F88" w:rsidRDefault="00271F88" w:rsidP="001651C3">
            <w:pPr>
              <w:pStyle w:val="NoSpacing"/>
            </w:pPr>
            <w:r>
              <w:t>Pack for despatch</w:t>
            </w:r>
          </w:p>
        </w:tc>
        <w:tc>
          <w:tcPr>
            <w:tcW w:w="1435" w:type="dxa"/>
          </w:tcPr>
          <w:p w:rsidR="00271F88" w:rsidRDefault="00271F88" w:rsidP="001651C3">
            <w:pPr>
              <w:pStyle w:val="NoSpacing"/>
            </w:pPr>
            <w:r>
              <w:t>Delivery</w:t>
            </w:r>
          </w:p>
        </w:tc>
        <w:tc>
          <w:tcPr>
            <w:tcW w:w="1462" w:type="dxa"/>
          </w:tcPr>
          <w:p w:rsidR="00271F88" w:rsidRDefault="00271F88" w:rsidP="001651C3">
            <w:pPr>
              <w:pStyle w:val="NoSpacing"/>
            </w:pPr>
            <w:r>
              <w:t>Total lead-time</w:t>
            </w:r>
          </w:p>
        </w:tc>
      </w:tr>
      <w:tr w:rsidR="00A7290D" w:rsidTr="001651C3">
        <w:tc>
          <w:tcPr>
            <w:tcW w:w="1514" w:type="dxa"/>
            <w:vAlign w:val="bottom"/>
          </w:tcPr>
          <w:p w:rsidR="00A7290D" w:rsidRDefault="00A7290D">
            <w:pPr>
              <w:rPr>
                <w:color w:val="000000"/>
              </w:rPr>
            </w:pPr>
            <w:r>
              <w:rPr>
                <w:color w:val="000000"/>
              </w:rPr>
              <w:t>Coverall EN ISO 11611 Class 1</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Coverall EN ISO 11611 Class 2</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proofErr w:type="spellStart"/>
            <w:r>
              <w:rPr>
                <w:color w:val="000000"/>
              </w:rPr>
              <w:t>Mens</w:t>
            </w:r>
            <w:proofErr w:type="spellEnd"/>
            <w:r>
              <w:rPr>
                <w:color w:val="000000"/>
              </w:rPr>
              <w:t xml:space="preserve"> Jacket standard (</w:t>
            </w:r>
            <w:proofErr w:type="spellStart"/>
            <w:r>
              <w:rPr>
                <w:color w:val="000000"/>
              </w:rPr>
              <w:t>non flame</w:t>
            </w:r>
            <w:proofErr w:type="spellEnd"/>
            <w:r>
              <w:rPr>
                <w:color w:val="000000"/>
              </w:rPr>
              <w:t xml:space="preserve"> retardant)</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Ladies Jacket standard (</w:t>
            </w:r>
            <w:proofErr w:type="spellStart"/>
            <w:r>
              <w:rPr>
                <w:color w:val="000000"/>
              </w:rPr>
              <w:t>non flame</w:t>
            </w:r>
            <w:proofErr w:type="spellEnd"/>
            <w:r>
              <w:rPr>
                <w:color w:val="000000"/>
              </w:rPr>
              <w:t xml:space="preserve"> retardant)</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proofErr w:type="spellStart"/>
            <w:r>
              <w:rPr>
                <w:color w:val="000000"/>
              </w:rPr>
              <w:t>Mens</w:t>
            </w:r>
            <w:proofErr w:type="spellEnd"/>
            <w:r>
              <w:rPr>
                <w:color w:val="000000"/>
              </w:rPr>
              <w:t xml:space="preserve"> Trouser standard (</w:t>
            </w:r>
            <w:proofErr w:type="spellStart"/>
            <w:r>
              <w:rPr>
                <w:color w:val="000000"/>
              </w:rPr>
              <w:t>non flame</w:t>
            </w:r>
            <w:proofErr w:type="spellEnd"/>
            <w:r>
              <w:rPr>
                <w:color w:val="000000"/>
              </w:rPr>
              <w:t xml:space="preserve"> retardant)</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Ladies Trouser standard (</w:t>
            </w:r>
            <w:proofErr w:type="spellStart"/>
            <w:r>
              <w:rPr>
                <w:color w:val="000000"/>
              </w:rPr>
              <w:t>non flame</w:t>
            </w:r>
            <w:proofErr w:type="spellEnd"/>
            <w:r>
              <w:rPr>
                <w:color w:val="000000"/>
              </w:rPr>
              <w:t xml:space="preserve"> retardant)</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proofErr w:type="spellStart"/>
            <w:r>
              <w:rPr>
                <w:color w:val="000000"/>
              </w:rPr>
              <w:t>Mens</w:t>
            </w:r>
            <w:proofErr w:type="spellEnd"/>
            <w:r>
              <w:rPr>
                <w:color w:val="000000"/>
              </w:rPr>
              <w:t xml:space="preserve"> Jacket FR EN 11612:2008 </w:t>
            </w:r>
            <w:r>
              <w:rPr>
                <w:color w:val="000000"/>
              </w:rPr>
              <w:lastRenderedPageBreak/>
              <w:t>A1 &amp; A2, B1, C1, F1</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proofErr w:type="spellStart"/>
            <w:r>
              <w:rPr>
                <w:color w:val="000000"/>
              </w:rPr>
              <w:lastRenderedPageBreak/>
              <w:t>Mens</w:t>
            </w:r>
            <w:proofErr w:type="spellEnd"/>
            <w:r>
              <w:rPr>
                <w:color w:val="000000"/>
              </w:rPr>
              <w:t xml:space="preserve"> Trousers FR EN 11612:2008 A1 &amp; A2, B1, C1, F1</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Unisex fleece EN 20471 class 3</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 xml:space="preserve">Unisex outer Hi </w:t>
            </w:r>
            <w:proofErr w:type="spellStart"/>
            <w:r>
              <w:rPr>
                <w:color w:val="000000"/>
              </w:rPr>
              <w:t>Viz</w:t>
            </w:r>
            <w:proofErr w:type="spellEnd"/>
            <w:r>
              <w:rPr>
                <w:color w:val="000000"/>
              </w:rPr>
              <w:t xml:space="preserve"> EN 20471 class 3</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 xml:space="preserve">Unisex Bomber Hi </w:t>
            </w:r>
            <w:proofErr w:type="spellStart"/>
            <w:r>
              <w:rPr>
                <w:color w:val="000000"/>
              </w:rPr>
              <w:t>Viz</w:t>
            </w:r>
            <w:proofErr w:type="spellEnd"/>
            <w:r>
              <w:rPr>
                <w:color w:val="000000"/>
              </w:rPr>
              <w:t xml:space="preserve"> EN 20471 class 3</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Hard hat EN 397:2012 with 440V ac &amp; LD</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r w:rsidR="00A7290D" w:rsidTr="001651C3">
        <w:tc>
          <w:tcPr>
            <w:tcW w:w="1514" w:type="dxa"/>
            <w:vAlign w:val="bottom"/>
          </w:tcPr>
          <w:p w:rsidR="00A7290D" w:rsidRDefault="00A7290D">
            <w:pPr>
              <w:rPr>
                <w:color w:val="000000"/>
              </w:rPr>
            </w:pPr>
            <w:r>
              <w:rPr>
                <w:color w:val="000000"/>
              </w:rPr>
              <w:t>Hard hat EN 397:2012 with 440V ac &amp; LD &amp; MM</w:t>
            </w:r>
          </w:p>
        </w:tc>
        <w:tc>
          <w:tcPr>
            <w:tcW w:w="1186" w:type="dxa"/>
          </w:tcPr>
          <w:p w:rsidR="00A7290D" w:rsidRDefault="00A7290D" w:rsidP="001651C3">
            <w:pPr>
              <w:pStyle w:val="NoSpacing"/>
            </w:pPr>
          </w:p>
        </w:tc>
        <w:tc>
          <w:tcPr>
            <w:tcW w:w="1452" w:type="dxa"/>
          </w:tcPr>
          <w:p w:rsidR="00A7290D" w:rsidRDefault="00A7290D" w:rsidP="001651C3">
            <w:pPr>
              <w:pStyle w:val="NoSpacing"/>
            </w:pPr>
          </w:p>
        </w:tc>
        <w:tc>
          <w:tcPr>
            <w:tcW w:w="1473" w:type="dxa"/>
          </w:tcPr>
          <w:p w:rsidR="00A7290D" w:rsidRDefault="00A7290D" w:rsidP="001651C3">
            <w:pPr>
              <w:pStyle w:val="NoSpacing"/>
            </w:pPr>
          </w:p>
        </w:tc>
        <w:tc>
          <w:tcPr>
            <w:tcW w:w="1435" w:type="dxa"/>
          </w:tcPr>
          <w:p w:rsidR="00A7290D" w:rsidRDefault="00A7290D" w:rsidP="001651C3">
            <w:pPr>
              <w:pStyle w:val="NoSpacing"/>
            </w:pPr>
          </w:p>
        </w:tc>
        <w:tc>
          <w:tcPr>
            <w:tcW w:w="1462" w:type="dxa"/>
          </w:tcPr>
          <w:p w:rsidR="00A7290D" w:rsidRDefault="00A7290D" w:rsidP="001651C3">
            <w:pPr>
              <w:pStyle w:val="NoSpacing"/>
            </w:pPr>
          </w:p>
        </w:tc>
      </w:tr>
    </w:tbl>
    <w:p w:rsidR="00271F88" w:rsidRPr="003C59D9" w:rsidRDefault="00271F88" w:rsidP="00271F88">
      <w:pPr>
        <w:pStyle w:val="NoSpacing"/>
        <w:ind w:left="720"/>
      </w:pPr>
    </w:p>
    <w:p w:rsidR="00271F88" w:rsidRPr="003C59D9" w:rsidRDefault="00271F88" w:rsidP="00271F88">
      <w:pPr>
        <w:pStyle w:val="NoSpacing"/>
        <w:rPr>
          <w:b/>
        </w:rPr>
      </w:pPr>
    </w:p>
    <w:p w:rsidR="00271F88" w:rsidRPr="003C59D9" w:rsidRDefault="00271F88" w:rsidP="00DC2D30">
      <w:pPr>
        <w:pStyle w:val="NoSpacing"/>
      </w:pPr>
    </w:p>
    <w:p w:rsidR="00B507A4" w:rsidRPr="003C59D9" w:rsidRDefault="00B507A4" w:rsidP="00DC2D30">
      <w:pPr>
        <w:pStyle w:val="NoSpacing"/>
      </w:pPr>
    </w:p>
    <w:p w:rsidR="005B4413" w:rsidRPr="003C59D9" w:rsidRDefault="00271F88" w:rsidP="00DC2D30">
      <w:pPr>
        <w:pStyle w:val="NoSpacing"/>
        <w:rPr>
          <w:b/>
        </w:rPr>
      </w:pPr>
      <w:r>
        <w:rPr>
          <w:b/>
        </w:rPr>
        <w:t>Section 9</w:t>
      </w:r>
      <w:r w:rsidR="00975443">
        <w:rPr>
          <w:b/>
        </w:rPr>
        <w:t>:</w:t>
      </w:r>
      <w:r w:rsidR="00975443">
        <w:rPr>
          <w:b/>
        </w:rPr>
        <w:tab/>
        <w:t xml:space="preserve">General </w:t>
      </w:r>
      <w:r w:rsidR="005B4413" w:rsidRPr="003C59D9">
        <w:rPr>
          <w:b/>
        </w:rPr>
        <w:t>Procurement</w:t>
      </w:r>
      <w:r w:rsidR="00527354">
        <w:rPr>
          <w:b/>
        </w:rPr>
        <w:t xml:space="preserve"> information</w:t>
      </w:r>
    </w:p>
    <w:p w:rsidR="00763E0B" w:rsidRPr="003C59D9" w:rsidRDefault="00763E0B" w:rsidP="00DC2D30">
      <w:pPr>
        <w:pStyle w:val="NoSpacing"/>
        <w:rPr>
          <w:b/>
        </w:rPr>
      </w:pPr>
    </w:p>
    <w:p w:rsidR="00844C7F" w:rsidRPr="003C59D9" w:rsidRDefault="00844C7F" w:rsidP="00DC2D30">
      <w:pPr>
        <w:pStyle w:val="NoSpacing"/>
      </w:pPr>
      <w:r w:rsidRPr="003C59D9">
        <w:t>Your contact for the S</w:t>
      </w:r>
      <w:r w:rsidR="00DC2D30" w:rsidRPr="003C59D9">
        <w:t>outh Tees Site Company</w:t>
      </w:r>
      <w:r w:rsidRPr="003C59D9">
        <w:t xml:space="preserve"> Procurement person whom you may contact to:</w:t>
      </w:r>
    </w:p>
    <w:p w:rsidR="00844C7F" w:rsidRPr="003C59D9" w:rsidRDefault="00844C7F" w:rsidP="00730552">
      <w:pPr>
        <w:pStyle w:val="NoSpacing"/>
        <w:numPr>
          <w:ilvl w:val="0"/>
          <w:numId w:val="9"/>
        </w:numPr>
      </w:pPr>
      <w:r w:rsidRPr="003C59D9">
        <w:t>Confirm the Tenderer intends to submit a tender.</w:t>
      </w:r>
    </w:p>
    <w:p w:rsidR="00E769AE" w:rsidRPr="003C59D9" w:rsidRDefault="00844C7F" w:rsidP="00E8099B">
      <w:pPr>
        <w:pStyle w:val="NoSpacing"/>
        <w:numPr>
          <w:ilvl w:val="0"/>
          <w:numId w:val="9"/>
        </w:numPr>
      </w:pPr>
      <w:r w:rsidRPr="003C59D9">
        <w:t>R</w:t>
      </w:r>
      <w:r w:rsidR="00DC2D30" w:rsidRPr="003C59D9">
        <w:t xml:space="preserve">aise any </w:t>
      </w:r>
      <w:r w:rsidRPr="003C59D9">
        <w:t>questions during the tender period.</w:t>
      </w:r>
    </w:p>
    <w:p w:rsidR="00844C7F" w:rsidRPr="003C59D9" w:rsidRDefault="00844C7F" w:rsidP="00730552">
      <w:pPr>
        <w:pStyle w:val="NoSpacing"/>
        <w:numPr>
          <w:ilvl w:val="0"/>
          <w:numId w:val="9"/>
        </w:numPr>
      </w:pPr>
      <w:r w:rsidRPr="003C59D9">
        <w:t>Return the completed tender.</w:t>
      </w:r>
    </w:p>
    <w:p w:rsidR="00844C7F" w:rsidRPr="003C59D9" w:rsidRDefault="00730552" w:rsidP="00DC2D30">
      <w:pPr>
        <w:pStyle w:val="NoSpacing"/>
      </w:pPr>
      <w:r w:rsidRPr="003C59D9">
        <w:t>Email:</w:t>
      </w:r>
      <w:r w:rsidRPr="003C59D9">
        <w:tab/>
      </w:r>
      <w:r w:rsidRPr="003C59D9">
        <w:tab/>
      </w:r>
      <w:r w:rsidR="0057607C" w:rsidRPr="0057607C">
        <w:rPr>
          <w:b/>
          <w:color w:val="548DD4" w:themeColor="text2" w:themeTint="99"/>
          <w:u w:val="single"/>
        </w:rPr>
        <w:t>procurement@stscltd.co.uk</w:t>
      </w:r>
    </w:p>
    <w:p w:rsidR="00730552" w:rsidRDefault="00730552" w:rsidP="00DC2D30">
      <w:pPr>
        <w:pStyle w:val="NoSpacing"/>
        <w:rPr>
          <w:highlight w:val="lightGray"/>
        </w:rPr>
      </w:pPr>
    </w:p>
    <w:p w:rsidR="00F65FF4" w:rsidRDefault="00F65FF4" w:rsidP="00DC2D30">
      <w:pPr>
        <w:pStyle w:val="NoSpacing"/>
        <w:rPr>
          <w:highlight w:val="lightGray"/>
        </w:rPr>
      </w:pPr>
    </w:p>
    <w:p w:rsidR="002F5615" w:rsidRPr="002F5615" w:rsidRDefault="002F5615" w:rsidP="002F5615">
      <w:pPr>
        <w:jc w:val="both"/>
        <w:rPr>
          <w:rFonts w:asciiTheme="minorHAnsi" w:hAnsiTheme="minorHAnsi" w:cs="Arial"/>
        </w:rPr>
      </w:pPr>
      <w:r w:rsidRPr="002F5615">
        <w:rPr>
          <w:rFonts w:asciiTheme="minorHAnsi" w:hAnsiTheme="minorHAnsi" w:cs="Arial"/>
        </w:rPr>
        <w:t>The Terms and Conditions published with this invitation to tender</w:t>
      </w:r>
      <w:r w:rsidR="001E3AF2">
        <w:rPr>
          <w:rFonts w:asciiTheme="minorHAnsi" w:hAnsiTheme="minorHAnsi" w:cs="Arial"/>
        </w:rPr>
        <w:t xml:space="preserve"> (below)</w:t>
      </w:r>
      <w:r w:rsidRPr="002F5615">
        <w:rPr>
          <w:rFonts w:asciiTheme="minorHAnsi" w:hAnsiTheme="minorHAnsi" w:cs="Arial"/>
        </w:rPr>
        <w:t xml:space="preserve"> on Contracts Finder will apply to this contract.</w:t>
      </w:r>
    </w:p>
    <w:p w:rsidR="00F65FF4" w:rsidRDefault="001E3AF2" w:rsidP="00DC2D30">
      <w:pPr>
        <w:pStyle w:val="NoSpacing"/>
        <w:rPr>
          <w:highlight w:val="lightGray"/>
        </w:rPr>
      </w:pPr>
      <w:r>
        <w:rPr>
          <w:highlight w:val="lightGray"/>
        </w:rPr>
        <w:object w:dxaOrig="1531" w:dyaOrig="990">
          <v:shape id="_x0000_i1026" type="#_x0000_t75" style="width:76.45pt;height:49.8pt" o:ole="">
            <v:imagedata r:id="rId15" o:title=""/>
          </v:shape>
          <o:OLEObject Type="Embed" ProgID="AcroExch.Document.DC" ShapeID="_x0000_i1026" DrawAspect="Icon" ObjectID="_1568795044" r:id="rId16"/>
        </w:object>
      </w:r>
    </w:p>
    <w:p w:rsidR="00DA406A" w:rsidRDefault="00DA406A" w:rsidP="00DC2D30">
      <w:pPr>
        <w:pStyle w:val="NoSpacing"/>
        <w:rPr>
          <w:highlight w:val="lightGray"/>
        </w:rPr>
      </w:pPr>
    </w:p>
    <w:p w:rsidR="00DA406A" w:rsidRDefault="00DA406A" w:rsidP="00DC2D30">
      <w:pPr>
        <w:pStyle w:val="NoSpacing"/>
        <w:rPr>
          <w:highlight w:val="lightGray"/>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Default="00DA406A" w:rsidP="00DA406A">
      <w:pPr>
        <w:pStyle w:val="NoSpacing"/>
        <w:rPr>
          <w:rFonts w:asciiTheme="minorHAnsi" w:hAnsiTheme="minorHAnsi" w:cs="Arial"/>
          <w:b/>
        </w:rPr>
      </w:pPr>
    </w:p>
    <w:p w:rsidR="00DA406A" w:rsidRPr="00E84E53" w:rsidRDefault="00DA406A" w:rsidP="00DA406A">
      <w:pPr>
        <w:pStyle w:val="NoSpacing"/>
        <w:rPr>
          <w:rFonts w:asciiTheme="minorHAnsi" w:hAnsiTheme="minorHAnsi" w:cs="Arial"/>
          <w:b/>
        </w:rPr>
      </w:pPr>
      <w:r w:rsidRPr="00E84E53">
        <w:rPr>
          <w:rFonts w:asciiTheme="minorHAnsi" w:hAnsiTheme="minorHAnsi" w:cs="Arial"/>
          <w:b/>
        </w:rPr>
        <w:t>Declaration 1: Statement of non-collusion</w:t>
      </w:r>
    </w:p>
    <w:p w:rsidR="00DA406A" w:rsidRPr="00E84E53" w:rsidRDefault="00DA406A" w:rsidP="00DA406A">
      <w:pPr>
        <w:pStyle w:val="NoSpacing"/>
        <w:rPr>
          <w:rFonts w:asciiTheme="minorHAnsi" w:hAnsiTheme="minorHAnsi" w:cs="Arial"/>
          <w:b/>
        </w:rPr>
      </w:pPr>
    </w:p>
    <w:p w:rsidR="00DA406A" w:rsidRPr="00E84E53" w:rsidRDefault="00DA406A" w:rsidP="00DA406A">
      <w:pPr>
        <w:pStyle w:val="NoSpacing"/>
        <w:rPr>
          <w:rFonts w:asciiTheme="minorHAnsi" w:hAnsiTheme="minorHAnsi" w:cs="Arial"/>
        </w:rPr>
      </w:pPr>
      <w:r w:rsidRPr="00E84E53">
        <w:rPr>
          <w:rFonts w:asciiTheme="minorHAnsi" w:hAnsiTheme="minorHAnsi" w:cs="Arial"/>
        </w:rPr>
        <w:t>To: South Tees Site Company Limited</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 xml:space="preserve">1.  We recognise that the essence of competitive tendering is that </w:t>
      </w:r>
      <w:r>
        <w:rPr>
          <w:rFonts w:ascii="Arial" w:hAnsi="Arial" w:cs="Arial"/>
          <w:sz w:val="20"/>
          <w:szCs w:val="20"/>
        </w:rPr>
        <w:t>STSC</w:t>
      </w:r>
      <w:r w:rsidRPr="007C06AB">
        <w:rPr>
          <w:rFonts w:ascii="Arial" w:hAnsi="Arial" w:cs="Arial"/>
          <w:sz w:val="20"/>
          <w:szCs w:val="20"/>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2. We also certify that we have not done and undertake not to do at any time before the hour and date specified for the return of this tender any of the following acts:</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numPr>
          <w:ilvl w:val="0"/>
          <w:numId w:val="18"/>
        </w:numPr>
        <w:rPr>
          <w:rFonts w:ascii="Arial" w:hAnsi="Arial" w:cs="Arial"/>
          <w:sz w:val="20"/>
          <w:szCs w:val="20"/>
        </w:rPr>
      </w:pPr>
      <w:r w:rsidRPr="007C06AB">
        <w:rPr>
          <w:rFonts w:ascii="Arial" w:hAnsi="Arial" w:cs="Arial"/>
          <w:sz w:val="20"/>
          <w:szCs w:val="20"/>
        </w:rPr>
        <w:t xml:space="preserve">communicate to any person other than </w:t>
      </w:r>
      <w:r>
        <w:rPr>
          <w:rFonts w:ascii="Arial" w:hAnsi="Arial" w:cs="Arial"/>
          <w:sz w:val="20"/>
          <w:szCs w:val="20"/>
        </w:rPr>
        <w:t>STSC</w:t>
      </w:r>
      <w:r w:rsidRPr="007C06AB">
        <w:rPr>
          <w:rFonts w:ascii="Arial" w:hAnsi="Arial" w:cs="Arial"/>
          <w:sz w:val="20"/>
          <w:szCs w:val="20"/>
        </w:rPr>
        <w:t xml:space="preserve"> the amount or approximate amount of our proposed tender, except where the disclosure, in confidence, of the approximate amount is necessary to obtain any insurance premium quotation required for the preparation of the tender;</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numPr>
          <w:ilvl w:val="0"/>
          <w:numId w:val="18"/>
        </w:numPr>
        <w:rPr>
          <w:rFonts w:ascii="Arial" w:hAnsi="Arial" w:cs="Arial"/>
          <w:sz w:val="20"/>
          <w:szCs w:val="20"/>
        </w:rPr>
      </w:pPr>
      <w:r w:rsidRPr="007C06AB">
        <w:rPr>
          <w:rFonts w:ascii="Arial" w:hAnsi="Arial" w:cs="Arial"/>
          <w:sz w:val="20"/>
          <w:szCs w:val="20"/>
        </w:rPr>
        <w:t>enter into any agreement or arrangement with any other person that he shall refrain for submitting a tender or as to the amount included in the tender;</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numPr>
          <w:ilvl w:val="0"/>
          <w:numId w:val="18"/>
        </w:numPr>
        <w:rPr>
          <w:rFonts w:ascii="Arial" w:hAnsi="Arial" w:cs="Arial"/>
          <w:sz w:val="20"/>
          <w:szCs w:val="20"/>
        </w:rPr>
      </w:pPr>
      <w:r w:rsidRPr="007C06AB">
        <w:rPr>
          <w:rFonts w:ascii="Arial" w:hAnsi="Arial" w:cs="Arial"/>
          <w:sz w:val="20"/>
          <w:szCs w:val="20"/>
        </w:rPr>
        <w:lastRenderedPageBreak/>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3. In this certificate, the word “person” shall include any person, body or association, corporate or unincorporated; and “any agreement or arrangement” includes any such information, formal or informal, whether legally binding or not.</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w:t>
      </w: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Signature (duly authorised on behalf of the tenderer)</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w:t>
      </w: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Print name</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w:t>
      </w: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On behalf of (organisation name)</w:t>
      </w: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w:t>
      </w:r>
    </w:p>
    <w:p w:rsidR="00DA406A" w:rsidRPr="007C06AB" w:rsidRDefault="00DA406A" w:rsidP="00DA406A">
      <w:pPr>
        <w:pStyle w:val="NoSpacing"/>
        <w:rPr>
          <w:rFonts w:ascii="Arial" w:hAnsi="Arial" w:cs="Arial"/>
          <w:sz w:val="20"/>
          <w:szCs w:val="20"/>
        </w:rPr>
      </w:pPr>
      <w:r w:rsidRPr="007C06AB">
        <w:rPr>
          <w:rFonts w:ascii="Arial" w:hAnsi="Arial" w:cs="Arial"/>
          <w:sz w:val="20"/>
          <w:szCs w:val="20"/>
        </w:rPr>
        <w:t>Date</w:t>
      </w:r>
    </w:p>
    <w:p w:rsidR="00DA406A" w:rsidRDefault="00DA406A" w:rsidP="00DA406A">
      <w:pPr>
        <w:pStyle w:val="NoSpacing"/>
        <w:rPr>
          <w:b/>
        </w:rPr>
      </w:pPr>
      <w:r w:rsidRPr="007C06AB">
        <w:rPr>
          <w:rFonts w:ascii="Arial" w:hAnsi="Arial" w:cs="Arial"/>
          <w:sz w:val="20"/>
          <w:szCs w:val="20"/>
        </w:rPr>
        <w:br w:type="page"/>
      </w:r>
    </w:p>
    <w:p w:rsidR="00F22DA9" w:rsidRPr="003C1B91" w:rsidRDefault="00F22DA9" w:rsidP="00F22DA9">
      <w:pPr>
        <w:pStyle w:val="NoSpacing"/>
        <w:rPr>
          <w:rFonts w:ascii="Arial" w:hAnsi="Arial" w:cs="Arial"/>
          <w:b/>
        </w:rPr>
      </w:pPr>
      <w:bookmarkStart w:id="7" w:name="_Toc405889395"/>
      <w:r w:rsidRPr="003C1B91">
        <w:rPr>
          <w:rFonts w:ascii="Arial" w:hAnsi="Arial" w:cs="Arial"/>
          <w:b/>
        </w:rPr>
        <w:lastRenderedPageBreak/>
        <w:t>Declaration 2: Form of Tender</w:t>
      </w:r>
      <w:bookmarkEnd w:id="7"/>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 xml:space="preserve">To: </w:t>
      </w:r>
      <w:r>
        <w:rPr>
          <w:rFonts w:ascii="Arial" w:hAnsi="Arial" w:cs="Arial"/>
          <w:sz w:val="20"/>
          <w:szCs w:val="20"/>
        </w:rPr>
        <w:t>South Tees Site Company Limited</w:t>
      </w:r>
      <w:r w:rsidRPr="003C1B91">
        <w:rPr>
          <w:rFonts w:ascii="Arial" w:hAnsi="Arial" w:cs="Arial"/>
          <w:sz w:val="20"/>
          <w:szCs w:val="20"/>
        </w:rPr>
        <w:t xml:space="preserve"> </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1. Having considered the invitation to tender and all accompanying documents</w:t>
      </w:r>
      <w:r>
        <w:rPr>
          <w:rFonts w:ascii="Arial" w:hAnsi="Arial" w:cs="Arial"/>
          <w:sz w:val="20"/>
          <w:szCs w:val="20"/>
        </w:rPr>
        <w:t xml:space="preserve"> </w:t>
      </w:r>
      <w:r w:rsidRPr="003C1B91">
        <w:rPr>
          <w:rFonts w:ascii="Arial" w:hAnsi="Arial" w:cs="Arial"/>
          <w:sz w:val="20"/>
          <w:szCs w:val="20"/>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2. We hereby tender and undertake to provide and complete all the services required to be performed in accordance with the terms and conditions of contract and the Specification for the amount set out in the Pricing Schedule.</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3. We agree that any insertion by us of any conditions qualifying this tender or any unauthorised alteration to any of the terms and conditions of contract made by us may result in the rejection of this tender.</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 xml:space="preserve">4. We agree that this tender shall remain open to be accepted by </w:t>
      </w:r>
      <w:r>
        <w:rPr>
          <w:rFonts w:ascii="Arial" w:hAnsi="Arial" w:cs="Arial"/>
          <w:sz w:val="20"/>
          <w:szCs w:val="20"/>
        </w:rPr>
        <w:t>STSC</w:t>
      </w:r>
      <w:r w:rsidRPr="003C1B91">
        <w:rPr>
          <w:rFonts w:ascii="Arial" w:hAnsi="Arial" w:cs="Arial"/>
          <w:sz w:val="20"/>
          <w:szCs w:val="20"/>
        </w:rPr>
        <w:t xml:space="preserve"> for </w:t>
      </w:r>
      <w:r w:rsidRPr="003C1B91">
        <w:rPr>
          <w:rFonts w:ascii="Arial" w:hAnsi="Arial" w:cs="Arial"/>
          <w:color w:val="FF0000"/>
          <w:sz w:val="20"/>
          <w:szCs w:val="20"/>
        </w:rPr>
        <w:t>8</w:t>
      </w:r>
      <w:r w:rsidRPr="003C1B91">
        <w:rPr>
          <w:rFonts w:ascii="Arial" w:hAnsi="Arial" w:cs="Arial"/>
          <w:sz w:val="20"/>
          <w:szCs w:val="20"/>
        </w:rPr>
        <w:t xml:space="preserve"> weeks from the date below.</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 xml:space="preserve">5. We understand that if we are a subsidiary (within the meaning of section 1159 of (and schedule 6 to) the Companies Act 2006) if requested by the Authority we may be required to secure a Deed of Guarantee in favour of </w:t>
      </w:r>
      <w:r>
        <w:rPr>
          <w:rFonts w:ascii="Arial" w:hAnsi="Arial" w:cs="Arial"/>
          <w:sz w:val="20"/>
          <w:szCs w:val="20"/>
        </w:rPr>
        <w:t>STSC</w:t>
      </w:r>
      <w:r w:rsidRPr="003C1B91">
        <w:rPr>
          <w:rFonts w:ascii="Arial" w:hAnsi="Arial" w:cs="Arial"/>
          <w:sz w:val="20"/>
          <w:szCs w:val="20"/>
        </w:rPr>
        <w:t xml:space="preserve"> from our holding company or ultimate holding company, as determined by </w:t>
      </w:r>
      <w:r>
        <w:rPr>
          <w:rFonts w:ascii="Arial" w:hAnsi="Arial" w:cs="Arial"/>
          <w:sz w:val="20"/>
          <w:szCs w:val="20"/>
        </w:rPr>
        <w:t>STSC</w:t>
      </w:r>
      <w:r w:rsidRPr="003C1B91">
        <w:rPr>
          <w:rFonts w:ascii="Arial" w:hAnsi="Arial" w:cs="Arial"/>
          <w:sz w:val="20"/>
          <w:szCs w:val="20"/>
        </w:rPr>
        <w:t xml:space="preserve"> in their discretion.</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 xml:space="preserve">6. We understand that </w:t>
      </w:r>
      <w:r>
        <w:rPr>
          <w:rFonts w:ascii="Arial" w:hAnsi="Arial" w:cs="Arial"/>
          <w:sz w:val="20"/>
          <w:szCs w:val="20"/>
        </w:rPr>
        <w:t>STSC</w:t>
      </w:r>
      <w:r w:rsidRPr="003C1B91">
        <w:rPr>
          <w:rFonts w:ascii="Arial" w:hAnsi="Arial" w:cs="Arial"/>
          <w:sz w:val="20"/>
          <w:szCs w:val="20"/>
        </w:rPr>
        <w:t xml:space="preserve"> is not bound to accept the lowest or any tender it may receive.</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7. We certify that this is a bona fide tender.</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Signature (duly authorised on behalf of the tenderer)</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Print name</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On behalf of (organisation name)</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Default="00F22DA9" w:rsidP="00F22DA9">
      <w:pPr>
        <w:pStyle w:val="NoSpacing"/>
        <w:rPr>
          <w:rFonts w:ascii="Arial" w:hAnsi="Arial" w:cs="Arial"/>
          <w:sz w:val="20"/>
          <w:szCs w:val="20"/>
        </w:rPr>
      </w:pPr>
      <w:r w:rsidRPr="003C1B91">
        <w:rPr>
          <w:rFonts w:ascii="Arial" w:hAnsi="Arial" w:cs="Arial"/>
          <w:sz w:val="20"/>
          <w:szCs w:val="20"/>
        </w:rPr>
        <w:t>Email address</w:t>
      </w:r>
    </w:p>
    <w:p w:rsidR="00F22DA9" w:rsidRPr="003C1B91" w:rsidRDefault="00F22DA9" w:rsidP="00F22DA9">
      <w:pPr>
        <w:pStyle w:val="NoSpacing"/>
        <w:rPr>
          <w:rFonts w:ascii="Arial" w:hAnsi="Arial" w:cs="Arial"/>
          <w:b/>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Default="00F22DA9" w:rsidP="00F22DA9">
      <w:pPr>
        <w:pStyle w:val="NoSpacing"/>
        <w:rPr>
          <w:rFonts w:ascii="Arial" w:hAnsi="Arial" w:cs="Arial"/>
          <w:sz w:val="20"/>
          <w:szCs w:val="20"/>
        </w:rPr>
      </w:pPr>
      <w:r w:rsidRPr="003C1B91">
        <w:rPr>
          <w:rFonts w:ascii="Arial" w:hAnsi="Arial" w:cs="Arial"/>
          <w:sz w:val="20"/>
          <w:szCs w:val="20"/>
        </w:rPr>
        <w:t>Telephone Number</w:t>
      </w:r>
    </w:p>
    <w:p w:rsidR="00F22DA9" w:rsidRPr="003C1B91" w:rsidRDefault="00F22DA9" w:rsidP="00F22DA9">
      <w:pPr>
        <w:pStyle w:val="NoSpacing"/>
        <w:rPr>
          <w:rFonts w:ascii="Arial" w:hAnsi="Arial" w:cs="Arial"/>
          <w:sz w:val="20"/>
          <w:szCs w:val="20"/>
        </w:rPr>
      </w:pPr>
    </w:p>
    <w:p w:rsidR="00F22DA9" w:rsidRPr="003C1B91" w:rsidRDefault="00F22DA9" w:rsidP="00F22DA9">
      <w:pPr>
        <w:pStyle w:val="NoSpacing"/>
        <w:rPr>
          <w:rFonts w:ascii="Arial" w:hAnsi="Arial" w:cs="Arial"/>
          <w:sz w:val="20"/>
          <w:szCs w:val="20"/>
        </w:rPr>
      </w:pPr>
      <w:r w:rsidRPr="003C1B91">
        <w:rPr>
          <w:rFonts w:ascii="Arial" w:hAnsi="Arial" w:cs="Arial"/>
          <w:sz w:val="20"/>
          <w:szCs w:val="20"/>
        </w:rPr>
        <w:t>………………………………………………………………………….</w:t>
      </w:r>
    </w:p>
    <w:p w:rsidR="00F22DA9" w:rsidRPr="003C1B91" w:rsidRDefault="00F22DA9" w:rsidP="00F22DA9">
      <w:pPr>
        <w:pStyle w:val="NoSpacing"/>
        <w:rPr>
          <w:rFonts w:ascii="Arial" w:hAnsi="Arial" w:cs="Arial"/>
          <w:b/>
          <w:sz w:val="20"/>
          <w:szCs w:val="20"/>
        </w:rPr>
      </w:pPr>
      <w:r w:rsidRPr="003C1B91">
        <w:rPr>
          <w:rFonts w:ascii="Arial" w:hAnsi="Arial" w:cs="Arial"/>
          <w:sz w:val="20"/>
          <w:szCs w:val="20"/>
        </w:rPr>
        <w:t>Date</w:t>
      </w:r>
    </w:p>
    <w:p w:rsidR="00F22DA9" w:rsidRPr="001A6487" w:rsidRDefault="00F22DA9" w:rsidP="00F22DA9">
      <w:pPr>
        <w:jc w:val="both"/>
        <w:rPr>
          <w:rFonts w:cs="Arial"/>
          <w:b/>
          <w:sz w:val="24"/>
          <w:szCs w:val="24"/>
        </w:rPr>
      </w:pPr>
    </w:p>
    <w:p w:rsidR="00DA406A" w:rsidRDefault="00DA406A"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F22DA9">
      <w:pPr>
        <w:pStyle w:val="NoSpacing"/>
        <w:rPr>
          <w:highlight w:val="lightGray"/>
        </w:rPr>
      </w:pPr>
    </w:p>
    <w:p w:rsidR="00B80648" w:rsidRDefault="00B80648" w:rsidP="00B80648">
      <w:pPr>
        <w:pStyle w:val="NoSpacing"/>
      </w:pPr>
      <w:bookmarkStart w:id="8" w:name="_Toc405889396"/>
    </w:p>
    <w:p w:rsidR="00B80648" w:rsidRPr="003C1B91" w:rsidRDefault="00B80648" w:rsidP="00B80648">
      <w:pPr>
        <w:pStyle w:val="NoSpacing"/>
        <w:rPr>
          <w:rFonts w:ascii="Arial" w:hAnsi="Arial" w:cs="Arial"/>
          <w:b/>
        </w:rPr>
      </w:pPr>
      <w:r w:rsidRPr="003C1B91">
        <w:rPr>
          <w:rFonts w:ascii="Arial" w:hAnsi="Arial" w:cs="Arial"/>
          <w:b/>
        </w:rPr>
        <w:lastRenderedPageBreak/>
        <w:t>Declaration 3: Conflict of Interest</w:t>
      </w:r>
      <w:bookmarkEnd w:id="8"/>
    </w:p>
    <w:p w:rsidR="00B80648" w:rsidRPr="003C1B91" w:rsidRDefault="00B80648" w:rsidP="00B80648">
      <w:pPr>
        <w:pStyle w:val="NoSpacing"/>
        <w:rPr>
          <w:rFonts w:ascii="Arial" w:hAnsi="Arial" w:cs="Arial"/>
          <w:b/>
          <w:color w:val="000000"/>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I have nothing to declare with respect to any current or potential interest or conflict in relation to this </w:t>
      </w:r>
      <w:r>
        <w:rPr>
          <w:rFonts w:ascii="Arial" w:hAnsi="Arial" w:cs="Arial"/>
          <w:sz w:val="20"/>
          <w:szCs w:val="20"/>
        </w:rPr>
        <w:t>tender</w:t>
      </w:r>
      <w:r w:rsidRPr="003C1B91">
        <w:rPr>
          <w:rFonts w:ascii="Arial" w:hAnsi="Arial" w:cs="Arial"/>
          <w:sz w:val="20"/>
          <w:szCs w:val="20"/>
        </w:rPr>
        <w:t xml:space="preserve"> (or any potential providers who may be subcontracted to deliver this work, their advisers or other related parties). By conflict of interest, I mean, anything which could be reasonably perceived to affect the impartiality of this </w:t>
      </w:r>
      <w:r>
        <w:rPr>
          <w:rFonts w:ascii="Arial" w:hAnsi="Arial" w:cs="Arial"/>
          <w:sz w:val="20"/>
          <w:szCs w:val="20"/>
        </w:rPr>
        <w:t>tender</w:t>
      </w:r>
      <w:r w:rsidRPr="003C1B91">
        <w:rPr>
          <w:rFonts w:ascii="Arial" w:hAnsi="Arial" w:cs="Arial"/>
          <w:sz w:val="20"/>
          <w:szCs w:val="20"/>
        </w:rPr>
        <w:t xml:space="preserve">, or to indicate a professional or personal interest in the outcomes from this </w:t>
      </w:r>
      <w:r>
        <w:rPr>
          <w:rFonts w:ascii="Arial" w:hAnsi="Arial" w:cs="Arial"/>
          <w:sz w:val="20"/>
          <w:szCs w:val="20"/>
        </w:rPr>
        <w:t>tender</w:t>
      </w:r>
      <w:r w:rsidRPr="003C1B91">
        <w:rPr>
          <w:rFonts w:ascii="Arial" w:hAnsi="Arial" w:cs="Arial"/>
          <w:sz w:val="20"/>
          <w:szCs w:val="20"/>
        </w:rPr>
        <w:t>.</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Signed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Name</w:t>
      </w:r>
      <w:r w:rsidRPr="003C1B91">
        <w:rPr>
          <w:rFonts w:ascii="Arial" w:hAnsi="Arial" w:cs="Arial"/>
          <w:sz w:val="20"/>
          <w:szCs w:val="20"/>
        </w:rPr>
        <w:tab/>
        <w:t>…………………………………….</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Position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b/>
          <w:i/>
          <w:sz w:val="20"/>
          <w:szCs w:val="20"/>
        </w:rPr>
      </w:pPr>
      <w:r w:rsidRPr="003C1B91">
        <w:rPr>
          <w:rFonts w:ascii="Arial" w:hAnsi="Arial" w:cs="Arial"/>
          <w:b/>
          <w:i/>
          <w:sz w:val="20"/>
          <w:szCs w:val="20"/>
        </w:rPr>
        <w:t>OR</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I wish to declare the following with respect to personal or professional interests related to relevant organisations*;</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X</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X</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i/>
          <w:sz w:val="20"/>
          <w:szCs w:val="20"/>
        </w:rPr>
      </w:pPr>
      <w:r w:rsidRPr="003C1B91">
        <w:rPr>
          <w:rFonts w:ascii="Arial" w:hAnsi="Arial" w:cs="Arial"/>
          <w:i/>
          <w:sz w:val="20"/>
          <w:szCs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X</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X</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Signed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Name</w:t>
      </w:r>
      <w:r w:rsidRPr="003C1B91">
        <w:rPr>
          <w:rFonts w:ascii="Arial" w:hAnsi="Arial" w:cs="Arial"/>
          <w:sz w:val="20"/>
          <w:szCs w:val="20"/>
        </w:rPr>
        <w:tab/>
        <w:t>…………………………………….</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Position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Please complete this form and return this with your ITT documentation - Nil returns </w:t>
      </w:r>
      <w:r w:rsidRPr="003C1B91">
        <w:rPr>
          <w:rFonts w:ascii="Arial" w:hAnsi="Arial" w:cs="Arial"/>
          <w:b/>
          <w:sz w:val="20"/>
          <w:szCs w:val="20"/>
        </w:rPr>
        <w:t>are</w:t>
      </w:r>
      <w:r w:rsidRPr="003C1B91">
        <w:rPr>
          <w:rFonts w:ascii="Arial" w:hAnsi="Arial" w:cs="Arial"/>
          <w:sz w:val="20"/>
          <w:szCs w:val="20"/>
        </w:rPr>
        <w:t xml:space="preserve"> required.</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b/>
          <w:sz w:val="20"/>
          <w:szCs w:val="20"/>
        </w:rPr>
        <w:t>*</w:t>
      </w:r>
      <w:r w:rsidRPr="003C1B91">
        <w:rPr>
          <w:rFonts w:ascii="Arial" w:hAnsi="Arial" w:cs="Arial"/>
          <w:sz w:val="20"/>
          <w:szCs w:val="20"/>
        </w:rPr>
        <w:t xml:space="preserve"> These may include (but are not restricted to);</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A professional or personal interest in the outcome of this research </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For evaluation projects, a close working, governance, or commercial involvement in the project under evaluation</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Current or past employment with relevant organisations</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Payment (cash or other) received or likely to be received from relevant organisations for goods or services provided (Including consulting or advisory fees)</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Gifts or entertainment received from relevant organisations</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Shareholdings (excluding those within unit trusts, pension funds etc.) in relevant organisations</w:t>
      </w: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Close personal relationship or friendships with individuals employed by or otherwise closely associated with relevant organisations </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b/>
          <w:i/>
          <w:sz w:val="20"/>
          <w:szCs w:val="20"/>
        </w:rPr>
      </w:pPr>
      <w:r w:rsidRPr="003C1B91">
        <w:rPr>
          <w:rFonts w:ascii="Arial" w:hAnsi="Arial" w:cs="Arial"/>
          <w:b/>
          <w:i/>
          <w:sz w:val="20"/>
          <w:szCs w:val="20"/>
        </w:rPr>
        <w:t>All of the above apply both to the individual signing this form and their close family / friends / partners etc.</w:t>
      </w:r>
    </w:p>
    <w:p w:rsidR="00B80648" w:rsidRPr="003C1B91"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If your situation changes during the project in terms of interests or conflicts, you must notify the OGA straight away.</w:t>
      </w:r>
    </w:p>
    <w:p w:rsidR="00B80648" w:rsidRDefault="00B80648" w:rsidP="00B80648">
      <w:pPr>
        <w:pStyle w:val="NoSpacing"/>
        <w:rPr>
          <w:rFonts w:ascii="Arial" w:hAnsi="Arial" w:cs="Arial"/>
          <w:sz w:val="20"/>
          <w:szCs w:val="20"/>
        </w:rPr>
      </w:pPr>
    </w:p>
    <w:p w:rsidR="00B80648" w:rsidRDefault="00B80648" w:rsidP="00B80648">
      <w:pPr>
        <w:pStyle w:val="NoSpacing"/>
        <w:rPr>
          <w:b/>
        </w:rPr>
      </w:pPr>
      <w:r w:rsidRPr="003C1B91">
        <w:rPr>
          <w:rFonts w:ascii="Arial" w:hAnsi="Arial" w:cs="Arial"/>
          <w:sz w:val="20"/>
          <w:szCs w:val="20"/>
        </w:rPr>
        <w:t>A DECLARATION OF INTEREST WILL NOT NECESSARILY MEAN THE INDIVIDUAL OR ORGANISATION CANNOT WORK ON THE PROJECT; BUT IT IS VITAL THAT ANY INTEREST OR CONFLICT IS DECLARED SO IT CAN BE CONSIDERED OPENLY.</w:t>
      </w:r>
      <w:r w:rsidRPr="00477171">
        <w:rPr>
          <w:rFonts w:cs="Calibri"/>
          <w:color w:val="000000"/>
        </w:rPr>
        <w:br w:type="page"/>
      </w:r>
    </w:p>
    <w:p w:rsidR="00B80648" w:rsidRPr="003C1B91" w:rsidRDefault="00B80648" w:rsidP="00B80648">
      <w:pPr>
        <w:pStyle w:val="NoSpacing"/>
        <w:rPr>
          <w:rFonts w:ascii="Arial" w:hAnsi="Arial" w:cs="Arial"/>
          <w:b/>
        </w:rPr>
      </w:pPr>
      <w:bookmarkStart w:id="9" w:name="_Toc405889397"/>
      <w:r>
        <w:rPr>
          <w:rFonts w:ascii="Arial" w:hAnsi="Arial" w:cs="Arial"/>
          <w:b/>
        </w:rPr>
        <w:lastRenderedPageBreak/>
        <w:t>Declaration 4: Questions for T</w:t>
      </w:r>
      <w:r w:rsidRPr="003C1B91">
        <w:rPr>
          <w:rFonts w:ascii="Arial" w:hAnsi="Arial" w:cs="Arial"/>
          <w:b/>
        </w:rPr>
        <w:t>enderers</w:t>
      </w:r>
      <w:bookmarkEnd w:id="9"/>
    </w:p>
    <w:p w:rsidR="00B80648" w:rsidRDefault="00B80648" w:rsidP="00B80648">
      <w:pPr>
        <w:pStyle w:val="NoSpacing"/>
        <w:rPr>
          <w:rFonts w:ascii="Arial" w:hAnsi="Arial" w:cs="Arial"/>
          <w:sz w:val="20"/>
          <w:szCs w:val="20"/>
        </w:rPr>
      </w:pPr>
    </w:p>
    <w:p w:rsidR="00B80648" w:rsidRPr="003C1B91" w:rsidRDefault="00B80648" w:rsidP="00B80648">
      <w:pPr>
        <w:pStyle w:val="NoSpacing"/>
        <w:rPr>
          <w:rFonts w:ascii="Arial" w:hAnsi="Arial" w:cs="Arial"/>
          <w:sz w:val="20"/>
          <w:szCs w:val="20"/>
        </w:rPr>
      </w:pPr>
      <w:r w:rsidRPr="003C1B91">
        <w:rPr>
          <w:rFonts w:ascii="Arial" w:hAnsi="Arial" w:cs="Arial"/>
          <w:sz w:val="20"/>
          <w:szCs w:val="20"/>
        </w:rPr>
        <w:t xml:space="preserve">In some circumstances </w:t>
      </w:r>
      <w:r>
        <w:rPr>
          <w:rFonts w:ascii="Arial" w:hAnsi="Arial" w:cs="Arial"/>
          <w:sz w:val="20"/>
          <w:szCs w:val="20"/>
        </w:rPr>
        <w:t>STSC</w:t>
      </w:r>
      <w:r w:rsidRPr="003C1B91">
        <w:rPr>
          <w:rFonts w:ascii="Arial" w:hAnsi="Arial" w:cs="Arial"/>
          <w:sz w:val="20"/>
          <w:szCs w:val="20"/>
        </w:rPr>
        <w:t xml:space="preserve"> is required by law to exclude you from participating further in procurement.  If you cannot answer ‘no’ to every question in this section it is very unlikely that your application will be accepted, and you should contact us for advice before completing this form.</w:t>
      </w:r>
    </w:p>
    <w:p w:rsidR="00B80648" w:rsidRPr="003C1B91" w:rsidRDefault="00B80648" w:rsidP="00B80648">
      <w:pPr>
        <w:pStyle w:val="NoSpacing"/>
        <w:rPr>
          <w:rFonts w:ascii="Arial" w:hAnsi="Arial" w:cs="Arial"/>
          <w:sz w:val="20"/>
          <w:szCs w:val="20"/>
        </w:rPr>
      </w:pPr>
    </w:p>
    <w:p w:rsidR="00B80648" w:rsidRDefault="00B80648" w:rsidP="00B80648">
      <w:pPr>
        <w:pStyle w:val="NoSpacing"/>
        <w:rPr>
          <w:rFonts w:ascii="Arial" w:hAnsi="Arial" w:cs="Arial"/>
          <w:sz w:val="20"/>
          <w:szCs w:val="20"/>
        </w:rPr>
      </w:pPr>
      <w:r w:rsidRPr="003C1B91">
        <w:rPr>
          <w:rFonts w:ascii="Arial" w:hAnsi="Arial" w:cs="Arial"/>
          <w:sz w:val="20"/>
          <w:szCs w:val="20"/>
        </w:rPr>
        <w:t>Please state ‘Yes’ or ‘No’ to each question.</w:t>
      </w:r>
    </w:p>
    <w:p w:rsidR="00B80648" w:rsidRPr="003C1B91" w:rsidRDefault="00B80648" w:rsidP="00B80648">
      <w:pPr>
        <w:pStyle w:val="NoSpacing"/>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B80648" w:rsidRPr="00666381" w:rsidTr="001651C3">
        <w:trPr>
          <w:trHeight w:val="778"/>
        </w:trPr>
        <w:tc>
          <w:tcPr>
            <w:tcW w:w="7905" w:type="dxa"/>
          </w:tcPr>
          <w:p w:rsidR="00B80648" w:rsidRPr="003C1B91" w:rsidRDefault="00B80648" w:rsidP="001651C3">
            <w:pPr>
              <w:rPr>
                <w:rFonts w:ascii="Arial" w:hAnsi="Arial" w:cs="Arial"/>
                <w:b/>
                <w:sz w:val="20"/>
                <w:szCs w:val="20"/>
              </w:rPr>
            </w:pPr>
            <w:r w:rsidRPr="003C1B91">
              <w:rPr>
                <w:rFonts w:ascii="Arial" w:hAnsi="Arial" w:cs="Arial"/>
                <w:b/>
                <w:sz w:val="20"/>
                <w:szCs w:val="20"/>
              </w:rPr>
              <w:t>Has your organisation or any directors or partner or any other person who has powers of representation, decision or control been convicted of any of the following offences?</w:t>
            </w:r>
          </w:p>
        </w:tc>
        <w:tc>
          <w:tcPr>
            <w:tcW w:w="1337" w:type="dxa"/>
          </w:tcPr>
          <w:p w:rsidR="00B80648" w:rsidRPr="00666381" w:rsidRDefault="00B80648" w:rsidP="001651C3">
            <w:pPr>
              <w:rPr>
                <w:rFonts w:cs="Arial"/>
                <w:b/>
                <w:sz w:val="24"/>
                <w:szCs w:val="24"/>
              </w:rPr>
            </w:pPr>
            <w:r w:rsidRPr="00666381">
              <w:rPr>
                <w:rFonts w:cs="Arial"/>
                <w:b/>
                <w:sz w:val="24"/>
                <w:szCs w:val="24"/>
              </w:rPr>
              <w:t>Answer</w:t>
            </w:r>
          </w:p>
        </w:tc>
      </w:tr>
      <w:tr w:rsidR="00B80648" w:rsidRPr="00666381" w:rsidTr="001651C3">
        <w:trPr>
          <w:trHeight w:val="1318"/>
        </w:trPr>
        <w:tc>
          <w:tcPr>
            <w:tcW w:w="7905" w:type="dxa"/>
          </w:tcPr>
          <w:p w:rsidR="00B80648" w:rsidRPr="003C1B91" w:rsidRDefault="00B80648" w:rsidP="00B80648">
            <w:pPr>
              <w:widowControl w:val="0"/>
              <w:numPr>
                <w:ilvl w:val="0"/>
                <w:numId w:val="19"/>
              </w:numPr>
              <w:tabs>
                <w:tab w:val="num" w:pos="0"/>
              </w:tabs>
              <w:overflowPunct w:val="0"/>
              <w:autoSpaceDE w:val="0"/>
              <w:autoSpaceDN w:val="0"/>
              <w:adjustRightInd w:val="0"/>
              <w:spacing w:after="0" w:line="240" w:lineRule="auto"/>
              <w:textAlignment w:val="baseline"/>
              <w:rPr>
                <w:rFonts w:ascii="Arial" w:hAnsi="Arial" w:cs="Arial"/>
                <w:sz w:val="20"/>
                <w:szCs w:val="20"/>
              </w:rPr>
            </w:pPr>
            <w:bookmarkStart w:id="10" w:name="_Ref380583878"/>
            <w:r w:rsidRPr="003C1B91">
              <w:rPr>
                <w:rFonts w:ascii="Arial" w:hAnsi="Arial"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10"/>
            <w:r w:rsidRPr="003C1B91">
              <w:rPr>
                <w:rFonts w:ascii="Arial" w:hAnsi="Arial" w:cs="Arial"/>
                <w:sz w:val="20"/>
                <w:szCs w:val="20"/>
              </w:rPr>
              <w:t xml:space="preserve"> </w:t>
            </w:r>
          </w:p>
        </w:tc>
        <w:tc>
          <w:tcPr>
            <w:tcW w:w="1337" w:type="dxa"/>
          </w:tcPr>
          <w:p w:rsidR="00B80648" w:rsidRPr="00666381" w:rsidRDefault="00B80648" w:rsidP="001651C3">
            <w:pPr>
              <w:rPr>
                <w:rFonts w:cs="Arial"/>
                <w:sz w:val="24"/>
                <w:szCs w:val="24"/>
              </w:rPr>
            </w:pPr>
          </w:p>
        </w:tc>
      </w:tr>
      <w:tr w:rsidR="00B80648" w:rsidRPr="00666381" w:rsidTr="001651C3">
        <w:trPr>
          <w:trHeight w:val="840"/>
        </w:trPr>
        <w:tc>
          <w:tcPr>
            <w:tcW w:w="7905" w:type="dxa"/>
          </w:tcPr>
          <w:p w:rsidR="00B80648" w:rsidRPr="003C1B91" w:rsidRDefault="00B80648" w:rsidP="00B80648">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corruption within the meaning of section 1(2) of the Public Bodies Corrupt Practices Act 1889 or section 1 of the Prevention of Corruption Act 1906; where the offence relates to active corruption;</w:t>
            </w:r>
          </w:p>
        </w:tc>
        <w:tc>
          <w:tcPr>
            <w:tcW w:w="1337" w:type="dxa"/>
          </w:tcPr>
          <w:p w:rsidR="00B80648" w:rsidRPr="00666381" w:rsidRDefault="00B80648" w:rsidP="001651C3">
            <w:pPr>
              <w:rPr>
                <w:rFonts w:cs="Arial"/>
                <w:sz w:val="24"/>
                <w:szCs w:val="24"/>
              </w:rPr>
            </w:pPr>
          </w:p>
        </w:tc>
      </w:tr>
      <w:tr w:rsidR="00B80648" w:rsidRPr="00666381" w:rsidTr="001651C3">
        <w:trPr>
          <w:trHeight w:val="426"/>
        </w:trPr>
        <w:tc>
          <w:tcPr>
            <w:tcW w:w="7905" w:type="dxa"/>
          </w:tcPr>
          <w:p w:rsidR="00B80648" w:rsidRPr="003C1B91" w:rsidRDefault="00B80648" w:rsidP="00B80648">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bribery, where the offence relates to active corruption;</w:t>
            </w:r>
          </w:p>
        </w:tc>
        <w:tc>
          <w:tcPr>
            <w:tcW w:w="1337" w:type="dxa"/>
          </w:tcPr>
          <w:p w:rsidR="00B80648" w:rsidRPr="00666381" w:rsidRDefault="00B80648" w:rsidP="001651C3">
            <w:pPr>
              <w:rPr>
                <w:rFonts w:cs="Arial"/>
                <w:sz w:val="24"/>
                <w:szCs w:val="24"/>
              </w:rPr>
            </w:pPr>
          </w:p>
        </w:tc>
      </w:tr>
      <w:tr w:rsidR="00B80648" w:rsidRPr="00666381" w:rsidTr="001651C3">
        <w:trPr>
          <w:trHeight w:val="448"/>
        </w:trPr>
        <w:tc>
          <w:tcPr>
            <w:tcW w:w="7905" w:type="dxa"/>
          </w:tcPr>
          <w:p w:rsidR="00B80648" w:rsidRPr="003C1B91" w:rsidRDefault="00B80648" w:rsidP="00B80648">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bribery within the meaning of section 1 or 6 of the Bribery Act      2010;</w:t>
            </w:r>
          </w:p>
        </w:tc>
        <w:tc>
          <w:tcPr>
            <w:tcW w:w="1337" w:type="dxa"/>
          </w:tcPr>
          <w:p w:rsidR="00B80648" w:rsidRPr="00666381" w:rsidRDefault="00B80648" w:rsidP="001651C3">
            <w:pPr>
              <w:rPr>
                <w:rFonts w:cs="Arial"/>
                <w:sz w:val="24"/>
                <w:szCs w:val="24"/>
              </w:rPr>
            </w:pPr>
          </w:p>
        </w:tc>
      </w:tr>
      <w:tr w:rsidR="00B80648" w:rsidRPr="00666381" w:rsidTr="001651C3">
        <w:trPr>
          <w:trHeight w:val="881"/>
        </w:trPr>
        <w:tc>
          <w:tcPr>
            <w:tcW w:w="7905" w:type="dxa"/>
          </w:tcPr>
          <w:p w:rsidR="00B80648" w:rsidRPr="003C1B91" w:rsidRDefault="00B80648" w:rsidP="00B80648">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B80648" w:rsidRPr="00666381" w:rsidRDefault="00B80648" w:rsidP="001651C3">
            <w:pPr>
              <w:rPr>
                <w:rFonts w:cs="Arial"/>
                <w:sz w:val="24"/>
                <w:szCs w:val="24"/>
              </w:rPr>
            </w:pPr>
          </w:p>
        </w:tc>
      </w:tr>
      <w:tr w:rsidR="00B80648" w:rsidRPr="00666381" w:rsidTr="001651C3">
        <w:trPr>
          <w:trHeight w:val="427"/>
        </w:trPr>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cheating the Revenue;</w:t>
            </w:r>
          </w:p>
        </w:tc>
        <w:tc>
          <w:tcPr>
            <w:tcW w:w="1337" w:type="dxa"/>
          </w:tcPr>
          <w:p w:rsidR="00B80648" w:rsidRPr="00666381" w:rsidRDefault="00B80648" w:rsidP="001651C3">
            <w:pPr>
              <w:rPr>
                <w:rFonts w:cs="Arial"/>
                <w:sz w:val="24"/>
                <w:szCs w:val="24"/>
              </w:rPr>
            </w:pPr>
          </w:p>
        </w:tc>
      </w:tr>
      <w:tr w:rsidR="00B80648" w:rsidRPr="00666381" w:rsidTr="001651C3">
        <w:trPr>
          <w:trHeight w:val="411"/>
        </w:trPr>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conspiracy to defraud;</w:t>
            </w:r>
          </w:p>
        </w:tc>
        <w:tc>
          <w:tcPr>
            <w:tcW w:w="1337" w:type="dxa"/>
          </w:tcPr>
          <w:p w:rsidR="00B80648" w:rsidRPr="00666381" w:rsidRDefault="00B80648" w:rsidP="001651C3">
            <w:pPr>
              <w:rPr>
                <w:rFonts w:cs="Arial"/>
                <w:sz w:val="24"/>
                <w:szCs w:val="24"/>
              </w:rPr>
            </w:pPr>
          </w:p>
        </w:tc>
      </w:tr>
      <w:tr w:rsidR="00B80648" w:rsidRPr="00666381" w:rsidTr="001651C3">
        <w:trPr>
          <w:trHeight w:val="612"/>
        </w:trPr>
        <w:tc>
          <w:tcPr>
            <w:tcW w:w="7905" w:type="dxa"/>
          </w:tcPr>
          <w:p w:rsidR="00B80648" w:rsidRPr="002423E2"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fraud or theft within the meaning of the </w:t>
            </w:r>
            <w:r w:rsidRPr="002423E2">
              <w:rPr>
                <w:rFonts w:ascii="Arial" w:hAnsi="Arial" w:cs="Arial"/>
                <w:sz w:val="20"/>
                <w:szCs w:val="20"/>
              </w:rPr>
              <w:t>Theft Act 1968</w:t>
            </w:r>
            <w:r w:rsidRPr="003C1B91">
              <w:rPr>
                <w:rFonts w:ascii="Arial" w:hAnsi="Arial" w:cs="Arial"/>
                <w:sz w:val="20"/>
                <w:szCs w:val="20"/>
              </w:rPr>
              <w:t>, the Theft Act (Northern Ireland) 1969, the Theft Act 1978 or the Theft (Northern Ireland) Order 1978;</w:t>
            </w:r>
          </w:p>
        </w:tc>
        <w:tc>
          <w:tcPr>
            <w:tcW w:w="1337" w:type="dxa"/>
          </w:tcPr>
          <w:p w:rsidR="00B80648" w:rsidRPr="00666381" w:rsidRDefault="00B80648" w:rsidP="001651C3">
            <w:pPr>
              <w:rPr>
                <w:rFonts w:cs="Arial"/>
                <w:sz w:val="24"/>
                <w:szCs w:val="24"/>
              </w:rPr>
            </w:pPr>
          </w:p>
        </w:tc>
      </w:tr>
      <w:tr w:rsidR="00B80648" w:rsidRPr="00666381" w:rsidTr="001651C3">
        <w:trPr>
          <w:trHeight w:val="834"/>
        </w:trPr>
        <w:tc>
          <w:tcPr>
            <w:tcW w:w="7905" w:type="dxa"/>
          </w:tcPr>
          <w:p w:rsidR="00B80648" w:rsidRPr="002423E2"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 fraudulent trading within the meaning of </w:t>
            </w:r>
            <w:r w:rsidRPr="002423E2">
              <w:rPr>
                <w:rFonts w:ascii="Arial" w:hAnsi="Arial" w:cs="Arial"/>
                <w:sz w:val="20"/>
                <w:szCs w:val="20"/>
              </w:rPr>
              <w:t>section 458</w:t>
            </w:r>
            <w:r w:rsidRPr="003C1B91">
              <w:rPr>
                <w:rFonts w:ascii="Arial" w:hAnsi="Arial" w:cs="Arial"/>
                <w:sz w:val="20"/>
                <w:szCs w:val="20"/>
              </w:rPr>
              <w:t xml:space="preserve"> of the Companies Act 1985, article 451 of the Companies (Northern Ireland) Order 1986 or section 993 of the Companies Act 2006; </w:t>
            </w:r>
          </w:p>
        </w:tc>
        <w:tc>
          <w:tcPr>
            <w:tcW w:w="1337" w:type="dxa"/>
          </w:tcPr>
          <w:p w:rsidR="00B80648" w:rsidRPr="00666381" w:rsidRDefault="00B80648" w:rsidP="001651C3">
            <w:pPr>
              <w:rPr>
                <w:rFonts w:cs="Arial"/>
                <w:sz w:val="24"/>
                <w:szCs w:val="24"/>
              </w:rPr>
            </w:pPr>
          </w:p>
        </w:tc>
      </w:tr>
      <w:tr w:rsidR="00B80648" w:rsidRPr="00666381" w:rsidTr="001651C3">
        <w:trPr>
          <w:trHeight w:val="704"/>
        </w:trPr>
        <w:tc>
          <w:tcPr>
            <w:tcW w:w="7905" w:type="dxa"/>
          </w:tcPr>
          <w:p w:rsidR="00B80648" w:rsidRPr="002423E2"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fraudulent evasion within the meaning of section 170 of the </w:t>
            </w:r>
            <w:r w:rsidRPr="002423E2">
              <w:rPr>
                <w:rFonts w:ascii="Arial" w:hAnsi="Arial" w:cs="Arial"/>
                <w:sz w:val="20"/>
                <w:szCs w:val="20"/>
              </w:rPr>
              <w:t>Customs and Excise Management Act 1979</w:t>
            </w:r>
            <w:r w:rsidRPr="003C1B91">
              <w:rPr>
                <w:rFonts w:ascii="Arial" w:hAnsi="Arial" w:cs="Arial"/>
                <w:sz w:val="20"/>
                <w:szCs w:val="20"/>
              </w:rPr>
              <w:t xml:space="preserve"> </w:t>
            </w:r>
            <w:r w:rsidRPr="002423E2">
              <w:rPr>
                <w:rFonts w:ascii="Arial" w:hAnsi="Arial" w:cs="Arial"/>
                <w:sz w:val="20"/>
                <w:szCs w:val="20"/>
              </w:rPr>
              <w:t xml:space="preserve"> or section 72 of the Value Added Tax Act 1994</w:t>
            </w:r>
            <w:r w:rsidRPr="003C1B91">
              <w:rPr>
                <w:rFonts w:ascii="Arial" w:hAnsi="Arial" w:cs="Arial"/>
                <w:sz w:val="20"/>
                <w:szCs w:val="20"/>
              </w:rPr>
              <w:t>;</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 an offence in connection with taxation in the European Union within the meaning of section 71 of the Criminal Justice Act 1993; </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ind w:left="643"/>
              <w:textAlignment w:val="baseline"/>
              <w:rPr>
                <w:rFonts w:ascii="Arial" w:hAnsi="Arial" w:cs="Arial"/>
                <w:sz w:val="20"/>
                <w:szCs w:val="20"/>
              </w:rPr>
            </w:pPr>
            <w:r w:rsidRPr="003C1B91">
              <w:rPr>
                <w:rFonts w:ascii="Arial" w:hAnsi="Arial" w:cs="Arial"/>
                <w:sz w:val="20"/>
                <w:szCs w:val="20"/>
              </w:rPr>
              <w:t xml:space="preserve"> destroying, defacing or concealing of documents or procuring the execution of a valuable security within the meaning of </w:t>
            </w:r>
            <w:hyperlink r:id="rId17" w:tgtFrame="_parent" w:history="1">
              <w:r w:rsidRPr="003C1B91">
                <w:rPr>
                  <w:rFonts w:ascii="Arial" w:hAnsi="Arial" w:cs="Arial"/>
                  <w:sz w:val="20"/>
                  <w:szCs w:val="20"/>
                </w:rPr>
                <w:t>section 20</w:t>
              </w:r>
            </w:hyperlink>
            <w:r w:rsidRPr="003C1B91">
              <w:rPr>
                <w:rFonts w:ascii="Arial" w:hAnsi="Arial" w:cs="Arial"/>
                <w:sz w:val="20"/>
                <w:szCs w:val="20"/>
              </w:rPr>
              <w:t xml:space="preserve"> of the Theft Act 1968 or section 19 of the Theft Act (Northern Ireland) 1969;</w:t>
            </w:r>
          </w:p>
        </w:tc>
        <w:tc>
          <w:tcPr>
            <w:tcW w:w="1337" w:type="dxa"/>
          </w:tcPr>
          <w:p w:rsidR="00B80648" w:rsidRPr="00666381" w:rsidRDefault="00B80648" w:rsidP="001651C3">
            <w:pPr>
              <w:rPr>
                <w:rFonts w:cs="Arial"/>
                <w:sz w:val="24"/>
                <w:szCs w:val="24"/>
              </w:rPr>
            </w:pPr>
          </w:p>
        </w:tc>
      </w:tr>
      <w:tr w:rsidR="00B80648" w:rsidRPr="00666381" w:rsidTr="001651C3">
        <w:trPr>
          <w:trHeight w:val="435"/>
        </w:trPr>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ind w:left="587"/>
              <w:jc w:val="both"/>
              <w:textAlignment w:val="baseline"/>
              <w:rPr>
                <w:rFonts w:ascii="Arial" w:hAnsi="Arial" w:cs="Arial"/>
                <w:sz w:val="20"/>
                <w:szCs w:val="20"/>
              </w:rPr>
            </w:pPr>
            <w:r w:rsidRPr="003C1B91">
              <w:rPr>
                <w:rFonts w:ascii="Arial" w:hAnsi="Arial" w:cs="Arial"/>
                <w:sz w:val="20"/>
                <w:szCs w:val="20"/>
              </w:rPr>
              <w:t xml:space="preserve"> fraud within the meaning of section 2, 3 or 4 of the Fraud Act       2006; or</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1"/>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 xml:space="preserve"> making, adapting, supplying or offering to supply articles for use in frauds within the meaning of section 7 of the Fraud Act 2006;</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money laundering within the meaning of  section 340(11) of the Proceeds of Crime Act 2002;</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lastRenderedPageBreak/>
              <w:t>an offence in connection with the proceeds of drug trafficking within the meaning of section 49, 50 or 51 of the Drug Trafficking Act 1994; or</w:t>
            </w:r>
          </w:p>
        </w:tc>
        <w:tc>
          <w:tcPr>
            <w:tcW w:w="1337" w:type="dxa"/>
          </w:tcPr>
          <w:p w:rsidR="00B80648" w:rsidRPr="00666381" w:rsidRDefault="00B80648" w:rsidP="001651C3">
            <w:pPr>
              <w:rPr>
                <w:rFonts w:cs="Arial"/>
                <w:sz w:val="24"/>
                <w:szCs w:val="24"/>
              </w:rPr>
            </w:pPr>
          </w:p>
        </w:tc>
      </w:tr>
      <w:tr w:rsidR="00B80648" w:rsidRPr="00666381" w:rsidTr="001651C3">
        <w:tc>
          <w:tcPr>
            <w:tcW w:w="7905" w:type="dxa"/>
          </w:tcPr>
          <w:p w:rsidR="00B80648" w:rsidRPr="003C1B91" w:rsidRDefault="00B80648" w:rsidP="00B80648">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proofErr w:type="gramStart"/>
            <w:r w:rsidRPr="003C1B91">
              <w:rPr>
                <w:rFonts w:ascii="Arial" w:hAnsi="Arial" w:cs="Arial"/>
                <w:sz w:val="20"/>
                <w:szCs w:val="20"/>
              </w:rPr>
              <w:t>any</w:t>
            </w:r>
            <w:proofErr w:type="gramEnd"/>
            <w:r w:rsidRPr="003C1B91">
              <w:rPr>
                <w:rFonts w:ascii="Arial" w:hAnsi="Arial" w:cs="Arial"/>
                <w:sz w:val="20"/>
                <w:szCs w:val="20"/>
              </w:rPr>
              <w:t xml:space="preserve"> other offence within the meaning of Article 45(1) of Directive 2004/18/EC as defined by the national law of any relevant State.</w:t>
            </w:r>
          </w:p>
        </w:tc>
        <w:tc>
          <w:tcPr>
            <w:tcW w:w="1337" w:type="dxa"/>
          </w:tcPr>
          <w:p w:rsidR="00B80648" w:rsidRPr="00666381" w:rsidRDefault="00B80648" w:rsidP="001651C3">
            <w:pPr>
              <w:rPr>
                <w:rFonts w:cs="Arial"/>
                <w:sz w:val="24"/>
                <w:szCs w:val="24"/>
              </w:rPr>
            </w:pPr>
          </w:p>
        </w:tc>
      </w:tr>
    </w:tbl>
    <w:p w:rsidR="00B80648" w:rsidRDefault="00B80648" w:rsidP="00B80648">
      <w:pPr>
        <w:rPr>
          <w:rFonts w:cs="Calibri"/>
        </w:rPr>
      </w:pPr>
    </w:p>
    <w:p w:rsidR="00B80648" w:rsidRPr="003C59D9" w:rsidRDefault="00B80648" w:rsidP="00B80648">
      <w:pPr>
        <w:pStyle w:val="NoSpacing"/>
        <w:rPr>
          <w:highlight w:val="lightGray"/>
        </w:rPr>
      </w:pPr>
    </w:p>
    <w:p w:rsidR="00F22DA9" w:rsidRPr="003C59D9" w:rsidRDefault="00F22DA9" w:rsidP="00F22DA9">
      <w:pPr>
        <w:pStyle w:val="NoSpacing"/>
        <w:rPr>
          <w:highlight w:val="lightGray"/>
        </w:rPr>
      </w:pPr>
    </w:p>
    <w:sectPr w:rsidR="00F22DA9" w:rsidRPr="003C59D9" w:rsidSect="007427E4">
      <w:footerReference w:type="default" r:id="rId18"/>
      <w:headerReference w:type="first" r:id="rId19"/>
      <w:footerReference w:type="first" r:id="rId20"/>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7B5" w:rsidRDefault="002147B5" w:rsidP="00D76564">
      <w:pPr>
        <w:spacing w:after="0" w:line="240" w:lineRule="auto"/>
      </w:pPr>
      <w:r>
        <w:separator/>
      </w:r>
    </w:p>
  </w:endnote>
  <w:endnote w:type="continuationSeparator" w:id="0">
    <w:p w:rsidR="002147B5" w:rsidRDefault="002147B5" w:rsidP="00D7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64" w:rsidRPr="00D76564" w:rsidRDefault="00AF642E">
    <w:pPr>
      <w:pStyle w:val="Footer"/>
      <w:rPr>
        <w:b/>
        <w:sz w:val="16"/>
        <w:szCs w:val="16"/>
      </w:rPr>
    </w:pPr>
    <w:r>
      <w:rPr>
        <w:sz w:val="16"/>
        <w:szCs w:val="16"/>
      </w:rPr>
      <w:t xml:space="preserve">Enquiry </w:t>
    </w:r>
    <w:r w:rsidR="00595092">
      <w:rPr>
        <w:sz w:val="16"/>
        <w:szCs w:val="16"/>
      </w:rPr>
      <w:t>Document</w:t>
    </w:r>
    <w:r w:rsidR="007427E4">
      <w:rPr>
        <w:sz w:val="16"/>
        <w:szCs w:val="16"/>
      </w:rPr>
      <w:t xml:space="preserve"> STSC-JN -0010 PPE</w:t>
    </w:r>
    <w:r w:rsidR="00D76564" w:rsidRPr="00D76564">
      <w:rPr>
        <w:sz w:val="16"/>
        <w:szCs w:val="16"/>
      </w:rPr>
      <w:tab/>
    </w:r>
    <w:r w:rsidR="00E80686">
      <w:rPr>
        <w:sz w:val="16"/>
        <w:szCs w:val="16"/>
      </w:rPr>
      <w:t xml:space="preserve">Page </w:t>
    </w:r>
    <w:r w:rsidR="00E80686" w:rsidRPr="00E80686">
      <w:rPr>
        <w:sz w:val="16"/>
        <w:szCs w:val="16"/>
      </w:rPr>
      <w:fldChar w:fldCharType="begin"/>
    </w:r>
    <w:r w:rsidR="00E80686" w:rsidRPr="00E80686">
      <w:rPr>
        <w:sz w:val="16"/>
        <w:szCs w:val="16"/>
      </w:rPr>
      <w:instrText xml:space="preserve"> PAGE   \* MERGEFORMAT </w:instrText>
    </w:r>
    <w:r w:rsidR="00E80686" w:rsidRPr="00E80686">
      <w:rPr>
        <w:sz w:val="16"/>
        <w:szCs w:val="16"/>
      </w:rPr>
      <w:fldChar w:fldCharType="separate"/>
    </w:r>
    <w:r w:rsidR="0006618F">
      <w:rPr>
        <w:noProof/>
        <w:sz w:val="16"/>
        <w:szCs w:val="16"/>
      </w:rPr>
      <w:t>2</w:t>
    </w:r>
    <w:r w:rsidR="00E80686" w:rsidRPr="00E80686">
      <w:rPr>
        <w:noProof/>
        <w:sz w:val="16"/>
        <w:szCs w:val="16"/>
      </w:rPr>
      <w:fldChar w:fldCharType="end"/>
    </w:r>
    <w:r w:rsidR="00D76564" w:rsidRPr="00D76564">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FD" w:rsidRDefault="00EB5C63">
    <w:pPr>
      <w:pStyle w:val="Footer"/>
    </w:pPr>
    <w:r>
      <w:t>STSC-JN-0010 PPE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7B5" w:rsidRDefault="002147B5" w:rsidP="00D76564">
      <w:pPr>
        <w:spacing w:after="0" w:line="240" w:lineRule="auto"/>
      </w:pPr>
      <w:r>
        <w:separator/>
      </w:r>
    </w:p>
  </w:footnote>
  <w:footnote w:type="continuationSeparator" w:id="0">
    <w:p w:rsidR="002147B5" w:rsidRDefault="002147B5" w:rsidP="00D76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001841"/>
      <w:docPartObj>
        <w:docPartGallery w:val="Page Numbers (Top of Page)"/>
        <w:docPartUnique/>
      </w:docPartObj>
    </w:sdtPr>
    <w:sdtEndPr>
      <w:rPr>
        <w:noProof/>
      </w:rPr>
    </w:sdtEndPr>
    <w:sdtContent>
      <w:p w:rsidR="004B61FD" w:rsidRDefault="004B61FD">
        <w:pPr>
          <w:pStyle w:val="Header"/>
        </w:pPr>
        <w:r>
          <w:fldChar w:fldCharType="begin"/>
        </w:r>
        <w:r>
          <w:instrText xml:space="preserve"> PAGE   \* MERGEFORMAT </w:instrText>
        </w:r>
        <w:r>
          <w:fldChar w:fldCharType="separate"/>
        </w:r>
        <w:r w:rsidR="007427E4">
          <w:rPr>
            <w:noProof/>
          </w:rPr>
          <w:t>1</w:t>
        </w:r>
        <w:r>
          <w:rPr>
            <w:noProof/>
          </w:rPr>
          <w:fldChar w:fldCharType="end"/>
        </w:r>
      </w:p>
    </w:sdtContent>
  </w:sdt>
  <w:p w:rsidR="00CA27CF" w:rsidRPr="00CA27CF" w:rsidRDefault="00CA27CF" w:rsidP="00CA27CF">
    <w:pPr>
      <w:tabs>
        <w:tab w:val="center" w:pos="4513"/>
        <w:tab w:val="right" w:pos="9026"/>
      </w:tabs>
      <w:spacing w:after="0" w:line="240" w:lineRule="auto"/>
      <w:jc w:val="right"/>
      <w:rPr>
        <w:rFonts w:ascii="Times New Roman" w:eastAsia="Times New Roman" w:hAnsi="Times New Roman"/>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85F"/>
    <w:multiLevelType w:val="hybridMultilevel"/>
    <w:tmpl w:val="1F40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E3831"/>
    <w:multiLevelType w:val="hybridMultilevel"/>
    <w:tmpl w:val="F91A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FCB6841"/>
    <w:multiLevelType w:val="hybridMultilevel"/>
    <w:tmpl w:val="A52887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E77F80"/>
    <w:multiLevelType w:val="hybridMultilevel"/>
    <w:tmpl w:val="37C6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B567ED"/>
    <w:multiLevelType w:val="hybridMultilevel"/>
    <w:tmpl w:val="8012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C41FDE"/>
    <w:multiLevelType w:val="hybridMultilevel"/>
    <w:tmpl w:val="2D2A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AB4B7C"/>
    <w:multiLevelType w:val="hybridMultilevel"/>
    <w:tmpl w:val="3414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3F0D5A"/>
    <w:multiLevelType w:val="hybridMultilevel"/>
    <w:tmpl w:val="F7FAEAE4"/>
    <w:lvl w:ilvl="0" w:tplc="E5E644CC">
      <w:start w:val="1"/>
      <w:numFmt w:val="lowerRoman"/>
      <w:lvlText w:val="(%1)"/>
      <w:lvlJc w:val="left"/>
      <w:pPr>
        <w:ind w:left="72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A091B91"/>
    <w:multiLevelType w:val="hybridMultilevel"/>
    <w:tmpl w:val="708E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2958A8"/>
    <w:multiLevelType w:val="hybridMultilevel"/>
    <w:tmpl w:val="DE2A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77118"/>
    <w:multiLevelType w:val="hybridMultilevel"/>
    <w:tmpl w:val="1026DE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E33389"/>
    <w:multiLevelType w:val="hybridMultilevel"/>
    <w:tmpl w:val="BB58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C405C3"/>
    <w:multiLevelType w:val="hybridMultilevel"/>
    <w:tmpl w:val="F4C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7F3139"/>
    <w:multiLevelType w:val="hybridMultilevel"/>
    <w:tmpl w:val="1026D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3D1BA0"/>
    <w:multiLevelType w:val="hybridMultilevel"/>
    <w:tmpl w:val="0B88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1718E0"/>
    <w:multiLevelType w:val="hybridMultilevel"/>
    <w:tmpl w:val="EA7A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421B50"/>
    <w:multiLevelType w:val="hybridMultilevel"/>
    <w:tmpl w:val="A106028E"/>
    <w:lvl w:ilvl="0" w:tplc="3FB8FA36">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BF56BD6"/>
    <w:multiLevelType w:val="hybridMultilevel"/>
    <w:tmpl w:val="7F0EA2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D00159"/>
    <w:multiLevelType w:val="hybridMultilevel"/>
    <w:tmpl w:val="9EFA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45706F"/>
    <w:multiLevelType w:val="hybridMultilevel"/>
    <w:tmpl w:val="50C87C24"/>
    <w:lvl w:ilvl="0" w:tplc="14FC63D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6"/>
  </w:num>
  <w:num w:numId="3">
    <w:abstractNumId w:val="13"/>
  </w:num>
  <w:num w:numId="4">
    <w:abstractNumId w:val="16"/>
  </w:num>
  <w:num w:numId="5">
    <w:abstractNumId w:val="10"/>
  </w:num>
  <w:num w:numId="6">
    <w:abstractNumId w:val="11"/>
  </w:num>
  <w:num w:numId="7">
    <w:abstractNumId w:val="5"/>
  </w:num>
  <w:num w:numId="8">
    <w:abstractNumId w:val="18"/>
  </w:num>
  <w:num w:numId="9">
    <w:abstractNumId w:val="15"/>
  </w:num>
  <w:num w:numId="10">
    <w:abstractNumId w:val="1"/>
  </w:num>
  <w:num w:numId="11">
    <w:abstractNumId w:val="9"/>
  </w:num>
  <w:num w:numId="12">
    <w:abstractNumId w:val="12"/>
  </w:num>
  <w:num w:numId="13">
    <w:abstractNumId w:val="0"/>
  </w:num>
  <w:num w:numId="14">
    <w:abstractNumId w:val="19"/>
  </w:num>
  <w:num w:numId="15">
    <w:abstractNumId w:val="7"/>
  </w:num>
  <w:num w:numId="16">
    <w:abstractNumId w:val="2"/>
  </w:num>
  <w:num w:numId="17">
    <w:abstractNumId w:val="4"/>
  </w:num>
  <w:num w:numId="18">
    <w:abstractNumId w:val="3"/>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D0"/>
    <w:rsid w:val="00002EEB"/>
    <w:rsid w:val="000051D4"/>
    <w:rsid w:val="00040AB6"/>
    <w:rsid w:val="00046078"/>
    <w:rsid w:val="0006618F"/>
    <w:rsid w:val="000673E5"/>
    <w:rsid w:val="00081FCE"/>
    <w:rsid w:val="000916DA"/>
    <w:rsid w:val="000D43A2"/>
    <w:rsid w:val="000D6739"/>
    <w:rsid w:val="000E6127"/>
    <w:rsid w:val="000E7153"/>
    <w:rsid w:val="00107A42"/>
    <w:rsid w:val="001108C9"/>
    <w:rsid w:val="00114EC7"/>
    <w:rsid w:val="00120B8B"/>
    <w:rsid w:val="00124B7C"/>
    <w:rsid w:val="00126F1E"/>
    <w:rsid w:val="0014174F"/>
    <w:rsid w:val="001535D8"/>
    <w:rsid w:val="001704D5"/>
    <w:rsid w:val="00175A31"/>
    <w:rsid w:val="0017654C"/>
    <w:rsid w:val="0019365D"/>
    <w:rsid w:val="001A2919"/>
    <w:rsid w:val="001C3A8B"/>
    <w:rsid w:val="001C4A22"/>
    <w:rsid w:val="001C4D3F"/>
    <w:rsid w:val="001C7C0B"/>
    <w:rsid w:val="001D58D7"/>
    <w:rsid w:val="001E2CA8"/>
    <w:rsid w:val="001E3883"/>
    <w:rsid w:val="001E3AF2"/>
    <w:rsid w:val="001E4E01"/>
    <w:rsid w:val="001E74B3"/>
    <w:rsid w:val="002002F1"/>
    <w:rsid w:val="002147B5"/>
    <w:rsid w:val="00221D35"/>
    <w:rsid w:val="00233A35"/>
    <w:rsid w:val="00271F88"/>
    <w:rsid w:val="002737E0"/>
    <w:rsid w:val="002B12F9"/>
    <w:rsid w:val="002B7CA4"/>
    <w:rsid w:val="002B7D5D"/>
    <w:rsid w:val="002D032B"/>
    <w:rsid w:val="002D05E9"/>
    <w:rsid w:val="002E11C5"/>
    <w:rsid w:val="002E581D"/>
    <w:rsid w:val="002E7F00"/>
    <w:rsid w:val="002F5615"/>
    <w:rsid w:val="002F7786"/>
    <w:rsid w:val="00300AFD"/>
    <w:rsid w:val="00302DFC"/>
    <w:rsid w:val="003110FD"/>
    <w:rsid w:val="00312603"/>
    <w:rsid w:val="0032764C"/>
    <w:rsid w:val="00365274"/>
    <w:rsid w:val="00376AEE"/>
    <w:rsid w:val="00385EE0"/>
    <w:rsid w:val="00396287"/>
    <w:rsid w:val="003A3AD0"/>
    <w:rsid w:val="003B5B84"/>
    <w:rsid w:val="003B5F73"/>
    <w:rsid w:val="003C59D9"/>
    <w:rsid w:val="003D2582"/>
    <w:rsid w:val="003D70E9"/>
    <w:rsid w:val="003F1BED"/>
    <w:rsid w:val="003F2D80"/>
    <w:rsid w:val="004141B5"/>
    <w:rsid w:val="004153EB"/>
    <w:rsid w:val="00415BCD"/>
    <w:rsid w:val="00437798"/>
    <w:rsid w:val="004501FE"/>
    <w:rsid w:val="004510B4"/>
    <w:rsid w:val="00453AC9"/>
    <w:rsid w:val="00455E22"/>
    <w:rsid w:val="004574C4"/>
    <w:rsid w:val="00457680"/>
    <w:rsid w:val="00460E2C"/>
    <w:rsid w:val="004660E6"/>
    <w:rsid w:val="00472A4F"/>
    <w:rsid w:val="00475C3A"/>
    <w:rsid w:val="004761F2"/>
    <w:rsid w:val="004873D1"/>
    <w:rsid w:val="0049634F"/>
    <w:rsid w:val="004A0248"/>
    <w:rsid w:val="004A5994"/>
    <w:rsid w:val="004A6769"/>
    <w:rsid w:val="004B4F2A"/>
    <w:rsid w:val="004B5ED7"/>
    <w:rsid w:val="004B61FD"/>
    <w:rsid w:val="004C34E1"/>
    <w:rsid w:val="004C7850"/>
    <w:rsid w:val="004D5580"/>
    <w:rsid w:val="004F21FB"/>
    <w:rsid w:val="005000E9"/>
    <w:rsid w:val="00505C11"/>
    <w:rsid w:val="00527354"/>
    <w:rsid w:val="005336BC"/>
    <w:rsid w:val="005648A0"/>
    <w:rsid w:val="00565463"/>
    <w:rsid w:val="00565D1A"/>
    <w:rsid w:val="00571F29"/>
    <w:rsid w:val="0057607C"/>
    <w:rsid w:val="00577B75"/>
    <w:rsid w:val="00583F02"/>
    <w:rsid w:val="00584135"/>
    <w:rsid w:val="005904C8"/>
    <w:rsid w:val="00595092"/>
    <w:rsid w:val="005A2C21"/>
    <w:rsid w:val="005B4413"/>
    <w:rsid w:val="005B44C6"/>
    <w:rsid w:val="005C1F04"/>
    <w:rsid w:val="005C6636"/>
    <w:rsid w:val="005E6C96"/>
    <w:rsid w:val="00605F00"/>
    <w:rsid w:val="00615018"/>
    <w:rsid w:val="006303CD"/>
    <w:rsid w:val="00632DC0"/>
    <w:rsid w:val="00637AF4"/>
    <w:rsid w:val="00641860"/>
    <w:rsid w:val="0067368A"/>
    <w:rsid w:val="00676013"/>
    <w:rsid w:val="0069708C"/>
    <w:rsid w:val="006A33E5"/>
    <w:rsid w:val="006A7752"/>
    <w:rsid w:val="006B521D"/>
    <w:rsid w:val="006B7BCD"/>
    <w:rsid w:val="006C019B"/>
    <w:rsid w:val="006C2362"/>
    <w:rsid w:val="006C3702"/>
    <w:rsid w:val="006C42C1"/>
    <w:rsid w:val="006C6AB4"/>
    <w:rsid w:val="006E0ABF"/>
    <w:rsid w:val="006F5F5C"/>
    <w:rsid w:val="00711857"/>
    <w:rsid w:val="00722CA4"/>
    <w:rsid w:val="00730552"/>
    <w:rsid w:val="007427E4"/>
    <w:rsid w:val="00743198"/>
    <w:rsid w:val="00755A3A"/>
    <w:rsid w:val="00763E0B"/>
    <w:rsid w:val="00784C0C"/>
    <w:rsid w:val="00786AA8"/>
    <w:rsid w:val="00786CC2"/>
    <w:rsid w:val="007B0562"/>
    <w:rsid w:val="007B279A"/>
    <w:rsid w:val="007D0521"/>
    <w:rsid w:val="007F4B34"/>
    <w:rsid w:val="007F5A44"/>
    <w:rsid w:val="00817557"/>
    <w:rsid w:val="0082420A"/>
    <w:rsid w:val="0082536A"/>
    <w:rsid w:val="00825CDA"/>
    <w:rsid w:val="008265D5"/>
    <w:rsid w:val="00841941"/>
    <w:rsid w:val="00844C7F"/>
    <w:rsid w:val="008665AD"/>
    <w:rsid w:val="008822BB"/>
    <w:rsid w:val="00897942"/>
    <w:rsid w:val="008B1423"/>
    <w:rsid w:val="008B2E17"/>
    <w:rsid w:val="008B38D3"/>
    <w:rsid w:val="008B5941"/>
    <w:rsid w:val="008E5F9B"/>
    <w:rsid w:val="008E7FBD"/>
    <w:rsid w:val="00900DB5"/>
    <w:rsid w:val="00901DCE"/>
    <w:rsid w:val="00907DCC"/>
    <w:rsid w:val="009113BD"/>
    <w:rsid w:val="00917E8D"/>
    <w:rsid w:val="00927F84"/>
    <w:rsid w:val="00931D49"/>
    <w:rsid w:val="00932BE0"/>
    <w:rsid w:val="00951465"/>
    <w:rsid w:val="00952205"/>
    <w:rsid w:val="00972A61"/>
    <w:rsid w:val="00975443"/>
    <w:rsid w:val="00977D15"/>
    <w:rsid w:val="009806A0"/>
    <w:rsid w:val="00984F38"/>
    <w:rsid w:val="00987189"/>
    <w:rsid w:val="00992CE7"/>
    <w:rsid w:val="009A160B"/>
    <w:rsid w:val="009B0B45"/>
    <w:rsid w:val="009B6D7D"/>
    <w:rsid w:val="009E4F71"/>
    <w:rsid w:val="009E6D5A"/>
    <w:rsid w:val="009F6670"/>
    <w:rsid w:val="00A24187"/>
    <w:rsid w:val="00A444B6"/>
    <w:rsid w:val="00A5383A"/>
    <w:rsid w:val="00A648FC"/>
    <w:rsid w:val="00A7290D"/>
    <w:rsid w:val="00A75640"/>
    <w:rsid w:val="00A874E6"/>
    <w:rsid w:val="00A944EA"/>
    <w:rsid w:val="00A94F88"/>
    <w:rsid w:val="00A9696C"/>
    <w:rsid w:val="00AC17E3"/>
    <w:rsid w:val="00AC6AC9"/>
    <w:rsid w:val="00AF4B65"/>
    <w:rsid w:val="00AF642E"/>
    <w:rsid w:val="00B0383B"/>
    <w:rsid w:val="00B11EE4"/>
    <w:rsid w:val="00B17330"/>
    <w:rsid w:val="00B31A02"/>
    <w:rsid w:val="00B376C1"/>
    <w:rsid w:val="00B4422D"/>
    <w:rsid w:val="00B50598"/>
    <w:rsid w:val="00B507A4"/>
    <w:rsid w:val="00B80648"/>
    <w:rsid w:val="00B81C70"/>
    <w:rsid w:val="00B85678"/>
    <w:rsid w:val="00B955EC"/>
    <w:rsid w:val="00BB5DD4"/>
    <w:rsid w:val="00BE7FD0"/>
    <w:rsid w:val="00BF4A8E"/>
    <w:rsid w:val="00BF504C"/>
    <w:rsid w:val="00C00DD5"/>
    <w:rsid w:val="00C110D0"/>
    <w:rsid w:val="00C318DC"/>
    <w:rsid w:val="00C41366"/>
    <w:rsid w:val="00C43E58"/>
    <w:rsid w:val="00C46289"/>
    <w:rsid w:val="00C469AC"/>
    <w:rsid w:val="00C534C7"/>
    <w:rsid w:val="00C56D1F"/>
    <w:rsid w:val="00C57D54"/>
    <w:rsid w:val="00C71428"/>
    <w:rsid w:val="00C744E6"/>
    <w:rsid w:val="00C7547E"/>
    <w:rsid w:val="00C879B4"/>
    <w:rsid w:val="00C97B0A"/>
    <w:rsid w:val="00CA27CF"/>
    <w:rsid w:val="00CC7EBB"/>
    <w:rsid w:val="00CE3F35"/>
    <w:rsid w:val="00CF0F01"/>
    <w:rsid w:val="00D05BFE"/>
    <w:rsid w:val="00D17371"/>
    <w:rsid w:val="00D27E19"/>
    <w:rsid w:val="00D460CA"/>
    <w:rsid w:val="00D50B65"/>
    <w:rsid w:val="00D55F73"/>
    <w:rsid w:val="00D705C0"/>
    <w:rsid w:val="00D724FE"/>
    <w:rsid w:val="00D76564"/>
    <w:rsid w:val="00D82CD9"/>
    <w:rsid w:val="00D96962"/>
    <w:rsid w:val="00DA406A"/>
    <w:rsid w:val="00DA4176"/>
    <w:rsid w:val="00DA4B22"/>
    <w:rsid w:val="00DB6823"/>
    <w:rsid w:val="00DC2D30"/>
    <w:rsid w:val="00DC7C95"/>
    <w:rsid w:val="00DD3FD8"/>
    <w:rsid w:val="00DD66EE"/>
    <w:rsid w:val="00DE0D6E"/>
    <w:rsid w:val="00DF21BC"/>
    <w:rsid w:val="00E014D0"/>
    <w:rsid w:val="00E10C35"/>
    <w:rsid w:val="00E17C69"/>
    <w:rsid w:val="00E769AE"/>
    <w:rsid w:val="00E76D3D"/>
    <w:rsid w:val="00E80686"/>
    <w:rsid w:val="00E8099B"/>
    <w:rsid w:val="00E94E5A"/>
    <w:rsid w:val="00E96E5C"/>
    <w:rsid w:val="00EA3D4D"/>
    <w:rsid w:val="00EA48D0"/>
    <w:rsid w:val="00EB3EAE"/>
    <w:rsid w:val="00EB468E"/>
    <w:rsid w:val="00EB5C63"/>
    <w:rsid w:val="00EC6A6A"/>
    <w:rsid w:val="00ED773F"/>
    <w:rsid w:val="00EE4FB9"/>
    <w:rsid w:val="00EE7510"/>
    <w:rsid w:val="00F20053"/>
    <w:rsid w:val="00F2163B"/>
    <w:rsid w:val="00F22DA9"/>
    <w:rsid w:val="00F3137D"/>
    <w:rsid w:val="00F372A8"/>
    <w:rsid w:val="00F4551E"/>
    <w:rsid w:val="00F623A8"/>
    <w:rsid w:val="00F65FF4"/>
    <w:rsid w:val="00F927C3"/>
    <w:rsid w:val="00FA0B28"/>
    <w:rsid w:val="00FA20A5"/>
    <w:rsid w:val="00FA3829"/>
    <w:rsid w:val="00FA5432"/>
    <w:rsid w:val="00FA70C1"/>
    <w:rsid w:val="00FB56E6"/>
    <w:rsid w:val="00FB6D81"/>
    <w:rsid w:val="00FC3272"/>
    <w:rsid w:val="00FC4352"/>
    <w:rsid w:val="00FC58BB"/>
    <w:rsid w:val="00FC7663"/>
    <w:rsid w:val="00FD04F5"/>
    <w:rsid w:val="00FD0577"/>
    <w:rsid w:val="00FD337B"/>
    <w:rsid w:val="00FE7CDE"/>
    <w:rsid w:val="00FF0742"/>
    <w:rsid w:val="00FF5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BB"/>
    <w:pPr>
      <w:spacing w:after="200" w:line="276" w:lineRule="auto"/>
    </w:pPr>
    <w:rPr>
      <w:sz w:val="22"/>
      <w:szCs w:val="22"/>
      <w:lang w:eastAsia="en-US"/>
    </w:rPr>
  </w:style>
  <w:style w:type="paragraph" w:styleId="Heading1">
    <w:name w:val="heading 1"/>
    <w:basedOn w:val="Normal"/>
    <w:next w:val="Normal"/>
    <w:link w:val="Heading1Char"/>
    <w:uiPriority w:val="9"/>
    <w:qFormat/>
    <w:rsid w:val="004660E6"/>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65"/>
    <w:rPr>
      <w:rFonts w:ascii="Tahoma" w:hAnsi="Tahoma" w:cs="Tahoma"/>
      <w:sz w:val="16"/>
      <w:szCs w:val="16"/>
    </w:rPr>
  </w:style>
  <w:style w:type="paragraph" w:styleId="Header">
    <w:name w:val="header"/>
    <w:basedOn w:val="Normal"/>
    <w:link w:val="HeaderChar"/>
    <w:uiPriority w:val="99"/>
    <w:unhideWhenUsed/>
    <w:rsid w:val="00D76564"/>
    <w:pPr>
      <w:tabs>
        <w:tab w:val="center" w:pos="4513"/>
        <w:tab w:val="right" w:pos="9026"/>
      </w:tabs>
    </w:pPr>
  </w:style>
  <w:style w:type="character" w:customStyle="1" w:styleId="HeaderChar">
    <w:name w:val="Header Char"/>
    <w:basedOn w:val="DefaultParagraphFont"/>
    <w:link w:val="Header"/>
    <w:uiPriority w:val="99"/>
    <w:rsid w:val="00D76564"/>
    <w:rPr>
      <w:sz w:val="22"/>
      <w:szCs w:val="22"/>
      <w:lang w:eastAsia="en-US"/>
    </w:rPr>
  </w:style>
  <w:style w:type="paragraph" w:styleId="Footer">
    <w:name w:val="footer"/>
    <w:basedOn w:val="Normal"/>
    <w:link w:val="FooterChar"/>
    <w:uiPriority w:val="99"/>
    <w:unhideWhenUsed/>
    <w:rsid w:val="00D76564"/>
    <w:pPr>
      <w:tabs>
        <w:tab w:val="center" w:pos="4513"/>
        <w:tab w:val="right" w:pos="9026"/>
      </w:tabs>
    </w:pPr>
  </w:style>
  <w:style w:type="character" w:customStyle="1" w:styleId="FooterChar">
    <w:name w:val="Footer Char"/>
    <w:basedOn w:val="DefaultParagraphFont"/>
    <w:link w:val="Footer"/>
    <w:uiPriority w:val="99"/>
    <w:rsid w:val="00D76564"/>
    <w:rPr>
      <w:sz w:val="22"/>
      <w:szCs w:val="22"/>
      <w:lang w:eastAsia="en-US"/>
    </w:rPr>
  </w:style>
  <w:style w:type="paragraph" w:customStyle="1" w:styleId="DefaultText">
    <w:name w:val="Default Text"/>
    <w:basedOn w:val="Normal"/>
    <w:rsid w:val="00EB468E"/>
    <w:pPr>
      <w:overflowPunct w:val="0"/>
      <w:autoSpaceDE w:val="0"/>
      <w:autoSpaceDN w:val="0"/>
      <w:adjustRightInd w:val="0"/>
      <w:spacing w:after="0" w:line="240" w:lineRule="auto"/>
      <w:textAlignment w:val="baseline"/>
    </w:pPr>
    <w:rPr>
      <w:rFonts w:ascii="Arial" w:eastAsia="Times New Roman" w:hAnsi="Arial" w:cs="Arial"/>
      <w:b/>
      <w:bCs/>
      <w:sz w:val="24"/>
      <w:szCs w:val="20"/>
    </w:rPr>
  </w:style>
  <w:style w:type="character" w:styleId="PageNumber">
    <w:name w:val="page number"/>
    <w:basedOn w:val="DefaultParagraphFont"/>
    <w:semiHidden/>
    <w:rsid w:val="00EB468E"/>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1535D8"/>
    <w:pPr>
      <w:ind w:left="720"/>
      <w:contextualSpacing/>
    </w:pPr>
  </w:style>
  <w:style w:type="table" w:styleId="TableGrid">
    <w:name w:val="Table Grid"/>
    <w:basedOn w:val="TableNormal"/>
    <w:uiPriority w:val="59"/>
    <w:rsid w:val="00984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qLevel7">
    <w:name w:val="Seq Level 7"/>
    <w:basedOn w:val="Normal"/>
    <w:rsid w:val="004A0248"/>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styleId="Hyperlink">
    <w:name w:val="Hyperlink"/>
    <w:basedOn w:val="DefaultParagraphFont"/>
    <w:uiPriority w:val="99"/>
    <w:unhideWhenUsed/>
    <w:rsid w:val="00844C7F"/>
    <w:rPr>
      <w:color w:val="0000FF" w:themeColor="hyperlink"/>
      <w:u w:val="single"/>
    </w:rPr>
  </w:style>
  <w:style w:type="paragraph" w:styleId="NoSpacing">
    <w:name w:val="No Spacing"/>
    <w:uiPriority w:val="1"/>
    <w:qFormat/>
    <w:rsid w:val="00DC2D30"/>
    <w:rPr>
      <w:sz w:val="22"/>
      <w:szCs w:val="22"/>
      <w:lang w:eastAsia="en-US"/>
    </w:rPr>
  </w:style>
  <w:style w:type="table" w:customStyle="1" w:styleId="TableGrid1">
    <w:name w:val="Table Grid1"/>
    <w:basedOn w:val="TableNormal"/>
    <w:next w:val="TableGrid"/>
    <w:uiPriority w:val="59"/>
    <w:rsid w:val="00302D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7A4"/>
    <w:pPr>
      <w:autoSpaceDE w:val="0"/>
      <w:autoSpaceDN w:val="0"/>
      <w:adjustRightInd w:val="0"/>
    </w:pPr>
    <w:rPr>
      <w:rFonts w:ascii="Arial" w:hAnsi="Arial" w:cs="Arial"/>
      <w:color w:val="000000"/>
      <w:sz w:val="24"/>
      <w:szCs w:val="24"/>
    </w:rPr>
  </w:style>
  <w:style w:type="character" w:customStyle="1" w:styleId="originalelement">
    <w:name w:val="originalelement"/>
    <w:basedOn w:val="DefaultParagraphFont"/>
    <w:rsid w:val="003C59D9"/>
  </w:style>
  <w:style w:type="character" w:customStyle="1" w:styleId="Heading1Char">
    <w:name w:val="Heading 1 Char"/>
    <w:basedOn w:val="DefaultParagraphFont"/>
    <w:link w:val="Heading1"/>
    <w:uiPriority w:val="9"/>
    <w:rsid w:val="004660E6"/>
    <w:rPr>
      <w:rFonts w:ascii="Cambria" w:eastAsia="Times New Roman" w:hAnsi="Cambria"/>
      <w:b/>
      <w:bCs/>
      <w:kern w:val="32"/>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FF5EA5"/>
    <w:rPr>
      <w:sz w:val="22"/>
      <w:szCs w:val="22"/>
      <w:lang w:eastAsia="en-US"/>
    </w:rPr>
  </w:style>
  <w:style w:type="character" w:styleId="FollowedHyperlink">
    <w:name w:val="FollowedHyperlink"/>
    <w:basedOn w:val="DefaultParagraphFont"/>
    <w:uiPriority w:val="99"/>
    <w:semiHidden/>
    <w:unhideWhenUsed/>
    <w:rsid w:val="003652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BB"/>
    <w:pPr>
      <w:spacing w:after="200" w:line="276" w:lineRule="auto"/>
    </w:pPr>
    <w:rPr>
      <w:sz w:val="22"/>
      <w:szCs w:val="22"/>
      <w:lang w:eastAsia="en-US"/>
    </w:rPr>
  </w:style>
  <w:style w:type="paragraph" w:styleId="Heading1">
    <w:name w:val="heading 1"/>
    <w:basedOn w:val="Normal"/>
    <w:next w:val="Normal"/>
    <w:link w:val="Heading1Char"/>
    <w:uiPriority w:val="9"/>
    <w:qFormat/>
    <w:rsid w:val="004660E6"/>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65"/>
    <w:rPr>
      <w:rFonts w:ascii="Tahoma" w:hAnsi="Tahoma" w:cs="Tahoma"/>
      <w:sz w:val="16"/>
      <w:szCs w:val="16"/>
    </w:rPr>
  </w:style>
  <w:style w:type="paragraph" w:styleId="Header">
    <w:name w:val="header"/>
    <w:basedOn w:val="Normal"/>
    <w:link w:val="HeaderChar"/>
    <w:uiPriority w:val="99"/>
    <w:unhideWhenUsed/>
    <w:rsid w:val="00D76564"/>
    <w:pPr>
      <w:tabs>
        <w:tab w:val="center" w:pos="4513"/>
        <w:tab w:val="right" w:pos="9026"/>
      </w:tabs>
    </w:pPr>
  </w:style>
  <w:style w:type="character" w:customStyle="1" w:styleId="HeaderChar">
    <w:name w:val="Header Char"/>
    <w:basedOn w:val="DefaultParagraphFont"/>
    <w:link w:val="Header"/>
    <w:uiPriority w:val="99"/>
    <w:rsid w:val="00D76564"/>
    <w:rPr>
      <w:sz w:val="22"/>
      <w:szCs w:val="22"/>
      <w:lang w:eastAsia="en-US"/>
    </w:rPr>
  </w:style>
  <w:style w:type="paragraph" w:styleId="Footer">
    <w:name w:val="footer"/>
    <w:basedOn w:val="Normal"/>
    <w:link w:val="FooterChar"/>
    <w:uiPriority w:val="99"/>
    <w:unhideWhenUsed/>
    <w:rsid w:val="00D76564"/>
    <w:pPr>
      <w:tabs>
        <w:tab w:val="center" w:pos="4513"/>
        <w:tab w:val="right" w:pos="9026"/>
      </w:tabs>
    </w:pPr>
  </w:style>
  <w:style w:type="character" w:customStyle="1" w:styleId="FooterChar">
    <w:name w:val="Footer Char"/>
    <w:basedOn w:val="DefaultParagraphFont"/>
    <w:link w:val="Footer"/>
    <w:uiPriority w:val="99"/>
    <w:rsid w:val="00D76564"/>
    <w:rPr>
      <w:sz w:val="22"/>
      <w:szCs w:val="22"/>
      <w:lang w:eastAsia="en-US"/>
    </w:rPr>
  </w:style>
  <w:style w:type="paragraph" w:customStyle="1" w:styleId="DefaultText">
    <w:name w:val="Default Text"/>
    <w:basedOn w:val="Normal"/>
    <w:rsid w:val="00EB468E"/>
    <w:pPr>
      <w:overflowPunct w:val="0"/>
      <w:autoSpaceDE w:val="0"/>
      <w:autoSpaceDN w:val="0"/>
      <w:adjustRightInd w:val="0"/>
      <w:spacing w:after="0" w:line="240" w:lineRule="auto"/>
      <w:textAlignment w:val="baseline"/>
    </w:pPr>
    <w:rPr>
      <w:rFonts w:ascii="Arial" w:eastAsia="Times New Roman" w:hAnsi="Arial" w:cs="Arial"/>
      <w:b/>
      <w:bCs/>
      <w:sz w:val="24"/>
      <w:szCs w:val="20"/>
    </w:rPr>
  </w:style>
  <w:style w:type="character" w:styleId="PageNumber">
    <w:name w:val="page number"/>
    <w:basedOn w:val="DefaultParagraphFont"/>
    <w:semiHidden/>
    <w:rsid w:val="00EB468E"/>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1535D8"/>
    <w:pPr>
      <w:ind w:left="720"/>
      <w:contextualSpacing/>
    </w:pPr>
  </w:style>
  <w:style w:type="table" w:styleId="TableGrid">
    <w:name w:val="Table Grid"/>
    <w:basedOn w:val="TableNormal"/>
    <w:uiPriority w:val="59"/>
    <w:rsid w:val="00984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qLevel7">
    <w:name w:val="Seq Level 7"/>
    <w:basedOn w:val="Normal"/>
    <w:rsid w:val="004A0248"/>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styleId="Hyperlink">
    <w:name w:val="Hyperlink"/>
    <w:basedOn w:val="DefaultParagraphFont"/>
    <w:uiPriority w:val="99"/>
    <w:unhideWhenUsed/>
    <w:rsid w:val="00844C7F"/>
    <w:rPr>
      <w:color w:val="0000FF" w:themeColor="hyperlink"/>
      <w:u w:val="single"/>
    </w:rPr>
  </w:style>
  <w:style w:type="paragraph" w:styleId="NoSpacing">
    <w:name w:val="No Spacing"/>
    <w:uiPriority w:val="1"/>
    <w:qFormat/>
    <w:rsid w:val="00DC2D30"/>
    <w:rPr>
      <w:sz w:val="22"/>
      <w:szCs w:val="22"/>
      <w:lang w:eastAsia="en-US"/>
    </w:rPr>
  </w:style>
  <w:style w:type="table" w:customStyle="1" w:styleId="TableGrid1">
    <w:name w:val="Table Grid1"/>
    <w:basedOn w:val="TableNormal"/>
    <w:next w:val="TableGrid"/>
    <w:uiPriority w:val="59"/>
    <w:rsid w:val="00302D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7A4"/>
    <w:pPr>
      <w:autoSpaceDE w:val="0"/>
      <w:autoSpaceDN w:val="0"/>
      <w:adjustRightInd w:val="0"/>
    </w:pPr>
    <w:rPr>
      <w:rFonts w:ascii="Arial" w:hAnsi="Arial" w:cs="Arial"/>
      <w:color w:val="000000"/>
      <w:sz w:val="24"/>
      <w:szCs w:val="24"/>
    </w:rPr>
  </w:style>
  <w:style w:type="character" w:customStyle="1" w:styleId="originalelement">
    <w:name w:val="originalelement"/>
    <w:basedOn w:val="DefaultParagraphFont"/>
    <w:rsid w:val="003C59D9"/>
  </w:style>
  <w:style w:type="character" w:customStyle="1" w:styleId="Heading1Char">
    <w:name w:val="Heading 1 Char"/>
    <w:basedOn w:val="DefaultParagraphFont"/>
    <w:link w:val="Heading1"/>
    <w:uiPriority w:val="9"/>
    <w:rsid w:val="004660E6"/>
    <w:rPr>
      <w:rFonts w:ascii="Cambria" w:eastAsia="Times New Roman" w:hAnsi="Cambria"/>
      <w:b/>
      <w:bCs/>
      <w:kern w:val="32"/>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FF5EA5"/>
    <w:rPr>
      <w:sz w:val="22"/>
      <w:szCs w:val="22"/>
      <w:lang w:eastAsia="en-US"/>
    </w:rPr>
  </w:style>
  <w:style w:type="character" w:styleId="FollowedHyperlink">
    <w:name w:val="FollowedHyperlink"/>
    <w:basedOn w:val="DefaultParagraphFont"/>
    <w:uiPriority w:val="99"/>
    <w:semiHidden/>
    <w:unhideWhenUsed/>
    <w:rsid w:val="00365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652">
      <w:bodyDiv w:val="1"/>
      <w:marLeft w:val="0"/>
      <w:marRight w:val="0"/>
      <w:marTop w:val="0"/>
      <w:marBottom w:val="0"/>
      <w:divBdr>
        <w:top w:val="none" w:sz="0" w:space="0" w:color="auto"/>
        <w:left w:val="none" w:sz="0" w:space="0" w:color="auto"/>
        <w:bottom w:val="none" w:sz="0" w:space="0" w:color="auto"/>
        <w:right w:val="none" w:sz="0" w:space="0" w:color="auto"/>
      </w:divBdr>
    </w:div>
    <w:div w:id="237790482">
      <w:bodyDiv w:val="1"/>
      <w:marLeft w:val="0"/>
      <w:marRight w:val="0"/>
      <w:marTop w:val="0"/>
      <w:marBottom w:val="0"/>
      <w:divBdr>
        <w:top w:val="none" w:sz="0" w:space="0" w:color="auto"/>
        <w:left w:val="none" w:sz="0" w:space="0" w:color="auto"/>
        <w:bottom w:val="none" w:sz="0" w:space="0" w:color="auto"/>
        <w:right w:val="none" w:sz="0" w:space="0" w:color="auto"/>
      </w:divBdr>
    </w:div>
    <w:div w:id="1657957845">
      <w:bodyDiv w:val="1"/>
      <w:marLeft w:val="0"/>
      <w:marRight w:val="0"/>
      <w:marTop w:val="0"/>
      <w:marBottom w:val="0"/>
      <w:divBdr>
        <w:top w:val="none" w:sz="0" w:space="0" w:color="auto"/>
        <w:left w:val="none" w:sz="0" w:space="0" w:color="auto"/>
        <w:bottom w:val="none" w:sz="0" w:space="0" w:color="auto"/>
        <w:right w:val="none" w:sz="0" w:space="0" w:color="auto"/>
      </w:divBdr>
    </w:div>
    <w:div w:id="1750272024">
      <w:bodyDiv w:val="1"/>
      <w:marLeft w:val="0"/>
      <w:marRight w:val="0"/>
      <w:marTop w:val="0"/>
      <w:marBottom w:val="0"/>
      <w:divBdr>
        <w:top w:val="none" w:sz="0" w:space="0" w:color="auto"/>
        <w:left w:val="none" w:sz="0" w:space="0" w:color="auto"/>
        <w:bottom w:val="none" w:sz="0" w:space="0" w:color="auto"/>
        <w:right w:val="none" w:sz="0" w:space="0" w:color="auto"/>
      </w:divBdr>
    </w:div>
    <w:div w:id="19042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curement@stscltd.co.uk" TargetMode="External"/><Relationship Id="rId17"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tscltd.co.uk"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procurement@stscltd.co.u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B92C-069B-4374-8839-8B83BEF7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Simon.Porter</dc:creator>
  <cp:lastModifiedBy>Jackie Ferguson</cp:lastModifiedBy>
  <cp:revision>22</cp:revision>
  <cp:lastPrinted>2017-08-11T09:16:00Z</cp:lastPrinted>
  <dcterms:created xsi:type="dcterms:W3CDTF">2017-09-26T13:06:00Z</dcterms:created>
  <dcterms:modified xsi:type="dcterms:W3CDTF">2017-10-06T10:38:00Z</dcterms:modified>
</cp:coreProperties>
</file>